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4364D2">
      <w:pPr>
        <w:ind w:firstLine="0" w:firstLineChars="0"/>
        <w:rPr>
          <w:rFonts w:hint="eastAsia" w:ascii="黑体" w:hAnsi="黑体" w:eastAsia="黑体"/>
          <w:sz w:val="48"/>
          <w:szCs w:val="48"/>
        </w:rPr>
      </w:pPr>
      <w:bookmarkStart w:id="0" w:name="_Toc63785461"/>
      <w:r>
        <w:rPr>
          <w:rFonts w:hint="eastAsia" w:ascii="黑体" w:hAnsi="黑体" w:eastAsia="黑体"/>
          <w:sz w:val="48"/>
          <w:szCs w:val="48"/>
        </w:rPr>
        <w:t xml:space="preserve">                 </w:t>
      </w:r>
    </w:p>
    <w:p w14:paraId="287F75BA">
      <w:pPr>
        <w:ind w:firstLine="0" w:firstLineChars="0"/>
        <w:jc w:val="center"/>
        <w:rPr>
          <w:rFonts w:hint="eastAsia" w:ascii="黑体" w:hAnsi="黑体" w:eastAsia="黑体"/>
          <w:sz w:val="48"/>
          <w:szCs w:val="48"/>
        </w:rPr>
      </w:pPr>
      <w:r>
        <w:rPr>
          <w:rFonts w:hint="eastAsia" w:ascii="黑体" w:hAnsi="黑体" w:eastAsia="黑体"/>
          <w:sz w:val="48"/>
          <w:szCs w:val="48"/>
        </w:rPr>
        <w:t>现代化生态环境监测智能分析子系统</w:t>
      </w:r>
    </w:p>
    <w:p w14:paraId="3CD42535">
      <w:pPr>
        <w:ind w:firstLine="0" w:firstLineChars="0"/>
        <w:jc w:val="center"/>
        <w:rPr>
          <w:rFonts w:hint="eastAsia" w:asciiTheme="minorEastAsia" w:hAnsiTheme="minorEastAsia" w:eastAsiaTheme="minorEastAsia"/>
        </w:rPr>
      </w:pPr>
      <w:r>
        <w:rPr>
          <w:rFonts w:hint="eastAsia" w:ascii="黑体" w:hAnsi="黑体" w:eastAsia="黑体"/>
          <w:sz w:val="48"/>
          <w:szCs w:val="48"/>
        </w:rPr>
        <w:t>建设项目采购需求</w:t>
      </w:r>
    </w:p>
    <w:p w14:paraId="31A4246B">
      <w:pPr>
        <w:ind w:firstLine="0" w:firstLineChars="0"/>
        <w:jc w:val="center"/>
        <w:rPr>
          <w:rFonts w:hint="eastAsia" w:asciiTheme="minorEastAsia" w:hAnsiTheme="minorEastAsia" w:eastAsiaTheme="minorEastAsia"/>
        </w:rPr>
      </w:pPr>
    </w:p>
    <w:p w14:paraId="0115DF43">
      <w:pPr>
        <w:pStyle w:val="2"/>
        <w:ind w:firstLine="643"/>
        <w:rPr>
          <w:rFonts w:hint="eastAsia"/>
        </w:rPr>
      </w:pPr>
      <w:r>
        <w:rPr>
          <w:rFonts w:hint="eastAsia"/>
        </w:rPr>
        <w:t>项目概况</w:t>
      </w:r>
      <w:bookmarkEnd w:id="0"/>
    </w:p>
    <w:p w14:paraId="3F22BE45">
      <w:pPr>
        <w:rPr>
          <w:rFonts w:hint="eastAsia"/>
        </w:rPr>
      </w:pPr>
      <w:r>
        <w:rPr>
          <w:rFonts w:hint="eastAsia"/>
        </w:rPr>
        <w:t>项目背景及现状：生态环境监测是生态环境保护工作的“哨兵”、“耳目”、“尺子”，是生态文明建设的重要先驱，上海市环境监测中心已构建起多要素监测网络，为环境监测提供了技术支撑。但在全球气候变化和环境治理任务艰巨的背景下，上海面临产业转型与生态保护的双重挑战，现有监测能力存在不足，如数据分散、深度分析能力薄弱，前沿技术与监测业务融合程度不够等。</w:t>
      </w:r>
    </w:p>
    <w:p w14:paraId="32EA27FF">
      <w:pPr>
        <w:rPr>
          <w:rFonts w:hint="eastAsia"/>
        </w:rPr>
      </w:pPr>
      <w:r>
        <w:rPr>
          <w:rFonts w:hint="eastAsia"/>
        </w:rPr>
        <w:t>2023年7月，生态环境保护大会指出未来五年是美丽中国建设的关键时期。2024年3月，生态环境部发布《关于加快建立现代化生态环境监测体系的实施意见》，强调要抓好“两化”，推动“三高”，明确了未来5年生态环境监测数字化转型的目标。2025年8月26日，上海市生态环境局印发《上海市关于加快建立现代化生态环境监测体系的实施意见》，明确了全面推进上海市现代化生态环境监测体系建设的具体要求和任务，为美丽上海建设、打造人与自然和谐共生的社会主义现代化国际大都市提供重要支撑和保障。</w:t>
      </w:r>
    </w:p>
    <w:p w14:paraId="5C0D3927">
      <w:pPr>
        <w:rPr>
          <w:rFonts w:hint="eastAsia"/>
        </w:rPr>
      </w:pPr>
      <w:r>
        <w:rPr>
          <w:rFonts w:hint="eastAsia"/>
        </w:rPr>
        <w:t xml:space="preserve">在此背景下，上海环境监测中心拟建设现代化生态环境监测智能分析子系统，通过“数据+AI”双轮驱动的业务重构，加强对多源环境数据的分析应用和价值挖掘，提升全域生态环境监测感知能力、数据驱动能力和智慧决策能力。 </w:t>
      </w:r>
    </w:p>
    <w:p w14:paraId="02566D01">
      <w:pPr>
        <w:spacing w:line="560" w:lineRule="exact"/>
        <w:rPr>
          <w:rFonts w:hint="eastAsia"/>
        </w:rPr>
      </w:pPr>
      <w:r>
        <w:rPr>
          <w:rFonts w:hint="eastAsia"/>
        </w:rPr>
        <w:t>建设期限：</w:t>
      </w:r>
      <w:r>
        <w:rPr>
          <w:rFonts w:hint="eastAsia" w:cs="宋体"/>
        </w:rPr>
        <w:t>自合同签订之日起至</w:t>
      </w:r>
      <w:r>
        <w:rPr>
          <w:rFonts w:hint="eastAsia"/>
        </w:rPr>
        <w:t>2027年11月30日前完成项目建设并通过验收，其中包括为期2个月的试运行。</w:t>
      </w:r>
    </w:p>
    <w:p w14:paraId="6F9B6E91">
      <w:pPr>
        <w:rPr>
          <w:rFonts w:hint="eastAsia"/>
        </w:rPr>
      </w:pPr>
      <w:r>
        <w:t>是否按信创要求建设：是</w:t>
      </w:r>
    </w:p>
    <w:p w14:paraId="38EDB2AD">
      <w:pPr>
        <w:rPr>
          <w:rFonts w:hint="eastAsia"/>
        </w:rPr>
      </w:pPr>
      <w:r>
        <w:rPr>
          <w:rFonts w:hint="eastAsia"/>
        </w:rPr>
        <w:t>运维后所属大系统：环境监测业务管理系统</w:t>
      </w:r>
    </w:p>
    <w:p w14:paraId="11EC7662">
      <w:pPr>
        <w:pStyle w:val="2"/>
        <w:ind w:firstLine="643"/>
        <w:rPr>
          <w:rFonts w:hint="eastAsia"/>
        </w:rPr>
      </w:pPr>
      <w:bookmarkStart w:id="1" w:name="_Toc47536272"/>
      <w:bookmarkEnd w:id="1"/>
      <w:bookmarkStart w:id="2" w:name="_Toc47536644"/>
      <w:bookmarkEnd w:id="2"/>
      <w:bookmarkStart w:id="3" w:name="_Toc47531634"/>
      <w:bookmarkEnd w:id="3"/>
      <w:bookmarkStart w:id="4" w:name="_Toc47532891"/>
      <w:bookmarkEnd w:id="4"/>
      <w:bookmarkStart w:id="5" w:name="_Toc47533256"/>
      <w:bookmarkEnd w:id="5"/>
      <w:bookmarkStart w:id="6" w:name="_Toc47532255"/>
      <w:bookmarkEnd w:id="6"/>
      <w:bookmarkStart w:id="7" w:name="_Toc47539070"/>
      <w:bookmarkEnd w:id="7"/>
      <w:bookmarkStart w:id="8" w:name="_Toc47537134"/>
      <w:bookmarkEnd w:id="8"/>
      <w:bookmarkStart w:id="9" w:name="_Toc48223882"/>
      <w:bookmarkStart w:id="10" w:name="_Toc63785463"/>
      <w:r>
        <w:rPr>
          <w:rFonts w:hint="eastAsia"/>
        </w:rPr>
        <w:t>建设目标</w:t>
      </w:r>
      <w:bookmarkEnd w:id="9"/>
      <w:bookmarkEnd w:id="10"/>
    </w:p>
    <w:p w14:paraId="378657C8">
      <w:pPr>
        <w:pStyle w:val="3"/>
        <w:ind w:firstLine="602"/>
        <w:rPr>
          <w:rFonts w:hint="eastAsia"/>
        </w:rPr>
      </w:pPr>
      <w:r>
        <w:rPr>
          <w:rFonts w:hint="eastAsia"/>
        </w:rPr>
        <w:t>项目目标</w:t>
      </w:r>
    </w:p>
    <w:p w14:paraId="37E266C1">
      <w:pPr>
        <w:rPr>
          <w:rFonts w:hint="eastAsia"/>
        </w:rPr>
      </w:pPr>
      <w:r>
        <w:rPr>
          <w:rFonts w:hint="eastAsia"/>
        </w:rPr>
        <w:t>按照现代化监测体系和国家数智化转型要求，以生态环境监测数据要素和人工智能等技术双轮驱动监测业务逻辑重构，全面建成生态环境智能监测与决策的数字化中枢，充分发掘生态环境监测数据价值，以数智融合创新应用提升全域感知能力、数据驱动能力和智慧决策能力。具体包括以下六个方面。</w:t>
      </w:r>
    </w:p>
    <w:p w14:paraId="038CBE74">
      <w:pPr>
        <w:rPr>
          <w:rFonts w:hint="eastAsia"/>
        </w:rPr>
      </w:pPr>
      <w:r>
        <w:rPr>
          <w:rFonts w:hint="eastAsia"/>
        </w:rPr>
        <w:t>（一）环境监测能力提升：推进遥感监测业务化应用，构建智能化站房管理闭环架构，强化多要素监测技术融合与业务覆盖。</w:t>
      </w:r>
    </w:p>
    <w:p w14:paraId="49730E6E">
      <w:pPr>
        <w:rPr>
          <w:rFonts w:hint="eastAsia"/>
        </w:rPr>
      </w:pPr>
      <w:r>
        <w:rPr>
          <w:rFonts w:hint="eastAsia"/>
        </w:rPr>
        <w:t>（二）监测数据质量提升：通过智能质控体系识别异常数据，结合数字孪生技术实现站房全流程监控，保障数据精准可靠，提升数据弄虚作假识别能力。</w:t>
      </w:r>
    </w:p>
    <w:p w14:paraId="5DFD64D5">
      <w:pPr>
        <w:rPr>
          <w:rFonts w:hint="eastAsia"/>
        </w:rPr>
      </w:pPr>
      <w:r>
        <w:rPr>
          <w:rFonts w:hint="eastAsia"/>
        </w:rPr>
        <w:t>（三）监测数据分析应用水平提升：依托大模型与智能算法，实现污染趋势模拟、溯源推理、多要素关联建模，开发空气质量精准预报产品，形成“数据采集—分析建模—智能应用”的深度分析链条。</w:t>
      </w:r>
    </w:p>
    <w:p w14:paraId="5D12152C">
      <w:pPr>
        <w:rPr>
          <w:rFonts w:hint="eastAsia"/>
        </w:rPr>
      </w:pPr>
      <w:r>
        <w:rPr>
          <w:rFonts w:hint="eastAsia"/>
        </w:rPr>
        <w:t>（四）环境保护决策支撑能力提升：构建应急监测全流程决策体系，整合全景化监测网络与多源数据资源，通过智能报告生成、会商支撑及案例库沉淀，为风险防控、污染治理提供时空维度精准依据。</w:t>
      </w:r>
    </w:p>
    <w:p w14:paraId="19C31200">
      <w:pPr>
        <w:rPr>
          <w:rFonts w:hint="eastAsia"/>
        </w:rPr>
      </w:pPr>
      <w:r>
        <w:rPr>
          <w:rFonts w:hint="eastAsia"/>
        </w:rPr>
        <w:t>（五）监测任务协同能力提升：打造“站点管理—任务配置—执行反馈”全流程数字化调度体系，实现监测任务标准化创建、精准推送与闭环管理，提升跨部门协同效率。</w:t>
      </w:r>
    </w:p>
    <w:p w14:paraId="6B965BBF">
      <w:pPr>
        <w:rPr>
          <w:rFonts w:hint="eastAsia"/>
        </w:rPr>
      </w:pPr>
      <w:r>
        <w:rPr>
          <w:rFonts w:hint="eastAsia"/>
        </w:rPr>
        <w:t>（六）数字化技术应用创新能力提升：深度融合AI、数字孪生、GIS、低代码等技术，建设多领域智能分析大模型，构建“数据智能—模型驱动—场景适配”的数字化监管架构，推动监测技术与业务场景深度融合。</w:t>
      </w:r>
    </w:p>
    <w:p w14:paraId="024A8EC0">
      <w:pPr>
        <w:pStyle w:val="3"/>
        <w:ind w:firstLine="602"/>
        <w:rPr>
          <w:rFonts w:hint="eastAsia"/>
        </w:rPr>
      </w:pPr>
      <w:bookmarkStart w:id="11" w:name="_Toc17124"/>
      <w:r>
        <w:rPr>
          <w:rFonts w:hint="eastAsia"/>
        </w:rPr>
        <w:t>项目成效考核目标</w:t>
      </w:r>
      <w:bookmarkEnd w:id="11"/>
    </w:p>
    <w:tbl>
      <w:tblPr>
        <w:tblStyle w:val="37"/>
        <w:tblpPr w:leftFromText="180" w:rightFromText="180" w:vertAnchor="text" w:horzAnchor="page" w:tblpX="1783" w:tblpY="635"/>
        <w:tblOverlap w:val="never"/>
        <w:tblW w:w="5000" w:type="pct"/>
        <w:tblInd w:w="0" w:type="dxa"/>
        <w:tblLayout w:type="autofit"/>
        <w:tblCellMar>
          <w:top w:w="0" w:type="dxa"/>
          <w:left w:w="108" w:type="dxa"/>
          <w:bottom w:w="0" w:type="dxa"/>
          <w:right w:w="108" w:type="dxa"/>
        </w:tblCellMar>
      </w:tblPr>
      <w:tblGrid>
        <w:gridCol w:w="1136"/>
        <w:gridCol w:w="1907"/>
        <w:gridCol w:w="3189"/>
        <w:gridCol w:w="2296"/>
      </w:tblGrid>
      <w:tr w14:paraId="67A955EC">
        <w:tblPrEx>
          <w:tblCellMar>
            <w:top w:w="0" w:type="dxa"/>
            <w:left w:w="108" w:type="dxa"/>
            <w:bottom w:w="0" w:type="dxa"/>
            <w:right w:w="108" w:type="dxa"/>
          </w:tblCellMar>
        </w:tblPrEx>
        <w:trPr>
          <w:trHeight w:val="300" w:hRule="atLeast"/>
          <w:tblHeader/>
        </w:trPr>
        <w:tc>
          <w:tcPr>
            <w:tcW w:w="666" w:type="pct"/>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14:paraId="0152FFA5">
            <w:pPr>
              <w:pStyle w:val="48"/>
              <w:jc w:val="center"/>
              <w:rPr>
                <w:rFonts w:hint="eastAsia" w:asciiTheme="minorEastAsia" w:hAnsiTheme="minorEastAsia" w:eastAsiaTheme="minorEastAsia" w:cstheme="minorEastAsia"/>
                <w:b/>
                <w:bCs/>
              </w:rPr>
            </w:pPr>
            <w:r>
              <w:rPr>
                <w:rFonts w:hint="eastAsia" w:asciiTheme="minorEastAsia" w:hAnsiTheme="minorEastAsia" w:eastAsiaTheme="minorEastAsia" w:cstheme="minorEastAsia"/>
                <w:b/>
                <w:bCs/>
              </w:rPr>
              <w:t>一级指标</w:t>
            </w:r>
          </w:p>
        </w:tc>
        <w:tc>
          <w:tcPr>
            <w:tcW w:w="1118" w:type="pct"/>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14:paraId="682610A4">
            <w:pPr>
              <w:pStyle w:val="48"/>
              <w:jc w:val="center"/>
              <w:rPr>
                <w:rFonts w:hint="eastAsia" w:asciiTheme="minorEastAsia" w:hAnsiTheme="minorEastAsia" w:eastAsiaTheme="minorEastAsia" w:cstheme="minorEastAsia"/>
                <w:b/>
                <w:bCs/>
              </w:rPr>
            </w:pPr>
            <w:r>
              <w:rPr>
                <w:rFonts w:hint="eastAsia" w:asciiTheme="minorEastAsia" w:hAnsiTheme="minorEastAsia" w:eastAsiaTheme="minorEastAsia" w:cstheme="minorEastAsia"/>
                <w:b/>
                <w:bCs/>
              </w:rPr>
              <w:t>二级指标</w:t>
            </w:r>
          </w:p>
        </w:tc>
        <w:tc>
          <w:tcPr>
            <w:tcW w:w="1869" w:type="pct"/>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bottom"/>
          </w:tcPr>
          <w:p w14:paraId="17596128">
            <w:pPr>
              <w:pStyle w:val="48"/>
              <w:jc w:val="center"/>
              <w:rPr>
                <w:rFonts w:hint="eastAsia" w:asciiTheme="minorEastAsia" w:hAnsiTheme="minorEastAsia" w:eastAsiaTheme="minorEastAsia" w:cstheme="minorEastAsia"/>
                <w:b/>
                <w:bCs/>
              </w:rPr>
            </w:pPr>
            <w:r>
              <w:rPr>
                <w:rFonts w:hint="eastAsia" w:asciiTheme="minorEastAsia" w:hAnsiTheme="minorEastAsia" w:eastAsiaTheme="minorEastAsia" w:cstheme="minorEastAsia"/>
                <w:b/>
                <w:bCs/>
              </w:rPr>
              <w:t>三级指标</w:t>
            </w:r>
          </w:p>
        </w:tc>
        <w:tc>
          <w:tcPr>
            <w:tcW w:w="1346" w:type="pct"/>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14:paraId="5AF0EC62">
            <w:pPr>
              <w:pStyle w:val="48"/>
              <w:jc w:val="both"/>
              <w:rPr>
                <w:rFonts w:hint="eastAsia" w:asciiTheme="minorEastAsia" w:hAnsiTheme="minorEastAsia" w:eastAsiaTheme="minorEastAsia" w:cstheme="minorEastAsia"/>
                <w:b/>
                <w:bCs/>
              </w:rPr>
            </w:pPr>
            <w:r>
              <w:rPr>
                <w:rFonts w:hint="eastAsia" w:asciiTheme="minorEastAsia" w:hAnsiTheme="minorEastAsia" w:eastAsiaTheme="minorEastAsia" w:cstheme="minorEastAsia"/>
                <w:b/>
                <w:bCs/>
              </w:rPr>
              <w:t>目标值</w:t>
            </w:r>
          </w:p>
        </w:tc>
      </w:tr>
      <w:tr w14:paraId="3FBFBA1C">
        <w:tblPrEx>
          <w:tblCellMar>
            <w:top w:w="0" w:type="dxa"/>
            <w:left w:w="108" w:type="dxa"/>
            <w:bottom w:w="0" w:type="dxa"/>
            <w:right w:w="108" w:type="dxa"/>
          </w:tblCellMar>
        </w:tblPrEx>
        <w:trPr>
          <w:trHeight w:val="300" w:hRule="atLeast"/>
        </w:trPr>
        <w:tc>
          <w:tcPr>
            <w:tcW w:w="666" w:type="pct"/>
            <w:vMerge w:val="restart"/>
            <w:tcBorders>
              <w:top w:val="single" w:color="000000" w:sz="4" w:space="0"/>
              <w:left w:val="single" w:color="000000" w:sz="4" w:space="0"/>
              <w:bottom w:val="single" w:color="000000" w:sz="4" w:space="0"/>
              <w:right w:val="single" w:color="000000" w:sz="4" w:space="0"/>
            </w:tcBorders>
            <w:vAlign w:val="center"/>
          </w:tcPr>
          <w:p w14:paraId="66523545">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通用指标</w:t>
            </w:r>
          </w:p>
        </w:tc>
        <w:tc>
          <w:tcPr>
            <w:tcW w:w="1118" w:type="pct"/>
            <w:vMerge w:val="restart"/>
            <w:tcBorders>
              <w:top w:val="single" w:color="000000" w:sz="4" w:space="0"/>
              <w:left w:val="single" w:color="000000" w:sz="4" w:space="0"/>
              <w:bottom w:val="single" w:color="000000" w:sz="4" w:space="0"/>
              <w:right w:val="single" w:color="000000" w:sz="4" w:space="0"/>
            </w:tcBorders>
            <w:vAlign w:val="center"/>
          </w:tcPr>
          <w:p w14:paraId="7AD27F8A">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产出数量</w:t>
            </w:r>
          </w:p>
        </w:tc>
        <w:tc>
          <w:tcPr>
            <w:tcW w:w="1869" w:type="pct"/>
            <w:tcBorders>
              <w:top w:val="single" w:color="000000" w:sz="4" w:space="0"/>
              <w:left w:val="single" w:color="000000" w:sz="4" w:space="0"/>
              <w:bottom w:val="single" w:color="000000" w:sz="4" w:space="0"/>
              <w:right w:val="single" w:color="000000" w:sz="4" w:space="0"/>
            </w:tcBorders>
            <w:vAlign w:val="center"/>
          </w:tcPr>
          <w:p w14:paraId="7873CB6A">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软件开发完成率</w:t>
            </w:r>
          </w:p>
        </w:tc>
        <w:tc>
          <w:tcPr>
            <w:tcW w:w="1346" w:type="pct"/>
            <w:tcBorders>
              <w:top w:val="single" w:color="000000" w:sz="4" w:space="0"/>
              <w:left w:val="single" w:color="000000" w:sz="4" w:space="0"/>
              <w:bottom w:val="single" w:color="000000" w:sz="4" w:space="0"/>
              <w:right w:val="single" w:color="000000" w:sz="4" w:space="0"/>
            </w:tcBorders>
            <w:vAlign w:val="center"/>
          </w:tcPr>
          <w:p w14:paraId="0D4F8C22">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100%</w:t>
            </w:r>
          </w:p>
        </w:tc>
      </w:tr>
      <w:tr w14:paraId="0899C972">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3953A222">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587FC3A6">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center"/>
          </w:tcPr>
          <w:p w14:paraId="38819437">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产品软件购置完成率</w:t>
            </w:r>
          </w:p>
        </w:tc>
        <w:tc>
          <w:tcPr>
            <w:tcW w:w="1346" w:type="pct"/>
            <w:tcBorders>
              <w:top w:val="single" w:color="000000" w:sz="4" w:space="0"/>
              <w:left w:val="single" w:color="000000" w:sz="4" w:space="0"/>
              <w:bottom w:val="single" w:color="000000" w:sz="4" w:space="0"/>
              <w:right w:val="single" w:color="000000" w:sz="4" w:space="0"/>
            </w:tcBorders>
            <w:vAlign w:val="center"/>
          </w:tcPr>
          <w:p w14:paraId="5E1FE4CF">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100%</w:t>
            </w:r>
          </w:p>
        </w:tc>
      </w:tr>
      <w:tr w14:paraId="7D5E326F">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0ED1D1A4">
            <w:pPr>
              <w:pStyle w:val="48"/>
              <w:ind w:firstLine="361"/>
              <w:rPr>
                <w:rFonts w:hint="eastAsia" w:asciiTheme="minorEastAsia" w:hAnsiTheme="minorEastAsia" w:eastAsiaTheme="minorEastAsia" w:cstheme="minorEastAsia"/>
              </w:rPr>
            </w:pPr>
          </w:p>
        </w:tc>
        <w:tc>
          <w:tcPr>
            <w:tcW w:w="1118" w:type="pct"/>
            <w:vMerge w:val="restart"/>
            <w:tcBorders>
              <w:top w:val="single" w:color="000000" w:sz="4" w:space="0"/>
              <w:left w:val="single" w:color="000000" w:sz="4" w:space="0"/>
              <w:bottom w:val="single" w:color="000000" w:sz="4" w:space="0"/>
              <w:right w:val="single" w:color="000000" w:sz="4" w:space="0"/>
            </w:tcBorders>
            <w:vAlign w:val="center"/>
          </w:tcPr>
          <w:p w14:paraId="22642F09">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产出质量</w:t>
            </w:r>
          </w:p>
        </w:tc>
        <w:tc>
          <w:tcPr>
            <w:tcW w:w="1869" w:type="pct"/>
            <w:tcBorders>
              <w:top w:val="single" w:color="000000" w:sz="4" w:space="0"/>
              <w:left w:val="single" w:color="000000" w:sz="4" w:space="0"/>
              <w:bottom w:val="single" w:color="000000" w:sz="4" w:space="0"/>
              <w:right w:val="single" w:color="000000" w:sz="4" w:space="0"/>
            </w:tcBorders>
            <w:vAlign w:val="center"/>
          </w:tcPr>
          <w:p w14:paraId="786D376B">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软件测评达标</w:t>
            </w:r>
          </w:p>
        </w:tc>
        <w:tc>
          <w:tcPr>
            <w:tcW w:w="1346" w:type="pct"/>
            <w:tcBorders>
              <w:top w:val="single" w:color="000000" w:sz="4" w:space="0"/>
              <w:left w:val="single" w:color="000000" w:sz="4" w:space="0"/>
              <w:bottom w:val="single" w:color="000000" w:sz="4" w:space="0"/>
              <w:right w:val="single" w:color="000000" w:sz="4" w:space="0"/>
            </w:tcBorders>
            <w:vAlign w:val="center"/>
          </w:tcPr>
          <w:p w14:paraId="10F40B32">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通过</w:t>
            </w:r>
          </w:p>
        </w:tc>
      </w:tr>
      <w:tr w14:paraId="1CEE5312">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21C1D226">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23A7BF2B">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center"/>
          </w:tcPr>
          <w:p w14:paraId="755D9368">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网络安全等级保护</w:t>
            </w:r>
          </w:p>
        </w:tc>
        <w:tc>
          <w:tcPr>
            <w:tcW w:w="1346" w:type="pct"/>
            <w:tcBorders>
              <w:top w:val="single" w:color="000000" w:sz="4" w:space="0"/>
              <w:left w:val="single" w:color="000000" w:sz="4" w:space="0"/>
              <w:bottom w:val="single" w:color="000000" w:sz="4" w:space="0"/>
              <w:right w:val="single" w:color="000000" w:sz="4" w:space="0"/>
            </w:tcBorders>
            <w:vAlign w:val="center"/>
          </w:tcPr>
          <w:p w14:paraId="21ED053A">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二级</w:t>
            </w:r>
          </w:p>
        </w:tc>
      </w:tr>
      <w:tr w14:paraId="6207BAA4">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7DF59A93">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5237ECB7">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center"/>
          </w:tcPr>
          <w:p w14:paraId="4681174D">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安全时间发生次数</w:t>
            </w:r>
          </w:p>
        </w:tc>
        <w:tc>
          <w:tcPr>
            <w:tcW w:w="1346" w:type="pct"/>
            <w:tcBorders>
              <w:top w:val="single" w:color="000000" w:sz="4" w:space="0"/>
              <w:left w:val="single" w:color="000000" w:sz="4" w:space="0"/>
              <w:bottom w:val="single" w:color="000000" w:sz="4" w:space="0"/>
              <w:right w:val="single" w:color="000000" w:sz="4" w:space="0"/>
            </w:tcBorders>
            <w:vAlign w:val="center"/>
          </w:tcPr>
          <w:p w14:paraId="6167B13F">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0次</w:t>
            </w:r>
          </w:p>
        </w:tc>
      </w:tr>
      <w:tr w14:paraId="56678E6B">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5D900FFA">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7AC1C0F5">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center"/>
          </w:tcPr>
          <w:p w14:paraId="761480B8">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一次性验收合格率</w:t>
            </w:r>
          </w:p>
        </w:tc>
        <w:tc>
          <w:tcPr>
            <w:tcW w:w="1346" w:type="pct"/>
            <w:tcBorders>
              <w:top w:val="single" w:color="000000" w:sz="4" w:space="0"/>
              <w:left w:val="single" w:color="000000" w:sz="4" w:space="0"/>
              <w:bottom w:val="single" w:color="000000" w:sz="4" w:space="0"/>
              <w:right w:val="single" w:color="000000" w:sz="4" w:space="0"/>
            </w:tcBorders>
            <w:vAlign w:val="center"/>
          </w:tcPr>
          <w:p w14:paraId="0B9B0DA8">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100%</w:t>
            </w:r>
          </w:p>
        </w:tc>
      </w:tr>
      <w:tr w14:paraId="6D3DDC33">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5DCF750A">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7AC9D61F">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bottom"/>
          </w:tcPr>
          <w:p w14:paraId="2C286D22">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系统可靠性</w:t>
            </w:r>
          </w:p>
        </w:tc>
        <w:tc>
          <w:tcPr>
            <w:tcW w:w="1346" w:type="pct"/>
            <w:tcBorders>
              <w:top w:val="single" w:color="000000" w:sz="4" w:space="0"/>
              <w:left w:val="single" w:color="000000" w:sz="4" w:space="0"/>
              <w:bottom w:val="single" w:color="000000" w:sz="4" w:space="0"/>
              <w:right w:val="single" w:color="000000" w:sz="4" w:space="0"/>
            </w:tcBorders>
            <w:vAlign w:val="bottom"/>
          </w:tcPr>
          <w:p w14:paraId="25EF6D39">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≥99.9%</w:t>
            </w:r>
          </w:p>
        </w:tc>
      </w:tr>
      <w:tr w14:paraId="7EEAEC56">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79358F14">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16BEEA87">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bottom"/>
          </w:tcPr>
          <w:p w14:paraId="3538050D">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密码测试达标</w:t>
            </w:r>
          </w:p>
        </w:tc>
        <w:tc>
          <w:tcPr>
            <w:tcW w:w="1346" w:type="pct"/>
            <w:tcBorders>
              <w:top w:val="single" w:color="000000" w:sz="4" w:space="0"/>
              <w:left w:val="single" w:color="000000" w:sz="4" w:space="0"/>
              <w:bottom w:val="single" w:color="000000" w:sz="4" w:space="0"/>
              <w:right w:val="single" w:color="000000" w:sz="4" w:space="0"/>
            </w:tcBorders>
            <w:vAlign w:val="center"/>
          </w:tcPr>
          <w:p w14:paraId="41268C8E">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通过</w:t>
            </w:r>
          </w:p>
        </w:tc>
      </w:tr>
      <w:tr w14:paraId="67A56877">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1579ADC2">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780BB188">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center"/>
          </w:tcPr>
          <w:p w14:paraId="73A6A83D">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安全测试达标</w:t>
            </w:r>
          </w:p>
        </w:tc>
        <w:tc>
          <w:tcPr>
            <w:tcW w:w="1346" w:type="pct"/>
            <w:tcBorders>
              <w:top w:val="single" w:color="000000" w:sz="4" w:space="0"/>
              <w:left w:val="single" w:color="000000" w:sz="4" w:space="0"/>
              <w:bottom w:val="single" w:color="000000" w:sz="4" w:space="0"/>
              <w:right w:val="single" w:color="000000" w:sz="4" w:space="0"/>
            </w:tcBorders>
            <w:vAlign w:val="center"/>
          </w:tcPr>
          <w:p w14:paraId="5B91137C">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通过</w:t>
            </w:r>
          </w:p>
        </w:tc>
      </w:tr>
      <w:tr w14:paraId="62D9FCF4">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4FA59710">
            <w:pPr>
              <w:pStyle w:val="48"/>
              <w:ind w:firstLine="361"/>
              <w:rPr>
                <w:rFonts w:hint="eastAsia" w:asciiTheme="minorEastAsia" w:hAnsiTheme="minorEastAsia" w:eastAsiaTheme="minorEastAsia" w:cstheme="minorEastAsia"/>
              </w:rPr>
            </w:pPr>
          </w:p>
        </w:tc>
        <w:tc>
          <w:tcPr>
            <w:tcW w:w="1118" w:type="pct"/>
            <w:tcBorders>
              <w:top w:val="single" w:color="000000" w:sz="4" w:space="0"/>
              <w:left w:val="single" w:color="000000" w:sz="4" w:space="0"/>
              <w:bottom w:val="single" w:color="000000" w:sz="4" w:space="0"/>
              <w:right w:val="single" w:color="000000" w:sz="4" w:space="0"/>
            </w:tcBorders>
            <w:vAlign w:val="center"/>
          </w:tcPr>
          <w:p w14:paraId="1EA127FE">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产出时效</w:t>
            </w:r>
          </w:p>
        </w:tc>
        <w:tc>
          <w:tcPr>
            <w:tcW w:w="1869" w:type="pct"/>
            <w:tcBorders>
              <w:top w:val="single" w:color="000000" w:sz="4" w:space="0"/>
              <w:left w:val="single" w:color="000000" w:sz="4" w:space="0"/>
              <w:bottom w:val="single" w:color="000000" w:sz="4" w:space="0"/>
              <w:right w:val="single" w:color="000000" w:sz="4" w:space="0"/>
            </w:tcBorders>
            <w:vAlign w:val="center"/>
          </w:tcPr>
          <w:p w14:paraId="2787F352">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项目建设周期</w:t>
            </w:r>
          </w:p>
        </w:tc>
        <w:tc>
          <w:tcPr>
            <w:tcW w:w="1346" w:type="pct"/>
            <w:tcBorders>
              <w:top w:val="single" w:color="000000" w:sz="4" w:space="0"/>
              <w:left w:val="single" w:color="000000" w:sz="4" w:space="0"/>
              <w:bottom w:val="single" w:color="000000" w:sz="4" w:space="0"/>
              <w:right w:val="single" w:color="000000" w:sz="4" w:space="0"/>
            </w:tcBorders>
            <w:vAlign w:val="center"/>
          </w:tcPr>
          <w:p w14:paraId="258E6589">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≤24个月</w:t>
            </w:r>
          </w:p>
        </w:tc>
      </w:tr>
      <w:tr w14:paraId="0D803778">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5FCA01B8">
            <w:pPr>
              <w:pStyle w:val="48"/>
              <w:ind w:firstLine="361"/>
              <w:rPr>
                <w:rFonts w:hint="eastAsia" w:asciiTheme="minorEastAsia" w:hAnsiTheme="minorEastAsia" w:eastAsiaTheme="minorEastAsia" w:cstheme="minorEastAsia"/>
              </w:rPr>
            </w:pPr>
          </w:p>
        </w:tc>
        <w:tc>
          <w:tcPr>
            <w:tcW w:w="1118" w:type="pct"/>
            <w:vMerge w:val="restart"/>
            <w:tcBorders>
              <w:top w:val="single" w:color="000000" w:sz="4" w:space="0"/>
              <w:left w:val="single" w:color="000000" w:sz="4" w:space="0"/>
              <w:bottom w:val="single" w:color="000000" w:sz="4" w:space="0"/>
              <w:right w:val="single" w:color="000000" w:sz="4" w:space="0"/>
            </w:tcBorders>
            <w:vAlign w:val="center"/>
          </w:tcPr>
          <w:p w14:paraId="63B0CAF4">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用户使用情况</w:t>
            </w:r>
          </w:p>
        </w:tc>
        <w:tc>
          <w:tcPr>
            <w:tcW w:w="1869" w:type="pct"/>
            <w:tcBorders>
              <w:top w:val="single" w:color="000000" w:sz="4" w:space="0"/>
              <w:left w:val="single" w:color="000000" w:sz="4" w:space="0"/>
              <w:bottom w:val="single" w:color="000000" w:sz="4" w:space="0"/>
              <w:right w:val="single" w:color="000000" w:sz="4" w:space="0"/>
            </w:tcBorders>
            <w:vAlign w:val="center"/>
          </w:tcPr>
          <w:p w14:paraId="1066EE0D">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月活跃用户量</w:t>
            </w:r>
          </w:p>
        </w:tc>
        <w:tc>
          <w:tcPr>
            <w:tcW w:w="1346" w:type="pct"/>
            <w:tcBorders>
              <w:top w:val="single" w:color="000000" w:sz="4" w:space="0"/>
              <w:left w:val="single" w:color="000000" w:sz="4" w:space="0"/>
              <w:bottom w:val="single" w:color="000000" w:sz="4" w:space="0"/>
              <w:right w:val="single" w:color="000000" w:sz="4" w:space="0"/>
            </w:tcBorders>
            <w:vAlign w:val="center"/>
          </w:tcPr>
          <w:p w14:paraId="57C7226B">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≥200人次/月</w:t>
            </w:r>
          </w:p>
        </w:tc>
      </w:tr>
      <w:tr w14:paraId="3767861F">
        <w:tblPrEx>
          <w:tblCellMar>
            <w:top w:w="0" w:type="dxa"/>
            <w:left w:w="108" w:type="dxa"/>
            <w:bottom w:w="0" w:type="dxa"/>
            <w:right w:w="108" w:type="dxa"/>
          </w:tblCellMar>
        </w:tblPrEx>
        <w:trPr>
          <w:trHeight w:val="348"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0ADCACD8">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4EDFA16D">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center"/>
          </w:tcPr>
          <w:p w14:paraId="7440ACF5">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系统用户量</w:t>
            </w:r>
          </w:p>
        </w:tc>
        <w:tc>
          <w:tcPr>
            <w:tcW w:w="1346" w:type="pct"/>
            <w:tcBorders>
              <w:top w:val="single" w:color="000000" w:sz="4" w:space="0"/>
              <w:left w:val="single" w:color="000000" w:sz="4" w:space="0"/>
              <w:bottom w:val="single" w:color="000000" w:sz="4" w:space="0"/>
              <w:right w:val="single" w:color="000000" w:sz="4" w:space="0"/>
            </w:tcBorders>
            <w:vAlign w:val="center"/>
          </w:tcPr>
          <w:p w14:paraId="70383574">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≥200人</w:t>
            </w:r>
          </w:p>
        </w:tc>
      </w:tr>
      <w:tr w14:paraId="5CEC9733">
        <w:tblPrEx>
          <w:tblCellMar>
            <w:top w:w="0" w:type="dxa"/>
            <w:left w:w="108" w:type="dxa"/>
            <w:bottom w:w="0" w:type="dxa"/>
            <w:right w:w="108" w:type="dxa"/>
          </w:tblCellMar>
        </w:tblPrEx>
        <w:trPr>
          <w:trHeight w:val="348"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19912B28">
            <w:pPr>
              <w:pStyle w:val="48"/>
              <w:ind w:firstLine="361"/>
              <w:rPr>
                <w:rFonts w:hint="eastAsia" w:asciiTheme="minorEastAsia" w:hAnsiTheme="minorEastAsia" w:eastAsiaTheme="minorEastAsia" w:cstheme="minorEastAsia"/>
              </w:rPr>
            </w:pPr>
          </w:p>
        </w:tc>
        <w:tc>
          <w:tcPr>
            <w:tcW w:w="1118" w:type="pct"/>
            <w:tcBorders>
              <w:top w:val="single" w:color="000000" w:sz="4" w:space="0"/>
              <w:left w:val="single" w:color="000000" w:sz="4" w:space="0"/>
              <w:bottom w:val="single" w:color="000000" w:sz="4" w:space="0"/>
              <w:right w:val="single" w:color="000000" w:sz="4" w:space="0"/>
            </w:tcBorders>
            <w:vAlign w:val="center"/>
          </w:tcPr>
          <w:p w14:paraId="7131537A">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人工智能技术利用水平</w:t>
            </w:r>
          </w:p>
        </w:tc>
        <w:tc>
          <w:tcPr>
            <w:tcW w:w="1869" w:type="pct"/>
            <w:tcBorders>
              <w:top w:val="single" w:color="000000" w:sz="4" w:space="0"/>
              <w:left w:val="single" w:color="000000" w:sz="4" w:space="0"/>
              <w:bottom w:val="single" w:color="000000" w:sz="4" w:space="0"/>
              <w:right w:val="single" w:color="000000" w:sz="4" w:space="0"/>
            </w:tcBorders>
            <w:vAlign w:val="center"/>
          </w:tcPr>
          <w:p w14:paraId="0C5C6722">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替代常规工作流程数量</w:t>
            </w:r>
          </w:p>
        </w:tc>
        <w:tc>
          <w:tcPr>
            <w:tcW w:w="1346" w:type="pct"/>
            <w:tcBorders>
              <w:top w:val="single" w:color="000000" w:sz="4" w:space="0"/>
              <w:left w:val="single" w:color="000000" w:sz="4" w:space="0"/>
              <w:bottom w:val="single" w:color="000000" w:sz="4" w:space="0"/>
              <w:right w:val="single" w:color="000000" w:sz="4" w:space="0"/>
            </w:tcBorders>
            <w:vAlign w:val="center"/>
          </w:tcPr>
          <w:p w14:paraId="4FED47E9">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≥15个</w:t>
            </w:r>
          </w:p>
        </w:tc>
      </w:tr>
      <w:tr w14:paraId="4128C62A">
        <w:tblPrEx>
          <w:tblCellMar>
            <w:top w:w="0" w:type="dxa"/>
            <w:left w:w="108" w:type="dxa"/>
            <w:bottom w:w="0" w:type="dxa"/>
            <w:right w:w="108" w:type="dxa"/>
          </w:tblCellMar>
        </w:tblPrEx>
        <w:trPr>
          <w:trHeight w:val="348"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7B716C65">
            <w:pPr>
              <w:pStyle w:val="48"/>
              <w:ind w:firstLine="361"/>
              <w:rPr>
                <w:rFonts w:hint="eastAsia" w:asciiTheme="minorEastAsia" w:hAnsiTheme="minorEastAsia" w:eastAsiaTheme="minorEastAsia" w:cstheme="minorEastAsia"/>
              </w:rPr>
            </w:pPr>
          </w:p>
        </w:tc>
        <w:tc>
          <w:tcPr>
            <w:tcW w:w="1118" w:type="pct"/>
            <w:tcBorders>
              <w:top w:val="single" w:color="000000" w:sz="4" w:space="0"/>
              <w:left w:val="single" w:color="000000" w:sz="4" w:space="0"/>
              <w:bottom w:val="single" w:color="000000" w:sz="4" w:space="0"/>
              <w:right w:val="single" w:color="000000" w:sz="4" w:space="0"/>
            </w:tcBorders>
            <w:vAlign w:val="center"/>
          </w:tcPr>
          <w:p w14:paraId="49585BF9">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产出成本</w:t>
            </w:r>
          </w:p>
        </w:tc>
        <w:tc>
          <w:tcPr>
            <w:tcW w:w="1869" w:type="pct"/>
            <w:tcBorders>
              <w:top w:val="single" w:color="000000" w:sz="4" w:space="0"/>
              <w:left w:val="single" w:color="000000" w:sz="4" w:space="0"/>
              <w:bottom w:val="single" w:color="000000" w:sz="4" w:space="0"/>
              <w:right w:val="single" w:color="000000" w:sz="4" w:space="0"/>
            </w:tcBorders>
            <w:vAlign w:val="center"/>
          </w:tcPr>
          <w:p w14:paraId="5DCD2DE8">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标准化内容支出比例</w:t>
            </w:r>
          </w:p>
        </w:tc>
        <w:tc>
          <w:tcPr>
            <w:tcW w:w="1346" w:type="pct"/>
            <w:tcBorders>
              <w:top w:val="single" w:color="000000" w:sz="4" w:space="0"/>
              <w:left w:val="single" w:color="000000" w:sz="4" w:space="0"/>
              <w:bottom w:val="single" w:color="000000" w:sz="4" w:space="0"/>
              <w:right w:val="single" w:color="000000" w:sz="4" w:space="0"/>
            </w:tcBorders>
            <w:vAlign w:val="center"/>
          </w:tcPr>
          <w:p w14:paraId="2366FDF1">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≥10%</w:t>
            </w:r>
          </w:p>
        </w:tc>
      </w:tr>
      <w:tr w14:paraId="2125A855">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54471B43">
            <w:pPr>
              <w:pStyle w:val="48"/>
              <w:ind w:firstLine="361"/>
              <w:rPr>
                <w:rFonts w:hint="eastAsia" w:asciiTheme="minorEastAsia" w:hAnsiTheme="minorEastAsia" w:eastAsiaTheme="minorEastAsia" w:cstheme="minorEastAsia"/>
              </w:rPr>
            </w:pPr>
          </w:p>
        </w:tc>
        <w:tc>
          <w:tcPr>
            <w:tcW w:w="1118" w:type="pct"/>
            <w:vMerge w:val="restart"/>
            <w:tcBorders>
              <w:top w:val="single" w:color="000000" w:sz="4" w:space="0"/>
              <w:left w:val="single" w:color="000000" w:sz="4" w:space="0"/>
              <w:bottom w:val="single" w:color="000000" w:sz="4" w:space="0"/>
              <w:right w:val="single" w:color="000000" w:sz="4" w:space="0"/>
            </w:tcBorders>
            <w:noWrap/>
            <w:vAlign w:val="center"/>
          </w:tcPr>
          <w:p w14:paraId="46EDC9A8">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大模型应用</w:t>
            </w:r>
          </w:p>
        </w:tc>
        <w:tc>
          <w:tcPr>
            <w:tcW w:w="1869" w:type="pct"/>
            <w:tcBorders>
              <w:top w:val="single" w:color="000000" w:sz="4" w:space="0"/>
              <w:left w:val="single" w:color="000000" w:sz="4" w:space="0"/>
              <w:bottom w:val="single" w:color="000000" w:sz="4" w:space="0"/>
              <w:right w:val="single" w:color="000000" w:sz="4" w:space="0"/>
            </w:tcBorders>
            <w:noWrap/>
            <w:vAlign w:val="center"/>
          </w:tcPr>
          <w:p w14:paraId="2B5E1696">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数据编目更新及时率</w:t>
            </w:r>
          </w:p>
        </w:tc>
        <w:tc>
          <w:tcPr>
            <w:tcW w:w="1346" w:type="pct"/>
            <w:tcBorders>
              <w:top w:val="single" w:color="000000" w:sz="4" w:space="0"/>
              <w:left w:val="single" w:color="000000" w:sz="4" w:space="0"/>
              <w:bottom w:val="single" w:color="000000" w:sz="4" w:space="0"/>
              <w:right w:val="single" w:color="000000" w:sz="4" w:space="0"/>
            </w:tcBorders>
            <w:vAlign w:val="bottom"/>
          </w:tcPr>
          <w:p w14:paraId="53954930">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≥90%</w:t>
            </w:r>
          </w:p>
        </w:tc>
      </w:tr>
      <w:tr w14:paraId="02928FB5">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3CB77BF4">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noWrap/>
            <w:vAlign w:val="center"/>
          </w:tcPr>
          <w:p w14:paraId="661B0685">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noWrap/>
            <w:vAlign w:val="center"/>
          </w:tcPr>
          <w:p w14:paraId="35D61613">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数据目录覆盖率</w:t>
            </w:r>
          </w:p>
        </w:tc>
        <w:tc>
          <w:tcPr>
            <w:tcW w:w="1346" w:type="pct"/>
            <w:tcBorders>
              <w:top w:val="single" w:color="000000" w:sz="4" w:space="0"/>
              <w:left w:val="single" w:color="000000" w:sz="4" w:space="0"/>
              <w:bottom w:val="single" w:color="000000" w:sz="4" w:space="0"/>
              <w:right w:val="single" w:color="000000" w:sz="4" w:space="0"/>
            </w:tcBorders>
            <w:vAlign w:val="bottom"/>
          </w:tcPr>
          <w:p w14:paraId="7119B71C">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≥60%</w:t>
            </w:r>
          </w:p>
        </w:tc>
      </w:tr>
      <w:tr w14:paraId="749B4BBB">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4B9FC0D6">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noWrap/>
            <w:vAlign w:val="center"/>
          </w:tcPr>
          <w:p w14:paraId="4AB5A06B">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noWrap/>
            <w:vAlign w:val="center"/>
          </w:tcPr>
          <w:p w14:paraId="34D80F13">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语料加工数据准确率</w:t>
            </w:r>
          </w:p>
        </w:tc>
        <w:tc>
          <w:tcPr>
            <w:tcW w:w="1346" w:type="pct"/>
            <w:tcBorders>
              <w:top w:val="single" w:color="000000" w:sz="4" w:space="0"/>
              <w:left w:val="single" w:color="000000" w:sz="4" w:space="0"/>
              <w:bottom w:val="single" w:color="000000" w:sz="4" w:space="0"/>
              <w:right w:val="single" w:color="000000" w:sz="4" w:space="0"/>
            </w:tcBorders>
            <w:vAlign w:val="bottom"/>
          </w:tcPr>
          <w:p w14:paraId="5FC71C73">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≥85%</w:t>
            </w:r>
          </w:p>
        </w:tc>
      </w:tr>
      <w:tr w14:paraId="3DE554DA">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04B52A9E">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noWrap/>
            <w:vAlign w:val="center"/>
          </w:tcPr>
          <w:p w14:paraId="35308F3E">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noWrap/>
            <w:vAlign w:val="center"/>
          </w:tcPr>
          <w:p w14:paraId="22F41EEF">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形成语料库条目数</w:t>
            </w:r>
          </w:p>
        </w:tc>
        <w:tc>
          <w:tcPr>
            <w:tcW w:w="1346" w:type="pct"/>
            <w:tcBorders>
              <w:top w:val="single" w:color="000000" w:sz="4" w:space="0"/>
              <w:left w:val="single" w:color="000000" w:sz="4" w:space="0"/>
              <w:bottom w:val="single" w:color="000000" w:sz="4" w:space="0"/>
              <w:right w:val="single" w:color="000000" w:sz="4" w:space="0"/>
            </w:tcBorders>
            <w:vAlign w:val="bottom"/>
          </w:tcPr>
          <w:p w14:paraId="0A536F66">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≥80000000条</w:t>
            </w:r>
          </w:p>
        </w:tc>
      </w:tr>
      <w:tr w14:paraId="3BDB0445">
        <w:trPr>
          <w:trHeight w:val="300" w:hRule="atLeast"/>
        </w:trPr>
        <w:tc>
          <w:tcPr>
            <w:tcW w:w="666" w:type="pct"/>
            <w:vMerge w:val="restart"/>
            <w:tcBorders>
              <w:top w:val="single" w:color="000000" w:sz="4" w:space="0"/>
              <w:left w:val="single" w:color="000000" w:sz="4" w:space="0"/>
              <w:bottom w:val="single" w:color="000000" w:sz="4" w:space="0"/>
              <w:right w:val="single" w:color="000000" w:sz="4" w:space="0"/>
            </w:tcBorders>
            <w:vAlign w:val="center"/>
          </w:tcPr>
          <w:p w14:paraId="21F4FCE6">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业务指标</w:t>
            </w:r>
          </w:p>
        </w:tc>
        <w:tc>
          <w:tcPr>
            <w:tcW w:w="1118" w:type="pct"/>
            <w:vMerge w:val="restart"/>
            <w:tcBorders>
              <w:top w:val="single" w:color="000000" w:sz="4" w:space="0"/>
              <w:left w:val="single" w:color="000000" w:sz="4" w:space="0"/>
              <w:bottom w:val="single" w:color="000000" w:sz="4" w:space="0"/>
              <w:right w:val="single" w:color="000000" w:sz="4" w:space="0"/>
            </w:tcBorders>
            <w:vAlign w:val="center"/>
          </w:tcPr>
          <w:p w14:paraId="4E96C4E4">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产出数量</w:t>
            </w:r>
          </w:p>
        </w:tc>
        <w:tc>
          <w:tcPr>
            <w:tcW w:w="1869" w:type="pct"/>
            <w:tcBorders>
              <w:top w:val="single" w:color="000000" w:sz="4" w:space="0"/>
              <w:left w:val="single" w:color="000000" w:sz="4" w:space="0"/>
              <w:bottom w:val="single" w:color="000000" w:sz="4" w:space="0"/>
              <w:right w:val="single" w:color="000000" w:sz="4" w:space="0"/>
            </w:tcBorders>
            <w:noWrap/>
            <w:vAlign w:val="center"/>
          </w:tcPr>
          <w:p w14:paraId="090C47A8">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建设智能体数量</w:t>
            </w:r>
          </w:p>
        </w:tc>
        <w:tc>
          <w:tcPr>
            <w:tcW w:w="1346" w:type="pct"/>
            <w:tcBorders>
              <w:top w:val="single" w:color="000000" w:sz="4" w:space="0"/>
              <w:left w:val="single" w:color="000000" w:sz="4" w:space="0"/>
              <w:bottom w:val="single" w:color="000000" w:sz="4" w:space="0"/>
              <w:right w:val="single" w:color="000000" w:sz="4" w:space="0"/>
            </w:tcBorders>
            <w:vAlign w:val="center"/>
          </w:tcPr>
          <w:p w14:paraId="3725AFEE">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≥15个</w:t>
            </w:r>
          </w:p>
        </w:tc>
      </w:tr>
      <w:tr w14:paraId="3A2CB10E">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5C3F977E">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0EA3A11B">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bottom"/>
          </w:tcPr>
          <w:p w14:paraId="3668449A">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建设三维模型数量</w:t>
            </w:r>
          </w:p>
        </w:tc>
        <w:tc>
          <w:tcPr>
            <w:tcW w:w="1346" w:type="pct"/>
            <w:tcBorders>
              <w:top w:val="single" w:color="000000" w:sz="4" w:space="0"/>
              <w:left w:val="single" w:color="000000" w:sz="4" w:space="0"/>
              <w:bottom w:val="single" w:color="000000" w:sz="4" w:space="0"/>
              <w:right w:val="single" w:color="000000" w:sz="4" w:space="0"/>
            </w:tcBorders>
            <w:vAlign w:val="center"/>
          </w:tcPr>
          <w:p w14:paraId="591C9FD6">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≥3个</w:t>
            </w:r>
          </w:p>
        </w:tc>
      </w:tr>
      <w:tr w14:paraId="5C63A0DB">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5F913788">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610C4741">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noWrap/>
            <w:vAlign w:val="center"/>
          </w:tcPr>
          <w:p w14:paraId="2F166334">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建设知识库数量</w:t>
            </w:r>
          </w:p>
        </w:tc>
        <w:tc>
          <w:tcPr>
            <w:tcW w:w="1346" w:type="pct"/>
            <w:tcBorders>
              <w:top w:val="single" w:color="000000" w:sz="4" w:space="0"/>
              <w:left w:val="single" w:color="000000" w:sz="4" w:space="0"/>
              <w:bottom w:val="single" w:color="000000" w:sz="4" w:space="0"/>
              <w:right w:val="single" w:color="000000" w:sz="4" w:space="0"/>
            </w:tcBorders>
            <w:vAlign w:val="center"/>
          </w:tcPr>
          <w:p w14:paraId="08E88C86">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≥6个</w:t>
            </w:r>
          </w:p>
        </w:tc>
      </w:tr>
      <w:tr w14:paraId="4A0B380B">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751EE9E4">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3DFFC517">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bottom"/>
          </w:tcPr>
          <w:p w14:paraId="1838E78A">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建设算法模型数量</w:t>
            </w:r>
          </w:p>
        </w:tc>
        <w:tc>
          <w:tcPr>
            <w:tcW w:w="1346" w:type="pct"/>
            <w:tcBorders>
              <w:top w:val="single" w:color="000000" w:sz="4" w:space="0"/>
              <w:left w:val="single" w:color="000000" w:sz="4" w:space="0"/>
              <w:bottom w:val="single" w:color="000000" w:sz="4" w:space="0"/>
              <w:right w:val="single" w:color="000000" w:sz="4" w:space="0"/>
            </w:tcBorders>
            <w:vAlign w:val="center"/>
          </w:tcPr>
          <w:p w14:paraId="5A1746FD">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≥20个</w:t>
            </w:r>
          </w:p>
        </w:tc>
      </w:tr>
      <w:tr w14:paraId="744FF7E5">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2B71D98F">
            <w:pPr>
              <w:pStyle w:val="48"/>
              <w:ind w:firstLine="361"/>
              <w:rPr>
                <w:rFonts w:hint="eastAsia" w:asciiTheme="minorEastAsia" w:hAnsiTheme="minorEastAsia" w:eastAsiaTheme="minorEastAsia" w:cstheme="minorEastAsia"/>
              </w:rPr>
            </w:pPr>
          </w:p>
        </w:tc>
        <w:tc>
          <w:tcPr>
            <w:tcW w:w="1118" w:type="pct"/>
            <w:vMerge w:val="restart"/>
            <w:tcBorders>
              <w:top w:val="single" w:color="000000" w:sz="4" w:space="0"/>
              <w:left w:val="single" w:color="000000" w:sz="4" w:space="0"/>
              <w:bottom w:val="single" w:color="000000" w:sz="4" w:space="0"/>
              <w:right w:val="single" w:color="000000" w:sz="4" w:space="0"/>
            </w:tcBorders>
            <w:vAlign w:val="center"/>
          </w:tcPr>
          <w:p w14:paraId="49B41B70">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产出质量</w:t>
            </w:r>
          </w:p>
        </w:tc>
        <w:tc>
          <w:tcPr>
            <w:tcW w:w="1869" w:type="pct"/>
            <w:tcBorders>
              <w:top w:val="single" w:color="000000" w:sz="4" w:space="0"/>
              <w:left w:val="single" w:color="000000" w:sz="4" w:space="0"/>
              <w:bottom w:val="single" w:color="000000" w:sz="4" w:space="0"/>
              <w:right w:val="single" w:color="000000" w:sz="4" w:space="0"/>
            </w:tcBorders>
            <w:vAlign w:val="bottom"/>
          </w:tcPr>
          <w:p w14:paraId="1D8D8563">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简单查询平均响应时间</w:t>
            </w:r>
          </w:p>
        </w:tc>
        <w:tc>
          <w:tcPr>
            <w:tcW w:w="1346" w:type="pct"/>
            <w:tcBorders>
              <w:top w:val="single" w:color="000000" w:sz="4" w:space="0"/>
              <w:left w:val="single" w:color="000000" w:sz="4" w:space="0"/>
              <w:bottom w:val="single" w:color="000000" w:sz="4" w:space="0"/>
              <w:right w:val="single" w:color="000000" w:sz="4" w:space="0"/>
            </w:tcBorders>
            <w:vAlign w:val="center"/>
          </w:tcPr>
          <w:p w14:paraId="5942D771">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≤3秒</w:t>
            </w:r>
          </w:p>
        </w:tc>
      </w:tr>
      <w:tr w14:paraId="05997762">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3AE5F0F8">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225A3FC6">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center"/>
          </w:tcPr>
          <w:p w14:paraId="7B4D550F">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地理信息查询响应时间</w:t>
            </w:r>
          </w:p>
        </w:tc>
        <w:tc>
          <w:tcPr>
            <w:tcW w:w="1346" w:type="pct"/>
            <w:tcBorders>
              <w:top w:val="single" w:color="000000" w:sz="4" w:space="0"/>
              <w:left w:val="single" w:color="000000" w:sz="4" w:space="0"/>
              <w:bottom w:val="single" w:color="000000" w:sz="4" w:space="0"/>
              <w:right w:val="single" w:color="000000" w:sz="4" w:space="0"/>
            </w:tcBorders>
            <w:vAlign w:val="center"/>
          </w:tcPr>
          <w:p w14:paraId="60C52140">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≤5秒</w:t>
            </w:r>
          </w:p>
        </w:tc>
      </w:tr>
      <w:tr w14:paraId="63B0AD97">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6B85A9FD">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01D74261">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center"/>
          </w:tcPr>
          <w:p w14:paraId="3A1A3345">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设备状态异常响应时间</w:t>
            </w:r>
          </w:p>
        </w:tc>
        <w:tc>
          <w:tcPr>
            <w:tcW w:w="1346" w:type="pct"/>
            <w:tcBorders>
              <w:top w:val="single" w:color="000000" w:sz="4" w:space="0"/>
              <w:left w:val="single" w:color="000000" w:sz="4" w:space="0"/>
              <w:bottom w:val="single" w:color="000000" w:sz="4" w:space="0"/>
              <w:right w:val="single" w:color="000000" w:sz="4" w:space="0"/>
            </w:tcBorders>
            <w:vAlign w:val="center"/>
          </w:tcPr>
          <w:p w14:paraId="1A2DA21B">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≤10分钟</w:t>
            </w:r>
          </w:p>
        </w:tc>
      </w:tr>
      <w:tr w14:paraId="354A4D3C">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0C005426">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03A8E490">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center"/>
          </w:tcPr>
          <w:p w14:paraId="015528FB">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支持同时在线人数</w:t>
            </w:r>
          </w:p>
        </w:tc>
        <w:tc>
          <w:tcPr>
            <w:tcW w:w="1346" w:type="pct"/>
            <w:tcBorders>
              <w:top w:val="single" w:color="000000" w:sz="4" w:space="0"/>
              <w:left w:val="single" w:color="000000" w:sz="4" w:space="0"/>
              <w:bottom w:val="single" w:color="000000" w:sz="4" w:space="0"/>
              <w:right w:val="single" w:color="000000" w:sz="4" w:space="0"/>
            </w:tcBorders>
            <w:vAlign w:val="center"/>
          </w:tcPr>
          <w:p w14:paraId="3B11CF4B">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≥200人</w:t>
            </w:r>
          </w:p>
        </w:tc>
      </w:tr>
      <w:tr w14:paraId="0966650D">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7E81C5B1">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538A21C4">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center"/>
          </w:tcPr>
          <w:p w14:paraId="753E4FD1">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支持并发用户数</w:t>
            </w:r>
          </w:p>
        </w:tc>
        <w:tc>
          <w:tcPr>
            <w:tcW w:w="1346" w:type="pct"/>
            <w:tcBorders>
              <w:top w:val="single" w:color="000000" w:sz="4" w:space="0"/>
              <w:left w:val="single" w:color="000000" w:sz="4" w:space="0"/>
              <w:bottom w:val="single" w:color="000000" w:sz="4" w:space="0"/>
              <w:right w:val="single" w:color="000000" w:sz="4" w:space="0"/>
            </w:tcBorders>
            <w:vAlign w:val="center"/>
          </w:tcPr>
          <w:p w14:paraId="7288E92D">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≥6个</w:t>
            </w:r>
          </w:p>
        </w:tc>
      </w:tr>
      <w:tr w14:paraId="67B89BE8">
        <w:tblPrEx>
          <w:tblCellMar>
            <w:top w:w="0" w:type="dxa"/>
            <w:left w:w="108" w:type="dxa"/>
            <w:bottom w:w="0" w:type="dxa"/>
            <w:right w:w="108" w:type="dxa"/>
          </w:tblCellMar>
        </w:tblPrEx>
        <w:trPr>
          <w:trHeight w:val="42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383F6762">
            <w:pPr>
              <w:pStyle w:val="48"/>
              <w:ind w:firstLine="361"/>
              <w:rPr>
                <w:rFonts w:hint="eastAsia" w:asciiTheme="minorEastAsia" w:hAnsiTheme="minorEastAsia" w:eastAsiaTheme="minorEastAsia" w:cstheme="minorEastAsia"/>
              </w:rPr>
            </w:pPr>
          </w:p>
        </w:tc>
        <w:tc>
          <w:tcPr>
            <w:tcW w:w="1118" w:type="pct"/>
            <w:vMerge w:val="restart"/>
            <w:tcBorders>
              <w:top w:val="single" w:color="000000" w:sz="4" w:space="0"/>
              <w:left w:val="single" w:color="000000" w:sz="4" w:space="0"/>
              <w:bottom w:val="single" w:color="000000" w:sz="4" w:space="0"/>
              <w:right w:val="single" w:color="000000" w:sz="4" w:space="0"/>
            </w:tcBorders>
            <w:vAlign w:val="center"/>
          </w:tcPr>
          <w:p w14:paraId="736DF543">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社会效益</w:t>
            </w:r>
          </w:p>
        </w:tc>
        <w:tc>
          <w:tcPr>
            <w:tcW w:w="1869" w:type="pct"/>
            <w:tcBorders>
              <w:top w:val="single" w:color="000000" w:sz="4" w:space="0"/>
              <w:left w:val="single" w:color="000000" w:sz="4" w:space="0"/>
              <w:bottom w:val="single" w:color="000000" w:sz="4" w:space="0"/>
              <w:right w:val="single" w:color="000000" w:sz="4" w:space="0"/>
            </w:tcBorders>
            <w:vAlign w:val="center"/>
          </w:tcPr>
          <w:p w14:paraId="5C67034C">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空气质量预报准确率</w:t>
            </w:r>
          </w:p>
        </w:tc>
        <w:tc>
          <w:tcPr>
            <w:tcW w:w="1346" w:type="pct"/>
            <w:tcBorders>
              <w:top w:val="single" w:color="000000" w:sz="4" w:space="0"/>
              <w:left w:val="single" w:color="000000" w:sz="4" w:space="0"/>
              <w:bottom w:val="single" w:color="000000" w:sz="4" w:space="0"/>
              <w:right w:val="single" w:color="000000" w:sz="4" w:space="0"/>
            </w:tcBorders>
            <w:vAlign w:val="bottom"/>
          </w:tcPr>
          <w:p w14:paraId="76F67377">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≥85%</w:t>
            </w:r>
          </w:p>
        </w:tc>
      </w:tr>
      <w:tr w14:paraId="7DCF574A">
        <w:tblPrEx>
          <w:tblCellMar>
            <w:top w:w="0" w:type="dxa"/>
            <w:left w:w="108" w:type="dxa"/>
            <w:bottom w:w="0" w:type="dxa"/>
            <w:right w:w="108" w:type="dxa"/>
          </w:tblCellMar>
        </w:tblPrEx>
        <w:trPr>
          <w:trHeight w:val="42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304200E7">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6F296DCA">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center"/>
          </w:tcPr>
          <w:p w14:paraId="2365D05A">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空气质量预报更新频率</w:t>
            </w:r>
          </w:p>
        </w:tc>
        <w:tc>
          <w:tcPr>
            <w:tcW w:w="1346" w:type="pct"/>
            <w:tcBorders>
              <w:top w:val="single" w:color="000000" w:sz="4" w:space="0"/>
              <w:left w:val="single" w:color="000000" w:sz="4" w:space="0"/>
              <w:bottom w:val="single" w:color="000000" w:sz="4" w:space="0"/>
              <w:right w:val="single" w:color="000000" w:sz="4" w:space="0"/>
            </w:tcBorders>
            <w:vAlign w:val="center"/>
          </w:tcPr>
          <w:p w14:paraId="13F6CAD0">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≥4次/天</w:t>
            </w:r>
          </w:p>
        </w:tc>
      </w:tr>
      <w:tr w14:paraId="4ABA72AE">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1654A7E6">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48B9D954">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center"/>
          </w:tcPr>
          <w:p w14:paraId="1CD33CE4">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环境应急监测预案生成时间</w:t>
            </w:r>
          </w:p>
        </w:tc>
        <w:tc>
          <w:tcPr>
            <w:tcW w:w="1346" w:type="pct"/>
            <w:tcBorders>
              <w:top w:val="single" w:color="000000" w:sz="4" w:space="0"/>
              <w:left w:val="single" w:color="000000" w:sz="4" w:space="0"/>
              <w:bottom w:val="single" w:color="000000" w:sz="4" w:space="0"/>
              <w:right w:val="single" w:color="000000" w:sz="4" w:space="0"/>
            </w:tcBorders>
            <w:vAlign w:val="center"/>
          </w:tcPr>
          <w:p w14:paraId="6ED3B457">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≤1小时</w:t>
            </w:r>
          </w:p>
        </w:tc>
      </w:tr>
      <w:tr w14:paraId="64CD727D">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6DCE4776">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1D987A4C">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bottom"/>
          </w:tcPr>
          <w:p w14:paraId="7D9875F8">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时空分析精度</w:t>
            </w:r>
          </w:p>
        </w:tc>
        <w:tc>
          <w:tcPr>
            <w:tcW w:w="1346" w:type="pct"/>
            <w:tcBorders>
              <w:top w:val="single" w:color="000000" w:sz="4" w:space="0"/>
              <w:left w:val="single" w:color="000000" w:sz="4" w:space="0"/>
              <w:bottom w:val="single" w:color="000000" w:sz="4" w:space="0"/>
              <w:right w:val="single" w:color="000000" w:sz="4" w:space="0"/>
            </w:tcBorders>
            <w:vAlign w:val="bottom"/>
          </w:tcPr>
          <w:p w14:paraId="5CF2AC6B">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≤3000米网格</w:t>
            </w:r>
          </w:p>
        </w:tc>
      </w:tr>
      <w:tr w14:paraId="40334ACC">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38AE1BA6">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0A677AE9">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bottom"/>
          </w:tcPr>
          <w:p w14:paraId="3EE2FAB0">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平均每个模型每月使用次数</w:t>
            </w:r>
          </w:p>
        </w:tc>
        <w:tc>
          <w:tcPr>
            <w:tcW w:w="1346" w:type="pct"/>
            <w:tcBorders>
              <w:top w:val="single" w:color="000000" w:sz="4" w:space="0"/>
              <w:left w:val="single" w:color="000000" w:sz="4" w:space="0"/>
              <w:bottom w:val="single" w:color="000000" w:sz="4" w:space="0"/>
              <w:right w:val="single" w:color="000000" w:sz="4" w:space="0"/>
            </w:tcBorders>
            <w:vAlign w:val="bottom"/>
          </w:tcPr>
          <w:p w14:paraId="24B7F4B3">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 30次/月</w:t>
            </w:r>
          </w:p>
        </w:tc>
      </w:tr>
      <w:tr w14:paraId="68C9AF1B">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0AC950CD">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682D7008">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bottom"/>
          </w:tcPr>
          <w:p w14:paraId="322FDF83">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监测任务每月跨部门协同调度次数</w:t>
            </w:r>
          </w:p>
        </w:tc>
        <w:tc>
          <w:tcPr>
            <w:tcW w:w="1346" w:type="pct"/>
            <w:tcBorders>
              <w:top w:val="single" w:color="000000" w:sz="4" w:space="0"/>
              <w:left w:val="single" w:color="000000" w:sz="4" w:space="0"/>
              <w:bottom w:val="single" w:color="000000" w:sz="4" w:space="0"/>
              <w:right w:val="single" w:color="000000" w:sz="4" w:space="0"/>
            </w:tcBorders>
            <w:vAlign w:val="center"/>
          </w:tcPr>
          <w:p w14:paraId="719E810C">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 5 次/月</w:t>
            </w:r>
          </w:p>
        </w:tc>
      </w:tr>
      <w:tr w14:paraId="3CA3DDC3">
        <w:tblPrEx>
          <w:tblCellMar>
            <w:top w:w="0" w:type="dxa"/>
            <w:left w:w="108" w:type="dxa"/>
            <w:bottom w:w="0" w:type="dxa"/>
            <w:right w:w="108" w:type="dxa"/>
          </w:tblCellMar>
        </w:tblPrEx>
        <w:trPr>
          <w:trHeight w:val="300" w:hRule="atLeast"/>
        </w:trPr>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1C4F817E">
            <w:pPr>
              <w:pStyle w:val="48"/>
              <w:ind w:firstLine="361"/>
              <w:rPr>
                <w:rFonts w:hint="eastAsia" w:asciiTheme="minorEastAsia" w:hAnsiTheme="minorEastAsia" w:eastAsiaTheme="minorEastAsia" w:cstheme="minorEastAsia"/>
              </w:rPr>
            </w:pPr>
          </w:p>
        </w:tc>
        <w:tc>
          <w:tcPr>
            <w:tcW w:w="1118" w:type="pct"/>
            <w:vMerge w:val="continue"/>
            <w:tcBorders>
              <w:top w:val="single" w:color="000000" w:sz="4" w:space="0"/>
              <w:left w:val="single" w:color="000000" w:sz="4" w:space="0"/>
              <w:bottom w:val="single" w:color="000000" w:sz="4" w:space="0"/>
              <w:right w:val="single" w:color="000000" w:sz="4" w:space="0"/>
            </w:tcBorders>
            <w:vAlign w:val="center"/>
          </w:tcPr>
          <w:p w14:paraId="31277AB8">
            <w:pPr>
              <w:pStyle w:val="48"/>
              <w:rPr>
                <w:rFonts w:hint="eastAsia" w:asciiTheme="minorEastAsia" w:hAnsiTheme="minorEastAsia" w:eastAsiaTheme="minorEastAsia" w:cstheme="minorEastAsia"/>
              </w:rPr>
            </w:pPr>
          </w:p>
        </w:tc>
        <w:tc>
          <w:tcPr>
            <w:tcW w:w="1869" w:type="pct"/>
            <w:tcBorders>
              <w:top w:val="single" w:color="000000" w:sz="4" w:space="0"/>
              <w:left w:val="single" w:color="000000" w:sz="4" w:space="0"/>
              <w:bottom w:val="single" w:color="000000" w:sz="4" w:space="0"/>
              <w:right w:val="single" w:color="000000" w:sz="4" w:space="0"/>
            </w:tcBorders>
            <w:vAlign w:val="bottom"/>
          </w:tcPr>
          <w:p w14:paraId="529BA44F">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监测任务调度准确率</w:t>
            </w:r>
          </w:p>
        </w:tc>
        <w:tc>
          <w:tcPr>
            <w:tcW w:w="1346" w:type="pct"/>
            <w:tcBorders>
              <w:top w:val="single" w:color="000000" w:sz="4" w:space="0"/>
              <w:left w:val="single" w:color="000000" w:sz="4" w:space="0"/>
              <w:bottom w:val="single" w:color="000000" w:sz="4" w:space="0"/>
              <w:right w:val="single" w:color="000000" w:sz="4" w:space="0"/>
            </w:tcBorders>
            <w:vAlign w:val="bottom"/>
          </w:tcPr>
          <w:p w14:paraId="37FB3EC5">
            <w:pPr>
              <w:pStyle w:val="48"/>
              <w:rPr>
                <w:rFonts w:hint="eastAsia" w:asciiTheme="minorEastAsia" w:hAnsiTheme="minorEastAsia" w:eastAsiaTheme="minorEastAsia" w:cstheme="minorEastAsia"/>
              </w:rPr>
            </w:pPr>
            <w:r>
              <w:rPr>
                <w:rFonts w:hint="eastAsia" w:asciiTheme="minorEastAsia" w:hAnsiTheme="minorEastAsia" w:eastAsiaTheme="minorEastAsia" w:cstheme="minorEastAsia"/>
              </w:rPr>
              <w:t>≥90%</w:t>
            </w:r>
          </w:p>
        </w:tc>
      </w:tr>
    </w:tbl>
    <w:p w14:paraId="757F65A4">
      <w:pPr>
        <w:rPr>
          <w:rFonts w:hint="eastAsia"/>
        </w:rPr>
      </w:pPr>
      <w:r>
        <w:rPr>
          <w:rFonts w:hint="eastAsia"/>
        </w:rPr>
        <w:t>本项目成效考核包括通用指标和业务指标：</w:t>
      </w:r>
    </w:p>
    <w:p w14:paraId="336B42AF">
      <w:pPr>
        <w:rPr>
          <w:rFonts w:hint="eastAsia"/>
        </w:rPr>
      </w:pPr>
    </w:p>
    <w:p w14:paraId="34EA0206">
      <w:pPr>
        <w:pStyle w:val="2"/>
        <w:ind w:firstLine="643"/>
        <w:rPr>
          <w:rFonts w:hint="eastAsia"/>
        </w:rPr>
      </w:pPr>
      <w:bookmarkStart w:id="12" w:name="_Toc47533288"/>
      <w:bookmarkEnd w:id="12"/>
      <w:bookmarkStart w:id="13" w:name="_Toc47537166"/>
      <w:bookmarkEnd w:id="13"/>
      <w:bookmarkStart w:id="14" w:name="_Toc47532923"/>
      <w:bookmarkEnd w:id="14"/>
      <w:bookmarkStart w:id="15" w:name="_Toc47536304"/>
      <w:bookmarkEnd w:id="15"/>
      <w:bookmarkStart w:id="16" w:name="_Toc47536676"/>
      <w:bookmarkEnd w:id="16"/>
      <w:bookmarkStart w:id="17" w:name="_Toc47539102"/>
      <w:bookmarkEnd w:id="17"/>
      <w:r>
        <w:rPr>
          <w:rFonts w:hint="eastAsia"/>
        </w:rPr>
        <w:t>项目建设内容</w:t>
      </w:r>
    </w:p>
    <w:p w14:paraId="105C80D7">
      <w:pPr>
        <w:pStyle w:val="3"/>
        <w:ind w:firstLine="602"/>
        <w:rPr>
          <w:rFonts w:ascii="Times New Roman" w:hAnsi="Times New Roman"/>
        </w:rPr>
      </w:pPr>
      <w:r>
        <w:rPr>
          <w:rFonts w:hint="eastAsia" w:ascii="Times New Roman" w:hAnsi="Times New Roman"/>
        </w:rPr>
        <w:t>项目建设内容概要</w:t>
      </w:r>
    </w:p>
    <w:p w14:paraId="42BDBEFF">
      <w:pPr>
        <w:rPr>
          <w:rFonts w:ascii="Times New Roman" w:hAnsi="Times New Roman"/>
          <w:color w:val="000000" w:themeColor="text1"/>
          <w:kern w:val="0"/>
          <w14:textFill>
            <w14:solidFill>
              <w14:schemeClr w14:val="tx1"/>
            </w14:solidFill>
          </w14:textFill>
        </w:rPr>
      </w:pPr>
      <w:bookmarkStart w:id="18" w:name="OLE_LINK1"/>
      <w:r>
        <w:rPr>
          <w:rFonts w:hint="eastAsia" w:ascii="Times New Roman" w:hAnsi="Times New Roman"/>
          <w:color w:val="000000" w:themeColor="text1"/>
          <w:kern w:val="0"/>
          <w14:textFill>
            <w14:solidFill>
              <w14:schemeClr w14:val="tx1"/>
            </w14:solidFill>
          </w14:textFill>
        </w:rPr>
        <w:t>本项目按照现代化生态环境监测体系和国家数智化转型要求，建设一套集“感知—管理—分析—决策”于一体的现代化生态环境监测智能分析子系统。建设内容涵盖生态环境遥感监测、智能化站房管理、环境监测数据智能质控、环境监测分析智脑，以及污染源智慧监管、监测机构异常分析、环境污染溯源分析、应急监测决策支持分析、环境监测任务管理体系等9个核心模块，并部署环境监测智能分析大模型、空气质量预报大模型、大气污染溯源大模型、监测机构分析大模型、应急监测决策分析大模型和污染源智能监管大模型等6个智能分析大模型。系统整体架构需满足如下要求：</w:t>
      </w:r>
    </w:p>
    <w:p w14:paraId="045525EA">
      <w:pPr>
        <w:pStyle w:val="47"/>
        <w:numPr>
          <w:ilvl w:val="0"/>
          <w:numId w:val="3"/>
        </w:numPr>
        <w:ind w:firstLineChars="0"/>
        <w:rPr>
          <w:rFonts w:ascii="Times New Roman" w:hAnsi="Times New Roman"/>
          <w:color w:val="000000" w:themeColor="text1"/>
          <w:kern w:val="0"/>
          <w14:textFill>
            <w14:solidFill>
              <w14:schemeClr w14:val="tx1"/>
            </w14:solidFill>
          </w14:textFill>
        </w:rPr>
      </w:pPr>
      <w:r>
        <w:rPr>
          <w:rFonts w:hint="eastAsia" w:ascii="Times New Roman" w:hAnsi="Times New Roman"/>
          <w:color w:val="000000" w:themeColor="text1"/>
          <w:kern w:val="0"/>
          <w14:textFill>
            <w14:solidFill>
              <w14:schemeClr w14:val="tx1"/>
            </w14:solidFill>
          </w14:textFill>
        </w:rPr>
        <w:t>基础层：采用政务云服务器、存储设备、网络设备、安全设备，提供计算、存储、网络资源和安全服务支撑，满足统一基础设施、统一网络环境管理要求。</w:t>
      </w:r>
    </w:p>
    <w:p w14:paraId="519C3D5A">
      <w:pPr>
        <w:pStyle w:val="47"/>
        <w:numPr>
          <w:ilvl w:val="0"/>
          <w:numId w:val="3"/>
        </w:numPr>
        <w:ind w:firstLineChars="0"/>
        <w:rPr>
          <w:rFonts w:ascii="Times New Roman" w:hAnsi="Times New Roman"/>
          <w:color w:val="000000" w:themeColor="text1"/>
          <w:kern w:val="0"/>
          <w14:textFill>
            <w14:solidFill>
              <w14:schemeClr w14:val="tx1"/>
            </w14:solidFill>
          </w14:textFill>
        </w:rPr>
      </w:pPr>
      <w:r>
        <w:rPr>
          <w:rFonts w:hint="eastAsia" w:ascii="Times New Roman" w:hAnsi="Times New Roman"/>
          <w:color w:val="000000" w:themeColor="text1"/>
          <w:kern w:val="0"/>
          <w14:textFill>
            <w14:solidFill>
              <w14:schemeClr w14:val="tx1"/>
            </w14:solidFill>
          </w14:textFill>
        </w:rPr>
        <w:t>数据层：需要建立支撑海量监测数据的存储和计算分析能力，包括结构化和非结构化数据，同时需要打通和现有统一采集平台、视频中台及已有业务系统的数据接口，实现数据的归集、治理和交换，完成数据资源的编目和上链共享。</w:t>
      </w:r>
    </w:p>
    <w:p w14:paraId="71EA7A23">
      <w:pPr>
        <w:pStyle w:val="47"/>
        <w:numPr>
          <w:ilvl w:val="0"/>
          <w:numId w:val="3"/>
        </w:numPr>
        <w:ind w:firstLineChars="0"/>
        <w:rPr>
          <w:rFonts w:ascii="Times New Roman" w:hAnsi="Times New Roman"/>
          <w:color w:val="000000" w:themeColor="text1"/>
          <w:kern w:val="0"/>
          <w14:textFill>
            <w14:solidFill>
              <w14:schemeClr w14:val="tx1"/>
            </w14:solidFill>
          </w14:textFill>
        </w:rPr>
      </w:pPr>
      <w:r>
        <w:rPr>
          <w:rFonts w:hint="eastAsia" w:ascii="Times New Roman" w:hAnsi="Times New Roman"/>
          <w:color w:val="000000" w:themeColor="text1"/>
          <w:kern w:val="0"/>
          <w14:textFill>
            <w14:solidFill>
              <w14:schemeClr w14:val="tx1"/>
            </w14:solidFill>
          </w14:textFill>
        </w:rPr>
        <w:t>平台层：按照市环境监测中心的整体技术框架，以及市大数据中心提供的</w:t>
      </w:r>
      <w:r>
        <w:rPr>
          <w:rFonts w:ascii="Times New Roman" w:hAnsi="Times New Roman"/>
          <w:color w:val="000000" w:themeColor="text1"/>
          <w:kern w:val="0"/>
          <w14:textFill>
            <w14:solidFill>
              <w14:schemeClr w14:val="tx1"/>
            </w14:solidFill>
          </w14:textFill>
        </w:rPr>
        <w:t>PAAS、SAAS服务资源，实现用户管理、地图服务、安全管理等共性服务，建立支撑本项目大模型应用场景的基础支撑平台。</w:t>
      </w:r>
    </w:p>
    <w:p w14:paraId="4B5C85C1">
      <w:pPr>
        <w:pStyle w:val="47"/>
        <w:numPr>
          <w:ilvl w:val="0"/>
          <w:numId w:val="3"/>
        </w:numPr>
        <w:ind w:firstLineChars="0"/>
        <w:rPr>
          <w:rFonts w:ascii="Times New Roman" w:hAnsi="Times New Roman"/>
          <w:color w:val="000000" w:themeColor="text1"/>
          <w:kern w:val="0"/>
          <w14:textFill>
            <w14:solidFill>
              <w14:schemeClr w14:val="tx1"/>
            </w14:solidFill>
          </w14:textFill>
        </w:rPr>
      </w:pPr>
      <w:r>
        <w:rPr>
          <w:rFonts w:hint="eastAsia" w:ascii="Times New Roman" w:hAnsi="Times New Roman"/>
          <w:color w:val="000000" w:themeColor="text1"/>
          <w:kern w:val="0"/>
          <w14:textFill>
            <w14:solidFill>
              <w14:schemeClr w14:val="tx1"/>
            </w14:solidFill>
          </w14:textFill>
        </w:rPr>
        <w:t>应用层：按照市环境监测中心统一应用门户接入和管理要求，部署生态环境遥感监测、智能化站房管理、环境监测数据智能质控、环境监测分析智脑</w:t>
      </w:r>
      <w:r>
        <w:rPr>
          <w:rFonts w:ascii="Times New Roman" w:hAnsi="Times New Roman"/>
          <w:color w:val="000000" w:themeColor="text1"/>
          <w:kern w:val="0"/>
          <w14:textFill>
            <w14:solidFill>
              <w14:schemeClr w14:val="tx1"/>
            </w14:solidFill>
          </w14:textFill>
        </w:rPr>
        <w:t>、污染源智慧监管、监测机构异常分析、环境污染溯源分析、应急监测决策分析、环境监测任务管理等具体应用模块。</w:t>
      </w:r>
    </w:p>
    <w:p w14:paraId="47C777B8">
      <w:pPr>
        <w:pStyle w:val="47"/>
        <w:numPr>
          <w:ilvl w:val="0"/>
          <w:numId w:val="3"/>
        </w:numPr>
        <w:ind w:firstLineChars="0"/>
        <w:rPr>
          <w:rFonts w:ascii="Times New Roman" w:hAnsi="Times New Roman"/>
          <w:color w:val="000000" w:themeColor="text1"/>
          <w:kern w:val="0"/>
          <w14:textFill>
            <w14:solidFill>
              <w14:schemeClr w14:val="tx1"/>
            </w14:solidFill>
          </w14:textFill>
        </w:rPr>
      </w:pPr>
      <w:r>
        <w:rPr>
          <w:rFonts w:hint="eastAsia" w:ascii="Times New Roman" w:hAnsi="Times New Roman"/>
          <w:color w:val="000000" w:themeColor="text1"/>
          <w:kern w:val="0"/>
          <w14:textFill>
            <w14:solidFill>
              <w14:schemeClr w14:val="tx1"/>
            </w14:solidFill>
          </w14:textFill>
        </w:rPr>
        <w:t>用户层：本系统的用户主要是面向市环境监测中心及各区监测站，需要支持各级用户，通过政务网、移动端（随申办政务云）访问系统。</w:t>
      </w:r>
    </w:p>
    <w:bookmarkEnd w:id="18"/>
    <w:p w14:paraId="4A48AFDA">
      <w:pPr>
        <w:pStyle w:val="4"/>
        <w:ind w:firstLine="562"/>
        <w:rPr>
          <w:rFonts w:ascii="Times New Roman" w:hAnsi="Times New Roman"/>
        </w:rPr>
      </w:pPr>
      <w:r>
        <w:rPr>
          <w:rFonts w:hint="eastAsia" w:ascii="Times New Roman" w:hAnsi="Times New Roman"/>
        </w:rPr>
        <w:t>生态环境遥感监测</w:t>
      </w:r>
    </w:p>
    <w:p w14:paraId="618F0826">
      <w:pPr>
        <w:rPr>
          <w:rFonts w:ascii="Times New Roman" w:hAnsi="Times New Roman"/>
        </w:rPr>
      </w:pPr>
      <w:r>
        <w:rPr>
          <w:rFonts w:hint="eastAsia" w:ascii="Times New Roman" w:hAnsi="Times New Roman"/>
        </w:rPr>
        <w:t>利用遥感、大数据、云计算等技术实现多源遥感数据接入与集成、标准化生产，部分数据源的采集和处理支持“无人值守”方式；在数据预处理的基础上在线、按需（任意自定义空间范围）进行水环境遥感监测、近海生态监测和自然生态遥感监测应用。系统是集数据收集、数据处理、遥感信息产品加工、多源数据管理与共享为一体业务化遥感监测应用系统，同时可根据需要整合集成其他相关模块。</w:t>
      </w:r>
    </w:p>
    <w:p w14:paraId="47387E5C">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多源遥感数据集成</w:t>
      </w:r>
    </w:p>
    <w:p w14:paraId="5D54601E">
      <w:pPr>
        <w:rPr>
          <w:rFonts w:ascii="Times New Roman" w:hAnsi="Times New Roman"/>
        </w:rPr>
      </w:pPr>
      <w:r>
        <w:rPr>
          <w:rFonts w:hint="eastAsia" w:ascii="Times New Roman" w:hAnsi="Times New Roman"/>
        </w:rPr>
        <w:t>多源遥感数据集成包含卫星遥感数据集成、无人机遥感数据集成、地基遥感数据集成三大模块，实现对天基、空基和地基等多源遥感数据的统一接入与集成管理。</w:t>
      </w:r>
    </w:p>
    <w:p w14:paraId="08F850CB">
      <w:pPr>
        <w:rPr>
          <w:rFonts w:ascii="Times New Roman" w:hAnsi="Times New Roman"/>
        </w:rPr>
      </w:pPr>
      <w:r>
        <w:rPr>
          <w:rFonts w:hint="eastAsia" w:ascii="Times New Roman" w:hAnsi="Times New Roman"/>
        </w:rPr>
        <w:t>卫星遥感数据采集模块可通过指定目录、外部FTP、云储存进行多途径接入卫星遥感数据，支持采用“无人值守”的方式，从固定位置或网站自动下载FY-3、MODIS等多系列卫星资料，支持按设定策略定时启动检索，检索到后自动下载，同步获取元数据，实现数据整理、标准产品生产及入库；</w:t>
      </w:r>
      <w:r>
        <w:rPr>
          <w:rFonts w:hint="eastAsia" w:ascii="Times New Roman" w:hAnsi="Times New Roman" w:cs="仿宋"/>
          <w:color w:val="111133"/>
          <w:spacing w:val="1"/>
          <w:kern w:val="0"/>
          <w:shd w:val="clear" w:color="auto" w:fill="FFFFFF"/>
          <w:lang w:bidi="ar"/>
        </w:rPr>
        <w:t>无人机遥感数据集成模块</w:t>
      </w:r>
      <w:r>
        <w:rPr>
          <w:rFonts w:hint="eastAsia" w:ascii="Times New Roman" w:hAnsi="Times New Roman"/>
        </w:rPr>
        <w:t>对接第三方无人机飞控系统，支持实时无人机状况浏览、数据传输与下载；地基遥感数据采集模块支持从走航车、无人船、塔机数据、自动监测站地基遥感平台上进行数据采集，提供离线、在线两种采集方式。</w:t>
      </w:r>
    </w:p>
    <w:p w14:paraId="394032D2">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遥感数据标准化生产</w:t>
      </w:r>
    </w:p>
    <w:p w14:paraId="6EEA692B">
      <w:pPr>
        <w:rPr>
          <w:rFonts w:ascii="Times New Roman" w:hAnsi="Times New Roman"/>
        </w:rPr>
      </w:pPr>
      <w:r>
        <w:rPr>
          <w:rFonts w:hint="eastAsia" w:ascii="Times New Roman" w:hAnsi="Times New Roman"/>
        </w:rPr>
        <w:t>遥感数据标准化生产适配多源遥感数据，提供数据产品标准化生产能力，包含数据质检、正射校正、几何校正、辐射定标与大气校正、图像镶嵌、图像裁剪、图像投影转换、图像重采样、云检测与去云、图像增强一系列功能；支持多光谱、高光谱、雷达、气象卫星数据的一键式标准化处理。</w:t>
      </w:r>
    </w:p>
    <w:p w14:paraId="31D19061">
      <w:pPr>
        <w:rPr>
          <w:rFonts w:ascii="Times New Roman" w:hAnsi="Times New Roman"/>
        </w:rPr>
      </w:pPr>
      <w:r>
        <w:rPr>
          <w:rFonts w:hint="eastAsia" w:ascii="Times New Roman" w:hAnsi="Times New Roman"/>
        </w:rPr>
        <w:t>数据质检模块支持设置选片策略，自动完成数据质量检查、选片工作；正射校正模块支持对卫星影像采用物理模型或有理函数模型进行正射校正；几何校正模块提供几何校正工具，生成符合地图投影或图形表达要求的遥感影像数据；辐射定标与大气校正模块支持对多光谱和高光谱图像文件进行大气校正，减少大气和光照因素对地物反射的影响，获得地物反射率的真实物理模型参数；图像镶嵌模块提供图像镶嵌工具，支持接边线自动生成、接边线羽化处理、直方图匹配匀色；图像裁剪模块提供图像裁剪工具，支持根据矢量、行政区域批量裁剪图像；图像投影转换模块提供投影转换工具，支持常见坐标系之间的转换；图像重采样模块提供图像重采样工具，支持输出用户指定分辨率的成果数据；云检测与去云处理模块提供云检测工具，支持自动检测影像中的云层信息，实现影像去云处理；图像增强处理模块提供图像增强工具，支持包括近红外、红色、绿色、蓝色四个波段图像进行真彩色合成、假彩色合成、植被增强处理；多光谱、高光谱、雷达、气象卫星数据的一键式处理模块分别针对多光谱、高光谱、雷达、气象卫星数据，构建不同的处理流程，实现数据的一键式处理。支持的卫星数据的类型需包含国内外主流卫星，包括高分系列、资源系列、环境系列、吉林一号系列、高景系列、哨兵系列、Landsat系列、Worldview系列、风云三号系列、MODIS、NPP、Himawari9等卫星数据。</w:t>
      </w:r>
    </w:p>
    <w:p w14:paraId="4F9CB985">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数据产品存储与管理</w:t>
      </w:r>
    </w:p>
    <w:p w14:paraId="4A860CD1">
      <w:pPr>
        <w:rPr>
          <w:rFonts w:ascii="Times New Roman" w:hAnsi="Times New Roman"/>
        </w:rPr>
      </w:pPr>
      <w:r>
        <w:rPr>
          <w:rFonts w:hint="eastAsia" w:ascii="Times New Roman" w:hAnsi="Times New Roman"/>
        </w:rPr>
        <w:t>数据产品存储与管理实现对采集、生产的各类卫星遥感数据、产品及文件的存储、管理、查新与统计分析，包括免切片服务、数据归档、数据管理、任务管理、模型管理、统计分析模块。</w:t>
      </w:r>
    </w:p>
    <w:p w14:paraId="13A67E2D">
      <w:pPr>
        <w:adjustRightInd w:val="0"/>
        <w:ind w:firstLine="364" w:firstLineChars="152"/>
        <w:rPr>
          <w:rFonts w:ascii="Times New Roman" w:hAnsi="Times New Roman"/>
        </w:rPr>
      </w:pPr>
      <w:r>
        <w:rPr>
          <w:rFonts w:hint="eastAsia" w:ascii="Times New Roman" w:hAnsi="Times New Roman"/>
        </w:rPr>
        <w:t>免切片服务支持基于Cloud Optimized GeoTIFF (COG)的影像快视技术实现免切片服务发布；数据归档模块提供遥感栅格文件及对应元数据归档功能，要求遥感栅格文件（非结构化数据）储存在文件储存系统中，对应的元数据信息（结构化数据）保存在数据库；数据管理模块支持对入库和归档的多源遥感数据进行管理，包括产品数据入库、检索、浏览、删除、服务发布功能；任务管理模块支持对任务列表、定时任务、手动任务的管理，提供任务列表展示、筛选、删除功能；模型管理模块提供对水质参数反演分析模型的管理工具；统计分析模块提供数据统计分析功能，对传感器类型、下载量、下载任务、分析任务、模型调用量、服务调用量等参数可通过柱状图、饼状图、表格、日历图图表的方式进行展示。</w:t>
      </w:r>
    </w:p>
    <w:p w14:paraId="75434C6D">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数据展示与共享</w:t>
      </w:r>
    </w:p>
    <w:p w14:paraId="31D7E7C3">
      <w:pPr>
        <w:rPr>
          <w:rFonts w:ascii="Times New Roman" w:hAnsi="Times New Roman"/>
        </w:rPr>
      </w:pPr>
      <w:r>
        <w:rPr>
          <w:rFonts w:hint="eastAsia" w:ascii="Times New Roman" w:hAnsi="Times New Roman"/>
        </w:rPr>
        <w:t>数据展示与共享</w:t>
      </w:r>
      <w:r>
        <w:rPr>
          <w:rFonts w:ascii="Times New Roman" w:hAnsi="Times New Roman"/>
        </w:rPr>
        <w:t>实现对原始影像数据、标准化产品、专题分析成果及监测站观测数据的一体化可视化呈现、在线交互分析与共享服务</w:t>
      </w:r>
      <w:r>
        <w:rPr>
          <w:rFonts w:hint="eastAsia" w:ascii="Times New Roman" w:hAnsi="Times New Roman"/>
        </w:rPr>
        <w:t>，包括数据展示、数据查询、交互分析、服务提供模块。</w:t>
      </w:r>
    </w:p>
    <w:p w14:paraId="42E2E88D">
      <w:pPr>
        <w:rPr>
          <w:rFonts w:ascii="Times New Roman" w:hAnsi="Times New Roman"/>
        </w:rPr>
      </w:pPr>
      <w:r>
        <w:rPr>
          <w:rFonts w:hint="eastAsia" w:ascii="Times New Roman" w:hAnsi="Times New Roman"/>
        </w:rPr>
        <w:t>数据展示模块支持在Web端以图层方式展示矢量、栅格及相关图片数据；数据查询模块支持依据空间、属性条件，实现各类数据的查询检索；交互分析模块支持在线业务交互功能，包括数据对比、多维度筛选、在线制图、在线报告；服务提供模块可提供标准服务接口，供业务系统调用成果数据，并提供详细的服务调用示例。</w:t>
      </w:r>
    </w:p>
    <w:p w14:paraId="1600325B">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水环境遥感监测</w:t>
      </w:r>
    </w:p>
    <w:p w14:paraId="20988B54">
      <w:pPr>
        <w:rPr>
          <w:rFonts w:ascii="Times New Roman" w:hAnsi="Times New Roman"/>
        </w:rPr>
      </w:pPr>
      <w:r>
        <w:rPr>
          <w:rFonts w:hint="eastAsia" w:ascii="Times New Roman" w:hAnsi="Times New Roman"/>
        </w:rPr>
        <w:t>水环境遥感监测模块支持利用无人机、卫星影像，结合无人船、自动监测站数据，反演河湖水质参数，包括叶绿素a、悬浮物浓度、有色可溶有机物CDOM、浊度、透明度、总磷、总氮、氨氮、溶解氧、化学需氧量。</w:t>
      </w:r>
    </w:p>
    <w:p w14:paraId="1725C6D2">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近海生态监测</w:t>
      </w:r>
    </w:p>
    <w:p w14:paraId="1F492DB3">
      <w:pPr>
        <w:rPr>
          <w:rFonts w:ascii="Times New Roman" w:hAnsi="Times New Roman"/>
        </w:rPr>
      </w:pPr>
      <w:r>
        <w:rPr>
          <w:rFonts w:hint="eastAsia" w:ascii="Times New Roman" w:hAnsi="Times New Roman"/>
        </w:rPr>
        <w:t>近海生态监测主要基于多源遥感数据，实现近海生态环境</w:t>
      </w:r>
      <w:r>
        <w:rPr>
          <w:rFonts w:ascii="Times New Roman" w:hAnsi="Times New Roman"/>
        </w:rPr>
        <w:t>的实时动态监管与风险预警</w:t>
      </w:r>
      <w:r>
        <w:rPr>
          <w:rFonts w:hint="eastAsia" w:ascii="Times New Roman" w:hAnsi="Times New Roman"/>
        </w:rPr>
        <w:t>，包含海洋水质参数反演、赤潮监测、海域垃圾监测、海岸线管理、海洋溢油监测、污染扩散模拟与风险预测模块。</w:t>
      </w:r>
    </w:p>
    <w:p w14:paraId="556AE379">
      <w:pPr>
        <w:rPr>
          <w:rFonts w:ascii="Times New Roman" w:hAnsi="Times New Roman"/>
        </w:rPr>
      </w:pPr>
      <w:r>
        <w:rPr>
          <w:rFonts w:hint="eastAsia" w:ascii="Times New Roman" w:hAnsi="Times New Roman"/>
        </w:rPr>
        <w:t>海洋水质参数反演模块提供基于卫星影像，快速获取近海域叶绿素a、泥沙含量、无机氮和活性磷酸盐的空间分布信息的能力；赤潮监测模块支持识别海面赤潮分布面积、发生时间，通过多时相监测结果动态展示赤潮发展动态；海域垃圾模块可快速识别海域垃圾并标识位置；海岸线管理模块支持识别和提取海岸线；支持利用光学和雷达影像识别和提取海岸线信息；海洋溢油监测模块提供快速提取溢油信息的能力，展示发生位置、发生范围；污染扩散模拟与风险预测模块支持预测溢油在海面的漂移扩散轨迹和物理化学性质变化。</w:t>
      </w:r>
    </w:p>
    <w:p w14:paraId="00A582AF">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自然生态遥感监测</w:t>
      </w:r>
    </w:p>
    <w:p w14:paraId="6893325D">
      <w:pPr>
        <w:rPr>
          <w:rFonts w:ascii="Times New Roman" w:hAnsi="Times New Roman"/>
        </w:rPr>
      </w:pPr>
      <w:r>
        <w:rPr>
          <w:rFonts w:hint="eastAsia" w:ascii="Times New Roman" w:hAnsi="Times New Roman"/>
        </w:rPr>
        <w:t>自然生态遥感监测基于多源遥感数据，</w:t>
      </w:r>
      <w:r>
        <w:rPr>
          <w:rFonts w:ascii="Times New Roman" w:hAnsi="Times New Roman"/>
        </w:rPr>
        <w:t>实现城市生态环境的</w:t>
      </w:r>
      <w:r>
        <w:rPr>
          <w:rFonts w:hint="eastAsia" w:ascii="Times New Roman" w:hAnsi="Times New Roman"/>
        </w:rPr>
        <w:t>精细化</w:t>
      </w:r>
      <w:r>
        <w:rPr>
          <w:rFonts w:ascii="Times New Roman" w:hAnsi="Times New Roman"/>
        </w:rPr>
        <w:t>遥感监测与评估</w:t>
      </w:r>
      <w:r>
        <w:rPr>
          <w:rFonts w:hint="eastAsia" w:ascii="Times New Roman" w:hAnsi="Times New Roman"/>
        </w:rPr>
        <w:t>，包含城市裸土监测、城市绿地识别、城市水体识别、城市热岛监测、生态变化监测模块等</w:t>
      </w:r>
      <w:r>
        <w:rPr>
          <w:rFonts w:ascii="Times New Roman" w:hAnsi="Times New Roman"/>
        </w:rPr>
        <w:t>。</w:t>
      </w:r>
    </w:p>
    <w:p w14:paraId="71FFFBDD">
      <w:pPr>
        <w:rPr>
          <w:rFonts w:ascii="Times New Roman" w:hAnsi="Times New Roman"/>
        </w:rPr>
      </w:pPr>
      <w:r>
        <w:rPr>
          <w:rFonts w:hint="eastAsia" w:ascii="Times New Roman" w:hAnsi="Times New Roman"/>
        </w:rPr>
        <w:t>城市裸土监测支持利用高分辨率卫星影像、无人机影像数据，识别裸地、防尘网分布信息，展示空间分布信息和覆盖面积，报告自动生成功能；城市绿地识别模块支持利用中高分辨率影像数据提取绿地分布信息；城市水体识别模块支持从光学或者雷达影像中提取城市水面积信息；城市热岛监测支持利用卫星热红外波段进行城市热岛监测，得到城市热岛强度图；生态变化监测模块支持利用多时相遥感影像数据、生态因子数据，获取重点区域生态质量变化信息。</w:t>
      </w:r>
    </w:p>
    <w:p w14:paraId="046E500A">
      <w:pPr>
        <w:pStyle w:val="4"/>
        <w:ind w:firstLine="562"/>
        <w:rPr>
          <w:rFonts w:ascii="Times New Roman" w:hAnsi="Times New Roman"/>
        </w:rPr>
      </w:pPr>
      <w:r>
        <w:rPr>
          <w:rFonts w:hint="eastAsia" w:ascii="Times New Roman" w:hAnsi="Times New Roman"/>
        </w:rPr>
        <w:t>智能化站房管理</w:t>
      </w:r>
    </w:p>
    <w:p w14:paraId="170141C3">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站房三维模型构建</w:t>
      </w:r>
    </w:p>
    <w:p w14:paraId="26449D2C">
      <w:pPr>
        <w:rPr>
          <w:rFonts w:ascii="Times New Roman" w:hAnsi="Times New Roman"/>
        </w:rPr>
      </w:pPr>
      <w:r>
        <w:rPr>
          <w:rFonts w:hint="eastAsia" w:ascii="Times New Roman" w:hAnsi="Times New Roman"/>
        </w:rPr>
        <w:t>构建站房三维模型，通过空间场景的可视化，体现站房布局的合规性与合理性,适配站房参观、远程监管、巡检运维等需求，实现站房场景的沉浸式可视化呈现。站房三维模型构建模块包括三维模型构建、纹理贴图制作、效果调优、模型检验、数据整理与发布等功能。与制作好的</w:t>
      </w:r>
    </w:p>
    <w:p w14:paraId="314E77D4">
      <w:pPr>
        <w:rPr>
          <w:rFonts w:ascii="Times New Roman" w:hAnsi="Times New Roman"/>
        </w:rPr>
      </w:pPr>
      <w:r>
        <w:rPr>
          <w:rFonts w:hint="eastAsia" w:ascii="Times New Roman" w:hAnsi="Times New Roman"/>
        </w:rPr>
        <w:t>三维模型构建需采用专业三维制作软件构建站房建筑及站房内部的三维模型框架。超级站站房建筑模型需包括站房外观、周边环境、绿化/防护区域，站房内部需包括监测设备区、缓冲区、采样平台等。制作常规站房全景模型，结合站房平面概览视图，</w:t>
      </w:r>
      <w:r>
        <w:rPr>
          <w:rFonts w:ascii="Times New Roman" w:hAnsi="Times New Roman"/>
        </w:rPr>
        <w:t>实现站房全方位的数字化还原与直观展示</w:t>
      </w:r>
      <w:r>
        <w:rPr>
          <w:rFonts w:hint="eastAsia" w:ascii="Times New Roman" w:hAnsi="Times New Roman"/>
        </w:rPr>
        <w:t>。</w:t>
      </w:r>
    </w:p>
    <w:p w14:paraId="2A57C780">
      <w:pPr>
        <w:rPr>
          <w:rFonts w:ascii="Times New Roman" w:hAnsi="Times New Roman"/>
        </w:rPr>
      </w:pPr>
      <w:r>
        <w:rPr>
          <w:rFonts w:hint="eastAsia" w:ascii="Times New Roman" w:hAnsi="Times New Roman"/>
        </w:rPr>
        <w:t>制作纹理贴图，利用专业图像校正工具进行变形校正，消除因拍摄角度、光线等因素导致的图像畸变，确保模型视觉效果与实景一致；对核心区域（监测设备、辅助设施）进行高精度建模，还原设备外观、接口、铭牌参数等细节，保证文字清晰可辨；</w:t>
      </w:r>
    </w:p>
    <w:p w14:paraId="048D37EB">
      <w:pPr>
        <w:numPr>
          <w:ilvl w:val="255"/>
          <w:numId w:val="0"/>
        </w:numPr>
        <w:ind w:firstLine="480"/>
        <w:rPr>
          <w:rFonts w:ascii="Times New Roman" w:hAnsi="Times New Roman"/>
        </w:rPr>
      </w:pPr>
      <w:r>
        <w:rPr>
          <w:rFonts w:hint="eastAsia" w:ascii="Times New Roman" w:hAnsi="Times New Roman"/>
        </w:rPr>
        <w:t>效果调优要求将完成纹理映射的模型贴图整合为虚拟场景。通过模型轻量化处理，精细调节材质球参数，模拟真实材质效果，同时优化环境光阴影贴图，使阴影过渡自然、真实。可对动态对象添加动态特效。</w:t>
      </w:r>
    </w:p>
    <w:p w14:paraId="38A6F19D">
      <w:pPr>
        <w:numPr>
          <w:ilvl w:val="255"/>
          <w:numId w:val="0"/>
        </w:numPr>
        <w:ind w:firstLine="480"/>
        <w:rPr>
          <w:rFonts w:ascii="Times New Roman" w:hAnsi="Times New Roman"/>
        </w:rPr>
      </w:pPr>
      <w:r>
        <w:rPr>
          <w:rFonts w:hint="eastAsia" w:ascii="Times New Roman" w:hAnsi="Times New Roman"/>
        </w:rPr>
        <w:t>模型检验要求从平面位置、高度、形状、比例等方面确保模型拼接合理、要素齐全；从纹理色彩、分辨率，以及纹理与模型匹配等方面保持契合一致；从模型结构、纹理色彩、光照等方面确保场景协调和真实。</w:t>
      </w:r>
    </w:p>
    <w:p w14:paraId="778FD332">
      <w:pPr>
        <w:rPr>
          <w:rFonts w:ascii="Times New Roman" w:hAnsi="Times New Roman"/>
        </w:rPr>
      </w:pPr>
      <w:r>
        <w:rPr>
          <w:rFonts w:ascii="Times New Roman" w:hAnsi="Times New Roman"/>
        </w:rPr>
        <w:t>数据整理与发布</w:t>
      </w:r>
      <w:r>
        <w:rPr>
          <w:rFonts w:hint="eastAsia" w:ascii="Times New Roman" w:hAnsi="Times New Roman"/>
        </w:rPr>
        <w:t>支持将数据进行标准化整理，</w:t>
      </w:r>
      <w:r>
        <w:rPr>
          <w:rFonts w:ascii="Times New Roman" w:hAnsi="Times New Roman"/>
        </w:rPr>
        <w:t>将三维模型转换为</w:t>
      </w:r>
      <w:r>
        <w:rPr>
          <w:rFonts w:hint="eastAsia" w:ascii="Times New Roman" w:hAnsi="Times New Roman"/>
        </w:rPr>
        <w:t>平台</w:t>
      </w:r>
      <w:r>
        <w:rPr>
          <w:rFonts w:ascii="Times New Roman" w:hAnsi="Times New Roman"/>
        </w:rPr>
        <w:t>支持的格式，导入平台进行集成调试，确保漫游流畅、交互正常</w:t>
      </w:r>
      <w:r>
        <w:rPr>
          <w:rFonts w:hint="eastAsia" w:ascii="Times New Roman" w:hAnsi="Times New Roman"/>
        </w:rPr>
        <w:t>。</w:t>
      </w:r>
    </w:p>
    <w:p w14:paraId="63A62A16">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站房孪生数据集成接入</w:t>
      </w:r>
    </w:p>
    <w:p w14:paraId="78A970D2">
      <w:pPr>
        <w:rPr>
          <w:rFonts w:ascii="Times New Roman" w:hAnsi="Times New Roman"/>
        </w:rPr>
      </w:pPr>
      <w:r>
        <w:rPr>
          <w:rFonts w:hint="eastAsia" w:ascii="Times New Roman" w:hAnsi="Times New Roman"/>
        </w:rPr>
        <w:t>建设空气智能化站房协议适配、孪生模型渲染展示、感知数据集成接入等功能，支持多源异构数据高效汇聚，包括站房设备运行、环境监测、业务管理系统等各类数据；通过标准化的数据格式转换机制，将不同协议与格式数据统一为标准格式；并基于API接口实现与各数据源的实时同步，保障孪生场景中模型与数据的动态联动。</w:t>
      </w:r>
    </w:p>
    <w:p w14:paraId="175A1889">
      <w:pPr>
        <w:ind w:firstLineChars="0"/>
        <w:rPr>
          <w:rFonts w:ascii="Times New Roman" w:hAnsi="Times New Roman"/>
        </w:rPr>
      </w:pPr>
      <w:r>
        <w:rPr>
          <w:rFonts w:hint="eastAsia" w:ascii="Times New Roman" w:hAnsi="Times New Roman"/>
        </w:rPr>
        <w:t>空气智能化站房协议适配需基于空气智能化站房污染物在线自动监控（监测）系统数据传输扩展标准，实现自动监控（监测）设备与智能化站房之间的实时数据传输、解析、入库。</w:t>
      </w:r>
    </w:p>
    <w:p w14:paraId="766BF723">
      <w:pPr>
        <w:ind w:firstLineChars="0"/>
        <w:rPr>
          <w:rFonts w:ascii="Times New Roman" w:hAnsi="Times New Roman"/>
        </w:rPr>
      </w:pPr>
      <w:r>
        <w:rPr>
          <w:rFonts w:hint="eastAsia" w:ascii="Times New Roman" w:hAnsi="Times New Roman"/>
        </w:rPr>
        <w:t>孪生模型渲染展示支持分层级对站房进行全景渲染，包括站房整体区位，站房主体结构以及核心设备与关键设施。通过</w:t>
      </w:r>
      <w:r>
        <w:rPr>
          <w:rFonts w:ascii="Times New Roman" w:hAnsi="Times New Roman"/>
        </w:rPr>
        <w:t>监测数据看板嵌入</w:t>
      </w:r>
      <w:r>
        <w:rPr>
          <w:rFonts w:hint="eastAsia" w:ascii="Times New Roman" w:hAnsi="Times New Roman"/>
        </w:rPr>
        <w:t>，</w:t>
      </w:r>
      <w:r>
        <w:rPr>
          <w:rFonts w:ascii="Times New Roman" w:hAnsi="Times New Roman"/>
        </w:rPr>
        <w:t>渲染</w:t>
      </w:r>
      <w:r>
        <w:rPr>
          <w:rFonts w:hint="eastAsia" w:ascii="Times New Roman" w:hAnsi="Times New Roman"/>
        </w:rPr>
        <w:t>设备</w:t>
      </w:r>
      <w:r>
        <w:rPr>
          <w:rFonts w:ascii="Times New Roman" w:hAnsi="Times New Roman"/>
        </w:rPr>
        <w:t>实时</w:t>
      </w:r>
      <w:r>
        <w:rPr>
          <w:rFonts w:hint="eastAsia" w:ascii="Times New Roman" w:hAnsi="Times New Roman"/>
        </w:rPr>
        <w:t>状态</w:t>
      </w:r>
      <w:r>
        <w:rPr>
          <w:rFonts w:ascii="Times New Roman" w:hAnsi="Times New Roman"/>
        </w:rPr>
        <w:t>，展示设备的运行状态、</w:t>
      </w:r>
      <w:r>
        <w:rPr>
          <w:rFonts w:hint="eastAsia" w:ascii="Times New Roman" w:hAnsi="Times New Roman"/>
        </w:rPr>
        <w:t>最新</w:t>
      </w:r>
      <w:r>
        <w:rPr>
          <w:rFonts w:ascii="Times New Roman" w:hAnsi="Times New Roman"/>
        </w:rPr>
        <w:t>数据时间</w:t>
      </w:r>
      <w:r>
        <w:rPr>
          <w:rFonts w:hint="eastAsia" w:ascii="Times New Roman" w:hAnsi="Times New Roman"/>
        </w:rPr>
        <w:t>，</w:t>
      </w:r>
      <w:r>
        <w:rPr>
          <w:rFonts w:ascii="Times New Roman" w:hAnsi="Times New Roman"/>
        </w:rPr>
        <w:t>核心监测指标</w:t>
      </w:r>
      <w:r>
        <w:rPr>
          <w:rFonts w:hint="eastAsia" w:ascii="Times New Roman" w:hAnsi="Times New Roman"/>
        </w:rPr>
        <w:t>等。</w:t>
      </w:r>
    </w:p>
    <w:p w14:paraId="26F502D6">
      <w:pPr>
        <w:rPr>
          <w:rFonts w:ascii="Times New Roman" w:hAnsi="Times New Roman"/>
        </w:rPr>
      </w:pPr>
      <w:r>
        <w:rPr>
          <w:rFonts w:hint="eastAsia" w:ascii="Times New Roman" w:hAnsi="Times New Roman"/>
        </w:rPr>
        <w:t>感知数据集成接入需集成接入环境空气监测站仪器的各类监测感知数据及运行状况数据，包括监测设备实时及历史监测数据，设备运行状态参数数据（如采样流量、采样压力等），站房动态环境参数（如空调状态、温湿度传感器数据等），保障孪生场景中模型与数据的动态联动。</w:t>
      </w:r>
    </w:p>
    <w:p w14:paraId="207A8ECE">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数字化站房监控</w:t>
      </w:r>
    </w:p>
    <w:p w14:paraId="18C53E1E">
      <w:pPr>
        <w:rPr>
          <w:rFonts w:ascii="Times New Roman" w:hAnsi="Times New Roman"/>
        </w:rPr>
      </w:pPr>
      <w:r>
        <w:rPr>
          <w:rFonts w:hint="eastAsia" w:ascii="Times New Roman" w:hAnsi="Times New Roman"/>
        </w:rPr>
        <w:t>基于孪生站房场景，建设数字化站房监控模块，包括站房信息总览、实时监测数据、站点详情信息、历史数据查询、专题信息展示、智能质控展示、门禁管理配置、质控异常智能预警分析等功能。</w:t>
      </w:r>
    </w:p>
    <w:p w14:paraId="61ECD119">
      <w:pPr>
        <w:rPr>
          <w:rFonts w:ascii="Times New Roman" w:hAnsi="Times New Roman"/>
        </w:rPr>
      </w:pPr>
      <w:r>
        <w:rPr>
          <w:rFonts w:hint="eastAsia" w:ascii="Times New Roman" w:hAnsi="Times New Roman"/>
        </w:rPr>
        <w:t>站房信息总览支持在地图上呈现站房的空间分布，同时支持站点信息的展示，包括站点控制类型、站点编号、名称、所属区域、建设时间、地理位置坐标、运维单位等基础信息，及告警类型、告警事件、时间、具体情况等告警信息。</w:t>
      </w:r>
    </w:p>
    <w:p w14:paraId="551EA1DE">
      <w:pPr>
        <w:rPr>
          <w:rFonts w:ascii="Times New Roman" w:hAnsi="Times New Roman"/>
        </w:rPr>
      </w:pPr>
      <w:r>
        <w:rPr>
          <w:rFonts w:hint="eastAsia" w:ascii="Times New Roman" w:hAnsi="Times New Roman"/>
        </w:rPr>
        <w:t>实时监测数据功能支持在站房模型的中控面板或仪器面板上，显示站房各个关键设备的实时运行状态、空气质量监测、仪器状态参数、自动校准、零跨、质控运维、视频门禁、报警等信息，展示形式包括数据表格、折线图、柱状图、仪表盘、等直观清晰的方式。</w:t>
      </w:r>
    </w:p>
    <w:p w14:paraId="1334B02C">
      <w:pPr>
        <w:ind w:firstLineChars="0"/>
        <w:rPr>
          <w:rFonts w:ascii="Times New Roman" w:hAnsi="Times New Roman"/>
        </w:rPr>
      </w:pPr>
      <w:r>
        <w:rPr>
          <w:rFonts w:hint="eastAsia" w:ascii="Times New Roman" w:hAnsi="Times New Roman"/>
        </w:rPr>
        <w:t>站点详情信息功能提供站房站点详情信息查看功能，信息需包括监测数据、数据曲线、站点报警、仪器运行参数、设备品牌、运维单位等基础信息，及自动校准、零跨、视频、门禁、动环参数等质控运维信息。</w:t>
      </w:r>
    </w:p>
    <w:p w14:paraId="67573863">
      <w:pPr>
        <w:ind w:firstLineChars="0"/>
        <w:rPr>
          <w:rFonts w:ascii="Times New Roman" w:hAnsi="Times New Roman"/>
        </w:rPr>
      </w:pPr>
      <w:r>
        <w:rPr>
          <w:rFonts w:hint="eastAsia" w:ascii="Times New Roman" w:hAnsi="Times New Roman"/>
        </w:rPr>
        <w:t>历史数据查询功能实现监测设备及辅助设施的历史数据查询。大气监测数据支持历史一分钟数据，五分钟数据，小时数据和日数据的查询；设备运行状态参数支持以原始数据上传精度查询历史数据；监测辅助设施监测数据支持秒级历史数据查询。</w:t>
      </w:r>
    </w:p>
    <w:p w14:paraId="181B14D8">
      <w:pPr>
        <w:ind w:firstLineChars="0"/>
        <w:rPr>
          <w:rFonts w:ascii="Times New Roman" w:hAnsi="Times New Roman"/>
        </w:rPr>
      </w:pPr>
      <w:r>
        <w:rPr>
          <w:rFonts w:hint="eastAsia" w:ascii="Times New Roman" w:hAnsi="Times New Roman"/>
        </w:rPr>
        <w:t>专题信息展示功能需展示重点关注的专题信息。如</w:t>
      </w:r>
      <w:r>
        <w:rPr>
          <w:rFonts w:ascii="Times New Roman" w:hAnsi="Times New Roman"/>
        </w:rPr>
        <w:t>站房设备</w:t>
      </w:r>
      <w:r>
        <w:rPr>
          <w:rFonts w:hint="eastAsia" w:ascii="Times New Roman" w:hAnsi="Times New Roman"/>
        </w:rPr>
        <w:t>监控专题，展示实时采集设备运行参数、设备状态监控。提供站房巡检记录专题展示，并支持各类巡检的统计分析。</w:t>
      </w:r>
    </w:p>
    <w:p w14:paraId="61FB6501">
      <w:pPr>
        <w:ind w:firstLineChars="0"/>
        <w:rPr>
          <w:rFonts w:ascii="Times New Roman" w:hAnsi="Times New Roman"/>
        </w:rPr>
      </w:pPr>
      <w:r>
        <w:rPr>
          <w:rFonts w:hint="eastAsia" w:ascii="Times New Roman" w:hAnsi="Times New Roman"/>
        </w:rPr>
        <w:t>智能质控展示功能在智能化质控统计的基础上，以统计图表等展示质控记录与档案管理信息，包括但不限于单点校准、多点校准、仪器精密度测试、仪器准确度验证、氮氧化物转换效率测试以及臭氧量值传递管理等关键质控环节的结果；支持点击单个质控事件，可查看详细质控过程。</w:t>
      </w:r>
    </w:p>
    <w:p w14:paraId="045EBC98">
      <w:pPr>
        <w:ind w:firstLineChars="0"/>
        <w:rPr>
          <w:rFonts w:ascii="Times New Roman" w:hAnsi="Times New Roman"/>
        </w:rPr>
      </w:pPr>
      <w:r>
        <w:rPr>
          <w:rFonts w:hint="eastAsia" w:ascii="Times New Roman" w:hAnsi="Times New Roman"/>
        </w:rPr>
        <w:t>门禁管理配置需对接门禁控制器，根据门禁信息传输协议，捕获门禁状态并传输，实时获取门体开关状态（开/关/异常开启）、锁具状态（上锁/解锁），并同步至孪生模型。建立并关联门禁信息库和站房信息库，自动记录各站点每一次开门操作，包括开门人员、开门时间、开门方式、门体关闭时间，支持按时间、人员、门禁点筛选查询。</w:t>
      </w:r>
    </w:p>
    <w:p w14:paraId="4175D5E8">
      <w:pPr>
        <w:rPr>
          <w:rFonts w:ascii="Times New Roman" w:hAnsi="Times New Roman"/>
        </w:rPr>
      </w:pPr>
      <w:r>
        <w:rPr>
          <w:rFonts w:hint="eastAsia" w:ascii="Times New Roman" w:hAnsi="Times New Roman"/>
        </w:rPr>
        <w:t>质控异常智能预警分析需获取不同仪器质控行为，进行质控异常智能预警分析，如合格情况、异常情况、异常出数情况、质控不合格情况。同时需要支持单点校准、多点校准、精密度、准确度、标气比对、多点线性校准、质控防人为干扰异常预警、质控异常画像等功能。</w:t>
      </w:r>
    </w:p>
    <w:p w14:paraId="609BF215">
      <w:pPr>
        <w:pStyle w:val="4"/>
        <w:ind w:firstLine="562"/>
        <w:rPr>
          <w:rFonts w:ascii="Times New Roman" w:hAnsi="Times New Roman"/>
        </w:rPr>
      </w:pPr>
      <w:r>
        <w:rPr>
          <w:rFonts w:hint="eastAsia" w:ascii="Times New Roman" w:hAnsi="Times New Roman"/>
        </w:rPr>
        <w:t>环境监测数据智能质控</w:t>
      </w:r>
    </w:p>
    <w:p w14:paraId="59A2F06F">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大气自动监测系统故障诊断</w:t>
      </w:r>
    </w:p>
    <w:p w14:paraId="5AEEC63D">
      <w:pPr>
        <w:rPr>
          <w:rFonts w:hint="eastAsia"/>
        </w:rPr>
      </w:pPr>
      <w:r>
        <w:rPr>
          <w:rFonts w:hint="eastAsia"/>
        </w:rPr>
        <w:t>大气自动监测系统故障诊断包括对仪器运行参数进行实时监控，构建涵盖基于案例推理、模糊故障诊断、专家系统、神经网络、智能体等多技术路径的智能故障诊断技术模块，实现故障案例标注管理，该模块可根据设备类型差异自适应匹配评估最优诊断技术，实现故障信息标准化管理，同时提供故障案例快速检索与多维综合分析功能；同步搭建包含故障表现、参数特征等核心维度的故障特征库，支持多维特征精准提取与自定义检索需求，运用人工智能技术构建故障诊断模型，通过实时采集的设备运行参数精准识别异常工况，并建立模型自动重训练机制，满足预设触发条件即可自动启动模型迭代优化流程。该技术体系需成功应用于5类监测设备的故障诊断与预测工作。</w:t>
      </w:r>
    </w:p>
    <w:p w14:paraId="1537EBED">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大气自动监测系统健康状态评估</w:t>
      </w:r>
    </w:p>
    <w:p w14:paraId="1D62ADCE">
      <w:pPr>
        <w:rPr>
          <w:rFonts w:hint="eastAsia"/>
        </w:rPr>
      </w:pPr>
      <w:r>
        <w:rPr>
          <w:rFonts w:hint="eastAsia"/>
        </w:rPr>
        <w:t>建立统一设备运行管理模块，对接各类监测设备采集平台，实时接入运行参数并提供查询、时序分析等功能；构建设备健康指标体系，涵盖基础运行状态参数、性能指标、运维故障维护工单等多源数据类别，耦合动态阈值及机器学习智能方法的设备健康状态诊断模型；实现设备多维度健康指数计算，实现设备大气自动监测系统健康状态可视化；支持关键参数退化趋势分析，对设备关键运行参数进行长期监测和趋势分析，识别设备性能退化规律，预测设备故障风险，并能自动实时给出系统的健康状态指标情况，给出不同等级预警，提出维护指令。</w:t>
      </w:r>
    </w:p>
    <w:p w14:paraId="6DB26EFB">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大气自动监测数据智能审核</w:t>
      </w:r>
    </w:p>
    <w:p w14:paraId="71588765">
      <w:pPr>
        <w:rPr>
          <w:rFonts w:hint="eastAsia"/>
        </w:rPr>
      </w:pPr>
      <w:r>
        <w:rPr>
          <w:rFonts w:hint="eastAsia"/>
        </w:rPr>
        <w:t>实现大气自动监测数据智能审核（含自动重积分）功能，数据类型涵盖常规空气质量监测数据、VOCs、颗粒物组分、痕量气体与激光雷达数据以及温室气体监测数据等，建立多维算法智能审核模块，智能审核规则包括基础规则、逻辑规则、统计规则、机器学习或深度学习等算法模型规则，实现设备异常数据检测、质控数据异常检测、大气监测数据检验、数据时序趋势异常检测、时空数据关联异常分析等功能。支持常见审核规则库管理模块的参数化和可视化配置，操作界面友好，每类数据智能审核规则模块可以根据数据类型或操作人员需求自行选择或者自动生成最佳智能数据审核组成，实现对数据的智能审核；在对多源数据进行智能融合审核时，构建包括结合设备状态参数、质控数据、气象数据等关键外部因素于一体多类型数据融合智能审核模型，实现数据的精准审核。通过该功能的建设，数据审核时效性须由“小时级”提升至“分钟级”。</w:t>
      </w:r>
    </w:p>
    <w:p w14:paraId="6C4F2367">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大气监测数据修复重建</w:t>
      </w:r>
    </w:p>
    <w:p w14:paraId="330E0E0B">
      <w:pPr>
        <w:rPr>
          <w:rFonts w:hint="eastAsia"/>
        </w:rPr>
      </w:pPr>
      <w:r>
        <w:rPr>
          <w:rFonts w:hint="eastAsia"/>
        </w:rPr>
        <w:t>多场景数据重建‌支持单点缺失、局部区域连续缺失等多种数据缺失场景下的智能补全，结合时间序列分析与空间相关性建模，实现高精度的数据修复。建立重建数据标记及复核机制‌，对修复后的数据进行可视化标记，并提供人工复核界面，支持用户查看修补前后的多维对比分析（如趋势图、差值热力图等），确保数据质量可控可追溯。实现可信度评估功能，基于统计模型和机器学习方法，对重建数据的置信度进行量化评估，同时输出不确定性分布图和误差统计报告，辅助决策者判断数据可靠性。</w:t>
      </w:r>
    </w:p>
    <w:p w14:paraId="3D3D9DEE">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基于多源数据融合的快速异常检测技术构建</w:t>
      </w:r>
    </w:p>
    <w:p w14:paraId="7FE07671">
      <w:pPr>
        <w:rPr>
          <w:rFonts w:hint="eastAsia"/>
        </w:rPr>
      </w:pPr>
      <w:r>
        <w:rPr>
          <w:rFonts w:hint="eastAsia"/>
        </w:rPr>
        <w:t>构建多源异常数据标准化引擎，统一异构数据格式规范，建立涵盖数据完整性、一致性、有效性的多维度校验规则，实现各类涉气监测数据与智能质控审核模型的无缝对接及全流程自动化质控，从源头消除数据偏差对异常检测的干扰。实现场景化数据融合，接入网格化监测站、移动走航车、无人机、气象、卫星遥感、污染源在线等多源数据，覆盖常规监测、重污染预警、突发污染应急等不同应用场景，采用静态阈值判定、动态趋势研判、时空关联挖掘、污染物指纹匹配等多模式联动分析策略，实现污染异常识别与精准定位；同步建立污染源特征关联分析功能，深度融合企业排放数据、生产工况数据、用电负荷数据与区域环境监测数据，构建多维度关联性分析模型，识别异常情况。</w:t>
      </w:r>
    </w:p>
    <w:p w14:paraId="612CDC16">
      <w:pPr>
        <w:pStyle w:val="4"/>
        <w:ind w:firstLine="562"/>
        <w:rPr>
          <w:rFonts w:ascii="Times New Roman" w:hAnsi="Times New Roman"/>
        </w:rPr>
      </w:pPr>
      <w:r>
        <w:rPr>
          <w:rFonts w:hint="eastAsia" w:ascii="Times New Roman" w:hAnsi="Times New Roman"/>
        </w:rPr>
        <w:t>环境监测分析智脑</w:t>
      </w:r>
    </w:p>
    <w:p w14:paraId="11042EC2">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生态环境监测专题库</w:t>
      </w:r>
    </w:p>
    <w:p w14:paraId="68827821">
      <w:pPr>
        <w:rPr>
          <w:rFonts w:ascii="Times New Roman" w:hAnsi="Times New Roman"/>
        </w:rPr>
      </w:pPr>
      <w:r>
        <w:rPr>
          <w:rFonts w:hint="eastAsia" w:ascii="Times New Roman" w:hAnsi="Times New Roman"/>
        </w:rPr>
        <w:t>生态环境监测专题库需</w:t>
      </w:r>
      <w:r>
        <w:rPr>
          <w:rFonts w:ascii="Times New Roman" w:hAnsi="Times New Roman"/>
        </w:rPr>
        <w:t>支持数据标准、标准文件、数据清洗、数据质量</w:t>
      </w:r>
      <w:r>
        <w:rPr>
          <w:rFonts w:hint="eastAsia" w:ascii="Times New Roman" w:hAnsi="Times New Roman"/>
        </w:rPr>
        <w:t>等</w:t>
      </w:r>
      <w:r>
        <w:rPr>
          <w:rFonts w:ascii="Times New Roman" w:hAnsi="Times New Roman"/>
        </w:rPr>
        <w:t>高质量数据管理能力</w:t>
      </w:r>
      <w:r>
        <w:rPr>
          <w:rFonts w:hint="eastAsia" w:ascii="Times New Roman" w:hAnsi="Times New Roman"/>
        </w:rPr>
        <w:t>，支撑高效的数据交互与深度分析能力，包括主数据管理、数据建模、数据血缘分析、数据分类分级、数据编织、指标管理等，提供API接口支撑大模型调用。该模块需建设环境监测信息资源目录管理、环境监测数据字典管理、环境监测专题库管理等模块。</w:t>
      </w:r>
    </w:p>
    <w:p w14:paraId="704777E8">
      <w:pPr>
        <w:rPr>
          <w:rFonts w:hint="eastAsia"/>
        </w:rPr>
      </w:pPr>
      <w:r>
        <w:rPr>
          <w:rFonts w:hint="eastAsia"/>
        </w:rPr>
        <w:t>环境监测信息资源目录管理包括环境监测信息资源编目管理、环境监测信息资源分类管理、环境监测数据资产类目管理等功能：建立分级分类的生态环境监测信息资源目录，支持关键字检索、分类切换及目录的新增、编辑、删除等操作；在目录体系下，实现各级信息资源的增、删、改、查等编目功能，确保资源可管可控；支持对信息资源进行标准化分类编码，提供自动或手动配置、修改和删除能力，编码规则应可扩展、可维护；支持建立数据表、文件夹、指标、标签等多类型数据资产类目，提供类目的增删改查、批量发布与下架功能。</w:t>
      </w:r>
    </w:p>
    <w:p w14:paraId="00CFEB08">
      <w:pPr>
        <w:rPr>
          <w:rFonts w:hint="eastAsia"/>
        </w:rPr>
      </w:pPr>
      <w:r>
        <w:rPr>
          <w:rFonts w:hint="eastAsia"/>
        </w:rPr>
        <w:t>环境监测数据字典管理包括数据字典元数据库逻辑模型构建、数据字典元数据存储、数据字典元数据的访问等功能：构建涵盖信息系统、数据库、数据表、字段、单位、域值等对象的元数据逻辑模型；支持各类元数据分表存储，并通过关联关系形成完整的数据字典视图；提供友好的查询界面，支持查看数据项定义、结构、流向、处理逻辑等信息，辅助数据理解和使用。</w:t>
      </w:r>
    </w:p>
    <w:p w14:paraId="43784D2D">
      <w:pPr>
        <w:rPr>
          <w:rFonts w:hint="eastAsia"/>
        </w:rPr>
      </w:pPr>
      <w:r>
        <w:rPr>
          <w:rFonts w:hint="eastAsia"/>
        </w:rPr>
        <w:t>环境监测专题库管理模块需构建大气环境质量专题、地表水环境质量专题、海洋生态环境质量专题、土壤和地下水环境质量专题、声环境质量专题、农村环境质量监测专题、生物多样性监测专题、工业污染源监测专题、突发污染事件应急监测专题9个专题库：</w:t>
      </w:r>
    </w:p>
    <w:p w14:paraId="793584D2">
      <w:pPr>
        <w:numPr>
          <w:ilvl w:val="0"/>
          <w:numId w:val="4"/>
        </w:numPr>
        <w:ind w:firstLine="480"/>
        <w:rPr>
          <w:rFonts w:hint="eastAsia"/>
        </w:rPr>
      </w:pPr>
      <w:r>
        <w:rPr>
          <w:rFonts w:hint="eastAsia"/>
        </w:rPr>
        <w:t>大气环境质量专题库整合空气质量、气象、遥感、污染源等数据，支撑AQI评估、污染协同分析、传输路径识别和源解析；</w:t>
      </w:r>
    </w:p>
    <w:p w14:paraId="153570EA">
      <w:pPr>
        <w:numPr>
          <w:ilvl w:val="0"/>
          <w:numId w:val="4"/>
        </w:numPr>
        <w:ind w:firstLine="480"/>
        <w:rPr>
          <w:rFonts w:hint="eastAsia"/>
        </w:rPr>
      </w:pPr>
      <w:r>
        <w:rPr>
          <w:rFonts w:hint="eastAsia"/>
        </w:rPr>
        <w:t>地表水环境质量专题库汇聚断面、排污口、水文、水生态等数据，支撑水质达标分析、污染溯源及农村面源影响评估；</w:t>
      </w:r>
    </w:p>
    <w:p w14:paraId="3E3987F7">
      <w:pPr>
        <w:numPr>
          <w:ilvl w:val="0"/>
          <w:numId w:val="4"/>
        </w:numPr>
        <w:ind w:firstLine="480"/>
        <w:rPr>
          <w:rFonts w:hint="eastAsia"/>
        </w:rPr>
      </w:pPr>
      <w:r>
        <w:rPr>
          <w:rFonts w:hint="eastAsia"/>
        </w:rPr>
        <w:t>海洋生态环境专题库集成海水、沉积物、入海通量、陆源排放等数据，开展海域质量评估、微塑料溯源和生态健康分析；</w:t>
      </w:r>
    </w:p>
    <w:p w14:paraId="4021E918">
      <w:pPr>
        <w:numPr>
          <w:ilvl w:val="0"/>
          <w:numId w:val="4"/>
        </w:numPr>
        <w:ind w:firstLine="480"/>
        <w:rPr>
          <w:rFonts w:hint="eastAsia"/>
        </w:rPr>
      </w:pPr>
      <w:r>
        <w:rPr>
          <w:rFonts w:hint="eastAsia"/>
        </w:rPr>
        <w:t>土壤与地下水专题库整合土壤/地下水监测、企业周边、农业投入等数据，支持污染分布识别、风险评估与修复建议生成；</w:t>
      </w:r>
    </w:p>
    <w:p w14:paraId="6FF819CE">
      <w:pPr>
        <w:numPr>
          <w:ilvl w:val="0"/>
          <w:numId w:val="4"/>
        </w:numPr>
        <w:ind w:firstLine="480"/>
        <w:rPr>
          <w:rFonts w:hint="eastAsia"/>
        </w:rPr>
      </w:pPr>
      <w:r>
        <w:rPr>
          <w:rFonts w:hint="eastAsia"/>
        </w:rPr>
        <w:t>声环境质量专题库融合功能区、交通、振动等噪声数据，分析达标情况、噪声来源及对敏感区域的影响；</w:t>
      </w:r>
    </w:p>
    <w:p w14:paraId="1C02D6BE">
      <w:pPr>
        <w:numPr>
          <w:ilvl w:val="0"/>
          <w:numId w:val="4"/>
        </w:numPr>
        <w:ind w:firstLine="480"/>
        <w:rPr>
          <w:rFonts w:hint="eastAsia"/>
        </w:rPr>
      </w:pPr>
      <w:r>
        <w:rPr>
          <w:rFonts w:hint="eastAsia"/>
        </w:rPr>
        <w:t>农村环境质量专题库归集农村空气、水、土壤及污水处理、农业面源等数据，评估人居环境质量，支撑面源污染治理。</w:t>
      </w:r>
    </w:p>
    <w:p w14:paraId="33F507DF">
      <w:pPr>
        <w:numPr>
          <w:ilvl w:val="0"/>
          <w:numId w:val="4"/>
        </w:numPr>
        <w:ind w:firstLine="480"/>
        <w:rPr>
          <w:rFonts w:hint="eastAsia"/>
        </w:rPr>
      </w:pPr>
      <w:r>
        <w:rPr>
          <w:rFonts w:hint="eastAsia"/>
        </w:rPr>
        <w:t>生物多样性专题库整合动植物、微生物监测数据，分析物种分布、生态完整性及人类活动干扰程度；</w:t>
      </w:r>
    </w:p>
    <w:p w14:paraId="5A3BCF7A">
      <w:pPr>
        <w:numPr>
          <w:ilvl w:val="0"/>
          <w:numId w:val="4"/>
        </w:numPr>
        <w:ind w:firstLine="480"/>
        <w:rPr>
          <w:rFonts w:hint="eastAsia"/>
        </w:rPr>
      </w:pPr>
      <w:r>
        <w:rPr>
          <w:rFonts w:hint="eastAsia"/>
        </w:rPr>
        <w:t>工业污染源专题库汇集在线监测、执法记录、生产工况等数据，识别异常排放企业；</w:t>
      </w:r>
    </w:p>
    <w:p w14:paraId="43935084">
      <w:pPr>
        <w:numPr>
          <w:ilvl w:val="0"/>
          <w:numId w:val="4"/>
        </w:numPr>
        <w:ind w:firstLine="480"/>
        <w:rPr>
          <w:rFonts w:hint="eastAsia"/>
        </w:rPr>
      </w:pPr>
      <w:r>
        <w:rPr>
          <w:rFonts w:hint="eastAsia"/>
        </w:rPr>
        <w:t>突发污染事件应急专题库整合应急监测、预案、处置、基础环境等数据，支持污染扩散模拟、影响评估与复盘优化。</w:t>
      </w:r>
    </w:p>
    <w:p w14:paraId="05849F97">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环境监测知识图谱</w:t>
      </w:r>
    </w:p>
    <w:p w14:paraId="4BEB09D8">
      <w:pPr>
        <w:rPr>
          <w:rFonts w:hint="eastAsia"/>
        </w:rPr>
      </w:pPr>
      <w:r>
        <w:rPr>
          <w:rFonts w:hint="eastAsia"/>
        </w:rPr>
        <w:t>构建大气污染排放总量、工业污染源监测监控和噪声关联分析知识图谱，通过定义各类污染排放及监测相关实体的属性与关系，支持实体信息查看、数据筛选、关联跳转及趋势分析等功能，同时需支撑自动结构化知识图谱的构建能力，包括元数据管理、技术标签管理、数据标签管理等。</w:t>
      </w:r>
    </w:p>
    <w:p w14:paraId="12E580D5">
      <w:pPr>
        <w:rPr>
          <w:rFonts w:ascii="Times New Roman" w:hAnsi="Times New Roman"/>
        </w:rPr>
      </w:pPr>
      <w:r>
        <w:rPr>
          <w:rFonts w:hint="eastAsia" w:ascii="Times New Roman" w:hAnsi="Times New Roman"/>
        </w:rPr>
        <w:t>大气污染排放总量知识图谱需构建加油站、船舶、移动源、工业源、扬尘源、飞机等6类污染源排放实体，关联污染物、位置、排放量及监测信息，支持溯源、筛选与趋势分析；工业污染源监测监控知识图谱需构建工业企业基本信息、工业污染源排污口、工业污染治理设施、工业污染在线监测设备、工业污染源执法监管等5类实体，实现“排放–治理–监测–监管”全链条关联与可视化追溯；噪声关联分析知识图谱需构建噪声监测点位、噪声源、噪声监测数据、噪声关联分析模型、噪声管控措施实体，支持贡献率计算、超标预警与降噪方案模拟。</w:t>
      </w:r>
    </w:p>
    <w:p w14:paraId="098C2B4C">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政务云数据计算引擎调用开发</w:t>
      </w:r>
    </w:p>
    <w:p w14:paraId="6165B3C3">
      <w:pPr>
        <w:rPr>
          <w:rFonts w:hint="eastAsia"/>
        </w:rPr>
      </w:pPr>
      <w:r>
        <w:rPr>
          <w:rFonts w:hint="eastAsia"/>
        </w:rPr>
        <w:t>基于政务云PAAS能力按照业务规则进行升级改造，支持离线计算服务、实时计算服务、并行关系型分析服务、实时搜索引擎、全文检索服务的调用开发。调用政务云离线计算能力，对水质、大气、土壤、污染源等结构化监测数据进行批量深度处理，支持数据融合与历史趋势分析；接入政务云实时计算服务，处理秒级大气、水质、污染源工况及物联网终端（如无人机、车载传感器）数据流，实现实时数据清洗、动态关联分析（构建时空关联模型预测污染迁移方向，实时识别异常排放行为）、智能预警触发（设置多级阈值动态调整机制）、低延迟输出（端到端＜500ms）；基于政务云MPP架构，对TB级结构化环境数据提供高性能并行查询与多维关联分析能力；利用政务云全文检索服务，实现对结构化、半结构化及空间地理数据的毫秒级检索，支持精确与模糊查询；针对非结构化数据，实现内容可检索，提升非结构化数据利用率</w:t>
      </w:r>
    </w:p>
    <w:p w14:paraId="15AE1FAD">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“一张图”时空计算引擎调用开发</w:t>
      </w:r>
    </w:p>
    <w:p w14:paraId="5401EF89">
      <w:pPr>
        <w:rPr>
          <w:rFonts w:hint="eastAsia"/>
        </w:rPr>
      </w:pPr>
      <w:r>
        <w:rPr>
          <w:rFonts w:hint="eastAsia"/>
        </w:rPr>
        <w:t>实现“一张图”时空数据标准化对接，深度融合“一张图”时空服务能力，基于可视化引擎，完成二三维一体化展示与数字孪生场景搭建，辅助污染评估、扩散预测等业务应用。</w:t>
      </w:r>
    </w:p>
    <w:p w14:paraId="694F43BE">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监测数据智能交互分析</w:t>
      </w:r>
    </w:p>
    <w:p w14:paraId="20E6BC39">
      <w:pPr>
        <w:widowControl/>
        <w:rPr>
          <w:rFonts w:ascii="Times New Roman" w:hAnsi="Times New Roman"/>
        </w:rPr>
      </w:pPr>
      <w:r>
        <w:rPr>
          <w:rFonts w:hint="eastAsia" w:ascii="Times New Roman" w:hAnsi="Times New Roman"/>
        </w:rPr>
        <w:t>建设监测数据智能交互分析模块，构建多数据源关联（</w:t>
      </w:r>
      <w:r>
        <w:rPr>
          <w:rFonts w:ascii="Times New Roman" w:hAnsi="Times New Roman" w:cs="Tahoma"/>
          <w:color w:val="060A26"/>
          <w:kern w:val="0"/>
          <w:shd w:val="clear" w:color="auto" w:fill="FFFFFF"/>
          <w:lang w:bidi="ar"/>
        </w:rPr>
        <w:t>支持多库多表灵活关联取数</w:t>
      </w:r>
      <w:r>
        <w:rPr>
          <w:rFonts w:hint="eastAsia" w:ascii="Times New Roman" w:hAnsi="Times New Roman"/>
        </w:rPr>
        <w:t>）、多页报表设计（支持多页报表导入导出）、多报表运行环境（允许多环境自由切换报表）、增强分析统计模块（支持自定义分组与多维度对比）、参数查询界面（拖拽即可布局参数页面）、智能模板助手（全程监测，及时提醒开发风险）、组件式设计（支持报表组件复用与自定义生成）、Web动态图表（多浏览器、设备兼容）、聚合报表（支持画板式自由布局，灵活组合与编辑报表元素）、数据交互分析（Web端支持在线筛选、过滤、排序）、分析结果打印导出（支持零客户端与静默打印，模板可导出多种格式）、图文动态报告（支持</w:t>
      </w:r>
      <w:r>
        <w:rPr>
          <w:rFonts w:ascii="Times New Roman" w:hAnsi="Times New Roman" w:cs="Tahoma"/>
          <w:color w:val="060A26"/>
          <w:spacing w:val="5"/>
          <w:kern w:val="0"/>
          <w:shd w:val="clear" w:color="auto" w:fill="FFFFFF"/>
          <w:lang w:bidi="ar"/>
        </w:rPr>
        <w:t>嵌入实时数据、图表</w:t>
      </w:r>
      <w:r>
        <w:rPr>
          <w:rFonts w:hint="eastAsia" w:ascii="Times New Roman" w:hAnsi="Times New Roman"/>
        </w:rPr>
        <w:t>）、可视化看板（多终端适配，内置素材库与常用组件）、图表高级交互（支持图表联动、监控刷新、闪烁动画）、数据补充录入（支持向多库多表、浏览器端录入或批量导入数据）、数据分析定时任务（支持自动执行报表生成、数据转换、消息推送）、图数据分析算法（实现图谱的快速分析）、智能知识检索能力（实现多维度智能查询与实体关系可视化）、地图联动分析（支持标准、GIS、自定义地图，直观展示数据空间分布与趋势）、JSON数据集解析（制定转为结构化二维表）、数据JSON服务（提供标准化JSON数据接口）等工具，支撑快速、便捷、高效、精准、可扩展的数据分析、展示与决策应用。</w:t>
      </w:r>
    </w:p>
    <w:p w14:paraId="4ECF9546">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监测视觉融合分析</w:t>
      </w:r>
    </w:p>
    <w:p w14:paraId="0C9E6B9C">
      <w:pPr>
        <w:rPr>
          <w:rFonts w:hint="eastAsia"/>
        </w:rPr>
      </w:pPr>
      <w:r>
        <w:rPr>
          <w:rFonts w:hint="eastAsia"/>
        </w:rPr>
        <w:t>建设环境监测视觉算法管理、场景-视觉算法关联配置、环境监测视觉融合分析算法开发模块。环境监测视觉算法管理模块需提供API接口，支持视觉算法的标准化接入。建立算法台账，记录基本信息与性能指标，支持版本迭代及下架原因标注；场景-视觉算法关联配置模块需支持按场景位置、时段、事件触发及优先级灵活配置算法运行策略。环境监测视觉融合分析算法开发模块需开发废水排放、废气排放、水面漂浮物、固废堆点、站点异常人为活动、重点区域非法入侵、土壤管控地块违规用地、焚烧事件、渣土车未覆盖、非道路机械、施工扬尘、雾炮车作业等典型环境监管场景的智能识别算法，通过视频监控与无人机影像自动识别异常行为，生成预警与可视化证据链。</w:t>
      </w:r>
    </w:p>
    <w:p w14:paraId="3492F698">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生物物种智能识别分析</w:t>
      </w:r>
    </w:p>
    <w:p w14:paraId="050B0488">
      <w:pPr>
        <w:rPr>
          <w:rFonts w:hint="eastAsia"/>
        </w:rPr>
      </w:pPr>
      <w:r>
        <w:rPr>
          <w:rFonts w:hint="eastAsia"/>
        </w:rPr>
        <w:t>聚焦鸟类、兽类、鱼类等物种，分别构建智能识别分析模块。包括鸟类物种库建设、鸟类声纹库建设、鸟类图像识别算法开发、鸟类声纹识别算法开发、兽类物种库建设、兽类识别算法开发、鱼类物种库建设、鱼类识别算法开发等功能。</w:t>
      </w:r>
    </w:p>
    <w:p w14:paraId="12B98AAF">
      <w:pPr>
        <w:rPr>
          <w:rFonts w:hint="eastAsia"/>
        </w:rPr>
      </w:pPr>
      <w:r>
        <w:rPr>
          <w:rFonts w:hint="eastAsia"/>
        </w:rPr>
        <w:t>鸟类物种库建设需构建上海市鸟类的基础物种库，存储每类鸟类的学名、中文名、分类归属、典型形态特征，关联高清形态图像（涵盖不同姿态、季节的个体图像），支持按物种名称、形态特征快速检索，为图像识别提供基础形态特征支撑。</w:t>
      </w:r>
    </w:p>
    <w:p w14:paraId="730A14AB">
      <w:pPr>
        <w:rPr>
          <w:rFonts w:ascii="Times New Roman" w:hAnsi="Times New Roman"/>
        </w:rPr>
      </w:pPr>
      <w:r>
        <w:rPr>
          <w:rFonts w:hint="eastAsia" w:ascii="Times New Roman" w:hAnsi="Times New Roman"/>
        </w:rPr>
        <w:t>鸟类声纹库建设需搭建上海市鸟类专项声纹库，收录典型鸣唱声纹数据，存储声纹核心参数，每条声纹数据关联对应鸟类物种信息，按物种名称、声纹频率区间分类归档，支持按声纹特征片段检索，为声纹识别提供数据基础。</w:t>
      </w:r>
    </w:p>
    <w:p w14:paraId="64C7CDB1">
      <w:pPr>
        <w:rPr>
          <w:rFonts w:hint="eastAsia"/>
        </w:rPr>
      </w:pPr>
      <w:r>
        <w:rPr>
          <w:rFonts w:hint="eastAsia"/>
        </w:rPr>
        <w:t>开发鸟类图像识别算法，基于鸟类基础物种库图像数据，构建模型提取聚焦羽毛纹理、喙形、翼展比例的三大核心形态特征，通过与基础物种库中的形态特征模板匹配，输出具体鸟类物种名称及置信度。</w:t>
      </w:r>
    </w:p>
    <w:p w14:paraId="602AFCF4">
      <w:pPr>
        <w:rPr>
          <w:rFonts w:ascii="Times New Roman" w:hAnsi="Times New Roman"/>
        </w:rPr>
      </w:pPr>
      <w:r>
        <w:rPr>
          <w:rFonts w:hint="eastAsia" w:ascii="Times New Roman" w:hAnsi="Times New Roman"/>
        </w:rPr>
        <w:t>开发鸟类图像识别算法，基于鸟类声纹库数据，提取鸟类鸣唱的MFCC核心参数，并过滤风声、虫鸣等环境噪声，通过声纹特征与声纹库中对应物种的声纹模板比对，输出具体鸟类物种名称及置信度。</w:t>
      </w:r>
    </w:p>
    <w:p w14:paraId="6C370DEE">
      <w:pPr>
        <w:rPr>
          <w:rFonts w:ascii="Times New Roman" w:hAnsi="Times New Roman"/>
        </w:rPr>
      </w:pPr>
      <w:r>
        <w:rPr>
          <w:rFonts w:hint="eastAsia" w:ascii="Times New Roman" w:hAnsi="Times New Roman"/>
        </w:rPr>
        <w:t>兽类物种库建设需搭建上海市兽类的基础物种库，收录每类兽类的学名、中文名、分类信息、关键形态特征、红外环境下的典型形态图像，同时记录其基础活动习性，便于快速匹配识别需求。</w:t>
      </w:r>
    </w:p>
    <w:p w14:paraId="171E55E1">
      <w:pPr>
        <w:rPr>
          <w:rFonts w:ascii="Times New Roman" w:hAnsi="Times New Roman"/>
        </w:rPr>
      </w:pPr>
      <w:r>
        <w:rPr>
          <w:rFonts w:hint="eastAsia" w:ascii="Times New Roman" w:hAnsi="Times New Roman"/>
        </w:rPr>
        <w:t>开发兽类识别算法，以图像特征识别为核心，识别兽类体型轮廓、毛色深浅、斑纹分布特征，聚焦体型类型、尾型、关键斑纹特征匹配，最终输出具体兽类物种名称及置信度。</w:t>
      </w:r>
    </w:p>
    <w:p w14:paraId="01D15A4E">
      <w:pPr>
        <w:rPr>
          <w:rFonts w:ascii="Times New Roman" w:hAnsi="Times New Roman"/>
        </w:rPr>
      </w:pPr>
      <w:r>
        <w:rPr>
          <w:rFonts w:hint="eastAsia" w:ascii="Times New Roman" w:hAnsi="Times New Roman"/>
        </w:rPr>
        <w:t>鱼类物种库建设需构建上海市鱼类的基础物种库，收录每类鱼类的学名、中文名、分类信息、核心形态特征、水下环境下的典型图像，同时记录其基础栖息偏好，为识别提供基础特征支撑。</w:t>
      </w:r>
    </w:p>
    <w:p w14:paraId="57821357">
      <w:pPr>
        <w:rPr>
          <w:rFonts w:ascii="Times New Roman" w:hAnsi="Times New Roman"/>
        </w:rPr>
      </w:pPr>
      <w:r>
        <w:rPr>
          <w:rFonts w:hint="eastAsia" w:ascii="Times New Roman" w:hAnsi="Times New Roman"/>
        </w:rPr>
        <w:t>开发鱼类识别算法，基于水下图像形态特征，聚焦体型类型、鳍形、体色斑纹特征进行识别匹配，输出具体鱼类物种名称及置信度。​</w:t>
      </w:r>
    </w:p>
    <w:p w14:paraId="342CC281">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生态环境多要素融合分析</w:t>
      </w:r>
    </w:p>
    <w:p w14:paraId="342EADCC">
      <w:pPr>
        <w:rPr>
          <w:rFonts w:hint="eastAsia"/>
        </w:rPr>
      </w:pPr>
      <w:r>
        <w:rPr>
          <w:rFonts w:hint="eastAsia"/>
        </w:rPr>
        <w:t>实现污染源数据综合，基于综合数据实现统计分析与可视化展示；建设水、大气、土壤等环境多要素融合分析功能，构建流域动态画像，挖掘分析生态环境质量核心问题。</w:t>
      </w:r>
    </w:p>
    <w:p w14:paraId="7DCE4A44">
      <w:pPr>
        <w:rPr>
          <w:rFonts w:ascii="Times New Roman" w:hAnsi="Times New Roman"/>
        </w:rPr>
      </w:pPr>
      <w:r>
        <w:rPr>
          <w:rFonts w:hint="eastAsia" w:ascii="Times New Roman" w:hAnsi="Times New Roman"/>
        </w:rPr>
        <w:t>污染源综合模块需结合固定污染源系统数据和污染源监测数据，基于GIS展示企业画像，按类型、区域开展排放、治理、风险及周边影响、风险源应急等分析；污染物排放综合分析模块需聚焦COD、氨氮、SO₂、NOx等主要污染物，分析年度降幅、市（区）排名及目标完成情况；水环境多要素</w:t>
      </w:r>
      <w:r>
        <w:rPr>
          <w:rFonts w:hint="eastAsia" w:ascii="Times New Roman" w:hAnsi="Times New Roman"/>
          <w:lang w:val="zh-TW"/>
        </w:rPr>
        <w:t>融合</w:t>
      </w:r>
      <w:r>
        <w:rPr>
          <w:rFonts w:hint="eastAsia" w:ascii="Times New Roman" w:hAnsi="Times New Roman"/>
        </w:rPr>
        <w:t>融合分析模块实现地表水融合分析、饮用水融合分析、</w:t>
      </w:r>
      <w:r>
        <w:rPr>
          <w:rFonts w:hint="eastAsia" w:ascii="Times New Roman" w:hAnsi="Times New Roman"/>
          <w:lang w:val="zh-TW" w:eastAsia="zh-TW"/>
        </w:rPr>
        <w:t>上下游沿程时序演变</w:t>
      </w:r>
      <w:r>
        <w:rPr>
          <w:rFonts w:hint="eastAsia" w:ascii="Times New Roman" w:hAnsi="Times New Roman"/>
          <w:lang w:val="zh-TW"/>
        </w:rPr>
        <w:t>、</w:t>
      </w:r>
      <w:r>
        <w:rPr>
          <w:rFonts w:hint="eastAsia" w:ascii="Times New Roman" w:hAnsi="Times New Roman"/>
          <w:lang w:val="zh-TW" w:eastAsia="zh-TW"/>
        </w:rPr>
        <w:t>水生生物</w:t>
      </w:r>
      <w:r>
        <w:rPr>
          <w:rFonts w:hint="eastAsia" w:ascii="Times New Roman" w:hAnsi="Times New Roman"/>
          <w:lang w:val="zh-TW"/>
        </w:rPr>
        <w:t>、</w:t>
      </w:r>
      <w:r>
        <w:rPr>
          <w:rFonts w:hint="eastAsia" w:ascii="Times New Roman" w:hAnsi="Times New Roman"/>
          <w:lang w:val="zh-TW" w:eastAsia="zh-TW"/>
        </w:rPr>
        <w:t>流域生境跟踪</w:t>
      </w:r>
      <w:r>
        <w:rPr>
          <w:rFonts w:hint="eastAsia" w:ascii="Times New Roman" w:hAnsi="Times New Roman"/>
          <w:lang w:val="zh-TW"/>
        </w:rPr>
        <w:t>、</w:t>
      </w:r>
      <w:r>
        <w:rPr>
          <w:rFonts w:hint="eastAsia" w:ascii="Times New Roman" w:hAnsi="Times New Roman"/>
          <w:lang w:val="zh-TW" w:eastAsia="zh-TW"/>
        </w:rPr>
        <w:t>入河排污口关联分析</w:t>
      </w:r>
      <w:r>
        <w:rPr>
          <w:rFonts w:hint="eastAsia" w:ascii="Times New Roman" w:hAnsi="Times New Roman"/>
          <w:lang w:val="zh-TW"/>
        </w:rPr>
        <w:t>、</w:t>
      </w:r>
      <w:r>
        <w:rPr>
          <w:rFonts w:hint="eastAsia" w:ascii="Times New Roman" w:hAnsi="Times New Roman"/>
          <w:lang w:val="zh-TW" w:eastAsia="zh-TW"/>
        </w:rPr>
        <w:t>拓扑关系溯源</w:t>
      </w:r>
      <w:r>
        <w:rPr>
          <w:rFonts w:hint="eastAsia" w:ascii="Times New Roman" w:hAnsi="Times New Roman"/>
          <w:lang w:val="zh-TW"/>
        </w:rPr>
        <w:t>；流域动态画像模块需构建“水质</w:t>
      </w:r>
      <w:r>
        <w:rPr>
          <w:rFonts w:hint="eastAsia" w:ascii="Times New Roman" w:hAnsi="Times New Roman"/>
        </w:rPr>
        <w:t>-</w:t>
      </w:r>
      <w:r>
        <w:rPr>
          <w:rFonts w:hint="eastAsia" w:ascii="Times New Roman" w:hAnsi="Times New Roman"/>
          <w:lang w:val="zh-TW"/>
        </w:rPr>
        <w:t>污染排放</w:t>
      </w:r>
      <w:r>
        <w:rPr>
          <w:rFonts w:hint="eastAsia" w:ascii="Times New Roman" w:hAnsi="Times New Roman"/>
        </w:rPr>
        <w:t>-</w:t>
      </w:r>
      <w:r>
        <w:rPr>
          <w:rFonts w:hint="eastAsia" w:ascii="Times New Roman" w:hAnsi="Times New Roman"/>
          <w:lang w:val="zh-TW"/>
        </w:rPr>
        <w:t>水文气象</w:t>
      </w:r>
      <w:r>
        <w:rPr>
          <w:rFonts w:hint="eastAsia" w:ascii="Times New Roman" w:hAnsi="Times New Roman"/>
        </w:rPr>
        <w:t>-</w:t>
      </w:r>
      <w:r>
        <w:rPr>
          <w:rFonts w:hint="eastAsia" w:ascii="Times New Roman" w:hAnsi="Times New Roman"/>
          <w:lang w:val="zh-TW"/>
        </w:rPr>
        <w:t>社会经济”四维动态画像，融合监测、模型与业务目标，实现流域水环境状态感知、趋势预测、超标预警与治理成效评估一体化；大气环境多要素融合分析模块需支持</w:t>
      </w:r>
      <w:r>
        <w:rPr>
          <w:rFonts w:hint="eastAsia" w:ascii="Times New Roman" w:hAnsi="Times New Roman"/>
          <w:lang w:val="zh-TW" w:eastAsia="zh-TW"/>
        </w:rPr>
        <w:t>大气环境承载力</w:t>
      </w:r>
      <w:r>
        <w:rPr>
          <w:rFonts w:hint="eastAsia" w:ascii="Times New Roman" w:hAnsi="Times New Roman"/>
          <w:lang w:val="zh-TW"/>
        </w:rPr>
        <w:t>分析、</w:t>
      </w:r>
      <w:r>
        <w:rPr>
          <w:rFonts w:hint="eastAsia" w:ascii="Times New Roman" w:hAnsi="Times New Roman"/>
          <w:lang w:val="zh-TW" w:eastAsia="zh-TW"/>
        </w:rPr>
        <w:t>大气环境承载力时序变化</w:t>
      </w:r>
      <w:r>
        <w:rPr>
          <w:rFonts w:hint="eastAsia" w:ascii="Times New Roman" w:hAnsi="Times New Roman"/>
          <w:lang w:val="zh-TW"/>
        </w:rPr>
        <w:t>、</w:t>
      </w:r>
      <w:r>
        <w:rPr>
          <w:rFonts w:hint="eastAsia" w:ascii="Times New Roman" w:hAnsi="Times New Roman"/>
          <w:lang w:val="zh-TW" w:eastAsia="zh-TW"/>
        </w:rPr>
        <w:t>大气环境承载力时空分布</w:t>
      </w:r>
      <w:r>
        <w:rPr>
          <w:rFonts w:hint="eastAsia" w:ascii="Times New Roman" w:hAnsi="Times New Roman"/>
          <w:lang w:val="zh-TW"/>
        </w:rPr>
        <w:t>、</w:t>
      </w:r>
      <w:r>
        <w:rPr>
          <w:rFonts w:hint="eastAsia" w:ascii="Times New Roman" w:hAnsi="Times New Roman"/>
          <w:lang w:val="zh-TW" w:eastAsia="zh-TW"/>
        </w:rPr>
        <w:t>浓度趋势分析</w:t>
      </w:r>
      <w:r>
        <w:rPr>
          <w:rFonts w:hint="eastAsia" w:ascii="Times New Roman" w:hAnsi="Times New Roman"/>
          <w:lang w:val="zh-TW"/>
        </w:rPr>
        <w:t>、</w:t>
      </w:r>
      <w:r>
        <w:rPr>
          <w:rFonts w:hint="eastAsia" w:ascii="Times New Roman" w:hAnsi="Times New Roman"/>
          <w:lang w:val="zh-TW" w:eastAsia="zh-TW"/>
        </w:rPr>
        <w:t>浓度突变分析</w:t>
      </w:r>
      <w:r>
        <w:rPr>
          <w:rFonts w:hint="eastAsia" w:ascii="Times New Roman" w:hAnsi="Times New Roman"/>
          <w:lang w:val="zh-TW"/>
        </w:rPr>
        <w:t>等；土壤环境多要素融合分析模块需支持土壤环境环比变化可视化、环境容量评估、超标/管控地块统计，及地下水污染现状评估、迁移趋势分析，同时结合水文地质与污染源定位风险；生态环境质量主要问题模块需支持系统识别空气、水、土壤、声、农村、海洋等领域的突出环境问题；生态环境质量变化原因分析模块需结合产业结构、人口、气候等因素，深度解析环境质量变化驱动机制。</w:t>
      </w:r>
    </w:p>
    <w:p w14:paraId="6E0406C4">
      <w:pPr>
        <w:pStyle w:val="4"/>
        <w:ind w:firstLine="562"/>
        <w:rPr>
          <w:rFonts w:ascii="Times New Roman" w:hAnsi="Times New Roman"/>
        </w:rPr>
      </w:pPr>
      <w:r>
        <w:rPr>
          <w:rFonts w:hint="eastAsia" w:ascii="Times New Roman" w:hAnsi="Times New Roman"/>
        </w:rPr>
        <w:t>污染源智慧监管</w:t>
      </w:r>
    </w:p>
    <w:p w14:paraId="2B8474FB">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污染源监测设备联网分析</w:t>
      </w:r>
    </w:p>
    <w:p w14:paraId="13888AB1">
      <w:pPr>
        <w:rPr>
          <w:rFonts w:ascii="Times New Roman" w:hAnsi="Times New Roman"/>
        </w:rPr>
      </w:pPr>
      <w:r>
        <w:rPr>
          <w:rFonts w:hint="eastAsia" w:ascii="Times New Roman" w:hAnsi="Times New Roman" w:cs="仿宋"/>
        </w:rPr>
        <w:t>建设联网设备动态管理、联网情况查询统计、联网设备历史变化趋势等功能，融合企业多源数据，包括许可、在线、自行监测、监督性监测等，自动比对同一家企业不同业务数据中的排口信息并关联，同时生成不一致排口清单，推送至企业核实关联、闭环处理。动态监控新建企业、新增设备、监管调整及排污许可变更,实现对企业联网设备的全生命周期动态管理；支持按区域、监测因子、企业类型（废水/废气）等多维度查询与统计分析，并可视化展示联网设备历史变化趋势</w:t>
      </w:r>
      <w:r>
        <w:rPr>
          <w:rFonts w:hint="eastAsia" w:ascii="Times New Roman" w:hAnsi="Times New Roman"/>
        </w:rPr>
        <w:t>。</w:t>
      </w:r>
    </w:p>
    <w:p w14:paraId="783D630B">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污染源监测数据异常分析</w:t>
      </w:r>
    </w:p>
    <w:p w14:paraId="660D866B">
      <w:pPr>
        <w:rPr>
          <w:rFonts w:hint="eastAsia"/>
        </w:rPr>
      </w:pPr>
      <w:r>
        <w:rPr>
          <w:rFonts w:hint="eastAsia"/>
        </w:rPr>
        <w:t>针对电子化运维行为与在线标记位，企业生产、治理设施工况与排放数据，视频信息与数据，企业、行业排放特征与数据，设备、工况故障标记，设备、工况校准校验标记等进行合理性鉴别，自动识别异常原因，发现数据矛盾与不合理行为,生成异常清单并提供人工复核页面；同时通过模型鉴别基线逻辑性，预测企业异常行为。</w:t>
      </w:r>
    </w:p>
    <w:p w14:paraId="2FEAA697">
      <w:pPr>
        <w:rPr>
          <w:rFonts w:ascii="Times New Roman" w:hAnsi="Times New Roman" w:cs="仿宋"/>
        </w:rPr>
      </w:pPr>
      <w:r>
        <w:rPr>
          <w:rFonts w:hint="eastAsia" w:ascii="Times New Roman" w:hAnsi="Times New Roman" w:cs="仿宋"/>
        </w:rPr>
        <w:t>电子化运维行为与在线标记位合理性鉴别支持通过分析运维数据特征，自动识别应标记未标记的异常情况，比对报告中标记的时间、原因与系统登记信息的一致性，生成异常清单并支持人工复核，实现对运维行为与数据标记合理性的精准验证。</w:t>
      </w:r>
    </w:p>
    <w:p w14:paraId="5805C206">
      <w:pPr>
        <w:rPr>
          <w:rFonts w:hint="eastAsia"/>
        </w:rPr>
      </w:pPr>
      <w:r>
        <w:rPr>
          <w:rFonts w:hint="eastAsia"/>
        </w:rPr>
        <w:t>企业生产、治理设施工况与排放数据合理性鉴别需按照不同行业分析其“停产/停排”、“停产/停炉”、“启炉”等数据特征，并通过工况模型与标记数据的矛盾分析，精准识别企业不规范标记行为，生成异常清单并支持人工复核，确保排放数据真实反映企业运行状态。</w:t>
      </w:r>
    </w:p>
    <w:p w14:paraId="6FF151D8">
      <w:pPr>
        <w:rPr>
          <w:rFonts w:ascii="Times New Roman" w:hAnsi="Times New Roman" w:cs="仿宋"/>
        </w:rPr>
      </w:pPr>
      <w:r>
        <w:rPr>
          <w:rFonts w:hint="eastAsia" w:ascii="Times New Roman" w:hAnsi="Times New Roman" w:cs="仿宋"/>
        </w:rPr>
        <w:t>视频信息与数据合理性鉴别需支持识别站房人类活动、记录时间段标记数据，精准检测标记缺失或时间偏差，生成异常清单并支持人工复核，确保监测数据真实性与运维操作合规性。</w:t>
      </w:r>
    </w:p>
    <w:p w14:paraId="17DDBA5E">
      <w:pPr>
        <w:rPr>
          <w:rFonts w:ascii="Times New Roman" w:hAnsi="Times New Roman" w:cs="仿宋"/>
        </w:rPr>
      </w:pPr>
      <w:r>
        <w:rPr>
          <w:rFonts w:hint="eastAsia" w:ascii="Times New Roman" w:hAnsi="Times New Roman" w:cs="仿宋"/>
        </w:rPr>
        <w:t>企业、行业排放特征与数据合理性鉴别支持分析车间一类重金属排放口与总排之间的排放量关系，验证生产工况与排放数据的合理性，生成异常清单并支持人工复核，精准识别异常排放行为。</w:t>
      </w:r>
    </w:p>
    <w:p w14:paraId="30435508">
      <w:pPr>
        <w:rPr>
          <w:rFonts w:ascii="Times New Roman" w:hAnsi="Times New Roman" w:cs="仿宋"/>
        </w:rPr>
      </w:pPr>
      <w:r>
        <w:rPr>
          <w:rFonts w:hint="eastAsia" w:ascii="Times New Roman" w:hAnsi="Times New Roman" w:cs="仿宋"/>
        </w:rPr>
        <w:t>设备、工况故障标记合理性鉴别需分析企业正常排放数据特征，并比对正常数据特征与“故障/事故”标记位的矛盾，生成异常清单并支持人工复核，精准识别非正常故障标记行为。</w:t>
      </w:r>
    </w:p>
    <w:p w14:paraId="2221E62E">
      <w:pPr>
        <w:rPr>
          <w:rFonts w:hint="eastAsia"/>
        </w:rPr>
      </w:pPr>
      <w:r>
        <w:rPr>
          <w:rFonts w:hint="eastAsia"/>
        </w:rPr>
        <w:t>设备、工况校准校验标记合理性鉴别支持分析各企业校准数据特征和生产排放时数据特征，精准识别校准标记位未开展校准、长时间在集中排水期间长时间开展核查校准的异常行为，生成异常清单并支持人工复核，确保监测数据真实。</w:t>
      </w:r>
    </w:p>
    <w:p w14:paraId="09883720">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污染排放预测预警</w:t>
      </w:r>
    </w:p>
    <w:p w14:paraId="49B773E2">
      <w:pPr>
        <w:rPr>
          <w:rFonts w:hint="eastAsia"/>
        </w:rPr>
      </w:pPr>
      <w:r>
        <w:rPr>
          <w:rFonts w:hint="eastAsia"/>
        </w:rPr>
        <w:t>通过整合污染源在线监测数据、设备状态标记数据及执法检查结果，建设基于在线排放数据的逻辑性鉴别模型和PEMS排放预测模型，实现异常企业清单、模型评估报告及动态预警信息精准输出，为环境执法提供科学依据。</w:t>
      </w:r>
    </w:p>
    <w:p w14:paraId="1DE573DB">
      <w:pPr>
        <w:rPr>
          <w:rFonts w:ascii="Times New Roman" w:hAnsi="Times New Roman" w:cs="仿宋"/>
        </w:rPr>
      </w:pPr>
      <w:r>
        <w:rPr>
          <w:rFonts w:hint="eastAsia" w:ascii="Times New Roman" w:hAnsi="Times New Roman" w:cs="仿宋"/>
        </w:rPr>
        <w:t>基于在线排放数据的逻辑性鉴别功能需整合现有的污染源在线异常线索模型，以执法检查结果为“标准”，构建闭环验证机制。通过比对在线数据与执法结果，识别误判漏判，动态优化模型参数、规则或维度，提升异常鉴别能力与监管精准性。</w:t>
      </w:r>
    </w:p>
    <w:p w14:paraId="069A485E">
      <w:pPr>
        <w:rPr>
          <w:rFonts w:hint="eastAsia"/>
        </w:rPr>
      </w:pPr>
      <w:r>
        <w:rPr>
          <w:rFonts w:hint="eastAsia"/>
        </w:rPr>
        <w:t>PEMS排放预测模型利用实时数据库整合废水废气监测及设备状态标记数据，支持过滤故障/校准异常，通过历史小时数据建立模型预测排放超标。支持实时匹配特征库，超阈值即触发预警，输出异常企业清单，提示潜在未标记异常排放。</w:t>
      </w:r>
    </w:p>
    <w:p w14:paraId="67D6ED47">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污染排放特征分析</w:t>
      </w:r>
    </w:p>
    <w:p w14:paraId="3B59A04C">
      <w:pPr>
        <w:rPr>
          <w:rFonts w:hint="eastAsia"/>
        </w:rPr>
      </w:pPr>
      <w:r>
        <w:rPr>
          <w:rFonts w:hint="eastAsia"/>
        </w:rPr>
        <w:t>实现行业、企业、排口标记三大维度特征分析，以图表、报告等形式呈现结果，输出管控策略与优化建议，为差异化、精准化环境监管提供决策支撑。</w:t>
      </w:r>
    </w:p>
    <w:p w14:paraId="786765D6">
      <w:pPr>
        <w:rPr>
          <w:rFonts w:ascii="Times New Roman" w:hAnsi="Times New Roman" w:cs="仿宋"/>
        </w:rPr>
      </w:pPr>
      <w:r>
        <w:rPr>
          <w:rFonts w:hint="eastAsia" w:ascii="Times New Roman" w:hAnsi="Times New Roman" w:cs="仿宋"/>
        </w:rPr>
        <w:t>行业特征分析聚焦污染物浓度、总量及生产特征，建立行业排放特征数据库，挖掘共性规律与异常，实现排放阈值确定、时序规律提取、典型排放模式提炼、高污染子类识别，及异常簇与行业关联性标注、特定时段异常波动识别、违规排放线索定位。并支持输出阈值报告、时序图谱、聚类结果及管控策略，助力差异化环境监管。</w:t>
      </w:r>
    </w:p>
    <w:p w14:paraId="31BAC7F7">
      <w:pPr>
        <w:rPr>
          <w:rFonts w:hint="eastAsia"/>
        </w:rPr>
      </w:pPr>
      <w:r>
        <w:rPr>
          <w:rFonts w:hint="eastAsia"/>
        </w:rPr>
        <w:t>企业特征分析需采集历年污染源浓度数据、在线监测、设备标记等多源数据，分析企业污染物年度/月度浓度、夜间/昼间、夏季/冬季排放特征，构建浓度异常判定规则，以图表呈现浓度分布与波动，定位企业、排放口及区域异常，为精准监管与调控提供决策依据。</w:t>
      </w:r>
    </w:p>
    <w:p w14:paraId="65962712">
      <w:pPr>
        <w:rPr>
          <w:rFonts w:hint="eastAsia"/>
        </w:rPr>
      </w:pPr>
      <w:r>
        <w:rPr>
          <w:rFonts w:hint="eastAsia"/>
        </w:rPr>
        <w:t>排口标记特征需分析标记类型特征及监测设备特征。标记类型特征聚焦生产设施、治理设施及设备维护等标记行为，统计标记时长、频次、时间规律及关联特征，识别异常标记模式，结合行业属性细化标记规则，以可视化图表展示标记分布，输出异常报告并给出监管优先级建议；监测设备特征聚焦设备选型、安装及运行参数对数据质量的影响，涵盖监测指标覆盖范围、采样频率、校准周期等关键特征，构建设备性能评估与排污口匹配规则，输出设备性能报告、选型优化建议及数据质量保障措施。</w:t>
      </w:r>
    </w:p>
    <w:p w14:paraId="4C65BD4C">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污染源监测画像</w:t>
      </w:r>
    </w:p>
    <w:p w14:paraId="761BEBB1">
      <w:pPr>
        <w:rPr>
          <w:rFonts w:hint="eastAsia"/>
        </w:rPr>
      </w:pPr>
      <w:r>
        <w:rPr>
          <w:rFonts w:hint="eastAsia"/>
        </w:rPr>
        <w:t>根据排污单位在各环境管理系统中的大量碎片数据进行深度挖掘和融合，构建</w:t>
      </w:r>
      <w:bookmarkStart w:id="19" w:name="OLE_LINK11"/>
      <w:bookmarkStart w:id="20" w:name="OLE_LINK10"/>
      <w:r>
        <w:rPr>
          <w:rFonts w:hint="eastAsia"/>
        </w:rPr>
        <w:t>排污单位</w:t>
      </w:r>
      <w:bookmarkEnd w:id="19"/>
      <w:bookmarkEnd w:id="20"/>
      <w:r>
        <w:rPr>
          <w:rFonts w:hint="eastAsia"/>
        </w:rPr>
        <w:t>和环境的直接、间接数据关系，提取排污单位关键的环境特征，刻画排污单位环境行为，形成排污单位环境画像。建设企业监测画像生成、分析与查询三大核心功能，动态计算评分等级，多维度展示排放特征、合规表现及异常点，精准识别高风险企业，并支持模糊、高级及热点查询，为环境监管决策提供全面数据支撑。</w:t>
      </w:r>
    </w:p>
    <w:p w14:paraId="282DD266">
      <w:pPr>
        <w:rPr>
          <w:rFonts w:ascii="Times New Roman" w:hAnsi="Times New Roman" w:cs="仿宋"/>
        </w:rPr>
      </w:pPr>
      <w:r>
        <w:rPr>
          <w:rFonts w:hint="eastAsia" w:ascii="Times New Roman" w:hAnsi="Times New Roman" w:cs="仿宋"/>
        </w:rPr>
        <w:t>企业监测画像生成包括画像生成模型管理、画像工作标题管理、企业画像动态管理、画像工作执行管理、画像生成结果查询等功能。建立污染源档案，汇总企业环境影响评价、排污许可、污染源在线监测等信息，构建多维度的量化画像生成模型，分析其污染物排放口的排放特征分析，以及新建、改扩建、技改等生命周期过程中污染排放趋势，查找其中可能存在的异常问题线索，结合排污单位环境监测、执法处罚等信息，扩展污染源分级评价，动态计算企业画像评分和画像等级；支持创建画像生成任务并启动相关工作流程，通过定义任务标题及参数，实现对企业画像生成工作的规范化管理；在画像生成全流程中，支持企业名单动态调整，可进行新增、删除、修改操作，提供手动录入及模板导入两种方式；画像工作执行管理支持系统自动执行与人工手动执行两种模式，自动执行时动态生成评价结果并发布，手动执行需人工设置计算时间点完成运算后同步发布；以可视化图表或报告形式展示企业画像评分结果和画像评价等级，支持按行业、区域、时间等维度筛选。</w:t>
      </w:r>
    </w:p>
    <w:p w14:paraId="00ED5884">
      <w:pPr>
        <w:rPr>
          <w:rFonts w:ascii="Times New Roman" w:hAnsi="Times New Roman" w:cs="仿宋"/>
        </w:rPr>
      </w:pPr>
      <w:r>
        <w:rPr>
          <w:rFonts w:hint="eastAsia" w:ascii="Times New Roman" w:hAnsi="Times New Roman" w:cs="仿宋"/>
        </w:rPr>
        <w:t>企业监测画像分析包括综合画像视图、排放特征画像、合规表现画像、治理设施画像、企业档案详情、决策支持分析等功能。综合画像视图以企业为单位，集中展示其基本信息、环境行为的核心特征标签等综合信息；排放特征画像按污染物类别构建排放浓度分布及历史波动范围，结合排放稳定性指标分析排放规律性；合规表现画像需统计排污许可证执行率、执法处罚记录、整改完成率，并支持查看相关详情信息和过程信息；治理设施画像需展示设备运行状态、运维周期、治理效率，评估设施运行效能。并支持查看历史记录；企业档案详情聚焦企业多维度业务数据管理，支持污染源信息分类建索；决策支持分析以提供折线图、饼动态饼图、表格等形式的展示方式。</w:t>
      </w:r>
    </w:p>
    <w:p w14:paraId="2C69820B">
      <w:pPr>
        <w:rPr>
          <w:rFonts w:hint="eastAsia"/>
        </w:rPr>
      </w:pPr>
      <w:r>
        <w:rPr>
          <w:rFonts w:hint="eastAsia"/>
        </w:rPr>
        <w:t>企业监测画像查询支持模糊检索、多维度高级查询及热点搜索，方便快速定位企业画像。</w:t>
      </w:r>
    </w:p>
    <w:p w14:paraId="66AE9B6A">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污染源监测智能检查助手</w:t>
      </w:r>
    </w:p>
    <w:p w14:paraId="538D186C">
      <w:pPr>
        <w:rPr>
          <w:rFonts w:hint="eastAsia"/>
        </w:rPr>
      </w:pPr>
      <w:r>
        <w:rPr>
          <w:rFonts w:hint="eastAsia"/>
        </w:rPr>
        <w:t>依托智能体，实现数据合规、自行监测检查、排污许可执行三大核心场景的自动化合规分析，支持预警问题闭环管理。</w:t>
      </w:r>
    </w:p>
    <w:p w14:paraId="66EEC066">
      <w:pPr>
        <w:rPr>
          <w:rFonts w:hint="eastAsia"/>
        </w:rPr>
      </w:pPr>
      <w:r>
        <w:rPr>
          <w:rFonts w:hint="eastAsia"/>
        </w:rPr>
        <w:t>数据合规智能分析功能支持对接固定污染源相关业务系统数据，融合企业上传凭证与结构化数据，结合行业合规标准与历史审核经验，利用数据合规认定智能体，挖掘污染源数据异常（凭证/超标）并汇总线索，支持生成推送企业异常建议，允许人工标记，有效线索可自动入库形成知识沉淀，并支持按区域、行业、企业、运维单位等维度进行统计分析与图表展示，同时提供异常详情及完整证据链。</w:t>
      </w:r>
    </w:p>
    <w:p w14:paraId="7057E8BC">
      <w:pPr>
        <w:rPr>
          <w:rFonts w:ascii="Times New Roman" w:hAnsi="Times New Roman" w:cs="仿宋"/>
        </w:rPr>
      </w:pPr>
      <w:r>
        <w:rPr>
          <w:rFonts w:hint="eastAsia" w:ascii="Times New Roman" w:hAnsi="Times New Roman" w:cs="仿宋"/>
        </w:rPr>
        <w:t>自行监测检查智能分析功能支持基于固定污染源基础信息、排污单位自行监测检查、社会化服务监管等</w:t>
      </w:r>
      <w:r>
        <w:rPr>
          <w:rFonts w:hint="eastAsia" w:ascii="Times New Roman" w:hAnsi="Times New Roman" w:cs="仿宋"/>
          <w:szCs w:val="32"/>
        </w:rPr>
        <w:t>自行监测检查相关的数据，利用</w:t>
      </w:r>
      <w:r>
        <w:rPr>
          <w:rFonts w:hint="eastAsia" w:ascii="Times New Roman" w:hAnsi="Times New Roman" w:cs="仿宋"/>
        </w:rPr>
        <w:t>自行监测检查</w:t>
      </w:r>
      <w:r>
        <w:rPr>
          <w:rFonts w:hint="eastAsia" w:ascii="Times New Roman" w:hAnsi="Times New Roman" w:cs="仿宋"/>
          <w:szCs w:val="32"/>
        </w:rPr>
        <w:t>智能体</w:t>
      </w:r>
      <w:r>
        <w:rPr>
          <w:rFonts w:hint="eastAsia" w:ascii="Times New Roman" w:hAnsi="Times New Roman" w:cs="仿宋"/>
        </w:rPr>
        <w:t>，开展一致性诊断，自动核查排污许可、排放口等信息是否合规有效，并反馈企业整改；支持材料与行为核查，对自行监测附件及监测机构行为进行智能审查，识别异常或弄虚作假线索，推送执法部门；实现智能汇总与可视化，支持按区域、行业、机构等多维度分类统计异常线索，支持有效性判定，并通过图表直观展示检查结果。</w:t>
      </w:r>
    </w:p>
    <w:p w14:paraId="778872C6">
      <w:pPr>
        <w:rPr>
          <w:rFonts w:ascii="Times New Roman" w:hAnsi="Times New Roman" w:cs="仿宋"/>
        </w:rPr>
      </w:pPr>
      <w:r>
        <w:rPr>
          <w:rFonts w:hint="eastAsia" w:ascii="Times New Roman" w:hAnsi="Times New Roman" w:cs="仿宋"/>
        </w:rPr>
        <w:t>排污许可执行智能分析需对接固定源综合监管系统，融合排污许可证、执行报告与在线监控排放数据，通过排污许可执行智能体，自动对比执行内容、频次及排放总量，识别异常并分类汇总；支持多维度（区域、行业、企业等）统计与图表可视化，辅助判定线索有效性，并将有效问题推送监管人员，支撑排污许可执行情况的精准监管。</w:t>
      </w:r>
    </w:p>
    <w:p w14:paraId="48A80725">
      <w:pPr>
        <w:rPr>
          <w:rFonts w:hint="eastAsia"/>
        </w:rPr>
      </w:pPr>
      <w:r>
        <w:rPr>
          <w:rFonts w:hint="eastAsia"/>
        </w:rPr>
        <w:t>预警问题闭环管理对接任务管理模块，将预警结果分类推送企业，需提供辅助检查异常结果和对应整改建议，支持企业上传整改材料或提出异议，形成预警闭环。同时支持针对企业的处置情况，进行分类汇总统计。</w:t>
      </w:r>
    </w:p>
    <w:p w14:paraId="712701F6">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温室气体监测排放核算与分析</w:t>
      </w:r>
    </w:p>
    <w:p w14:paraId="00832D50">
      <w:pPr>
        <w:rPr>
          <w:rFonts w:hint="eastAsia"/>
        </w:rPr>
      </w:pPr>
      <w:r>
        <w:rPr>
          <w:rFonts w:hint="eastAsia"/>
        </w:rPr>
        <w:t>建设温室气体监测排放核算、碳排放当量分析、企业碳污排放协同分析等功能。对接碳排放在线监测企业有效审核数据及减污降碳中心相关碳排放与生产活动水平数据，基于温室气体监测数据以实测法核算企业碳排放；支持区域、行业、企业多维度智能筛选的碳排放当量分析，通过多种图表可视化展示；结合核算得出的碳排放量与污染物排放开展协同分析，支持通过时间序列分析和相关性分析等方法，识别协同减排效果。</w:t>
      </w:r>
    </w:p>
    <w:p w14:paraId="436DFBC0">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长三角船舶污染排放动态核算与分析</w:t>
      </w:r>
    </w:p>
    <w:p w14:paraId="6D5FDC99">
      <w:pPr>
        <w:rPr>
          <w:rFonts w:hint="eastAsia"/>
        </w:rPr>
      </w:pPr>
      <w:r>
        <w:rPr>
          <w:rFonts w:hint="eastAsia"/>
        </w:rPr>
        <w:t>围绕船舶污染排放开展全流程核算与分析，建设船舶静态数据库构建、船舶AIS数据解析关联、船舶工况智能识别、船舶动态排放计算、船舶整体排放空间分布、单条船舶排放分析、船舶排放特征分析、船舶排放信息共享服务等功能。</w:t>
      </w:r>
    </w:p>
    <w:p w14:paraId="119EDBD0">
      <w:pPr>
        <w:widowControl/>
        <w:rPr>
          <w:rFonts w:ascii="Times New Roman" w:hAnsi="Times New Roman" w:cs="仿宋"/>
        </w:rPr>
      </w:pPr>
      <w:r>
        <w:rPr>
          <w:rFonts w:hint="eastAsia" w:ascii="Times New Roman" w:hAnsi="Times New Roman" w:cs="仿宋"/>
        </w:rPr>
        <w:t>船舶静态数据库需在文献调研和船舶信息数据库的基础上，设计和构建基于大数据的船舶静态数据库，包括船舶类型、位、船龄、主机/辅机、锅炉、船队、油品等船舶信息；</w:t>
      </w:r>
    </w:p>
    <w:p w14:paraId="1663625A">
      <w:pPr>
        <w:widowControl/>
        <w:rPr>
          <w:rFonts w:ascii="Times New Roman" w:hAnsi="Times New Roman" w:cs="仿宋"/>
        </w:rPr>
      </w:pPr>
      <w:r>
        <w:rPr>
          <w:rFonts w:hint="eastAsia" w:ascii="Times New Roman" w:hAnsi="Times New Roman" w:cs="仿宋"/>
        </w:rPr>
        <w:t>船舶AIS数据解析关联需实现AIS数据的快速解译、清洗和实时入库。并实时根据每一条AIS相关信息，快速匹配船舶的静态数据，获取船舶基本信息，并根据AIS数据的有限信息(如定位设备位置计算船舶大小)，对在船舶静态数据库中不存在的船舶信息进行智能化匹配，提高船舶信息的匹配率，增加内河船舶分船型AIS数据的实时入库与核算分析；</w:t>
      </w:r>
    </w:p>
    <w:p w14:paraId="7DC0DB7A">
      <w:pPr>
        <w:widowControl/>
        <w:rPr>
          <w:rFonts w:ascii="Times New Roman" w:hAnsi="Times New Roman" w:cs="仿宋"/>
        </w:rPr>
      </w:pPr>
      <w:r>
        <w:rPr>
          <w:rFonts w:hint="eastAsia" w:ascii="Times New Roman" w:hAnsi="Times New Roman" w:cs="仿宋"/>
        </w:rPr>
        <w:t>船舶工况智能识别需根据对地航速、航线、目的地、位置等多维信息，自动化识别出每条船舶不同时间内的工况；</w:t>
      </w:r>
    </w:p>
    <w:p w14:paraId="6AB0CDC8">
      <w:pPr>
        <w:widowControl/>
        <w:rPr>
          <w:rFonts w:ascii="Times New Roman" w:hAnsi="Times New Roman" w:cs="仿宋"/>
        </w:rPr>
      </w:pPr>
      <w:r>
        <w:rPr>
          <w:rFonts w:hint="eastAsia" w:ascii="Times New Roman" w:hAnsi="Times New Roman" w:cs="仿宋"/>
        </w:rPr>
        <w:t>船舶动态排放计算需开发AIS船舶排放清单和船舶动态排放计算模型，动态更新不同船型船舶排放因子，动态计算单条船舶、多条船舶的排放量，形成全部船舶排放清单；</w:t>
      </w:r>
    </w:p>
    <w:p w14:paraId="1BD3523E">
      <w:pPr>
        <w:widowControl/>
        <w:rPr>
          <w:rFonts w:ascii="Times New Roman" w:hAnsi="Times New Roman" w:cs="仿宋"/>
        </w:rPr>
      </w:pPr>
      <w:r>
        <w:rPr>
          <w:rFonts w:hint="eastAsia" w:ascii="Times New Roman" w:hAnsi="Times New Roman" w:cs="仿宋"/>
        </w:rPr>
        <w:t>船舶整体排放空间分布支持船舶排放清单可视化展示，动态更新相关信息，搭载矢量绘制地图，支持缩放操作；单条船舶排放分析支持展示单船的运行轨迹与排放详情，可通过查询获取重点船只的航行轨迹、航行速度、船舶信息等信息；</w:t>
      </w:r>
    </w:p>
    <w:p w14:paraId="1506CD2C">
      <w:pPr>
        <w:widowControl/>
        <w:rPr>
          <w:rFonts w:ascii="Times New Roman" w:hAnsi="Times New Roman" w:cs="仿宋"/>
        </w:rPr>
      </w:pPr>
      <w:r>
        <w:rPr>
          <w:rFonts w:hint="eastAsia" w:ascii="Times New Roman" w:hAnsi="Times New Roman" w:cs="仿宋"/>
        </w:rPr>
        <w:t>船舶排放特征分析包括排放对比分析、日统计、小时廓线、小时排放、日排放、月排放、年排放，支持以折线图、表格等形式展示不同时间网格的排放差异结果，支持按不同区域、不同船舶类型、不同时间段、不同排放因子等统计方式进行筛选；</w:t>
      </w:r>
    </w:p>
    <w:p w14:paraId="40F9D0C0">
      <w:pPr>
        <w:rPr>
          <w:rFonts w:hint="eastAsia"/>
        </w:rPr>
      </w:pPr>
      <w:r>
        <w:rPr>
          <w:rFonts w:hint="eastAsia"/>
        </w:rPr>
        <w:t>基于长三角空气质量预报预警系统与实时总量平台的数据共享要求，提供船舶排放数据共享服务，支持按时间类型、区域范围、污染因子等维度切换视图。</w:t>
      </w:r>
    </w:p>
    <w:p w14:paraId="4ACA1F54">
      <w:pPr>
        <w:pStyle w:val="4"/>
        <w:ind w:firstLine="562"/>
        <w:rPr>
          <w:rFonts w:ascii="Times New Roman" w:hAnsi="Times New Roman"/>
        </w:rPr>
      </w:pPr>
      <w:r>
        <w:rPr>
          <w:rFonts w:hint="eastAsia" w:ascii="Times New Roman" w:hAnsi="Times New Roman"/>
        </w:rPr>
        <w:t>监测机构异常分析</w:t>
      </w:r>
    </w:p>
    <w:p w14:paraId="4720C197">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监测机构能力智能分析</w:t>
      </w:r>
    </w:p>
    <w:p w14:paraId="4EAFA328">
      <w:pPr>
        <w:rPr>
          <w:rFonts w:ascii="Times New Roman" w:hAnsi="Times New Roman" w:cs="仿宋"/>
        </w:rPr>
      </w:pPr>
      <w:r>
        <w:rPr>
          <w:rFonts w:hint="eastAsia" w:ascii="Times New Roman" w:hAnsi="Times New Roman" w:cs="仿宋"/>
        </w:rPr>
        <w:t>支持对机构监测能力进行智能分析、比对，实现对机构填报和监测报告存在的问题进行快速定位。包括CMA能力资质提取、能力信息比对及超范围预警、报告部分监测能力提取及预警。</w:t>
      </w:r>
    </w:p>
    <w:p w14:paraId="4313258D">
      <w:pPr>
        <w:rPr>
          <w:rFonts w:ascii="Times New Roman" w:hAnsi="Times New Roman" w:cs="仿宋"/>
        </w:rPr>
      </w:pPr>
      <w:r>
        <w:rPr>
          <w:rFonts w:hint="eastAsia" w:ascii="Times New Roman" w:hAnsi="Times New Roman" w:cs="仿宋"/>
        </w:rPr>
        <w:t>CMA能力资质提取基于监测机构异常分析大模型实现基于CMA资质证书完成对机构监测能力的自动提取，提取的内容需包括证书编号、机构名称、认证日期和有效期、认证项目和参数、监测领域、监测项目和参数等。</w:t>
      </w:r>
    </w:p>
    <w:p w14:paraId="50945AE7">
      <w:pPr>
        <w:ind w:firstLineChars="0"/>
        <w:rPr>
          <w:rFonts w:ascii="Times New Roman" w:hAnsi="Times New Roman" w:cs="仿宋"/>
        </w:rPr>
      </w:pPr>
      <w:r>
        <w:rPr>
          <w:rFonts w:hint="eastAsia" w:ascii="Times New Roman" w:hAnsi="Times New Roman" w:cs="仿宋"/>
        </w:rPr>
        <w:t>能力信息比对及超范围预警基于机构填报的监测能力和自动提取的相关数据进行自动比对，对更新的基础能力信息进行超范围预警能力的提醒。</w:t>
      </w:r>
    </w:p>
    <w:p w14:paraId="66703119">
      <w:pPr>
        <w:rPr>
          <w:rFonts w:ascii="Times New Roman" w:hAnsi="Times New Roman"/>
        </w:rPr>
      </w:pPr>
      <w:r>
        <w:rPr>
          <w:rFonts w:hint="eastAsia" w:ascii="Times New Roman" w:hAnsi="Times New Roman" w:cs="仿宋"/>
        </w:rPr>
        <w:t>报告部分监测能力提取及预警需完成报告中相关监测方法的提取，并实现和系统确认的能力进行超范围预警，形成相关的记录和报告关联关系，由人工确认之后进行问题下发，机构根据相关问题进行整改</w:t>
      </w:r>
      <w:r>
        <w:rPr>
          <w:rFonts w:hint="eastAsia" w:ascii="Times New Roman" w:hAnsi="Times New Roman"/>
        </w:rPr>
        <w:t>。</w:t>
      </w:r>
    </w:p>
    <w:p w14:paraId="79187C79">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监测机构报告异常分析</w:t>
      </w:r>
    </w:p>
    <w:p w14:paraId="3B6C197B">
      <w:pPr>
        <w:rPr>
          <w:rFonts w:ascii="Times New Roman" w:hAnsi="Times New Roman" w:cs="仿宋"/>
        </w:rPr>
      </w:pPr>
      <w:r>
        <w:rPr>
          <w:rFonts w:hint="eastAsia" w:ascii="Times New Roman" w:hAnsi="Times New Roman" w:cs="仿宋"/>
        </w:rPr>
        <w:t>基于监测机构报告进行多维度分析，生成机构画像并统计异常信息。支持异常问题动态更新、管理，为机构管理与监测决策提供支持。包括报告关键信息提取、报告异常规则设定、报告异常信息提取和确认等。</w:t>
      </w:r>
    </w:p>
    <w:p w14:paraId="3D1A5056">
      <w:pPr>
        <w:rPr>
          <w:rFonts w:ascii="Times New Roman" w:hAnsi="Times New Roman" w:cs="仿宋"/>
        </w:rPr>
      </w:pPr>
      <w:r>
        <w:rPr>
          <w:rFonts w:hint="eastAsia" w:ascii="Times New Roman" w:hAnsi="Times New Roman" w:cs="仿宋"/>
        </w:rPr>
        <w:t>报告关键信息提取需完成对检查报告中包括监测能力、合同数量和金额（年）、监测企业的和点位的数量、监测报告数据等信息的提取，实现报告关键部分数据的电子化。</w:t>
      </w:r>
    </w:p>
    <w:p w14:paraId="3588C61D">
      <w:pPr>
        <w:ind w:firstLineChars="0"/>
        <w:rPr>
          <w:rFonts w:ascii="Times New Roman" w:hAnsi="Times New Roman" w:cs="仿宋"/>
        </w:rPr>
      </w:pPr>
      <w:r>
        <w:rPr>
          <w:rFonts w:hint="eastAsia" w:ascii="Times New Roman" w:hAnsi="Times New Roman" w:cs="仿宋"/>
        </w:rPr>
        <w:t>报告异常规则设定支持设置报告中关键的信息的逻辑对比规则，如实现任务时间、采样时间、分析时间和报告出具时间的逻辑性判断；对企业监测的任务的点位清单和报告中的相关点位逻辑的设定；对报告监测数据和相关回流数据的的规则设定。</w:t>
      </w:r>
    </w:p>
    <w:p w14:paraId="5B251C54">
      <w:pPr>
        <w:rPr>
          <w:rFonts w:ascii="Times New Roman" w:hAnsi="Times New Roman"/>
        </w:rPr>
      </w:pPr>
      <w:r>
        <w:rPr>
          <w:rFonts w:hint="eastAsia" w:ascii="Times New Roman" w:hAnsi="Times New Roman" w:cs="仿宋"/>
        </w:rPr>
        <w:t>报告异常信息提取和确认支持通过规则进行数据的自动匹配，形成相关告警列表，提供人工确认和标记功能，对相关问题进行标记，对已经标记的问题形成相关线索清单进行任务的推送和整改过程的记录</w:t>
      </w:r>
      <w:r>
        <w:rPr>
          <w:rFonts w:hint="eastAsia" w:ascii="Times New Roman" w:hAnsi="Times New Roman"/>
        </w:rPr>
        <w:t>。</w:t>
      </w:r>
    </w:p>
    <w:p w14:paraId="39BC9B88">
      <w:pPr>
        <w:rPr>
          <w:rFonts w:ascii="Times New Roman" w:hAnsi="Times New Roman"/>
        </w:rPr>
      </w:pPr>
    </w:p>
    <w:p w14:paraId="13A78228">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监测机构现场采样质量分析</w:t>
      </w:r>
    </w:p>
    <w:p w14:paraId="1C38F287">
      <w:pPr>
        <w:rPr>
          <w:rFonts w:hint="eastAsia"/>
        </w:rPr>
      </w:pPr>
      <w:r>
        <w:rPr>
          <w:rFonts w:hint="eastAsia"/>
        </w:rPr>
        <w:t>建设含监测基本信息、过程及质控参数等的关键参数；对接监测机构采样过程中的工况、设备状态等多类监测数据；实现采样设备合规性与功能性分析，核查传感器状态、检定校准有效期等关键项；支持采样流程规范性与参数合理性校验；支持判断压力调零、等速跟踪率等是否达标，分析异常原因及影响；通过全流程分析，确保采样质量符合技术规范要求。</w:t>
      </w:r>
    </w:p>
    <w:p w14:paraId="4FBCEF25">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监测机构实验过程质量分析</w:t>
      </w:r>
    </w:p>
    <w:p w14:paraId="1E2F50EF">
      <w:pPr>
        <w:widowControl/>
        <w:rPr>
          <w:rFonts w:ascii="Times New Roman" w:hAnsi="Times New Roman"/>
        </w:rPr>
      </w:pPr>
      <w:r>
        <w:rPr>
          <w:rFonts w:hint="eastAsia" w:ascii="Times New Roman" w:hAnsi="Times New Roman"/>
        </w:rPr>
        <w:t>依据实验室标准操作规程，对关键实验环节进行全流程监控与智能分析。通过融合计算机视觉技术与多源数据，实现操作行为的自动记录、过程数据的实时比对、区域状态的持续监测，识别采样仪器设备间、样品交接室、制样室、样品前处理、实验分析过程、实验区出入口、样品瓶清洗间等环节，实现对实验分析过程潜在异常风险的有效预警。</w:t>
      </w:r>
    </w:p>
    <w:p w14:paraId="1840A948">
      <w:pPr>
        <w:widowControl/>
        <w:rPr>
          <w:rFonts w:ascii="Times New Roman" w:hAnsi="Times New Roman"/>
        </w:rPr>
      </w:pPr>
      <w:r>
        <w:rPr>
          <w:rFonts w:hint="eastAsia" w:ascii="Times New Roman" w:hAnsi="Times New Roman"/>
        </w:rPr>
        <w:t>采样仪器设备间智能分析需识别采样设备进出时间，并与相关数据进行比对。当比对数据出现异常或设备间连续无人时长超过设定阈值，提示存在未采样即出报告的风险。</w:t>
      </w:r>
    </w:p>
    <w:p w14:paraId="03AAFB70">
      <w:pPr>
        <w:widowControl/>
        <w:rPr>
          <w:rFonts w:ascii="Times New Roman" w:hAnsi="Times New Roman"/>
        </w:rPr>
      </w:pPr>
      <w:r>
        <w:rPr>
          <w:rFonts w:hint="eastAsia" w:ascii="Times New Roman" w:hAnsi="Times New Roman"/>
        </w:rPr>
        <w:t>样品交接室智能分析需识别样品进出交接室时间、样品停留时长以及交接室空闲时长。当样品交接时间逻辑有误、样品停留时长异常或连续无人时长超过设定阈值，提示存在未按规定进行样品交接或样品保存超有效期的风险。</w:t>
      </w:r>
    </w:p>
    <w:p w14:paraId="517CA7B7">
      <w:pPr>
        <w:widowControl/>
        <w:rPr>
          <w:rFonts w:ascii="Times New Roman" w:hAnsi="Times New Roman"/>
        </w:rPr>
      </w:pPr>
      <w:r>
        <w:rPr>
          <w:rFonts w:hint="eastAsia" w:ascii="Times New Roman" w:hAnsi="Times New Roman"/>
        </w:rPr>
        <w:t>制样室智能分析需识别样品进出制样室时间、风干操作和时长、研磨过筛等制样操作，并记录时间段与相关记录比对。当制样时长不满足要求、制样室连续空闲或关键制样步骤缺失，提示存在制样不完整或未按规定制样的风险。</w:t>
      </w:r>
    </w:p>
    <w:p w14:paraId="363B01E1">
      <w:pPr>
        <w:widowControl/>
        <w:rPr>
          <w:rFonts w:ascii="Times New Roman" w:hAnsi="Times New Roman"/>
        </w:rPr>
      </w:pPr>
      <w:r>
        <w:rPr>
          <w:rFonts w:hint="eastAsia" w:ascii="Times New Roman" w:hAnsi="Times New Roman"/>
        </w:rPr>
        <w:t>样品前处理过程智能分析需识别样品前处理时间与批次，当前处理样品数量和实际样品数量逻辑不符合，提示存在未按规定进行前处理的风险。</w:t>
      </w:r>
    </w:p>
    <w:p w14:paraId="10C3EBE2">
      <w:pPr>
        <w:widowControl/>
        <w:rPr>
          <w:rFonts w:ascii="Times New Roman" w:hAnsi="Times New Roman"/>
        </w:rPr>
      </w:pPr>
      <w:r>
        <w:rPr>
          <w:rFonts w:hint="eastAsia" w:ascii="Times New Roman" w:hAnsi="Times New Roman"/>
        </w:rPr>
        <w:t>实验分析过程智能分析需识别人员进出、在岗人数及检测操作，重点核对如恶臭嗅辨、五日生化需氧量等实验的合规性。当在岗人数、检测操作等不符合标准要求，提示存在人员配置不合规或实验未真实开展的风险。</w:t>
      </w:r>
    </w:p>
    <w:p w14:paraId="473CFA18">
      <w:pPr>
        <w:widowControl/>
        <w:rPr>
          <w:rFonts w:ascii="Times New Roman" w:hAnsi="Times New Roman"/>
        </w:rPr>
      </w:pPr>
      <w:r>
        <w:rPr>
          <w:rFonts w:hint="eastAsia" w:ascii="Times New Roman" w:hAnsi="Times New Roman"/>
        </w:rPr>
        <w:t>实验区出入口智能分析需识别人员进出时间，并监测实验区占用状态。当实验区连续无人时长超过阈值，提示存在实验区异常空闲或未开展实验的风险。</w:t>
      </w:r>
    </w:p>
    <w:p w14:paraId="09533F04">
      <w:pPr>
        <w:widowControl/>
        <w:rPr>
          <w:rFonts w:ascii="Times New Roman" w:hAnsi="Times New Roman"/>
        </w:rPr>
      </w:pPr>
      <w:r>
        <w:rPr>
          <w:rFonts w:hint="eastAsia" w:ascii="Times New Roman" w:hAnsi="Times New Roman"/>
        </w:rPr>
        <w:t>样品瓶清洗间智能分析需识别清洗动作，记录清洗时间与方式。当清洗行为缺失或清洗方式不符规范，提示存在未清洗或清洗不合规的风险。</w:t>
      </w:r>
    </w:p>
    <w:p w14:paraId="59A53D31">
      <w:pPr>
        <w:widowControl/>
        <w:rPr>
          <w:rFonts w:ascii="Times New Roman" w:hAnsi="Times New Roman"/>
        </w:rPr>
      </w:pPr>
      <w:r>
        <w:rPr>
          <w:rFonts w:hint="eastAsia" w:ascii="Times New Roman" w:hAnsi="Times New Roman"/>
        </w:rPr>
        <w:t>通过对上述多维度数据的融合分析与结构化规则判断，实现对实验室分析全流程的数字化监管，有效识别操作行为不规范、过程记录不匹配、关键流程缺失等质量问题，从而为实验室检测过程的真实性与检测数据的可靠性提供系统性技术保障。</w:t>
      </w:r>
    </w:p>
    <w:p w14:paraId="3329583E">
      <w:pPr>
        <w:pStyle w:val="4"/>
        <w:ind w:firstLine="562"/>
        <w:rPr>
          <w:rFonts w:ascii="Times New Roman" w:hAnsi="Times New Roman"/>
        </w:rPr>
      </w:pPr>
      <w:r>
        <w:rPr>
          <w:rFonts w:hint="eastAsia" w:ascii="Times New Roman" w:hAnsi="Times New Roman"/>
        </w:rPr>
        <w:t>环境污染溯源分析</w:t>
      </w:r>
    </w:p>
    <w:p w14:paraId="542B1B63">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大气污染溯源分析</w:t>
      </w:r>
    </w:p>
    <w:p w14:paraId="14C68F24">
      <w:pPr>
        <w:rPr>
          <w:rFonts w:ascii="Times New Roman" w:hAnsi="Times New Roman"/>
        </w:rPr>
      </w:pPr>
      <w:r>
        <w:rPr>
          <w:rFonts w:hint="eastAsia" w:ascii="Times New Roman" w:hAnsi="Times New Roman"/>
        </w:rPr>
        <w:t>聚焦大气污染精准溯源，建设多源数据联动污染源识别、历史案例辅助溯源推理、传统数值模式比对结果反向输入及优化、溯源企业跟踪评估、结构化超标分析报告生成功能。</w:t>
      </w:r>
    </w:p>
    <w:p w14:paraId="206E1A51">
      <w:pPr>
        <w:rPr>
          <w:rFonts w:ascii="Times New Roman" w:hAnsi="Times New Roman"/>
        </w:rPr>
      </w:pPr>
      <w:r>
        <w:rPr>
          <w:rFonts w:hint="eastAsia" w:ascii="Times New Roman" w:hAnsi="Times New Roman"/>
        </w:rPr>
        <w:t>多源数据联动污染源识别功能集成重点区域污染源监管、排放、监测等业务管理数据，支持数据的动态更新，可供大气污染溯源分析模型实时调用；融合AI算法与污染物扩散模型、数值模型建立合理准确的多维度污染溯源评分体系，支持从传输路径、位置距离等多维度开展污染事件的快速分析；针对单个污染事件，提供高概率关联污染源清单，并给出各项评价指标的实际得分及综合评分，支持根据评分对污染源排序。</w:t>
      </w:r>
    </w:p>
    <w:p w14:paraId="3AF45EC8">
      <w:pPr>
        <w:rPr>
          <w:rFonts w:ascii="Times New Roman" w:hAnsi="Times New Roman"/>
        </w:rPr>
      </w:pPr>
      <w:r>
        <w:rPr>
          <w:rFonts w:hint="eastAsia" w:ascii="Times New Roman" w:hAnsi="Times New Roman"/>
        </w:rPr>
        <w:t>实现历史案例辅助溯源推理功能，在新污染事件发生时，自动提取当前事件的核心特征（如污染物组分占比、浓度时序变化趋势、扩散轨迹方向），与案例库中的历史案例进行多维度比对，快速筛选出相似度最高的典型案例，实现智能匹配并输出成熟的溯源方向及治理参考方案。</w:t>
      </w:r>
    </w:p>
    <w:p w14:paraId="4BE4F1D4">
      <w:pPr>
        <w:rPr>
          <w:rFonts w:ascii="Times New Roman" w:hAnsi="Times New Roman"/>
        </w:rPr>
      </w:pPr>
      <w:r>
        <w:rPr>
          <w:rFonts w:hint="eastAsia" w:ascii="Times New Roman" w:hAnsi="Times New Roman"/>
        </w:rPr>
        <w:t>传统数值模式比对结果反向输入及优化功能支持开展同一污染事件传统数值模式结果与大模型溯源结果的比对分析，重点围绕污染物时空浓度分布、扩散轨迹路径、污染源贡献度占比三大核心指标开展深度比对，形成量化偏差分析报告。同时建立专家评判机制，对溯源结果的准确性进行评估，记录专家评判意见与模型修正建议，形成评估电子档案；开发传统数值模式溯源结果数据与大气污染溯源大模型接口，支持将偏差分析结果、专家修正规则等反向输入大模型训练体系，用于优化大模型的污染源特征权重、修正污染物扩散轨迹预测算法、完善区域专属的污染源指纹库。</w:t>
      </w:r>
    </w:p>
    <w:p w14:paraId="291E1D52">
      <w:pPr>
        <w:rPr>
          <w:rFonts w:ascii="Times New Roman" w:hAnsi="Times New Roman"/>
        </w:rPr>
      </w:pPr>
      <w:r>
        <w:rPr>
          <w:rFonts w:hint="eastAsia" w:ascii="Times New Roman" w:hAnsi="Times New Roman"/>
        </w:rPr>
        <w:t>溯源企业跟踪评估功能聚焦工业园区污染高发场景和各类污染报警事件，构建 “模型初筛—人工研判—精准核查—闭环处置” 的全流程跟踪评估体系，以模型自动溯源清单为基础，结合人工研判环节的专家经验，形成分级分类的风险排查名单。</w:t>
      </w:r>
    </w:p>
    <w:p w14:paraId="03579B53">
      <w:pPr>
        <w:rPr>
          <w:rFonts w:ascii="Times New Roman" w:hAnsi="Times New Roman"/>
        </w:rPr>
      </w:pPr>
      <w:r>
        <w:rPr>
          <w:rFonts w:hint="eastAsia" w:ascii="Times New Roman" w:hAnsi="Times New Roman"/>
        </w:rPr>
        <w:t>结构化超标分析报告生成功能整合超标点位多维度关键信息，基于预设的结构化报告模板，自动生成污染事件分析报告，报告需包含事件概述、溯源过程、成因解析、针对性治理建议等基本内容，支持文字和图表的结合表达，包含GIS 地图可视化功能（直观展示污染浓度分布、扩散轨迹、污染源精准定位）、多维度图表（浓度时序趋势图、污染源贡献度饼图 / 柱状图）等呈现形式。支持基于实时监测数据触发自动生成报告，并提供定制化输出功能，根据不同场景需求调整报告侧重点和呈现形式，支持报告的在线编辑、保存、推送及历史报告比对分析等功能，全面提升环境事件分析的专业化与智能化水平。</w:t>
      </w:r>
    </w:p>
    <w:p w14:paraId="52EE6C09">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水污染溯源分析</w:t>
      </w:r>
    </w:p>
    <w:p w14:paraId="1FB3678B">
      <w:pPr>
        <w:rPr>
          <w:rFonts w:hint="eastAsia"/>
        </w:rPr>
      </w:pPr>
      <w:r>
        <w:rPr>
          <w:rFonts w:hint="eastAsia"/>
        </w:rPr>
        <w:t>水污染溯源分析模块需建设无人机数据集成、数据预处理与质控、水污染动态预警、水污染扩散模拟、水污染溯源技术体系、水污染应急处置联动机制、预警和溯源信息可视化、分析报告智能生成等功能，实现水污染事件的“精准预警”与“过程动态推演”，精准锁定污染源头，支撑应急响应的“跨部门协同联动”与“处置方案最优化”。</w:t>
      </w:r>
    </w:p>
    <w:p w14:paraId="409803E8">
      <w:pPr>
        <w:rPr>
          <w:rFonts w:ascii="Times New Roman" w:hAnsi="Times New Roman"/>
        </w:rPr>
      </w:pPr>
      <w:r>
        <w:rPr>
          <w:rFonts w:hint="eastAsia" w:ascii="Times New Roman" w:hAnsi="Times New Roman"/>
        </w:rPr>
        <w:t>无人机数据集成功能支持实时采集传输和接入高光谱影像、热红外影像等无人机遥感监测与反演数据和原位分层水质监测数据，实现氨氮、高锰酸盐指数、叶绿素、总磷等地表水质多参反演图、异常水温分布区域图、不同深度的pH、COD等纵向污染剖面图等数据产品的输出和存储。</w:t>
      </w:r>
    </w:p>
    <w:p w14:paraId="22DAAEE7">
      <w:pPr>
        <w:rPr>
          <w:rFonts w:ascii="Times New Roman" w:hAnsi="Times New Roman"/>
        </w:rPr>
      </w:pPr>
      <w:r>
        <w:rPr>
          <w:rFonts w:hint="eastAsia" w:ascii="Times New Roman" w:hAnsi="Times New Roman"/>
        </w:rPr>
        <w:t>数据预处理与质控功能提供自动化检验规则，对采集数据进行格式、值域、逻辑三级校验，进行不合格数据标记和触发人工复核流程；建立模型精度评估模块，实现系统模拟结果与实际监测数据的对比、误差分析和调优，并实现基于视频和图像的水面污染物的精准识别，包括水面石油类污染物、生活垃圾、水葫芦、藻类等。此外，对流场、风场、水温、水位等水文气象预报数据进行预处理后接入污染扩散模型。</w:t>
      </w:r>
    </w:p>
    <w:p w14:paraId="3A74A2AB">
      <w:pPr>
        <w:rPr>
          <w:rFonts w:ascii="Times New Roman" w:hAnsi="Times New Roman"/>
        </w:rPr>
      </w:pPr>
      <w:r>
        <w:rPr>
          <w:rFonts w:hint="eastAsia" w:ascii="Times New Roman" w:hAnsi="Times New Roman"/>
        </w:rPr>
        <w:t>水污染动态预警功能需构建多维度监测预警阈值体系，对水质异常变化及水面漂浮物异常情况进行实时预警；建立智能预警响应机制，通过移动端，pc端等多渠道，实现自动预警触发和多终端预警推送。</w:t>
      </w:r>
    </w:p>
    <w:p w14:paraId="2791504A">
      <w:pPr>
        <w:rPr>
          <w:rFonts w:ascii="Times New Roman" w:hAnsi="Times New Roman"/>
        </w:rPr>
      </w:pPr>
      <w:r>
        <w:rPr>
          <w:rFonts w:hint="eastAsia" w:ascii="Times New Roman" w:hAnsi="Times New Roman"/>
        </w:rPr>
        <w:t>水污染扩散模拟功能需构建覆盖关注区域的精细化河网三维水动力模型并实现自动化计算和率定验证，支持水位、流场、水温等关键要素每日2次的72小时预报；支持接入多来源不同区域尺度的风速、风向等气象预报数据和污染物理化特性参数库，基于水上污染物扩散机理模型，实现以水污染预警时刻为起点的未来不同时间节点（如1小时、3小时、6小时、12小时、24小时、48小时）污染团的空间位置、影响范围及浓度变化趋势的快速在线预测，为应急处置方案制定提供数据支撑；利用水质、水文、气象、污染源等数据，构建基于机器学习算法的水质预测模型，实现关注区域重点断面短期及中长期水质预测。</w:t>
      </w:r>
    </w:p>
    <w:p w14:paraId="0CC1FC61">
      <w:pPr>
        <w:rPr>
          <w:rFonts w:ascii="Times New Roman" w:hAnsi="Times New Roman"/>
        </w:rPr>
      </w:pPr>
      <w:r>
        <w:rPr>
          <w:rFonts w:hint="eastAsia" w:ascii="Times New Roman" w:hAnsi="Times New Roman"/>
        </w:rPr>
        <w:t>水污染溯源技术体系需构建水污染成因分析知识图谱，建立断面、入河排污口、泵站、农村面源之间的关系网络；构建重点区域风险区域特征污染物“指纹”库，建立指纹比对算法，实现特征污染物溯源；构建长江口等重点区域水上溢油、危化品泄漏模型，根据水面观测到的漂浮物位置和时间，结合水动力、水温、风向等气象水文环境信息及已纳入监管的排污口位置，实现油污、生活垃圾等水面漂浮物的污染源溯源排查。</w:t>
      </w:r>
    </w:p>
    <w:p w14:paraId="08FBD262">
      <w:pPr>
        <w:rPr>
          <w:rFonts w:ascii="Times New Roman" w:hAnsi="Times New Roman"/>
        </w:rPr>
      </w:pPr>
      <w:r>
        <w:rPr>
          <w:rFonts w:hint="eastAsia" w:ascii="Times New Roman" w:hAnsi="Times New Roman"/>
        </w:rPr>
        <w:t>水污染应急处置联动机制需建立预警分级引擎，实现“监测数据→阈值比对→预警分级”的自动化判定，形成预警触发、任务分发和处置反馈的闭环管理，自动生成任务工单并对接多部门协同平台；基于扩散模拟结果智能规划采样布点，整合排污口地理信息与移动监测数据辅助现场排查。</w:t>
      </w:r>
    </w:p>
    <w:p w14:paraId="3FC2B578">
      <w:pPr>
        <w:rPr>
          <w:rFonts w:ascii="Times New Roman" w:hAnsi="Times New Roman"/>
        </w:rPr>
      </w:pPr>
      <w:r>
        <w:rPr>
          <w:rFonts w:hint="eastAsia" w:ascii="Times New Roman" w:hAnsi="Times New Roman"/>
        </w:rPr>
        <w:t>预警和溯源信息可视化需实现通过动态地图结合仪表盘、趋势图等图表形式直观呈现污染态势的时空演变和污染溯源过程，并可支持</w:t>
      </w:r>
      <w:r>
        <w:rPr>
          <w:rFonts w:ascii="Times New Roman" w:hAnsi="Times New Roman"/>
        </w:rPr>
        <w:t>地图缩放、图层切换等</w:t>
      </w:r>
      <w:r>
        <w:rPr>
          <w:rFonts w:hint="eastAsia" w:ascii="Times New Roman" w:hAnsi="Times New Roman"/>
        </w:rPr>
        <w:t>地图交互</w:t>
      </w:r>
      <w:r>
        <w:rPr>
          <w:rFonts w:ascii="Times New Roman" w:hAnsi="Times New Roman"/>
        </w:rPr>
        <w:t>操作</w:t>
      </w:r>
      <w:r>
        <w:rPr>
          <w:rFonts w:hint="eastAsia" w:ascii="Times New Roman" w:hAnsi="Times New Roman"/>
        </w:rPr>
        <w:t>；提供多指标综合展示功能，对</w:t>
      </w:r>
      <w:r>
        <w:rPr>
          <w:rFonts w:ascii="Times New Roman" w:hAnsi="Times New Roman"/>
        </w:rPr>
        <w:t>关键水质指标、气象参数、模型模拟结果等数据</w:t>
      </w:r>
      <w:r>
        <w:rPr>
          <w:rFonts w:hint="eastAsia" w:ascii="Times New Roman" w:hAnsi="Times New Roman"/>
        </w:rPr>
        <w:t>进行实时展示。</w:t>
      </w:r>
    </w:p>
    <w:p w14:paraId="2BB89B74">
      <w:pPr>
        <w:rPr>
          <w:rFonts w:ascii="Times New Roman" w:hAnsi="Times New Roman"/>
        </w:rPr>
      </w:pPr>
      <w:r>
        <w:rPr>
          <w:rFonts w:hint="eastAsia" w:ascii="Times New Roman" w:hAnsi="Times New Roman"/>
        </w:rPr>
        <w:t>分析报告智能生成功能需提供智能化报告和定制化报告生成两种方式，支持按照规定格式的模板智能生成水污染溯源报告，报告内容包括污染事件概况、成因分析和建议措施等关键信息，并可形成富媒体格式，实现在浏览器端直接编辑内容；针对不同的用户身份提供个性化模板制作和生成功能，记忆用户偏好，实现用户自定义报告章节结构、图表类型、指标展示优先级等。</w:t>
      </w:r>
    </w:p>
    <w:p w14:paraId="64308954">
      <w:pPr>
        <w:pStyle w:val="4"/>
        <w:ind w:firstLine="562"/>
        <w:rPr>
          <w:rFonts w:ascii="Times New Roman" w:hAnsi="Times New Roman"/>
        </w:rPr>
      </w:pPr>
      <w:r>
        <w:rPr>
          <w:rFonts w:hint="eastAsia" w:ascii="Times New Roman" w:hAnsi="Times New Roman"/>
        </w:rPr>
        <w:t>应急监测决策分析</w:t>
      </w:r>
    </w:p>
    <w:p w14:paraId="351153B4">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应急事件现状分析</w:t>
      </w:r>
    </w:p>
    <w:p w14:paraId="74C4E15A">
      <w:pPr>
        <w:rPr>
          <w:rFonts w:hint="eastAsia"/>
        </w:rPr>
      </w:pPr>
      <w:r>
        <w:rPr>
          <w:rFonts w:hint="eastAsia"/>
        </w:rPr>
        <w:t>实时采集应急事件的时间、地点、来源等基础信息，融合现场传感器、人工上报及第三方平台数据，实现对污染区域的精准定位与影响范围的可视化呈现，自动提取事件类型、起因、污染物种类及排放量、事件处置进展等关键要素，形成应急事件现状分析成果，为应急决策筑牢数据根基。</w:t>
      </w:r>
    </w:p>
    <w:p w14:paraId="4006260B">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污染趋势模拟预测</w:t>
      </w:r>
    </w:p>
    <w:p w14:paraId="46EE40A6">
      <w:pPr>
        <w:rPr>
          <w:rFonts w:ascii="Times New Roman" w:hAnsi="Times New Roman"/>
        </w:rPr>
      </w:pPr>
      <w:r>
        <w:rPr>
          <w:rFonts w:hint="eastAsia"/>
        </w:rPr>
        <w:t>整合气象水文条件（风速、风向、水文径流、水体流速等）、污染物排放数据及历史相似事件案例库，同步开展大气、水体污染趋势模拟，生成不同气象水文场景下污染物的大气迁移扩散、水体运移扩散路径与浓度动态变化规律，预测未来48小时大气、水体污染趋势，包括影响范围扩展趋势、敏感区域预警等，为事件发展态势研判提供参考</w:t>
      </w:r>
      <w:r>
        <w:rPr>
          <w:rFonts w:hint="eastAsia" w:ascii="Times New Roman" w:hAnsi="Times New Roman"/>
        </w:rPr>
        <w:t>。</w:t>
      </w:r>
    </w:p>
    <w:p w14:paraId="3D32F32D">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应急监测预案生成</w:t>
      </w:r>
    </w:p>
    <w:p w14:paraId="66A7DB23">
      <w:pPr>
        <w:rPr>
          <w:rFonts w:ascii="Times New Roman" w:hAnsi="Times New Roman"/>
        </w:rPr>
      </w:pPr>
      <w:r>
        <w:rPr>
          <w:rFonts w:hint="eastAsia"/>
        </w:rPr>
        <w:t>依据现状分析与趋势预测结果，综合污染类型、扩散趋势与周边敏感点分布，自动生成最优应急监测预案，预案内容涵盖突发环境事件概况、监测布点及距事发地距离、监测断面（点位）、监测频次、监测项目、监测方法、评价标准或要求、质量保证和质量控制、数据报送要求、人员分工、安全防护等方面内容，为突发环境事件应急监测工作提供行动指引</w:t>
      </w:r>
      <w:r>
        <w:rPr>
          <w:rFonts w:hint="eastAsia" w:ascii="Times New Roman" w:hAnsi="Times New Roman"/>
        </w:rPr>
        <w:t>。</w:t>
      </w:r>
    </w:p>
    <w:p w14:paraId="508ECD18">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应急监测综合分析</w:t>
      </w:r>
    </w:p>
    <w:p w14:paraId="115EE378">
      <w:pPr>
        <w:rPr>
          <w:rFonts w:ascii="Times New Roman" w:hAnsi="Times New Roman"/>
        </w:rPr>
      </w:pPr>
      <w:r>
        <w:rPr>
          <w:rFonts w:hint="eastAsia" w:ascii="Times New Roman" w:hAnsi="Times New Roman"/>
        </w:rPr>
        <w:t>支持应急监测结构化报告自动生成，系统梳理应急事件周边3公里范围内固定源企业分布、环境监测站点、污染源在线监管企业等基础信息，为事件研判提供底数支撑；深度整合周边河流情况分析、潜在污染因子识别、大气及水环境自动监测站数据动态研判、匹配场景的基础应急预案智能推荐等核心要素，构建完整的应急分析，助力应急决策。</w:t>
      </w:r>
    </w:p>
    <w:p w14:paraId="00492C98">
      <w:pPr>
        <w:pStyle w:val="4"/>
        <w:ind w:firstLine="562"/>
        <w:rPr>
          <w:rFonts w:ascii="Times New Roman" w:hAnsi="Times New Roman"/>
        </w:rPr>
      </w:pPr>
      <w:r>
        <w:rPr>
          <w:rFonts w:hint="eastAsia" w:ascii="Times New Roman" w:hAnsi="Times New Roman"/>
        </w:rPr>
        <w:t>环境监测任务管理</w:t>
      </w:r>
    </w:p>
    <w:p w14:paraId="124066F6">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监测站点统一管理</w:t>
      </w:r>
    </w:p>
    <w:p w14:paraId="4BBAB77F">
      <w:pPr>
        <w:rPr>
          <w:rFonts w:hint="eastAsia"/>
        </w:rPr>
      </w:pPr>
      <w:r>
        <w:rPr>
          <w:rFonts w:hint="eastAsia"/>
        </w:rPr>
        <w:t>规范监测站点管理，制定统一编码规则与分类目录；支持站点基础信息录入、对接、更新与审核，及设施台账、状态监控、维护管理，实时接入站点数据，实现站点设施动态管控，保障管理有序高效。</w:t>
      </w:r>
    </w:p>
    <w:p w14:paraId="551E59F5">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监测任务分类管理</w:t>
      </w:r>
    </w:p>
    <w:p w14:paraId="086E01B8">
      <w:pPr>
        <w:rPr>
          <w:rFonts w:hint="eastAsia"/>
        </w:rPr>
      </w:pPr>
      <w:r>
        <w:rPr>
          <w:rFonts w:hint="eastAsia"/>
        </w:rPr>
        <w:t>构建监测任务多级分类体系，监测要素分为大气环境、地表水环境、海洋环境、声环境、生态、土壤及地下水环境、农村生态环境、污染源等；任务性质分为常规、专项、应急监测；时间维度分为年度、季度、月度、临时任务。支持针对针对不同分类预定义任务模板。</w:t>
      </w:r>
    </w:p>
    <w:p w14:paraId="7F44B107">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监测任务模板配置管理</w:t>
      </w:r>
    </w:p>
    <w:p w14:paraId="09485ACC">
      <w:pPr>
        <w:rPr>
          <w:rFonts w:hint="eastAsia"/>
        </w:rPr>
      </w:pPr>
      <w:r>
        <w:rPr>
          <w:rFonts w:hint="eastAsia"/>
        </w:rPr>
        <w:t>支持构建“监测要素-监测任务-监测对象”三级标准模板体系，预置典型模板，提供灵活的参数配置能力，支持版本控制、导入导出及智能推荐，实现模板高效复用与规范管理。</w:t>
      </w:r>
    </w:p>
    <w:p w14:paraId="37D00453">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监测任务创建</w:t>
      </w:r>
    </w:p>
    <w:p w14:paraId="4242B12E">
      <w:pPr>
        <w:rPr>
          <w:rFonts w:hint="eastAsia"/>
        </w:rPr>
      </w:pPr>
      <w:r>
        <w:rPr>
          <w:rFonts w:hint="eastAsia"/>
        </w:rPr>
        <w:t>支持编制监测任务、下发监测任务、自动触发任务创建。计划任务含周期配置、资源预分配及历史复用；联动任务对接外部业务系统；自动触发任务含规则配置、动态生成与智能推送，满足多元场景需求。</w:t>
      </w:r>
    </w:p>
    <w:p w14:paraId="13940110">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监测检查任务创建</w:t>
      </w:r>
    </w:p>
    <w:p w14:paraId="2FF98400">
      <w:pPr>
        <w:rPr>
          <w:rFonts w:hint="eastAsia"/>
        </w:rPr>
      </w:pPr>
      <w:r>
        <w:rPr>
          <w:rFonts w:hint="eastAsia"/>
        </w:rPr>
        <w:t>支持各类监测检查任务的创建，包括排污单位现场采样检测任务、排污单位自行监测检查任务、运维机构运维工作检查任务等。</w:t>
      </w:r>
    </w:p>
    <w:p w14:paraId="1249CEE4">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监测站点关联筛选</w:t>
      </w:r>
    </w:p>
    <w:p w14:paraId="3492C0F8">
      <w:pPr>
        <w:rPr>
          <w:rFonts w:hint="eastAsia"/>
        </w:rPr>
      </w:pPr>
      <w:r>
        <w:rPr>
          <w:rFonts w:hint="eastAsia"/>
        </w:rPr>
        <w:t>支持多维度筛选站点：空间维度按行政区、流域等进行筛选；要素维度支持多要素组合筛选及参数细分；属性维度依据设备能力、运行状态等筛选，实现精准定位。</w:t>
      </w:r>
    </w:p>
    <w:p w14:paraId="7D01B026">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监测频率设置</w:t>
      </w:r>
    </w:p>
    <w:p w14:paraId="44CF9BA3">
      <w:pPr>
        <w:rPr>
          <w:rFonts w:hint="eastAsia"/>
        </w:rPr>
      </w:pPr>
      <w:r>
        <w:rPr>
          <w:rFonts w:hint="eastAsia"/>
        </w:rPr>
        <w:t>支持差异化配置监测频率：常规站点按监测项目设定设基础频率；敏感区域支持高频监测并触发设备与数据机制；应急场景可设超高频监测，特殊时期可批量提升保障区域监测频率。</w:t>
      </w:r>
    </w:p>
    <w:p w14:paraId="6B92A38A">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监测任务审核</w:t>
      </w:r>
    </w:p>
    <w:p w14:paraId="7398D17A">
      <w:pPr>
        <w:rPr>
          <w:rFonts w:hint="eastAsia"/>
        </w:rPr>
      </w:pPr>
      <w:r>
        <w:rPr>
          <w:rFonts w:hint="eastAsia"/>
        </w:rPr>
        <w:t>构建多级任务审核体系，含系统初审、资源复核、签章终审；依托智能规则引擎校验，支持规则更新；审核看板实时显示审核进度，标红异常任务并支持一键催办与短信提醒。</w:t>
      </w:r>
    </w:p>
    <w:p w14:paraId="48A92856">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监测任务推送</w:t>
      </w:r>
    </w:p>
    <w:p w14:paraId="1C7D3E31">
      <w:pPr>
        <w:rPr>
          <w:rFonts w:hint="eastAsia"/>
        </w:rPr>
      </w:pPr>
      <w:r>
        <w:rPr>
          <w:rFonts w:hint="eastAsia"/>
        </w:rPr>
        <w:t>支持分级推送（按区域自动分配+自定义规则）、多渠道同步（系统消息、短信等）、内容精细化（含任务关键信息），保障任务高效传达与精准执行。</w:t>
      </w:r>
    </w:p>
    <w:p w14:paraId="0BC79434">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监测任务督办</w:t>
      </w:r>
    </w:p>
    <w:p w14:paraId="028D3D6D">
      <w:pPr>
        <w:rPr>
          <w:rFonts w:hint="eastAsia"/>
        </w:rPr>
      </w:pPr>
      <w:r>
        <w:rPr>
          <w:rFonts w:hint="eastAsia"/>
        </w:rPr>
        <w:t>实现任务进度跟踪、预警提醒与督办协调：可实时查看任务完成情况、状态与偏差；支持多级预警，滞后或异常时自动推送预警简报；支持发起督办并生成工单，留存完整沟通记录。</w:t>
      </w:r>
    </w:p>
    <w:p w14:paraId="7F7A2A5A">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监测任务反馈</w:t>
      </w:r>
    </w:p>
    <w:p w14:paraId="0CB7C1E7">
      <w:pPr>
        <w:rPr>
          <w:rFonts w:hint="eastAsia"/>
        </w:rPr>
      </w:pPr>
      <w:r>
        <w:rPr>
          <w:rFonts w:hint="eastAsia"/>
        </w:rPr>
        <w:t>提供多元监测任务反馈渠道，手工上传支持PC与移动端多格式文件批量上传；系统对接可查询外部任务状态，异常时触发预警，任务完成后自动解析并同步外部返回的监测结果。</w:t>
      </w:r>
    </w:p>
    <w:p w14:paraId="00966110">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监测任务完成统计</w:t>
      </w:r>
    </w:p>
    <w:p w14:paraId="24164163">
      <w:pPr>
        <w:rPr>
          <w:rFonts w:hint="eastAsia"/>
        </w:rPr>
      </w:pPr>
      <w:r>
        <w:rPr>
          <w:rFonts w:hint="eastAsia"/>
        </w:rPr>
        <w:t>支持分级分类统计呈现市、区级及不同类型任务进度；支持区域横向与时间纵向对比；可按发起时间、状态等条件筛选数据并导出，满足个性化需求。</w:t>
      </w:r>
    </w:p>
    <w:p w14:paraId="04D72AA4">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监测任务自动报告</w:t>
      </w:r>
    </w:p>
    <w:p w14:paraId="4D8B92FB">
      <w:pPr>
        <w:rPr>
          <w:rFonts w:hint="eastAsia"/>
        </w:rPr>
      </w:pPr>
      <w:r>
        <w:rPr>
          <w:rFonts w:hint="eastAsia"/>
        </w:rPr>
        <w:t>依托多类型模板库，实现数据自动填充、智能分析与可视化；支持人机协同编辑，可调整图表、补充标注与影像、修订说明，兼顾报告效率与精准性。</w:t>
      </w:r>
    </w:p>
    <w:p w14:paraId="7E928E9E">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监测任务移动端</w:t>
      </w:r>
    </w:p>
    <w:p w14:paraId="57764D6A">
      <w:pPr>
        <w:rPr>
          <w:rFonts w:hint="eastAsia"/>
        </w:rPr>
      </w:pPr>
      <w:r>
        <w:rPr>
          <w:rFonts w:hint="eastAsia"/>
        </w:rPr>
        <w:t>建设监测任务移动端，支持移动端分类呈现任务并支持搜索过滤；提供任务详情、操作功能与导航；表单式采集数据，支持离线作业与质量控制；可管理设备资源，含查询统计与实时看板功能。</w:t>
      </w:r>
    </w:p>
    <w:p w14:paraId="7084CBD3">
      <w:pPr>
        <w:pStyle w:val="4"/>
        <w:ind w:firstLine="562"/>
        <w:rPr>
          <w:rFonts w:ascii="Times New Roman" w:hAnsi="Times New Roman"/>
        </w:rPr>
      </w:pPr>
      <w:r>
        <w:rPr>
          <w:rFonts w:hint="eastAsia" w:ascii="Times New Roman" w:hAnsi="Times New Roman"/>
        </w:rPr>
        <w:t>环境监测智能分析大模型</w:t>
      </w:r>
    </w:p>
    <w:p w14:paraId="318C4235">
      <w:pPr>
        <w:rPr>
          <w:rFonts w:ascii="Times New Roman" w:hAnsi="Times New Roman"/>
        </w:rPr>
      </w:pPr>
      <w:r>
        <w:rPr>
          <w:rFonts w:hint="eastAsia" w:ascii="Times New Roman" w:hAnsi="Times New Roman"/>
        </w:rPr>
        <w:t>环境监测智能分析大模型需依托市政务云MAP平台进行建设，旨在整合大气、水等多领域环境监测数据，构建数据预处理、知识库构建、智能应用开发与接口适配等核心能力，实现数据的精准处理与动态更新，支撑智能问数、问屏、报告、会商等功能，提升环境监测分析与决策的智能化水平。</w:t>
      </w:r>
    </w:p>
    <w:p w14:paraId="6CD4BC19">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数据预处理</w:t>
      </w:r>
    </w:p>
    <w:p w14:paraId="38410AE9">
      <w:pPr>
        <w:rPr>
          <w:rFonts w:ascii="Times New Roman" w:hAnsi="Times New Roman"/>
        </w:rPr>
      </w:pPr>
      <w:r>
        <w:rPr>
          <w:rFonts w:hint="eastAsia" w:ascii="Times New Roman" w:hAnsi="Times New Roman"/>
        </w:rPr>
        <w:t>提供数据采集、数据处理、接口服务能力。</w:t>
      </w:r>
    </w:p>
    <w:p w14:paraId="324C61FD">
      <w:pPr>
        <w:rPr>
          <w:rFonts w:ascii="Times New Roman" w:hAnsi="Times New Roman"/>
        </w:rPr>
      </w:pPr>
      <w:r>
        <w:rPr>
          <w:rFonts w:hint="eastAsia" w:ascii="Times New Roman" w:hAnsi="Times New Roman"/>
        </w:rPr>
        <w:t>数据采集支持结构化数据和非结构化数据采集。数据覆盖大气、水、声、土壤、自然生态、污染源6大领域。结构化数据采集支持标注测试数据、Schema元数据、NL-SQL数据对等，采集量需≥7500条；非结构化数据采集支持知识RAG数据、专项案例数据等，采集量：≥21100个文档或片段。</w:t>
      </w:r>
    </w:p>
    <w:p w14:paraId="3757FC7B">
      <w:pPr>
        <w:rPr>
          <w:rFonts w:ascii="Times New Roman" w:hAnsi="Times New Roman"/>
        </w:rPr>
      </w:pPr>
      <w:r>
        <w:rPr>
          <w:rFonts w:hint="eastAsia" w:ascii="Times New Roman" w:hAnsi="Times New Roman"/>
        </w:rPr>
        <w:t>数据处理模块支持对原始数据进行清洗与标准化，包括格式规范化、异常值检测与处理、重复数据去重、噪声数据剔除、数据脱敏与隐私保护、编码标准化等功能。格式规范化功能支持对知</w:t>
      </w:r>
      <w:r>
        <w:rPr>
          <w:rFonts w:ascii="Times New Roman" w:hAnsi="Times New Roman"/>
        </w:rPr>
        <w:t>识RAG数据</w:t>
      </w:r>
      <w:r>
        <w:rPr>
          <w:rFonts w:hint="eastAsia" w:ascii="Times New Roman" w:hAnsi="Times New Roman"/>
        </w:rPr>
        <w:t>、标注测试数据、Schema元数据、智能报告、问屏、会商数据等进行</w:t>
      </w:r>
      <w:r>
        <w:rPr>
          <w:rFonts w:ascii="Times New Roman" w:hAnsi="Times New Roman"/>
        </w:rPr>
        <w:t>格式转换与统一</w:t>
      </w:r>
      <w:r>
        <w:rPr>
          <w:rFonts w:hint="eastAsia" w:ascii="Times New Roman" w:hAnsi="Times New Roman"/>
        </w:rPr>
        <w:t>；</w:t>
      </w:r>
      <w:r>
        <w:rPr>
          <w:rFonts w:ascii="Times New Roman" w:hAnsi="Times New Roman"/>
        </w:rPr>
        <w:t>异常值检测与处理</w:t>
      </w:r>
      <w:r>
        <w:rPr>
          <w:rFonts w:hint="eastAsia" w:ascii="Times New Roman" w:hAnsi="Times New Roman"/>
        </w:rPr>
        <w:t>功能支持多领域数据的检测与剔除，确保数据集质量；</w:t>
      </w:r>
      <w:r>
        <w:rPr>
          <w:rFonts w:ascii="Times New Roman" w:hAnsi="Times New Roman"/>
        </w:rPr>
        <w:t>重复数据去重</w:t>
      </w:r>
      <w:r>
        <w:rPr>
          <w:rFonts w:hint="eastAsia" w:ascii="Times New Roman" w:hAnsi="Times New Roman"/>
        </w:rPr>
        <w:t>功能支持文档的比对与处理，避免模型对相同信息过度学习；噪声数据剔除支持对知识RAG数据、智能报告数据等数据中的噪声进行剔除；数据脱敏与隐私保护支持去除或隐藏个人身份信息、敏感业务信息，包括敏感信息识别与处理，确保符合法规要求；</w:t>
      </w:r>
      <w:r>
        <w:rPr>
          <w:rFonts w:ascii="Times New Roman" w:hAnsi="Times New Roman"/>
        </w:rPr>
        <w:t>编码标准化</w:t>
      </w:r>
      <w:r>
        <w:rPr>
          <w:rFonts w:hint="eastAsia" w:ascii="Times New Roman" w:hAnsi="Times New Roman"/>
        </w:rPr>
        <w:t>需统一元数据的表名、字段名中英文映射，消除命名歧义，支持补充关键字段业务逻辑说明，为自然语言解析提供支撑。</w:t>
      </w:r>
    </w:p>
    <w:p w14:paraId="457DBECB">
      <w:pPr>
        <w:rPr>
          <w:rFonts w:ascii="Times New Roman" w:hAnsi="Times New Roman"/>
        </w:rPr>
      </w:pPr>
      <w:r>
        <w:rPr>
          <w:rFonts w:hint="eastAsia" w:ascii="Times New Roman" w:hAnsi="Times New Roman"/>
        </w:rPr>
        <w:t>接口服务模块提供元数据接口和知识库接口，元数据接口支持</w:t>
      </w:r>
      <w:r>
        <w:rPr>
          <w:rFonts w:ascii="Times New Roman" w:hAnsi="Times New Roman"/>
        </w:rPr>
        <w:t>连接业务核心系统与环境监测分析大模型</w:t>
      </w:r>
      <w:r>
        <w:rPr>
          <w:rFonts w:hint="eastAsia" w:ascii="Times New Roman" w:hAnsi="Times New Roman"/>
        </w:rPr>
        <w:t>，提供6大领域数据库表结构及关联关系查询服务，为智能问数提供数据字典与关系模型支持；知识库接口支持将预处理后的标准化数据同步至知识库，</w:t>
      </w:r>
      <w:r>
        <w:rPr>
          <w:rFonts w:ascii="Times New Roman" w:hAnsi="Times New Roman"/>
        </w:rPr>
        <w:t>为智能问答、智能会商等应用提供知识检索与调用能力。</w:t>
      </w:r>
    </w:p>
    <w:p w14:paraId="040D4FDC">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知识库建设</w:t>
      </w:r>
    </w:p>
    <w:p w14:paraId="0DBD63CC">
      <w:pPr>
        <w:rPr>
          <w:rFonts w:ascii="Times New Roman" w:hAnsi="Times New Roman"/>
        </w:rPr>
      </w:pPr>
      <w:r>
        <w:rPr>
          <w:rFonts w:hint="eastAsia" w:ascii="Times New Roman" w:hAnsi="Times New Roman"/>
        </w:rPr>
        <w:t>知识库需全面覆盖大气、水、声、土壤、自然生态及污染源六大环境监测业务领域，支撑法规准与政策合规咨询、监测技术规范与运维实操、污染机理与治理技术咨询、综合评价与业务管理咨询等场景的知识咨询。知识库建设包括知识建模与组织、知识更新与进化、知识质量与安全、知识库应用场景等模块。</w:t>
      </w:r>
    </w:p>
    <w:p w14:paraId="35AA376B">
      <w:pPr>
        <w:rPr>
          <w:rFonts w:ascii="Times New Roman" w:hAnsi="Times New Roman"/>
        </w:rPr>
      </w:pPr>
      <w:r>
        <w:rPr>
          <w:rFonts w:hint="eastAsia" w:ascii="Times New Roman" w:hAnsi="Times New Roman"/>
        </w:rPr>
        <w:t>知识建模与组织模块包括知识切片、元数据标注、知识图谱建模、知识抽取、知识增强等功能。知识切片对6大环境领域文档（政策、技术规范等）进行层级切分，保留上下文关联，确保每个切片为独立语义单元；元数据标注支持自动化预标注，元数据覆盖基础信息（来源、标识）、语义信息（分类标签、关键词）、复杂语义信息（关联关系、时空属性）；知识图谱建模需完成本体建模，构建结构化知识网络，并依托增量更新、定期审核、版本管理实现动态进化，以支撑知识关联化、可视化与可推理的复杂知识应用；知识抽取结合规则驱动（正则匹配）与模型驱动，从文本中提取实体、关系及属性，完成标准化处理；知识增强支持通过同义词替换、上下文扩展、边缘案例生成等手段，扩充数据多样性与语义深度，提升模型适配性与鲁棒性。</w:t>
      </w:r>
    </w:p>
    <w:p w14:paraId="5E1CC116">
      <w:pPr>
        <w:rPr>
          <w:rFonts w:ascii="Times New Roman" w:hAnsi="Times New Roman"/>
        </w:rPr>
      </w:pPr>
      <w:r>
        <w:rPr>
          <w:rFonts w:hint="eastAsia" w:ascii="Times New Roman" w:hAnsi="Times New Roman"/>
        </w:rPr>
        <w:t>知识更新与进化模块包括变更检测与版本管理和用户行为驱动进化功能。变更检测与版本管理需识别知识变更，建立命名规则，生成多版本快照，支持回溯与回滚，按日/周/月分级巡检更新；用户行为驱动进化构建热度指标体系（提问频次、浏览时长等），动态重排序知识优先级；收集用户反馈（答案正误、表述问题等），结合专家评审，优化知识质量与模型输出。</w:t>
      </w:r>
    </w:p>
    <w:p w14:paraId="10285232">
      <w:pPr>
        <w:rPr>
          <w:rFonts w:ascii="Times New Roman" w:hAnsi="Times New Roman"/>
          <w:lang w:bidi="ar"/>
        </w:rPr>
      </w:pPr>
      <w:r>
        <w:rPr>
          <w:rFonts w:hint="eastAsia" w:ascii="Times New Roman" w:hAnsi="Times New Roman"/>
          <w:lang w:bidi="ar"/>
        </w:rPr>
        <w:t>知识质量与安全包括</w:t>
      </w:r>
      <w:r>
        <w:rPr>
          <w:rFonts w:hint="eastAsia" w:ascii="Times New Roman" w:hAnsi="Times New Roman"/>
        </w:rPr>
        <w:t>质量检查、多语言对齐检查和安全检查功能。知识质量检查需覆盖覆盖准确性、完整性、一致性等基础维度，及科学性、合规性等六性检查，建立分级整改闭环；多语言对齐检查需确保多语言版本术语统一、语义一致、格式同步，通过自动化比对与人工审核结合，优化翻译模板与术语库；安全检查功能识别并脱敏个人/企业敏感信息、涉密数据，分级设置访问权限、记录操作日志，建立应急响应与持续优化机制。</w:t>
      </w:r>
    </w:p>
    <w:p w14:paraId="75E5FC89">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智能问数智能体建设</w:t>
      </w:r>
    </w:p>
    <w:p w14:paraId="131612B3">
      <w:pPr>
        <w:rPr>
          <w:rFonts w:ascii="Times New Roman" w:hAnsi="Times New Roman"/>
        </w:rPr>
      </w:pPr>
      <w:r>
        <w:rPr>
          <w:rFonts w:hint="eastAsia" w:ascii="Times New Roman" w:hAnsi="Times New Roman"/>
        </w:rPr>
        <w:t>“智能问数”智能体旨在实现基于自然语言接口的结构化数据自动化检索、统计与分析，支持将业务人员的复杂查询意图映射为底层关系型数据库的查询指令，支撑环境监测精细化管理。支持多维数据查询、空间信息透视、气象与设备工况联动查询等基础指标检索；支持多维聚合计算、占比与贡献度分析、趋势规律挖掘等统计分析；时空纵横对比、标准合规性判定、动态排名生成等对比评估；支持污染物组分关联查询、运维指标统计等业务深度穿透等场景。“智能问数”智能体需要建设角色与对话框架设计、能力编排与流程编排、上下文与对话管理、智能体评估与部署模块。</w:t>
      </w:r>
    </w:p>
    <w:p w14:paraId="50D82B7A">
      <w:pPr>
        <w:rPr>
          <w:rFonts w:ascii="Times New Roman" w:hAnsi="Times New Roman"/>
        </w:rPr>
      </w:pPr>
      <w:r>
        <w:rPr>
          <w:rFonts w:hint="eastAsia" w:ascii="Times New Roman" w:hAnsi="Times New Roman"/>
        </w:rPr>
        <w:t>角色与对话框架设计模块包括角色设定与身份管理和对话流程设计与结构化脚本功能。角色设定与身份管理功能聚焦专业数据分析专家，需精通行业标准与统计规则，对管理人员和技术用户设计差异化权限与交互模式；对话流程设计与结构化脚本功能涵盖用户指令输入、意图识别、数据定位、分析计算、结果展示全链路，意图识别与分类含自然语言解析、意图分类、上下文理解等，配套对话超时与异常处理机制。</w:t>
      </w:r>
    </w:p>
    <w:p w14:paraId="1008C7FB">
      <w:pPr>
        <w:rPr>
          <w:rFonts w:ascii="Times New Roman" w:hAnsi="Times New Roman"/>
        </w:rPr>
      </w:pPr>
      <w:r>
        <w:rPr>
          <w:rFonts w:hint="eastAsia" w:ascii="Times New Roman" w:hAnsi="Times New Roman"/>
        </w:rPr>
        <w:t>能力编排与流程编排模块包括提示词工程、知识工程、工具开发及框架集成、流程编排与逻辑控制等功能。提示词工程针对环保业务领域开展深度优化，梳理核心关键词，设计多轮交互话术引导完善模糊指令，建立测试集并通过反馈调整关键词权重与指令结构，适配专业场景的查询需求；知识工程通过构建多源知识库，结合RAG技术支撑意图解析，建立增量式知识更新机制，识别知识缺口，支撑智能体的知识增强应用；工具开发及框架集成需开发NL-SQL、数据分析、图表呈现等核心插件，集成业务和通用工具，通过数据接口对接，保障安全与权限控制；流程编排与逻辑控制功能需基于规则驱动与动态路径规划设计流程，含模糊表达处理、子任务规划、步骤控制与异常恢复。</w:t>
      </w:r>
    </w:p>
    <w:p w14:paraId="3BECA7CC">
      <w:pPr>
        <w:rPr>
          <w:rFonts w:ascii="Times New Roman" w:hAnsi="Times New Roman"/>
        </w:rPr>
      </w:pPr>
      <w:r>
        <w:rPr>
          <w:rFonts w:hint="eastAsia" w:ascii="Times New Roman" w:hAnsi="Times New Roman"/>
        </w:rPr>
        <w:t>上下文与对话管理包括上下文建模与状态管理、用户画像与长期记忆机制、多会话并行与多用户管理功能。上下文建模与状态管理功能需构建包含查询对象、时空范围等核心要素的上下文模型，实时同步多轮对话状态，支持模糊表述关联解析，支持会话归档与中断恢复，保障跨轮次意图理解；用户画像与长期记忆机制功能需基于问数历史与操作记录构建画像，记录用户常用指标、时空范围等偏好，通过强化学习优化模型参数，支持隐私重置与关闭记录；多会话并行与多用户管理功能支持多用户同时发起请求，按优先级调度资源，核心业务优先处理，支持多账号快速切换，同时保存当前会话状态。</w:t>
      </w:r>
    </w:p>
    <w:p w14:paraId="00EE1F1F">
      <w:pPr>
        <w:rPr>
          <w:rFonts w:ascii="Times New Roman" w:hAnsi="Times New Roman"/>
        </w:rPr>
      </w:pPr>
      <w:r>
        <w:rPr>
          <w:rFonts w:hint="eastAsia" w:ascii="Times New Roman" w:hAnsi="Times New Roman"/>
        </w:rPr>
        <w:t>智能体评估与部署模块包括方案设计、可用性评测、安全性评测、智能体部署功能。方案设计需针对智能问数制定评估方案，功能测试含单表查询、多表关联等场景，验证结果准确性。性能测试覆盖响应时间、并发承载等指标；可用性评测需要建立涵盖各类业务场景的提示词测试集，评估意图识别准确率与结果匹配度，邀请用户实测并收集反馈，调整提示词模板与交互话术优化体验；安全性评测针对问数数据安全设计专项测试，含敏感数据访问权限控制、查询结果脱敏处理，通过工具扫描与人工测试验证防护机制，确保符合数据安全规范；智能体部署需将智能体部署至系统平台，配置硬件资源、中间库连接及插件依赖环境，完成后验证全流程功能，实时监控响应时间、资源占用等性能指标，保障稳定运行。</w:t>
      </w:r>
    </w:p>
    <w:p w14:paraId="4A2C8BDA">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智能报告智能体建设</w:t>
      </w:r>
    </w:p>
    <w:p w14:paraId="29FE0EC0">
      <w:pPr>
        <w:rPr>
          <w:rFonts w:ascii="Times New Roman" w:hAnsi="Times New Roman"/>
        </w:rPr>
      </w:pPr>
      <w:r>
        <w:rPr>
          <w:rFonts w:hint="eastAsia" w:ascii="Times New Roman" w:hAnsi="Times New Roman"/>
        </w:rPr>
        <w:t>需实现基于大模型的环境监测报告全生命周期自动化生成。通过自然语言交互，集成多源数据抽取、统计分析、专家知识检索与标准格式排版技术，将碎片化的监测数据与业务逻辑转化为符合行业规范的结构化文书。支持常规周期性报告、区域与站点专项报告、定制与应急报告等文本或PPT格式的报告生成。</w:t>
      </w:r>
    </w:p>
    <w:p w14:paraId="1288B7EA">
      <w:pPr>
        <w:rPr>
          <w:rFonts w:ascii="Times New Roman" w:hAnsi="Times New Roman"/>
        </w:rPr>
      </w:pPr>
      <w:r>
        <w:rPr>
          <w:rFonts w:hint="eastAsia" w:ascii="Times New Roman" w:hAnsi="Times New Roman"/>
        </w:rPr>
        <w:t>角色与对话框架设计模块包括角色设定与身份管理、对话流程设计与结构化脚本等。角色设定与身份管理功能聚焦资深环境监测报告编撰专家，对管理人员和技术用户设计差异化权限与交互模式；对话流程设计与结构化脚本功能涵盖用户需求输入、意图识别、大纲生成、数据提取、文本生成、格式输出全链路，为大气月报等场景编写脚本。意图识别解析报告类型与参数，配套超时及异常处理机制。</w:t>
      </w:r>
    </w:p>
    <w:p w14:paraId="22044F85">
      <w:pPr>
        <w:rPr>
          <w:rFonts w:ascii="Times New Roman" w:hAnsi="Times New Roman"/>
        </w:rPr>
      </w:pPr>
      <w:r>
        <w:rPr>
          <w:rFonts w:hint="eastAsia" w:ascii="Times New Roman" w:hAnsi="Times New Roman"/>
        </w:rPr>
        <w:t>能力构建与流程编排模块包括提示词工程、知识工程、工具开发及框架集成、流程编排与逻辑控制等。提示词工程需设计多层次指令模板，含系统级角色约束、任务级生成规则，动态注入用户需求与数据参数。确保结论基于实际数据，支持各类报告生成场景；知识工程需构建多维度知识库，含环境监测标准、报告模板、数据关联规则等，定期同步最新政策与标准，通过智能匹配支撑报告生成；工具开发及框架集成需定制大纲生成、文本生成、报告及PPT编辑输出等插件，实现多格式转换。并与数据接口协同调试，保障流程顺畅；流程编排与逻辑控制功能需基于规则驱动拆解任务，按依赖关系排序执行。配置分支逻辑，异常时保全上下文并断点续行，支持人工干预。</w:t>
      </w:r>
    </w:p>
    <w:p w14:paraId="1A6B6E0C">
      <w:pPr>
        <w:rPr>
          <w:rFonts w:ascii="Times New Roman" w:hAnsi="Times New Roman"/>
        </w:rPr>
      </w:pPr>
      <w:r>
        <w:rPr>
          <w:rFonts w:hint="eastAsia" w:ascii="Times New Roman" w:hAnsi="Times New Roman"/>
        </w:rPr>
        <w:t>上下文与多轮对话管理模块包括上下文建模与状态管理、用户画像与长期记忆机制、多会话并行与多用户管理等。上下文建模与状态管理功能需构建报告核心要素模型，支持维护多轮对话上下文，记录报告类型、时间范围等状态，支持会话归档与中断恢复，实时更新状态确保连贯性；用户画像与长期记忆机制功能基于用户身份与操作记录构建画像，如管理人员侧重概况，技术用户侧重数据严谨性，记录用户对报告的修改以优化模型参数；多会话并行与多用户管理功能支持多用户同时生成报告，支持按报告紧急度调度资源，应急报告优先处理，支持用户身份快速切换，同步保存切换前状态并更新权限边界。</w:t>
      </w:r>
    </w:p>
    <w:p w14:paraId="266975D6">
      <w:pPr>
        <w:rPr>
          <w:rFonts w:ascii="Times New Roman" w:hAnsi="Times New Roman"/>
        </w:rPr>
      </w:pPr>
      <w:r>
        <w:rPr>
          <w:rFonts w:hint="eastAsia" w:ascii="Times New Roman" w:hAnsi="Times New Roman"/>
        </w:rPr>
        <w:t>智能体评估与部署模块包括方案设计、可用性评测、安全性评测、智能体部署等。方案设计需针对智能报告制定评估方案，功能测试需验证报告准确性、完整性。性能测试需测试生成耗时、并发承载；可用性评测支持对比不同提示词版本的报告质量。收集用户对格式与内容的反馈，迭代优化模板与生成逻辑，提升适配性；安全性评测需测试敏感数据脱敏、权限控制，通过工具扫描与人工审计确保符合数据安全法规，同时保留操作日志；智能体部署需采用容器化架构部署至平台，配置硬件资源、数据库连接及插件依赖。部署后验证全流程功能，监控运行性能确保稳定。</w:t>
      </w:r>
    </w:p>
    <w:p w14:paraId="36DA646A">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智能问屏智能体建设</w:t>
      </w:r>
    </w:p>
    <w:p w14:paraId="734B0FE5">
      <w:pPr>
        <w:rPr>
          <w:rFonts w:ascii="Times New Roman" w:hAnsi="Times New Roman"/>
        </w:rPr>
      </w:pPr>
      <w:r>
        <w:rPr>
          <w:rFonts w:hint="eastAsia" w:ascii="Times New Roman" w:hAnsi="Times New Roman"/>
        </w:rPr>
        <w:t>“智能问屏”实现基于自然语言的环境监测大屏即时构建与交互。系统将自然语言指令转化为标准渲染协议及数据查询逻辑，支持大屏的自动生成、布局调整及数据钻取，高效赋能场景化决策。支持模糊指令转化为精确可视化配置，按数据特征自动推荐组件类型与页面布局；建立数据源与前端组件动态绑定机制，支持多源数据混合加载与实时刷新，满足实时交互时延要求；支持自然语言指令实现组件替换、参数微调、布局重排及数据源切换，实现“所见即所得；支持点击、拖拽等操作钻取明细数据，回溯历史过程，关联查询周边相关监测信息；需快速响应用户对已展示数据的关联查询需求，以适配图表呈现结果；自动生成数据异常原因分析、趋势规律提炼、跨指标关联结论等深度洞察。建设角色与对话框架设计、能力构建与流程编排、上下文与多轮对话管理和智能体评估与部署模块。</w:t>
      </w:r>
    </w:p>
    <w:p w14:paraId="21ADB8C8">
      <w:pPr>
        <w:rPr>
          <w:rFonts w:ascii="Times New Roman" w:hAnsi="Times New Roman"/>
        </w:rPr>
      </w:pPr>
      <w:r>
        <w:rPr>
          <w:rFonts w:hint="eastAsia" w:ascii="Times New Roman" w:hAnsi="Times New Roman"/>
        </w:rPr>
        <w:t>角色与对话框架设计模块包括角色设定与身份管理、对话流程设计与结构化脚本等功能。角色设定与身份管理功能聚焦场景聚合型决策可视化专家，对管理人员和技术用户设计差异化权限与交互模式；对话流程设计与结构化脚本功能涵盖用户指令输入、意图识别、数据聚合、布局规划、大屏渲染全链路，大气大屏含实时浓度、趋势变化、风险预警模块；水环境大屏关联断面分布、指标对比逻辑；声环境大屏包含功能区达标率、噪声源分布等，配套细分场景处理机制。</w:t>
      </w:r>
    </w:p>
    <w:p w14:paraId="20969C69">
      <w:pPr>
        <w:rPr>
          <w:rFonts w:ascii="Times New Roman" w:hAnsi="Times New Roman"/>
        </w:rPr>
      </w:pPr>
      <w:r>
        <w:rPr>
          <w:rFonts w:hint="eastAsia" w:ascii="Times New Roman" w:hAnsi="Times New Roman"/>
        </w:rPr>
        <w:t>能力构建与流程编排模块包括提示词工程、知识工程、工具开发及框架集成、流程编排与逻辑控制等功能。提示词工程需设计多层次指令模板，支持参数化调整。通过动态优化机制迭代模板，结合用户反馈调整关键词权重，确保提示词适配各类大屏生成场景；知识工程需构建含大屏布局模板、数据关联规则的知识库，整合测试数据，建立用户需求-组件类型-数据维度映射关系，维护环境领域术语库；工具开发及框架集成需定制意图识别、大屏布局、异步渲染等插件，支持与数据接入、图表呈现插件协同调试，实现专业图表生成；流程编排与逻辑控制功能需设计大屏生成流程，意图识别后触发布局插件，数据聚合完成调用渲染插件。配置分支逻辑，异常时自动切换备用数据源，测试多场景流程组合。</w:t>
      </w:r>
    </w:p>
    <w:p w14:paraId="4CFB341F">
      <w:pPr>
        <w:rPr>
          <w:rFonts w:ascii="Times New Roman" w:hAnsi="Times New Roman"/>
        </w:rPr>
      </w:pPr>
      <w:r>
        <w:rPr>
          <w:rFonts w:hint="eastAsia" w:ascii="Times New Roman" w:hAnsi="Times New Roman"/>
        </w:rPr>
        <w:t>上下文与多轮对话管理模块包括上下文建模与状态管理、用户画像与长期记忆机制、多会话并行与多用户管理等功能。上下文建模与状态管理功能支持通过会话存储维护多轮上下文，实时更新会话状态，支撑跨轮次意图连贯理解；用户画像与长期记忆机制功能需记录用户常用场景、大屏布局、图表类型等个性化偏好，采集更新偏好数据，提供偏好重置与采集关闭功能保障隐私；多会话并行与多用户管理功能支持多用户同时发起请求，支持按大屏复杂度调度资源，测试高并发场景确保响应稳定。</w:t>
      </w:r>
    </w:p>
    <w:p w14:paraId="5C0B6A25">
      <w:pPr>
        <w:rPr>
          <w:rFonts w:ascii="Times New Roman" w:hAnsi="Times New Roman"/>
        </w:rPr>
      </w:pPr>
      <w:r>
        <w:rPr>
          <w:rFonts w:hint="eastAsia" w:ascii="Times New Roman" w:hAnsi="Times New Roman"/>
        </w:rPr>
        <w:t>智能体评估与部署模块包括方案设计、可用性评测、安全性评测、智能体部署等功能。方案设计需含功能测试性能测试、兼容性测试,从准确性、性能、安全性设定评估指标，采用轻量化模块化部署架构，建立版本管理机制保障业务连续性；可用性评测需邀请用户实测，收集对大屏布局合理性、交互便捷性的反馈，通过问卷与行为分析识别问题，优化组件排列与操作逻辑；安全性评测需测试敏感信息脱敏、权限控制、渲染内容防篡改。模拟攻击场景，工具扫描与人工渗透确保合规；智能体部署需实现与现有系统无缝对接，按预处理、自动化部署、校验与验收规范执行部署流程，支持异常一键回滚，实现响应时间与资源占用监控，保障稳定运行。</w:t>
      </w:r>
    </w:p>
    <w:p w14:paraId="3CF3E1F6">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智能会商智能体建设</w:t>
      </w:r>
    </w:p>
    <w:p w14:paraId="73307002">
      <w:pPr>
        <w:rPr>
          <w:rFonts w:ascii="Times New Roman" w:hAnsi="Times New Roman"/>
        </w:rPr>
      </w:pPr>
      <w:r>
        <w:rPr>
          <w:rFonts w:hint="eastAsia" w:ascii="Times New Roman" w:hAnsi="Times New Roman"/>
        </w:rPr>
        <w:t>“智能会商”的核心技术目标是达成环境监测业务会商全流程的智能化辅助及自动化闭环管理。该模块将整合多源数据检索、专家知识库及逻辑推理核心能力，构建集议程管理、即时研判、决策支持于一体的智能体，为应对重污染天气、研判水质达标等复杂业务场景提供高效决策支撑。支持按会商主题自动匹配议程模板与数据资源，实现全生命周期自动化管理；实时调用监测、气象、遥感等多源数据并融合分析，自动生成初步研判结论与管控建议；高并发下实时响应，支持自然语言指令调整会商进程、调用可视化组件及下达调度指令，保障人机协作流畅准确。建设角色与对话框架设计、能力构建与流程编排、上下文与多轮对话管理和智能体评估与部署模块。</w:t>
      </w:r>
    </w:p>
    <w:p w14:paraId="2445EE2C">
      <w:pPr>
        <w:rPr>
          <w:rFonts w:ascii="Times New Roman" w:hAnsi="Times New Roman"/>
        </w:rPr>
      </w:pPr>
      <w:r>
        <w:rPr>
          <w:rFonts w:hint="eastAsia" w:ascii="Times New Roman" w:hAnsi="Times New Roman"/>
        </w:rPr>
        <w:t>角色与对话框架设计模块包括角色设定与身份管理、对话流程设计与结构化脚本等功能。角色设定与身份管理功能聚焦高效协同的环境决策参谋，对管理人员和技术用户设计差异化权限与交互模式，具备模糊需求补全能力，聚焦会商数据调取、分析、决策辅助核心需求，界定服务边界与行为规范；对话流程设计与结构化脚本功能涵盖用户指令输入、意图识别、数据整理、趋势分析、预测研判、结果展示全链路，需具备自然语言解析能力，提取会商主题、时空范围、数据类型等关键信息，分类常规会商、应急会商等意图，支持置信度评估、上下文理解及多意图拆分。</w:t>
      </w:r>
    </w:p>
    <w:p w14:paraId="29CEC1C3">
      <w:pPr>
        <w:rPr>
          <w:rFonts w:ascii="Times New Roman" w:hAnsi="Times New Roman"/>
        </w:rPr>
      </w:pPr>
      <w:r>
        <w:rPr>
          <w:rFonts w:hint="eastAsia" w:ascii="Times New Roman" w:hAnsi="Times New Roman"/>
        </w:rPr>
        <w:t>能力构建与流程编排模块包括提示词工程、知识工程、工具开发及框架集成、流程编排与逻辑控制等功能。提示词工程需针对大气、水环境领域优化提示词，需建立覆盖会商场景的测试集，通过反馈持续迭代调整关键词权重与结构；知识工程需构建含环保政策、监测标准、历史案例、数据关联规则等的会商专用知识体系，建立用户需求、数据、分析方法的映射关系，支撑会商全流程；工具开发及框架集成需定制意图识别、会商过程调度等核心插件，与数据提取、分析工具协同调试，对接多源数据接口；流程编排与逻辑控制功能需设计会商流程，含意图解析、任务分解、工具调用、结果整合，配置分支逻辑与异常处理，支持断点续行。</w:t>
      </w:r>
    </w:p>
    <w:p w14:paraId="7BEC1D05">
      <w:pPr>
        <w:rPr>
          <w:rFonts w:ascii="Times New Roman" w:hAnsi="Times New Roman"/>
        </w:rPr>
      </w:pPr>
      <w:r>
        <w:rPr>
          <w:rFonts w:hint="eastAsia" w:ascii="Times New Roman" w:hAnsi="Times New Roman"/>
        </w:rPr>
        <w:t>上下文与多轮对话管理模块包括上下文建模与状态管理、用户画像与长期记忆机制、多会话并行与多用户管理等功能。上下文建模与状态管理功能需构建包含会商主题、核心要素等的状态要素模型，支持通过会话存储维护多轮上下文，实时更新会话状态，支撑跨轮次意图连贯理解；用户画像与长期记忆机制功能需聚焦会商场景设计个性化偏好维度，加密存储用户会商偏好，会商时自动检索并融合偏好数据，生成个性化服务；多会话并行与多用户管理功能支持高并发会商会话处理，按会商紧急程度分配优先级，实现负载均衡，支持多角色快速切换，切换时同步更新权限与配置</w:t>
      </w:r>
    </w:p>
    <w:p w14:paraId="2C223816">
      <w:pPr>
        <w:rPr>
          <w:rFonts w:ascii="Times New Roman" w:hAnsi="Times New Roman"/>
        </w:rPr>
      </w:pPr>
      <w:r>
        <w:rPr>
          <w:rFonts w:hint="eastAsia" w:ascii="Times New Roman" w:hAnsi="Times New Roman"/>
        </w:rPr>
        <w:t>智能体评估与部署模块包括方案设计、可用性评测、安全性评测、智能体部署等功能。方案设计需需建立全流程评估体系，含功能测试、性能测试，覆盖各类会商场景用例；可用性评测构建专项测试集，重点评估意图识别准确率、流程执行成功率、决策建议合规性。开展全场景功能测试，覆盖常规与应急会商场景及边界异常场景；安全性评测开展权限穿透测试、数据传输加密测试，确保敏感数据安全，实施多因素认证、操作日志记录，分级设置访问权限，防范数据泄露风险；智能体部署需采用容器化微服务架构部署，支持计算资源弹性伸缩，建立全链路日志监控，实时追踪工具调用状态、错误日志及资源占用情况，支持灰度发布与一键回滚，保障系统迭代安全。</w:t>
      </w:r>
    </w:p>
    <w:p w14:paraId="37CE73CB">
      <w:pPr>
        <w:pStyle w:val="4"/>
        <w:ind w:firstLine="562"/>
        <w:rPr>
          <w:rFonts w:ascii="Times New Roman" w:hAnsi="Times New Roman"/>
        </w:rPr>
      </w:pPr>
      <w:r>
        <w:rPr>
          <w:rFonts w:hint="eastAsia" w:ascii="Times New Roman" w:hAnsi="Times New Roman"/>
        </w:rPr>
        <w:t>空气质量预报大模型</w:t>
      </w:r>
    </w:p>
    <w:p w14:paraId="063CF762">
      <w:pPr>
        <w:rPr>
          <w:rFonts w:ascii="Times New Roman" w:hAnsi="Times New Roman"/>
        </w:rPr>
      </w:pPr>
      <w:r>
        <w:rPr>
          <w:rFonts w:hint="eastAsia" w:ascii="Times New Roman" w:hAnsi="Times New Roman"/>
        </w:rPr>
        <w:t>围绕上海市及长三角区域大气污染的精准预报这一关键科学问题，构建区域-城市多尺度、高质量大气污染物浓度数据集，开发空气质量预报AI大模型，实现气象数据、排放清单与污染物站点观测数据的多模态融合，构建区域嵌套预报、多种污染物协同预报范式，实现小时分辨率的大气污染物浓度的智能预报，能够业务化输出上海市及长三角地区的短临预报产品（未来48小时，逐小时更新）、短中期预报产品（未来7-10天，每天更新），为实现长三角-上海市区域污染物的精准预报提供坚实的技术支撑。</w:t>
      </w:r>
    </w:p>
    <w:p w14:paraId="6BEB2CC3">
      <w:pPr>
        <w:pStyle w:val="5"/>
        <w:tabs>
          <w:tab w:val="left" w:pos="420"/>
        </w:tabs>
        <w:spacing w:before="156" w:after="156"/>
        <w:rPr>
          <w:rFonts w:hint="eastAsia" w:asciiTheme="majorEastAsia" w:hAnsiTheme="majorEastAsia" w:eastAsiaTheme="majorEastAsia" w:cstheme="majorEastAsia"/>
        </w:rPr>
      </w:pPr>
      <w:r>
        <w:rPr>
          <w:rFonts w:hint="eastAsia" w:asciiTheme="majorEastAsia" w:hAnsiTheme="majorEastAsia" w:eastAsiaTheme="majorEastAsia" w:cstheme="majorEastAsia"/>
        </w:rPr>
        <w:t>数据预处理</w:t>
      </w:r>
    </w:p>
    <w:p w14:paraId="38211D97">
      <w:pPr>
        <w:rPr>
          <w:rFonts w:ascii="Times New Roman" w:hAnsi="Times New Roman"/>
        </w:rPr>
      </w:pPr>
      <w:r>
        <w:rPr>
          <w:rFonts w:hint="eastAsia" w:ascii="Times New Roman" w:hAnsi="Times New Roman"/>
        </w:rPr>
        <w:t>提供数据采集、数据处理、接口服务能力。</w:t>
      </w:r>
    </w:p>
    <w:p w14:paraId="6979014B">
      <w:pPr>
        <w:rPr>
          <w:rFonts w:ascii="Times New Roman" w:hAnsi="Times New Roman"/>
        </w:rPr>
      </w:pPr>
      <w:r>
        <w:rPr>
          <w:rFonts w:hint="eastAsia" w:ascii="Times New Roman" w:hAnsi="Times New Roman"/>
        </w:rPr>
        <w:t>数据采集模块支持对结构化和非结构化数据进行智能化自主采集。预处理数据变量覆盖污染源排放数据、气象数据、站点污染物浓度以及卫星遥感、雷达监测数据等，具备从站点数据自动处理为网格化数据的能力。</w:t>
      </w:r>
    </w:p>
    <w:p w14:paraId="62339979">
      <w:pPr>
        <w:rPr>
          <w:rFonts w:ascii="Times New Roman" w:hAnsi="Times New Roman"/>
        </w:rPr>
      </w:pPr>
      <w:r>
        <w:rPr>
          <w:rFonts w:hint="eastAsia" w:ascii="Times New Roman" w:hAnsi="Times New Roman"/>
        </w:rPr>
        <w:t>数据处理模块包括格式规范化、异常值检测与处理、重复数据去重、噪声数据剔除、数据脱敏与隐私保护、编码标准化等功能。格式规范化功能支持对知</w:t>
      </w:r>
      <w:r>
        <w:rPr>
          <w:rFonts w:ascii="Times New Roman" w:hAnsi="Times New Roman"/>
        </w:rPr>
        <w:t>识RAG数据</w:t>
      </w:r>
      <w:r>
        <w:rPr>
          <w:rFonts w:hint="eastAsia" w:ascii="Times New Roman" w:hAnsi="Times New Roman"/>
        </w:rPr>
        <w:t>、标注测试数据、Schema元数据、智能报告、问屏、会商数据等不少于1.0</w:t>
      </w:r>
      <w:r>
        <w:rPr>
          <w:rFonts w:ascii="Times New Roman" w:hAnsi="Times New Roman"/>
        </w:rPr>
        <w:t>万文档和数千条记录的格式转换与统一</w:t>
      </w:r>
      <w:r>
        <w:rPr>
          <w:rFonts w:hint="eastAsia" w:ascii="Times New Roman" w:hAnsi="Times New Roman"/>
        </w:rPr>
        <w:t>；</w:t>
      </w:r>
      <w:r>
        <w:rPr>
          <w:rFonts w:ascii="Times New Roman" w:hAnsi="Times New Roman"/>
        </w:rPr>
        <w:t>异常值检测与处理</w:t>
      </w:r>
      <w:r>
        <w:rPr>
          <w:rFonts w:hint="eastAsia" w:ascii="Times New Roman" w:hAnsi="Times New Roman"/>
        </w:rPr>
        <w:t>功能支持多领域数千条数据的检测与剔除，确保数据集质量；</w:t>
      </w:r>
      <w:r>
        <w:rPr>
          <w:rFonts w:ascii="Times New Roman" w:hAnsi="Times New Roman"/>
        </w:rPr>
        <w:t>重复数据去重</w:t>
      </w:r>
      <w:r>
        <w:rPr>
          <w:rFonts w:hint="eastAsia" w:ascii="Times New Roman" w:hAnsi="Times New Roman"/>
        </w:rPr>
        <w:t>功能支持不少于1.0万文档的比对与处理，避免模型对相同信息过度学习；噪声数据剔除支持对知识RAG数据、智能报告数据等数据中的噪声进行剔除；数据脱敏与隐私保护支持去除或隐藏个人身份信息、敏感业务信息，覆盖不少于1.0万文档的敏感信息识别与处理，确保符合法规要求；</w:t>
      </w:r>
      <w:r>
        <w:rPr>
          <w:rFonts w:ascii="Times New Roman" w:hAnsi="Times New Roman"/>
        </w:rPr>
        <w:t>编码标准化</w:t>
      </w:r>
      <w:r>
        <w:rPr>
          <w:rFonts w:hint="eastAsia" w:ascii="Times New Roman" w:hAnsi="Times New Roman"/>
        </w:rPr>
        <w:t>需统一元数据的表名、字段名中英文映射，消除命名歧义，支持补充关键字段业务逻辑说明，为自然语言解析提供支撑。可形成气象、污染物浓度和源排放清单多源数据融合的数据集，可支撑AI模型训练和业务化预报。接口服务模块提供元数据接口和知识库接口，</w:t>
      </w:r>
      <w:r>
        <w:rPr>
          <w:rFonts w:ascii="Times New Roman" w:hAnsi="Times New Roman"/>
        </w:rPr>
        <w:t>元数据接口</w:t>
      </w:r>
      <w:r>
        <w:rPr>
          <w:rFonts w:hint="eastAsia" w:ascii="Times New Roman" w:hAnsi="Times New Roman"/>
        </w:rPr>
        <w:t>支持</w:t>
      </w:r>
      <w:r>
        <w:rPr>
          <w:rFonts w:ascii="Times New Roman" w:hAnsi="Times New Roman"/>
        </w:rPr>
        <w:t>连接业务核心系统与环境监测分析大模型</w:t>
      </w:r>
      <w:r>
        <w:rPr>
          <w:rFonts w:hint="eastAsia" w:ascii="Times New Roman" w:hAnsi="Times New Roman"/>
        </w:rPr>
        <w:t>，</w:t>
      </w:r>
      <w:r>
        <w:rPr>
          <w:rFonts w:ascii="Times New Roman" w:hAnsi="Times New Roman"/>
        </w:rPr>
        <w:t>为大模型理解数据结构与业务逻辑提供基础支撑</w:t>
      </w:r>
      <w:r>
        <w:rPr>
          <w:rFonts w:hint="eastAsia" w:ascii="Times New Roman" w:hAnsi="Times New Roman"/>
        </w:rPr>
        <w:t>。</w:t>
      </w:r>
      <w:r>
        <w:rPr>
          <w:rFonts w:ascii="Times New Roman" w:hAnsi="Times New Roman"/>
        </w:rPr>
        <w:t>知识库接口</w:t>
      </w:r>
      <w:r>
        <w:rPr>
          <w:rFonts w:hint="eastAsia" w:ascii="Times New Roman" w:hAnsi="Times New Roman"/>
        </w:rPr>
        <w:t>支持</w:t>
      </w:r>
      <w:r>
        <w:rPr>
          <w:rFonts w:ascii="Times New Roman" w:hAnsi="Times New Roman"/>
        </w:rPr>
        <w:t>连接预处理数据与知识库系统，将经过清洗、标准化的知识数据同步至知识库，为智能问答、智能会商等应用提供知识检索与调用能力。</w:t>
      </w:r>
    </w:p>
    <w:p w14:paraId="7093A121">
      <w:pPr>
        <w:pStyle w:val="5"/>
        <w:tabs>
          <w:tab w:val="left" w:pos="420"/>
        </w:tabs>
        <w:spacing w:before="156" w:after="156"/>
        <w:rPr>
          <w:rFonts w:hint="eastAsia" w:asciiTheme="majorEastAsia" w:hAnsiTheme="majorEastAsia" w:eastAsiaTheme="majorEastAsia" w:cstheme="majorEastAsia"/>
        </w:rPr>
      </w:pPr>
      <w:r>
        <w:rPr>
          <w:rFonts w:hint="eastAsia" w:asciiTheme="majorEastAsia" w:hAnsiTheme="majorEastAsia" w:eastAsiaTheme="majorEastAsia" w:cstheme="majorEastAsia"/>
        </w:rPr>
        <w:t>知识库建设</w:t>
      </w:r>
    </w:p>
    <w:p w14:paraId="6A995796">
      <w:pPr>
        <w:rPr>
          <w:rFonts w:ascii="Times New Roman" w:hAnsi="Times New Roman"/>
        </w:rPr>
      </w:pPr>
      <w:r>
        <w:rPr>
          <w:rFonts w:hint="eastAsia" w:ascii="Times New Roman" w:hAnsi="Times New Roman"/>
        </w:rPr>
        <w:t>知识库建设包括知识建模与组织、知识更新与进化、知识质量与安全等模块。知识建模与组织支持。知识库内容包括气象、空气污染和污染成因诊断分析等相关内容语料，所形成的预料条目不少于8千万条，建成自有历史污染案例库和诊断库。知识库包括污染过程回溯分析的误差识别结果，具有自主统计、污染案例归类和给出进一步优化建议的能力。</w:t>
      </w:r>
    </w:p>
    <w:p w14:paraId="17C20537">
      <w:pPr>
        <w:pStyle w:val="5"/>
        <w:tabs>
          <w:tab w:val="left" w:pos="420"/>
        </w:tabs>
        <w:spacing w:before="156" w:after="156"/>
        <w:rPr>
          <w:rFonts w:hint="eastAsia" w:asciiTheme="majorEastAsia" w:hAnsiTheme="majorEastAsia" w:eastAsiaTheme="majorEastAsia" w:cstheme="majorEastAsia"/>
        </w:rPr>
      </w:pPr>
      <w:r>
        <w:rPr>
          <w:rFonts w:hint="eastAsia" w:asciiTheme="majorEastAsia" w:hAnsiTheme="majorEastAsia" w:eastAsiaTheme="majorEastAsia" w:cstheme="majorEastAsia"/>
        </w:rPr>
        <w:t>全球25km气象预报智能体建设</w:t>
      </w:r>
    </w:p>
    <w:p w14:paraId="094EBBCB">
      <w:pPr>
        <w:rPr>
          <w:rFonts w:ascii="Times New Roman" w:hAnsi="Times New Roman"/>
        </w:rPr>
      </w:pPr>
      <w:r>
        <w:rPr>
          <w:rFonts w:hint="eastAsia" w:ascii="Times New Roman" w:hAnsi="Times New Roman"/>
        </w:rPr>
        <w:t>具备处理全球高分辨率气象场的能力。支持接收过去24至48小时的三维大气状态作为输入，输出未来7至15天全球范围内、空间分辨率约0.25度（约25公里）逐小时的13个等压面层及地表关键气象变量，支持解决中长期空气污染预报中气象条件的稳定性和精度问题。</w:t>
      </w:r>
      <w:bookmarkStart w:id="21" w:name="OLE_LINK3"/>
      <w:r>
        <w:rPr>
          <w:rFonts w:hint="eastAsia" w:ascii="Times New Roman" w:hAnsi="Times New Roman"/>
        </w:rPr>
        <w:t>实现每天不少于2次的更新预报。气象变量包括</w:t>
      </w:r>
      <w:bookmarkEnd w:id="21"/>
      <w:bookmarkStart w:id="22" w:name="OLE_LINK4"/>
      <w:bookmarkStart w:id="23" w:name="OLE_LINK5"/>
      <w:r>
        <w:rPr>
          <w:rFonts w:hint="eastAsia" w:ascii="Times New Roman" w:hAnsi="Times New Roman"/>
        </w:rPr>
        <w:t>温度、湿度、风场、降水、位势高度、</w:t>
      </w:r>
      <w:bookmarkStart w:id="24" w:name="OLE_LINK8"/>
      <w:r>
        <w:rPr>
          <w:rFonts w:hint="eastAsia" w:ascii="Times New Roman" w:hAnsi="Times New Roman"/>
        </w:rPr>
        <w:t>海平面气压和地表太阳辐射</w:t>
      </w:r>
      <w:bookmarkEnd w:id="24"/>
      <w:r>
        <w:rPr>
          <w:rFonts w:hint="eastAsia" w:ascii="Times New Roman" w:hAnsi="Times New Roman"/>
        </w:rPr>
        <w:t>。</w:t>
      </w:r>
      <w:bookmarkEnd w:id="22"/>
      <w:bookmarkEnd w:id="23"/>
      <w:r>
        <w:rPr>
          <w:rFonts w:hint="eastAsia" w:ascii="Times New Roman" w:hAnsi="Times New Roman"/>
        </w:rPr>
        <w:t>需建设角色与对话框架设计、能力构建与流程编排、上下文与多轮对话管理和智能体评估与部署模块。</w:t>
      </w:r>
    </w:p>
    <w:p w14:paraId="2C86FFB0">
      <w:pPr>
        <w:rPr>
          <w:rFonts w:ascii="Times New Roman" w:hAnsi="Times New Roman"/>
        </w:rPr>
      </w:pPr>
      <w:r>
        <w:rPr>
          <w:rFonts w:hint="eastAsia" w:ascii="Times New Roman" w:hAnsi="Times New Roman"/>
        </w:rPr>
        <w:t>角色与对话框架设计模块包括角色设定与身份管理、对话流程设计与结构化脚本等。角色设定与身份管理功能定位为“全球 0.25°分辨率7–15天中期数值天气预报专家”，具备 ECMWF、NCEP 等多源全球分析场接入身份标识，支持多用户并发身份鉴权与任务级权限隔离；对话流程设计与结构化脚本需要定义“数据获取-任务解析-模型推理-结果封装-产品推送”五步标准对话脚本；支持 HTTP/消息队列双通道输入，脚本可参数化配置起报时间、预报时效、输出变量。</w:t>
      </w:r>
    </w:p>
    <w:p w14:paraId="520BCB78">
      <w:pPr>
        <w:rPr>
          <w:rFonts w:hint="eastAsia"/>
        </w:rPr>
      </w:pPr>
      <w:r>
        <w:rPr>
          <w:rFonts w:hint="eastAsia"/>
        </w:rPr>
        <w:t>能力构建与流程编排模块包括提示词工程、知识工程、工具开发及框架集成、流程编排与逻辑控制等。提示词工程将业务需求（区域范围、时效、变量列表）自动转换为模型推理所需的模板。内置提示版本库，支持测试与更新；知识工程需构建 0.25° 全球静态地理知识库（地形、海陆掩码、植被覆盖），并与动态气象要素建立时空索引；工具开发及框架集成需集成GRIB/NetCDF解析工具、预测模型、评估模块，提供预测结果自动化生成与可视化功能；流程编排与逻辑控制功能需构建任务调度引擎，支持逐小时刷新短临预报与每日中期预报，自动记录任务日志、失败重试及版本控制。支持根据任务状态动态调整预测周期与粒度。</w:t>
      </w:r>
    </w:p>
    <w:p w14:paraId="29898DD7">
      <w:pPr>
        <w:rPr>
          <w:rFonts w:hint="eastAsia"/>
        </w:rPr>
      </w:pPr>
      <w:r>
        <w:rPr>
          <w:rFonts w:hint="eastAsia"/>
        </w:rPr>
        <w:t>上下文与多轮对话管理模块包括上下文建模与状态管理、用户画像与长期记忆机制、多会话并行与多用户管理、用户反馈与标注方案等功能。上下文建模与状态管理功能保留预测任务的时间轴与参数配置，支持跨日、跨任务的预测结果对比与延续分析；用户画像与长期记忆机制功能需基于用户角色存储定制化需求偏好，例如图表样式、数据格式、更新频率；多会话并行与多用户管理功能基于消息队列的异步任务池，支持 50 路并发，用户级优先级与资源上限隔离；用户反馈与标注方案功能需采集用户对预测准确率、图表可读性、预警及时性的反馈，并将实际监测数据作为标签用于模型再训练。</w:t>
      </w:r>
    </w:p>
    <w:p w14:paraId="1D134361">
      <w:pPr>
        <w:rPr>
          <w:rFonts w:hint="eastAsia"/>
        </w:rPr>
      </w:pPr>
      <w:r>
        <w:rPr>
          <w:rFonts w:hint="eastAsia"/>
        </w:rPr>
        <w:t>智能体评估与部署模块包括方案设计、可用性评测、安全性评测、智能体部署等功能。方案设计需制定以 RMSE、ACC、Bias 为核心的 7–15 天预报客观检验方案，同时设计分区（纬度带、海陆类型）评分策略；可用性评测需定时对比 ECMWF 分析场，生成 24 h/72 h/168 h 预报性能报告，异常阈值自动触发告警；安全性评测需对输入数据进行恶意代码扫描，进行模型权重文件 SHA256 校验，实现API 接口限流、鉴权、审计日志全覆盖；智能体部署需采用模块化部署架构，并与区域智能体数据无缝对接。</w:t>
      </w:r>
    </w:p>
    <w:p w14:paraId="070CA4A7">
      <w:pPr>
        <w:pStyle w:val="5"/>
        <w:tabs>
          <w:tab w:val="left" w:pos="420"/>
        </w:tabs>
        <w:spacing w:before="156" w:after="156"/>
        <w:rPr>
          <w:rFonts w:hint="eastAsia" w:asciiTheme="majorEastAsia" w:hAnsiTheme="majorEastAsia" w:eastAsiaTheme="majorEastAsia" w:cstheme="majorEastAsia"/>
        </w:rPr>
      </w:pPr>
      <w:r>
        <w:rPr>
          <w:rFonts w:hint="eastAsia" w:asciiTheme="majorEastAsia" w:hAnsiTheme="majorEastAsia" w:eastAsiaTheme="majorEastAsia" w:cstheme="majorEastAsia"/>
        </w:rPr>
        <w:t>长三角9km气象降尺度智能体建设</w:t>
      </w:r>
    </w:p>
    <w:p w14:paraId="0B1547EE">
      <w:pPr>
        <w:rPr>
          <w:rFonts w:ascii="Times New Roman" w:hAnsi="Times New Roman"/>
        </w:rPr>
      </w:pPr>
      <w:r>
        <w:rPr>
          <w:rFonts w:ascii="Times New Roman" w:hAnsi="Times New Roman"/>
        </w:rPr>
        <w:t>聚焦中尺度天气系统的结构特征识别与演变预测，提升强降水、大风、温度剧变等高影响天气的区域预报能力。针对区域特征进行空间分辨率提升，</w:t>
      </w:r>
      <w:r>
        <w:rPr>
          <w:rFonts w:hint="eastAsia" w:ascii="Times New Roman" w:hAnsi="Times New Roman"/>
        </w:rPr>
        <w:t>在长三角区域内</w:t>
      </w:r>
      <w:r>
        <w:rPr>
          <w:rFonts w:ascii="Times New Roman" w:hAnsi="Times New Roman"/>
        </w:rPr>
        <w:t>将</w:t>
      </w:r>
      <w:r>
        <w:rPr>
          <w:rFonts w:hint="eastAsia" w:ascii="Times New Roman" w:hAnsi="Times New Roman"/>
        </w:rPr>
        <w:t>气象预报从</w:t>
      </w:r>
      <w:r>
        <w:rPr>
          <w:rFonts w:ascii="Times New Roman" w:hAnsi="Times New Roman"/>
        </w:rPr>
        <w:t>25km提升至约9km，支持解决区域空气污染预报中的气象条件精度问题。</w:t>
      </w:r>
      <w:r>
        <w:rPr>
          <w:rFonts w:hint="eastAsia" w:ascii="Times New Roman" w:hAnsi="Times New Roman"/>
        </w:rPr>
        <w:t>开展面向大气环境预报需求的气象预报技术调优，形成污染预报适用性气象预报产品。实现每天不少于2次的更新预报，输出逐时13个等压面层及地表气象变量。</w:t>
      </w:r>
      <w:r>
        <w:rPr>
          <w:rFonts w:ascii="Times New Roman" w:hAnsi="Times New Roman"/>
        </w:rPr>
        <w:t>兼顾精度与业务推理效率，要求在数十分钟内完成一次完整预报。</w:t>
      </w:r>
      <w:r>
        <w:rPr>
          <w:rFonts w:hint="eastAsia" w:ascii="Times New Roman" w:hAnsi="Times New Roman"/>
        </w:rPr>
        <w:t>气象变量包括温度、湿度、风场、降水、位势高度、海平面气压、地表太阳辐射和边界层高度。需建设角色与对话框架设计、能力构建与流程编排、上下文与多轮对话管理和智能体评估与部署模块。需建设角色与对话框架设计、能力构建与流程编排、上下文与多轮对话管理和智能体评估与部署模块。</w:t>
      </w:r>
    </w:p>
    <w:p w14:paraId="4A751DD9">
      <w:pPr>
        <w:rPr>
          <w:rFonts w:ascii="Times New Roman" w:hAnsi="Times New Roman"/>
        </w:rPr>
      </w:pPr>
      <w:r>
        <w:rPr>
          <w:rFonts w:hint="eastAsia" w:ascii="Times New Roman" w:hAnsi="Times New Roman"/>
        </w:rPr>
        <w:t>角色与对话框架设计模块包括角色设定与身份管理、对话流程设计与结构化脚本等。该智能体定位为“长三角区域 9 km 高分辨率气象降尺度专家”，拥有上游 25 km 全球场订阅身份及区域用户权限体系；对话流程设计与结构化脚本需要详细定义“拉取上游场→静态数据叠加→AI 降尺度推理→输出 9 km 产品→回写对象存储”脚本，设置脚本参数化起报时间与预报时长。</w:t>
      </w:r>
    </w:p>
    <w:p w14:paraId="0A06E401">
      <w:pPr>
        <w:rPr>
          <w:rFonts w:hint="eastAsia"/>
        </w:rPr>
      </w:pPr>
      <w:r>
        <w:rPr>
          <w:rFonts w:hint="eastAsia"/>
        </w:rPr>
        <w:t>能力构建与流程编排模块包括提示词工程、知识工程、工具开发及框架集成、流程编排与逻辑控制等。提示词工程将区域网格范围、缓冲区大小、输出变量等需求自动转为模型输入张量描述；支持提示词模板版本管理；知识工程需构建长三角静态地理知识库（地形、海陆掩码、植被覆盖），并与动态气象要素建立时空索引；工具开发及框架集成需集成GRIB/NetCDF解析工具、预测模型、评估模块，提供预测结果自动化生成与可视化功能；流程编排与逻辑控制功能需构建任务调度引擎，支持逐小时刷新短临预报与每日中期预报，自动记录任务日志、失败重试及版本控制，支持根据任务状态动态调整预测周期与粒度。</w:t>
      </w:r>
    </w:p>
    <w:p w14:paraId="4565A97E">
      <w:pPr>
        <w:rPr>
          <w:rFonts w:hint="eastAsia"/>
        </w:rPr>
      </w:pPr>
      <w:r>
        <w:rPr>
          <w:rFonts w:hint="eastAsia"/>
        </w:rPr>
        <w:t>上下文与多轮对话管理模块包括上下文建模与状态管理、用户画像与长期记忆机制、多会话并行与多用户管理、用户反馈与标注方案等功能。上下文建模与状态管理功能保留预测任务的时间轴与参数配置，支持跨日、跨任务的预测结果对比与延续分析；用户画像与长期记忆机制功能需基于用户角色存储定制化需求偏好，例如图表样式、数据格式、更新频率；多会话并行与多用户管理功能基于消息队列的异步任务池，支持 50 路并发，用户级优先级与资源上限隔离；用户反馈与标注方案功能需采集用户对预测准确率、图表可读性、预警及时性的反馈，并将实际监测数据作为标签用于模型再训练。</w:t>
      </w:r>
    </w:p>
    <w:p w14:paraId="68242A47">
      <w:pPr>
        <w:rPr>
          <w:rFonts w:hint="eastAsia"/>
        </w:rPr>
      </w:pPr>
      <w:r>
        <w:rPr>
          <w:rFonts w:hint="eastAsia"/>
        </w:rPr>
        <w:t>智能体评估与部署模块包括方案设计、可用性评测、安全性评测、智能体部署等功能。方案设计需制定以 RMSE、ACC、Bias 为核心的 7–15 天预报客观检验方案；设计分区（纬度带、海陆类型）评分策略；可用性评测需与区域自动站观测做逐日滚动验证，生成 24 h/48 h 时效评分报告，异常自动邮件告警；安全性评测需对输入数据进行恶意代码扫描，进行模型权重文件 SHA256 校验，实现API 接口限流、鉴权、审计日志全覆盖；智能体部署需采用模块化部署架构并与区域智能体数据无缝对接。</w:t>
      </w:r>
    </w:p>
    <w:p w14:paraId="4E76C806">
      <w:pPr>
        <w:pStyle w:val="5"/>
        <w:tabs>
          <w:tab w:val="left" w:pos="420"/>
        </w:tabs>
        <w:spacing w:before="156" w:after="156"/>
        <w:rPr>
          <w:rFonts w:hint="eastAsia" w:asciiTheme="majorEastAsia" w:hAnsiTheme="majorEastAsia" w:eastAsiaTheme="majorEastAsia" w:cstheme="majorEastAsia"/>
        </w:rPr>
      </w:pPr>
      <w:r>
        <w:rPr>
          <w:rFonts w:hint="eastAsia" w:asciiTheme="majorEastAsia" w:hAnsiTheme="majorEastAsia" w:eastAsiaTheme="majorEastAsia" w:cstheme="majorEastAsia"/>
        </w:rPr>
        <w:t>上海市1km气象降尺度智能体建设</w:t>
      </w:r>
    </w:p>
    <w:p w14:paraId="3DE46D0A">
      <w:pPr>
        <w:rPr>
          <w:rFonts w:ascii="Times New Roman" w:hAnsi="Times New Roman"/>
        </w:rPr>
      </w:pPr>
      <w:r>
        <w:rPr>
          <w:rFonts w:hint="eastAsia" w:ascii="Times New Roman" w:hAnsi="Times New Roman"/>
        </w:rPr>
        <w:t>面向空气污染预报技术需要，开发面向上海市空气质量预报的高时空分辨率气象预报产品。</w:t>
      </w:r>
      <w:r>
        <w:rPr>
          <w:rFonts w:ascii="Times New Roman" w:hAnsi="Times New Roman"/>
        </w:rPr>
        <w:t>以9km模型地表变量为输入，通过AI超分辨率算法进一步生成城市精细气象预报结果</w:t>
      </w:r>
      <w:r>
        <w:rPr>
          <w:rFonts w:hint="eastAsia" w:ascii="Times New Roman" w:hAnsi="Times New Roman"/>
        </w:rPr>
        <w:t>，充分体现城市对局地气象要素的显著干扰，提升对城市微气候尺度极端事件、局地异常的识别和响应能力，支持解决城市空气污染预报中的气象条件精度问题，并满足快速运行的业务需求，空间分辨率达到1km×</w:t>
      </w:r>
      <w:r>
        <w:rPr>
          <w:rFonts w:ascii="Times New Roman" w:hAnsi="Times New Roman"/>
        </w:rPr>
        <w:t>1km</w:t>
      </w:r>
      <w:r>
        <w:rPr>
          <w:rFonts w:hint="eastAsia" w:ascii="Times New Roman" w:hAnsi="Times New Roman"/>
        </w:rPr>
        <w:t>。实现每天不少于2次的更新预报，输出逐时气象变量</w:t>
      </w:r>
      <w:r>
        <w:rPr>
          <w:rFonts w:ascii="Times New Roman" w:hAnsi="Times New Roman"/>
        </w:rPr>
        <w:t>。气象</w:t>
      </w:r>
      <w:r>
        <w:rPr>
          <w:rFonts w:hint="eastAsia" w:ascii="Times New Roman" w:hAnsi="Times New Roman"/>
        </w:rPr>
        <w:t>变量为气温、风向、风速、降水和湿度。</w:t>
      </w:r>
      <w:r>
        <w:rPr>
          <w:rFonts w:ascii="Times New Roman" w:hAnsi="Times New Roman"/>
        </w:rPr>
        <w:t>优化极端环境气象预报效果，包括风速风向、静稳风场、高湿天气、极端高温等关键要素预报效果。</w:t>
      </w:r>
      <w:r>
        <w:rPr>
          <w:rFonts w:hint="eastAsia" w:ascii="Times New Roman" w:hAnsi="Times New Roman"/>
        </w:rPr>
        <w:t>需建设角色与对话框架设计、能力构建与流程编排、上下文与多轮对话管理和智能体评估与部署模块。</w:t>
      </w:r>
    </w:p>
    <w:p w14:paraId="7F37F0D2">
      <w:pPr>
        <w:rPr>
          <w:rFonts w:ascii="Times New Roman" w:hAnsi="Times New Roman"/>
        </w:rPr>
      </w:pPr>
      <w:r>
        <w:rPr>
          <w:rFonts w:hint="eastAsia" w:ascii="Times New Roman" w:hAnsi="Times New Roman"/>
        </w:rPr>
        <w:t>角色与对话框架设计模块包括角色设定与身份管理、对话流程设计与结构化脚本等。该智能体定位为“上海市 1 km 超高分辨率城市气象降尺度服务终端”，具备上海本地业务系统身份认证及细粒度权限控制；对话流程设计与结构化脚本需要详细定义“获取 9 km 区域场→叠加城市微尺度静态数据→AI 降尺度→输出 1 km 网格→推送至可视化平台”脚本，脚本内置上海行政区划过滤逻辑。</w:t>
      </w:r>
    </w:p>
    <w:p w14:paraId="201EA07A">
      <w:pPr>
        <w:rPr>
          <w:rFonts w:hint="eastAsia"/>
        </w:rPr>
      </w:pPr>
      <w:r>
        <w:rPr>
          <w:rFonts w:hint="eastAsia"/>
        </w:rPr>
        <w:t>能力构建与流程编排模块包括提示词工程、知识工程、工具开发及框架集成、流程编排与逻辑控制等。提示词工程将业务需求（区域范围、时效、变量列表）自动转换为模型推理所需的模板，内置提示版本库，支持测试与更新；知识工程需构建上海市静态地理知识库（地形、海陆掩码、植被覆盖），并与动态气象要素建立时空索引；工具开发及框架集成需集成GRIB/NetCDF解析工具、预测模型、评估模块，提供预测结果自动化生成与可视化功能；流程编排与逻辑控制功能需构建任务调度引擎，支持逐小时刷新短临预报与每日中期预报，自动记录任务日志、失败重试及版本控制，支持根据任务状态动态调整预测周期与粒度。</w:t>
      </w:r>
    </w:p>
    <w:p w14:paraId="51FF2948">
      <w:pPr>
        <w:rPr>
          <w:rFonts w:hint="eastAsia"/>
        </w:rPr>
      </w:pPr>
      <w:r>
        <w:rPr>
          <w:rFonts w:hint="eastAsia"/>
        </w:rPr>
        <w:t>上下文与多轮对话管理模块包括上下文建模与状态管理、用户画像与长期记忆机制、多会话并行与多用户管理、用户反馈与标注方案等功能。上下文建模与状态管理功能保留预测任务的时间轴与参数配置，支持跨日、跨任务的预测结果对比与延续分析；用户画像与长期记忆机制功能需基于用户角色存储定制化需求偏好，例如图表样式、数据格式、更新频率；多会话并行与多用户管理功能基于消息队列的异步任务池，支持 50 路并发，用户级优先级与资源上限隔离；用户反馈与标注方案功能需采集用户对预测准确率、图表可读性、预警及时性的反馈，并将实际监测数据作为标签用于模型再训练。</w:t>
      </w:r>
    </w:p>
    <w:p w14:paraId="44DF9B81">
      <w:pPr>
        <w:rPr>
          <w:rFonts w:hint="eastAsia"/>
        </w:rPr>
      </w:pPr>
      <w:r>
        <w:rPr>
          <w:rFonts w:hint="eastAsia"/>
        </w:rPr>
        <w:t>智能体评估与部署模块包括方案设计、可用性评测、安全性评测、智能体部署等功能。方案设计需制定 1 km vs 自动站观测的 2 m 温度、10 m 风速逐小时检验方案，引入城市冠层误差分区统计，设计分区（纬度带、海陆类型）评分策略；可用性评测需与 HRCLDAS 分析场、加密自动站实时对比，生成逐小时误差热力图，触发阈值自动告警；安全性评测需对输入数据进行恶意代码扫描，进行模型权重文件 SHA256 校验，实现API 接口限流、鉴权、审计日志全覆盖；智能体部署需采用模块化部署架构并与区域智能体数据无缝对接。</w:t>
      </w:r>
    </w:p>
    <w:p w14:paraId="515D705D">
      <w:pPr>
        <w:pStyle w:val="5"/>
        <w:tabs>
          <w:tab w:val="left" w:pos="420"/>
        </w:tabs>
        <w:rPr>
          <w:rFonts w:hint="eastAsia" w:asciiTheme="majorEastAsia" w:hAnsiTheme="majorEastAsia" w:eastAsiaTheme="majorEastAsia" w:cstheme="majorEastAsia"/>
          <w:color w:val="000000"/>
        </w:rPr>
      </w:pPr>
      <w:r>
        <w:rPr>
          <w:rFonts w:hint="eastAsia" w:asciiTheme="majorEastAsia" w:hAnsiTheme="majorEastAsia" w:eastAsiaTheme="majorEastAsia" w:cstheme="majorEastAsia"/>
          <w:color w:val="000000"/>
        </w:rPr>
        <w:t>长三角空气质量预测智能体建设</w:t>
      </w:r>
    </w:p>
    <w:p w14:paraId="08AC8B16">
      <w:pPr>
        <w:rPr>
          <w:rFonts w:hint="eastAsia"/>
        </w:rPr>
      </w:pPr>
      <w:r>
        <w:rPr>
          <w:rFonts w:hint="eastAsia"/>
        </w:rPr>
        <w:t>在气象预报的基础上，融合排放清单与污染物监测数据，实现多模态协同的污染浓度网格化预测。在长三角区域实现对SO₂、NO₂、CO、O₃、PM₂.₅、PM₁₀等污染物未来1至10天的逐小时浓度网格化预测，输出短临（未来48小时，逐小时滚动更新）和短中期（7至10天，每日更新）产品。实现SO₂、NO₂、CO、O₃、PM2.5、PM10网格化浓度场输出，空间分辨率</w:t>
      </w:r>
      <w:r>
        <w:t>9</w:t>
      </w:r>
      <w:r>
        <w:rPr>
          <w:rFonts w:hint="eastAsia"/>
        </w:rPr>
        <w:t>km</w:t>
      </w:r>
      <w:r>
        <w:t>*9</w:t>
      </w:r>
      <w:r>
        <w:rPr>
          <w:rFonts w:hint="eastAsia"/>
        </w:rPr>
        <w:t>km。需建设角色与对话框架设计、能力构建与流程编排、上下文与多轮对话管理和智能体评估与部署模块。</w:t>
      </w:r>
    </w:p>
    <w:p w14:paraId="5E6082AA">
      <w:pPr>
        <w:rPr>
          <w:rFonts w:ascii="Times New Roman" w:hAnsi="Times New Roman"/>
        </w:rPr>
      </w:pPr>
      <w:r>
        <w:rPr>
          <w:rFonts w:hint="eastAsia" w:ascii="Times New Roman" w:hAnsi="Times New Roman"/>
        </w:rPr>
        <w:t>角色与对话框架设计模块包括角色设定与身份管理、对话流程设计与结构化脚本等。将智能体定位为“长三角区域空气质量预测与分析助手”，身份覆盖数据分析师、预报员和应急调度顾问等角色，具备自动抓取ERA5气象数据、FuXi气象预报数据、MEIC/CAMS排放清单及站点监测数据的权限和能力，确保数据标准化一致性；对话流程设计与结构化脚本需要设计任务导向型对话流程，支持预测任务下发、数据更新提醒、异常预警通知等多轮交互。结构化脚本涵盖从数据感知、预测推理到结果发布的全链路步骤，支持跨模块协作。</w:t>
      </w:r>
    </w:p>
    <w:p w14:paraId="37818C06">
      <w:pPr>
        <w:rPr>
          <w:rFonts w:hint="eastAsia"/>
        </w:rPr>
      </w:pPr>
      <w:r>
        <w:rPr>
          <w:rFonts w:hint="eastAsia"/>
        </w:rPr>
        <w:t>能力构建与流程编排模块包括提示词工程、知识工程、工具开发及框架集成、流程编排与逻辑控制、MCP服务开发与接入等。提示词工程针对预测任务构建专业化提示词，例如“生成48小时O₃预测热力图”、“比较预测偏差”，确保对话触发的预测结果精确且可复现；知识工程需集成长三角区域气象、排放、观测数据的耦合知识库，内含模型版本对比记录、历史污染过程案例等，用于推理与决策参考；工具开发及框架集成需集成GRIB/NetCDF解析工具、预测模型、评估模块，提供预测结果自动化生成与可视化功能；流程编排与逻辑控制功能需构建任务调度引擎，支持逐小时刷新短临预报与每日中期预报，自动记录任务日志、失败重试及版本控制，根据任务状态动态调整预测周期与粒度；MCP服务开发与接入需接入多源数据服务（气象、排放、监测）、图表渲染与文件输出服务，实现与外部业务平台无缝对接。</w:t>
      </w:r>
    </w:p>
    <w:p w14:paraId="7FE59AF7">
      <w:pPr>
        <w:rPr>
          <w:rFonts w:hint="eastAsia"/>
        </w:rPr>
      </w:pPr>
      <w:r>
        <w:rPr>
          <w:rFonts w:hint="eastAsia"/>
        </w:rPr>
        <w:t>上下文与多轮对话管理模块包括上下文建模与状态管理、用户画像与长期记忆机制、多会话并行与多用户管理、用户反馈与标注方案等功能。上下文建模与状态管理功能保留预测任务的时间轴与参数配置，支持跨日、跨任务的预测结果对比与延续分析；用户画像与长期记忆机制功能需基于用户角色（如科研人员、环保部门）存储定制化需求偏好，例如图表样式、数据格式、更新频率；多会话并行与多用户管理功能支持预测会话的并行处理，保证多任务独立运行与上下文准确性；用户反馈与标注方案功能需采集用户对预测准确率、图表可读性、预警及时性的反馈，并将实际监测数据作为标签用于模型再训练。</w:t>
      </w:r>
    </w:p>
    <w:p w14:paraId="2676FF4D">
      <w:pPr>
        <w:rPr>
          <w:rFonts w:hint="eastAsia"/>
        </w:rPr>
      </w:pPr>
      <w:r>
        <w:rPr>
          <w:rFonts w:hint="eastAsia"/>
        </w:rPr>
        <w:t>智能体评估与部署模块包括方案设计、可用性评测、安全性评测、智能体部署等功能。方案设计需部署高性能预测引擎与数据缓存机制，确保区域多站点预测在短时间内完成；可用性评测需定期验证预测任务响应时间、数据获取成功率与交互流畅度；安全性评测需建立数据接口访问权限与异常调用审计机制，防止未授权数据泄露；智能体部署需采用模块化部署架构并与区域智能体数据无缝对接。</w:t>
      </w:r>
    </w:p>
    <w:p w14:paraId="3E2CF355">
      <w:pPr>
        <w:pStyle w:val="5"/>
        <w:tabs>
          <w:tab w:val="left" w:pos="420"/>
        </w:tabs>
        <w:rPr>
          <w:rFonts w:hint="eastAsia" w:asciiTheme="majorEastAsia" w:hAnsiTheme="majorEastAsia" w:eastAsiaTheme="majorEastAsia" w:cstheme="majorEastAsia"/>
          <w:color w:val="000000"/>
        </w:rPr>
      </w:pPr>
      <w:r>
        <w:rPr>
          <w:rFonts w:hint="eastAsia" w:asciiTheme="majorEastAsia" w:hAnsiTheme="majorEastAsia" w:eastAsiaTheme="majorEastAsia" w:cstheme="majorEastAsia"/>
          <w:color w:val="000000"/>
        </w:rPr>
        <w:t>上海市降尺度空气质量预测智能体建设</w:t>
      </w:r>
    </w:p>
    <w:p w14:paraId="5D7FCCDC">
      <w:pPr>
        <w:rPr>
          <w:rFonts w:ascii="Times New Roman" w:hAnsi="Times New Roman"/>
        </w:rPr>
      </w:pPr>
      <w:r>
        <w:rPr>
          <w:rFonts w:hint="eastAsia" w:ascii="Times New Roman" w:hAnsi="Times New Roman"/>
        </w:rPr>
        <w:t>采用区域-城市嵌套结构处理来自区域模型的污染场，结合气象数据、本地排放与站点观测数据，实现站点和网格化相融合的空气质量预报，提升对城市多点位浓度分布、污染源响应与突发事件的预报能力。在上海地区实现对SO₂、NO₂、CO、O₃、PM₂.₅、PM₁₀等污染物未来1至10天的逐小时浓度预测，输出短临（未来48小时，逐小时滚动更新）和短中期（7至10天，每日更新）产品</w:t>
      </w:r>
      <w:r>
        <w:rPr>
          <w:rFonts w:hint="eastAsia"/>
        </w:rPr>
        <w:t>，空间分辨率</w:t>
      </w:r>
      <w:r>
        <w:t>1</w:t>
      </w:r>
      <w:r>
        <w:rPr>
          <w:rFonts w:hint="eastAsia"/>
        </w:rPr>
        <w:t>km</w:t>
      </w:r>
      <w:r>
        <w:t>*1</w:t>
      </w:r>
      <w:r>
        <w:rPr>
          <w:rFonts w:hint="eastAsia"/>
        </w:rPr>
        <w:t>km</w:t>
      </w:r>
      <w:r>
        <w:rPr>
          <w:rFonts w:hint="eastAsia" w:ascii="Times New Roman" w:hAnsi="Times New Roman"/>
        </w:rPr>
        <w:t>。基于数据集、知识库和气象智能体等相关参数，实现预报结果回溯分析，定位预报偏差来源，明确空气质量预测智能体调优方向，支撑大模型智能体持续调优。需建设角色与对话框架设计、能力构建与流程编排、上下文与多轮对话管理和智能体评估与部署模块。</w:t>
      </w:r>
    </w:p>
    <w:p w14:paraId="0AE2EA9E">
      <w:pPr>
        <w:rPr>
          <w:rFonts w:ascii="Times New Roman" w:hAnsi="Times New Roman"/>
        </w:rPr>
      </w:pPr>
      <w:r>
        <w:rPr>
          <w:rFonts w:hint="eastAsia" w:ascii="Times New Roman" w:hAnsi="Times New Roman"/>
        </w:rPr>
        <w:t>角色与对话框架设计模块包括角色设定与身份管理、对话流程设计与结构化脚本等。将智能体定位为“上海市精细化空气质量预报与决策支持助手”，承担城市尺度降尺度建模、局地污染过程解析及区域预警发布任务，角色适配市级环保部门与公众服务；对话流程设计与结构化脚本需要定义从区域预测结果接入到可视化发布的完整对话脚本。</w:t>
      </w:r>
    </w:p>
    <w:p w14:paraId="3E4F68F2">
      <w:pPr>
        <w:rPr>
          <w:rFonts w:hint="eastAsia"/>
        </w:rPr>
      </w:pPr>
      <w:r>
        <w:rPr>
          <w:rFonts w:hint="eastAsia"/>
        </w:rPr>
        <w:t>能力构建与流程编排模块包括提示词工程、知识工程、工具开发及框架集成、流程编排与逻辑控制等。提示词工程针对城市精细化预测构建提示词，如“生成黄浦区未来24小时PM₂.₅预测热力图”、“判断未来24h上海市O₃污染等级”；知识工程需建立包含城市高密度监测网络、历史污染过程的知识库，用于模型微调与决策支持；工具开发及框架集成需集成城市降尺度模型、可视化引擎，支持多平台数据交互；流程编排与逻辑控制功能需支持站点数据驱动的短临预测动态刷新，自动重设参数并调用最新区域预报作为输入，形成闭环控制。</w:t>
      </w:r>
    </w:p>
    <w:p w14:paraId="0779D293">
      <w:pPr>
        <w:rPr>
          <w:rFonts w:hint="eastAsia"/>
        </w:rPr>
      </w:pPr>
      <w:r>
        <w:rPr>
          <w:rFonts w:hint="eastAsia"/>
        </w:rPr>
        <w:t>上下文与多轮对话管理模块包括上下文建模与状态管理、用户画像与长期记忆机制、多会话并行与多用户管理、用户反馈与标注方案等功能。上下文建模与状态管理功能存储城市预测任务的空间分辨率、分区划分与时间跨度，便于持续追踪和比对不同版本预测；用户画像与长期记忆机制功能需根据用户类型（如市政府部门、街道办、科研机构）存储特定数据关注点与图表需求；多会话并行与多用户管理功能支持多行政区预测任务的并行执行，并保持各自独立的上下文状态；用户反馈与标注方案功能需收集实际监测数据与预测结果的偏差，结合用户反馈修正城市降尺度模型参数。</w:t>
      </w:r>
    </w:p>
    <w:p w14:paraId="67900FE4">
      <w:pPr>
        <w:rPr>
          <w:rFonts w:hint="eastAsia"/>
        </w:rPr>
      </w:pPr>
      <w:r>
        <w:rPr>
          <w:rFonts w:hint="eastAsia"/>
        </w:rPr>
        <w:t>智能体评估与部署模块包括方案设计、可用性评测、安全性评测、智能体部署等功能。方案设计需部署轻量化降尺度预测框架，优化运行效率以适配高频次任务需求；可用性评测需检查预测任务的更新延迟、图表渲染速度和平台兼容性；安全性评测需保障城市敏感监测数据的访问安全，防止非法调用或篡改；智能体部署需采用模块化部署架构并与区域智能体数据无缝对接。</w:t>
      </w:r>
    </w:p>
    <w:p w14:paraId="1CBE8A67">
      <w:pPr>
        <w:pStyle w:val="4"/>
        <w:ind w:firstLine="562"/>
        <w:rPr>
          <w:rFonts w:ascii="Times New Roman" w:hAnsi="Times New Roman"/>
        </w:rPr>
      </w:pPr>
      <w:r>
        <w:rPr>
          <w:rFonts w:hint="eastAsia" w:ascii="Times New Roman" w:hAnsi="Times New Roman"/>
        </w:rPr>
        <w:t>大气污染溯源大模型</w:t>
      </w:r>
    </w:p>
    <w:p w14:paraId="54D04C76">
      <w:pPr>
        <w:rPr>
          <w:rFonts w:ascii="Times New Roman" w:hAnsi="Times New Roman"/>
        </w:rPr>
      </w:pPr>
      <w:r>
        <w:rPr>
          <w:rFonts w:hint="eastAsia"/>
        </w:rPr>
        <w:t>大气污染溯源大模型主要用于支撑环境污染分析业务，聚焦数据预处理、知识库构建和智能体开发三大模块。数据预处理环节针对环境监测（含状态、质控与污染物等数据）、气象观测、污染源排放等数据开展清洗、整合等标准化处理，为溯源分析奠定数据基础。知识库模块涵盖知识建模与组织和知识更新与进化，通过构建专业知识体系支撑溯源逻辑推理，并实现动态知识迭代。智能体开发包含角色与对话框架设计、能力构建与流程编排、上下文与多轮对话管理及智能体评估与部署，形成适配大气污染溯源分析场景的交互逻辑与问题解决能力</w:t>
      </w:r>
      <w:r>
        <w:rPr>
          <w:rFonts w:hint="eastAsia" w:ascii="Times New Roman" w:hAnsi="Times New Roman"/>
        </w:rPr>
        <w:t xml:space="preserve">。 </w:t>
      </w:r>
    </w:p>
    <w:p w14:paraId="561229CD">
      <w:pPr>
        <w:pStyle w:val="5"/>
        <w:tabs>
          <w:tab w:val="left" w:pos="420"/>
        </w:tabs>
        <w:spacing w:before="156" w:after="156"/>
        <w:rPr>
          <w:rFonts w:hint="eastAsia" w:asciiTheme="majorEastAsia" w:hAnsiTheme="majorEastAsia" w:eastAsiaTheme="majorEastAsia" w:cstheme="majorEastAsia"/>
        </w:rPr>
      </w:pPr>
      <w:r>
        <w:rPr>
          <w:rFonts w:hint="eastAsia" w:asciiTheme="majorEastAsia" w:hAnsiTheme="majorEastAsia" w:eastAsiaTheme="majorEastAsia" w:cstheme="majorEastAsia"/>
        </w:rPr>
        <w:t>数据预处理</w:t>
      </w:r>
    </w:p>
    <w:p w14:paraId="11DA7CA2">
      <w:pPr>
        <w:rPr>
          <w:rFonts w:hint="eastAsia"/>
        </w:rPr>
      </w:pPr>
      <w:r>
        <w:rPr>
          <w:rFonts w:hint="eastAsia"/>
        </w:rPr>
        <w:t>提供数据采集、数据处理、接口服务能力。</w:t>
      </w:r>
    </w:p>
    <w:p w14:paraId="05EC208E">
      <w:pPr>
        <w:rPr>
          <w:rFonts w:hint="eastAsia"/>
        </w:rPr>
      </w:pPr>
      <w:r>
        <w:rPr>
          <w:rFonts w:hint="eastAsia"/>
        </w:rPr>
        <w:t>数据采集模块支持对结构化和非结构化数据进行采集，全面整合长三角区域国控</w:t>
      </w:r>
      <w:r>
        <w:t>/</w:t>
      </w:r>
      <w:r>
        <w:rPr>
          <w:rFonts w:hint="eastAsia"/>
        </w:rPr>
        <w:t>省控</w:t>
      </w:r>
      <w:r>
        <w:t>/</w:t>
      </w:r>
      <w:r>
        <w:rPr>
          <w:rFonts w:hint="eastAsia"/>
        </w:rPr>
        <w:t>市控</w:t>
      </w:r>
      <w:r>
        <w:t>/区控</w:t>
      </w:r>
      <w:r>
        <w:rPr>
          <w:rFonts w:hint="eastAsia"/>
        </w:rPr>
        <w:t>监测站的常规监测数据、网格化微型站的高密度覆盖监测数据、移动走航车、无人机的动态巡查数据、卫星遥感反演的大范围污染分布数据，以及企业在线监测、用电负荷、扬尘在线监测数据等污染源活动数据，同时接入风向、风速、温度等气象要素数据和“高空瞭望”等视频数据，构建“天空地”一体化数据网。结构化数据采集聚焦大气污染溯源核心业务数据，实现结构化数据的实时采集和批量导入。数据涵盖空气质量监测数据（含状态、质控与污染物等数据）、气象数据、污染源基础信息、污染源排放数据、源谱监测数据等。非结构化数据采集支持包含图片、视频、文本及文档等多种数据资源的实时同步与批量导入，为溯源排查、线索佐证、知识库建设等提供数据支撑。</w:t>
      </w:r>
    </w:p>
    <w:p w14:paraId="4EA9A8EC">
      <w:pPr>
        <w:rPr>
          <w:rFonts w:hint="eastAsia"/>
        </w:rPr>
      </w:pPr>
      <w:r>
        <w:rPr>
          <w:rFonts w:hint="eastAsia"/>
        </w:rPr>
        <w:t>数据处理模块包括格式规范化、缺失值处理、重复数据去重、噪声数据剔除、数据脱敏与隐私保护等功能，保证输入大模型数据的规范、准确、可用，同时确保数据安全合规。</w:t>
      </w:r>
    </w:p>
    <w:p w14:paraId="5DC24E8F">
      <w:pPr>
        <w:rPr>
          <w:rFonts w:hint="eastAsia"/>
        </w:rPr>
      </w:pPr>
      <w:r>
        <w:rPr>
          <w:rFonts w:hint="eastAsia"/>
        </w:rPr>
        <w:t>提供元数据接口服务，涵盖环境空气监测数据（含状态、质控与污染物等数据）、气象实测数据、气象模式数据、污染源在线监测数据、源谱监测数据等其他数据的查询和更新功能，同时支持多维度筛选与批量操作。</w:t>
      </w:r>
    </w:p>
    <w:p w14:paraId="024CA237">
      <w:pPr>
        <w:rPr>
          <w:rFonts w:ascii="Times New Roman" w:hAnsi="Times New Roman"/>
        </w:rPr>
      </w:pPr>
      <w:r>
        <w:rPr>
          <w:rFonts w:hint="eastAsia"/>
        </w:rPr>
        <w:t>提供知识库接口服务，包括创建、删除、更新和查询知识库，支持用户自定义知识库基础信息，如知识库名称、描述、标签等，并对已有元信息进行修改。同时能根据数据运维、溯源分析、监查监管等用户角色，对知识库的操作权限和访问权限进行精细化配置</w:t>
      </w:r>
      <w:r>
        <w:rPr>
          <w:rFonts w:hint="eastAsia" w:ascii="Times New Roman" w:hAnsi="Times New Roman"/>
        </w:rPr>
        <w:t>。</w:t>
      </w:r>
    </w:p>
    <w:p w14:paraId="50F7B86C">
      <w:pPr>
        <w:pStyle w:val="5"/>
        <w:tabs>
          <w:tab w:val="left" w:pos="420"/>
        </w:tabs>
        <w:spacing w:before="156" w:after="156"/>
        <w:rPr>
          <w:rFonts w:hint="eastAsia" w:asciiTheme="majorEastAsia" w:hAnsiTheme="majorEastAsia" w:eastAsiaTheme="majorEastAsia" w:cstheme="majorEastAsia"/>
        </w:rPr>
      </w:pPr>
      <w:r>
        <w:rPr>
          <w:rFonts w:hint="eastAsia" w:asciiTheme="majorEastAsia" w:hAnsiTheme="majorEastAsia" w:eastAsiaTheme="majorEastAsia" w:cstheme="majorEastAsia"/>
        </w:rPr>
        <w:t>知识库建设</w:t>
      </w:r>
    </w:p>
    <w:p w14:paraId="4A6AFA07">
      <w:pPr>
        <w:rPr>
          <w:rFonts w:hint="eastAsia"/>
        </w:rPr>
      </w:pPr>
      <w:r>
        <w:rPr>
          <w:rFonts w:hint="eastAsia"/>
        </w:rPr>
        <w:t>知识库建设包括知识建模与组织和知识更新与进化。基于历史污染事件的溯源结果，构建涵盖多维度核心信息的溯源案例库，包含污染类型、气象污染条件、污染源类型、溯源路径等关键维度。同时，能够建立案例库动态更新机制，将新增溯源事件的完整数据（含最终验证结果）自动录入案例库，并通过AI算法优化推理模型的特征权重与匹配逻辑，持续提升同类污染事件的溯源响应速度与推理准确性。</w:t>
      </w:r>
    </w:p>
    <w:p w14:paraId="0506B384">
      <w:pPr>
        <w:widowControl/>
        <w:rPr>
          <w:rFonts w:ascii="Times New Roman" w:hAnsi="Times New Roman"/>
        </w:rPr>
      </w:pPr>
      <w:r>
        <w:rPr>
          <w:rFonts w:hint="eastAsia"/>
        </w:rPr>
        <w:t>知识建模与组织构建功能集成环境监测数据（含状态、质控与污染物等数据）、气象数据、污染源排放数据、历史相似案例等多模态数据，依据污染事件分析流程划分拆解知识切片，每个片段内知识可有序排列，自动推荐与当前事件匹配度最高的知识片段，提升知识获取效率；提供元信息标注功能，支持结构化标注来源、时效、适用范围等基础属性及污染物关联、法规效力、场景特征等语义标签；基于知识图谱构建以监测站点为核心的知识网络，支持毫秒级关联查询，</w:t>
      </w:r>
      <w:r>
        <w:rPr>
          <w:rFonts w:hint="eastAsia" w:ascii="Times New Roman" w:hAnsi="Times New Roman"/>
        </w:rPr>
        <w:t>建立多维度实体识别体系，从各类文档、数据中精准抽取监测站点、污染物、污染源、气象参数等知识实体</w:t>
      </w:r>
      <w:r>
        <w:rPr>
          <w:rFonts w:hint="eastAsia"/>
        </w:rPr>
        <w:t>。</w:t>
      </w:r>
    </w:p>
    <w:p w14:paraId="6D2181AD">
      <w:pPr>
        <w:widowControl/>
        <w:rPr>
          <w:rFonts w:ascii="Times New Roman" w:hAnsi="Times New Roman"/>
        </w:rPr>
      </w:pPr>
      <w:r>
        <w:rPr>
          <w:rFonts w:hint="eastAsia"/>
        </w:rPr>
        <w:t>知识更新与进化功能支持自动检测文档变更（如评价标准、技术规范等），生成结构化变更报告，支持多版本管理与一键回溯功能；根据污染源基础信息更新频率，进行自动化定期巡检，按规则自动更新内容；支持对用户查询、停留、调用等行为进行热度分析，动态调整大气污染知识排序；构建用户反馈增强机制，支持专家对溯源结果进行评分、纠错与建议，系统自动处理明确错误，并可以将有明确现场排查结果的案例纳入知识迭代计划，实现知识精准优化与业务贴合</w:t>
      </w:r>
      <w:r>
        <w:rPr>
          <w:rFonts w:hint="eastAsia" w:ascii="Times New Roman" w:hAnsi="Times New Roman"/>
        </w:rPr>
        <w:t>。</w:t>
      </w:r>
    </w:p>
    <w:p w14:paraId="3978C8ED">
      <w:pPr>
        <w:pStyle w:val="5"/>
        <w:tabs>
          <w:tab w:val="left" w:pos="420"/>
        </w:tabs>
        <w:spacing w:before="156" w:after="156"/>
        <w:rPr>
          <w:rFonts w:hint="eastAsia" w:asciiTheme="majorEastAsia" w:hAnsiTheme="majorEastAsia" w:eastAsiaTheme="majorEastAsia" w:cstheme="majorEastAsia"/>
        </w:rPr>
      </w:pPr>
      <w:r>
        <w:rPr>
          <w:rFonts w:hint="eastAsia" w:asciiTheme="majorEastAsia" w:hAnsiTheme="majorEastAsia" w:eastAsiaTheme="majorEastAsia" w:cstheme="majorEastAsia"/>
        </w:rPr>
        <w:t>智能体建设</w:t>
      </w:r>
    </w:p>
    <w:p w14:paraId="69C10855">
      <w:pPr>
        <w:rPr>
          <w:rFonts w:hint="eastAsia"/>
        </w:rPr>
      </w:pPr>
      <w:r>
        <w:rPr>
          <w:rFonts w:hint="eastAsia"/>
        </w:rPr>
        <w:t>构建</w:t>
      </w:r>
      <w:r>
        <w:t>面向</w:t>
      </w:r>
      <w:r>
        <w:rPr>
          <w:rFonts w:hint="eastAsia"/>
        </w:rPr>
        <w:t>大气污染溯源的</w:t>
      </w:r>
      <w:r>
        <w:t>智能对话与决策智能体，具备角色感知、多轮对话、工具协同与安全可控的全栈能力</w:t>
      </w:r>
      <w:r>
        <w:rPr>
          <w:rFonts w:hint="eastAsia"/>
        </w:rPr>
        <w:t>。智能体应基于“感知-认知-决策-进化”的类脑架构，集成多源观测数据（涵盖超级站、组分网、常规六参数、气象、污染源等），通过由智能大气专业模型+多模态图文语言模型驱动智能引擎，调度OBM、PMF等专业大气追因溯源统计分析模型算法工具箱，实现从“人工查询-被动分析”到“自动诊断-主动研判”的智能业务模式升级。具体建设模块包括角色与对话框架设计、能力构建与流程编排、上下文与多轮对话管理及智能体评估与部署。</w:t>
      </w:r>
    </w:p>
    <w:p w14:paraId="2D6995B9">
      <w:pPr>
        <w:rPr>
          <w:rFonts w:hint="eastAsia"/>
        </w:rPr>
      </w:pPr>
      <w:r>
        <w:rPr>
          <w:rFonts w:hint="eastAsia"/>
        </w:rPr>
        <w:t>角色设定与身份管理模块支持面向数据运维、溯源分析、监查监管等差异化人格设定与交互风格，基于用户角色自动切换身份等。基于大气环境监测数据特征与用户交互历史，构建多维度意图识别体系,包括环境空气质量查询、大气污染过程深度分析、污染报警事件溯源等；支持解析用户自然语言表述，设计对话流程与结构化脚本。</w:t>
      </w:r>
    </w:p>
    <w:p w14:paraId="46A1A2D0">
      <w:pPr>
        <w:rPr>
          <w:rFonts w:hint="eastAsia"/>
        </w:rPr>
      </w:pPr>
      <w:r>
        <w:rPr>
          <w:rFonts w:hint="eastAsia"/>
        </w:rPr>
        <w:t>能力构建与流程编排功能针对工业区污染溯源、环境敏感点污染溯源等复杂场景，构建分层级的提示词工程体系，解决多源干扰下结论混乱问题；打造多层级知识工程体系，实现多源数据的关联分析；开发污染源识别，源谱匹配，扩散模拟等工具，并支持多工具组合调用；开发标准化数据接口API，实现与工业区系统、污染源在线平台、无人机巡检系统等的无缝对接；支持流程编排与逻辑控制，具备对溯源点位名称、溯源分析方向等NLP语义处理、歧义消除能力。</w:t>
      </w:r>
    </w:p>
    <w:p w14:paraId="41EFDFC7">
      <w:pPr>
        <w:rPr>
          <w:rFonts w:hint="eastAsia"/>
        </w:rPr>
      </w:pPr>
      <w:r>
        <w:rPr>
          <w:rFonts w:hint="eastAsia"/>
        </w:rPr>
        <w:t>上下文与多轮对话管理功能需</w:t>
      </w:r>
      <w:r>
        <w:t>构建动态上下文模型，实时追踪多轮对话中的关键状态参数。</w:t>
      </w:r>
      <w:r>
        <w:rPr>
          <w:rFonts w:hint="eastAsia"/>
        </w:rPr>
        <w:t>支持会话历史归档，会话中断自动处理恢复。构建多维度用户画像，记录个性化偏好；建立长期记忆库存储用户历史交互中的关键信息，包括用户关注的敏感点位、频繁查询的污染源类型、历史认可的溯源模型等。</w:t>
      </w:r>
    </w:p>
    <w:p w14:paraId="2A68A372">
      <w:pPr>
        <w:rPr>
          <w:rFonts w:ascii="Times New Roman" w:hAnsi="Times New Roman"/>
        </w:rPr>
      </w:pPr>
      <w:r>
        <w:rPr>
          <w:rFonts w:hint="eastAsia"/>
        </w:rPr>
        <w:t>结合大气污染溯源分析场景需求，制定全流程评估与部署方案。评估维度涵盖可用性和安全性等。可用性评测应保障溯源输出结果准确性与现场核查情况契合，具备支撑预警响应的高效应对能力与多场景并发处理稳定性;安全性评测需构建多层次防护体系，确保监测及排放数据脱敏、权限管控有效。智能体全量部署前需完成与大气业务数据平台的接口联调，确保无缝接入现有业务体系，部署模式应具备高可移植性与扩展性，支持灰度发布、自动扩缩容、灾备与版本回滚</w:t>
      </w:r>
      <w:r>
        <w:rPr>
          <w:rFonts w:hint="eastAsia" w:ascii="Times New Roman" w:hAnsi="Times New Roman"/>
        </w:rPr>
        <w:t>。</w:t>
      </w:r>
    </w:p>
    <w:p w14:paraId="0B531134">
      <w:pPr>
        <w:pStyle w:val="4"/>
        <w:ind w:firstLine="562"/>
        <w:rPr>
          <w:rFonts w:ascii="Times New Roman" w:hAnsi="Times New Roman"/>
        </w:rPr>
      </w:pPr>
      <w:r>
        <w:rPr>
          <w:rFonts w:hint="eastAsia" w:ascii="Times New Roman" w:hAnsi="Times New Roman"/>
        </w:rPr>
        <w:t>监测机构分析大模型</w:t>
      </w:r>
    </w:p>
    <w:p w14:paraId="0CC7A1A1">
      <w:pPr>
        <w:rPr>
          <w:rFonts w:ascii="Times New Roman" w:hAnsi="Times New Roman"/>
        </w:rPr>
      </w:pPr>
      <w:r>
        <w:rPr>
          <w:rFonts w:hint="eastAsia" w:ascii="Times New Roman" w:hAnsi="Times New Roman"/>
        </w:rPr>
        <w:t>监测机构分析大模型主要支撑监测机构异常分析业务功能。围绕数据预处理、知识库构建、智能体开发三大模块：数据预处理环节开展社会化监测机构的结构化备案信息、非结构化合同报告及采样影像等多源数据处理、增强、标注及回流，形成标准化数据体系；构建涵盖知识建模与组织、知识服务与推理、知识更新与进化的社会化监管知识库，实现动态知识管理；开发包含角色与对话框架设计、工具与知识集成、能力流程编排、对话管理及持续优化的智能体，赋能监测任务全流程的合同合规性、报告完整性、数据逻辑性智能校验，提升交互与问题解决能力。</w:t>
      </w:r>
    </w:p>
    <w:p w14:paraId="619057A2">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数据预处理</w:t>
      </w:r>
    </w:p>
    <w:p w14:paraId="797EB9E4">
      <w:pPr>
        <w:rPr>
          <w:rFonts w:ascii="Times New Roman" w:hAnsi="Times New Roman"/>
        </w:rPr>
      </w:pPr>
      <w:r>
        <w:rPr>
          <w:rFonts w:hint="eastAsia" w:ascii="Times New Roman" w:hAnsi="Times New Roman"/>
        </w:rPr>
        <w:t>提供数据采集、数据处理、接口服务能力。</w:t>
      </w:r>
    </w:p>
    <w:p w14:paraId="0DAE4A14">
      <w:pPr>
        <w:rPr>
          <w:rFonts w:ascii="Times New Roman" w:hAnsi="Times New Roman"/>
        </w:rPr>
      </w:pPr>
      <w:r>
        <w:rPr>
          <w:rFonts w:hint="eastAsia" w:ascii="Times New Roman" w:hAnsi="Times New Roman"/>
        </w:rPr>
        <w:t>数据采集模块支持对结构化和非结构化数据进行采集。结构化数据采集功能需支持包含企业基本信息、人员信息、装备信息、资质信息、企业监测监测任务信息、计划信息和相关实时上报信息等数据的采集；非结构化数据主要包括企业在备案和相关检测业务流程中的数据。</w:t>
      </w:r>
    </w:p>
    <w:p w14:paraId="725CAA9E">
      <w:pPr>
        <w:ind w:firstLineChars="0"/>
        <w:rPr>
          <w:rFonts w:ascii="Times New Roman" w:hAnsi="Times New Roman"/>
        </w:rPr>
      </w:pPr>
      <w:r>
        <w:rPr>
          <w:rFonts w:hint="eastAsia" w:ascii="Times New Roman" w:hAnsi="Times New Roman"/>
        </w:rPr>
        <w:t>数据处理模块实现数据格式规范化，实现包括时间格式、污染物名称和单位、表单形式等内容的统一。</w:t>
      </w:r>
    </w:p>
    <w:p w14:paraId="680A68EE">
      <w:pPr>
        <w:rPr>
          <w:rFonts w:ascii="Times New Roman" w:hAnsi="Times New Roman"/>
        </w:rPr>
      </w:pPr>
      <w:r>
        <w:rPr>
          <w:rFonts w:hint="eastAsia" w:ascii="Times New Roman" w:hAnsi="Times New Roman"/>
        </w:rPr>
        <w:t>接口服务模块包括元数据接口和知识库接口。元数据接口需提供企业数据、CMA能力、监测价格和其他相关元数据接口；知识库接口需提供国家相关的采样标准、操作流程和规范和其他行业准则的知识库的增、删、改、查等接口。</w:t>
      </w:r>
    </w:p>
    <w:p w14:paraId="72686446">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知识库建设</w:t>
      </w:r>
    </w:p>
    <w:p w14:paraId="29DBCE43">
      <w:pPr>
        <w:rPr>
          <w:rFonts w:hint="eastAsia"/>
        </w:rPr>
      </w:pPr>
      <w:r>
        <w:rPr>
          <w:rFonts w:hint="eastAsia"/>
        </w:rPr>
        <w:t>知识库建设包括知识建模与组织、知识更新与进化。通过对机构备案与活动信息、排污单位自行监测数据、监管部门核查结果等多源信息进行融合与综合分析，将基于人工标记的样本，构建并持续优化生成式异常问题规则库。</w:t>
      </w:r>
    </w:p>
    <w:p w14:paraId="7084AB7E">
      <w:pPr>
        <w:rPr>
          <w:rFonts w:ascii="Times New Roman" w:hAnsi="Times New Roman"/>
        </w:rPr>
      </w:pPr>
      <w:r>
        <w:rPr>
          <w:rFonts w:hint="eastAsia" w:ascii="Times New Roman" w:hAnsi="Times New Roman"/>
        </w:rPr>
        <w:t>知识建模与组织构建包括知识切片、元数据标注、知识图谱建模和知识抽取等功能，支持依据环境监测采样流程、报告编制规范、采样技术标准等划分知识片段与语义切片；支持对知识内容进行基本属性与语义属性的双重元信息标注；支持构建以监测机构为核心节点的分布式知识图谱；支持基于环境监测方法与采样技术规范开展结构化知识抽取，形成覆盖异常分析全场景的完善知识体系。</w:t>
      </w:r>
    </w:p>
    <w:p w14:paraId="2CB3E1BB">
      <w:pPr>
        <w:rPr>
          <w:rFonts w:ascii="Times New Roman" w:hAnsi="Times New Roman"/>
        </w:rPr>
      </w:pPr>
      <w:r>
        <w:rPr>
          <w:rFonts w:hint="eastAsia" w:ascii="Times New Roman" w:hAnsi="Times New Roman"/>
        </w:rPr>
        <w:t>知识更新与进化模块包括变更检测与版本管理和用户行为驱动进化。变更检测与版本管理支持结合监测机构资质标准、排污许可校验规则、报告合规判定依据等核心监管知识每周定期更新，支持按版本号、时间区间回溯知识，确保可追溯性与准确性；构建以用户行为数据为核心的动态进化机制，实现监测异常分析知识库的精准迭代。</w:t>
      </w:r>
    </w:p>
    <w:p w14:paraId="0BE79E93">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智能体建设</w:t>
      </w:r>
    </w:p>
    <w:p w14:paraId="4FBB267F">
      <w:pPr>
        <w:widowControl/>
        <w:ind w:firstLine="560" w:firstLineChars="0"/>
        <w:rPr>
          <w:rFonts w:ascii="Times New Roman" w:hAnsi="Times New Roman"/>
        </w:rPr>
      </w:pPr>
      <w:r>
        <w:rPr>
          <w:rFonts w:hint="eastAsia" w:ascii="Times New Roman" w:hAnsi="Times New Roman"/>
        </w:rPr>
        <w:t>构建面向监测机构异常分析的智能体，</w:t>
      </w:r>
      <w:r>
        <w:rPr>
          <w:rFonts w:hint="eastAsia" w:ascii="Times New Roman" w:hAnsi="Times New Roman"/>
          <w:lang w:bidi="ar"/>
        </w:rPr>
        <w:t>具备角色与对话框架设计、能力构建与流程编排、上下文与多轮对话管理及智能体评估与部署等核心功能，</w:t>
      </w:r>
      <w:r>
        <w:rPr>
          <w:rFonts w:hint="eastAsia" w:ascii="Times New Roman" w:hAnsi="Times New Roman"/>
        </w:rPr>
        <w:t>结合社会化监测机构信息、监测任务及采样计划等内容，在用户提交合同、监测报告等业务阶段，自动触发异常识别流程，依托监测业务知识库与智能分析能力，校验合同完整性、报告合规性、采样逻辑性及材料与任务计划一致性，生成按监管需求分类的结构化问题清单。同时，</w:t>
      </w:r>
      <w:r>
        <w:t>依托法律法规库、技术标准规范及历史典型案例，进行多因素因果推理，生成具有逻辑可解释性的异常原因假设</w:t>
      </w:r>
      <w:r>
        <w:rPr>
          <w:rFonts w:hint="eastAsia" w:ascii="Times New Roman" w:hAnsi="Times New Roman"/>
        </w:rPr>
        <w:t>，提升异常排查效率与合规监管精准度。支持输出包括分析报告、可视化图表及问题分类结果在内的多种成果，并根据问题性质与严重程度，发出不同类型与级别的预警，例如“监测数据弄虚作假”、“未按标准规范开展监测”、“违反生态环境监测法律法规”等。支持将对所有预警结果进行综合研判与风险评估，形成具有高、中、低等不同风险等级的问题清单。该清单可助力实现监管资源的精准、高效配置，并将问题导向分类别、闭环化的处置流程，从而全面提升监管效能与智能化水平。</w:t>
      </w:r>
    </w:p>
    <w:p w14:paraId="59C0BFB6">
      <w:pPr>
        <w:widowControl/>
        <w:rPr>
          <w:rFonts w:ascii="Times New Roman" w:hAnsi="Times New Roman"/>
        </w:rPr>
      </w:pPr>
      <w:r>
        <w:rPr>
          <w:rFonts w:hint="eastAsia" w:ascii="Times New Roman" w:hAnsi="Times New Roman"/>
        </w:rPr>
        <w:t>角色化交互与权限管控模块须支持</w:t>
      </w:r>
      <w:r>
        <w:rPr>
          <w:rFonts w:ascii="Times New Roman" w:hAnsi="Times New Roman"/>
        </w:rPr>
        <w:t>针对</w:t>
      </w:r>
      <w:r>
        <w:rPr>
          <w:rFonts w:hint="eastAsia" w:ascii="Times New Roman" w:hAnsi="Times New Roman"/>
        </w:rPr>
        <w:t>一般区县使用人员和中心管理人员</w:t>
      </w:r>
      <w:r>
        <w:rPr>
          <w:rFonts w:ascii="Times New Roman" w:hAnsi="Times New Roman"/>
        </w:rPr>
        <w:t>等不同用户</w:t>
      </w:r>
      <w:r>
        <w:rPr>
          <w:rFonts w:hint="eastAsia" w:ascii="Times New Roman" w:hAnsi="Times New Roman"/>
        </w:rPr>
        <w:t>，</w:t>
      </w:r>
      <w:r>
        <w:rPr>
          <w:rFonts w:ascii="Times New Roman" w:hAnsi="Times New Roman"/>
        </w:rPr>
        <w:t>设计差异化交互逻辑</w:t>
      </w:r>
      <w:r>
        <w:rPr>
          <w:rFonts w:hint="eastAsia" w:ascii="Times New Roman" w:hAnsi="Times New Roman"/>
        </w:rPr>
        <w:t>，</w:t>
      </w:r>
      <w:r>
        <w:rPr>
          <w:rFonts w:ascii="Times New Roman" w:hAnsi="Times New Roman"/>
        </w:rPr>
        <w:t>支持基于用户身份的自动角色切换</w:t>
      </w:r>
      <w:r>
        <w:rPr>
          <w:rFonts w:hint="eastAsia" w:ascii="Times New Roman" w:hAnsi="Times New Roman"/>
        </w:rPr>
        <w:t>；</w:t>
      </w:r>
      <w:r>
        <w:rPr>
          <w:rFonts w:ascii="Times New Roman" w:hAnsi="Times New Roman"/>
        </w:rPr>
        <w:t>构建</w:t>
      </w:r>
      <w:r>
        <w:rPr>
          <w:rFonts w:hint="eastAsia" w:ascii="Times New Roman" w:hAnsi="Times New Roman"/>
        </w:rPr>
        <w:t>监测业务专属多维度意图识别体系</w:t>
      </w:r>
      <w:r>
        <w:rPr>
          <w:rFonts w:ascii="Times New Roman" w:hAnsi="Times New Roman"/>
        </w:rPr>
        <w:t>，支</w:t>
      </w:r>
      <w:r>
        <w:rPr>
          <w:rFonts w:hint="eastAsia" w:ascii="Times New Roman" w:hAnsi="Times New Roman"/>
        </w:rPr>
        <w:t>持设置分级超时机制，</w:t>
      </w:r>
      <w:r>
        <w:rPr>
          <w:rFonts w:ascii="Times New Roman" w:hAnsi="Times New Roman"/>
        </w:rPr>
        <w:t>适配实时监测数据核验、批量报告合规审查等不同对话场景</w:t>
      </w:r>
      <w:r>
        <w:rPr>
          <w:rFonts w:hint="eastAsia" w:ascii="Times New Roman" w:hAnsi="Times New Roman"/>
        </w:rPr>
        <w:t>，</w:t>
      </w:r>
      <w:r>
        <w:rPr>
          <w:rFonts w:ascii="Times New Roman" w:hAnsi="Times New Roman"/>
        </w:rPr>
        <w:t>建立多层级异常应对机制，保障</w:t>
      </w:r>
      <w:r>
        <w:rPr>
          <w:rFonts w:hint="eastAsia" w:ascii="Times New Roman" w:hAnsi="Times New Roman"/>
        </w:rPr>
        <w:t>异常分析全流程</w:t>
      </w:r>
      <w:r>
        <w:rPr>
          <w:rFonts w:ascii="Times New Roman" w:hAnsi="Times New Roman"/>
        </w:rPr>
        <w:t>对话流程稳定性</w:t>
      </w:r>
      <w:r>
        <w:rPr>
          <w:rFonts w:hint="eastAsia" w:ascii="Times New Roman" w:hAnsi="Times New Roman"/>
        </w:rPr>
        <w:t>。</w:t>
      </w:r>
    </w:p>
    <w:p w14:paraId="52878055">
      <w:pPr>
        <w:widowControl/>
        <w:rPr>
          <w:rFonts w:ascii="Times New Roman" w:hAnsi="Times New Roman"/>
        </w:rPr>
      </w:pPr>
      <w:r>
        <w:rPr>
          <w:rFonts w:hint="eastAsia" w:ascii="Times New Roman" w:hAnsi="Times New Roman"/>
        </w:rPr>
        <w:t>能力构建与流程编排需满足多方面要求，提示词工程应基于检测机构</w:t>
      </w:r>
      <w:r>
        <w:rPr>
          <w:rFonts w:ascii="Times New Roman" w:hAnsi="Times New Roman"/>
        </w:rPr>
        <w:t>的复杂场景，构建分层级的复杂提示词体系</w:t>
      </w:r>
      <w:r>
        <w:rPr>
          <w:rFonts w:hint="eastAsia" w:ascii="Times New Roman" w:hAnsi="Times New Roman"/>
        </w:rPr>
        <w:t>，支持智能体精准理解监测合同、报告校验的核心诉求；知识工程需构建多层级知识增强体系，提升监测报告内容完整性、合理性的智能识别度，支持异常问题的精准定位；工具开发及框架集成方面，需</w:t>
      </w:r>
      <w:r>
        <w:rPr>
          <w:rFonts w:ascii="Times New Roman" w:hAnsi="Times New Roman"/>
        </w:rPr>
        <w:t>开发</w:t>
      </w:r>
      <w:r>
        <w:rPr>
          <w:rFonts w:hint="eastAsia" w:ascii="Times New Roman" w:hAnsi="Times New Roman"/>
        </w:rPr>
        <w:t>机构合同和报告问题比对</w:t>
      </w:r>
      <w:r>
        <w:rPr>
          <w:rFonts w:ascii="Times New Roman" w:hAnsi="Times New Roman"/>
        </w:rPr>
        <w:t>协同</w:t>
      </w:r>
      <w:r>
        <w:rPr>
          <w:rFonts w:hint="eastAsia" w:ascii="Times New Roman" w:hAnsi="Times New Roman"/>
        </w:rPr>
        <w:t>、检测方法对比等工具，支持</w:t>
      </w:r>
      <w:r>
        <w:rPr>
          <w:rFonts w:ascii="Times New Roman" w:hAnsi="Times New Roman"/>
        </w:rPr>
        <w:t>工具智能调度</w:t>
      </w:r>
      <w:r>
        <w:rPr>
          <w:rFonts w:hint="eastAsia" w:ascii="Times New Roman" w:hAnsi="Times New Roman"/>
        </w:rPr>
        <w:t>；同步提供标准化数据接口API，实现与监测机构资质能力信息、企业监测任务及行程信息的无缝对接，支持实时数据获取与批量数据导入；流程编排与逻辑控制功能需构建任务优先级调度、步骤控制与异常恢复等能力，提供异常分析流程管控，保障智能校验工作高效有序开展。</w:t>
      </w:r>
    </w:p>
    <w:p w14:paraId="33532734">
      <w:pPr>
        <w:widowControl/>
        <w:rPr>
          <w:rFonts w:ascii="Times New Roman" w:hAnsi="Times New Roman"/>
        </w:rPr>
      </w:pPr>
      <w:r>
        <w:rPr>
          <w:rFonts w:hint="eastAsia" w:ascii="Times New Roman" w:hAnsi="Times New Roman"/>
        </w:rPr>
        <w:t>上下文与多轮对话管理模块包括上下文建模和状态管理、用户画像与长期记忆机制、多会话并行与多用户管理功能。上下文建模和状态管理需实时追踪多轮对话中的监测任务编号、企业资质信息、报告校验节点等关键状态参数，支持会话历史自动归档与回溯，设计会话中断自动处理机制，实现异常分析任务的断点续办；用户画像与长期记忆机制功能支持构建贴合监测机构角色多维用户画像，提升监测异常问题的个性化推荐与智能研判效果；多会话并行与多用户管理功能实现多监测机构异常分析会话的隔离与并行处理，具备会话优先级机制与安全的身份切换功能，保障多用户管理下的上下文数据隔离与访问安全。</w:t>
      </w:r>
    </w:p>
    <w:p w14:paraId="1813C611">
      <w:pPr>
        <w:widowControl/>
        <w:rPr>
          <w:rFonts w:ascii="Times New Roman" w:hAnsi="Times New Roman"/>
        </w:rPr>
      </w:pPr>
      <w:r>
        <w:rPr>
          <w:rFonts w:hint="eastAsia" w:ascii="Times New Roman" w:hAnsi="Times New Roman"/>
        </w:rPr>
        <w:t>智能体评估与部署需实现全流程规范化管控，方案设计应支持围绕监测机构异常分析场景制定全流程评估部署方案，确保部署可无缝接入现有监测机构管理业务体系；可用性评测支持基于企业资质、采样监测方法比对及内容逻辑印证，构建智能体异常分析结果的多维度准确性评估体系，并提供单机构单任务响应时间统计与多用户并发压力测试，监测不同并发量下的响应时效、请求成功率及资源占用情况；安全性评测需构建多层次</w:t>
      </w:r>
      <w:r>
        <w:rPr>
          <w:rFonts w:ascii="Times New Roman" w:hAnsi="Times New Roman"/>
        </w:rPr>
        <w:t>安全评测体系</w:t>
      </w:r>
      <w:r>
        <w:rPr>
          <w:rFonts w:hint="eastAsia" w:ascii="Times New Roman" w:hAnsi="Times New Roman"/>
        </w:rPr>
        <w:t>，确保监测机构相关数据脱敏、权限管控有效；智能体部署应依托容器化架构实现高可移植性与扩展性，保障相关系统的稳定对接，实现智能分析能力的长效平稳运行</w:t>
      </w:r>
    </w:p>
    <w:p w14:paraId="49A23B4A">
      <w:pPr>
        <w:pStyle w:val="4"/>
        <w:ind w:firstLine="562"/>
        <w:rPr>
          <w:rFonts w:ascii="Times New Roman" w:hAnsi="Times New Roman"/>
        </w:rPr>
      </w:pPr>
      <w:r>
        <w:rPr>
          <w:rFonts w:hint="eastAsia" w:ascii="Times New Roman" w:hAnsi="Times New Roman"/>
        </w:rPr>
        <w:t>应急监测决策大模型</w:t>
      </w:r>
    </w:p>
    <w:p w14:paraId="6FC959CD">
      <w:pPr>
        <w:rPr>
          <w:rFonts w:ascii="Times New Roman" w:hAnsi="Times New Roman"/>
        </w:rPr>
      </w:pPr>
      <w:r>
        <w:rPr>
          <w:rFonts w:hint="eastAsia"/>
        </w:rPr>
        <w:t>应急监测决策大模型主要支撑应急监测业务应用功能。应急监测决策分析大模型建设涵盖三大核心模块：数据预处理模块实现对多源应急监测数据的清洗整合，保障数据质量；知识库建设以“应急监测决策知识库”为核心，涵盖企业预案、环境风险源分析文档、应急处置规范等多类型资料，核心信息项包括风险源/敏感点地理与属性数据、应急监测实时指标、标准化应急措施及企业预案全文，支持知识建模、推理服务与动态更新；智能体开发构建角色化对话框架，集成专业工具与知识库，实现应急场景的能力构建与流程编排、上下文与多轮对话管理及智能体评估与部署。通过全流程模块协同，构建覆盖风险识别、决策支持到应急处置的智能分析体系</w:t>
      </w:r>
      <w:r>
        <w:rPr>
          <w:rFonts w:hint="eastAsia" w:ascii="Times New Roman" w:hAnsi="Times New Roman"/>
        </w:rPr>
        <w:t>。</w:t>
      </w:r>
    </w:p>
    <w:p w14:paraId="1A86F819">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数据预处理</w:t>
      </w:r>
    </w:p>
    <w:p w14:paraId="46E89CD7">
      <w:pPr>
        <w:rPr>
          <w:rFonts w:ascii="Times New Roman" w:hAnsi="Times New Roman"/>
        </w:rPr>
      </w:pPr>
      <w:r>
        <w:rPr>
          <w:rFonts w:hint="eastAsia" w:ascii="Times New Roman" w:hAnsi="Times New Roman"/>
        </w:rPr>
        <w:t>提供数据采集、数据处理、接口服务能力。</w:t>
      </w:r>
    </w:p>
    <w:p w14:paraId="64D5C210">
      <w:pPr>
        <w:rPr>
          <w:rFonts w:ascii="Times New Roman" w:hAnsi="Times New Roman"/>
        </w:rPr>
      </w:pPr>
      <w:r>
        <w:rPr>
          <w:rFonts w:hint="eastAsia" w:ascii="Times New Roman" w:hAnsi="Times New Roman"/>
        </w:rPr>
        <w:t>数据采集模块支持对结构化和非结构化数据进行采集。结构化数据采集聚焦核心业务数据，涵盖风险源数据（重大风险、较大风险、一般风险）、固定源数据（重点监管、一般监管、简易监管）、敏感点数据（居民区、学校、医院）、环境监测站数据（水质在线站、大气常规站、园区监测站）、污染源在线监测数据（水在线、气在线）等；非结构化数据采集支持企业应急预案、环境风险源分析报告、历史事件总结报告、应急处置规范、技术规范及指南、应急监测评价标准、标准监测方法等长文档获取，支持PDF、Word、扫描件等格式上传，同时支持按照文档章节进行拆分。</w:t>
      </w:r>
    </w:p>
    <w:p w14:paraId="7782D778">
      <w:pPr>
        <w:rPr>
          <w:rFonts w:ascii="Times New Roman" w:hAnsi="Times New Roman"/>
        </w:rPr>
      </w:pPr>
      <w:r>
        <w:rPr>
          <w:rFonts w:hint="eastAsia" w:ascii="Times New Roman" w:hAnsi="Times New Roman"/>
        </w:rPr>
        <w:t>数据处理模块实现数据格式规范化，支持将所有数据（如图片扫描件）转化为可编辑的电子文档，并支持人工校对。</w:t>
      </w:r>
    </w:p>
    <w:p w14:paraId="719119DE">
      <w:pPr>
        <w:rPr>
          <w:rFonts w:ascii="Times New Roman" w:hAnsi="Times New Roman"/>
        </w:rPr>
      </w:pPr>
      <w:r>
        <w:rPr>
          <w:rFonts w:hint="eastAsia" w:ascii="Times New Roman" w:hAnsi="Times New Roman"/>
        </w:rPr>
        <w:t>接口服务模块包括元数据接口和知识库接口。元数据接口提供多类数据的查询与更新服务，支持按风险源名称、敏感点类型等条件精准检索，同时支持通过标准化格式更新企业预案备案状态、敏感点范围等信息；知识库接口提供知识库新建、移除、更新及查询服务，支持按关键字、标签等条件检索并获取指定知识库详情，确保应急知识资源高效管控与便捷调用。</w:t>
      </w:r>
    </w:p>
    <w:p w14:paraId="669A3C7A">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知识库建设</w:t>
      </w:r>
    </w:p>
    <w:p w14:paraId="460F04A3">
      <w:pPr>
        <w:rPr>
          <w:rFonts w:ascii="Times New Roman" w:hAnsi="Times New Roman"/>
        </w:rPr>
      </w:pPr>
      <w:r>
        <w:rPr>
          <w:rFonts w:hint="eastAsia" w:ascii="Times New Roman" w:hAnsi="Times New Roman"/>
        </w:rPr>
        <w:t>知识库建设包括知识建模与组织、知识更新与进化和知识质量安全，通过整合各类核心数据与文档资源，搭建企业基础信息库、风险源与敏感点数据库、环境监测数据库、应急预案与报告库、应急处置规范库、应急资源库、政策法规库等专项知识子库，配套构建至少含10万余条语料的结构化语料库，实现资源集中管控、快速检索与高效复用，为环境应急管理全流程提供支撑。</w:t>
      </w:r>
    </w:p>
    <w:p w14:paraId="4931C5C5">
      <w:pPr>
        <w:rPr>
          <w:rFonts w:ascii="Times New Roman" w:hAnsi="Times New Roman"/>
        </w:rPr>
      </w:pPr>
      <w:r>
        <w:rPr>
          <w:rFonts w:hint="eastAsia" w:ascii="Times New Roman" w:hAnsi="Times New Roman"/>
        </w:rPr>
        <w:t>知识建模与组织构建包括知识切片、元数据标注、知识图谱建模和知识抽取。知识切片功能支持</w:t>
      </w:r>
      <w:r>
        <w:rPr>
          <w:rFonts w:ascii="Times New Roman" w:hAnsi="Times New Roman"/>
        </w:rPr>
        <w:t>将企业应急预案、</w:t>
      </w:r>
      <w:r>
        <w:rPr>
          <w:rFonts w:hint="eastAsia" w:ascii="Times New Roman" w:hAnsi="Times New Roman"/>
        </w:rPr>
        <w:t>应急监测</w:t>
      </w:r>
      <w:r>
        <w:rPr>
          <w:rFonts w:ascii="Times New Roman" w:hAnsi="Times New Roman"/>
        </w:rPr>
        <w:t>报告等长文档拆分为逻辑完整的段落知识片段，并为片段添加主题标签</w:t>
      </w:r>
      <w:r>
        <w:rPr>
          <w:rFonts w:hint="eastAsia" w:ascii="Times New Roman" w:hAnsi="Times New Roman"/>
        </w:rPr>
        <w:t>；元信息标注功能</w:t>
      </w:r>
      <w:r>
        <w:rPr>
          <w:rFonts w:ascii="Times New Roman" w:hAnsi="Times New Roman"/>
        </w:rPr>
        <w:t>为知识库中的每条知识添加元数据，包括数据来源、创建时间、更新时间、数据类型等信息</w:t>
      </w:r>
      <w:r>
        <w:rPr>
          <w:rFonts w:hint="eastAsia" w:ascii="Times New Roman" w:hAnsi="Times New Roman"/>
        </w:rPr>
        <w:t>，同时支持</w:t>
      </w:r>
      <w:r>
        <w:rPr>
          <w:rFonts w:ascii="Times New Roman" w:hAnsi="Times New Roman"/>
        </w:rPr>
        <w:t>建立元数据索引，支持通过元数据快速筛选和定</w:t>
      </w:r>
      <w:r>
        <w:rPr>
          <w:rFonts w:hint="eastAsia" w:ascii="Times New Roman" w:hAnsi="Times New Roman"/>
        </w:rPr>
        <w:t>位知识</w:t>
      </w:r>
      <w:r>
        <w:rPr>
          <w:rFonts w:ascii="Times New Roman" w:hAnsi="Times New Roman"/>
        </w:rPr>
        <w:t>；</w:t>
      </w:r>
      <w:r>
        <w:rPr>
          <w:rFonts w:hint="eastAsia" w:ascii="Times New Roman" w:hAnsi="Times New Roman"/>
        </w:rPr>
        <w:t>构建环境应急知识图谱，支持环境应急相关实体、属性及关联关系的标准化整合与结构化建模，同时支持</w:t>
      </w:r>
      <w:r>
        <w:rPr>
          <w:rFonts w:ascii="Times New Roman" w:hAnsi="Times New Roman"/>
        </w:rPr>
        <w:t>风险源、敏感点等</w:t>
      </w:r>
      <w:r>
        <w:rPr>
          <w:rFonts w:hint="eastAsia" w:ascii="Times New Roman" w:hAnsi="Times New Roman"/>
        </w:rPr>
        <w:t>环境应急核心要素的可视化呈现</w:t>
      </w:r>
      <w:r>
        <w:rPr>
          <w:rFonts w:ascii="Times New Roman" w:hAnsi="Times New Roman"/>
        </w:rPr>
        <w:t>；知识抽取功能支持从企业应急预案、历史事件总结报告等文本中抽取环境应急相关实体，并抽</w:t>
      </w:r>
      <w:r>
        <w:rPr>
          <w:rFonts w:hint="eastAsia" w:ascii="Times New Roman" w:hAnsi="Times New Roman"/>
        </w:rPr>
        <w:t>取实体间的关系，</w:t>
      </w:r>
      <w:r>
        <w:rPr>
          <w:rFonts w:ascii="Times New Roman" w:hAnsi="Times New Roman"/>
        </w:rPr>
        <w:t>构建结构化的知识网络，直观展现环境应急领域各要素间的关联</w:t>
      </w:r>
      <w:r>
        <w:rPr>
          <w:rFonts w:hint="eastAsia" w:ascii="Times New Roman" w:hAnsi="Times New Roman"/>
        </w:rPr>
        <w:t>。</w:t>
      </w:r>
    </w:p>
    <w:p w14:paraId="157CE744">
      <w:pPr>
        <w:widowControl/>
        <w:rPr>
          <w:rFonts w:ascii="Times New Roman" w:hAnsi="Times New Roman"/>
        </w:rPr>
      </w:pPr>
      <w:r>
        <w:rPr>
          <w:rFonts w:hint="eastAsia" w:ascii="Times New Roman" w:hAnsi="Times New Roman"/>
        </w:rPr>
        <w:t>知识更新与进化模块包括变更检测与版本管理和用户行为驱动进化。变更检测与版本管理支持应急预案、风险源清单、应急处置案例等核心知识的文本对比变更识别，提供多版本快照与一键回溯功能，执行每日定期巡检与增量更新；用户行为驱动进化支持实时采集应急知识调用频次、风险研判页面停留时长等交互指标，生成应急知识综合热度值并动态调整知识优先级</w:t>
      </w:r>
      <w:r>
        <w:rPr>
          <w:rFonts w:ascii="Times New Roman" w:hAnsi="Times New Roman"/>
        </w:rPr>
        <w:t>，将高频知识置顶至首页推荐区</w:t>
      </w:r>
      <w:r>
        <w:rPr>
          <w:rFonts w:hint="eastAsia" w:ascii="Times New Roman" w:hAnsi="Times New Roman"/>
        </w:rPr>
        <w:t>。支持</w:t>
      </w:r>
      <w:r>
        <w:rPr>
          <w:rFonts w:ascii="Times New Roman" w:hAnsi="Times New Roman"/>
        </w:rPr>
        <w:t>用户通过文本评论</w:t>
      </w:r>
      <w:r>
        <w:rPr>
          <w:rFonts w:hint="eastAsia" w:ascii="Times New Roman" w:hAnsi="Times New Roman"/>
        </w:rPr>
        <w:t>反馈应急知识准确性、实用性</w:t>
      </w:r>
      <w:r>
        <w:rPr>
          <w:rFonts w:ascii="Times New Roman" w:hAnsi="Times New Roman"/>
        </w:rPr>
        <w:t>，每周</w:t>
      </w:r>
      <w:r>
        <w:rPr>
          <w:rFonts w:hint="eastAsia" w:ascii="Times New Roman" w:hAnsi="Times New Roman"/>
        </w:rPr>
        <w:t>自动</w:t>
      </w:r>
      <w:r>
        <w:rPr>
          <w:rFonts w:ascii="Times New Roman" w:hAnsi="Times New Roman"/>
        </w:rPr>
        <w:t>汇总反馈</w:t>
      </w:r>
      <w:r>
        <w:rPr>
          <w:rFonts w:hint="eastAsia" w:ascii="Times New Roman" w:hAnsi="Times New Roman"/>
        </w:rPr>
        <w:t>并</w:t>
      </w:r>
      <w:r>
        <w:rPr>
          <w:rFonts w:ascii="Times New Roman" w:hAnsi="Times New Roman"/>
        </w:rPr>
        <w:t>触发专家审核，专家结合行业标准</w:t>
      </w:r>
      <w:r>
        <w:rPr>
          <w:rFonts w:hint="eastAsia" w:ascii="Times New Roman" w:hAnsi="Times New Roman"/>
        </w:rPr>
        <w:t>明确知识增补、修正、删减要求，</w:t>
      </w:r>
      <w:r>
        <w:rPr>
          <w:rFonts w:ascii="Times New Roman" w:hAnsi="Times New Roman"/>
        </w:rPr>
        <w:t>驱动知识体系</w:t>
      </w:r>
      <w:r>
        <w:rPr>
          <w:rFonts w:hint="eastAsia" w:ascii="Times New Roman" w:hAnsi="Times New Roman"/>
        </w:rPr>
        <w:t>适配</w:t>
      </w:r>
      <w:r>
        <w:rPr>
          <w:rFonts w:ascii="Times New Roman" w:hAnsi="Times New Roman"/>
          <w:lang w:bidi="ar"/>
        </w:rPr>
        <w:t>应急决策实战需求</w:t>
      </w:r>
      <w:r>
        <w:rPr>
          <w:rFonts w:hint="eastAsia" w:ascii="Times New Roman" w:hAnsi="Times New Roman"/>
        </w:rPr>
        <w:t>。</w:t>
      </w:r>
    </w:p>
    <w:p w14:paraId="73C0E73A">
      <w:pPr>
        <w:widowControl/>
        <w:rPr>
          <w:rFonts w:ascii="Times New Roman" w:hAnsi="Times New Roman"/>
        </w:rPr>
      </w:pPr>
      <w:r>
        <w:rPr>
          <w:rFonts w:hint="eastAsia" w:ascii="Times New Roman" w:hAnsi="Times New Roman"/>
        </w:rPr>
        <w:t>知识质量与安全模块</w:t>
      </w:r>
      <w:r>
        <w:rPr>
          <w:rFonts w:ascii="Times New Roman" w:hAnsi="Times New Roman"/>
        </w:rPr>
        <w:t>建立知识质量评估机制，自动识别知识库中可能存在的错误或过时知识</w:t>
      </w:r>
      <w:r>
        <w:rPr>
          <w:rFonts w:hint="eastAsia" w:ascii="Times New Roman" w:hAnsi="Times New Roman"/>
        </w:rPr>
        <w:t>（</w:t>
      </w:r>
      <w:r>
        <w:rPr>
          <w:rFonts w:ascii="Times New Roman" w:hAnsi="Times New Roman"/>
        </w:rPr>
        <w:t>如</w:t>
      </w:r>
      <w:r>
        <w:rPr>
          <w:rFonts w:ascii="Times New Roman" w:hAnsi="Times New Roman"/>
          <w:lang w:bidi="ar"/>
        </w:rPr>
        <w:t>与现行应急行业标准偏差≥5%的知识、发布超18个月未更新的应急处置案例及监测方法等</w:t>
      </w:r>
      <w:r>
        <w:rPr>
          <w:rFonts w:hint="eastAsia" w:ascii="Times New Roman" w:hAnsi="Times New Roman"/>
        </w:rPr>
        <w:t>），</w:t>
      </w:r>
      <w:r>
        <w:rPr>
          <w:rFonts w:ascii="Times New Roman" w:hAnsi="Times New Roman"/>
        </w:rPr>
        <w:t>持续优化智能体的知识处理能力。</w:t>
      </w:r>
    </w:p>
    <w:p w14:paraId="4A739FDE">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智能体建设</w:t>
      </w:r>
    </w:p>
    <w:p w14:paraId="50C8F4F8">
      <w:pPr>
        <w:widowControl/>
        <w:rPr>
          <w:rFonts w:hint="eastAsia"/>
        </w:rPr>
      </w:pPr>
      <w:r>
        <w:rPr>
          <w:rFonts w:hint="eastAsia" w:ascii="Times New Roman" w:hAnsi="Times New Roman"/>
        </w:rPr>
        <w:t>构建面向应急监测决策分析的智能体，具备角色与对话框架设计、能力构建与流程编排、上下文与多轮对话管理及智能体评估与部署等核心功能，可依托应急监测相关数据生成针对性应急监测方案，同步联动大气、水体污染模拟完成可视化出图，直观呈现污染物迁移扩散路径、浓度变化及影响范围，满足应急场景下决策支持、预案咨询与信息查询等多元化需求，为应急决策提供科学、精准、可视化的全方位支撑</w:t>
      </w:r>
      <w:r>
        <w:rPr>
          <w:rFonts w:hint="eastAsia" w:ascii="Times New Roman" w:hAnsi="Times New Roman"/>
          <w:lang w:bidi="ar"/>
        </w:rPr>
        <w:t>。</w:t>
      </w:r>
    </w:p>
    <w:p w14:paraId="486AA875">
      <w:pPr>
        <w:widowControl/>
        <w:rPr>
          <w:rFonts w:ascii="Times New Roman" w:hAnsi="Times New Roman"/>
        </w:rPr>
      </w:pPr>
      <w:r>
        <w:rPr>
          <w:rFonts w:hint="eastAsia" w:ascii="Times New Roman" w:hAnsi="Times New Roman"/>
        </w:rPr>
        <w:t>角色化交互与权限管控模块须支持针对应急指挥人员、应急监测人员、应急处置人员等不同用户，构建多维度动态权限分配体系，并配套身份校验机制实现权限管控；实现高精度意图识别，支持多类型需求分类并关联结构化脚本变量；配备分级超时机制与渐进式提醒策略，超时后可保存对话状态生成复用会话ID，针对意图模糊、参数缺失等异常预设引导逻辑，工具调用失败时能自动切换备用接口保障核心功能。</w:t>
      </w:r>
    </w:p>
    <w:p w14:paraId="3ECD6C97">
      <w:pPr>
        <w:widowControl/>
        <w:rPr>
          <w:rFonts w:ascii="Times New Roman" w:hAnsi="Times New Roman"/>
        </w:rPr>
      </w:pPr>
      <w:r>
        <w:rPr>
          <w:rFonts w:hint="eastAsia" w:ascii="Times New Roman" w:hAnsi="Times New Roman"/>
        </w:rPr>
        <w:t>能力构建与流程编排需满足多方面要求，提示词工程应设计层级化模板体系，通过微调优化应急领域语义理解精度与监测专业术语识别准确率；知识工程需构建“知识图谱+向量库”双引擎架构，配备知识增强插件实现多源应急数据交叉验证。工具开发及集成方面，需具备智能工具调度与异常处理机制，支持监测数据采集、污染溯源分析、风险评估等多工具串联协同及内外部数据接口适配，全环节嵌入数据安全与权限控制机制。流程编排上，需具备应急监测文本、数据等NLP语义处理及歧义消除能力，支持任务优先级调度与流程步骤监控，配备异常恢复机制及可视化流程设计工具，方便业务人员配置流程规则与节点信息。</w:t>
      </w:r>
    </w:p>
    <w:p w14:paraId="69CBBFC2">
      <w:pPr>
        <w:widowControl/>
        <w:rPr>
          <w:rFonts w:ascii="Times New Roman" w:hAnsi="Times New Roman"/>
        </w:rPr>
      </w:pPr>
      <w:r>
        <w:rPr>
          <w:rFonts w:hint="eastAsia" w:ascii="Times New Roman" w:hAnsi="Times New Roman"/>
        </w:rPr>
        <w:t>上下文与多轮对话管理实现全流程状态追踪，支持网络波动、离线等应急突发场景的断点续接功能。支持构建贴合应急角色的三维用户画像，提升个性化推荐效果；实现会话隔离与多会话并行处理，具备会话优先级机制与安全的身份切换功能，保障多用户管理下的上下文数据隔离与访问安全。</w:t>
      </w:r>
    </w:p>
    <w:p w14:paraId="48886CB0">
      <w:pPr>
        <w:rPr>
          <w:rFonts w:ascii="Times New Roman" w:hAnsi="Times New Roman"/>
        </w:rPr>
      </w:pPr>
      <w:r>
        <w:rPr>
          <w:rFonts w:hint="eastAsia" w:ascii="Times New Roman" w:hAnsi="Times New Roman"/>
        </w:rPr>
        <w:t>智能体评估与部署需实现全流程规范化管控，方案设计应构建覆盖功能完整性、性能稳定性、环境适配性的全维度评估体系，确保部署可无缝接入现有应急监测业务体系；可用性评测应保障输出结果与应急监测实际情况契合，具备支撑应急决策的高效响应能力与多场景并发处理稳定性；安全性评测需构建多层次防护体系，确保应急监测数据脱敏、权限管控有效；智能体部署应依托容器化架构实现高可移植性与扩展性，保障应急监测决策分析相关系统持续稳定运行。</w:t>
      </w:r>
    </w:p>
    <w:p w14:paraId="34BE7567">
      <w:pPr>
        <w:pStyle w:val="4"/>
        <w:ind w:firstLine="562"/>
        <w:rPr>
          <w:rFonts w:ascii="Times New Roman" w:hAnsi="Times New Roman"/>
        </w:rPr>
      </w:pPr>
      <w:r>
        <w:rPr>
          <w:rFonts w:hint="eastAsia" w:ascii="Times New Roman" w:hAnsi="Times New Roman"/>
        </w:rPr>
        <w:t>污染源智能监管大模型</w:t>
      </w:r>
    </w:p>
    <w:p w14:paraId="09AAC59D">
      <w:pPr>
        <w:rPr>
          <w:rFonts w:ascii="Times New Roman" w:hAnsi="Times New Roman"/>
        </w:rPr>
      </w:pPr>
      <w:r>
        <w:rPr>
          <w:rFonts w:hint="eastAsia" w:ascii="Times New Roman" w:hAnsi="Times New Roman"/>
        </w:rPr>
        <w:t>污染源智能监管大模型主要支撑污染源智慧监管业务模块。污染源监管大模型建设涵盖数据预处理、知识库构建与智能体开发三大核心模块：数据预处理环节针对固定污染源标准规范、自行监测检查知识、合规经验总结、排污许可执行规则、异常数据挖掘规则等五大类数据集，开展多源异构数据采集及业务/预警规则治理，形成标准化监管数据基底；知识库建设构建包含空气质量监测质控、标准规范、合规经验、排污许可规则、异常数据挖掘规则等六大专业知识库，实现知识建模组织、推理服务及动态进化，支撑监管规则与业务经验的系统化沉淀；智能体开发部署数据合规认定、自行监测检查、排污许可执行报告检查三类智能体，集成多模态AI感知矩阵与提示词管理体系，嵌入智能审核、超标推送、辅助检查等功能模块，通过能力编排与流程管理实现污染源监管业务的智能化审核与风险预警，构建覆盖数据合规、监测检查、许可执行的全链条智能监管体系。</w:t>
      </w:r>
    </w:p>
    <w:p w14:paraId="776BDFAA">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数据预处理</w:t>
      </w:r>
    </w:p>
    <w:p w14:paraId="00706F7A">
      <w:pPr>
        <w:rPr>
          <w:rFonts w:ascii="Times New Roman" w:hAnsi="Times New Roman"/>
        </w:rPr>
      </w:pPr>
      <w:r>
        <w:rPr>
          <w:rFonts w:hint="eastAsia" w:ascii="Times New Roman" w:hAnsi="Times New Roman"/>
        </w:rPr>
        <w:t>提供数据采集、数据处理、接口服务能力。针对固定污染源在线综合管理系统、社会化服务监管系统、固定污染源综合监管信息系统内数据合规认定、自行监测开展、排污许可执行报告核查所需要的数据进行预处理。</w:t>
      </w:r>
    </w:p>
    <w:p w14:paraId="74715264">
      <w:pPr>
        <w:rPr>
          <w:rFonts w:ascii="Times New Roman" w:hAnsi="Times New Roman"/>
        </w:rPr>
      </w:pPr>
      <w:r>
        <w:rPr>
          <w:rFonts w:hint="eastAsia" w:ascii="Times New Roman" w:hAnsi="Times New Roman"/>
        </w:rPr>
        <w:t>数据采集模块支持对结构化和非结构化数据进行采集。结构化数据采集需要汇聚固定污染源在线综合管理平台内自动在线监控、自行监测、自行监测检查、排污许可证信息的结构化数据，通过数据治理，形成数据合规认定、自行监测检查、排污许可执行报告检查所需数据；非机构化数据采集支持汇聚固定污染源在线综合管理平台内的企业凭证、自行监测检查上传的材料、执行报告材料数据，对污染源企业凭证附件内的非结构化数据进行采集。</w:t>
      </w:r>
    </w:p>
    <w:p w14:paraId="3A72B393">
      <w:pPr>
        <w:rPr>
          <w:rFonts w:ascii="Times New Roman" w:hAnsi="Times New Roman" w:cs="仿宋"/>
          <w:color w:val="000000"/>
          <w:kern w:val="0"/>
          <w:sz w:val="22"/>
          <w:lang w:bidi="ar"/>
        </w:rPr>
      </w:pPr>
      <w:r>
        <w:rPr>
          <w:rFonts w:hint="eastAsia" w:ascii="Times New Roman" w:hAnsi="Times New Roman"/>
        </w:rPr>
        <w:t>数据处理模块包括格式规范化、重复数据去重、数据脱敏与隐私保护、</w:t>
      </w:r>
      <w:r>
        <w:rPr>
          <w:rFonts w:hint="eastAsia" w:ascii="Times New Roman" w:hAnsi="Times New Roman" w:cs="仿宋"/>
          <w:color w:val="000000"/>
          <w:kern w:val="0"/>
          <w:sz w:val="22"/>
          <w:lang w:bidi="ar"/>
        </w:rPr>
        <w:t>编码标准化</w:t>
      </w:r>
      <w:r>
        <w:rPr>
          <w:rFonts w:hint="eastAsia" w:ascii="Times New Roman" w:hAnsi="Times New Roman"/>
        </w:rPr>
        <w:t>等功能，保证输入大模型数据的规范、准确、可用，同时确保数据安全合规。针对采集到的在线、凭证、附件数据，格式规范化需统一数据格式、标准化单位、清洗异常值、补全缺失值；缺失值处理需要识别并删除完全重复或关键字段重复的记录；数据脱敏与隐私保护需对敏感信息进行加密、掩码或泛化处理，确保数据匿名化，保障用户隐私与数据合规使用；</w:t>
      </w:r>
      <w:r>
        <w:rPr>
          <w:rFonts w:hint="eastAsia" w:ascii="Times New Roman" w:hAnsi="Times New Roman" w:cs="仿宋"/>
          <w:color w:val="000000"/>
          <w:kern w:val="0"/>
          <w:sz w:val="22"/>
          <w:lang w:bidi="ar"/>
        </w:rPr>
        <w:t>编码标准化需要统一字符编码格式，避免乱码问题，确保数据在不同系统间正确读取与处理；</w:t>
      </w:r>
    </w:p>
    <w:p w14:paraId="5D5FED56">
      <w:pPr>
        <w:rPr>
          <w:rFonts w:ascii="Times New Roman" w:hAnsi="Times New Roman"/>
        </w:rPr>
      </w:pPr>
      <w:r>
        <w:rPr>
          <w:rFonts w:hint="eastAsia" w:ascii="Times New Roman" w:hAnsi="Times New Roman"/>
        </w:rPr>
        <w:t>接口服务提供元数据接口和知识库接口服务。元数据接口实现采集后数据库内的元数据，用于定义和交换数据的结构、来源及属性，支持系统间元数据共享与数据治理；知识库接口需提供知识查询、语义理解与推理服务，实现大模型与知识库的高效交互与数据调用。</w:t>
      </w:r>
    </w:p>
    <w:p w14:paraId="4420DB67">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rPr>
        <w:t>知识库建设</w:t>
      </w:r>
    </w:p>
    <w:p w14:paraId="3B8DCC1F">
      <w:pPr>
        <w:widowControl/>
        <w:rPr>
          <w:rFonts w:ascii="Times New Roman" w:hAnsi="Times New Roman"/>
        </w:rPr>
      </w:pPr>
      <w:r>
        <w:rPr>
          <w:rFonts w:hint="eastAsia" w:ascii="Times New Roman" w:hAnsi="Times New Roman"/>
        </w:rPr>
        <w:t>知识库建设模块包括知识建模与组织和知识更新与进化功能。污染源智能监管知识库主要包括标准规范库、经验库、案例库等，支持知识目录维护、知识入库前在线编辑、知识文档维护、文档召回测试，以可视化页面支持知识提问，支持知识模糊搜索，同时支持将问答内容转为知识，自动汇入知识库。</w:t>
      </w:r>
    </w:p>
    <w:p w14:paraId="49DC8299">
      <w:pPr>
        <w:widowControl/>
        <w:rPr>
          <w:rFonts w:ascii="Times New Roman" w:hAnsi="Times New Roman"/>
        </w:rPr>
      </w:pPr>
      <w:r>
        <w:rPr>
          <w:rFonts w:hint="eastAsia" w:ascii="Times New Roman" w:hAnsi="Times New Roman"/>
        </w:rPr>
        <w:t>知识建模与组织构建模块需建设知识切片和元数据标注功能。将数据合规认定内、自行监测检查、排污许可执行报告检查涉及到的知识按语义单元切分为细粒度片段，便于存储、检索与重组，并给知识单元添加来源、类型、标签等元信息，提升知识的可追溯性、组织性与检索效率。</w:t>
      </w:r>
    </w:p>
    <w:p w14:paraId="2B8B1069">
      <w:pPr>
        <w:rPr>
          <w:rFonts w:ascii="Times New Roman" w:hAnsi="Times New Roman"/>
        </w:rPr>
      </w:pPr>
      <w:r>
        <w:rPr>
          <w:rFonts w:hint="eastAsia" w:ascii="Times New Roman" w:hAnsi="Times New Roman"/>
        </w:rPr>
        <w:t>知识更新与进化模块需建设变更检测与版本管理和用户行为驱动功能，支持历史版本追溯，保留数据修改记录，支持回溯至任意时间点的状态。实现数据冲突检测，通过比对多源数据，标记不一致项，触发版本核查流程。</w:t>
      </w:r>
    </w:p>
    <w:p w14:paraId="1101440B">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color w:val="000000"/>
          <w:kern w:val="0"/>
          <w:sz w:val="22"/>
          <w:lang w:bidi="ar"/>
        </w:rPr>
        <w:t>数据合规认定智能体建设</w:t>
      </w:r>
    </w:p>
    <w:p w14:paraId="789C20CD">
      <w:pPr>
        <w:rPr>
          <w:rFonts w:ascii="Times New Roman" w:hAnsi="Times New Roman"/>
        </w:rPr>
      </w:pPr>
      <w:r>
        <w:rPr>
          <w:rFonts w:hint="eastAsia" w:ascii="Times New Roman" w:hAnsi="Times New Roman"/>
        </w:rPr>
        <w:t>数据合规认定智能体主要支撑监管人员进行数据智能审核、企业异常推送等场景应用。数据审核场景针对自动接入的自动在线监控数据、企业上传凭证、运维管理信息、管控数据等进行预审核，辅助给出审核结论，发现异常线索可进行推送。支撑企业异常推送场景，要求每周或每两周对所有的自动数据进行全面筛查，并且输出初步异常线索。异常线索应包括线索情形，凭证信息分析，社会化监管系统运维情况分析等，对系统产生的异常线索结合历史经验、结合在线监控凭证、结合运维记录、其他判断条件进行辅助判断，分类有效线索和无效线索，自动生成推送建议，辅助完成线索、推送闭环。具体建设模块角色与对话框架设计、能力构建与流程编排、上下文与多轮对话管理及智能体评估与部署。满足对各类型推送的自动统计，提醒应推未推情况。</w:t>
      </w:r>
    </w:p>
    <w:p w14:paraId="18A34B44">
      <w:pPr>
        <w:rPr>
          <w:rFonts w:ascii="Times New Roman" w:hAnsi="Times New Roman"/>
        </w:rPr>
      </w:pPr>
      <w:r>
        <w:rPr>
          <w:rFonts w:hint="eastAsia" w:ascii="Times New Roman" w:hAnsi="Times New Roman"/>
        </w:rPr>
        <w:t>角色与对话框架设计模块包括角色设定与身份管理和对话流程设计与结构化脚本功能。设定数据合规认定的的智能体角色，默认配置数据合规认定相关的知识进行问答，数据合规认定将嵌入自动在线监控数据审核模块，支持初审数据的查看，同时支持继续上传各类文件、图片等附件进行问答。</w:t>
      </w:r>
    </w:p>
    <w:p w14:paraId="4B8B2DAB">
      <w:pPr>
        <w:ind w:firstLineChars="0"/>
        <w:rPr>
          <w:rFonts w:ascii="Times New Roman" w:hAnsi="Times New Roman"/>
        </w:rPr>
      </w:pPr>
      <w:r>
        <w:rPr>
          <w:rFonts w:hint="eastAsia" w:ascii="Times New Roman" w:hAnsi="Times New Roman"/>
        </w:rPr>
        <w:t>能力构建与流程编排模块包括提示词工程、知识工程、工具开发及框架集成、流程编排与逻辑控制、MCP服务开发与接入功能。提示词工程需深度融合数据合规认定的规则、异常标记规则与历史经验，基于污染源监控数据、运维记录及企业上传凭证等多源输入，判断存在逻辑异常，并进行输出；构建高质量数据合规认定知识库，抽取污染源自动在线监控数据审核规范、历史审核经验、历史异常推送经验，形成向量知识库，治理知识库不少于50份，支持各类文档的解析入库；提供OCR、图片识别、markdown等工具进行集成，对使用该智能体的文件或图片使用OCR、图片识别工具进行转换。提供自动化流程编排，协助构建数据合规认定需要智能体流程，包含梳理该智能体包含的步骤顺序、数据输入、使用的AI大模型、关联知识库、提示词、输出；开发与接入MCP服务，实现多能力协同、流程自动化与系统集成，提升智能化应用的灵活性与效率。</w:t>
      </w:r>
    </w:p>
    <w:p w14:paraId="3563DB47">
      <w:pPr>
        <w:rPr>
          <w:rFonts w:ascii="Times New Roman" w:hAnsi="Times New Roman"/>
        </w:rPr>
      </w:pPr>
      <w:r>
        <w:rPr>
          <w:rFonts w:hint="eastAsia" w:ascii="Times New Roman" w:hAnsi="Times New Roman"/>
        </w:rPr>
        <w:t>上下文与多轮对话管理模块包括上下文建模与状态管理、用户画像与长期记忆机制、多会话并行与多用户管理功能。上下文建模与状态管理需利用工作流编排每一步任务，围绕环境法规条款、企业上传凭证等进行合规推理与智能审核；基于用户历史查询与合规操作行为构建动态画像，结合长期记忆机制存储其行业属性、常见合规疑问与审核偏好，实现个性化交互与合规知识记忆，同时融合历史企业异常推送闭环信息形成的案例库，辅助对异常线索进行多维度判断，支持线索分类并自动生成推送建议；支持多个企业用户同时与系统进行独立会话，通过会话隔离、上下文管理和用户身份识别，确保各会话状态与合规数据互不干扰。实现资源高效调度与并发处理，提升系统在多方并行申报场景下的响应速度与服务能力，保障多用户环境下的系统稳定性与合规服务一致性。</w:t>
      </w:r>
    </w:p>
    <w:p w14:paraId="52E00AAF">
      <w:pPr>
        <w:rPr>
          <w:rFonts w:ascii="Times New Roman" w:hAnsi="Times New Roman"/>
        </w:rPr>
      </w:pPr>
      <w:r>
        <w:rPr>
          <w:rFonts w:hint="eastAsia" w:ascii="Times New Roman" w:hAnsi="Times New Roman"/>
        </w:rPr>
        <w:t>数据合规认定的智能体评估将从智能体可用情况、使用频率、预审核、推理准确性进行评估认定，主要以数据审核、企业异常推送提供的辅助建议通过率作为依据，包括方案设计、可用性评测、安全性评测、智能体部署等功能。设计涵盖合规判断准确性、响应速度、用户体验等维度的评估体系，通过离线测试与在线灰度验证评估智能体在环境数据认定任务上的性能；结合容器化部署与自动化运维，实现快速迭代与弹性扩展；可用性评测需通过多场景压力测试、响应延迟、容错能力与服务连续性评估智能体在高并发、复杂合规查询下的稳定运行能力，结合用户满意度与任务完成率，全面衡量系统在环境数据审核业务中的可靠性与可用性；安全性评测需评估智能体在环境数据传输、用户隐私保护、权限控制与对抗攻击等方面的安全防护能力，检测潜在合规与安全风险，防止敏感环境数据泄露与恶意利用；采用容器化与编排技术实现智能体的自动化部署与弹性伸缩，支持灰度发布、版本管理与监控告警，确保部署过程高效可控，适应多环境、多终端的业务需求。</w:t>
      </w:r>
    </w:p>
    <w:p w14:paraId="7806B7E2">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color w:val="000000"/>
          <w:kern w:val="0"/>
          <w:sz w:val="22"/>
          <w:lang w:bidi="ar"/>
        </w:rPr>
        <w:t>自行监测检查智能体建设</w:t>
      </w:r>
    </w:p>
    <w:p w14:paraId="34C950EA">
      <w:pPr>
        <w:rPr>
          <w:rFonts w:ascii="Times New Roman" w:hAnsi="Times New Roman"/>
        </w:rPr>
      </w:pPr>
      <w:r>
        <w:rPr>
          <w:rFonts w:hint="eastAsia" w:ascii="Times New Roman" w:hAnsi="Times New Roman"/>
        </w:rPr>
        <w:t>自行监测检查智能体主要支撑三大应用场景：一是企业基础信息诊断，通过智能体比对排污许可证与污染源信息及核查企业上传的监测附件；二是自行监测核查，依据规范流程自动采集并治理数据，输入智能体，结合提示词与知识库，围绕监测方案制定、执行情况和信息公开三类要点开展自动化检查，结果同步至业务系统；三是线索挖掘，基于企业监测过程中产生的数据，经提取治理后识别异常线索，并汇总至“三监联动”机制供监管处置。该模块需建设包括角色与对话框架设计、能力构建与流程编排、上下文与多轮对话管理及智能体评估与部署等功能。</w:t>
      </w:r>
    </w:p>
    <w:p w14:paraId="2A31E592">
      <w:pPr>
        <w:rPr>
          <w:rFonts w:ascii="Times New Roman" w:hAnsi="Times New Roman"/>
        </w:rPr>
      </w:pPr>
      <w:r>
        <w:rPr>
          <w:rFonts w:hint="eastAsia" w:ascii="Times New Roman" w:hAnsi="Times New Roman"/>
        </w:rPr>
        <w:t>角色与对话框架设计模块包括角色设定与身份管理和对话流程设计与结构化脚本功能。提供面向自行监测检查角色的数字人对话引擎，界面可选择对应模型进行自行监测检查专业性问答，同时支持拖拽监测报告、原始记录表、现场照片等文件附件进行上传解析，在对话框内，还可根据检查事项选择对应的监测标准库、技术规范库或企业历史数据库进行问答参照；开发贴合检查流程的对话步骤与结构化脚本，明确资料核验、问题询问、整改指导等交互节点与响应逻辑。</w:t>
      </w:r>
    </w:p>
    <w:p w14:paraId="5740CD3B">
      <w:pPr>
        <w:ind w:firstLineChars="0"/>
        <w:rPr>
          <w:rFonts w:ascii="Times New Roman" w:hAnsi="Times New Roman"/>
        </w:rPr>
      </w:pPr>
      <w:r>
        <w:rPr>
          <w:rFonts w:hint="eastAsia" w:ascii="Times New Roman" w:hAnsi="Times New Roman"/>
        </w:rPr>
        <w:t>能力构建与流程编排模块包括提示词工程、知识工程、工具开发及框架集成、流程编排与逻辑控制、MCP服务开发与接入功能。提示词工程需深度融合《国家重点监控企业自行监测及信息公开办法》等法规要求，提供全流程提示词管理服务。提示词应能包含自行监测检查需要的角色设定、输入、关联知识库、提示词、输出结果要素，支持动态扩展；构建高质量自行监测检查知识库，以生态环境部发布的自行监测指南、污染源自动监控、环境监测标准规范、自行监测检查专用库、经验库、案例库为主，构建的知识应不少于700份，定期更新确保时效性；提供OCR、图片识别、markdown等工具进行集成，对使用该智能体的文件或图片使用OCR、图片识别工具进行转换。需支持知识库文档的上传、召回、编辑、删除等；提供自动化流程编排工具，通过配置自行监测检查各检查点所需的数据集、关联知识库、提示词，完成自动化任务编排，执行自动化流程输出结果建议，提取结构化结果信息，分步汇总推送自行监测检查统计模块，辅助自行监测检查评分；利用MCP对数据采集、智能体能力进行集成。</w:t>
      </w:r>
    </w:p>
    <w:p w14:paraId="6C0E3D4D">
      <w:pPr>
        <w:rPr>
          <w:rFonts w:ascii="Times New Roman" w:hAnsi="Times New Roman"/>
        </w:rPr>
      </w:pPr>
      <w:r>
        <w:rPr>
          <w:rFonts w:hint="eastAsia" w:ascii="Times New Roman" w:hAnsi="Times New Roman"/>
        </w:rPr>
        <w:t>自行监测检查智能体上下文与多轮对话管理模块支撑检查人员与企业间针对监测数据的复杂问询与交互流程。其核心包括上下文建模与任务状态管理、企业与合规历史记忆、多检查任务并行处理功能。上下文建模围绕监测任务（如数据异常、异常说明、整改跟踪）展开，通过工作流编排驱动检查步骤，并实时跟踪任务状态与数据一致性，嵌入逻辑自检确保流程合规；基于历史监测记录、违规情况、整改反馈动态构建企业画像，结合长期记忆实现风险画像沉淀，使问询与辅导更具针对性；支持多检查组同步开展不同企业的检查会话，通过会话隔离、独立上下文与身份校验，确保各检查过程互不干扰。</w:t>
      </w:r>
    </w:p>
    <w:p w14:paraId="7952B040">
      <w:pPr>
        <w:rPr>
          <w:rFonts w:ascii="Times New Roman" w:hAnsi="Times New Roman"/>
        </w:rPr>
      </w:pPr>
      <w:r>
        <w:rPr>
          <w:rFonts w:hint="eastAsia" w:ascii="Times New Roman" w:hAnsi="Times New Roman"/>
        </w:rPr>
        <w:t>智能体评估与部署模块服务于检查智能体的能力评测与系统落地，自行监测检查智能体应能根据大模型能力，并发响应每个检查流程。对自行监测方案完整性核查、数据异常核查、自动在线监控核查形成辅助评分建议和异常线索，根据提供建议的扣分项与实际自行监测检查评分项确定准确率，提供准确率的统计分析页面，以准确率评估可用性。该模块涵盖评估方案设计、可用性评测、安全性评测及部署运维。评估体系设计聚焦于业务关键指标，如数据核验准确性、法规响应贴合度、企业交互效率与用户体验，并通过离线模拟测试、在线灰度验证及上线后持续监测形成闭环优化机制；可用性评测模拟多企业并发处理、复杂异常问询等压力场景，评估系统响应延迟、容错能力与服务连续性，结合运行日志与业务指标进行健康度自查；安全性评测重点针对监测数据防篡改、企业信息隐私保护、访问权限控制及恶意输入防护，建立漏洞扫描与风险感知机制，确保业务数据安全合规；部署采用容器化与自动化编排，支持按区域或企业类型的灰度发布、版本管理与实时业务监控，并集成部署后自动合规性校验巡检。</w:t>
      </w:r>
    </w:p>
    <w:p w14:paraId="74407C0F">
      <w:pPr>
        <w:pStyle w:val="5"/>
        <w:tabs>
          <w:tab w:val="left" w:pos="420"/>
        </w:tabs>
        <w:rPr>
          <w:rFonts w:hint="eastAsia" w:asciiTheme="majorEastAsia" w:hAnsiTheme="majorEastAsia" w:eastAsiaTheme="majorEastAsia" w:cstheme="majorEastAsia"/>
        </w:rPr>
      </w:pPr>
      <w:r>
        <w:rPr>
          <w:rFonts w:hint="eastAsia" w:asciiTheme="majorEastAsia" w:hAnsiTheme="majorEastAsia" w:eastAsiaTheme="majorEastAsia" w:cstheme="majorEastAsia"/>
          <w:color w:val="000000"/>
          <w:kern w:val="0"/>
          <w:sz w:val="22"/>
          <w:lang w:bidi="ar"/>
        </w:rPr>
        <w:t>排污许可执行报告检查智能体建设</w:t>
      </w:r>
    </w:p>
    <w:p w14:paraId="68E4528B">
      <w:pPr>
        <w:rPr>
          <w:rFonts w:ascii="Times New Roman" w:hAnsi="Times New Roman"/>
        </w:rPr>
      </w:pPr>
      <w:r>
        <w:rPr>
          <w:rFonts w:hint="eastAsia" w:ascii="Times New Roman" w:hAnsi="Times New Roman"/>
        </w:rPr>
        <w:t>排污许可执行报告检查智能体主要支撑业务科室人员对执行报告、自动在线监控排放总量进行核查。包含角色与对话框架设计、能力构建与流程编排、上下文与多轮对话管理及智能体评估与部署。</w:t>
      </w:r>
    </w:p>
    <w:p w14:paraId="1A3F8B85">
      <w:pPr>
        <w:rPr>
          <w:rFonts w:ascii="Times New Roman" w:hAnsi="Times New Roman"/>
        </w:rPr>
      </w:pPr>
      <w:r>
        <w:rPr>
          <w:rFonts w:hint="eastAsia" w:ascii="Times New Roman" w:hAnsi="Times New Roman"/>
        </w:rPr>
        <w:t>角色与对话框架设计模块包括角色设定与身份管理和对话流程设计与结构化脚本功能。可根据实际场景（如执行核查、总量核查）设定身份与交互模式。提供数字人对话引擎，设定角色为业务科室人员核查排污许可执行报告，用户可在界面中选择对应模型，就排污许可政策、填报要求等问题进行专业问答，并可直接拖拽上传执行报告、监测图表、附件说明等文件进行智能解析与核验。在检查对话中，还可随时调用内置的排污许可知识库，确保回复准确合规。通过清晰设计结构化对话流程与脚本，系统明确了从报告上传、问题识别到整改指导的全流程交互节点与响应逻辑，从而在专业场景下显著提升了AI对话的连贯性与工作效率。</w:t>
      </w:r>
    </w:p>
    <w:p w14:paraId="12D82BCF">
      <w:pPr>
        <w:ind w:firstLineChars="0"/>
        <w:rPr>
          <w:rFonts w:ascii="Times New Roman" w:hAnsi="Times New Roman"/>
        </w:rPr>
      </w:pPr>
      <w:r>
        <w:rPr>
          <w:rFonts w:hint="eastAsia" w:ascii="Times New Roman" w:hAnsi="Times New Roman"/>
        </w:rPr>
        <w:t>能力构建与流程编排模块包括提示词工程、知识工程、工具开发及框架集成、流程编排与逻辑控制、MCP服务开发与接入功能。提示词工程需支持提示词的动态收录、分类优化及智能推荐等，可自动匹配执行报告提交及时性（年度报告1月底前、季度报告次季度首月15日前）、内容完整性及规范性等核心检查要点；知识工程通过整合第三方审核机制与审计式检查指南，支持多维度分析，并实时关联生态环境部门最新执法依据；提供自动化流程编排工具，按照可执行报告检查过程，收集和整理数据，并将信息输入AI辅助检查智能体。智能体进行分析处理后，输出检查结果和建议，监管主体依据结果开展进一步的核查和整改工作；提供自动化流程工具，将可执行报告检查分步实施，可以选择对应模型、知识库、提示词、数据进行自动运行，最后将结果汇总并推送。开发与接入MCP服务，实现多能力协同、流程自动化与系统集成，提升智能化应用的灵活性与效率。</w:t>
      </w:r>
    </w:p>
    <w:p w14:paraId="0A156A69">
      <w:pPr>
        <w:rPr>
          <w:rFonts w:ascii="Times New Roman" w:hAnsi="Times New Roman"/>
        </w:rPr>
      </w:pPr>
      <w:r>
        <w:rPr>
          <w:rFonts w:hint="eastAsia" w:ascii="Times New Roman" w:hAnsi="Times New Roman"/>
        </w:rPr>
        <w:t>上下文与多轮对话管理模块针对排污许可执行报告检查场景，提供上下文建模与状态管理、用户画像与长期记忆以及多会话并行处理能力。系统基于工作流编排检查任务，引导用户逐步完成报告填报、数据核验与问题整改的对话推理。通过记录企业或监管人员的交互行为，构建动态用户画像，并借助长期记忆机制保存历史检查要点与常见问题，实现个性化提示与偏好记忆，从而提升答复精准度与交互体验。模块同时支持多用户并行独立会话，通过会话隔离与身份识别机制，确保企业自查与部门核查等不同会话的上下文互不干扰，实现高效资源调度与并发响应，保障系统在多用户同时在线场景下的稳定性与流畅性。</w:t>
      </w:r>
    </w:p>
    <w:p w14:paraId="729FF92F">
      <w:pPr>
        <w:rPr>
          <w:rFonts w:hint="eastAsia"/>
        </w:rPr>
      </w:pPr>
      <w:r>
        <w:rPr>
          <w:rFonts w:hint="eastAsia" w:ascii="Times New Roman" w:hAnsi="Times New Roman"/>
        </w:rPr>
        <w:t>智能体评估与部署模块围绕排污许可执行报告检查的业务要求，涵盖方案设计、可用性评测、安全性评测与智能体部署全流程。评估体系设计聚焦于填报指导的准确性、政策解读的响应速度及用户操作体验，通过离线测试与在线灰度发布验证智能体在真实场景中的表现；可用性评测</w:t>
      </w:r>
      <w:r>
        <w:rPr>
          <w:rFonts w:hint="eastAsia" w:ascii="Times New Roman" w:hAnsi="Times New Roman"/>
          <w:lang w:bidi="ar"/>
        </w:rPr>
        <w:t>主要以排污许可执行报告核查、总量核查辅助生成的线索有效性进行判定，统计线索有效性作为准确率评估指标</w:t>
      </w:r>
      <w:r>
        <w:rPr>
          <w:rFonts w:hint="eastAsia" w:ascii="Times New Roman" w:hAnsi="Times New Roman"/>
        </w:rPr>
        <w:t>；安全性评测重点检测智能体在报告数据传输、企业隐私保护、权限分级控制及对抗恶意查询等方面的防护能力，防范信息泄露与违规操作风险；部署采用容器化与自动化运维技术，支持灰度发布、多版本管理及实时监控告警，实现智能体的快速迭代与弹性扩展</w:t>
      </w:r>
    </w:p>
    <w:p w14:paraId="7E27855E">
      <w:pPr>
        <w:pStyle w:val="3"/>
        <w:ind w:firstLine="602"/>
        <w:rPr>
          <w:rFonts w:hint="eastAsia"/>
        </w:rPr>
      </w:pPr>
      <w:r>
        <w:rPr>
          <w:rFonts w:hint="eastAsia"/>
        </w:rPr>
        <w:t>项目内容明细</w:t>
      </w:r>
    </w:p>
    <w:p w14:paraId="4D346CBF">
      <w:pPr>
        <w:rPr>
          <w:rFonts w:hint="eastAsia"/>
        </w:rPr>
      </w:pPr>
      <w:r>
        <w:rPr>
          <w:rFonts w:hint="eastAsia"/>
        </w:rPr>
        <w:t>本项目仅涉及软件开发，清单如下所示：</w:t>
      </w:r>
    </w:p>
    <w:p w14:paraId="6F3CB021">
      <w:pPr>
        <w:ind w:firstLine="482"/>
        <w:rPr>
          <w:rFonts w:hint="eastAsia"/>
        </w:rPr>
      </w:pPr>
      <w:r>
        <w:rPr>
          <w:rFonts w:hint="eastAsia"/>
          <w:b/>
        </w:rPr>
        <w:t>1、软件开发清单</w:t>
      </w:r>
    </w:p>
    <w:tbl>
      <w:tblPr>
        <w:tblStyle w:val="37"/>
        <w:tblW w:w="0" w:type="auto"/>
        <w:tblInd w:w="0" w:type="dxa"/>
        <w:tblLayout w:type="fixed"/>
        <w:tblCellMar>
          <w:top w:w="0" w:type="dxa"/>
          <w:left w:w="108" w:type="dxa"/>
          <w:bottom w:w="0" w:type="dxa"/>
          <w:right w:w="108" w:type="dxa"/>
        </w:tblCellMar>
      </w:tblPr>
      <w:tblGrid>
        <w:gridCol w:w="704"/>
        <w:gridCol w:w="2028"/>
        <w:gridCol w:w="1642"/>
        <w:gridCol w:w="3928"/>
      </w:tblGrid>
      <w:tr w14:paraId="20812E78">
        <w:tblPrEx>
          <w:tblCellMar>
            <w:top w:w="0" w:type="dxa"/>
            <w:left w:w="108" w:type="dxa"/>
            <w:bottom w:w="0" w:type="dxa"/>
            <w:right w:w="108" w:type="dxa"/>
          </w:tblCellMar>
        </w:tblPrEx>
        <w:trPr>
          <w:trHeight w:val="278" w:hRule="atLeast"/>
          <w:tblHeader/>
        </w:trPr>
        <w:tc>
          <w:tcPr>
            <w:tcW w:w="704" w:type="dxa"/>
            <w:tcBorders>
              <w:top w:val="single" w:color="auto" w:sz="4" w:space="0"/>
              <w:left w:val="single" w:color="auto" w:sz="4" w:space="0"/>
              <w:bottom w:val="single" w:color="auto" w:sz="4" w:space="0"/>
              <w:right w:val="single" w:color="auto" w:sz="4" w:space="0"/>
            </w:tcBorders>
            <w:shd w:val="clear" w:color="000000" w:fill="BDD7EE"/>
            <w:vAlign w:val="center"/>
          </w:tcPr>
          <w:p w14:paraId="063DCC8A">
            <w:pPr>
              <w:widowControl/>
              <w:spacing w:line="240" w:lineRule="auto"/>
              <w:ind w:firstLine="0" w:firstLineChars="0"/>
              <w:jc w:val="center"/>
              <w:rPr>
                <w:rFonts w:hint="eastAsia" w:cs="宋体"/>
                <w:b/>
                <w:color w:val="000000"/>
                <w:kern w:val="0"/>
                <w:sz w:val="20"/>
                <w:szCs w:val="20"/>
              </w:rPr>
            </w:pPr>
            <w:r>
              <w:rPr>
                <w:rFonts w:hint="eastAsia" w:cs="宋体"/>
                <w:b/>
                <w:color w:val="000000"/>
                <w:kern w:val="0"/>
                <w:sz w:val="20"/>
                <w:szCs w:val="20"/>
              </w:rPr>
              <w:t>序号</w:t>
            </w:r>
          </w:p>
        </w:tc>
        <w:tc>
          <w:tcPr>
            <w:tcW w:w="2028" w:type="dxa"/>
            <w:tcBorders>
              <w:top w:val="single" w:color="auto" w:sz="4" w:space="0"/>
              <w:left w:val="nil"/>
              <w:bottom w:val="single" w:color="auto" w:sz="4" w:space="0"/>
              <w:right w:val="single" w:color="auto" w:sz="4" w:space="0"/>
            </w:tcBorders>
            <w:shd w:val="clear" w:color="000000" w:fill="BDD7EE"/>
            <w:vAlign w:val="center"/>
          </w:tcPr>
          <w:p w14:paraId="0BDC8900">
            <w:pPr>
              <w:widowControl/>
              <w:spacing w:line="240" w:lineRule="auto"/>
              <w:ind w:firstLine="0" w:firstLineChars="0"/>
              <w:jc w:val="center"/>
              <w:rPr>
                <w:rFonts w:hint="eastAsia" w:cs="宋体"/>
                <w:b/>
                <w:color w:val="000000"/>
                <w:kern w:val="0"/>
                <w:sz w:val="20"/>
                <w:szCs w:val="20"/>
              </w:rPr>
            </w:pPr>
            <w:r>
              <w:rPr>
                <w:rFonts w:hint="eastAsia" w:cs="宋体"/>
                <w:b/>
                <w:color w:val="000000"/>
                <w:kern w:val="0"/>
                <w:sz w:val="20"/>
                <w:szCs w:val="20"/>
              </w:rPr>
              <w:t>应用系统名称</w:t>
            </w:r>
          </w:p>
        </w:tc>
        <w:tc>
          <w:tcPr>
            <w:tcW w:w="1642" w:type="dxa"/>
            <w:tcBorders>
              <w:top w:val="single" w:color="auto" w:sz="4" w:space="0"/>
              <w:left w:val="nil"/>
              <w:bottom w:val="single" w:color="auto" w:sz="4" w:space="0"/>
              <w:right w:val="single" w:color="auto" w:sz="4" w:space="0"/>
            </w:tcBorders>
            <w:shd w:val="clear" w:color="000000" w:fill="BDD7EE"/>
            <w:vAlign w:val="center"/>
          </w:tcPr>
          <w:p w14:paraId="268087B0">
            <w:pPr>
              <w:widowControl/>
              <w:spacing w:line="240" w:lineRule="auto"/>
              <w:ind w:firstLine="0" w:firstLineChars="0"/>
              <w:jc w:val="center"/>
              <w:rPr>
                <w:rFonts w:hint="eastAsia" w:cs="宋体"/>
                <w:b/>
                <w:color w:val="000000"/>
                <w:kern w:val="0"/>
                <w:sz w:val="20"/>
                <w:szCs w:val="20"/>
              </w:rPr>
            </w:pPr>
            <w:r>
              <w:rPr>
                <w:rFonts w:hint="eastAsia" w:cs="宋体"/>
                <w:b/>
                <w:color w:val="000000"/>
                <w:kern w:val="0"/>
                <w:sz w:val="20"/>
                <w:szCs w:val="20"/>
              </w:rPr>
              <w:t>模块名称</w:t>
            </w:r>
          </w:p>
        </w:tc>
        <w:tc>
          <w:tcPr>
            <w:tcW w:w="3928" w:type="dxa"/>
            <w:tcBorders>
              <w:top w:val="single" w:color="auto" w:sz="4" w:space="0"/>
              <w:left w:val="nil"/>
              <w:bottom w:val="single" w:color="auto" w:sz="4" w:space="0"/>
              <w:right w:val="single" w:color="auto" w:sz="4" w:space="0"/>
            </w:tcBorders>
            <w:shd w:val="clear" w:color="000000" w:fill="BDD7EE"/>
            <w:vAlign w:val="center"/>
          </w:tcPr>
          <w:p w14:paraId="2BE237BE">
            <w:pPr>
              <w:widowControl/>
              <w:spacing w:line="240" w:lineRule="auto"/>
              <w:ind w:firstLine="0" w:firstLineChars="0"/>
              <w:jc w:val="center"/>
              <w:rPr>
                <w:rFonts w:hint="eastAsia" w:cs="宋体"/>
                <w:b/>
                <w:color w:val="000000"/>
                <w:kern w:val="0"/>
                <w:sz w:val="20"/>
                <w:szCs w:val="20"/>
              </w:rPr>
            </w:pPr>
            <w:r>
              <w:rPr>
                <w:rFonts w:hint="eastAsia" w:cs="宋体"/>
                <w:b/>
                <w:color w:val="000000"/>
                <w:kern w:val="0"/>
                <w:sz w:val="20"/>
                <w:szCs w:val="20"/>
              </w:rPr>
              <w:t>模块描述</w:t>
            </w:r>
          </w:p>
        </w:tc>
      </w:tr>
      <w:tr w14:paraId="7415D4CD">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6E07F2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w:t>
            </w:r>
          </w:p>
        </w:tc>
        <w:tc>
          <w:tcPr>
            <w:tcW w:w="2028" w:type="dxa"/>
            <w:vMerge w:val="restart"/>
            <w:tcBorders>
              <w:top w:val="nil"/>
              <w:left w:val="single" w:color="auto" w:sz="4" w:space="0"/>
              <w:bottom w:val="single" w:color="000000" w:sz="4" w:space="0"/>
              <w:right w:val="single" w:color="auto" w:sz="4" w:space="0"/>
            </w:tcBorders>
            <w:noWrap/>
            <w:vAlign w:val="center"/>
          </w:tcPr>
          <w:p w14:paraId="3D7A883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生态环境遥感监测</w:t>
            </w:r>
          </w:p>
        </w:tc>
        <w:tc>
          <w:tcPr>
            <w:tcW w:w="1642" w:type="dxa"/>
            <w:tcBorders>
              <w:top w:val="nil"/>
              <w:left w:val="nil"/>
              <w:bottom w:val="single" w:color="auto" w:sz="4" w:space="0"/>
              <w:right w:val="single" w:color="auto" w:sz="4" w:space="0"/>
            </w:tcBorders>
            <w:vAlign w:val="center"/>
          </w:tcPr>
          <w:p w14:paraId="20C823F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多源遥感数据集成-卫星遥感数据集成</w:t>
            </w:r>
          </w:p>
        </w:tc>
        <w:tc>
          <w:tcPr>
            <w:tcW w:w="3928" w:type="dxa"/>
            <w:tcBorders>
              <w:top w:val="nil"/>
              <w:left w:val="nil"/>
              <w:bottom w:val="single" w:color="auto" w:sz="4" w:space="0"/>
              <w:right w:val="single" w:color="auto" w:sz="4" w:space="0"/>
            </w:tcBorders>
            <w:vAlign w:val="center"/>
          </w:tcPr>
          <w:p w14:paraId="39184B8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通过指定目录、外部 FTP、云储存路径等多途径接入卫星遥感数据，可 “无人值守” 从固定位置或网站自动下载 FY-3、MODIS 等多系列卫星资料。可按设定策略定时启动检索，检索到即自动下载，同步获取元数据，完成数据整理、标准产品生产及入库。</w:t>
            </w:r>
          </w:p>
        </w:tc>
      </w:tr>
      <w:tr w14:paraId="025AF464">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491B21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w:t>
            </w:r>
          </w:p>
        </w:tc>
        <w:tc>
          <w:tcPr>
            <w:tcW w:w="2028" w:type="dxa"/>
            <w:vMerge w:val="continue"/>
            <w:tcBorders>
              <w:top w:val="nil"/>
              <w:left w:val="single" w:color="auto" w:sz="4" w:space="0"/>
              <w:bottom w:val="single" w:color="000000" w:sz="4" w:space="0"/>
              <w:right w:val="single" w:color="auto" w:sz="4" w:space="0"/>
            </w:tcBorders>
            <w:vAlign w:val="center"/>
          </w:tcPr>
          <w:p w14:paraId="646ABCE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DDDD6D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多源遥感数据集成-无人机遥感数据集成</w:t>
            </w:r>
          </w:p>
        </w:tc>
        <w:tc>
          <w:tcPr>
            <w:tcW w:w="3928" w:type="dxa"/>
            <w:tcBorders>
              <w:top w:val="nil"/>
              <w:left w:val="nil"/>
              <w:bottom w:val="single" w:color="auto" w:sz="4" w:space="0"/>
              <w:right w:val="single" w:color="auto" w:sz="4" w:space="0"/>
            </w:tcBorders>
            <w:vAlign w:val="center"/>
          </w:tcPr>
          <w:p w14:paraId="7288BA2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对接第三方无人机飞控系统，可以实时浏览无人机状况，进行飞行数据传输与下载等功能。数据传输支持在线与离线传输。</w:t>
            </w:r>
          </w:p>
        </w:tc>
      </w:tr>
      <w:tr w14:paraId="7FE5DA4F">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65E620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w:t>
            </w:r>
          </w:p>
        </w:tc>
        <w:tc>
          <w:tcPr>
            <w:tcW w:w="2028" w:type="dxa"/>
            <w:vMerge w:val="continue"/>
            <w:tcBorders>
              <w:top w:val="nil"/>
              <w:left w:val="single" w:color="auto" w:sz="4" w:space="0"/>
              <w:bottom w:val="single" w:color="000000" w:sz="4" w:space="0"/>
              <w:right w:val="single" w:color="auto" w:sz="4" w:space="0"/>
            </w:tcBorders>
            <w:vAlign w:val="center"/>
          </w:tcPr>
          <w:p w14:paraId="1DE3FEF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EB81DE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多源遥感数据集成-地基遥感数据集成</w:t>
            </w:r>
          </w:p>
        </w:tc>
        <w:tc>
          <w:tcPr>
            <w:tcW w:w="3928" w:type="dxa"/>
            <w:tcBorders>
              <w:top w:val="nil"/>
              <w:left w:val="nil"/>
              <w:bottom w:val="single" w:color="auto" w:sz="4" w:space="0"/>
              <w:right w:val="single" w:color="auto" w:sz="4" w:space="0"/>
            </w:tcBorders>
            <w:vAlign w:val="center"/>
          </w:tcPr>
          <w:p w14:paraId="0860AD5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从走航车、无人船、塔机数据、自动监测站等地基遥感平台上进行数据采集，支持离线、在线采集方式。这些平台上获取的数据包括图像、视频和非结构化数据。通过数据线导入等离线采集方式，支持通过服务接口在线接入采集方式。</w:t>
            </w:r>
          </w:p>
        </w:tc>
      </w:tr>
      <w:tr w14:paraId="3A475EE8">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2FF4F96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w:t>
            </w:r>
          </w:p>
        </w:tc>
        <w:tc>
          <w:tcPr>
            <w:tcW w:w="2028" w:type="dxa"/>
            <w:vMerge w:val="continue"/>
            <w:tcBorders>
              <w:top w:val="nil"/>
              <w:left w:val="single" w:color="auto" w:sz="4" w:space="0"/>
              <w:bottom w:val="single" w:color="000000" w:sz="4" w:space="0"/>
              <w:right w:val="single" w:color="auto" w:sz="4" w:space="0"/>
            </w:tcBorders>
            <w:vAlign w:val="center"/>
          </w:tcPr>
          <w:p w14:paraId="6410525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13475E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遥感数据标准化生产-数据质检</w:t>
            </w:r>
          </w:p>
        </w:tc>
        <w:tc>
          <w:tcPr>
            <w:tcW w:w="3928" w:type="dxa"/>
            <w:tcBorders>
              <w:top w:val="nil"/>
              <w:left w:val="nil"/>
              <w:bottom w:val="single" w:color="auto" w:sz="4" w:space="0"/>
              <w:right w:val="single" w:color="auto" w:sz="4" w:space="0"/>
            </w:tcBorders>
            <w:vAlign w:val="center"/>
          </w:tcPr>
          <w:p w14:paraId="349B062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通过设置一定的选片策略，自动完成数据质量检查、选片工作。</w:t>
            </w:r>
          </w:p>
        </w:tc>
      </w:tr>
      <w:tr w14:paraId="157F7F1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F10BD3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w:t>
            </w:r>
          </w:p>
        </w:tc>
        <w:tc>
          <w:tcPr>
            <w:tcW w:w="2028" w:type="dxa"/>
            <w:vMerge w:val="continue"/>
            <w:tcBorders>
              <w:top w:val="nil"/>
              <w:left w:val="single" w:color="auto" w:sz="4" w:space="0"/>
              <w:bottom w:val="single" w:color="000000" w:sz="4" w:space="0"/>
              <w:right w:val="single" w:color="auto" w:sz="4" w:space="0"/>
            </w:tcBorders>
            <w:vAlign w:val="center"/>
          </w:tcPr>
          <w:p w14:paraId="203836D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79C5E4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遥感数据标准化生产-正射校正</w:t>
            </w:r>
          </w:p>
        </w:tc>
        <w:tc>
          <w:tcPr>
            <w:tcW w:w="3928" w:type="dxa"/>
            <w:tcBorders>
              <w:top w:val="nil"/>
              <w:left w:val="nil"/>
              <w:bottom w:val="single" w:color="auto" w:sz="4" w:space="0"/>
              <w:right w:val="single" w:color="auto" w:sz="4" w:space="0"/>
            </w:tcBorders>
            <w:vAlign w:val="center"/>
          </w:tcPr>
          <w:p w14:paraId="34D9758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以己有的卫星影像为校正控制，采集影像校正控制点，结合高程数据，对卫星影像采用物理模型或有理函数模型进行正射校正。</w:t>
            </w:r>
          </w:p>
        </w:tc>
      </w:tr>
      <w:tr w14:paraId="16580414">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73A3E4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6</w:t>
            </w:r>
          </w:p>
        </w:tc>
        <w:tc>
          <w:tcPr>
            <w:tcW w:w="2028" w:type="dxa"/>
            <w:vMerge w:val="continue"/>
            <w:tcBorders>
              <w:top w:val="nil"/>
              <w:left w:val="single" w:color="auto" w:sz="4" w:space="0"/>
              <w:bottom w:val="single" w:color="000000" w:sz="4" w:space="0"/>
              <w:right w:val="single" w:color="auto" w:sz="4" w:space="0"/>
            </w:tcBorders>
            <w:vAlign w:val="center"/>
          </w:tcPr>
          <w:p w14:paraId="7075510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FB3B00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遥感数据标准化生产-几何校正</w:t>
            </w:r>
          </w:p>
        </w:tc>
        <w:tc>
          <w:tcPr>
            <w:tcW w:w="3928" w:type="dxa"/>
            <w:tcBorders>
              <w:top w:val="nil"/>
              <w:left w:val="nil"/>
              <w:bottom w:val="single" w:color="auto" w:sz="4" w:space="0"/>
              <w:right w:val="single" w:color="auto" w:sz="4" w:space="0"/>
            </w:tcBorders>
            <w:vAlign w:val="center"/>
          </w:tcPr>
          <w:p w14:paraId="0B74AE8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根据数据质量及产品的需求，消除卫星数据由于卫星传感器平台高度、经纬度、速度和姿态不稳定、地形的起伏、地球表面曲率和空气折射、地球自转等因素引起的非系统性几何形变，产生一幅符合地图投影或图形表达要求的遥感影像数据。</w:t>
            </w:r>
          </w:p>
        </w:tc>
      </w:tr>
      <w:tr w14:paraId="6A3645A4">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9A12BF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7</w:t>
            </w:r>
          </w:p>
        </w:tc>
        <w:tc>
          <w:tcPr>
            <w:tcW w:w="2028" w:type="dxa"/>
            <w:vMerge w:val="continue"/>
            <w:tcBorders>
              <w:top w:val="nil"/>
              <w:left w:val="single" w:color="auto" w:sz="4" w:space="0"/>
              <w:bottom w:val="single" w:color="000000" w:sz="4" w:space="0"/>
              <w:right w:val="single" w:color="auto" w:sz="4" w:space="0"/>
            </w:tcBorders>
            <w:vAlign w:val="center"/>
          </w:tcPr>
          <w:p w14:paraId="47214FA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3F9326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遥感数据标准化生产-辐射定标与大气校正</w:t>
            </w:r>
          </w:p>
        </w:tc>
        <w:tc>
          <w:tcPr>
            <w:tcW w:w="3928" w:type="dxa"/>
            <w:tcBorders>
              <w:top w:val="nil"/>
              <w:left w:val="nil"/>
              <w:bottom w:val="single" w:color="auto" w:sz="4" w:space="0"/>
              <w:right w:val="single" w:color="auto" w:sz="4" w:space="0"/>
            </w:tcBorders>
            <w:vAlign w:val="center"/>
          </w:tcPr>
          <w:p w14:paraId="6A0F5B8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可以对多光谱和高光谱图像文件进行大气校正，减少大气和光照等因素对地物反射的影响，获得地物反射率的真实物理模型参数</w:t>
            </w:r>
          </w:p>
        </w:tc>
      </w:tr>
      <w:tr w14:paraId="2598B88C">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3F1AA65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8</w:t>
            </w:r>
          </w:p>
        </w:tc>
        <w:tc>
          <w:tcPr>
            <w:tcW w:w="2028" w:type="dxa"/>
            <w:vMerge w:val="continue"/>
            <w:tcBorders>
              <w:top w:val="nil"/>
              <w:left w:val="single" w:color="auto" w:sz="4" w:space="0"/>
              <w:bottom w:val="single" w:color="000000" w:sz="4" w:space="0"/>
              <w:right w:val="single" w:color="auto" w:sz="4" w:space="0"/>
            </w:tcBorders>
            <w:vAlign w:val="center"/>
          </w:tcPr>
          <w:p w14:paraId="7C6CBB9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266459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遥感数据标准化生产-图像镶嵌</w:t>
            </w:r>
          </w:p>
        </w:tc>
        <w:tc>
          <w:tcPr>
            <w:tcW w:w="3928" w:type="dxa"/>
            <w:tcBorders>
              <w:top w:val="nil"/>
              <w:left w:val="nil"/>
              <w:bottom w:val="single" w:color="auto" w:sz="4" w:space="0"/>
              <w:right w:val="single" w:color="auto" w:sz="4" w:space="0"/>
            </w:tcBorders>
            <w:vAlign w:val="center"/>
          </w:tcPr>
          <w:p w14:paraId="588947E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进行图像镶嵌，提供接边线自动生成、接边线羽化处理、直方图匹配匀色功能。</w:t>
            </w:r>
          </w:p>
        </w:tc>
      </w:tr>
      <w:tr w14:paraId="206D7D6D">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6EEC92D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9</w:t>
            </w:r>
          </w:p>
        </w:tc>
        <w:tc>
          <w:tcPr>
            <w:tcW w:w="2028" w:type="dxa"/>
            <w:vMerge w:val="continue"/>
            <w:tcBorders>
              <w:top w:val="nil"/>
              <w:left w:val="single" w:color="auto" w:sz="4" w:space="0"/>
              <w:bottom w:val="single" w:color="000000" w:sz="4" w:space="0"/>
              <w:right w:val="single" w:color="auto" w:sz="4" w:space="0"/>
            </w:tcBorders>
            <w:vAlign w:val="center"/>
          </w:tcPr>
          <w:p w14:paraId="04CA6D5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4D0983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遥感数据标准化生产-图像裁剪</w:t>
            </w:r>
          </w:p>
        </w:tc>
        <w:tc>
          <w:tcPr>
            <w:tcW w:w="3928" w:type="dxa"/>
            <w:tcBorders>
              <w:top w:val="nil"/>
              <w:left w:val="nil"/>
              <w:bottom w:val="single" w:color="auto" w:sz="4" w:space="0"/>
              <w:right w:val="single" w:color="auto" w:sz="4" w:space="0"/>
            </w:tcBorders>
            <w:vAlign w:val="center"/>
          </w:tcPr>
          <w:p w14:paraId="316C3D0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可以根据自身业务需求，选取感兴趣的区域可根据矢量、行政区域批量裁剪图像。</w:t>
            </w:r>
          </w:p>
        </w:tc>
      </w:tr>
      <w:tr w14:paraId="23030CFD">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2371703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10</w:t>
            </w:r>
          </w:p>
        </w:tc>
        <w:tc>
          <w:tcPr>
            <w:tcW w:w="2028" w:type="dxa"/>
            <w:vMerge w:val="continue"/>
            <w:tcBorders>
              <w:top w:val="nil"/>
              <w:left w:val="single" w:color="auto" w:sz="4" w:space="0"/>
              <w:bottom w:val="single" w:color="000000" w:sz="4" w:space="0"/>
              <w:right w:val="single" w:color="auto" w:sz="4" w:space="0"/>
            </w:tcBorders>
            <w:vAlign w:val="center"/>
          </w:tcPr>
          <w:p w14:paraId="51EA37C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16BCD8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遥感数据标准化生产-图像投影转换</w:t>
            </w:r>
          </w:p>
        </w:tc>
        <w:tc>
          <w:tcPr>
            <w:tcW w:w="3928" w:type="dxa"/>
            <w:tcBorders>
              <w:top w:val="nil"/>
              <w:left w:val="nil"/>
              <w:bottom w:val="single" w:color="auto" w:sz="4" w:space="0"/>
              <w:right w:val="single" w:color="auto" w:sz="4" w:space="0"/>
            </w:tcBorders>
            <w:vAlign w:val="center"/>
          </w:tcPr>
          <w:p w14:paraId="3FB878E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支持CGCS2000投影坐标系等常见坐标系之间转换。</w:t>
            </w:r>
          </w:p>
        </w:tc>
      </w:tr>
      <w:tr w14:paraId="07D85812">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4715FBE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11</w:t>
            </w:r>
          </w:p>
        </w:tc>
        <w:tc>
          <w:tcPr>
            <w:tcW w:w="2028" w:type="dxa"/>
            <w:vMerge w:val="continue"/>
            <w:tcBorders>
              <w:top w:val="nil"/>
              <w:left w:val="single" w:color="auto" w:sz="4" w:space="0"/>
              <w:bottom w:val="single" w:color="000000" w:sz="4" w:space="0"/>
              <w:right w:val="single" w:color="auto" w:sz="4" w:space="0"/>
            </w:tcBorders>
            <w:vAlign w:val="center"/>
          </w:tcPr>
          <w:p w14:paraId="316ED83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46A82E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遥感数据标准化生产-图像重采样</w:t>
            </w:r>
          </w:p>
        </w:tc>
        <w:tc>
          <w:tcPr>
            <w:tcW w:w="3928" w:type="dxa"/>
            <w:tcBorders>
              <w:top w:val="nil"/>
              <w:left w:val="nil"/>
              <w:bottom w:val="single" w:color="auto" w:sz="4" w:space="0"/>
              <w:right w:val="single" w:color="auto" w:sz="4" w:space="0"/>
            </w:tcBorders>
            <w:vAlign w:val="center"/>
          </w:tcPr>
          <w:p w14:paraId="052C196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对数据进行图像重采样，输出用户指定分辨率的成果数据。</w:t>
            </w:r>
          </w:p>
        </w:tc>
      </w:tr>
      <w:tr w14:paraId="7F9E0A4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1B76C7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12</w:t>
            </w:r>
          </w:p>
        </w:tc>
        <w:tc>
          <w:tcPr>
            <w:tcW w:w="2028" w:type="dxa"/>
            <w:vMerge w:val="continue"/>
            <w:tcBorders>
              <w:top w:val="nil"/>
              <w:left w:val="single" w:color="auto" w:sz="4" w:space="0"/>
              <w:bottom w:val="single" w:color="000000" w:sz="4" w:space="0"/>
              <w:right w:val="single" w:color="auto" w:sz="4" w:space="0"/>
            </w:tcBorders>
            <w:vAlign w:val="center"/>
          </w:tcPr>
          <w:p w14:paraId="44C9582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B4826E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遥感数据标准化生产-云检测与去云处理</w:t>
            </w:r>
          </w:p>
        </w:tc>
        <w:tc>
          <w:tcPr>
            <w:tcW w:w="3928" w:type="dxa"/>
            <w:tcBorders>
              <w:top w:val="nil"/>
              <w:left w:val="nil"/>
              <w:bottom w:val="single" w:color="auto" w:sz="4" w:space="0"/>
              <w:right w:val="single" w:color="auto" w:sz="4" w:space="0"/>
            </w:tcBorders>
            <w:vAlign w:val="center"/>
          </w:tcPr>
          <w:p w14:paraId="1A09A8D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自动检测影像中的云层信息，可以直接掩膜云层区域，或者使用历史影像数据进行填补，完成影像去云处理。</w:t>
            </w:r>
          </w:p>
        </w:tc>
      </w:tr>
      <w:tr w14:paraId="6507712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CFC3F8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13</w:t>
            </w:r>
          </w:p>
        </w:tc>
        <w:tc>
          <w:tcPr>
            <w:tcW w:w="2028" w:type="dxa"/>
            <w:vMerge w:val="continue"/>
            <w:tcBorders>
              <w:top w:val="nil"/>
              <w:left w:val="single" w:color="auto" w:sz="4" w:space="0"/>
              <w:bottom w:val="single" w:color="000000" w:sz="4" w:space="0"/>
              <w:right w:val="single" w:color="auto" w:sz="4" w:space="0"/>
            </w:tcBorders>
            <w:vAlign w:val="center"/>
          </w:tcPr>
          <w:p w14:paraId="241DBE5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41BCE2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遥感数据标准化生产-图像增强处理</w:t>
            </w:r>
          </w:p>
        </w:tc>
        <w:tc>
          <w:tcPr>
            <w:tcW w:w="3928" w:type="dxa"/>
            <w:tcBorders>
              <w:top w:val="nil"/>
              <w:left w:val="nil"/>
              <w:bottom w:val="single" w:color="auto" w:sz="4" w:space="0"/>
              <w:right w:val="single" w:color="auto" w:sz="4" w:space="0"/>
            </w:tcBorders>
            <w:vAlign w:val="center"/>
          </w:tcPr>
          <w:p w14:paraId="59C13B2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支持包括近红外、红色、绿色、蓝色四个波段图像进行真彩色合成、假彩色合成、植被增强处理，当选择植被增强处理的时候，还可以设置植被增强级别和NDVI的阈值。</w:t>
            </w:r>
          </w:p>
        </w:tc>
      </w:tr>
      <w:tr w14:paraId="2DFAAD5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98DD10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14</w:t>
            </w:r>
          </w:p>
        </w:tc>
        <w:tc>
          <w:tcPr>
            <w:tcW w:w="2028" w:type="dxa"/>
            <w:vMerge w:val="continue"/>
            <w:tcBorders>
              <w:top w:val="nil"/>
              <w:left w:val="single" w:color="auto" w:sz="4" w:space="0"/>
              <w:bottom w:val="single" w:color="000000" w:sz="4" w:space="0"/>
              <w:right w:val="single" w:color="auto" w:sz="4" w:space="0"/>
            </w:tcBorders>
            <w:vAlign w:val="center"/>
          </w:tcPr>
          <w:p w14:paraId="0098887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6B7A99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遥感数据标准化生产-多光谱数据一键式处理</w:t>
            </w:r>
          </w:p>
        </w:tc>
        <w:tc>
          <w:tcPr>
            <w:tcW w:w="3928" w:type="dxa"/>
            <w:tcBorders>
              <w:top w:val="nil"/>
              <w:left w:val="nil"/>
              <w:bottom w:val="single" w:color="auto" w:sz="4" w:space="0"/>
              <w:right w:val="single" w:color="auto" w:sz="4" w:space="0"/>
            </w:tcBorders>
            <w:vAlign w:val="center"/>
          </w:tcPr>
          <w:p w14:paraId="7EF23C2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多光谱数据一键式自动处理是针对多光谱卫星数据制定的处理流程，支持包括含有全色波段和不含全色波段两种数据。一键式得到标准影像产品。</w:t>
            </w:r>
          </w:p>
        </w:tc>
      </w:tr>
      <w:tr w14:paraId="4D3E1918">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4D992B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15</w:t>
            </w:r>
          </w:p>
        </w:tc>
        <w:tc>
          <w:tcPr>
            <w:tcW w:w="2028" w:type="dxa"/>
            <w:vMerge w:val="continue"/>
            <w:tcBorders>
              <w:top w:val="nil"/>
              <w:left w:val="single" w:color="auto" w:sz="4" w:space="0"/>
              <w:bottom w:val="single" w:color="000000" w:sz="4" w:space="0"/>
              <w:right w:val="single" w:color="auto" w:sz="4" w:space="0"/>
            </w:tcBorders>
            <w:vAlign w:val="center"/>
          </w:tcPr>
          <w:p w14:paraId="29DF413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4D5ABA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遥感数据标准化生产-高光谱数据一键式处理</w:t>
            </w:r>
          </w:p>
        </w:tc>
        <w:tc>
          <w:tcPr>
            <w:tcW w:w="3928" w:type="dxa"/>
            <w:tcBorders>
              <w:top w:val="nil"/>
              <w:left w:val="nil"/>
              <w:bottom w:val="single" w:color="auto" w:sz="4" w:space="0"/>
              <w:right w:val="single" w:color="auto" w:sz="4" w:space="0"/>
            </w:tcBorders>
            <w:vAlign w:val="center"/>
          </w:tcPr>
          <w:p w14:paraId="4427FDB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支持L1A级高光谱影像数据一键式自动处理，自动识别传感器类型，处理步骤根据选择的参数包括解压缩、正射校正、辐射定标、大气校正、投影转换等。</w:t>
            </w:r>
          </w:p>
        </w:tc>
      </w:tr>
      <w:tr w14:paraId="27CC6804">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2559AF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16</w:t>
            </w:r>
          </w:p>
        </w:tc>
        <w:tc>
          <w:tcPr>
            <w:tcW w:w="2028" w:type="dxa"/>
            <w:vMerge w:val="continue"/>
            <w:tcBorders>
              <w:top w:val="nil"/>
              <w:left w:val="single" w:color="auto" w:sz="4" w:space="0"/>
              <w:bottom w:val="single" w:color="000000" w:sz="4" w:space="0"/>
              <w:right w:val="single" w:color="auto" w:sz="4" w:space="0"/>
            </w:tcBorders>
            <w:vAlign w:val="center"/>
          </w:tcPr>
          <w:p w14:paraId="0926C92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FFEB0D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遥感数据标准化生产-雷达数据一键式处理</w:t>
            </w:r>
          </w:p>
        </w:tc>
        <w:tc>
          <w:tcPr>
            <w:tcW w:w="3928" w:type="dxa"/>
            <w:tcBorders>
              <w:top w:val="nil"/>
              <w:left w:val="nil"/>
              <w:bottom w:val="single" w:color="auto" w:sz="4" w:space="0"/>
              <w:right w:val="single" w:color="auto" w:sz="4" w:space="0"/>
            </w:tcBorders>
            <w:vAlign w:val="center"/>
          </w:tcPr>
          <w:p w14:paraId="58D2BDE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雷达数据进行一键式自动处理，得到后向散射系数产品。不同数据构建不同的处理流程</w:t>
            </w:r>
          </w:p>
        </w:tc>
      </w:tr>
      <w:tr w14:paraId="17234CC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7BF292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17</w:t>
            </w:r>
          </w:p>
        </w:tc>
        <w:tc>
          <w:tcPr>
            <w:tcW w:w="2028" w:type="dxa"/>
            <w:vMerge w:val="continue"/>
            <w:tcBorders>
              <w:top w:val="nil"/>
              <w:left w:val="single" w:color="auto" w:sz="4" w:space="0"/>
              <w:bottom w:val="single" w:color="000000" w:sz="4" w:space="0"/>
              <w:right w:val="single" w:color="auto" w:sz="4" w:space="0"/>
            </w:tcBorders>
            <w:vAlign w:val="center"/>
          </w:tcPr>
          <w:p w14:paraId="2B9ADD3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F25603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遥感数据标准化生产-气象卫星数据一键式处理</w:t>
            </w:r>
          </w:p>
        </w:tc>
        <w:tc>
          <w:tcPr>
            <w:tcW w:w="3928" w:type="dxa"/>
            <w:tcBorders>
              <w:top w:val="nil"/>
              <w:left w:val="nil"/>
              <w:bottom w:val="single" w:color="auto" w:sz="4" w:space="0"/>
              <w:right w:val="single" w:color="auto" w:sz="4" w:space="0"/>
            </w:tcBorders>
            <w:vAlign w:val="center"/>
          </w:tcPr>
          <w:p w14:paraId="07E92B0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L1级气象卫星数据一键式自动处理，包括几何校正、波段组合、辐射定标、大气校正、投影转换等处理步骤，可选择生产地表反射率、地表温度产品。</w:t>
            </w:r>
          </w:p>
        </w:tc>
      </w:tr>
      <w:tr w14:paraId="44310B0F">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40456DD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18</w:t>
            </w:r>
          </w:p>
        </w:tc>
        <w:tc>
          <w:tcPr>
            <w:tcW w:w="2028" w:type="dxa"/>
            <w:vMerge w:val="continue"/>
            <w:tcBorders>
              <w:top w:val="nil"/>
              <w:left w:val="single" w:color="auto" w:sz="4" w:space="0"/>
              <w:bottom w:val="single" w:color="000000" w:sz="4" w:space="0"/>
              <w:right w:val="single" w:color="auto" w:sz="4" w:space="0"/>
            </w:tcBorders>
            <w:vAlign w:val="center"/>
          </w:tcPr>
          <w:p w14:paraId="4292F0F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A33589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数据产品存储与管理-免切片服务</w:t>
            </w:r>
          </w:p>
        </w:tc>
        <w:tc>
          <w:tcPr>
            <w:tcW w:w="3928" w:type="dxa"/>
            <w:tcBorders>
              <w:top w:val="nil"/>
              <w:left w:val="nil"/>
              <w:bottom w:val="single" w:color="auto" w:sz="4" w:space="0"/>
              <w:right w:val="single" w:color="auto" w:sz="4" w:space="0"/>
            </w:tcBorders>
            <w:vAlign w:val="center"/>
          </w:tcPr>
          <w:p w14:paraId="3ED9CA4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提供基于Cloud Optimized GeoTIFF (COG) 的影像快视技术免切片服务。</w:t>
            </w:r>
          </w:p>
        </w:tc>
      </w:tr>
      <w:tr w14:paraId="6C9B808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8822A6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19</w:t>
            </w:r>
          </w:p>
        </w:tc>
        <w:tc>
          <w:tcPr>
            <w:tcW w:w="2028" w:type="dxa"/>
            <w:vMerge w:val="continue"/>
            <w:tcBorders>
              <w:top w:val="nil"/>
              <w:left w:val="single" w:color="auto" w:sz="4" w:space="0"/>
              <w:bottom w:val="single" w:color="000000" w:sz="4" w:space="0"/>
              <w:right w:val="single" w:color="auto" w:sz="4" w:space="0"/>
            </w:tcBorders>
            <w:vAlign w:val="center"/>
          </w:tcPr>
          <w:p w14:paraId="24A2414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FAE5A8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数据产品存储与管理-数据归档</w:t>
            </w:r>
          </w:p>
        </w:tc>
        <w:tc>
          <w:tcPr>
            <w:tcW w:w="3928" w:type="dxa"/>
            <w:tcBorders>
              <w:top w:val="nil"/>
              <w:left w:val="nil"/>
              <w:bottom w:val="single" w:color="auto" w:sz="4" w:space="0"/>
              <w:right w:val="single" w:color="auto" w:sz="4" w:space="0"/>
            </w:tcBorders>
            <w:vAlign w:val="center"/>
          </w:tcPr>
          <w:p w14:paraId="5ED3561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遥感栅格文件（非结构化数据）储存在文件储存系统中，对应的元数据信息（结构化数据）保存在数据库。</w:t>
            </w:r>
          </w:p>
        </w:tc>
      </w:tr>
      <w:tr w14:paraId="6DEA921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49FC89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20</w:t>
            </w:r>
          </w:p>
        </w:tc>
        <w:tc>
          <w:tcPr>
            <w:tcW w:w="2028" w:type="dxa"/>
            <w:vMerge w:val="continue"/>
            <w:tcBorders>
              <w:top w:val="nil"/>
              <w:left w:val="single" w:color="auto" w:sz="4" w:space="0"/>
              <w:bottom w:val="single" w:color="000000" w:sz="4" w:space="0"/>
              <w:right w:val="single" w:color="auto" w:sz="4" w:space="0"/>
            </w:tcBorders>
            <w:vAlign w:val="center"/>
          </w:tcPr>
          <w:p w14:paraId="20E000C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C8AD90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数据产品存储与管理-数据管理</w:t>
            </w:r>
          </w:p>
        </w:tc>
        <w:tc>
          <w:tcPr>
            <w:tcW w:w="3928" w:type="dxa"/>
            <w:tcBorders>
              <w:top w:val="nil"/>
              <w:left w:val="nil"/>
              <w:bottom w:val="single" w:color="auto" w:sz="4" w:space="0"/>
              <w:right w:val="single" w:color="auto" w:sz="4" w:space="0"/>
            </w:tcBorders>
            <w:vAlign w:val="center"/>
          </w:tcPr>
          <w:p w14:paraId="05B4389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对入库和归档的多源遥感数据进行管理，提供产品数据入库、检索、浏览、删除、服务发布等功能。</w:t>
            </w:r>
          </w:p>
        </w:tc>
      </w:tr>
      <w:tr w14:paraId="1468B757">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AF2D1B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21</w:t>
            </w:r>
          </w:p>
        </w:tc>
        <w:tc>
          <w:tcPr>
            <w:tcW w:w="2028" w:type="dxa"/>
            <w:vMerge w:val="continue"/>
            <w:tcBorders>
              <w:top w:val="nil"/>
              <w:left w:val="single" w:color="auto" w:sz="4" w:space="0"/>
              <w:bottom w:val="single" w:color="000000" w:sz="4" w:space="0"/>
              <w:right w:val="single" w:color="auto" w:sz="4" w:space="0"/>
            </w:tcBorders>
            <w:vAlign w:val="center"/>
          </w:tcPr>
          <w:p w14:paraId="3064728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88BB55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数据产品存储与管理-任务管理</w:t>
            </w:r>
          </w:p>
        </w:tc>
        <w:tc>
          <w:tcPr>
            <w:tcW w:w="3928" w:type="dxa"/>
            <w:tcBorders>
              <w:top w:val="nil"/>
              <w:left w:val="nil"/>
              <w:bottom w:val="single" w:color="auto" w:sz="4" w:space="0"/>
              <w:right w:val="single" w:color="auto" w:sz="4" w:space="0"/>
            </w:tcBorders>
            <w:vAlign w:val="center"/>
          </w:tcPr>
          <w:p w14:paraId="42B77DF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任务管理包括对任务列表、定时任务、手动任务的管理。提供任务列表展示、筛选、删除等功能。提供定时任务的参数修改，并可控制执行状态。</w:t>
            </w:r>
          </w:p>
        </w:tc>
      </w:tr>
      <w:tr w14:paraId="0023D85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04E3E1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22</w:t>
            </w:r>
          </w:p>
        </w:tc>
        <w:tc>
          <w:tcPr>
            <w:tcW w:w="2028" w:type="dxa"/>
            <w:vMerge w:val="continue"/>
            <w:tcBorders>
              <w:top w:val="nil"/>
              <w:left w:val="single" w:color="auto" w:sz="4" w:space="0"/>
              <w:bottom w:val="single" w:color="000000" w:sz="4" w:space="0"/>
              <w:right w:val="single" w:color="auto" w:sz="4" w:space="0"/>
            </w:tcBorders>
            <w:vAlign w:val="center"/>
          </w:tcPr>
          <w:p w14:paraId="24B044F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9522D9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数据产品存储与管理-模型管理</w:t>
            </w:r>
          </w:p>
        </w:tc>
        <w:tc>
          <w:tcPr>
            <w:tcW w:w="3928" w:type="dxa"/>
            <w:tcBorders>
              <w:top w:val="nil"/>
              <w:left w:val="nil"/>
              <w:bottom w:val="single" w:color="auto" w:sz="4" w:space="0"/>
              <w:right w:val="single" w:color="auto" w:sz="4" w:space="0"/>
            </w:tcBorders>
            <w:vAlign w:val="center"/>
          </w:tcPr>
          <w:p w14:paraId="00ACCC3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对系统内的反演分析模型进行管理。包括向导式模型构建、模型列表展示、模型信息展示、默认模型设置。</w:t>
            </w:r>
          </w:p>
        </w:tc>
      </w:tr>
      <w:tr w14:paraId="015B1C7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A3034F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23</w:t>
            </w:r>
          </w:p>
        </w:tc>
        <w:tc>
          <w:tcPr>
            <w:tcW w:w="2028" w:type="dxa"/>
            <w:vMerge w:val="continue"/>
            <w:tcBorders>
              <w:top w:val="nil"/>
              <w:left w:val="single" w:color="auto" w:sz="4" w:space="0"/>
              <w:bottom w:val="single" w:color="000000" w:sz="4" w:space="0"/>
              <w:right w:val="single" w:color="auto" w:sz="4" w:space="0"/>
            </w:tcBorders>
            <w:vAlign w:val="center"/>
          </w:tcPr>
          <w:p w14:paraId="266CAA2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1C8740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数据产品存储与管理-统计分析</w:t>
            </w:r>
          </w:p>
        </w:tc>
        <w:tc>
          <w:tcPr>
            <w:tcW w:w="3928" w:type="dxa"/>
            <w:tcBorders>
              <w:top w:val="nil"/>
              <w:left w:val="nil"/>
              <w:bottom w:val="single" w:color="auto" w:sz="4" w:space="0"/>
              <w:right w:val="single" w:color="auto" w:sz="4" w:space="0"/>
            </w:tcBorders>
            <w:vAlign w:val="center"/>
          </w:tcPr>
          <w:p w14:paraId="7217426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提供数据统计分析功能，通过柱状图、饼状图、表格、日历图等图表方式，从传感器、下载量、下载任务、分析任务、模型调用量、服务调用量的角度，展示系统数据采集与管理工作。</w:t>
            </w:r>
          </w:p>
        </w:tc>
      </w:tr>
      <w:tr w14:paraId="4407A531">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1F5F0FB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24</w:t>
            </w:r>
          </w:p>
        </w:tc>
        <w:tc>
          <w:tcPr>
            <w:tcW w:w="2028" w:type="dxa"/>
            <w:vMerge w:val="continue"/>
            <w:tcBorders>
              <w:top w:val="nil"/>
              <w:left w:val="single" w:color="auto" w:sz="4" w:space="0"/>
              <w:bottom w:val="single" w:color="000000" w:sz="4" w:space="0"/>
              <w:right w:val="single" w:color="auto" w:sz="4" w:space="0"/>
            </w:tcBorders>
            <w:vAlign w:val="center"/>
          </w:tcPr>
          <w:p w14:paraId="1CEAB23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2C3483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数据展示与共享-数据展示</w:t>
            </w:r>
          </w:p>
        </w:tc>
        <w:tc>
          <w:tcPr>
            <w:tcW w:w="3928" w:type="dxa"/>
            <w:tcBorders>
              <w:top w:val="nil"/>
              <w:left w:val="nil"/>
              <w:bottom w:val="single" w:color="auto" w:sz="4" w:space="0"/>
              <w:right w:val="single" w:color="auto" w:sz="4" w:space="0"/>
            </w:tcBorders>
            <w:vAlign w:val="center"/>
          </w:tcPr>
          <w:p w14:paraId="48B788C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Web端以图层方式在地图上展示矢量、栅格、非结构数据。</w:t>
            </w:r>
          </w:p>
        </w:tc>
      </w:tr>
      <w:tr w14:paraId="4F6EF53E">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45933A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25</w:t>
            </w:r>
          </w:p>
        </w:tc>
        <w:tc>
          <w:tcPr>
            <w:tcW w:w="2028" w:type="dxa"/>
            <w:vMerge w:val="continue"/>
            <w:tcBorders>
              <w:top w:val="nil"/>
              <w:left w:val="single" w:color="auto" w:sz="4" w:space="0"/>
              <w:bottom w:val="single" w:color="000000" w:sz="4" w:space="0"/>
              <w:right w:val="single" w:color="auto" w:sz="4" w:space="0"/>
            </w:tcBorders>
            <w:vAlign w:val="center"/>
          </w:tcPr>
          <w:p w14:paraId="1D1F41E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32FB8E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数据展示与共享-数据查询</w:t>
            </w:r>
          </w:p>
        </w:tc>
        <w:tc>
          <w:tcPr>
            <w:tcW w:w="3928" w:type="dxa"/>
            <w:tcBorders>
              <w:top w:val="nil"/>
              <w:left w:val="nil"/>
              <w:bottom w:val="single" w:color="auto" w:sz="4" w:space="0"/>
              <w:right w:val="single" w:color="auto" w:sz="4" w:space="0"/>
            </w:tcBorders>
            <w:vAlign w:val="center"/>
          </w:tcPr>
          <w:p w14:paraId="68D506B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依据空间、属性等条件，实现各类数据的查询检索。支持提供全部影像数据的元数据／空间数据联合查询。可以根据空间几何位置通过框选等方式实现影像检索，也可以通过数据类型、影像采集时间等元数据信息实现数据检索。</w:t>
            </w:r>
          </w:p>
        </w:tc>
      </w:tr>
      <w:tr w14:paraId="6B7E057C">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6EC31AC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26</w:t>
            </w:r>
          </w:p>
        </w:tc>
        <w:tc>
          <w:tcPr>
            <w:tcW w:w="2028" w:type="dxa"/>
            <w:vMerge w:val="continue"/>
            <w:tcBorders>
              <w:top w:val="nil"/>
              <w:left w:val="single" w:color="auto" w:sz="4" w:space="0"/>
              <w:bottom w:val="single" w:color="000000" w:sz="4" w:space="0"/>
              <w:right w:val="single" w:color="auto" w:sz="4" w:space="0"/>
            </w:tcBorders>
            <w:vAlign w:val="center"/>
          </w:tcPr>
          <w:p w14:paraId="4DE7E4B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43D396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数据展示与共享-交互分析</w:t>
            </w:r>
          </w:p>
        </w:tc>
        <w:tc>
          <w:tcPr>
            <w:tcW w:w="3928" w:type="dxa"/>
            <w:tcBorders>
              <w:top w:val="nil"/>
              <w:left w:val="nil"/>
              <w:bottom w:val="single" w:color="auto" w:sz="4" w:space="0"/>
              <w:right w:val="single" w:color="auto" w:sz="4" w:space="0"/>
            </w:tcBorders>
            <w:vAlign w:val="center"/>
          </w:tcPr>
          <w:p w14:paraId="4BCF51B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提供在线业务交互功能，包括数据对比、多维度筛选、在线制图、在线报告等。</w:t>
            </w:r>
          </w:p>
        </w:tc>
      </w:tr>
      <w:tr w14:paraId="08EE796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CA54E7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27</w:t>
            </w:r>
          </w:p>
        </w:tc>
        <w:tc>
          <w:tcPr>
            <w:tcW w:w="2028" w:type="dxa"/>
            <w:vMerge w:val="continue"/>
            <w:tcBorders>
              <w:top w:val="nil"/>
              <w:left w:val="single" w:color="auto" w:sz="4" w:space="0"/>
              <w:bottom w:val="single" w:color="000000" w:sz="4" w:space="0"/>
              <w:right w:val="single" w:color="auto" w:sz="4" w:space="0"/>
            </w:tcBorders>
            <w:vAlign w:val="center"/>
          </w:tcPr>
          <w:p w14:paraId="4CC1401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CC3B58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数据展示与共享-服务提供</w:t>
            </w:r>
          </w:p>
        </w:tc>
        <w:tc>
          <w:tcPr>
            <w:tcW w:w="3928" w:type="dxa"/>
            <w:tcBorders>
              <w:top w:val="nil"/>
              <w:left w:val="nil"/>
              <w:bottom w:val="single" w:color="auto" w:sz="4" w:space="0"/>
              <w:right w:val="single" w:color="auto" w:sz="4" w:space="0"/>
            </w:tcBorders>
            <w:vAlign w:val="center"/>
          </w:tcPr>
          <w:p w14:paraId="6B17BE5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提供符合REST标准的WebService服务接口，供业务系统调用成果数据。提供详细的服务调用示例。</w:t>
            </w:r>
          </w:p>
        </w:tc>
      </w:tr>
      <w:tr w14:paraId="3DE4DAD1">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FB373A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28</w:t>
            </w:r>
          </w:p>
        </w:tc>
        <w:tc>
          <w:tcPr>
            <w:tcW w:w="2028" w:type="dxa"/>
            <w:vMerge w:val="continue"/>
            <w:tcBorders>
              <w:top w:val="nil"/>
              <w:left w:val="single" w:color="auto" w:sz="4" w:space="0"/>
              <w:bottom w:val="single" w:color="000000" w:sz="4" w:space="0"/>
              <w:right w:val="single" w:color="auto" w:sz="4" w:space="0"/>
            </w:tcBorders>
            <w:vAlign w:val="center"/>
          </w:tcPr>
          <w:p w14:paraId="6268995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1CFB05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水环境遥感监测-水质参数遥感反演</w:t>
            </w:r>
          </w:p>
        </w:tc>
        <w:tc>
          <w:tcPr>
            <w:tcW w:w="3928" w:type="dxa"/>
            <w:tcBorders>
              <w:top w:val="nil"/>
              <w:left w:val="nil"/>
              <w:bottom w:val="single" w:color="auto" w:sz="4" w:space="0"/>
              <w:right w:val="single" w:color="auto" w:sz="4" w:space="0"/>
            </w:tcBorders>
            <w:vAlign w:val="center"/>
          </w:tcPr>
          <w:p w14:paraId="77ACDE9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利用无人机、卫星影像，结合无人船、自动监测站等数据反演河湖水质参数，包括叶绿素a、悬浮物浓度、有色可溶有机物CDOM、浊度、透明度、总磷、总氮、氨氮、溶解氧、化学需氧量等水质参数。</w:t>
            </w:r>
          </w:p>
        </w:tc>
      </w:tr>
      <w:tr w14:paraId="236EFCC3">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0FAB5D2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29</w:t>
            </w:r>
          </w:p>
        </w:tc>
        <w:tc>
          <w:tcPr>
            <w:tcW w:w="2028" w:type="dxa"/>
            <w:vMerge w:val="continue"/>
            <w:tcBorders>
              <w:top w:val="nil"/>
              <w:left w:val="single" w:color="auto" w:sz="4" w:space="0"/>
              <w:bottom w:val="single" w:color="000000" w:sz="4" w:space="0"/>
              <w:right w:val="single" w:color="auto" w:sz="4" w:space="0"/>
            </w:tcBorders>
            <w:vAlign w:val="center"/>
          </w:tcPr>
          <w:p w14:paraId="3C21FAE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EA390A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近海生态监测-海洋水质参数反演</w:t>
            </w:r>
          </w:p>
        </w:tc>
        <w:tc>
          <w:tcPr>
            <w:tcW w:w="3928" w:type="dxa"/>
            <w:tcBorders>
              <w:top w:val="nil"/>
              <w:left w:val="nil"/>
              <w:bottom w:val="single" w:color="auto" w:sz="4" w:space="0"/>
              <w:right w:val="single" w:color="auto" w:sz="4" w:space="0"/>
            </w:tcBorders>
            <w:vAlign w:val="center"/>
          </w:tcPr>
          <w:p w14:paraId="63F0AEC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利用卫星影像快速获取近海域叶绿素 a、泥沙含量、无机氮和活性磷酸盐的空间分布信息。</w:t>
            </w:r>
          </w:p>
        </w:tc>
      </w:tr>
      <w:tr w14:paraId="624E6369">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73E39C3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30</w:t>
            </w:r>
          </w:p>
        </w:tc>
        <w:tc>
          <w:tcPr>
            <w:tcW w:w="2028" w:type="dxa"/>
            <w:vMerge w:val="continue"/>
            <w:tcBorders>
              <w:top w:val="nil"/>
              <w:left w:val="single" w:color="auto" w:sz="4" w:space="0"/>
              <w:bottom w:val="single" w:color="000000" w:sz="4" w:space="0"/>
              <w:right w:val="single" w:color="auto" w:sz="4" w:space="0"/>
            </w:tcBorders>
            <w:vAlign w:val="center"/>
          </w:tcPr>
          <w:p w14:paraId="7DEC6F2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270F32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近海生态监测-赤潮监测</w:t>
            </w:r>
          </w:p>
        </w:tc>
        <w:tc>
          <w:tcPr>
            <w:tcW w:w="3928" w:type="dxa"/>
            <w:tcBorders>
              <w:top w:val="nil"/>
              <w:left w:val="nil"/>
              <w:bottom w:val="single" w:color="auto" w:sz="4" w:space="0"/>
              <w:right w:val="single" w:color="auto" w:sz="4" w:space="0"/>
            </w:tcBorders>
            <w:vAlign w:val="center"/>
          </w:tcPr>
          <w:p w14:paraId="722DCE4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识别海面赤潮分布面积、发生时间，分析多时相监测结果动态展示赤潮发展动态。</w:t>
            </w:r>
          </w:p>
        </w:tc>
      </w:tr>
      <w:tr w14:paraId="724A4B4C">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74489E3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31</w:t>
            </w:r>
          </w:p>
        </w:tc>
        <w:tc>
          <w:tcPr>
            <w:tcW w:w="2028" w:type="dxa"/>
            <w:vMerge w:val="continue"/>
            <w:tcBorders>
              <w:top w:val="nil"/>
              <w:left w:val="single" w:color="auto" w:sz="4" w:space="0"/>
              <w:bottom w:val="single" w:color="000000" w:sz="4" w:space="0"/>
              <w:right w:val="single" w:color="auto" w:sz="4" w:space="0"/>
            </w:tcBorders>
            <w:vAlign w:val="center"/>
          </w:tcPr>
          <w:p w14:paraId="20EA937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2286D9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近海生态监测-海域垃圾监测</w:t>
            </w:r>
          </w:p>
        </w:tc>
        <w:tc>
          <w:tcPr>
            <w:tcW w:w="3928" w:type="dxa"/>
            <w:tcBorders>
              <w:top w:val="nil"/>
              <w:left w:val="nil"/>
              <w:bottom w:val="single" w:color="auto" w:sz="4" w:space="0"/>
              <w:right w:val="single" w:color="auto" w:sz="4" w:space="0"/>
            </w:tcBorders>
            <w:vAlign w:val="center"/>
          </w:tcPr>
          <w:p w14:paraId="4400EB2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利用深度学习目标检测模型识别海域垃圾，从高分辨率影像上快速标识海域垃圾的位置。</w:t>
            </w:r>
          </w:p>
        </w:tc>
      </w:tr>
      <w:tr w14:paraId="288E8112">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2737A6C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32</w:t>
            </w:r>
          </w:p>
        </w:tc>
        <w:tc>
          <w:tcPr>
            <w:tcW w:w="2028" w:type="dxa"/>
            <w:vMerge w:val="continue"/>
            <w:tcBorders>
              <w:top w:val="nil"/>
              <w:left w:val="single" w:color="auto" w:sz="4" w:space="0"/>
              <w:bottom w:val="single" w:color="000000" w:sz="4" w:space="0"/>
              <w:right w:val="single" w:color="auto" w:sz="4" w:space="0"/>
            </w:tcBorders>
            <w:vAlign w:val="center"/>
          </w:tcPr>
          <w:p w14:paraId="1D06306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17ADE6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近海生态监测-海岸线管理</w:t>
            </w:r>
          </w:p>
        </w:tc>
        <w:tc>
          <w:tcPr>
            <w:tcW w:w="3928" w:type="dxa"/>
            <w:tcBorders>
              <w:top w:val="nil"/>
              <w:left w:val="nil"/>
              <w:bottom w:val="single" w:color="auto" w:sz="4" w:space="0"/>
              <w:right w:val="single" w:color="auto" w:sz="4" w:space="0"/>
            </w:tcBorders>
            <w:vAlign w:val="center"/>
          </w:tcPr>
          <w:p w14:paraId="31B2846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利用光学和雷达影像识别和提取海岸线信息。</w:t>
            </w:r>
          </w:p>
        </w:tc>
      </w:tr>
      <w:tr w14:paraId="10F27D5F">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7DFA499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33</w:t>
            </w:r>
          </w:p>
        </w:tc>
        <w:tc>
          <w:tcPr>
            <w:tcW w:w="2028" w:type="dxa"/>
            <w:vMerge w:val="continue"/>
            <w:tcBorders>
              <w:top w:val="nil"/>
              <w:left w:val="single" w:color="auto" w:sz="4" w:space="0"/>
              <w:bottom w:val="single" w:color="000000" w:sz="4" w:space="0"/>
              <w:right w:val="single" w:color="auto" w:sz="4" w:space="0"/>
            </w:tcBorders>
            <w:vAlign w:val="center"/>
          </w:tcPr>
          <w:p w14:paraId="05E6B6C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EFD858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近海生态监测-海洋溢油监测</w:t>
            </w:r>
          </w:p>
        </w:tc>
        <w:tc>
          <w:tcPr>
            <w:tcW w:w="3928" w:type="dxa"/>
            <w:tcBorders>
              <w:top w:val="nil"/>
              <w:left w:val="nil"/>
              <w:bottom w:val="single" w:color="auto" w:sz="4" w:space="0"/>
              <w:right w:val="single" w:color="auto" w:sz="4" w:space="0"/>
            </w:tcBorders>
            <w:vAlign w:val="center"/>
          </w:tcPr>
          <w:p w14:paraId="5EF8FC4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基于遥感信息模型从光学和雷达卫星影像上快速提取溢油信息，包括发生位置、范围等信息。</w:t>
            </w:r>
          </w:p>
        </w:tc>
      </w:tr>
      <w:tr w14:paraId="4BC1973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1C04F9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34</w:t>
            </w:r>
          </w:p>
        </w:tc>
        <w:tc>
          <w:tcPr>
            <w:tcW w:w="2028" w:type="dxa"/>
            <w:vMerge w:val="continue"/>
            <w:tcBorders>
              <w:top w:val="nil"/>
              <w:left w:val="single" w:color="auto" w:sz="4" w:space="0"/>
              <w:bottom w:val="single" w:color="000000" w:sz="4" w:space="0"/>
              <w:right w:val="single" w:color="auto" w:sz="4" w:space="0"/>
            </w:tcBorders>
            <w:vAlign w:val="center"/>
          </w:tcPr>
          <w:p w14:paraId="09BB63C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4EE802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近海生态监测-污染扩散模拟与风险预测</w:t>
            </w:r>
          </w:p>
        </w:tc>
        <w:tc>
          <w:tcPr>
            <w:tcW w:w="3928" w:type="dxa"/>
            <w:tcBorders>
              <w:top w:val="nil"/>
              <w:left w:val="nil"/>
              <w:bottom w:val="single" w:color="auto" w:sz="4" w:space="0"/>
              <w:right w:val="single" w:color="auto" w:sz="4" w:space="0"/>
            </w:tcBorders>
            <w:vAlign w:val="center"/>
          </w:tcPr>
          <w:p w14:paraId="7CB8773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基于水动力模型、气象场资料、溢油漂移数值模型、溢油风化模型，能够预测溢油在海面的漂移扩散轨迹和物理化学性质变化。</w:t>
            </w:r>
          </w:p>
        </w:tc>
      </w:tr>
      <w:tr w14:paraId="3033431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CD257D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35</w:t>
            </w:r>
          </w:p>
        </w:tc>
        <w:tc>
          <w:tcPr>
            <w:tcW w:w="2028" w:type="dxa"/>
            <w:vMerge w:val="continue"/>
            <w:tcBorders>
              <w:top w:val="nil"/>
              <w:left w:val="single" w:color="auto" w:sz="4" w:space="0"/>
              <w:bottom w:val="single" w:color="000000" w:sz="4" w:space="0"/>
              <w:right w:val="single" w:color="auto" w:sz="4" w:space="0"/>
            </w:tcBorders>
            <w:vAlign w:val="center"/>
          </w:tcPr>
          <w:p w14:paraId="0C81BF6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898D7D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自然生态遥感监测-城市裸土监测</w:t>
            </w:r>
          </w:p>
        </w:tc>
        <w:tc>
          <w:tcPr>
            <w:tcW w:w="3928" w:type="dxa"/>
            <w:tcBorders>
              <w:top w:val="nil"/>
              <w:left w:val="nil"/>
              <w:bottom w:val="single" w:color="auto" w:sz="4" w:space="0"/>
              <w:right w:val="single" w:color="auto" w:sz="4" w:space="0"/>
            </w:tcBorders>
            <w:vAlign w:val="center"/>
          </w:tcPr>
          <w:p w14:paraId="4A9E266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利用高分辨率卫星影像，以及无人机影像数据，采用人工智能解译算法识别裸地、防尘网分布信息，包括空间分布、覆盖面积等。</w:t>
            </w:r>
          </w:p>
        </w:tc>
      </w:tr>
      <w:tr w14:paraId="6441CE1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9A07EE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36</w:t>
            </w:r>
          </w:p>
        </w:tc>
        <w:tc>
          <w:tcPr>
            <w:tcW w:w="2028" w:type="dxa"/>
            <w:vMerge w:val="continue"/>
            <w:tcBorders>
              <w:top w:val="nil"/>
              <w:left w:val="single" w:color="auto" w:sz="4" w:space="0"/>
              <w:bottom w:val="single" w:color="000000" w:sz="4" w:space="0"/>
              <w:right w:val="single" w:color="auto" w:sz="4" w:space="0"/>
            </w:tcBorders>
            <w:vAlign w:val="center"/>
          </w:tcPr>
          <w:p w14:paraId="5D311F5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08C01A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自然生态遥感监测-城市绿地识别</w:t>
            </w:r>
          </w:p>
        </w:tc>
        <w:tc>
          <w:tcPr>
            <w:tcW w:w="3928" w:type="dxa"/>
            <w:tcBorders>
              <w:top w:val="nil"/>
              <w:left w:val="nil"/>
              <w:bottom w:val="single" w:color="auto" w:sz="4" w:space="0"/>
              <w:right w:val="single" w:color="auto" w:sz="4" w:space="0"/>
            </w:tcBorders>
            <w:vAlign w:val="center"/>
          </w:tcPr>
          <w:p w14:paraId="5628549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针对中等分辨率影像数据，通过专家知识决策树图像分类方法提取绿地分布信息；针对高分辨率影像数据，通过机器学习和深度学习图像分类方法提取绿地分布信息。</w:t>
            </w:r>
          </w:p>
        </w:tc>
      </w:tr>
      <w:tr w14:paraId="693BD983">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4B8B384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37</w:t>
            </w:r>
          </w:p>
        </w:tc>
        <w:tc>
          <w:tcPr>
            <w:tcW w:w="2028" w:type="dxa"/>
            <w:vMerge w:val="continue"/>
            <w:tcBorders>
              <w:top w:val="nil"/>
              <w:left w:val="single" w:color="auto" w:sz="4" w:space="0"/>
              <w:bottom w:val="single" w:color="000000" w:sz="4" w:space="0"/>
              <w:right w:val="single" w:color="auto" w:sz="4" w:space="0"/>
            </w:tcBorders>
            <w:vAlign w:val="center"/>
          </w:tcPr>
          <w:p w14:paraId="36FA7D9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2B0F17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自然生态遥感监测-城市水体识别</w:t>
            </w:r>
          </w:p>
        </w:tc>
        <w:tc>
          <w:tcPr>
            <w:tcW w:w="3928" w:type="dxa"/>
            <w:tcBorders>
              <w:top w:val="nil"/>
              <w:left w:val="nil"/>
              <w:bottom w:val="single" w:color="auto" w:sz="4" w:space="0"/>
              <w:right w:val="single" w:color="auto" w:sz="4" w:space="0"/>
            </w:tcBorders>
            <w:vAlign w:val="center"/>
          </w:tcPr>
          <w:p w14:paraId="192CDD8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从光学或者雷达影像中提取城市水面积信息。</w:t>
            </w:r>
          </w:p>
        </w:tc>
      </w:tr>
      <w:tr w14:paraId="36FB1E5C">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3814636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38</w:t>
            </w:r>
          </w:p>
        </w:tc>
        <w:tc>
          <w:tcPr>
            <w:tcW w:w="2028" w:type="dxa"/>
            <w:vMerge w:val="continue"/>
            <w:tcBorders>
              <w:top w:val="nil"/>
              <w:left w:val="single" w:color="auto" w:sz="4" w:space="0"/>
              <w:bottom w:val="single" w:color="000000" w:sz="4" w:space="0"/>
              <w:right w:val="single" w:color="auto" w:sz="4" w:space="0"/>
            </w:tcBorders>
            <w:vAlign w:val="center"/>
          </w:tcPr>
          <w:p w14:paraId="01359CE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0D18F9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自然生态遥感监测-城市热岛监测</w:t>
            </w:r>
          </w:p>
        </w:tc>
        <w:tc>
          <w:tcPr>
            <w:tcW w:w="3928" w:type="dxa"/>
            <w:tcBorders>
              <w:top w:val="nil"/>
              <w:left w:val="nil"/>
              <w:bottom w:val="single" w:color="auto" w:sz="4" w:space="0"/>
              <w:right w:val="single" w:color="auto" w:sz="4" w:space="0"/>
            </w:tcBorders>
            <w:vAlign w:val="center"/>
          </w:tcPr>
          <w:p w14:paraId="027E010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利用卫星热红外波段进行城市热岛监测，得到城市热岛强度图。</w:t>
            </w:r>
          </w:p>
        </w:tc>
      </w:tr>
      <w:tr w14:paraId="5C17676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AC8775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39</w:t>
            </w:r>
          </w:p>
        </w:tc>
        <w:tc>
          <w:tcPr>
            <w:tcW w:w="2028" w:type="dxa"/>
            <w:vMerge w:val="continue"/>
            <w:tcBorders>
              <w:top w:val="nil"/>
              <w:left w:val="single" w:color="auto" w:sz="4" w:space="0"/>
              <w:bottom w:val="single" w:color="000000" w:sz="4" w:space="0"/>
              <w:right w:val="single" w:color="auto" w:sz="4" w:space="0"/>
            </w:tcBorders>
            <w:vAlign w:val="center"/>
          </w:tcPr>
          <w:p w14:paraId="57968BF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58429E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自然生态遥感监测-生态变化监测</w:t>
            </w:r>
          </w:p>
        </w:tc>
        <w:tc>
          <w:tcPr>
            <w:tcW w:w="3928" w:type="dxa"/>
            <w:tcBorders>
              <w:top w:val="nil"/>
              <w:left w:val="nil"/>
              <w:bottom w:val="single" w:color="auto" w:sz="4" w:space="0"/>
              <w:right w:val="single" w:color="auto" w:sz="4" w:space="0"/>
            </w:tcBorders>
            <w:vAlign w:val="center"/>
          </w:tcPr>
          <w:p w14:paraId="7A48F62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利用多时相遥感影像数据、生态因子数据，采用变化检测技术获取重点区域生态质量变化信息。</w:t>
            </w:r>
          </w:p>
        </w:tc>
      </w:tr>
      <w:tr w14:paraId="62990AB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8E7517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40</w:t>
            </w:r>
          </w:p>
        </w:tc>
        <w:tc>
          <w:tcPr>
            <w:tcW w:w="2028" w:type="dxa"/>
            <w:vMerge w:val="restart"/>
            <w:tcBorders>
              <w:top w:val="nil"/>
              <w:left w:val="single" w:color="auto" w:sz="4" w:space="0"/>
              <w:bottom w:val="single" w:color="000000" w:sz="4" w:space="0"/>
              <w:right w:val="single" w:color="auto" w:sz="4" w:space="0"/>
            </w:tcBorders>
            <w:noWrap/>
            <w:vAlign w:val="center"/>
          </w:tcPr>
          <w:p w14:paraId="2D2CCA5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智能化站房管理</w:t>
            </w:r>
          </w:p>
        </w:tc>
        <w:tc>
          <w:tcPr>
            <w:tcW w:w="1642" w:type="dxa"/>
            <w:tcBorders>
              <w:top w:val="nil"/>
              <w:left w:val="nil"/>
              <w:bottom w:val="single" w:color="auto" w:sz="4" w:space="0"/>
              <w:right w:val="single" w:color="auto" w:sz="4" w:space="0"/>
            </w:tcBorders>
            <w:vAlign w:val="center"/>
          </w:tcPr>
          <w:p w14:paraId="2A5A9D4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站房三维模型构建-三维模型构建</w:t>
            </w:r>
          </w:p>
        </w:tc>
        <w:tc>
          <w:tcPr>
            <w:tcW w:w="3928" w:type="dxa"/>
            <w:tcBorders>
              <w:top w:val="nil"/>
              <w:left w:val="nil"/>
              <w:bottom w:val="single" w:color="auto" w:sz="4" w:space="0"/>
              <w:right w:val="single" w:color="auto" w:sz="4" w:space="0"/>
            </w:tcBorders>
            <w:vAlign w:val="center"/>
          </w:tcPr>
          <w:p w14:paraId="71519A4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采用专业三维制作软件3D Max及Blender构建站房建筑及其仪器设备的三维模型框架。在建模过程中，通过优化模型结构、简化冗余线条等操作，使模型既能完整呈现站房全貌，保持高效的运行性能。</w:t>
            </w:r>
          </w:p>
        </w:tc>
      </w:tr>
      <w:tr w14:paraId="0A16FD8F">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43D9FE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41</w:t>
            </w:r>
          </w:p>
        </w:tc>
        <w:tc>
          <w:tcPr>
            <w:tcW w:w="2028" w:type="dxa"/>
            <w:vMerge w:val="continue"/>
            <w:tcBorders>
              <w:top w:val="nil"/>
              <w:left w:val="single" w:color="auto" w:sz="4" w:space="0"/>
              <w:bottom w:val="single" w:color="000000" w:sz="4" w:space="0"/>
              <w:right w:val="single" w:color="auto" w:sz="4" w:space="0"/>
            </w:tcBorders>
            <w:vAlign w:val="center"/>
          </w:tcPr>
          <w:p w14:paraId="6B2BE69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E3AE76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站房三维模型构建-纹理贴图制作</w:t>
            </w:r>
          </w:p>
        </w:tc>
        <w:tc>
          <w:tcPr>
            <w:tcW w:w="3928" w:type="dxa"/>
            <w:tcBorders>
              <w:top w:val="nil"/>
              <w:left w:val="nil"/>
              <w:bottom w:val="single" w:color="auto" w:sz="4" w:space="0"/>
              <w:right w:val="single" w:color="auto" w:sz="4" w:space="0"/>
            </w:tcBorders>
            <w:vAlign w:val="center"/>
          </w:tcPr>
          <w:p w14:paraId="04CB660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利用专业图像校正工具，对数据进行变形校正，消除因拍摄角度、光线等因素导致的图像畸变。运用纹理映射技术，将校正后的纹理精确贴合到三维模型表面，确保模型的外观与实际场景高度一致。</w:t>
            </w:r>
          </w:p>
        </w:tc>
      </w:tr>
      <w:tr w14:paraId="2D7219A0">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F09FB9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42</w:t>
            </w:r>
          </w:p>
        </w:tc>
        <w:tc>
          <w:tcPr>
            <w:tcW w:w="2028" w:type="dxa"/>
            <w:vMerge w:val="continue"/>
            <w:tcBorders>
              <w:top w:val="nil"/>
              <w:left w:val="single" w:color="auto" w:sz="4" w:space="0"/>
              <w:bottom w:val="single" w:color="000000" w:sz="4" w:space="0"/>
              <w:right w:val="single" w:color="auto" w:sz="4" w:space="0"/>
            </w:tcBorders>
            <w:vAlign w:val="center"/>
          </w:tcPr>
          <w:p w14:paraId="2D05A2E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C464F1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站房三维模型构建-效果调优</w:t>
            </w:r>
          </w:p>
        </w:tc>
        <w:tc>
          <w:tcPr>
            <w:tcW w:w="3928" w:type="dxa"/>
            <w:tcBorders>
              <w:top w:val="nil"/>
              <w:left w:val="nil"/>
              <w:bottom w:val="single" w:color="auto" w:sz="4" w:space="0"/>
              <w:right w:val="single" w:color="auto" w:sz="4" w:space="0"/>
            </w:tcBorders>
            <w:vAlign w:val="center"/>
          </w:tcPr>
          <w:p w14:paraId="40558F9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将完成纹理映射的模型与制作好的贴图整合为虚拟场景。通过精细调节材质球参数，模拟真实材质效果，同时优化环境光阴影贴图，使阴影过渡自然、真实。可对动态对象添加动态特效，为用户带来身临其境的视觉体验。</w:t>
            </w:r>
          </w:p>
        </w:tc>
      </w:tr>
      <w:tr w14:paraId="69A50961">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D4DE87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43</w:t>
            </w:r>
          </w:p>
        </w:tc>
        <w:tc>
          <w:tcPr>
            <w:tcW w:w="2028" w:type="dxa"/>
            <w:vMerge w:val="continue"/>
            <w:tcBorders>
              <w:top w:val="nil"/>
              <w:left w:val="single" w:color="auto" w:sz="4" w:space="0"/>
              <w:bottom w:val="single" w:color="000000" w:sz="4" w:space="0"/>
              <w:right w:val="single" w:color="auto" w:sz="4" w:space="0"/>
            </w:tcBorders>
            <w:vAlign w:val="center"/>
          </w:tcPr>
          <w:p w14:paraId="00DAFE5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C5AEC9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站房三维模型构建-模型检验</w:t>
            </w:r>
          </w:p>
        </w:tc>
        <w:tc>
          <w:tcPr>
            <w:tcW w:w="3928" w:type="dxa"/>
            <w:tcBorders>
              <w:top w:val="nil"/>
              <w:left w:val="nil"/>
              <w:bottom w:val="single" w:color="auto" w:sz="4" w:space="0"/>
              <w:right w:val="single" w:color="auto" w:sz="4" w:space="0"/>
            </w:tcBorders>
            <w:vAlign w:val="center"/>
          </w:tcPr>
          <w:p w14:paraId="77328F0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从平面位置、高度、形状、比例等方面确保模型拼接合理、要素齐全。从纹理色彩、分辨率，以及纹理与模型匹配等方面保持契合一致。从模型结构、纹理色彩、光照等方面确保场景协调和真实。</w:t>
            </w:r>
          </w:p>
        </w:tc>
      </w:tr>
      <w:tr w14:paraId="686E539A">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B65BD5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44</w:t>
            </w:r>
          </w:p>
        </w:tc>
        <w:tc>
          <w:tcPr>
            <w:tcW w:w="2028" w:type="dxa"/>
            <w:vMerge w:val="continue"/>
            <w:tcBorders>
              <w:top w:val="nil"/>
              <w:left w:val="single" w:color="auto" w:sz="4" w:space="0"/>
              <w:bottom w:val="single" w:color="000000" w:sz="4" w:space="0"/>
              <w:right w:val="single" w:color="auto" w:sz="4" w:space="0"/>
            </w:tcBorders>
            <w:vAlign w:val="center"/>
          </w:tcPr>
          <w:p w14:paraId="091E343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6C5C1A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站房三维模型构建-数据整理与发布</w:t>
            </w:r>
          </w:p>
        </w:tc>
        <w:tc>
          <w:tcPr>
            <w:tcW w:w="3928" w:type="dxa"/>
            <w:tcBorders>
              <w:top w:val="nil"/>
              <w:left w:val="nil"/>
              <w:bottom w:val="single" w:color="auto" w:sz="4" w:space="0"/>
              <w:right w:val="single" w:color="auto" w:sz="4" w:space="0"/>
            </w:tcBorders>
            <w:vAlign w:val="center"/>
          </w:tcPr>
          <w:p w14:paraId="4BA3DD5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对整个项目产生的数据进行标准化整理，按照三维平台的格式、数据精度等要求，对模型与场景文件进行最后的格式转换与参数调整。导出符合要求的发布场景文件，确保模型能够无缝对接至系统。</w:t>
            </w:r>
          </w:p>
        </w:tc>
      </w:tr>
      <w:tr w14:paraId="52A5E158">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B8A195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45</w:t>
            </w:r>
          </w:p>
        </w:tc>
        <w:tc>
          <w:tcPr>
            <w:tcW w:w="2028" w:type="dxa"/>
            <w:vMerge w:val="continue"/>
            <w:tcBorders>
              <w:top w:val="nil"/>
              <w:left w:val="single" w:color="auto" w:sz="4" w:space="0"/>
              <w:bottom w:val="single" w:color="000000" w:sz="4" w:space="0"/>
              <w:right w:val="single" w:color="auto" w:sz="4" w:space="0"/>
            </w:tcBorders>
            <w:vAlign w:val="center"/>
          </w:tcPr>
          <w:p w14:paraId="2BFB8CC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C557F1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站房孪生数据集成接入-空气智能化站房协议适配</w:t>
            </w:r>
          </w:p>
        </w:tc>
        <w:tc>
          <w:tcPr>
            <w:tcW w:w="3928" w:type="dxa"/>
            <w:tcBorders>
              <w:top w:val="nil"/>
              <w:left w:val="nil"/>
              <w:bottom w:val="single" w:color="auto" w:sz="4" w:space="0"/>
              <w:right w:val="single" w:color="auto" w:sz="4" w:space="0"/>
            </w:tcBorders>
            <w:vAlign w:val="center"/>
          </w:tcPr>
          <w:p w14:paraId="26F9A7C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基于空气污染物数据传输标准协议，梳理我市的空气智能化站房污染物在线自动监控（监测）系统数据传输扩展标准。协议涉及仪器状态参数、自动校准、零跨、视频门禁联动、动环参数接入等功能的扩展。</w:t>
            </w:r>
          </w:p>
        </w:tc>
      </w:tr>
      <w:tr w14:paraId="5080BE8E">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0C2D05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46</w:t>
            </w:r>
          </w:p>
        </w:tc>
        <w:tc>
          <w:tcPr>
            <w:tcW w:w="2028" w:type="dxa"/>
            <w:vMerge w:val="continue"/>
            <w:tcBorders>
              <w:top w:val="nil"/>
              <w:left w:val="single" w:color="auto" w:sz="4" w:space="0"/>
              <w:bottom w:val="single" w:color="000000" w:sz="4" w:space="0"/>
              <w:right w:val="single" w:color="auto" w:sz="4" w:space="0"/>
            </w:tcBorders>
            <w:vAlign w:val="center"/>
          </w:tcPr>
          <w:p w14:paraId="0CBED47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FE9008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站房孪生数据集成接入-孪生模型渲染展示</w:t>
            </w:r>
          </w:p>
        </w:tc>
        <w:tc>
          <w:tcPr>
            <w:tcW w:w="3928" w:type="dxa"/>
            <w:tcBorders>
              <w:top w:val="nil"/>
              <w:left w:val="nil"/>
              <w:bottom w:val="single" w:color="auto" w:sz="4" w:space="0"/>
              <w:right w:val="single" w:color="auto" w:sz="4" w:space="0"/>
            </w:tcBorders>
            <w:vAlign w:val="center"/>
          </w:tcPr>
          <w:p w14:paraId="78C59F6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以站房各模块三维模型为展示核心，实现不同角度、不同光照下的模型查看，增强模型的真实感和细节。允许用户通过鼠标、键盘或其他输入设备进行交互式操作，如旋转、缩放、拖动、切换视角等，以自由探索模型的各个角度和部分。</w:t>
            </w:r>
          </w:p>
        </w:tc>
      </w:tr>
      <w:tr w14:paraId="644242C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61B37E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47</w:t>
            </w:r>
          </w:p>
        </w:tc>
        <w:tc>
          <w:tcPr>
            <w:tcW w:w="2028" w:type="dxa"/>
            <w:vMerge w:val="continue"/>
            <w:tcBorders>
              <w:top w:val="nil"/>
              <w:left w:val="single" w:color="auto" w:sz="4" w:space="0"/>
              <w:bottom w:val="single" w:color="000000" w:sz="4" w:space="0"/>
              <w:right w:val="single" w:color="auto" w:sz="4" w:space="0"/>
            </w:tcBorders>
            <w:vAlign w:val="center"/>
          </w:tcPr>
          <w:p w14:paraId="0D3CB5D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D17FA8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站房孪生数据集成接入-感知数据集成接入</w:t>
            </w:r>
          </w:p>
        </w:tc>
        <w:tc>
          <w:tcPr>
            <w:tcW w:w="3928" w:type="dxa"/>
            <w:tcBorders>
              <w:top w:val="nil"/>
              <w:left w:val="nil"/>
              <w:bottom w:val="single" w:color="auto" w:sz="4" w:space="0"/>
              <w:right w:val="single" w:color="auto" w:sz="4" w:space="0"/>
            </w:tcBorders>
            <w:vAlign w:val="center"/>
          </w:tcPr>
          <w:p w14:paraId="4BF3D51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在平台通过物联感知技术，集成接入环境空气监测站仪器的各类监测感知数据及运行状况数据。将复杂的现实世界数据准确地映射到三维模型对象上。感知数据的集成接入不限于现场直传数据、也支持通过数据接口进行接入。</w:t>
            </w:r>
          </w:p>
        </w:tc>
      </w:tr>
      <w:tr w14:paraId="7907E52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D09607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48</w:t>
            </w:r>
          </w:p>
        </w:tc>
        <w:tc>
          <w:tcPr>
            <w:tcW w:w="2028" w:type="dxa"/>
            <w:vMerge w:val="continue"/>
            <w:tcBorders>
              <w:top w:val="nil"/>
              <w:left w:val="single" w:color="auto" w:sz="4" w:space="0"/>
              <w:bottom w:val="single" w:color="000000" w:sz="4" w:space="0"/>
              <w:right w:val="single" w:color="auto" w:sz="4" w:space="0"/>
            </w:tcBorders>
            <w:vAlign w:val="center"/>
          </w:tcPr>
          <w:p w14:paraId="4BC7166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FB2CDA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数字化站房监控-站房信息总览</w:t>
            </w:r>
          </w:p>
        </w:tc>
        <w:tc>
          <w:tcPr>
            <w:tcW w:w="3928" w:type="dxa"/>
            <w:tcBorders>
              <w:top w:val="nil"/>
              <w:left w:val="nil"/>
              <w:bottom w:val="single" w:color="auto" w:sz="4" w:space="0"/>
              <w:right w:val="single" w:color="auto" w:sz="4" w:space="0"/>
            </w:tcBorders>
            <w:vAlign w:val="center"/>
          </w:tcPr>
          <w:p w14:paraId="7988328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在GIS地图上，通过点状图标展示环境空气监测站点分布。可查询详细信息窗口，内容包括站点控制类型、站点编号、名称、所属区域、建设时间、地理位置坐标、运维单位等基础信息。</w:t>
            </w:r>
          </w:p>
        </w:tc>
      </w:tr>
      <w:tr w14:paraId="79CF1490">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EEEB6F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49</w:t>
            </w:r>
          </w:p>
        </w:tc>
        <w:tc>
          <w:tcPr>
            <w:tcW w:w="2028" w:type="dxa"/>
            <w:vMerge w:val="continue"/>
            <w:tcBorders>
              <w:top w:val="nil"/>
              <w:left w:val="single" w:color="auto" w:sz="4" w:space="0"/>
              <w:bottom w:val="single" w:color="000000" w:sz="4" w:space="0"/>
              <w:right w:val="single" w:color="auto" w:sz="4" w:space="0"/>
            </w:tcBorders>
            <w:vAlign w:val="center"/>
          </w:tcPr>
          <w:p w14:paraId="66ED618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BC2EB9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数字化站房监控-实时监测数据</w:t>
            </w:r>
          </w:p>
        </w:tc>
        <w:tc>
          <w:tcPr>
            <w:tcW w:w="3928" w:type="dxa"/>
            <w:tcBorders>
              <w:top w:val="nil"/>
              <w:left w:val="nil"/>
              <w:bottom w:val="single" w:color="auto" w:sz="4" w:space="0"/>
              <w:right w:val="single" w:color="auto" w:sz="4" w:space="0"/>
            </w:tcBorders>
            <w:vAlign w:val="center"/>
          </w:tcPr>
          <w:p w14:paraId="3FD56D4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利用数字孪生技术可显示站房各个关键设备的实时运行状态、空气质量监测、仪器状态参数、自动校准、零跨、质控运维、视频门禁、报警等信息，展示形式包括数据表格、折线图、柱状图、仪表盘、等直观、清晰的方式。</w:t>
            </w:r>
          </w:p>
        </w:tc>
      </w:tr>
      <w:tr w14:paraId="72F1EB1C">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854C03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50</w:t>
            </w:r>
          </w:p>
        </w:tc>
        <w:tc>
          <w:tcPr>
            <w:tcW w:w="2028" w:type="dxa"/>
            <w:vMerge w:val="continue"/>
            <w:tcBorders>
              <w:top w:val="nil"/>
              <w:left w:val="single" w:color="auto" w:sz="4" w:space="0"/>
              <w:bottom w:val="single" w:color="000000" w:sz="4" w:space="0"/>
              <w:right w:val="single" w:color="auto" w:sz="4" w:space="0"/>
            </w:tcBorders>
            <w:vAlign w:val="center"/>
          </w:tcPr>
          <w:p w14:paraId="065FBB9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1ACDBD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数字化站房监控-站点详情信息</w:t>
            </w:r>
          </w:p>
        </w:tc>
        <w:tc>
          <w:tcPr>
            <w:tcW w:w="3928" w:type="dxa"/>
            <w:tcBorders>
              <w:top w:val="nil"/>
              <w:left w:val="nil"/>
              <w:bottom w:val="single" w:color="auto" w:sz="4" w:space="0"/>
              <w:right w:val="single" w:color="auto" w:sz="4" w:space="0"/>
            </w:tcBorders>
            <w:vAlign w:val="center"/>
          </w:tcPr>
          <w:p w14:paraId="7F797E5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站点详情整合各站点的数据、状态、基础信息关键信息，包括监测数据、数据曲线、站点报警、仪器运行参数、设备品牌、运维单位等信息。支持查看质控运维信息，如自动校准、零跨、视频、门禁、动环参数等各类信息。</w:t>
            </w:r>
          </w:p>
        </w:tc>
      </w:tr>
      <w:tr w14:paraId="3E40D919">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5D580E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51</w:t>
            </w:r>
          </w:p>
        </w:tc>
        <w:tc>
          <w:tcPr>
            <w:tcW w:w="2028" w:type="dxa"/>
            <w:vMerge w:val="continue"/>
            <w:tcBorders>
              <w:top w:val="nil"/>
              <w:left w:val="single" w:color="auto" w:sz="4" w:space="0"/>
              <w:bottom w:val="single" w:color="000000" w:sz="4" w:space="0"/>
              <w:right w:val="single" w:color="auto" w:sz="4" w:space="0"/>
            </w:tcBorders>
            <w:vAlign w:val="center"/>
          </w:tcPr>
          <w:p w14:paraId="2ABE7E1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8F7712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数字化站房监控-历史数据查询</w:t>
            </w:r>
          </w:p>
        </w:tc>
        <w:tc>
          <w:tcPr>
            <w:tcW w:w="3928" w:type="dxa"/>
            <w:tcBorders>
              <w:top w:val="nil"/>
              <w:left w:val="nil"/>
              <w:bottom w:val="single" w:color="auto" w:sz="4" w:space="0"/>
              <w:right w:val="single" w:color="auto" w:sz="4" w:space="0"/>
            </w:tcBorders>
            <w:vAlign w:val="center"/>
          </w:tcPr>
          <w:p w14:paraId="77BD8FC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实现空气站监控数据的历史数据查询，可以查询过去一段时间内的运行数据，并实现相关图表的查看。支持使用日历状态展示历史质控合格情况、历史运维合格情况、异常报警等信息，支持直接跳转至系统的详情页面进行查看详情。</w:t>
            </w:r>
          </w:p>
        </w:tc>
      </w:tr>
      <w:tr w14:paraId="04507DC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8D562D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52</w:t>
            </w:r>
          </w:p>
        </w:tc>
        <w:tc>
          <w:tcPr>
            <w:tcW w:w="2028" w:type="dxa"/>
            <w:vMerge w:val="continue"/>
            <w:tcBorders>
              <w:top w:val="nil"/>
              <w:left w:val="single" w:color="auto" w:sz="4" w:space="0"/>
              <w:bottom w:val="single" w:color="000000" w:sz="4" w:space="0"/>
              <w:right w:val="single" w:color="auto" w:sz="4" w:space="0"/>
            </w:tcBorders>
            <w:vAlign w:val="center"/>
          </w:tcPr>
          <w:p w14:paraId="0D3D5B8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5EDDF5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数字化站房监控-专题信息展示</w:t>
            </w:r>
          </w:p>
        </w:tc>
        <w:tc>
          <w:tcPr>
            <w:tcW w:w="3928" w:type="dxa"/>
            <w:tcBorders>
              <w:top w:val="nil"/>
              <w:left w:val="nil"/>
              <w:bottom w:val="single" w:color="auto" w:sz="4" w:space="0"/>
              <w:right w:val="single" w:color="auto" w:sz="4" w:space="0"/>
            </w:tcBorders>
            <w:vAlign w:val="center"/>
          </w:tcPr>
          <w:p w14:paraId="119E633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对于重点关注的信息，如站点的控制类型、实时AQI情况、各污染物数据在线捕获率情况、仪器正常/异常信息汇总、质控运维合格统计、运维合规统计、最新报警等信息。</w:t>
            </w:r>
          </w:p>
        </w:tc>
      </w:tr>
      <w:tr w14:paraId="42AAEA8D">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EF55A5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53</w:t>
            </w:r>
          </w:p>
        </w:tc>
        <w:tc>
          <w:tcPr>
            <w:tcW w:w="2028" w:type="dxa"/>
            <w:vMerge w:val="continue"/>
            <w:tcBorders>
              <w:top w:val="nil"/>
              <w:left w:val="single" w:color="auto" w:sz="4" w:space="0"/>
              <w:bottom w:val="single" w:color="000000" w:sz="4" w:space="0"/>
              <w:right w:val="single" w:color="auto" w:sz="4" w:space="0"/>
            </w:tcBorders>
            <w:vAlign w:val="center"/>
          </w:tcPr>
          <w:p w14:paraId="45976D6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D4E0D2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数字化站房监控-智能质控展示</w:t>
            </w:r>
          </w:p>
        </w:tc>
        <w:tc>
          <w:tcPr>
            <w:tcW w:w="3928" w:type="dxa"/>
            <w:tcBorders>
              <w:top w:val="nil"/>
              <w:left w:val="nil"/>
              <w:bottom w:val="single" w:color="auto" w:sz="4" w:space="0"/>
              <w:right w:val="single" w:color="auto" w:sz="4" w:space="0"/>
            </w:tcBorders>
            <w:vAlign w:val="center"/>
          </w:tcPr>
          <w:p w14:paraId="165B2BC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系统在智能化质控统计的基础上，提供质控记录与档案管理，并进行展示，包括但不限于单点校准、多点校准、仪器精密度测试、仪器准确度验证、氮氧化物转换效率测试以及臭氧量值传递管理等关键质控环节的结果。</w:t>
            </w:r>
          </w:p>
        </w:tc>
      </w:tr>
      <w:tr w14:paraId="09529915">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1F4EFB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54</w:t>
            </w:r>
          </w:p>
        </w:tc>
        <w:tc>
          <w:tcPr>
            <w:tcW w:w="2028" w:type="dxa"/>
            <w:vMerge w:val="continue"/>
            <w:tcBorders>
              <w:top w:val="nil"/>
              <w:left w:val="single" w:color="auto" w:sz="4" w:space="0"/>
              <w:bottom w:val="single" w:color="000000" w:sz="4" w:space="0"/>
              <w:right w:val="single" w:color="auto" w:sz="4" w:space="0"/>
            </w:tcBorders>
            <w:vAlign w:val="center"/>
          </w:tcPr>
          <w:p w14:paraId="1C9D778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FFE6DE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数字化站房监控-门禁管理配置</w:t>
            </w:r>
          </w:p>
        </w:tc>
        <w:tc>
          <w:tcPr>
            <w:tcW w:w="3928" w:type="dxa"/>
            <w:tcBorders>
              <w:top w:val="nil"/>
              <w:left w:val="nil"/>
              <w:bottom w:val="single" w:color="auto" w:sz="4" w:space="0"/>
              <w:right w:val="single" w:color="auto" w:sz="4" w:space="0"/>
            </w:tcBorders>
            <w:vAlign w:val="center"/>
          </w:tcPr>
          <w:p w14:paraId="3ECAE8D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制定统一门禁传输协议，设备捕获门禁状态后按此协议传输信息。接收并解析信息，按时间、站房、点位分类存储，方便后期应用。展示门禁信息，建立门禁信息库。录入站房信息，建立站房信息库。将站房信息与门禁关联。</w:t>
            </w:r>
          </w:p>
        </w:tc>
      </w:tr>
      <w:tr w14:paraId="55DB38F0">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0C7777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55</w:t>
            </w:r>
          </w:p>
        </w:tc>
        <w:tc>
          <w:tcPr>
            <w:tcW w:w="2028" w:type="dxa"/>
            <w:vMerge w:val="continue"/>
            <w:tcBorders>
              <w:top w:val="nil"/>
              <w:left w:val="single" w:color="auto" w:sz="4" w:space="0"/>
              <w:bottom w:val="single" w:color="000000" w:sz="4" w:space="0"/>
              <w:right w:val="single" w:color="auto" w:sz="4" w:space="0"/>
            </w:tcBorders>
            <w:vAlign w:val="center"/>
          </w:tcPr>
          <w:p w14:paraId="3F3F235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43AA36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数字化站房监控-质控异常智能预警分析</w:t>
            </w:r>
          </w:p>
        </w:tc>
        <w:tc>
          <w:tcPr>
            <w:tcW w:w="3928" w:type="dxa"/>
            <w:tcBorders>
              <w:top w:val="nil"/>
              <w:left w:val="nil"/>
              <w:bottom w:val="single" w:color="auto" w:sz="4" w:space="0"/>
              <w:right w:val="single" w:color="auto" w:sz="4" w:space="0"/>
            </w:tcBorders>
            <w:vAlign w:val="center"/>
          </w:tcPr>
          <w:p w14:paraId="089BA37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根据不同仪器自动质控行为，进行质控异常智能预警分析，如合格情况、异常情况、异常出数情况、质控不合格情况。功能包含质控防人为干扰异常预警、质控异常画像、仪器品牌质控合格分析、运维商质控合格汇总分析。</w:t>
            </w:r>
          </w:p>
        </w:tc>
      </w:tr>
      <w:tr w14:paraId="56013A31">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624432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56</w:t>
            </w:r>
          </w:p>
        </w:tc>
        <w:tc>
          <w:tcPr>
            <w:tcW w:w="2028" w:type="dxa"/>
            <w:vMerge w:val="restart"/>
            <w:tcBorders>
              <w:top w:val="nil"/>
              <w:left w:val="single" w:color="auto" w:sz="4" w:space="0"/>
              <w:bottom w:val="single" w:color="000000" w:sz="4" w:space="0"/>
              <w:right w:val="single" w:color="auto" w:sz="4" w:space="0"/>
            </w:tcBorders>
            <w:noWrap/>
            <w:vAlign w:val="center"/>
          </w:tcPr>
          <w:p w14:paraId="4831F61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环境监测数据智能质控</w:t>
            </w:r>
          </w:p>
        </w:tc>
        <w:tc>
          <w:tcPr>
            <w:tcW w:w="1642" w:type="dxa"/>
            <w:tcBorders>
              <w:top w:val="nil"/>
              <w:left w:val="nil"/>
              <w:bottom w:val="single" w:color="auto" w:sz="4" w:space="0"/>
              <w:right w:val="single" w:color="auto" w:sz="4" w:space="0"/>
            </w:tcBorders>
            <w:vAlign w:val="center"/>
          </w:tcPr>
          <w:p w14:paraId="3FBA4A3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大气自动监测系统故障诊断-故障案例标注</w:t>
            </w:r>
          </w:p>
        </w:tc>
        <w:tc>
          <w:tcPr>
            <w:tcW w:w="3928" w:type="dxa"/>
            <w:tcBorders>
              <w:top w:val="nil"/>
              <w:left w:val="nil"/>
              <w:bottom w:val="single" w:color="auto" w:sz="4" w:space="0"/>
              <w:right w:val="single" w:color="auto" w:sz="4" w:space="0"/>
            </w:tcBorders>
            <w:vAlign w:val="center"/>
          </w:tcPr>
          <w:p w14:paraId="68BDD78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建立故障信息标准化录入及管理，支持运维记录自动转案例，自动关联提取设备参数及监测数据。支持案例检索、案例综合分析。</w:t>
            </w:r>
          </w:p>
        </w:tc>
      </w:tr>
      <w:tr w14:paraId="3055470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8224AD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57</w:t>
            </w:r>
          </w:p>
        </w:tc>
        <w:tc>
          <w:tcPr>
            <w:tcW w:w="2028" w:type="dxa"/>
            <w:vMerge w:val="continue"/>
            <w:tcBorders>
              <w:top w:val="nil"/>
              <w:left w:val="single" w:color="auto" w:sz="4" w:space="0"/>
              <w:bottom w:val="single" w:color="000000" w:sz="4" w:space="0"/>
              <w:right w:val="single" w:color="auto" w:sz="4" w:space="0"/>
            </w:tcBorders>
            <w:vAlign w:val="center"/>
          </w:tcPr>
          <w:p w14:paraId="269DAFD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A6F722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大气自动监测系统故障诊断-故障特征库建设</w:t>
            </w:r>
          </w:p>
        </w:tc>
        <w:tc>
          <w:tcPr>
            <w:tcW w:w="3928" w:type="dxa"/>
            <w:tcBorders>
              <w:top w:val="nil"/>
              <w:left w:val="nil"/>
              <w:bottom w:val="single" w:color="auto" w:sz="4" w:space="0"/>
              <w:right w:val="single" w:color="auto" w:sz="4" w:space="0"/>
            </w:tcBorders>
            <w:vAlign w:val="center"/>
          </w:tcPr>
          <w:p w14:paraId="707AC14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构建故障特征库，特征库需包含各类故障的表现形式、参数特征和异常数据模式，自支持自动多维特征提取与存储，支持自定义特征检索。</w:t>
            </w:r>
          </w:p>
        </w:tc>
      </w:tr>
      <w:tr w14:paraId="1F1C40C4">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2921AE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58</w:t>
            </w:r>
          </w:p>
        </w:tc>
        <w:tc>
          <w:tcPr>
            <w:tcW w:w="2028" w:type="dxa"/>
            <w:vMerge w:val="continue"/>
            <w:tcBorders>
              <w:top w:val="nil"/>
              <w:left w:val="single" w:color="auto" w:sz="4" w:space="0"/>
              <w:bottom w:val="single" w:color="000000" w:sz="4" w:space="0"/>
              <w:right w:val="single" w:color="auto" w:sz="4" w:space="0"/>
            </w:tcBorders>
            <w:vAlign w:val="center"/>
          </w:tcPr>
          <w:p w14:paraId="4A1FD1F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1C6985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大气自动监测系统故障诊断-故障诊断方法及模型构建</w:t>
            </w:r>
          </w:p>
        </w:tc>
        <w:tc>
          <w:tcPr>
            <w:tcW w:w="3928" w:type="dxa"/>
            <w:tcBorders>
              <w:top w:val="nil"/>
              <w:left w:val="nil"/>
              <w:bottom w:val="single" w:color="auto" w:sz="4" w:space="0"/>
              <w:right w:val="single" w:color="auto" w:sz="4" w:space="0"/>
            </w:tcBorders>
            <w:vAlign w:val="center"/>
          </w:tcPr>
          <w:p w14:paraId="7AD02B5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运用人工智能技术，构建大气自动监测系统故障诊断模型，通过获取设备运行参数，识别和判断监测系统运行异常情况。</w:t>
            </w:r>
          </w:p>
        </w:tc>
      </w:tr>
      <w:tr w14:paraId="565C1E4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9ED58A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59</w:t>
            </w:r>
          </w:p>
        </w:tc>
        <w:tc>
          <w:tcPr>
            <w:tcW w:w="2028" w:type="dxa"/>
            <w:vMerge w:val="continue"/>
            <w:tcBorders>
              <w:top w:val="nil"/>
              <w:left w:val="single" w:color="auto" w:sz="4" w:space="0"/>
              <w:bottom w:val="single" w:color="000000" w:sz="4" w:space="0"/>
              <w:right w:val="single" w:color="auto" w:sz="4" w:space="0"/>
            </w:tcBorders>
            <w:vAlign w:val="center"/>
          </w:tcPr>
          <w:p w14:paraId="416FA48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30804B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大气自动监测系统故障诊断-模型重训练</w:t>
            </w:r>
          </w:p>
        </w:tc>
        <w:tc>
          <w:tcPr>
            <w:tcW w:w="3928" w:type="dxa"/>
            <w:tcBorders>
              <w:top w:val="nil"/>
              <w:left w:val="nil"/>
              <w:bottom w:val="single" w:color="auto" w:sz="4" w:space="0"/>
              <w:right w:val="single" w:color="auto" w:sz="4" w:space="0"/>
            </w:tcBorders>
            <w:vAlign w:val="center"/>
          </w:tcPr>
          <w:p w14:paraId="15AAD93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建立模型重训练机制，达到触发条件时自动进行重训练。</w:t>
            </w:r>
          </w:p>
        </w:tc>
      </w:tr>
      <w:tr w14:paraId="42C0E9A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702309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60</w:t>
            </w:r>
          </w:p>
        </w:tc>
        <w:tc>
          <w:tcPr>
            <w:tcW w:w="2028" w:type="dxa"/>
            <w:vMerge w:val="continue"/>
            <w:tcBorders>
              <w:top w:val="nil"/>
              <w:left w:val="single" w:color="auto" w:sz="4" w:space="0"/>
              <w:bottom w:val="single" w:color="000000" w:sz="4" w:space="0"/>
              <w:right w:val="single" w:color="auto" w:sz="4" w:space="0"/>
            </w:tcBorders>
            <w:vAlign w:val="center"/>
          </w:tcPr>
          <w:p w14:paraId="1A0F879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0D1B18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大气自动监测系统健康状态评估-设备参数采集对接</w:t>
            </w:r>
          </w:p>
        </w:tc>
        <w:tc>
          <w:tcPr>
            <w:tcW w:w="3928" w:type="dxa"/>
            <w:tcBorders>
              <w:top w:val="nil"/>
              <w:left w:val="nil"/>
              <w:bottom w:val="single" w:color="auto" w:sz="4" w:space="0"/>
              <w:right w:val="single" w:color="auto" w:sz="4" w:space="0"/>
            </w:tcBorders>
            <w:vAlign w:val="center"/>
          </w:tcPr>
          <w:p w14:paraId="679463A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对接各类自动监测设备监控采集平台，接入设备各项运行参数，提供设备各类参数查询、时序展示分析、超限值告警等相关功能。</w:t>
            </w:r>
          </w:p>
        </w:tc>
      </w:tr>
      <w:tr w14:paraId="55343B06">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DD12EB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61</w:t>
            </w:r>
          </w:p>
        </w:tc>
        <w:tc>
          <w:tcPr>
            <w:tcW w:w="2028" w:type="dxa"/>
            <w:vMerge w:val="continue"/>
            <w:tcBorders>
              <w:top w:val="nil"/>
              <w:left w:val="single" w:color="auto" w:sz="4" w:space="0"/>
              <w:bottom w:val="single" w:color="000000" w:sz="4" w:space="0"/>
              <w:right w:val="single" w:color="auto" w:sz="4" w:space="0"/>
            </w:tcBorders>
            <w:vAlign w:val="center"/>
          </w:tcPr>
          <w:p w14:paraId="5CF939E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02E570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大气自动监测系统健康状态评估-设备健康指标体系构建</w:t>
            </w:r>
          </w:p>
        </w:tc>
        <w:tc>
          <w:tcPr>
            <w:tcW w:w="3928" w:type="dxa"/>
            <w:tcBorders>
              <w:top w:val="nil"/>
              <w:left w:val="nil"/>
              <w:bottom w:val="single" w:color="auto" w:sz="4" w:space="0"/>
              <w:right w:val="single" w:color="auto" w:sz="4" w:space="0"/>
            </w:tcBorders>
            <w:vAlign w:val="center"/>
          </w:tcPr>
          <w:p w14:paraId="6CCED0F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建立基础运行指标、性能指标和可靠性指标体系，制定差异化指标和正常范围值。涵盖设备整机到主要组件的各个层面，支持指标维护、指标查询、展示及导出功能。</w:t>
            </w:r>
          </w:p>
        </w:tc>
      </w:tr>
      <w:tr w14:paraId="0B9FF5D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FC9292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62</w:t>
            </w:r>
          </w:p>
        </w:tc>
        <w:tc>
          <w:tcPr>
            <w:tcW w:w="2028" w:type="dxa"/>
            <w:vMerge w:val="continue"/>
            <w:tcBorders>
              <w:top w:val="nil"/>
              <w:left w:val="single" w:color="auto" w:sz="4" w:space="0"/>
              <w:bottom w:val="single" w:color="000000" w:sz="4" w:space="0"/>
              <w:right w:val="single" w:color="auto" w:sz="4" w:space="0"/>
            </w:tcBorders>
            <w:vAlign w:val="center"/>
          </w:tcPr>
          <w:p w14:paraId="733D6E9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6C7E55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大气自动监测系统健康状态评估-多维度健康指数计算</w:t>
            </w:r>
          </w:p>
        </w:tc>
        <w:tc>
          <w:tcPr>
            <w:tcW w:w="3928" w:type="dxa"/>
            <w:tcBorders>
              <w:top w:val="nil"/>
              <w:left w:val="nil"/>
              <w:bottom w:val="single" w:color="auto" w:sz="4" w:space="0"/>
              <w:right w:val="single" w:color="auto" w:sz="4" w:space="0"/>
            </w:tcBorders>
            <w:vAlign w:val="center"/>
          </w:tcPr>
          <w:p w14:paraId="0DB59EF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实现设备健康程度量化，生成健康评分和分级，展示性能变化趋势。</w:t>
            </w:r>
          </w:p>
        </w:tc>
      </w:tr>
      <w:tr w14:paraId="0B58B558">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2A82FD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63</w:t>
            </w:r>
          </w:p>
        </w:tc>
        <w:tc>
          <w:tcPr>
            <w:tcW w:w="2028" w:type="dxa"/>
            <w:vMerge w:val="continue"/>
            <w:tcBorders>
              <w:top w:val="nil"/>
              <w:left w:val="single" w:color="auto" w:sz="4" w:space="0"/>
              <w:bottom w:val="single" w:color="000000" w:sz="4" w:space="0"/>
              <w:right w:val="single" w:color="auto" w:sz="4" w:space="0"/>
            </w:tcBorders>
            <w:vAlign w:val="center"/>
          </w:tcPr>
          <w:p w14:paraId="593F73E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24DBB2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大气自动监测系统健康状态评估-关键参数退化趋势分析</w:t>
            </w:r>
          </w:p>
        </w:tc>
        <w:tc>
          <w:tcPr>
            <w:tcW w:w="3928" w:type="dxa"/>
            <w:tcBorders>
              <w:top w:val="nil"/>
              <w:left w:val="nil"/>
              <w:bottom w:val="single" w:color="auto" w:sz="4" w:space="0"/>
              <w:right w:val="single" w:color="auto" w:sz="4" w:space="0"/>
            </w:tcBorders>
            <w:vAlign w:val="center"/>
          </w:tcPr>
          <w:p w14:paraId="2B12CD3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跟踪分析核心参数的性能变化，区分短期波动与长期退化趋势，识别性能下降拐点</w:t>
            </w:r>
          </w:p>
        </w:tc>
      </w:tr>
      <w:tr w14:paraId="03FF923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531A11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64</w:t>
            </w:r>
          </w:p>
        </w:tc>
        <w:tc>
          <w:tcPr>
            <w:tcW w:w="2028" w:type="dxa"/>
            <w:vMerge w:val="continue"/>
            <w:tcBorders>
              <w:top w:val="nil"/>
              <w:left w:val="single" w:color="auto" w:sz="4" w:space="0"/>
              <w:bottom w:val="single" w:color="000000" w:sz="4" w:space="0"/>
              <w:right w:val="single" w:color="auto" w:sz="4" w:space="0"/>
            </w:tcBorders>
            <w:vAlign w:val="center"/>
          </w:tcPr>
          <w:p w14:paraId="3BFD20E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8E4374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大气自动监测数据智能审核-设备异常数据检测</w:t>
            </w:r>
          </w:p>
        </w:tc>
        <w:tc>
          <w:tcPr>
            <w:tcW w:w="3928" w:type="dxa"/>
            <w:tcBorders>
              <w:top w:val="nil"/>
              <w:left w:val="nil"/>
              <w:bottom w:val="single" w:color="auto" w:sz="4" w:space="0"/>
              <w:right w:val="single" w:color="auto" w:sz="4" w:space="0"/>
            </w:tcBorders>
            <w:vAlign w:val="center"/>
          </w:tcPr>
          <w:p w14:paraId="662A68B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建立设备异常数据检测模型，及时识别由设备异常引起的监测数据问题。</w:t>
            </w:r>
          </w:p>
        </w:tc>
      </w:tr>
      <w:tr w14:paraId="4271EB9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E9A079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65</w:t>
            </w:r>
          </w:p>
        </w:tc>
        <w:tc>
          <w:tcPr>
            <w:tcW w:w="2028" w:type="dxa"/>
            <w:vMerge w:val="continue"/>
            <w:tcBorders>
              <w:top w:val="nil"/>
              <w:left w:val="single" w:color="auto" w:sz="4" w:space="0"/>
              <w:bottom w:val="single" w:color="000000" w:sz="4" w:space="0"/>
              <w:right w:val="single" w:color="auto" w:sz="4" w:space="0"/>
            </w:tcBorders>
            <w:vAlign w:val="center"/>
          </w:tcPr>
          <w:p w14:paraId="76235A5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54CC37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大气自动监测数据智能审核-质控数据异常检测</w:t>
            </w:r>
          </w:p>
        </w:tc>
        <w:tc>
          <w:tcPr>
            <w:tcW w:w="3928" w:type="dxa"/>
            <w:tcBorders>
              <w:top w:val="nil"/>
              <w:left w:val="nil"/>
              <w:bottom w:val="single" w:color="auto" w:sz="4" w:space="0"/>
              <w:right w:val="single" w:color="auto" w:sz="4" w:space="0"/>
            </w:tcBorders>
            <w:vAlign w:val="center"/>
          </w:tcPr>
          <w:p w14:paraId="2CF4B28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建立质控异常数据检测模型，及时识别由质控异常引起的监测数据问题。</w:t>
            </w:r>
          </w:p>
        </w:tc>
      </w:tr>
      <w:tr w14:paraId="5EF08B3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768C89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66</w:t>
            </w:r>
          </w:p>
        </w:tc>
        <w:tc>
          <w:tcPr>
            <w:tcW w:w="2028" w:type="dxa"/>
            <w:vMerge w:val="continue"/>
            <w:tcBorders>
              <w:top w:val="nil"/>
              <w:left w:val="single" w:color="auto" w:sz="4" w:space="0"/>
              <w:bottom w:val="single" w:color="000000" w:sz="4" w:space="0"/>
              <w:right w:val="single" w:color="auto" w:sz="4" w:space="0"/>
            </w:tcBorders>
            <w:vAlign w:val="center"/>
          </w:tcPr>
          <w:p w14:paraId="79E3370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CC38F1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大气自动监测数据智能审核-大气监测数据检验</w:t>
            </w:r>
          </w:p>
        </w:tc>
        <w:tc>
          <w:tcPr>
            <w:tcW w:w="3928" w:type="dxa"/>
            <w:tcBorders>
              <w:top w:val="nil"/>
              <w:left w:val="nil"/>
              <w:bottom w:val="single" w:color="auto" w:sz="4" w:space="0"/>
              <w:right w:val="single" w:color="auto" w:sz="4" w:space="0"/>
            </w:tcBorders>
            <w:vAlign w:val="center"/>
          </w:tcPr>
          <w:p w14:paraId="1554529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对大气监测数据进行连续性检验、浓度阈值检验、组分之间比值检验、组分-气象特征关联检验、昼夜变化检验、空间关联检验等方法，识别并显示可疑的异常组分数据。</w:t>
            </w:r>
          </w:p>
        </w:tc>
      </w:tr>
      <w:tr w14:paraId="5F7E6C5A">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D1AD26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67</w:t>
            </w:r>
          </w:p>
        </w:tc>
        <w:tc>
          <w:tcPr>
            <w:tcW w:w="2028" w:type="dxa"/>
            <w:vMerge w:val="continue"/>
            <w:tcBorders>
              <w:top w:val="nil"/>
              <w:left w:val="single" w:color="auto" w:sz="4" w:space="0"/>
              <w:bottom w:val="single" w:color="000000" w:sz="4" w:space="0"/>
              <w:right w:val="single" w:color="auto" w:sz="4" w:space="0"/>
            </w:tcBorders>
            <w:vAlign w:val="center"/>
          </w:tcPr>
          <w:p w14:paraId="1907273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2793D3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大气自动监测数据智能审核-数据时序趋势异常检测</w:t>
            </w:r>
          </w:p>
        </w:tc>
        <w:tc>
          <w:tcPr>
            <w:tcW w:w="3928" w:type="dxa"/>
            <w:tcBorders>
              <w:top w:val="nil"/>
              <w:left w:val="nil"/>
              <w:bottom w:val="single" w:color="auto" w:sz="4" w:space="0"/>
              <w:right w:val="single" w:color="auto" w:sz="4" w:space="0"/>
            </w:tcBorders>
            <w:vAlign w:val="center"/>
          </w:tcPr>
          <w:p w14:paraId="402ED3C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利用多种算法识别非规律性波动和离群值，考虑季节变化因素，检测异常趋势</w:t>
            </w:r>
          </w:p>
        </w:tc>
      </w:tr>
      <w:tr w14:paraId="5C0FEBA4">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00F9F5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68</w:t>
            </w:r>
          </w:p>
        </w:tc>
        <w:tc>
          <w:tcPr>
            <w:tcW w:w="2028" w:type="dxa"/>
            <w:vMerge w:val="continue"/>
            <w:tcBorders>
              <w:top w:val="nil"/>
              <w:left w:val="single" w:color="auto" w:sz="4" w:space="0"/>
              <w:bottom w:val="single" w:color="000000" w:sz="4" w:space="0"/>
              <w:right w:val="single" w:color="auto" w:sz="4" w:space="0"/>
            </w:tcBorders>
            <w:vAlign w:val="center"/>
          </w:tcPr>
          <w:p w14:paraId="4260ED5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B7D7AB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大气自动监测数据智能审核-时空数据关联异常分析</w:t>
            </w:r>
          </w:p>
        </w:tc>
        <w:tc>
          <w:tcPr>
            <w:tcW w:w="3928" w:type="dxa"/>
            <w:tcBorders>
              <w:top w:val="nil"/>
              <w:left w:val="nil"/>
              <w:bottom w:val="single" w:color="auto" w:sz="4" w:space="0"/>
              <w:right w:val="single" w:color="auto" w:sz="4" w:space="0"/>
            </w:tcBorders>
            <w:vAlign w:val="center"/>
          </w:tcPr>
          <w:p w14:paraId="37DAB2F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比较不同时空位置的数据，分析空间一致性及时间传播性特征，发现与周边站点偏离的异常</w:t>
            </w:r>
          </w:p>
        </w:tc>
      </w:tr>
      <w:tr w14:paraId="6C2ECED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9CFEAD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69</w:t>
            </w:r>
          </w:p>
        </w:tc>
        <w:tc>
          <w:tcPr>
            <w:tcW w:w="2028" w:type="dxa"/>
            <w:vMerge w:val="continue"/>
            <w:tcBorders>
              <w:top w:val="nil"/>
              <w:left w:val="single" w:color="auto" w:sz="4" w:space="0"/>
              <w:bottom w:val="single" w:color="000000" w:sz="4" w:space="0"/>
              <w:right w:val="single" w:color="auto" w:sz="4" w:space="0"/>
            </w:tcBorders>
            <w:vAlign w:val="center"/>
          </w:tcPr>
          <w:p w14:paraId="6871020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267FB7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大气监测数据修复重建-多场景数据重建</w:t>
            </w:r>
          </w:p>
        </w:tc>
        <w:tc>
          <w:tcPr>
            <w:tcW w:w="3928" w:type="dxa"/>
            <w:tcBorders>
              <w:top w:val="nil"/>
              <w:left w:val="nil"/>
              <w:bottom w:val="single" w:color="auto" w:sz="4" w:space="0"/>
              <w:right w:val="single" w:color="auto" w:sz="4" w:space="0"/>
            </w:tcBorders>
            <w:vAlign w:val="center"/>
          </w:tcPr>
          <w:p w14:paraId="7A28040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构建无监督的数据修复重建技术，实现单点、局部、大范围多场景数据缺失补全。</w:t>
            </w:r>
          </w:p>
        </w:tc>
      </w:tr>
      <w:tr w14:paraId="0E513484">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AC2E42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70</w:t>
            </w:r>
          </w:p>
        </w:tc>
        <w:tc>
          <w:tcPr>
            <w:tcW w:w="2028" w:type="dxa"/>
            <w:vMerge w:val="continue"/>
            <w:tcBorders>
              <w:top w:val="nil"/>
              <w:left w:val="single" w:color="auto" w:sz="4" w:space="0"/>
              <w:bottom w:val="single" w:color="000000" w:sz="4" w:space="0"/>
              <w:right w:val="single" w:color="auto" w:sz="4" w:space="0"/>
            </w:tcBorders>
            <w:vAlign w:val="center"/>
          </w:tcPr>
          <w:p w14:paraId="01B78D5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9B67FB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大气监测数据修复重建-重建数据标记及复核</w:t>
            </w:r>
          </w:p>
        </w:tc>
        <w:tc>
          <w:tcPr>
            <w:tcW w:w="3928" w:type="dxa"/>
            <w:tcBorders>
              <w:top w:val="nil"/>
              <w:left w:val="nil"/>
              <w:bottom w:val="single" w:color="auto" w:sz="4" w:space="0"/>
              <w:right w:val="single" w:color="auto" w:sz="4" w:space="0"/>
            </w:tcBorders>
            <w:vAlign w:val="center"/>
          </w:tcPr>
          <w:p w14:paraId="694EC7B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提供数据修补前后多维对比分析，支持人工复核。</w:t>
            </w:r>
          </w:p>
        </w:tc>
      </w:tr>
      <w:tr w14:paraId="566BF025">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5C586EC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71</w:t>
            </w:r>
          </w:p>
        </w:tc>
        <w:tc>
          <w:tcPr>
            <w:tcW w:w="2028" w:type="dxa"/>
            <w:vMerge w:val="continue"/>
            <w:tcBorders>
              <w:top w:val="nil"/>
              <w:left w:val="single" w:color="auto" w:sz="4" w:space="0"/>
              <w:bottom w:val="single" w:color="000000" w:sz="4" w:space="0"/>
              <w:right w:val="single" w:color="auto" w:sz="4" w:space="0"/>
            </w:tcBorders>
            <w:vAlign w:val="center"/>
          </w:tcPr>
          <w:p w14:paraId="479F161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D207BD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大气监测数据修复重建-可信度评估</w:t>
            </w:r>
          </w:p>
        </w:tc>
        <w:tc>
          <w:tcPr>
            <w:tcW w:w="3928" w:type="dxa"/>
            <w:tcBorders>
              <w:top w:val="nil"/>
              <w:left w:val="nil"/>
              <w:bottom w:val="single" w:color="auto" w:sz="4" w:space="0"/>
              <w:right w:val="single" w:color="auto" w:sz="4" w:space="0"/>
            </w:tcBorders>
            <w:vAlign w:val="center"/>
          </w:tcPr>
          <w:p w14:paraId="223B425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对重建可信度进行不确定性评估及误差分布统计，验证重建技术的可靠性。</w:t>
            </w:r>
          </w:p>
        </w:tc>
      </w:tr>
      <w:tr w14:paraId="1F2AFAD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5E8A9A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72</w:t>
            </w:r>
          </w:p>
        </w:tc>
        <w:tc>
          <w:tcPr>
            <w:tcW w:w="2028" w:type="dxa"/>
            <w:vMerge w:val="continue"/>
            <w:tcBorders>
              <w:top w:val="nil"/>
              <w:left w:val="single" w:color="auto" w:sz="4" w:space="0"/>
              <w:bottom w:val="single" w:color="000000" w:sz="4" w:space="0"/>
              <w:right w:val="single" w:color="auto" w:sz="4" w:space="0"/>
            </w:tcBorders>
            <w:vAlign w:val="center"/>
          </w:tcPr>
          <w:p w14:paraId="49C199A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3306CA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基于多源数据融合的快速异常检测技术构建-多源异构数据标准化引擎</w:t>
            </w:r>
          </w:p>
        </w:tc>
        <w:tc>
          <w:tcPr>
            <w:tcW w:w="3928" w:type="dxa"/>
            <w:tcBorders>
              <w:top w:val="nil"/>
              <w:left w:val="nil"/>
              <w:bottom w:val="single" w:color="auto" w:sz="4" w:space="0"/>
              <w:right w:val="single" w:color="auto" w:sz="4" w:space="0"/>
            </w:tcBorders>
            <w:vAlign w:val="center"/>
          </w:tcPr>
          <w:p w14:paraId="13C59D2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构建多源异常数据标准化引擎，实现各类数据与数智化审核模型的有效对接及质量控制。</w:t>
            </w:r>
          </w:p>
        </w:tc>
      </w:tr>
      <w:tr w14:paraId="2AF33A2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EE61F3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73</w:t>
            </w:r>
          </w:p>
        </w:tc>
        <w:tc>
          <w:tcPr>
            <w:tcW w:w="2028" w:type="dxa"/>
            <w:vMerge w:val="continue"/>
            <w:tcBorders>
              <w:top w:val="nil"/>
              <w:left w:val="single" w:color="auto" w:sz="4" w:space="0"/>
              <w:bottom w:val="single" w:color="000000" w:sz="4" w:space="0"/>
              <w:right w:val="single" w:color="auto" w:sz="4" w:space="0"/>
            </w:tcBorders>
            <w:vAlign w:val="center"/>
          </w:tcPr>
          <w:p w14:paraId="6D48464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8BD5F6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基于多源数据融合的快速异常检测技术构建-场景化数据融合</w:t>
            </w:r>
          </w:p>
        </w:tc>
        <w:tc>
          <w:tcPr>
            <w:tcW w:w="3928" w:type="dxa"/>
            <w:tcBorders>
              <w:top w:val="nil"/>
              <w:left w:val="nil"/>
              <w:bottom w:val="single" w:color="auto" w:sz="4" w:space="0"/>
              <w:right w:val="single" w:color="auto" w:sz="4" w:space="0"/>
            </w:tcBorders>
            <w:vAlign w:val="center"/>
          </w:tcPr>
          <w:p w14:paraId="64018FB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将网格化空气监测站、气象、企业排放、卫星遥感等多源数据接入数智化审核模型，针对不同场景数据采用多种模式进行联动分析，融合应用实现各类监测数据的快速异常检测。</w:t>
            </w:r>
          </w:p>
        </w:tc>
      </w:tr>
      <w:tr w14:paraId="22C11E0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00A6F0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74</w:t>
            </w:r>
          </w:p>
        </w:tc>
        <w:tc>
          <w:tcPr>
            <w:tcW w:w="2028" w:type="dxa"/>
            <w:vMerge w:val="continue"/>
            <w:tcBorders>
              <w:top w:val="nil"/>
              <w:left w:val="single" w:color="auto" w:sz="4" w:space="0"/>
              <w:bottom w:val="single" w:color="000000" w:sz="4" w:space="0"/>
              <w:right w:val="single" w:color="auto" w:sz="4" w:space="0"/>
            </w:tcBorders>
            <w:vAlign w:val="center"/>
          </w:tcPr>
          <w:p w14:paraId="3B52A50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C92DC6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基于多源数据融合的快速异常检测技术构建-污染源特征关联分析</w:t>
            </w:r>
          </w:p>
        </w:tc>
        <w:tc>
          <w:tcPr>
            <w:tcW w:w="3928" w:type="dxa"/>
            <w:tcBorders>
              <w:top w:val="nil"/>
              <w:left w:val="nil"/>
              <w:bottom w:val="single" w:color="auto" w:sz="4" w:space="0"/>
              <w:right w:val="single" w:color="auto" w:sz="4" w:space="0"/>
            </w:tcBorders>
            <w:vAlign w:val="center"/>
          </w:tcPr>
          <w:p w14:paraId="591F59B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分析企业排放与环境数据关系，基于源活动预判数据合理范围，识别异常</w:t>
            </w:r>
          </w:p>
        </w:tc>
      </w:tr>
      <w:tr w14:paraId="407FFC5A">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5AA42B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75</w:t>
            </w:r>
          </w:p>
        </w:tc>
        <w:tc>
          <w:tcPr>
            <w:tcW w:w="2028" w:type="dxa"/>
            <w:vMerge w:val="restart"/>
            <w:tcBorders>
              <w:top w:val="nil"/>
              <w:left w:val="single" w:color="auto" w:sz="4" w:space="0"/>
              <w:bottom w:val="single" w:color="000000" w:sz="4" w:space="0"/>
              <w:right w:val="single" w:color="auto" w:sz="4" w:space="0"/>
            </w:tcBorders>
            <w:vAlign w:val="center"/>
          </w:tcPr>
          <w:p w14:paraId="4FCD711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环境监测分析智脑</w:t>
            </w:r>
          </w:p>
        </w:tc>
        <w:tc>
          <w:tcPr>
            <w:tcW w:w="1642" w:type="dxa"/>
            <w:tcBorders>
              <w:top w:val="nil"/>
              <w:left w:val="nil"/>
              <w:bottom w:val="single" w:color="auto" w:sz="4" w:space="0"/>
              <w:right w:val="single" w:color="auto" w:sz="4" w:space="0"/>
            </w:tcBorders>
            <w:vAlign w:val="center"/>
          </w:tcPr>
          <w:p w14:paraId="1777812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生态环境监测专题库-环境监测信息资源分类管理-环境监测信息资源目录管理</w:t>
            </w:r>
          </w:p>
        </w:tc>
        <w:tc>
          <w:tcPr>
            <w:tcW w:w="3928" w:type="dxa"/>
            <w:tcBorders>
              <w:top w:val="nil"/>
              <w:left w:val="nil"/>
              <w:bottom w:val="single" w:color="auto" w:sz="4" w:space="0"/>
              <w:right w:val="single" w:color="auto" w:sz="4" w:space="0"/>
            </w:tcBorders>
            <w:vAlign w:val="center"/>
          </w:tcPr>
          <w:p w14:paraId="5EA379A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根据生态环境监测信息资源架构，创建分级分类的生态环境信息资源目录，并提供对资源目录进行关键字检索、分类切换、新增、编辑和删除等管理功能。</w:t>
            </w:r>
          </w:p>
        </w:tc>
      </w:tr>
      <w:tr w14:paraId="33D06326">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900D10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76</w:t>
            </w:r>
          </w:p>
        </w:tc>
        <w:tc>
          <w:tcPr>
            <w:tcW w:w="2028" w:type="dxa"/>
            <w:vMerge w:val="continue"/>
            <w:tcBorders>
              <w:top w:val="nil"/>
              <w:left w:val="single" w:color="auto" w:sz="4" w:space="0"/>
              <w:bottom w:val="single" w:color="000000" w:sz="4" w:space="0"/>
              <w:right w:val="single" w:color="auto" w:sz="4" w:space="0"/>
            </w:tcBorders>
            <w:vAlign w:val="center"/>
          </w:tcPr>
          <w:p w14:paraId="7F5ED1B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39FC50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生态环境监测专题库-环境监测信息资源分类管理-环境监测信息资源编目管理</w:t>
            </w:r>
          </w:p>
        </w:tc>
        <w:tc>
          <w:tcPr>
            <w:tcW w:w="3928" w:type="dxa"/>
            <w:tcBorders>
              <w:top w:val="nil"/>
              <w:left w:val="nil"/>
              <w:bottom w:val="single" w:color="auto" w:sz="4" w:space="0"/>
              <w:right w:val="single" w:color="auto" w:sz="4" w:space="0"/>
            </w:tcBorders>
            <w:vAlign w:val="center"/>
          </w:tcPr>
          <w:p w14:paraId="535660E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在已创建的信息资源目录体系下，实现各级别目录下信息资源的增加、修改、删除等编目操作功能</w:t>
            </w:r>
          </w:p>
        </w:tc>
      </w:tr>
      <w:tr w14:paraId="3A436563">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C786B7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77</w:t>
            </w:r>
          </w:p>
        </w:tc>
        <w:tc>
          <w:tcPr>
            <w:tcW w:w="2028" w:type="dxa"/>
            <w:vMerge w:val="continue"/>
            <w:tcBorders>
              <w:top w:val="nil"/>
              <w:left w:val="single" w:color="auto" w:sz="4" w:space="0"/>
              <w:bottom w:val="single" w:color="000000" w:sz="4" w:space="0"/>
              <w:right w:val="single" w:color="auto" w:sz="4" w:space="0"/>
            </w:tcBorders>
            <w:vAlign w:val="center"/>
          </w:tcPr>
          <w:p w14:paraId="12C08D9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004213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生态环境监测专题库-环境监测信息资源分类管理-环境监测信息资源分类编码配置</w:t>
            </w:r>
          </w:p>
        </w:tc>
        <w:tc>
          <w:tcPr>
            <w:tcW w:w="3928" w:type="dxa"/>
            <w:tcBorders>
              <w:top w:val="nil"/>
              <w:left w:val="nil"/>
              <w:bottom w:val="single" w:color="auto" w:sz="4" w:space="0"/>
              <w:right w:val="single" w:color="auto" w:sz="4" w:space="0"/>
            </w:tcBorders>
            <w:vAlign w:val="center"/>
          </w:tcPr>
          <w:p w14:paraId="397AE22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从信息资源规划对信息分类的标识角度，对信息资源进行分类编码，包括编码的自动或手动配置、修改和删除。</w:t>
            </w:r>
          </w:p>
        </w:tc>
      </w:tr>
      <w:tr w14:paraId="3A4CEBAE">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6955F8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78</w:t>
            </w:r>
          </w:p>
        </w:tc>
        <w:tc>
          <w:tcPr>
            <w:tcW w:w="2028" w:type="dxa"/>
            <w:vMerge w:val="continue"/>
            <w:tcBorders>
              <w:top w:val="nil"/>
              <w:left w:val="single" w:color="auto" w:sz="4" w:space="0"/>
              <w:bottom w:val="single" w:color="000000" w:sz="4" w:space="0"/>
              <w:right w:val="single" w:color="auto" w:sz="4" w:space="0"/>
            </w:tcBorders>
            <w:vAlign w:val="center"/>
          </w:tcPr>
          <w:p w14:paraId="6B7EB2B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69A9C7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生态环境监测专题库-环境监测信息资源分类管理-环境监测数据资产类目管理</w:t>
            </w:r>
          </w:p>
        </w:tc>
        <w:tc>
          <w:tcPr>
            <w:tcW w:w="3928" w:type="dxa"/>
            <w:tcBorders>
              <w:top w:val="nil"/>
              <w:left w:val="nil"/>
              <w:bottom w:val="single" w:color="auto" w:sz="4" w:space="0"/>
              <w:right w:val="single" w:color="auto" w:sz="4" w:space="0"/>
            </w:tcBorders>
            <w:vAlign w:val="center"/>
          </w:tcPr>
          <w:p w14:paraId="2471BC2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建立不同数据资产类目标签和视图样式，包括数据表类目、文件夹类目、数据指标类目、数据标签类目，并实现对类目进行增删改查、发布（批量发布）、下架（批量下架）。</w:t>
            </w:r>
          </w:p>
        </w:tc>
      </w:tr>
      <w:tr w14:paraId="5EB09816">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3FA4A2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79</w:t>
            </w:r>
          </w:p>
        </w:tc>
        <w:tc>
          <w:tcPr>
            <w:tcW w:w="2028" w:type="dxa"/>
            <w:vMerge w:val="continue"/>
            <w:tcBorders>
              <w:top w:val="nil"/>
              <w:left w:val="single" w:color="auto" w:sz="4" w:space="0"/>
              <w:bottom w:val="single" w:color="000000" w:sz="4" w:space="0"/>
              <w:right w:val="single" w:color="auto" w:sz="4" w:space="0"/>
            </w:tcBorders>
            <w:vAlign w:val="center"/>
          </w:tcPr>
          <w:p w14:paraId="23FC83A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95284D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生态环境监测专题库-环境监测数据字典管理-数据字典元数据库逻辑模型构建</w:t>
            </w:r>
          </w:p>
        </w:tc>
        <w:tc>
          <w:tcPr>
            <w:tcW w:w="3928" w:type="dxa"/>
            <w:tcBorders>
              <w:top w:val="nil"/>
              <w:left w:val="nil"/>
              <w:bottom w:val="single" w:color="auto" w:sz="4" w:space="0"/>
              <w:right w:val="single" w:color="auto" w:sz="4" w:space="0"/>
            </w:tcBorders>
            <w:vAlign w:val="center"/>
          </w:tcPr>
          <w:p w14:paraId="5DBE0AC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建立包括信息系统、服务器、数据源、数据库、数据表、字段、表关系、关联字段表、数量单位分类、数量单位表、域定义、域值、元数据类型、类型值、元数据项备注等描述结构化数据的元数据对象的属性表</w:t>
            </w:r>
          </w:p>
        </w:tc>
      </w:tr>
      <w:tr w14:paraId="5F581702">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7C7606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80</w:t>
            </w:r>
          </w:p>
        </w:tc>
        <w:tc>
          <w:tcPr>
            <w:tcW w:w="2028" w:type="dxa"/>
            <w:vMerge w:val="continue"/>
            <w:tcBorders>
              <w:top w:val="nil"/>
              <w:left w:val="single" w:color="auto" w:sz="4" w:space="0"/>
              <w:bottom w:val="single" w:color="000000" w:sz="4" w:space="0"/>
              <w:right w:val="single" w:color="auto" w:sz="4" w:space="0"/>
            </w:tcBorders>
            <w:vAlign w:val="center"/>
          </w:tcPr>
          <w:p w14:paraId="76C941A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1E88A6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生态环境监测专题库-环境监测数据字典管理-数据字典元数据存储</w:t>
            </w:r>
          </w:p>
        </w:tc>
        <w:tc>
          <w:tcPr>
            <w:tcW w:w="3928" w:type="dxa"/>
            <w:tcBorders>
              <w:top w:val="nil"/>
              <w:left w:val="nil"/>
              <w:bottom w:val="single" w:color="auto" w:sz="4" w:space="0"/>
              <w:right w:val="single" w:color="auto" w:sz="4" w:space="0"/>
            </w:tcBorders>
            <w:vAlign w:val="center"/>
          </w:tcPr>
          <w:p w14:paraId="71121FB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对每类数据库对象描述信息分别用单独的表进行存储，并根据根据数据库对象之间的构成关系建立各数据表之间的关联，形成数据字典视图。</w:t>
            </w:r>
          </w:p>
        </w:tc>
      </w:tr>
      <w:tr w14:paraId="6A9F149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1778C0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81</w:t>
            </w:r>
          </w:p>
        </w:tc>
        <w:tc>
          <w:tcPr>
            <w:tcW w:w="2028" w:type="dxa"/>
            <w:vMerge w:val="continue"/>
            <w:tcBorders>
              <w:top w:val="nil"/>
              <w:left w:val="single" w:color="auto" w:sz="4" w:space="0"/>
              <w:bottom w:val="single" w:color="000000" w:sz="4" w:space="0"/>
              <w:right w:val="single" w:color="auto" w:sz="4" w:space="0"/>
            </w:tcBorders>
            <w:vAlign w:val="center"/>
          </w:tcPr>
          <w:p w14:paraId="7244D73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6023D6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生态环境监测专题库-环境监测数据字典管理-数据字典元数据的访问</w:t>
            </w:r>
          </w:p>
        </w:tc>
        <w:tc>
          <w:tcPr>
            <w:tcW w:w="3928" w:type="dxa"/>
            <w:tcBorders>
              <w:top w:val="nil"/>
              <w:left w:val="nil"/>
              <w:bottom w:val="single" w:color="auto" w:sz="4" w:space="0"/>
              <w:right w:val="single" w:color="auto" w:sz="4" w:space="0"/>
            </w:tcBorders>
            <w:vAlign w:val="center"/>
          </w:tcPr>
          <w:p w14:paraId="2EFAE7E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提供用户在对数据库中的数据进行操作时遇到困难对数据的数据项、数据结构、数据流、数据存储、处理逻辑等信息进行查看</w:t>
            </w:r>
          </w:p>
        </w:tc>
      </w:tr>
      <w:tr w14:paraId="6537171E">
        <w:tblPrEx>
          <w:tblCellMar>
            <w:top w:w="0" w:type="dxa"/>
            <w:left w:w="108" w:type="dxa"/>
            <w:bottom w:w="0" w:type="dxa"/>
            <w:right w:w="108" w:type="dxa"/>
          </w:tblCellMar>
        </w:tblPrEx>
        <w:trPr>
          <w:trHeight w:val="1028" w:hRule="atLeast"/>
        </w:trPr>
        <w:tc>
          <w:tcPr>
            <w:tcW w:w="704" w:type="dxa"/>
            <w:tcBorders>
              <w:top w:val="nil"/>
              <w:left w:val="single" w:color="auto" w:sz="4" w:space="0"/>
              <w:bottom w:val="single" w:color="auto" w:sz="4" w:space="0"/>
              <w:right w:val="single" w:color="auto" w:sz="4" w:space="0"/>
            </w:tcBorders>
            <w:noWrap/>
            <w:vAlign w:val="center"/>
          </w:tcPr>
          <w:p w14:paraId="73E6650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82</w:t>
            </w:r>
          </w:p>
        </w:tc>
        <w:tc>
          <w:tcPr>
            <w:tcW w:w="2028" w:type="dxa"/>
            <w:vMerge w:val="continue"/>
            <w:tcBorders>
              <w:top w:val="nil"/>
              <w:left w:val="single" w:color="auto" w:sz="4" w:space="0"/>
              <w:bottom w:val="single" w:color="000000" w:sz="4" w:space="0"/>
              <w:right w:val="single" w:color="auto" w:sz="4" w:space="0"/>
            </w:tcBorders>
            <w:vAlign w:val="center"/>
          </w:tcPr>
          <w:p w14:paraId="68BEE53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E6CF60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生态环境监测专题库-环境监测专题库建设-大气环境质量专题</w:t>
            </w:r>
          </w:p>
        </w:tc>
        <w:tc>
          <w:tcPr>
            <w:tcW w:w="3928" w:type="dxa"/>
            <w:tcBorders>
              <w:top w:val="nil"/>
              <w:left w:val="nil"/>
              <w:bottom w:val="single" w:color="auto" w:sz="4" w:space="0"/>
              <w:right w:val="single" w:color="auto" w:sz="4" w:space="0"/>
            </w:tcBorders>
            <w:vAlign w:val="center"/>
          </w:tcPr>
          <w:p w14:paraId="352846F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整合国控/市控空气质量自动监测站数据（PM2.5、PM10、SO</w:t>
            </w:r>
            <w:r>
              <w:rPr>
                <w:rFonts w:ascii="Cambria Math" w:hAnsi="Cambria Math" w:eastAsia="等线" w:cs="Cambria Math"/>
                <w:bCs w:val="0"/>
                <w:color w:val="000000"/>
                <w:kern w:val="0"/>
                <w:sz w:val="20"/>
                <w:szCs w:val="20"/>
              </w:rPr>
              <w:t>₂</w:t>
            </w:r>
            <w:r>
              <w:rPr>
                <w:rFonts w:hint="eastAsia" w:cs="宋体"/>
                <w:bCs w:val="0"/>
                <w:color w:val="000000"/>
                <w:kern w:val="0"/>
                <w:sz w:val="20"/>
                <w:szCs w:val="20"/>
              </w:rPr>
              <w:t>等）、气象数据（风速、风向等），纳入背景空气质量、交通环境空气质量、大气颗粒物组分网、降尘、酸雨、大气遥感监测数据，关联区域大气污染源排放清单数据（工业源、机动车源等），为空气质量管控提供全链条数据支撑。</w:t>
            </w:r>
          </w:p>
        </w:tc>
      </w:tr>
      <w:tr w14:paraId="24A930AA">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0D7ECC3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83</w:t>
            </w:r>
          </w:p>
        </w:tc>
        <w:tc>
          <w:tcPr>
            <w:tcW w:w="2028" w:type="dxa"/>
            <w:vMerge w:val="continue"/>
            <w:tcBorders>
              <w:top w:val="nil"/>
              <w:left w:val="single" w:color="auto" w:sz="4" w:space="0"/>
              <w:bottom w:val="single" w:color="000000" w:sz="4" w:space="0"/>
              <w:right w:val="single" w:color="auto" w:sz="4" w:space="0"/>
            </w:tcBorders>
            <w:vAlign w:val="center"/>
          </w:tcPr>
          <w:p w14:paraId="546E210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FF6778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生态环境监测专题库-环境监测专题库建设-地表水环境质量专题</w:t>
            </w:r>
          </w:p>
        </w:tc>
        <w:tc>
          <w:tcPr>
            <w:tcW w:w="3928" w:type="dxa"/>
            <w:tcBorders>
              <w:top w:val="nil"/>
              <w:left w:val="nil"/>
              <w:bottom w:val="single" w:color="auto" w:sz="4" w:space="0"/>
              <w:right w:val="single" w:color="auto" w:sz="4" w:space="0"/>
            </w:tcBorders>
            <w:vAlign w:val="center"/>
          </w:tcPr>
          <w:p w14:paraId="4D53D89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整合流域国控/市控断面监测数据、自动监测数据（pH、COD等）、排污口数据、水文数据、气象数据，纳入流域水生态（水生生物、底栖生物等）、固定污染源（流域内排污单位）数据，入河排污口包含城镇污水处理、雨水排口、农村生活污染排放等数据，支撑流域综合治理与生态保护。</w:t>
            </w:r>
          </w:p>
        </w:tc>
      </w:tr>
      <w:tr w14:paraId="69557F6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9BC9D6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84</w:t>
            </w:r>
          </w:p>
        </w:tc>
        <w:tc>
          <w:tcPr>
            <w:tcW w:w="2028" w:type="dxa"/>
            <w:vMerge w:val="continue"/>
            <w:tcBorders>
              <w:top w:val="nil"/>
              <w:left w:val="single" w:color="auto" w:sz="4" w:space="0"/>
              <w:bottom w:val="single" w:color="000000" w:sz="4" w:space="0"/>
              <w:right w:val="single" w:color="auto" w:sz="4" w:space="0"/>
            </w:tcBorders>
            <w:vAlign w:val="center"/>
          </w:tcPr>
          <w:p w14:paraId="23EE983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35220C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生态环境监测专题库-环境监测专题库建设-海洋生态环境质量专题</w:t>
            </w:r>
          </w:p>
        </w:tc>
        <w:tc>
          <w:tcPr>
            <w:tcW w:w="3928" w:type="dxa"/>
            <w:tcBorders>
              <w:top w:val="nil"/>
              <w:left w:val="nil"/>
              <w:bottom w:val="single" w:color="auto" w:sz="4" w:space="0"/>
              <w:right w:val="single" w:color="auto" w:sz="4" w:space="0"/>
            </w:tcBorders>
            <w:vAlign w:val="center"/>
          </w:tcPr>
          <w:p w14:paraId="50BFCE2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整合海洋生态环境质量（海水水质、海洋沉积物、海洋生态、滨海湿地等）、主要河流污染物入海、陆源入海等监测数据，关联区域大气污染源排放清单（沿海工业源、船舶源），支撑海洋生态保护与治理。</w:t>
            </w:r>
          </w:p>
        </w:tc>
      </w:tr>
      <w:tr w14:paraId="3EDE53ED">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0061B5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85</w:t>
            </w:r>
          </w:p>
        </w:tc>
        <w:tc>
          <w:tcPr>
            <w:tcW w:w="2028" w:type="dxa"/>
            <w:vMerge w:val="continue"/>
            <w:tcBorders>
              <w:top w:val="nil"/>
              <w:left w:val="single" w:color="auto" w:sz="4" w:space="0"/>
              <w:bottom w:val="single" w:color="000000" w:sz="4" w:space="0"/>
              <w:right w:val="single" w:color="auto" w:sz="4" w:space="0"/>
            </w:tcBorders>
            <w:vAlign w:val="center"/>
          </w:tcPr>
          <w:p w14:paraId="5554A36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B0DF12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生态环境监测专题库-环境监测专题库建设-土壤和地下水环境质量专题</w:t>
            </w:r>
          </w:p>
        </w:tc>
        <w:tc>
          <w:tcPr>
            <w:tcW w:w="3928" w:type="dxa"/>
            <w:tcBorders>
              <w:top w:val="nil"/>
              <w:left w:val="nil"/>
              <w:bottom w:val="single" w:color="auto" w:sz="4" w:space="0"/>
              <w:right w:val="single" w:color="auto" w:sz="4" w:space="0"/>
            </w:tcBorders>
            <w:vAlign w:val="center"/>
          </w:tcPr>
          <w:p w14:paraId="50EA12C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整合土壤及地下水环境质量监测数据（理化、重金属、有机物等），重点监管单位周边监测结果等，关联农用地种植结构数据、施肥/农药使用数据，以及企业及园区基本情况及自行监测数据等，支撑土壤及地下水监管。</w:t>
            </w:r>
          </w:p>
        </w:tc>
      </w:tr>
      <w:tr w14:paraId="7973D7B7">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2466E7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86</w:t>
            </w:r>
          </w:p>
        </w:tc>
        <w:tc>
          <w:tcPr>
            <w:tcW w:w="2028" w:type="dxa"/>
            <w:vMerge w:val="continue"/>
            <w:tcBorders>
              <w:top w:val="nil"/>
              <w:left w:val="single" w:color="auto" w:sz="4" w:space="0"/>
              <w:bottom w:val="single" w:color="000000" w:sz="4" w:space="0"/>
              <w:right w:val="single" w:color="auto" w:sz="4" w:space="0"/>
            </w:tcBorders>
            <w:vAlign w:val="center"/>
          </w:tcPr>
          <w:p w14:paraId="130863A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3E4064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生态环境监测专题库-环境监测专题库建设-声环境质量专题</w:t>
            </w:r>
          </w:p>
        </w:tc>
        <w:tc>
          <w:tcPr>
            <w:tcW w:w="3928" w:type="dxa"/>
            <w:tcBorders>
              <w:top w:val="nil"/>
              <w:left w:val="nil"/>
              <w:bottom w:val="single" w:color="auto" w:sz="4" w:space="0"/>
              <w:right w:val="single" w:color="auto" w:sz="4" w:space="0"/>
            </w:tcBorders>
            <w:vAlign w:val="center"/>
          </w:tcPr>
          <w:p w14:paraId="1DD1173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整合声环境质量监测数据（道路交通、功能区、区域环境、振动），关联城市规划数据、固定污染源噪声监测数据、交通流量数据，支撑噪声污染管控与声环境功能区优化。</w:t>
            </w:r>
          </w:p>
        </w:tc>
      </w:tr>
      <w:tr w14:paraId="329DE321">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C277FA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87</w:t>
            </w:r>
          </w:p>
        </w:tc>
        <w:tc>
          <w:tcPr>
            <w:tcW w:w="2028" w:type="dxa"/>
            <w:vMerge w:val="continue"/>
            <w:tcBorders>
              <w:top w:val="nil"/>
              <w:left w:val="single" w:color="auto" w:sz="4" w:space="0"/>
              <w:bottom w:val="single" w:color="000000" w:sz="4" w:space="0"/>
              <w:right w:val="single" w:color="auto" w:sz="4" w:space="0"/>
            </w:tcBorders>
            <w:vAlign w:val="center"/>
          </w:tcPr>
          <w:p w14:paraId="4259841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F2D060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生态环境监测专题库-环境监测专题库建设-农村环境质量监测专题库</w:t>
            </w:r>
          </w:p>
        </w:tc>
        <w:tc>
          <w:tcPr>
            <w:tcW w:w="3928" w:type="dxa"/>
            <w:tcBorders>
              <w:top w:val="nil"/>
              <w:left w:val="nil"/>
              <w:bottom w:val="single" w:color="auto" w:sz="4" w:space="0"/>
              <w:right w:val="single" w:color="auto" w:sz="4" w:space="0"/>
            </w:tcBorders>
            <w:vAlign w:val="center"/>
          </w:tcPr>
          <w:p w14:paraId="7D4DF43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整合农村环境质量监测数据（土壤、环境空气，水质等），收集农村生活污水处理设施自行监测、监督性监测数据，农田灌溉水、养殖尾水等监测结果，汇集农业面源污染监测数据，关联气象降水、种植结构、施肥/农药使用等数据，支撑农村生态环境跟踪评估。</w:t>
            </w:r>
          </w:p>
        </w:tc>
      </w:tr>
      <w:tr w14:paraId="46EBE424">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E1F2F0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88</w:t>
            </w:r>
          </w:p>
        </w:tc>
        <w:tc>
          <w:tcPr>
            <w:tcW w:w="2028" w:type="dxa"/>
            <w:vMerge w:val="continue"/>
            <w:tcBorders>
              <w:top w:val="nil"/>
              <w:left w:val="single" w:color="auto" w:sz="4" w:space="0"/>
              <w:bottom w:val="single" w:color="000000" w:sz="4" w:space="0"/>
              <w:right w:val="single" w:color="auto" w:sz="4" w:space="0"/>
            </w:tcBorders>
            <w:vAlign w:val="center"/>
          </w:tcPr>
          <w:p w14:paraId="3D5CB2D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845565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生态环境监测专题库-环境监测专题库建设-生物多样性监测专题</w:t>
            </w:r>
          </w:p>
        </w:tc>
        <w:tc>
          <w:tcPr>
            <w:tcW w:w="3928" w:type="dxa"/>
            <w:tcBorders>
              <w:top w:val="nil"/>
              <w:left w:val="nil"/>
              <w:bottom w:val="single" w:color="auto" w:sz="4" w:space="0"/>
              <w:right w:val="single" w:color="auto" w:sz="4" w:space="0"/>
            </w:tcBorders>
            <w:vAlign w:val="center"/>
          </w:tcPr>
          <w:p w14:paraId="070E33F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整合生物多样性监测数据（植物、动物、微生物等），关联各环境领域监测数据、人类活动数据,支撑区域生物多样性丰富度与完整性评估，支撑生物多样性保护与生态系统稳定维护。</w:t>
            </w:r>
          </w:p>
        </w:tc>
      </w:tr>
      <w:tr w14:paraId="50A05287">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29C246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89</w:t>
            </w:r>
          </w:p>
        </w:tc>
        <w:tc>
          <w:tcPr>
            <w:tcW w:w="2028" w:type="dxa"/>
            <w:vMerge w:val="continue"/>
            <w:tcBorders>
              <w:top w:val="nil"/>
              <w:left w:val="single" w:color="auto" w:sz="4" w:space="0"/>
              <w:bottom w:val="single" w:color="000000" w:sz="4" w:space="0"/>
              <w:right w:val="single" w:color="auto" w:sz="4" w:space="0"/>
            </w:tcBorders>
            <w:vAlign w:val="center"/>
          </w:tcPr>
          <w:p w14:paraId="1B2C54E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EC246E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生态环境监测专题库-环境监测专题库建设-工业污染源监测专题</w:t>
            </w:r>
          </w:p>
        </w:tc>
        <w:tc>
          <w:tcPr>
            <w:tcW w:w="3928" w:type="dxa"/>
            <w:tcBorders>
              <w:top w:val="nil"/>
              <w:left w:val="nil"/>
              <w:bottom w:val="single" w:color="auto" w:sz="4" w:space="0"/>
              <w:right w:val="single" w:color="auto" w:sz="4" w:space="0"/>
            </w:tcBorders>
            <w:vAlign w:val="center"/>
          </w:tcPr>
          <w:p w14:paraId="4E27316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整合工业企业在线监测数据、企业自行监测数据、执法监测数，整合监测检查记录、环境行政处罚记录、周边环境质量数据、企业生产工况数据（生产负荷、能耗等）等，精准掌握工业企业排污状况，支撑工业源污染管控效率提升。</w:t>
            </w:r>
          </w:p>
        </w:tc>
      </w:tr>
      <w:tr w14:paraId="75F53431">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18AF1C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90</w:t>
            </w:r>
          </w:p>
        </w:tc>
        <w:tc>
          <w:tcPr>
            <w:tcW w:w="2028" w:type="dxa"/>
            <w:vMerge w:val="continue"/>
            <w:tcBorders>
              <w:top w:val="nil"/>
              <w:left w:val="single" w:color="auto" w:sz="4" w:space="0"/>
              <w:bottom w:val="single" w:color="000000" w:sz="4" w:space="0"/>
              <w:right w:val="single" w:color="auto" w:sz="4" w:space="0"/>
            </w:tcBorders>
            <w:vAlign w:val="center"/>
          </w:tcPr>
          <w:p w14:paraId="3A69B52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458A2C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生态环境监测专题库-环境监测专题库建设-突发污染事件应急监测专题</w:t>
            </w:r>
          </w:p>
        </w:tc>
        <w:tc>
          <w:tcPr>
            <w:tcW w:w="3928" w:type="dxa"/>
            <w:tcBorders>
              <w:top w:val="nil"/>
              <w:left w:val="nil"/>
              <w:bottom w:val="single" w:color="auto" w:sz="4" w:space="0"/>
              <w:right w:val="single" w:color="auto" w:sz="4" w:space="0"/>
            </w:tcBorders>
            <w:vAlign w:val="center"/>
          </w:tcPr>
          <w:p w14:paraId="5769191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收集事件现场应急监测数据、事件源数据、周边环境数据、应急处置数据，整合应急监测类数据（预案、演练、复盘、案例等），纳入事发区域基础监测数据（大气/水/土壤等），关联气象/水文实时数据，支撑突发污染事件响应与处置效率提升。</w:t>
            </w:r>
          </w:p>
        </w:tc>
      </w:tr>
      <w:tr w14:paraId="356F413D">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AE020A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91</w:t>
            </w:r>
          </w:p>
        </w:tc>
        <w:tc>
          <w:tcPr>
            <w:tcW w:w="2028" w:type="dxa"/>
            <w:vMerge w:val="continue"/>
            <w:tcBorders>
              <w:top w:val="nil"/>
              <w:left w:val="single" w:color="auto" w:sz="4" w:space="0"/>
              <w:bottom w:val="single" w:color="000000" w:sz="4" w:space="0"/>
              <w:right w:val="single" w:color="auto" w:sz="4" w:space="0"/>
            </w:tcBorders>
            <w:vAlign w:val="center"/>
          </w:tcPr>
          <w:p w14:paraId="6351936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B902C4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环境监测知识图谱-大气污染排放总量知识图谱-加油站污染排放实体</w:t>
            </w:r>
          </w:p>
        </w:tc>
        <w:tc>
          <w:tcPr>
            <w:tcW w:w="3928" w:type="dxa"/>
            <w:tcBorders>
              <w:top w:val="nil"/>
              <w:left w:val="nil"/>
              <w:bottom w:val="single" w:color="auto" w:sz="4" w:space="0"/>
              <w:right w:val="single" w:color="auto" w:sz="4" w:space="0"/>
            </w:tcBorders>
            <w:vAlign w:val="center"/>
          </w:tcPr>
          <w:p w14:paraId="7500A96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污染物类型（如挥发性有机物、氮氧化物）、站点基础信息（名称、地址、所属企业等），定义排放、监测关系。点击实体可展示文本、表格等信息，支持关联实体跳转，完整呈现加油站污染相关知识链，助力快速掌握污染来源与监测情况。</w:t>
            </w:r>
          </w:p>
        </w:tc>
      </w:tr>
      <w:tr w14:paraId="0F5E7B3D">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82687D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92</w:t>
            </w:r>
          </w:p>
        </w:tc>
        <w:tc>
          <w:tcPr>
            <w:tcW w:w="2028" w:type="dxa"/>
            <w:vMerge w:val="continue"/>
            <w:tcBorders>
              <w:top w:val="nil"/>
              <w:left w:val="single" w:color="auto" w:sz="4" w:space="0"/>
              <w:bottom w:val="single" w:color="000000" w:sz="4" w:space="0"/>
              <w:right w:val="single" w:color="auto" w:sz="4" w:space="0"/>
            </w:tcBorders>
            <w:vAlign w:val="center"/>
          </w:tcPr>
          <w:p w14:paraId="493541C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B295BD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环境监测知识图谱-大气污染排放总量知识图谱-船舶污染排放实体</w:t>
            </w:r>
          </w:p>
        </w:tc>
        <w:tc>
          <w:tcPr>
            <w:tcW w:w="3928" w:type="dxa"/>
            <w:tcBorders>
              <w:top w:val="nil"/>
              <w:left w:val="nil"/>
              <w:bottom w:val="single" w:color="auto" w:sz="4" w:space="0"/>
              <w:right w:val="single" w:color="auto" w:sz="4" w:space="0"/>
            </w:tcBorders>
            <w:vAlign w:val="center"/>
          </w:tcPr>
          <w:p w14:paraId="1CB60EB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涵盖船舶基础信息（船名、吨位、主机型号等）、排放数据（不同航行状态污染物排放量），定义排放、区域监测关系。点击可展示运营资质、航行排放数据，支持按区域和日期筛选数据，精准定位特定时空船舶污染情况。</w:t>
            </w:r>
          </w:p>
        </w:tc>
      </w:tr>
      <w:tr w14:paraId="223389F9">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6AA8BF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93</w:t>
            </w:r>
          </w:p>
        </w:tc>
        <w:tc>
          <w:tcPr>
            <w:tcW w:w="2028" w:type="dxa"/>
            <w:vMerge w:val="continue"/>
            <w:tcBorders>
              <w:top w:val="nil"/>
              <w:left w:val="single" w:color="auto" w:sz="4" w:space="0"/>
              <w:bottom w:val="single" w:color="000000" w:sz="4" w:space="0"/>
              <w:right w:val="single" w:color="auto" w:sz="4" w:space="0"/>
            </w:tcBorders>
            <w:vAlign w:val="center"/>
          </w:tcPr>
          <w:p w14:paraId="47C803B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F42F81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环境监测知识图谱-大气污染排放总量知识图谱-移动源污染排放实体</w:t>
            </w:r>
          </w:p>
        </w:tc>
        <w:tc>
          <w:tcPr>
            <w:tcW w:w="3928" w:type="dxa"/>
            <w:tcBorders>
              <w:top w:val="nil"/>
              <w:left w:val="nil"/>
              <w:bottom w:val="single" w:color="auto" w:sz="4" w:space="0"/>
              <w:right w:val="single" w:color="auto" w:sz="4" w:space="0"/>
            </w:tcBorders>
            <w:vAlign w:val="center"/>
          </w:tcPr>
          <w:p w14:paraId="2734732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包含机动车类型（轿车、货车等）、排放总量（不同区域时段污染物排放量），定义排放、归因关系。点击监测区域可展示污染特征，支持趋势预测，为移动源污染防控决策提供数据支撑，辅助制定限行等措施。</w:t>
            </w:r>
          </w:p>
        </w:tc>
      </w:tr>
      <w:tr w14:paraId="1F899006">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E40DC4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94</w:t>
            </w:r>
          </w:p>
        </w:tc>
        <w:tc>
          <w:tcPr>
            <w:tcW w:w="2028" w:type="dxa"/>
            <w:vMerge w:val="continue"/>
            <w:tcBorders>
              <w:top w:val="nil"/>
              <w:left w:val="single" w:color="auto" w:sz="4" w:space="0"/>
              <w:bottom w:val="single" w:color="000000" w:sz="4" w:space="0"/>
              <w:right w:val="single" w:color="auto" w:sz="4" w:space="0"/>
            </w:tcBorders>
            <w:vAlign w:val="center"/>
          </w:tcPr>
          <w:p w14:paraId="094EE92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3527B5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环境监测知识图谱-大气污染排放总量知识图谱-工业源污染排放实体</w:t>
            </w:r>
          </w:p>
        </w:tc>
        <w:tc>
          <w:tcPr>
            <w:tcW w:w="3928" w:type="dxa"/>
            <w:tcBorders>
              <w:top w:val="nil"/>
              <w:left w:val="nil"/>
              <w:bottom w:val="single" w:color="auto" w:sz="4" w:space="0"/>
              <w:right w:val="single" w:color="auto" w:sz="4" w:space="0"/>
            </w:tcBorders>
            <w:vAlign w:val="center"/>
          </w:tcPr>
          <w:p w14:paraId="7E51B49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涵盖企业信息（名称、地址、联系方式）、行业分类（钢铁、化工等），定义排放、层级关系。点击企业可展示生产工艺、排放数据，支持行业排放对比，呈现工业污染全链条信息，便于行业污染管控。</w:t>
            </w:r>
          </w:p>
        </w:tc>
      </w:tr>
      <w:tr w14:paraId="71B8438C">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B66EC3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95</w:t>
            </w:r>
          </w:p>
        </w:tc>
        <w:tc>
          <w:tcPr>
            <w:tcW w:w="2028" w:type="dxa"/>
            <w:vMerge w:val="continue"/>
            <w:tcBorders>
              <w:top w:val="nil"/>
              <w:left w:val="single" w:color="auto" w:sz="4" w:space="0"/>
              <w:bottom w:val="single" w:color="000000" w:sz="4" w:space="0"/>
              <w:right w:val="single" w:color="auto" w:sz="4" w:space="0"/>
            </w:tcBorders>
            <w:vAlign w:val="center"/>
          </w:tcPr>
          <w:p w14:paraId="36805F4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5D51A0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环境监测知识图谱-大气污染排放总量知识图谱-扬尘源污染排放实体</w:t>
            </w:r>
          </w:p>
        </w:tc>
        <w:tc>
          <w:tcPr>
            <w:tcW w:w="3928" w:type="dxa"/>
            <w:tcBorders>
              <w:top w:val="nil"/>
              <w:left w:val="nil"/>
              <w:bottom w:val="single" w:color="auto" w:sz="4" w:space="0"/>
              <w:right w:val="single" w:color="auto" w:sz="4" w:space="0"/>
            </w:tcBorders>
            <w:vAlign w:val="center"/>
          </w:tcPr>
          <w:p w14:paraId="0B55B2C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包含排放主体（施工单位、建设单位）、防控措施（洒水降尘、防尘网覆盖），定义排放、监测关系。点击施工场可展示防控方案、监测数据，支持气象关联分析，辅助制定针对性扬尘管控策略。</w:t>
            </w:r>
          </w:p>
        </w:tc>
      </w:tr>
      <w:tr w14:paraId="14E87A2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504481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96</w:t>
            </w:r>
          </w:p>
        </w:tc>
        <w:tc>
          <w:tcPr>
            <w:tcW w:w="2028" w:type="dxa"/>
            <w:vMerge w:val="continue"/>
            <w:tcBorders>
              <w:top w:val="nil"/>
              <w:left w:val="single" w:color="auto" w:sz="4" w:space="0"/>
              <w:bottom w:val="single" w:color="000000" w:sz="4" w:space="0"/>
              <w:right w:val="single" w:color="auto" w:sz="4" w:space="0"/>
            </w:tcBorders>
            <w:vAlign w:val="center"/>
          </w:tcPr>
          <w:p w14:paraId="504EB2D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62F87B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环境监测知识图谱-大气污染排放总量知识图谱-飞机污染排放实体</w:t>
            </w:r>
          </w:p>
        </w:tc>
        <w:tc>
          <w:tcPr>
            <w:tcW w:w="3928" w:type="dxa"/>
            <w:tcBorders>
              <w:top w:val="nil"/>
              <w:left w:val="nil"/>
              <w:bottom w:val="single" w:color="auto" w:sz="4" w:space="0"/>
              <w:right w:val="single" w:color="auto" w:sz="4" w:space="0"/>
            </w:tcBorders>
            <w:vAlign w:val="center"/>
          </w:tcPr>
          <w:p w14:paraId="18767EB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涵盖机场（名称、位置、吞吐量）、机型（型号、参数）、污染物类型（氮氧化物、颗粒物），定义排放、区域监测关系。点击可展示机型参数、排放数据，支持航班关联查询，全面呈现飞机污染信息。</w:t>
            </w:r>
          </w:p>
        </w:tc>
      </w:tr>
      <w:tr w14:paraId="6C92B9D5">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5A379D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97</w:t>
            </w:r>
          </w:p>
        </w:tc>
        <w:tc>
          <w:tcPr>
            <w:tcW w:w="2028" w:type="dxa"/>
            <w:vMerge w:val="continue"/>
            <w:tcBorders>
              <w:top w:val="nil"/>
              <w:left w:val="single" w:color="auto" w:sz="4" w:space="0"/>
              <w:bottom w:val="single" w:color="000000" w:sz="4" w:space="0"/>
              <w:right w:val="single" w:color="auto" w:sz="4" w:space="0"/>
            </w:tcBorders>
            <w:vAlign w:val="center"/>
          </w:tcPr>
          <w:p w14:paraId="5B8726F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AEED27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环境监测知识图谱-工业污染源监测监控知识图谱-工业企业基础信息实体</w:t>
            </w:r>
          </w:p>
        </w:tc>
        <w:tc>
          <w:tcPr>
            <w:tcW w:w="3928" w:type="dxa"/>
            <w:tcBorders>
              <w:top w:val="nil"/>
              <w:left w:val="nil"/>
              <w:bottom w:val="single" w:color="auto" w:sz="4" w:space="0"/>
              <w:right w:val="single" w:color="auto" w:sz="4" w:space="0"/>
            </w:tcBorders>
            <w:vAlign w:val="center"/>
          </w:tcPr>
          <w:p w14:paraId="670CAE9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企业核心标识（名称、信用代码、排污许可证号）、基础属性（行业、性质、产能）、地理位置（地址、经纬度、周边敏感点），定义归属、关联、从属关系。点击展企业承诺书、消耗统计表，支持跳转至行业、敏感点实体，为监测范围划定提供依据。</w:t>
            </w:r>
          </w:p>
        </w:tc>
      </w:tr>
      <w:tr w14:paraId="66A42461">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3F01E8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98</w:t>
            </w:r>
          </w:p>
        </w:tc>
        <w:tc>
          <w:tcPr>
            <w:tcW w:w="2028" w:type="dxa"/>
            <w:vMerge w:val="continue"/>
            <w:tcBorders>
              <w:top w:val="nil"/>
              <w:left w:val="single" w:color="auto" w:sz="4" w:space="0"/>
              <w:bottom w:val="single" w:color="000000" w:sz="4" w:space="0"/>
              <w:right w:val="single" w:color="auto" w:sz="4" w:space="0"/>
            </w:tcBorders>
            <w:vAlign w:val="center"/>
          </w:tcPr>
          <w:p w14:paraId="3DD1294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C29F7D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环境监测知识图谱-工业污染源监测监控知识图谱-工业污染源排污口实体</w:t>
            </w:r>
          </w:p>
        </w:tc>
        <w:tc>
          <w:tcPr>
            <w:tcW w:w="3928" w:type="dxa"/>
            <w:tcBorders>
              <w:top w:val="nil"/>
              <w:left w:val="nil"/>
              <w:bottom w:val="single" w:color="auto" w:sz="4" w:space="0"/>
              <w:right w:val="single" w:color="auto" w:sz="4" w:space="0"/>
            </w:tcBorders>
            <w:vAlign w:val="center"/>
          </w:tcPr>
          <w:p w14:paraId="1114D10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涵盖排污口基础信息（编号、类型、位置）、排放特征（方式、规律、污染物种类），定义归属、排放、管控关系。点击展实景照片、许可限值，支持按类型、去向筛选，可跳转至治理设施实体，查看预处理效果与排放匹配性。</w:t>
            </w:r>
          </w:p>
        </w:tc>
      </w:tr>
      <w:tr w14:paraId="78AF2497">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2147C7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99</w:t>
            </w:r>
          </w:p>
        </w:tc>
        <w:tc>
          <w:tcPr>
            <w:tcW w:w="2028" w:type="dxa"/>
            <w:vMerge w:val="continue"/>
            <w:tcBorders>
              <w:top w:val="nil"/>
              <w:left w:val="single" w:color="auto" w:sz="4" w:space="0"/>
              <w:bottom w:val="single" w:color="000000" w:sz="4" w:space="0"/>
              <w:right w:val="single" w:color="auto" w:sz="4" w:space="0"/>
            </w:tcBorders>
            <w:vAlign w:val="center"/>
          </w:tcPr>
          <w:p w14:paraId="26F802A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38997B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环境监测知识图谱-工业污染源监测监控知识图谱-工业污染治理设施实体</w:t>
            </w:r>
          </w:p>
        </w:tc>
        <w:tc>
          <w:tcPr>
            <w:tcW w:w="3928" w:type="dxa"/>
            <w:tcBorders>
              <w:top w:val="nil"/>
              <w:left w:val="nil"/>
              <w:bottom w:val="single" w:color="auto" w:sz="4" w:space="0"/>
              <w:right w:val="single" w:color="auto" w:sz="4" w:space="0"/>
            </w:tcBorders>
            <w:vAlign w:val="center"/>
          </w:tcPr>
          <w:p w14:paraId="208DBD9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设施基础信息（名称、类型、处理能力）、运行参数（温度、压力、药剂投加量）、运维记录，定义配套、处理、监测关系。点击展工艺流程图、运行曲线，支持按类型筛选对比，辅助判断设施是否正常运行。</w:t>
            </w:r>
          </w:p>
        </w:tc>
      </w:tr>
      <w:tr w14:paraId="045CE61F">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21BB3C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100</w:t>
            </w:r>
          </w:p>
        </w:tc>
        <w:tc>
          <w:tcPr>
            <w:tcW w:w="2028" w:type="dxa"/>
            <w:vMerge w:val="continue"/>
            <w:tcBorders>
              <w:top w:val="nil"/>
              <w:left w:val="single" w:color="auto" w:sz="4" w:space="0"/>
              <w:bottom w:val="single" w:color="000000" w:sz="4" w:space="0"/>
              <w:right w:val="single" w:color="auto" w:sz="4" w:space="0"/>
            </w:tcBorders>
            <w:vAlign w:val="center"/>
          </w:tcPr>
          <w:p w14:paraId="2BCCF47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0CB805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环境监测知识图谱-工业污染源监测监控知识图谱-工业污染源在线监测设备实体</w:t>
            </w:r>
          </w:p>
        </w:tc>
        <w:tc>
          <w:tcPr>
            <w:tcW w:w="3928" w:type="dxa"/>
            <w:tcBorders>
              <w:top w:val="nil"/>
              <w:left w:val="nil"/>
              <w:bottom w:val="single" w:color="auto" w:sz="4" w:space="0"/>
              <w:right w:val="single" w:color="auto" w:sz="4" w:space="0"/>
            </w:tcBorders>
            <w:vAlign w:val="center"/>
          </w:tcPr>
          <w:p w14:paraId="4A06DD1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涵盖设备基础信息（名称、型号、安装位置）、技术参数（测量范围、精度、采集频率）、运维管理，定义安装、归属、传输关系。点击展设备照片、实时数据，支持按参数筛选，超标时触发预警，便于及时监管。</w:t>
            </w:r>
          </w:p>
        </w:tc>
      </w:tr>
      <w:tr w14:paraId="5C4F7924">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AF4E52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101</w:t>
            </w:r>
          </w:p>
        </w:tc>
        <w:tc>
          <w:tcPr>
            <w:tcW w:w="2028" w:type="dxa"/>
            <w:vMerge w:val="continue"/>
            <w:tcBorders>
              <w:top w:val="nil"/>
              <w:left w:val="single" w:color="auto" w:sz="4" w:space="0"/>
              <w:bottom w:val="single" w:color="000000" w:sz="4" w:space="0"/>
              <w:right w:val="single" w:color="auto" w:sz="4" w:space="0"/>
            </w:tcBorders>
            <w:vAlign w:val="center"/>
          </w:tcPr>
          <w:p w14:paraId="2008550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AB390A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环境监测知识图谱-工业污染源监测监控知识图谱-工业污染源执法监管实体</w:t>
            </w:r>
          </w:p>
        </w:tc>
        <w:tc>
          <w:tcPr>
            <w:tcW w:w="3928" w:type="dxa"/>
            <w:tcBorders>
              <w:top w:val="nil"/>
              <w:left w:val="nil"/>
              <w:bottom w:val="single" w:color="auto" w:sz="4" w:space="0"/>
              <w:right w:val="single" w:color="auto" w:sz="4" w:space="0"/>
            </w:tcBorders>
            <w:vAlign w:val="center"/>
          </w:tcPr>
          <w:p w14:paraId="55C0B0E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监管任务（编号、类型、时间）、检查结果（现场情况、检测数据、问题）、处理措施，定义监管、关联、执行关系。点击展检查记录表、处罚决定书，支持按时间、类型筛选，跳转至企业、设备实体，形成监管闭环。</w:t>
            </w:r>
          </w:p>
        </w:tc>
      </w:tr>
      <w:tr w14:paraId="75E087CA">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FE7312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102</w:t>
            </w:r>
          </w:p>
        </w:tc>
        <w:tc>
          <w:tcPr>
            <w:tcW w:w="2028" w:type="dxa"/>
            <w:vMerge w:val="continue"/>
            <w:tcBorders>
              <w:top w:val="nil"/>
              <w:left w:val="single" w:color="auto" w:sz="4" w:space="0"/>
              <w:bottom w:val="single" w:color="000000" w:sz="4" w:space="0"/>
              <w:right w:val="single" w:color="auto" w:sz="4" w:space="0"/>
            </w:tcBorders>
            <w:vAlign w:val="center"/>
          </w:tcPr>
          <w:p w14:paraId="135534D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6D8818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环境监测知识图谱-噪声关联分析知识图谱-噪声监测点位实体</w:t>
            </w:r>
          </w:p>
        </w:tc>
        <w:tc>
          <w:tcPr>
            <w:tcW w:w="3928" w:type="dxa"/>
            <w:tcBorders>
              <w:top w:val="nil"/>
              <w:left w:val="nil"/>
              <w:bottom w:val="single" w:color="auto" w:sz="4" w:space="0"/>
              <w:right w:val="single" w:color="auto" w:sz="4" w:space="0"/>
            </w:tcBorders>
            <w:vAlign w:val="center"/>
          </w:tcPr>
          <w:p w14:paraId="7AED1F8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点位基础标识（编号、名称、类型）、地理位置（地址、经纬度、功能区类别、周边环境）、监测技术参数（高度、时段、频次），定义归属、关联、类型关系。点击展实景照片、限值标准、布设图，支持跳转至噪声源、功能区实体，为关联分析提供空间背景。</w:t>
            </w:r>
          </w:p>
        </w:tc>
      </w:tr>
      <w:tr w14:paraId="3D6D3D12">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1C63E4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103</w:t>
            </w:r>
          </w:p>
        </w:tc>
        <w:tc>
          <w:tcPr>
            <w:tcW w:w="2028" w:type="dxa"/>
            <w:vMerge w:val="continue"/>
            <w:tcBorders>
              <w:top w:val="nil"/>
              <w:left w:val="single" w:color="auto" w:sz="4" w:space="0"/>
              <w:bottom w:val="single" w:color="000000" w:sz="4" w:space="0"/>
              <w:right w:val="single" w:color="auto" w:sz="4" w:space="0"/>
            </w:tcBorders>
            <w:vAlign w:val="center"/>
          </w:tcPr>
          <w:p w14:paraId="6D50FBC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6D8833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环境监测知识图谱-噪声关联分析知识图谱-噪声源实体</w:t>
            </w:r>
          </w:p>
        </w:tc>
        <w:tc>
          <w:tcPr>
            <w:tcW w:w="3928" w:type="dxa"/>
            <w:tcBorders>
              <w:top w:val="nil"/>
              <w:left w:val="nil"/>
              <w:bottom w:val="single" w:color="auto" w:sz="4" w:space="0"/>
              <w:right w:val="single" w:color="auto" w:sz="4" w:space="0"/>
            </w:tcBorders>
            <w:vAlign w:val="center"/>
          </w:tcPr>
          <w:p w14:paraId="4B2DF71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涵盖噪声源基础信息（名称、类型、位置）、运行特征（时段、强度），定义影响、归属、管控关系。点击展运行时间表、贡献值统计、降噪措施照片，支持按类型筛选，关联查看监测点位数据，定位主要噪声贡献源。</w:t>
            </w:r>
          </w:p>
        </w:tc>
      </w:tr>
      <w:tr w14:paraId="39C64006">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2CC9DD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104</w:t>
            </w:r>
          </w:p>
        </w:tc>
        <w:tc>
          <w:tcPr>
            <w:tcW w:w="2028" w:type="dxa"/>
            <w:vMerge w:val="continue"/>
            <w:tcBorders>
              <w:top w:val="nil"/>
              <w:left w:val="single" w:color="auto" w:sz="4" w:space="0"/>
              <w:bottom w:val="single" w:color="000000" w:sz="4" w:space="0"/>
              <w:right w:val="single" w:color="auto" w:sz="4" w:space="0"/>
            </w:tcBorders>
            <w:vAlign w:val="center"/>
          </w:tcPr>
          <w:p w14:paraId="1ED0848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078B15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环境监测知识图谱-噪声关联分析知识图谱-噪声监测数据实体</w:t>
            </w:r>
          </w:p>
        </w:tc>
        <w:tc>
          <w:tcPr>
            <w:tcW w:w="3928" w:type="dxa"/>
            <w:tcBorders>
              <w:top w:val="nil"/>
              <w:left w:val="nil"/>
              <w:bottom w:val="single" w:color="auto" w:sz="4" w:space="0"/>
              <w:right w:val="single" w:color="auto" w:sz="4" w:space="0"/>
            </w:tcBorders>
            <w:vAlign w:val="center"/>
          </w:tcPr>
          <w:p w14:paraId="71392ED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监测基础数据（时间、点位、类型、声级指标）、数据属性（有效性、仪器校准、天气），定义对应、溯源、对比关系。点击展数据曲线、有效性依据、校准证书，支持按时间、类型筛选，跳转至噪声源实体，分析数据异常原因。</w:t>
            </w:r>
          </w:p>
        </w:tc>
      </w:tr>
      <w:tr w14:paraId="2FBA6713">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5930B4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105</w:t>
            </w:r>
          </w:p>
        </w:tc>
        <w:tc>
          <w:tcPr>
            <w:tcW w:w="2028" w:type="dxa"/>
            <w:vMerge w:val="continue"/>
            <w:tcBorders>
              <w:top w:val="nil"/>
              <w:left w:val="single" w:color="auto" w:sz="4" w:space="0"/>
              <w:bottom w:val="single" w:color="000000" w:sz="4" w:space="0"/>
              <w:right w:val="single" w:color="auto" w:sz="4" w:space="0"/>
            </w:tcBorders>
            <w:vAlign w:val="center"/>
          </w:tcPr>
          <w:p w14:paraId="7523BE1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7404D6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环境监测知识图谱-噪声关联分析知识图谱-噪声关联分析模型实体</w:t>
            </w:r>
          </w:p>
        </w:tc>
        <w:tc>
          <w:tcPr>
            <w:tcW w:w="3928" w:type="dxa"/>
            <w:tcBorders>
              <w:top w:val="nil"/>
              <w:left w:val="nil"/>
              <w:bottom w:val="single" w:color="auto" w:sz="4" w:space="0"/>
              <w:right w:val="single" w:color="auto" w:sz="4" w:space="0"/>
            </w:tcBorders>
            <w:vAlign w:val="center"/>
          </w:tcPr>
          <w:p w14:paraId="78E6222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涵盖模型基础信息（名称、类型、适用场景）、模型参数（输入、输出、校准参数），定义应用、输入、输出关系。点击展原理流程图、参数界面、验证报告，支持关联调用数据计算，展示多源贡献分析，为管控排序提供支撑。</w:t>
            </w:r>
          </w:p>
        </w:tc>
      </w:tr>
      <w:tr w14:paraId="1CC4F8DC">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D11237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106</w:t>
            </w:r>
          </w:p>
        </w:tc>
        <w:tc>
          <w:tcPr>
            <w:tcW w:w="2028" w:type="dxa"/>
            <w:vMerge w:val="continue"/>
            <w:tcBorders>
              <w:top w:val="nil"/>
              <w:left w:val="single" w:color="auto" w:sz="4" w:space="0"/>
              <w:bottom w:val="single" w:color="000000" w:sz="4" w:space="0"/>
              <w:right w:val="single" w:color="auto" w:sz="4" w:space="0"/>
            </w:tcBorders>
            <w:vAlign w:val="center"/>
          </w:tcPr>
          <w:p w14:paraId="358949D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EE39CB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环境监测知识图谱-噪声关联分析知识图谱-噪声管控措施实体</w:t>
            </w:r>
          </w:p>
        </w:tc>
        <w:tc>
          <w:tcPr>
            <w:tcW w:w="3928" w:type="dxa"/>
            <w:tcBorders>
              <w:top w:val="nil"/>
              <w:left w:val="nil"/>
              <w:bottom w:val="single" w:color="auto" w:sz="4" w:space="0"/>
              <w:right w:val="single" w:color="auto" w:sz="4" w:space="0"/>
            </w:tcBorders>
            <w:vAlign w:val="center"/>
          </w:tcPr>
          <w:p w14:paraId="2D010FB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包含措施基础信息（名称、类型、适用噪声源）、措施参数（工程 / 管理 / 技术参数）、实施信息，定义针对、实施、效果关系。点击展设计图纸、照片、数据对比曲线、评估报告，支持按噪声源类型筛选，跳转至点位、噪声源实体，模拟措施效果，辅助制定方案。</w:t>
            </w:r>
          </w:p>
        </w:tc>
      </w:tr>
      <w:tr w14:paraId="120D5E9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B8BE2C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107</w:t>
            </w:r>
          </w:p>
        </w:tc>
        <w:tc>
          <w:tcPr>
            <w:tcW w:w="2028" w:type="dxa"/>
            <w:vMerge w:val="continue"/>
            <w:tcBorders>
              <w:top w:val="nil"/>
              <w:left w:val="single" w:color="auto" w:sz="4" w:space="0"/>
              <w:bottom w:val="single" w:color="000000" w:sz="4" w:space="0"/>
              <w:right w:val="single" w:color="auto" w:sz="4" w:space="0"/>
            </w:tcBorders>
            <w:vAlign w:val="center"/>
          </w:tcPr>
          <w:p w14:paraId="50885B8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A2C962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政务云数据计算引擎调用开发-离线计算服务调用开发-</w:t>
            </w:r>
          </w:p>
        </w:tc>
        <w:tc>
          <w:tcPr>
            <w:tcW w:w="3928" w:type="dxa"/>
            <w:tcBorders>
              <w:top w:val="nil"/>
              <w:left w:val="nil"/>
              <w:bottom w:val="single" w:color="auto" w:sz="4" w:space="0"/>
              <w:right w:val="single" w:color="auto" w:sz="4" w:space="0"/>
            </w:tcBorders>
            <w:vAlign w:val="center"/>
          </w:tcPr>
          <w:p w14:paraId="3B89018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依托市电子政务云大数据离线计算服务，对生态环境监测数据开展离线深度处理。处理数据涵盖水质、大气、土壤、污染源排放等结构化数据。</w:t>
            </w:r>
          </w:p>
        </w:tc>
      </w:tr>
      <w:tr w14:paraId="6602F8A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5F2443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108</w:t>
            </w:r>
          </w:p>
        </w:tc>
        <w:tc>
          <w:tcPr>
            <w:tcW w:w="2028" w:type="dxa"/>
            <w:vMerge w:val="continue"/>
            <w:tcBorders>
              <w:top w:val="nil"/>
              <w:left w:val="single" w:color="auto" w:sz="4" w:space="0"/>
              <w:bottom w:val="single" w:color="000000" w:sz="4" w:space="0"/>
              <w:right w:val="single" w:color="auto" w:sz="4" w:space="0"/>
            </w:tcBorders>
            <w:vAlign w:val="center"/>
          </w:tcPr>
          <w:p w14:paraId="5A307DE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15BB58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政务云数据计算引擎调用开发-实时计算服务调用开发-</w:t>
            </w:r>
          </w:p>
        </w:tc>
        <w:tc>
          <w:tcPr>
            <w:tcW w:w="3928" w:type="dxa"/>
            <w:tcBorders>
              <w:top w:val="nil"/>
              <w:left w:val="nil"/>
              <w:bottom w:val="single" w:color="auto" w:sz="4" w:space="0"/>
              <w:right w:val="single" w:color="auto" w:sz="4" w:space="0"/>
            </w:tcBorders>
            <w:vAlign w:val="center"/>
          </w:tcPr>
          <w:p w14:paraId="0650D4D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基于市电子政务云实时计算服务，针对生态环境监测动态数据流实施毫秒级响应的实时分析。</w:t>
            </w:r>
          </w:p>
        </w:tc>
      </w:tr>
      <w:tr w14:paraId="7AA6D8E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B0AEF4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109</w:t>
            </w:r>
          </w:p>
        </w:tc>
        <w:tc>
          <w:tcPr>
            <w:tcW w:w="2028" w:type="dxa"/>
            <w:vMerge w:val="continue"/>
            <w:tcBorders>
              <w:top w:val="nil"/>
              <w:left w:val="single" w:color="auto" w:sz="4" w:space="0"/>
              <w:bottom w:val="single" w:color="000000" w:sz="4" w:space="0"/>
              <w:right w:val="single" w:color="auto" w:sz="4" w:space="0"/>
            </w:tcBorders>
            <w:vAlign w:val="center"/>
          </w:tcPr>
          <w:p w14:paraId="0D891B0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FDEBEE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政务云数据计算引擎调用开发-并行关系型分析服务调用开发-</w:t>
            </w:r>
          </w:p>
        </w:tc>
        <w:tc>
          <w:tcPr>
            <w:tcW w:w="3928" w:type="dxa"/>
            <w:tcBorders>
              <w:top w:val="nil"/>
              <w:left w:val="nil"/>
              <w:bottom w:val="single" w:color="auto" w:sz="4" w:space="0"/>
              <w:right w:val="single" w:color="auto" w:sz="4" w:space="0"/>
            </w:tcBorders>
            <w:vAlign w:val="center"/>
          </w:tcPr>
          <w:p w14:paraId="7F4E51D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基于分布式 MPP（大规模并行处理）架构构建任务级并行分析框架，专为 TB 级结构化环境监测数据设计高性能分析能力。</w:t>
            </w:r>
          </w:p>
        </w:tc>
      </w:tr>
      <w:tr w14:paraId="0287CFC7">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DDD204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110</w:t>
            </w:r>
          </w:p>
        </w:tc>
        <w:tc>
          <w:tcPr>
            <w:tcW w:w="2028" w:type="dxa"/>
            <w:vMerge w:val="continue"/>
            <w:tcBorders>
              <w:top w:val="nil"/>
              <w:left w:val="single" w:color="auto" w:sz="4" w:space="0"/>
              <w:bottom w:val="single" w:color="000000" w:sz="4" w:space="0"/>
              <w:right w:val="single" w:color="auto" w:sz="4" w:space="0"/>
            </w:tcBorders>
            <w:vAlign w:val="center"/>
          </w:tcPr>
          <w:p w14:paraId="572BA9A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117E9C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政务云数据计算引擎调用开发-实时搜索引擎调用开发-</w:t>
            </w:r>
          </w:p>
        </w:tc>
        <w:tc>
          <w:tcPr>
            <w:tcW w:w="3928" w:type="dxa"/>
            <w:tcBorders>
              <w:top w:val="nil"/>
              <w:left w:val="nil"/>
              <w:bottom w:val="single" w:color="auto" w:sz="4" w:space="0"/>
              <w:right w:val="single" w:color="auto" w:sz="4" w:space="0"/>
            </w:tcBorders>
            <w:vAlign w:val="center"/>
          </w:tcPr>
          <w:p w14:paraId="4D70FC3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基于市电子政务云全文检索服务构建生态环境监测数据实时搜索能力，专为 PB 级多源异构数据设计毫秒级响应能力。</w:t>
            </w:r>
          </w:p>
        </w:tc>
      </w:tr>
      <w:tr w14:paraId="1CE2118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F3AAEF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111</w:t>
            </w:r>
          </w:p>
        </w:tc>
        <w:tc>
          <w:tcPr>
            <w:tcW w:w="2028" w:type="dxa"/>
            <w:vMerge w:val="continue"/>
            <w:tcBorders>
              <w:top w:val="nil"/>
              <w:left w:val="single" w:color="auto" w:sz="4" w:space="0"/>
              <w:bottom w:val="single" w:color="000000" w:sz="4" w:space="0"/>
              <w:right w:val="single" w:color="auto" w:sz="4" w:space="0"/>
            </w:tcBorders>
            <w:vAlign w:val="center"/>
          </w:tcPr>
          <w:p w14:paraId="7956A02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B4BF7E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政务云数据计算引擎调用开发-全文检索服务调用开发-</w:t>
            </w:r>
          </w:p>
        </w:tc>
        <w:tc>
          <w:tcPr>
            <w:tcW w:w="3928" w:type="dxa"/>
            <w:tcBorders>
              <w:top w:val="nil"/>
              <w:left w:val="nil"/>
              <w:bottom w:val="single" w:color="auto" w:sz="4" w:space="0"/>
              <w:right w:val="single" w:color="auto" w:sz="4" w:space="0"/>
            </w:tcBorders>
            <w:vAlign w:val="center"/>
          </w:tcPr>
          <w:p w14:paraId="7C712D4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基于市电子政务云提供的全文检索服务，实现对海量环境监测数据的精确和模糊搜索。</w:t>
            </w:r>
          </w:p>
        </w:tc>
      </w:tr>
      <w:tr w14:paraId="2220E202">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27C60AC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112</w:t>
            </w:r>
          </w:p>
        </w:tc>
        <w:tc>
          <w:tcPr>
            <w:tcW w:w="2028" w:type="dxa"/>
            <w:vMerge w:val="continue"/>
            <w:tcBorders>
              <w:top w:val="nil"/>
              <w:left w:val="single" w:color="auto" w:sz="4" w:space="0"/>
              <w:bottom w:val="single" w:color="000000" w:sz="4" w:space="0"/>
              <w:right w:val="single" w:color="auto" w:sz="4" w:space="0"/>
            </w:tcBorders>
            <w:vAlign w:val="center"/>
          </w:tcPr>
          <w:p w14:paraId="739865B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883B74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“一张图”时空计算引擎调用开发-时空数据标准化对接-</w:t>
            </w:r>
          </w:p>
        </w:tc>
        <w:tc>
          <w:tcPr>
            <w:tcW w:w="3928" w:type="dxa"/>
            <w:tcBorders>
              <w:top w:val="nil"/>
              <w:left w:val="nil"/>
              <w:bottom w:val="single" w:color="auto" w:sz="4" w:space="0"/>
              <w:right w:val="single" w:color="auto" w:sz="4" w:space="0"/>
            </w:tcBorders>
            <w:vAlign w:val="center"/>
          </w:tcPr>
          <w:p w14:paraId="301B4B3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调用一张图的跨图坐标转换服务，把环境监测数据的原始坐标系转为上海 2000 坐标系，实现与时空底图无缝叠加；完成数据格式适配，结构化数据进行字段映射，非结构化数据通过接口接入并采用标准协议传输；构建时空索引，利用时空引擎服务能力，对监测数据按 “时间 + 空间” 双维度分片存储，以支持快速查询。</w:t>
            </w:r>
          </w:p>
        </w:tc>
      </w:tr>
      <w:tr w14:paraId="5FF61A47">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28B319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113</w:t>
            </w:r>
          </w:p>
        </w:tc>
        <w:tc>
          <w:tcPr>
            <w:tcW w:w="2028" w:type="dxa"/>
            <w:vMerge w:val="continue"/>
            <w:tcBorders>
              <w:top w:val="nil"/>
              <w:left w:val="single" w:color="auto" w:sz="4" w:space="0"/>
              <w:bottom w:val="single" w:color="000000" w:sz="4" w:space="0"/>
              <w:right w:val="single" w:color="auto" w:sz="4" w:space="0"/>
            </w:tcBorders>
            <w:vAlign w:val="center"/>
          </w:tcPr>
          <w:p w14:paraId="10F9E63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E01919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“一张图”时空计算引擎调用开发-地图服务接口集成-</w:t>
            </w:r>
          </w:p>
        </w:tc>
        <w:tc>
          <w:tcPr>
            <w:tcW w:w="3928" w:type="dxa"/>
            <w:tcBorders>
              <w:top w:val="nil"/>
              <w:left w:val="nil"/>
              <w:bottom w:val="single" w:color="auto" w:sz="4" w:space="0"/>
              <w:right w:val="single" w:color="auto" w:sz="4" w:space="0"/>
            </w:tcBorders>
            <w:vAlign w:val="center"/>
          </w:tcPr>
          <w:p w14:paraId="7D3B1DE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地图服务接口集成需调用基础地理服务，像地址解析与缓冲区分析；还需融合气象、交通等多源数据，构建多维度分析模型，以辅助污染影响评估及时空相关性分析。</w:t>
            </w:r>
          </w:p>
        </w:tc>
      </w:tr>
      <w:tr w14:paraId="55E3DF8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F5AF20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114</w:t>
            </w:r>
          </w:p>
        </w:tc>
        <w:tc>
          <w:tcPr>
            <w:tcW w:w="2028" w:type="dxa"/>
            <w:vMerge w:val="continue"/>
            <w:tcBorders>
              <w:top w:val="nil"/>
              <w:left w:val="single" w:color="auto" w:sz="4" w:space="0"/>
              <w:bottom w:val="single" w:color="000000" w:sz="4" w:space="0"/>
              <w:right w:val="single" w:color="auto" w:sz="4" w:space="0"/>
            </w:tcBorders>
            <w:vAlign w:val="center"/>
          </w:tcPr>
          <w:p w14:paraId="5F03E76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3D089B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“一张图”时空计算引擎调用开发-可视化引擎深度整合-</w:t>
            </w:r>
          </w:p>
        </w:tc>
        <w:tc>
          <w:tcPr>
            <w:tcW w:w="3928" w:type="dxa"/>
            <w:tcBorders>
              <w:top w:val="nil"/>
              <w:left w:val="nil"/>
              <w:bottom w:val="single" w:color="auto" w:sz="4" w:space="0"/>
              <w:right w:val="single" w:color="auto" w:sz="4" w:space="0"/>
            </w:tcBorders>
            <w:vAlign w:val="center"/>
          </w:tcPr>
          <w:p w14:paraId="62403FF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可视化引擎深度整合实现二三维一体化展示，二维场景叠加监测站点分布，三维场景构建化工园区模型并渲染污染物扩散；搭建数字孪生场景，实时映射监测数据，还能结合历史与气象数据预测污染物扩散路径，辅助应急决策。</w:t>
            </w:r>
          </w:p>
        </w:tc>
      </w:tr>
      <w:tr w14:paraId="04DC6FD7">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203C36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115</w:t>
            </w:r>
          </w:p>
        </w:tc>
        <w:tc>
          <w:tcPr>
            <w:tcW w:w="2028" w:type="dxa"/>
            <w:vMerge w:val="continue"/>
            <w:tcBorders>
              <w:top w:val="nil"/>
              <w:left w:val="single" w:color="auto" w:sz="4" w:space="0"/>
              <w:bottom w:val="single" w:color="000000" w:sz="4" w:space="0"/>
              <w:right w:val="single" w:color="auto" w:sz="4" w:space="0"/>
            </w:tcBorders>
            <w:vAlign w:val="center"/>
          </w:tcPr>
          <w:p w14:paraId="056BC2C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21AF70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监测数据智能交互分析-多数据源关联-</w:t>
            </w:r>
          </w:p>
        </w:tc>
        <w:tc>
          <w:tcPr>
            <w:tcW w:w="3928" w:type="dxa"/>
            <w:tcBorders>
              <w:top w:val="nil"/>
              <w:left w:val="nil"/>
              <w:bottom w:val="single" w:color="auto" w:sz="4" w:space="0"/>
              <w:right w:val="single" w:color="auto" w:sz="4" w:space="0"/>
            </w:tcBorders>
            <w:vAlign w:val="center"/>
          </w:tcPr>
          <w:p w14:paraId="2F84632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支持报表从多数据库 / 表取数，可在报表内按灵活规则对不同数据集做关联运算，整合分散数据，呈现全面分析结果，提升报表数据丰富性与准确性。</w:t>
            </w:r>
          </w:p>
        </w:tc>
      </w:tr>
      <w:tr w14:paraId="02547A3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7BB461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116</w:t>
            </w:r>
          </w:p>
        </w:tc>
        <w:tc>
          <w:tcPr>
            <w:tcW w:w="2028" w:type="dxa"/>
            <w:vMerge w:val="continue"/>
            <w:tcBorders>
              <w:top w:val="nil"/>
              <w:left w:val="single" w:color="auto" w:sz="4" w:space="0"/>
              <w:bottom w:val="single" w:color="000000" w:sz="4" w:space="0"/>
              <w:right w:val="single" w:color="auto" w:sz="4" w:space="0"/>
            </w:tcBorders>
            <w:vAlign w:val="center"/>
          </w:tcPr>
          <w:p w14:paraId="067C1ED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2B90DE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监测数据智能交互分析-多页报表设计-</w:t>
            </w:r>
          </w:p>
        </w:tc>
        <w:tc>
          <w:tcPr>
            <w:tcW w:w="3928" w:type="dxa"/>
            <w:tcBorders>
              <w:top w:val="nil"/>
              <w:left w:val="nil"/>
              <w:bottom w:val="single" w:color="auto" w:sz="4" w:space="0"/>
              <w:right w:val="single" w:color="auto" w:sz="4" w:space="0"/>
            </w:tcBorders>
            <w:vAlign w:val="center"/>
          </w:tcPr>
          <w:p w14:paraId="705830C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设计器中可创多Sheet报表，各Sheet独立又关联，便于数据分类管理。支持多SheetExcel导入导出，实现与办公文件无缝衔接，方便数据流转。</w:t>
            </w:r>
          </w:p>
        </w:tc>
      </w:tr>
      <w:tr w14:paraId="7412589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DE273A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117</w:t>
            </w:r>
          </w:p>
        </w:tc>
        <w:tc>
          <w:tcPr>
            <w:tcW w:w="2028" w:type="dxa"/>
            <w:vMerge w:val="continue"/>
            <w:tcBorders>
              <w:top w:val="nil"/>
              <w:left w:val="single" w:color="auto" w:sz="4" w:space="0"/>
              <w:bottom w:val="single" w:color="000000" w:sz="4" w:space="0"/>
              <w:right w:val="single" w:color="auto" w:sz="4" w:space="0"/>
            </w:tcBorders>
            <w:vAlign w:val="center"/>
          </w:tcPr>
          <w:p w14:paraId="737C241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C8257E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监测数据智能交互分析-多报表运行环境-</w:t>
            </w:r>
          </w:p>
        </w:tc>
        <w:tc>
          <w:tcPr>
            <w:tcW w:w="3928" w:type="dxa"/>
            <w:tcBorders>
              <w:top w:val="nil"/>
              <w:left w:val="nil"/>
              <w:bottom w:val="single" w:color="auto" w:sz="4" w:space="0"/>
              <w:right w:val="single" w:color="auto" w:sz="4" w:space="0"/>
            </w:tcBorders>
            <w:vAlign w:val="center"/>
          </w:tcPr>
          <w:p w14:paraId="2F73445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允许在开发、测试、生产等环境自由切换设计报表，无需重配，适配高效，避免环境差异阻碍设计，提升报表开发灵活性与效率。</w:t>
            </w:r>
          </w:p>
        </w:tc>
      </w:tr>
      <w:tr w14:paraId="226D103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EDE34A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118</w:t>
            </w:r>
          </w:p>
        </w:tc>
        <w:tc>
          <w:tcPr>
            <w:tcW w:w="2028" w:type="dxa"/>
            <w:vMerge w:val="continue"/>
            <w:tcBorders>
              <w:top w:val="nil"/>
              <w:left w:val="single" w:color="auto" w:sz="4" w:space="0"/>
              <w:bottom w:val="single" w:color="000000" w:sz="4" w:space="0"/>
              <w:right w:val="single" w:color="auto" w:sz="4" w:space="0"/>
            </w:tcBorders>
            <w:vAlign w:val="center"/>
          </w:tcPr>
          <w:p w14:paraId="2D97F98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A4BEBA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监测数据智能交互分析-增强分析统计模块-</w:t>
            </w:r>
          </w:p>
        </w:tc>
        <w:tc>
          <w:tcPr>
            <w:tcW w:w="3928" w:type="dxa"/>
            <w:tcBorders>
              <w:top w:val="nil"/>
              <w:left w:val="nil"/>
              <w:bottom w:val="single" w:color="auto" w:sz="4" w:space="0"/>
              <w:right w:val="single" w:color="auto" w:sz="4" w:space="0"/>
            </w:tcBorders>
            <w:vAlign w:val="center"/>
          </w:tcPr>
          <w:p w14:paraId="0D9B85E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支持自定义分组（条件、公式分组），提供层次坐标公式，可制同比、环比等多维度对比报表，助力挖掘数据规律，提升分析深度与精准度。</w:t>
            </w:r>
          </w:p>
        </w:tc>
      </w:tr>
      <w:tr w14:paraId="22719D5A">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D14D0C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119</w:t>
            </w:r>
          </w:p>
        </w:tc>
        <w:tc>
          <w:tcPr>
            <w:tcW w:w="2028" w:type="dxa"/>
            <w:vMerge w:val="continue"/>
            <w:tcBorders>
              <w:top w:val="nil"/>
              <w:left w:val="single" w:color="auto" w:sz="4" w:space="0"/>
              <w:bottom w:val="single" w:color="000000" w:sz="4" w:space="0"/>
              <w:right w:val="single" w:color="auto" w:sz="4" w:space="0"/>
            </w:tcBorders>
            <w:vAlign w:val="center"/>
          </w:tcPr>
          <w:p w14:paraId="329A02E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96D98D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监测数据智能交互分析-参数查询界面-</w:t>
            </w:r>
          </w:p>
        </w:tc>
        <w:tc>
          <w:tcPr>
            <w:tcW w:w="3928" w:type="dxa"/>
            <w:tcBorders>
              <w:top w:val="nil"/>
              <w:left w:val="nil"/>
              <w:bottom w:val="single" w:color="auto" w:sz="4" w:space="0"/>
              <w:right w:val="single" w:color="auto" w:sz="4" w:space="0"/>
            </w:tcBorders>
            <w:vAlign w:val="center"/>
          </w:tcPr>
          <w:p w14:paraId="5C8CD91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拖拽即可布局参数页面，无需复杂代码。能支持二十多种编辑器，满足各类参数需求，且参数页面与报表内容一体化呈现，提升操作便捷性。</w:t>
            </w:r>
          </w:p>
        </w:tc>
      </w:tr>
      <w:tr w14:paraId="10E84C3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BAE568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120</w:t>
            </w:r>
          </w:p>
        </w:tc>
        <w:tc>
          <w:tcPr>
            <w:tcW w:w="2028" w:type="dxa"/>
            <w:vMerge w:val="continue"/>
            <w:tcBorders>
              <w:top w:val="nil"/>
              <w:left w:val="single" w:color="auto" w:sz="4" w:space="0"/>
              <w:bottom w:val="single" w:color="000000" w:sz="4" w:space="0"/>
              <w:right w:val="single" w:color="auto" w:sz="4" w:space="0"/>
            </w:tcBorders>
            <w:vAlign w:val="center"/>
          </w:tcPr>
          <w:p w14:paraId="6A3AEBF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17B11B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监测数据智能交互分析-智能模板助手-</w:t>
            </w:r>
          </w:p>
        </w:tc>
        <w:tc>
          <w:tcPr>
            <w:tcW w:w="3928" w:type="dxa"/>
            <w:tcBorders>
              <w:top w:val="nil"/>
              <w:left w:val="nil"/>
              <w:bottom w:val="single" w:color="auto" w:sz="4" w:space="0"/>
              <w:right w:val="single" w:color="auto" w:sz="4" w:space="0"/>
            </w:tcBorders>
            <w:vAlign w:val="center"/>
          </w:tcPr>
          <w:p w14:paraId="196348B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报表制作全程监测开发情况，对数据关联异常、公式错误等风险点及时提醒，助力开发者及时修正问题，降低缺陷报表概率，提升模板质量。</w:t>
            </w:r>
          </w:p>
        </w:tc>
      </w:tr>
      <w:tr w14:paraId="35835942">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3AC0063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121</w:t>
            </w:r>
          </w:p>
        </w:tc>
        <w:tc>
          <w:tcPr>
            <w:tcW w:w="2028" w:type="dxa"/>
            <w:vMerge w:val="continue"/>
            <w:tcBorders>
              <w:top w:val="nil"/>
              <w:left w:val="single" w:color="auto" w:sz="4" w:space="0"/>
              <w:bottom w:val="single" w:color="000000" w:sz="4" w:space="0"/>
              <w:right w:val="single" w:color="auto" w:sz="4" w:space="0"/>
            </w:tcBorders>
            <w:vAlign w:val="center"/>
          </w:tcPr>
          <w:p w14:paraId="73BB1C9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C45621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监测数据智能交互分析-组件式设计-</w:t>
            </w:r>
          </w:p>
        </w:tc>
        <w:tc>
          <w:tcPr>
            <w:tcW w:w="3928" w:type="dxa"/>
            <w:tcBorders>
              <w:top w:val="nil"/>
              <w:left w:val="nil"/>
              <w:bottom w:val="single" w:color="auto" w:sz="4" w:space="0"/>
              <w:right w:val="single" w:color="auto" w:sz="4" w:space="0"/>
            </w:tcBorders>
            <w:vAlign w:val="center"/>
          </w:tcPr>
          <w:p w14:paraId="3CD0E8E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可下载报表组件实现组件复用，也能自主生成专属组件，组件复用保留样式，提升效率。</w:t>
            </w:r>
          </w:p>
        </w:tc>
      </w:tr>
      <w:tr w14:paraId="5E8D6B98">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B03F81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122</w:t>
            </w:r>
          </w:p>
        </w:tc>
        <w:tc>
          <w:tcPr>
            <w:tcW w:w="2028" w:type="dxa"/>
            <w:vMerge w:val="continue"/>
            <w:tcBorders>
              <w:top w:val="nil"/>
              <w:left w:val="single" w:color="auto" w:sz="4" w:space="0"/>
              <w:bottom w:val="single" w:color="000000" w:sz="4" w:space="0"/>
              <w:right w:val="single" w:color="auto" w:sz="4" w:space="0"/>
            </w:tcBorders>
            <w:vAlign w:val="center"/>
          </w:tcPr>
          <w:p w14:paraId="32507BC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4A8F50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监测数据智能交互分析-Web动态图表-</w:t>
            </w:r>
          </w:p>
        </w:tc>
        <w:tc>
          <w:tcPr>
            <w:tcW w:w="3928" w:type="dxa"/>
            <w:tcBorders>
              <w:top w:val="nil"/>
              <w:left w:val="nil"/>
              <w:bottom w:val="single" w:color="auto" w:sz="4" w:space="0"/>
              <w:right w:val="single" w:color="auto" w:sz="4" w:space="0"/>
            </w:tcBorders>
            <w:vAlign w:val="center"/>
          </w:tcPr>
          <w:p w14:paraId="70CC094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借HTML5技术浏览器端生成动态图表，无需插件，交互性、视觉效果好，支持多种操作。保障多浏览器、设备兼容，方便查看。</w:t>
            </w:r>
          </w:p>
        </w:tc>
      </w:tr>
      <w:tr w14:paraId="574CF986">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2658F0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123</w:t>
            </w:r>
          </w:p>
        </w:tc>
        <w:tc>
          <w:tcPr>
            <w:tcW w:w="2028" w:type="dxa"/>
            <w:vMerge w:val="continue"/>
            <w:tcBorders>
              <w:top w:val="nil"/>
              <w:left w:val="single" w:color="auto" w:sz="4" w:space="0"/>
              <w:bottom w:val="single" w:color="000000" w:sz="4" w:space="0"/>
              <w:right w:val="single" w:color="auto" w:sz="4" w:space="0"/>
            </w:tcBorders>
            <w:vAlign w:val="center"/>
          </w:tcPr>
          <w:p w14:paraId="3D2D774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444E5F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监测数据智能交互分析-聚合报表-</w:t>
            </w:r>
          </w:p>
        </w:tc>
        <w:tc>
          <w:tcPr>
            <w:tcW w:w="3928" w:type="dxa"/>
            <w:tcBorders>
              <w:top w:val="nil"/>
              <w:left w:val="nil"/>
              <w:bottom w:val="single" w:color="auto" w:sz="4" w:space="0"/>
              <w:right w:val="single" w:color="auto" w:sz="4" w:space="0"/>
            </w:tcBorders>
            <w:vAlign w:val="center"/>
          </w:tcPr>
          <w:p w14:paraId="3235DC3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采用画板式布局，用户可自由摆放文本、图表等报表元素，支持单独编辑元素属性与灵活组合，实现报表扩展与分离，满足复杂报表制作需求。</w:t>
            </w:r>
          </w:p>
        </w:tc>
      </w:tr>
      <w:tr w14:paraId="4A72E86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F0D6C9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124</w:t>
            </w:r>
          </w:p>
        </w:tc>
        <w:tc>
          <w:tcPr>
            <w:tcW w:w="2028" w:type="dxa"/>
            <w:vMerge w:val="continue"/>
            <w:tcBorders>
              <w:top w:val="nil"/>
              <w:left w:val="single" w:color="auto" w:sz="4" w:space="0"/>
              <w:bottom w:val="single" w:color="000000" w:sz="4" w:space="0"/>
              <w:right w:val="single" w:color="auto" w:sz="4" w:space="0"/>
            </w:tcBorders>
            <w:vAlign w:val="center"/>
          </w:tcPr>
          <w:p w14:paraId="010B875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253EE1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监测数据智能交互分析-数据交互分析-</w:t>
            </w:r>
          </w:p>
        </w:tc>
        <w:tc>
          <w:tcPr>
            <w:tcW w:w="3928" w:type="dxa"/>
            <w:tcBorders>
              <w:top w:val="nil"/>
              <w:left w:val="nil"/>
              <w:bottom w:val="single" w:color="auto" w:sz="4" w:space="0"/>
              <w:right w:val="single" w:color="auto" w:sz="4" w:space="0"/>
            </w:tcBorders>
            <w:vAlign w:val="center"/>
          </w:tcPr>
          <w:p w14:paraId="58E0FDB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web页面中可直接对数据筛选、过滤、排序，无需下载或额外软件，通过简单交互快速洞察数据规律，挖掘数据价值，为决策提供支撑。</w:t>
            </w:r>
          </w:p>
        </w:tc>
      </w:tr>
      <w:tr w14:paraId="4B1A3C98">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54B9EE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125</w:t>
            </w:r>
          </w:p>
        </w:tc>
        <w:tc>
          <w:tcPr>
            <w:tcW w:w="2028" w:type="dxa"/>
            <w:vMerge w:val="continue"/>
            <w:tcBorders>
              <w:top w:val="nil"/>
              <w:left w:val="single" w:color="auto" w:sz="4" w:space="0"/>
              <w:bottom w:val="single" w:color="000000" w:sz="4" w:space="0"/>
              <w:right w:val="single" w:color="auto" w:sz="4" w:space="0"/>
            </w:tcBorders>
            <w:vAlign w:val="center"/>
          </w:tcPr>
          <w:p w14:paraId="311CB13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4C7003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监测数据智能交互分析-分析结果打印导出-</w:t>
            </w:r>
          </w:p>
        </w:tc>
        <w:tc>
          <w:tcPr>
            <w:tcW w:w="3928" w:type="dxa"/>
            <w:tcBorders>
              <w:top w:val="nil"/>
              <w:left w:val="nil"/>
              <w:bottom w:val="single" w:color="auto" w:sz="4" w:space="0"/>
              <w:right w:val="single" w:color="auto" w:sz="4" w:space="0"/>
            </w:tcBorders>
            <w:vAlign w:val="center"/>
          </w:tcPr>
          <w:p w14:paraId="515F2BA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打印支持零客户端与静默打印，精准清晰；模板可导出为pdf、excel等多格式，方便存档、分享与编辑，适配不同使用场景。</w:t>
            </w:r>
          </w:p>
        </w:tc>
      </w:tr>
      <w:tr w14:paraId="7A2C14E7">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893836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126</w:t>
            </w:r>
          </w:p>
        </w:tc>
        <w:tc>
          <w:tcPr>
            <w:tcW w:w="2028" w:type="dxa"/>
            <w:vMerge w:val="continue"/>
            <w:tcBorders>
              <w:top w:val="nil"/>
              <w:left w:val="single" w:color="auto" w:sz="4" w:space="0"/>
              <w:bottom w:val="single" w:color="000000" w:sz="4" w:space="0"/>
              <w:right w:val="single" w:color="auto" w:sz="4" w:space="0"/>
            </w:tcBorders>
            <w:vAlign w:val="center"/>
          </w:tcPr>
          <w:p w14:paraId="5E24439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041841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监测数据智能交互分析-图文动态报告-</w:t>
            </w:r>
          </w:p>
        </w:tc>
        <w:tc>
          <w:tcPr>
            <w:tcW w:w="3928" w:type="dxa"/>
            <w:tcBorders>
              <w:top w:val="nil"/>
              <w:left w:val="nil"/>
              <w:bottom w:val="single" w:color="auto" w:sz="4" w:space="0"/>
              <w:right w:val="single" w:color="auto" w:sz="4" w:space="0"/>
            </w:tcBorders>
            <w:vAlign w:val="center"/>
          </w:tcPr>
          <w:p w14:paraId="5C74715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支持基于word设计动态报告，插入数据、表格、图表并关联实时数据，数据自动更新，轻松制作专业丰富的word报告，提升质量与效率。</w:t>
            </w:r>
          </w:p>
        </w:tc>
      </w:tr>
      <w:tr w14:paraId="36A2426A">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82AD20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127</w:t>
            </w:r>
          </w:p>
        </w:tc>
        <w:tc>
          <w:tcPr>
            <w:tcW w:w="2028" w:type="dxa"/>
            <w:vMerge w:val="continue"/>
            <w:tcBorders>
              <w:top w:val="nil"/>
              <w:left w:val="single" w:color="auto" w:sz="4" w:space="0"/>
              <w:bottom w:val="single" w:color="000000" w:sz="4" w:space="0"/>
              <w:right w:val="single" w:color="auto" w:sz="4" w:space="0"/>
            </w:tcBorders>
            <w:vAlign w:val="center"/>
          </w:tcPr>
          <w:p w14:paraId="6DC78CB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B6F0BB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监测数据智能交互分析-可视化看板-</w:t>
            </w:r>
          </w:p>
        </w:tc>
        <w:tc>
          <w:tcPr>
            <w:tcW w:w="3928" w:type="dxa"/>
            <w:tcBorders>
              <w:top w:val="nil"/>
              <w:left w:val="nil"/>
              <w:bottom w:val="single" w:color="auto" w:sz="4" w:space="0"/>
              <w:right w:val="single" w:color="auto" w:sz="4" w:space="0"/>
            </w:tcBorders>
            <w:vAlign w:val="center"/>
          </w:tcPr>
          <w:p w14:paraId="0E2182C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适配多终端，模板开发所见即所得，并提供内置素材库与常用组件。可创建多分页承载不同维度内容，支持自动轮播与手动切换，切换平滑，相同组件不重复加载，适用于故事性看板展示。</w:t>
            </w:r>
          </w:p>
        </w:tc>
      </w:tr>
      <w:tr w14:paraId="2F76EBE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9DAB29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128</w:t>
            </w:r>
          </w:p>
        </w:tc>
        <w:tc>
          <w:tcPr>
            <w:tcW w:w="2028" w:type="dxa"/>
            <w:vMerge w:val="continue"/>
            <w:tcBorders>
              <w:top w:val="nil"/>
              <w:left w:val="single" w:color="auto" w:sz="4" w:space="0"/>
              <w:bottom w:val="single" w:color="000000" w:sz="4" w:space="0"/>
              <w:right w:val="single" w:color="auto" w:sz="4" w:space="0"/>
            </w:tcBorders>
            <w:vAlign w:val="center"/>
          </w:tcPr>
          <w:p w14:paraId="26028C7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AD3BF3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监测数据智能交互分析-图表高级交互-</w:t>
            </w:r>
          </w:p>
        </w:tc>
        <w:tc>
          <w:tcPr>
            <w:tcW w:w="3928" w:type="dxa"/>
            <w:tcBorders>
              <w:top w:val="nil"/>
              <w:left w:val="nil"/>
              <w:bottom w:val="single" w:color="auto" w:sz="4" w:space="0"/>
              <w:right w:val="single" w:color="auto" w:sz="4" w:space="0"/>
            </w:tcBorders>
            <w:vAlign w:val="center"/>
          </w:tcPr>
          <w:p w14:paraId="385BA93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含图表联动（点击同步数据）、监控刷新（实时更新提示变化）、闪烁动画（高亮关键数据）功能，满足深度分析与动态展示需求。</w:t>
            </w:r>
          </w:p>
        </w:tc>
      </w:tr>
      <w:tr w14:paraId="44FB2D9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045101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129</w:t>
            </w:r>
          </w:p>
        </w:tc>
        <w:tc>
          <w:tcPr>
            <w:tcW w:w="2028" w:type="dxa"/>
            <w:vMerge w:val="continue"/>
            <w:tcBorders>
              <w:top w:val="nil"/>
              <w:left w:val="single" w:color="auto" w:sz="4" w:space="0"/>
              <w:bottom w:val="single" w:color="000000" w:sz="4" w:space="0"/>
              <w:right w:val="single" w:color="auto" w:sz="4" w:space="0"/>
            </w:tcBorders>
            <w:vAlign w:val="center"/>
          </w:tcPr>
          <w:p w14:paraId="74869F3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B96D38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监测数据智能交互分析-数据补充录入-</w:t>
            </w:r>
          </w:p>
        </w:tc>
        <w:tc>
          <w:tcPr>
            <w:tcW w:w="3928" w:type="dxa"/>
            <w:tcBorders>
              <w:top w:val="nil"/>
              <w:left w:val="nil"/>
              <w:bottom w:val="single" w:color="auto" w:sz="4" w:space="0"/>
              <w:right w:val="single" w:color="auto" w:sz="4" w:space="0"/>
            </w:tcBorders>
            <w:vAlign w:val="center"/>
          </w:tcPr>
          <w:p w14:paraId="143EB6E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向多数据库、多数据表直接录入数据，无需多界面切换，可高效完成零散或批量补充录入，确保数据快速准确存储，提升管理效率。支持浏览器端直接导入与批量无预览导入，适配不同数据量场景，确保数据准确映射数据库字段，实现快速数据迁移存储。</w:t>
            </w:r>
          </w:p>
        </w:tc>
      </w:tr>
      <w:tr w14:paraId="5B2341E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31178E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130</w:t>
            </w:r>
          </w:p>
        </w:tc>
        <w:tc>
          <w:tcPr>
            <w:tcW w:w="2028" w:type="dxa"/>
            <w:vMerge w:val="continue"/>
            <w:tcBorders>
              <w:top w:val="nil"/>
              <w:left w:val="single" w:color="auto" w:sz="4" w:space="0"/>
              <w:bottom w:val="single" w:color="000000" w:sz="4" w:space="0"/>
              <w:right w:val="single" w:color="auto" w:sz="4" w:space="0"/>
            </w:tcBorders>
            <w:vAlign w:val="center"/>
          </w:tcPr>
          <w:p w14:paraId="0058682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AA13E9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监测数据智能交互分析-数据分析定时任务-</w:t>
            </w:r>
          </w:p>
        </w:tc>
        <w:tc>
          <w:tcPr>
            <w:tcW w:w="3928" w:type="dxa"/>
            <w:tcBorders>
              <w:top w:val="nil"/>
              <w:left w:val="nil"/>
              <w:bottom w:val="single" w:color="auto" w:sz="4" w:space="0"/>
              <w:right w:val="single" w:color="auto" w:sz="4" w:space="0"/>
            </w:tcBorders>
            <w:vAlign w:val="center"/>
          </w:tcPr>
          <w:p w14:paraId="76EC1D0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可设定时任务自动生成报表、转换数据、发送消息，指定报表目录，支持Web查看结果，减少人工操作，提升数据处理与传递效率。</w:t>
            </w:r>
          </w:p>
        </w:tc>
      </w:tr>
      <w:tr w14:paraId="55C0493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2A528F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131</w:t>
            </w:r>
          </w:p>
        </w:tc>
        <w:tc>
          <w:tcPr>
            <w:tcW w:w="2028" w:type="dxa"/>
            <w:vMerge w:val="continue"/>
            <w:tcBorders>
              <w:top w:val="nil"/>
              <w:left w:val="single" w:color="auto" w:sz="4" w:space="0"/>
              <w:bottom w:val="single" w:color="000000" w:sz="4" w:space="0"/>
              <w:right w:val="single" w:color="auto" w:sz="4" w:space="0"/>
            </w:tcBorders>
            <w:vAlign w:val="center"/>
          </w:tcPr>
          <w:p w14:paraId="45208B7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C92BC2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监测数据智能交互分析-图数据分析算法-</w:t>
            </w:r>
          </w:p>
        </w:tc>
        <w:tc>
          <w:tcPr>
            <w:tcW w:w="3928" w:type="dxa"/>
            <w:tcBorders>
              <w:top w:val="nil"/>
              <w:left w:val="nil"/>
              <w:bottom w:val="single" w:color="auto" w:sz="4" w:space="0"/>
              <w:right w:val="single" w:color="auto" w:sz="4" w:space="0"/>
            </w:tcBorders>
            <w:vAlign w:val="center"/>
          </w:tcPr>
          <w:p w14:paraId="7449FEC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部署图谱通用算法实现图谱的快速分析，包括模糊匹配算法、实体分类算法、问题分类算法、实体链接算法、关系推断算法、上下文分析算法。</w:t>
            </w:r>
          </w:p>
        </w:tc>
      </w:tr>
      <w:tr w14:paraId="11C89F23">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CC4FDD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132</w:t>
            </w:r>
          </w:p>
        </w:tc>
        <w:tc>
          <w:tcPr>
            <w:tcW w:w="2028" w:type="dxa"/>
            <w:vMerge w:val="continue"/>
            <w:tcBorders>
              <w:top w:val="nil"/>
              <w:left w:val="single" w:color="auto" w:sz="4" w:space="0"/>
              <w:bottom w:val="single" w:color="000000" w:sz="4" w:space="0"/>
              <w:right w:val="single" w:color="auto" w:sz="4" w:space="0"/>
            </w:tcBorders>
            <w:vAlign w:val="center"/>
          </w:tcPr>
          <w:p w14:paraId="3C4A486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8C7FBC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监测数据智能交互分析-智能知识检索能力-</w:t>
            </w:r>
          </w:p>
        </w:tc>
        <w:tc>
          <w:tcPr>
            <w:tcW w:w="3928" w:type="dxa"/>
            <w:tcBorders>
              <w:top w:val="nil"/>
              <w:left w:val="nil"/>
              <w:bottom w:val="single" w:color="auto" w:sz="4" w:space="0"/>
              <w:right w:val="single" w:color="auto" w:sz="4" w:space="0"/>
            </w:tcBorders>
            <w:vAlign w:val="center"/>
          </w:tcPr>
          <w:p w14:paraId="7B128D6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基于自然语言处理能力，提供基于自然语言的多尺度时空数据智能组合查询、模糊匹配查询、实体分类查询、问题分类查询、实体链接查询、关系推断查询、上下文分析查询和实体识别和链接结果显示</w:t>
            </w:r>
          </w:p>
        </w:tc>
      </w:tr>
      <w:tr w14:paraId="66F285E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88DC40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133</w:t>
            </w:r>
          </w:p>
        </w:tc>
        <w:tc>
          <w:tcPr>
            <w:tcW w:w="2028" w:type="dxa"/>
            <w:vMerge w:val="continue"/>
            <w:tcBorders>
              <w:top w:val="nil"/>
              <w:left w:val="single" w:color="auto" w:sz="4" w:space="0"/>
              <w:bottom w:val="single" w:color="000000" w:sz="4" w:space="0"/>
              <w:right w:val="single" w:color="auto" w:sz="4" w:space="0"/>
            </w:tcBorders>
            <w:vAlign w:val="center"/>
          </w:tcPr>
          <w:p w14:paraId="51A610D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AE1E3B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监测数据智能交互分析-地图联动分析-</w:t>
            </w:r>
          </w:p>
        </w:tc>
        <w:tc>
          <w:tcPr>
            <w:tcW w:w="3928" w:type="dxa"/>
            <w:tcBorders>
              <w:top w:val="nil"/>
              <w:left w:val="nil"/>
              <w:bottom w:val="single" w:color="auto" w:sz="4" w:space="0"/>
              <w:right w:val="single" w:color="auto" w:sz="4" w:space="0"/>
            </w:tcBorders>
            <w:vAlign w:val="center"/>
          </w:tcPr>
          <w:p w14:paraId="76E915B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将地理相关数据呈现在地图上，支持标准、自定义、GIS地图类型，直观展示数据空间分布与趋势，打破纯数字/表格局限，便于解读。</w:t>
            </w:r>
          </w:p>
        </w:tc>
      </w:tr>
      <w:tr w14:paraId="7AE6A506">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1082EA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134</w:t>
            </w:r>
          </w:p>
        </w:tc>
        <w:tc>
          <w:tcPr>
            <w:tcW w:w="2028" w:type="dxa"/>
            <w:vMerge w:val="continue"/>
            <w:tcBorders>
              <w:top w:val="nil"/>
              <w:left w:val="single" w:color="auto" w:sz="4" w:space="0"/>
              <w:bottom w:val="single" w:color="000000" w:sz="4" w:space="0"/>
              <w:right w:val="single" w:color="auto" w:sz="4" w:space="0"/>
            </w:tcBorders>
            <w:vAlign w:val="center"/>
          </w:tcPr>
          <w:p w14:paraId="31F2DC4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CF8F27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监测数据智能交互分析-JSON 数据集解析-</w:t>
            </w:r>
          </w:p>
        </w:tc>
        <w:tc>
          <w:tcPr>
            <w:tcW w:w="3928" w:type="dxa"/>
            <w:tcBorders>
              <w:top w:val="nil"/>
              <w:left w:val="nil"/>
              <w:bottom w:val="single" w:color="auto" w:sz="4" w:space="0"/>
              <w:right w:val="single" w:color="auto" w:sz="4" w:space="0"/>
            </w:tcBorders>
            <w:vAlign w:val="center"/>
          </w:tcPr>
          <w:p w14:paraId="057BD6A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解决 JSON 数据与报表数据表适配问题，可自动将 JSON 数据（本地文件或接口返回）按预设规则解析层级与字段，转为规范二维数据表，确保字段匹配报表需求，减少格式兼容障碍，为报表提供适配数据源。</w:t>
            </w:r>
          </w:p>
        </w:tc>
      </w:tr>
      <w:tr w14:paraId="4BF3A24F">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D55C7A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135</w:t>
            </w:r>
          </w:p>
        </w:tc>
        <w:tc>
          <w:tcPr>
            <w:tcW w:w="2028" w:type="dxa"/>
            <w:vMerge w:val="continue"/>
            <w:tcBorders>
              <w:top w:val="nil"/>
              <w:left w:val="single" w:color="auto" w:sz="4" w:space="0"/>
              <w:bottom w:val="single" w:color="000000" w:sz="4" w:space="0"/>
              <w:right w:val="single" w:color="auto" w:sz="4" w:space="0"/>
            </w:tcBorders>
            <w:vAlign w:val="center"/>
          </w:tcPr>
          <w:p w14:paraId="5ED8F78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49C05B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监测数据智能交互分析-数据 JSON 服务 API-</w:t>
            </w:r>
          </w:p>
        </w:tc>
        <w:tc>
          <w:tcPr>
            <w:tcW w:w="3928" w:type="dxa"/>
            <w:tcBorders>
              <w:top w:val="nil"/>
              <w:left w:val="nil"/>
              <w:bottom w:val="single" w:color="auto" w:sz="4" w:space="0"/>
              <w:right w:val="single" w:color="auto" w:sz="4" w:space="0"/>
            </w:tcBorders>
            <w:vAlign w:val="center"/>
          </w:tcPr>
          <w:p w14:paraId="30947FB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支持将报表与数据集以 JSON 服务 API 形式输出，提供标准化接口。报表 API 供外部获取结构化数据，数据集 API 供外部访问原始数据，遵循通用标准，保障跨系统数据传递稳定兼容，助力实现数据联动与二次开发。</w:t>
            </w:r>
          </w:p>
        </w:tc>
      </w:tr>
      <w:tr w14:paraId="6EBF8669">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CA697F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136</w:t>
            </w:r>
          </w:p>
        </w:tc>
        <w:tc>
          <w:tcPr>
            <w:tcW w:w="2028" w:type="dxa"/>
            <w:vMerge w:val="continue"/>
            <w:tcBorders>
              <w:top w:val="nil"/>
              <w:left w:val="single" w:color="auto" w:sz="4" w:space="0"/>
              <w:bottom w:val="single" w:color="000000" w:sz="4" w:space="0"/>
              <w:right w:val="single" w:color="auto" w:sz="4" w:space="0"/>
            </w:tcBorders>
            <w:vAlign w:val="center"/>
          </w:tcPr>
          <w:p w14:paraId="7E202AA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3113FA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监测视觉融合分析-环境监测视觉算法管理-视觉算法接入</w:t>
            </w:r>
          </w:p>
        </w:tc>
        <w:tc>
          <w:tcPr>
            <w:tcW w:w="3928" w:type="dxa"/>
            <w:tcBorders>
              <w:top w:val="nil"/>
              <w:left w:val="nil"/>
              <w:bottom w:val="single" w:color="auto" w:sz="4" w:space="0"/>
              <w:right w:val="single" w:color="auto" w:sz="4" w:space="0"/>
            </w:tcBorders>
            <w:vAlign w:val="center"/>
          </w:tcPr>
          <w:p w14:paraId="37C3D49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提供API接口，支持Python/C++开发的算法包上传，算法上传需填写算法功能描述（如“漂浮物识别：识别塑料瓶、树枝等≥0.2㎡漂浮物”）、输入输出格式（输入视频流/帧，输出JSON格式结果）。</w:t>
            </w:r>
          </w:p>
        </w:tc>
      </w:tr>
      <w:tr w14:paraId="791C335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494570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137</w:t>
            </w:r>
          </w:p>
        </w:tc>
        <w:tc>
          <w:tcPr>
            <w:tcW w:w="2028" w:type="dxa"/>
            <w:vMerge w:val="continue"/>
            <w:tcBorders>
              <w:top w:val="nil"/>
              <w:left w:val="single" w:color="auto" w:sz="4" w:space="0"/>
              <w:bottom w:val="single" w:color="000000" w:sz="4" w:space="0"/>
              <w:right w:val="single" w:color="auto" w:sz="4" w:space="0"/>
            </w:tcBorders>
            <w:vAlign w:val="center"/>
          </w:tcPr>
          <w:p w14:paraId="09DB0B7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352E9D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监测视觉融合分析-环境监测视觉算法管理-算法台账与版本管理</w:t>
            </w:r>
          </w:p>
        </w:tc>
        <w:tc>
          <w:tcPr>
            <w:tcW w:w="3928" w:type="dxa"/>
            <w:tcBorders>
              <w:top w:val="nil"/>
              <w:left w:val="nil"/>
              <w:bottom w:val="single" w:color="auto" w:sz="4" w:space="0"/>
              <w:right w:val="single" w:color="auto" w:sz="4" w:space="0"/>
            </w:tcBorders>
            <w:vAlign w:val="center"/>
          </w:tcPr>
          <w:p w14:paraId="0EE16CE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建立算法档案，记录算法ID、名称、适用场景、版本号、更新时间、供应商/开发团队、测试准确率（如“扬尘识别准确率92%”），支持算法版本迭代（保留历史版本，可回滚），下架算法需标注原因（如准确率不达标）。</w:t>
            </w:r>
          </w:p>
        </w:tc>
      </w:tr>
      <w:tr w14:paraId="67733D7A">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9EB2EE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138</w:t>
            </w:r>
          </w:p>
        </w:tc>
        <w:tc>
          <w:tcPr>
            <w:tcW w:w="2028" w:type="dxa"/>
            <w:vMerge w:val="continue"/>
            <w:tcBorders>
              <w:top w:val="nil"/>
              <w:left w:val="single" w:color="auto" w:sz="4" w:space="0"/>
              <w:bottom w:val="single" w:color="000000" w:sz="4" w:space="0"/>
              <w:right w:val="single" w:color="auto" w:sz="4" w:space="0"/>
            </w:tcBorders>
            <w:vAlign w:val="center"/>
          </w:tcPr>
          <w:p w14:paraId="5E73561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9B9B79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监测视觉融合分析-场景-视觉算法关联配置-视频算法配置</w:t>
            </w:r>
          </w:p>
        </w:tc>
        <w:tc>
          <w:tcPr>
            <w:tcW w:w="3928" w:type="dxa"/>
            <w:tcBorders>
              <w:top w:val="nil"/>
              <w:left w:val="nil"/>
              <w:bottom w:val="single" w:color="auto" w:sz="4" w:space="0"/>
              <w:right w:val="single" w:color="auto" w:sz="4" w:space="0"/>
            </w:tcBorders>
            <w:vAlign w:val="center"/>
          </w:tcPr>
          <w:p w14:paraId="34C43D5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根据视频 位置适配算法，例如给“河道” 的视频，配置“漂浮物识别”“污水排放口识别”，支持给一路视频配置多个算法，也支持批量为一批视频配置同一个算法。</w:t>
            </w:r>
          </w:p>
        </w:tc>
      </w:tr>
      <w:tr w14:paraId="1CC32AA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B0A549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139</w:t>
            </w:r>
          </w:p>
        </w:tc>
        <w:tc>
          <w:tcPr>
            <w:tcW w:w="2028" w:type="dxa"/>
            <w:vMerge w:val="continue"/>
            <w:tcBorders>
              <w:top w:val="nil"/>
              <w:left w:val="single" w:color="auto" w:sz="4" w:space="0"/>
              <w:bottom w:val="single" w:color="000000" w:sz="4" w:space="0"/>
              <w:right w:val="single" w:color="auto" w:sz="4" w:space="0"/>
            </w:tcBorders>
            <w:vAlign w:val="center"/>
          </w:tcPr>
          <w:p w14:paraId="665C654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1A5F34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监测视觉融合分析-场景-视觉算法关联配置-算法运行时间配置</w:t>
            </w:r>
          </w:p>
        </w:tc>
        <w:tc>
          <w:tcPr>
            <w:tcW w:w="3928" w:type="dxa"/>
            <w:tcBorders>
              <w:top w:val="nil"/>
              <w:left w:val="nil"/>
              <w:bottom w:val="single" w:color="auto" w:sz="4" w:space="0"/>
              <w:right w:val="single" w:color="auto" w:sz="4" w:space="0"/>
            </w:tcBorders>
            <w:vAlign w:val="center"/>
          </w:tcPr>
          <w:p w14:paraId="567334F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按 “固定时段”（如工地算法 8:00-18:00 运行，非施工时段暂停）、“自定义周期”（如每周一至周五运行，周末暂停）设置算法启动 / 停止时间，支持跨天设置（如 22:00 - 次日 6:00 监测夜间偷排）</w:t>
            </w:r>
          </w:p>
        </w:tc>
      </w:tr>
      <w:tr w14:paraId="4597BB0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6489FA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140</w:t>
            </w:r>
          </w:p>
        </w:tc>
        <w:tc>
          <w:tcPr>
            <w:tcW w:w="2028" w:type="dxa"/>
            <w:vMerge w:val="continue"/>
            <w:tcBorders>
              <w:top w:val="nil"/>
              <w:left w:val="single" w:color="auto" w:sz="4" w:space="0"/>
              <w:bottom w:val="single" w:color="000000" w:sz="4" w:space="0"/>
              <w:right w:val="single" w:color="auto" w:sz="4" w:space="0"/>
            </w:tcBorders>
            <w:vAlign w:val="center"/>
          </w:tcPr>
          <w:p w14:paraId="2B210EE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E46645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监测视觉融合分析-场景-视觉算法关联配置-触发条件配置</w:t>
            </w:r>
          </w:p>
        </w:tc>
        <w:tc>
          <w:tcPr>
            <w:tcW w:w="3928" w:type="dxa"/>
            <w:tcBorders>
              <w:top w:val="nil"/>
              <w:left w:val="nil"/>
              <w:bottom w:val="single" w:color="auto" w:sz="4" w:space="0"/>
              <w:right w:val="single" w:color="auto" w:sz="4" w:space="0"/>
            </w:tcBorders>
            <w:vAlign w:val="center"/>
          </w:tcPr>
          <w:p w14:paraId="5D84AAC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除定时运行外，支持 “事件触发”（如河道视频仅在 “降雨后 24 小时内” 启动漂浮物识别，避免晴天无效运行），触发条件可关联外部数据（如对接气象系统，获取降雨信息）。</w:t>
            </w:r>
          </w:p>
        </w:tc>
      </w:tr>
      <w:tr w14:paraId="4EC24016">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8EFD51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141</w:t>
            </w:r>
          </w:p>
        </w:tc>
        <w:tc>
          <w:tcPr>
            <w:tcW w:w="2028" w:type="dxa"/>
            <w:vMerge w:val="continue"/>
            <w:tcBorders>
              <w:top w:val="nil"/>
              <w:left w:val="single" w:color="auto" w:sz="4" w:space="0"/>
              <w:bottom w:val="single" w:color="000000" w:sz="4" w:space="0"/>
              <w:right w:val="single" w:color="auto" w:sz="4" w:space="0"/>
            </w:tcBorders>
            <w:vAlign w:val="center"/>
          </w:tcPr>
          <w:p w14:paraId="53CF88E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BC32DA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监测视觉融合分析-场景-视觉算法关联配置-运行优先级设置</w:t>
            </w:r>
          </w:p>
        </w:tc>
        <w:tc>
          <w:tcPr>
            <w:tcW w:w="3928" w:type="dxa"/>
            <w:tcBorders>
              <w:top w:val="nil"/>
              <w:left w:val="nil"/>
              <w:bottom w:val="single" w:color="auto" w:sz="4" w:space="0"/>
              <w:right w:val="single" w:color="auto" w:sz="4" w:space="0"/>
            </w:tcBorders>
            <w:vAlign w:val="center"/>
          </w:tcPr>
          <w:p w14:paraId="69BB3A8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当单设备绑定多算法时，可设置优先级（如工地 “扬尘识别” 优先级高于 “裸土识别”），高优先级算法优先占用计算资源，避免卡顿。</w:t>
            </w:r>
          </w:p>
        </w:tc>
      </w:tr>
      <w:tr w14:paraId="5181C81A">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D21786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142</w:t>
            </w:r>
          </w:p>
        </w:tc>
        <w:tc>
          <w:tcPr>
            <w:tcW w:w="2028" w:type="dxa"/>
            <w:vMerge w:val="continue"/>
            <w:tcBorders>
              <w:top w:val="nil"/>
              <w:left w:val="single" w:color="auto" w:sz="4" w:space="0"/>
              <w:bottom w:val="single" w:color="000000" w:sz="4" w:space="0"/>
              <w:right w:val="single" w:color="auto" w:sz="4" w:space="0"/>
            </w:tcBorders>
            <w:vAlign w:val="center"/>
          </w:tcPr>
          <w:p w14:paraId="58154DF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45D56F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监测视觉融合分析-环境监测视觉融合分析算法开发-废水排放识别</w:t>
            </w:r>
          </w:p>
        </w:tc>
        <w:tc>
          <w:tcPr>
            <w:tcW w:w="3928" w:type="dxa"/>
            <w:tcBorders>
              <w:top w:val="nil"/>
              <w:left w:val="nil"/>
              <w:bottom w:val="single" w:color="auto" w:sz="4" w:space="0"/>
              <w:right w:val="single" w:color="auto" w:sz="4" w:space="0"/>
            </w:tcBorders>
            <w:vAlign w:val="center"/>
          </w:tcPr>
          <w:p w14:paraId="4BDF530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依托排污口周边视频监控体系，运用智能分析算法实时监测排水动态，自动抓取异常排放视频与图像，精准识别污水偷排、漏排及超标排放行为，为水污染源追溯与执法取证提供可视化证据链。</w:t>
            </w:r>
          </w:p>
        </w:tc>
      </w:tr>
      <w:tr w14:paraId="4401E56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AE677F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143</w:t>
            </w:r>
          </w:p>
        </w:tc>
        <w:tc>
          <w:tcPr>
            <w:tcW w:w="2028" w:type="dxa"/>
            <w:vMerge w:val="continue"/>
            <w:tcBorders>
              <w:top w:val="nil"/>
              <w:left w:val="single" w:color="auto" w:sz="4" w:space="0"/>
              <w:bottom w:val="single" w:color="000000" w:sz="4" w:space="0"/>
              <w:right w:val="single" w:color="auto" w:sz="4" w:space="0"/>
            </w:tcBorders>
            <w:vAlign w:val="center"/>
          </w:tcPr>
          <w:p w14:paraId="7696305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AC9C7E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监测视觉融合分析-环境监测视觉融合分析算法开发-废气排放识别</w:t>
            </w:r>
          </w:p>
        </w:tc>
        <w:tc>
          <w:tcPr>
            <w:tcW w:w="3928" w:type="dxa"/>
            <w:tcBorders>
              <w:top w:val="nil"/>
              <w:left w:val="nil"/>
              <w:bottom w:val="single" w:color="auto" w:sz="4" w:space="0"/>
              <w:right w:val="single" w:color="auto" w:sz="4" w:space="0"/>
            </w:tcBorders>
            <w:vAlign w:val="center"/>
          </w:tcPr>
          <w:p w14:paraId="2A06053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通过园区及厂区大气排放口视频监控，动态捕捉烟囱排气特征，结合气体排放规则模型，自动识别异常排放时段与浓度变化，同步留存影像数据，辅助监管部门快速响应大气污染事件。</w:t>
            </w:r>
          </w:p>
        </w:tc>
      </w:tr>
      <w:tr w14:paraId="70D6E951">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7CB11B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144</w:t>
            </w:r>
          </w:p>
        </w:tc>
        <w:tc>
          <w:tcPr>
            <w:tcW w:w="2028" w:type="dxa"/>
            <w:vMerge w:val="continue"/>
            <w:tcBorders>
              <w:top w:val="nil"/>
              <w:left w:val="single" w:color="auto" w:sz="4" w:space="0"/>
              <w:bottom w:val="single" w:color="000000" w:sz="4" w:space="0"/>
              <w:right w:val="single" w:color="auto" w:sz="4" w:space="0"/>
            </w:tcBorders>
            <w:vAlign w:val="center"/>
          </w:tcPr>
          <w:p w14:paraId="6472624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33139B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监测视觉融合分析-环境监测视觉融合分析算法开发-水面漂浮物识别</w:t>
            </w:r>
          </w:p>
        </w:tc>
        <w:tc>
          <w:tcPr>
            <w:tcW w:w="3928" w:type="dxa"/>
            <w:tcBorders>
              <w:top w:val="nil"/>
              <w:left w:val="nil"/>
              <w:bottom w:val="single" w:color="auto" w:sz="4" w:space="0"/>
              <w:right w:val="single" w:color="auto" w:sz="4" w:space="0"/>
            </w:tcBorders>
            <w:vAlign w:val="center"/>
          </w:tcPr>
          <w:p w14:paraId="628058A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整合河道沿岸固定监控与无人机巡河影像，构建水面异物智能识别模型，对水葫芦、蓝藻水华、垃圾漂浮物等进行高频次监测，自动标记异常区域并触发预警，支撑河道清洁与水生态保护决策。</w:t>
            </w:r>
          </w:p>
        </w:tc>
      </w:tr>
      <w:tr w14:paraId="30B12DC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FC1CE0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145</w:t>
            </w:r>
          </w:p>
        </w:tc>
        <w:tc>
          <w:tcPr>
            <w:tcW w:w="2028" w:type="dxa"/>
            <w:vMerge w:val="continue"/>
            <w:tcBorders>
              <w:top w:val="nil"/>
              <w:left w:val="single" w:color="auto" w:sz="4" w:space="0"/>
              <w:bottom w:val="single" w:color="000000" w:sz="4" w:space="0"/>
              <w:right w:val="single" w:color="auto" w:sz="4" w:space="0"/>
            </w:tcBorders>
            <w:vAlign w:val="center"/>
          </w:tcPr>
          <w:p w14:paraId="490990E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F09985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监测视觉融合分析-环境监测视觉融合分析算法开发-固废堆点识别</w:t>
            </w:r>
          </w:p>
        </w:tc>
        <w:tc>
          <w:tcPr>
            <w:tcW w:w="3928" w:type="dxa"/>
            <w:tcBorders>
              <w:top w:val="nil"/>
              <w:left w:val="nil"/>
              <w:bottom w:val="single" w:color="auto" w:sz="4" w:space="0"/>
              <w:right w:val="single" w:color="auto" w:sz="4" w:space="0"/>
            </w:tcBorders>
            <w:vAlign w:val="center"/>
          </w:tcPr>
          <w:p w14:paraId="7E26C71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借助铁塔高位监控、重点区域摄像头及无人机航测影像，采用图像识别与空间分析技术，自动筛查疑似固废堆存区域，定位非法堆点位置与范围，为固废污染源头治理提供空间数据支撑。</w:t>
            </w:r>
          </w:p>
        </w:tc>
      </w:tr>
      <w:tr w14:paraId="0F66CF9D">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836E6F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146</w:t>
            </w:r>
          </w:p>
        </w:tc>
        <w:tc>
          <w:tcPr>
            <w:tcW w:w="2028" w:type="dxa"/>
            <w:vMerge w:val="continue"/>
            <w:tcBorders>
              <w:top w:val="nil"/>
              <w:left w:val="single" w:color="auto" w:sz="4" w:space="0"/>
              <w:bottom w:val="single" w:color="000000" w:sz="4" w:space="0"/>
              <w:right w:val="single" w:color="auto" w:sz="4" w:space="0"/>
            </w:tcBorders>
            <w:vAlign w:val="center"/>
          </w:tcPr>
          <w:p w14:paraId="0D47753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969610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监测视觉融合分析-环境监测视觉融合分析算法开发-站点异常人为活动识别</w:t>
            </w:r>
          </w:p>
        </w:tc>
        <w:tc>
          <w:tcPr>
            <w:tcW w:w="3928" w:type="dxa"/>
            <w:tcBorders>
              <w:top w:val="nil"/>
              <w:left w:val="nil"/>
              <w:bottom w:val="single" w:color="auto" w:sz="4" w:space="0"/>
              <w:right w:val="single" w:color="auto" w:sz="4" w:space="0"/>
            </w:tcBorders>
            <w:vAlign w:val="center"/>
          </w:tcPr>
          <w:p w14:paraId="2ABC286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基于空气、水国控及市控站房及周彪的视频资源，结合物体、行为分析算法，识别站房内部或周边的人为活动情况，结合站点的实际运维工作记录，辅助排查异常的人为活动行为，保障监测数据的可靠性。</w:t>
            </w:r>
          </w:p>
        </w:tc>
      </w:tr>
      <w:tr w14:paraId="5390D10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637657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147</w:t>
            </w:r>
          </w:p>
        </w:tc>
        <w:tc>
          <w:tcPr>
            <w:tcW w:w="2028" w:type="dxa"/>
            <w:vMerge w:val="continue"/>
            <w:tcBorders>
              <w:top w:val="nil"/>
              <w:left w:val="single" w:color="auto" w:sz="4" w:space="0"/>
              <w:bottom w:val="single" w:color="000000" w:sz="4" w:space="0"/>
              <w:right w:val="single" w:color="auto" w:sz="4" w:space="0"/>
            </w:tcBorders>
            <w:vAlign w:val="center"/>
          </w:tcPr>
          <w:p w14:paraId="463D7A1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F81FD8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监测视觉融合分析-环境监测视觉融合分析算法开发-重点区域非法入侵识别</w:t>
            </w:r>
          </w:p>
        </w:tc>
        <w:tc>
          <w:tcPr>
            <w:tcW w:w="3928" w:type="dxa"/>
            <w:tcBorders>
              <w:top w:val="nil"/>
              <w:left w:val="nil"/>
              <w:bottom w:val="single" w:color="auto" w:sz="4" w:space="0"/>
              <w:right w:val="single" w:color="auto" w:sz="4" w:space="0"/>
            </w:tcBorders>
            <w:vAlign w:val="center"/>
          </w:tcPr>
          <w:p w14:paraId="78E7115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利用水源地、自然保护区等敏感区域的视频监控与无人机巡查网络，结合行为分析算法，及时发现并预警人员非法闯入、越界活动等行为，强化生态保护红线区域的实时防护。</w:t>
            </w:r>
          </w:p>
        </w:tc>
      </w:tr>
      <w:tr w14:paraId="26E7A311">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5B0E49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148</w:t>
            </w:r>
          </w:p>
        </w:tc>
        <w:tc>
          <w:tcPr>
            <w:tcW w:w="2028" w:type="dxa"/>
            <w:vMerge w:val="continue"/>
            <w:tcBorders>
              <w:top w:val="nil"/>
              <w:left w:val="single" w:color="auto" w:sz="4" w:space="0"/>
              <w:bottom w:val="single" w:color="000000" w:sz="4" w:space="0"/>
              <w:right w:val="single" w:color="auto" w:sz="4" w:space="0"/>
            </w:tcBorders>
            <w:vAlign w:val="center"/>
          </w:tcPr>
          <w:p w14:paraId="1E3D90C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AE6FC2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监测视觉融合分析-环境监测视觉融合分析算法开发-土壤管控地块违规用地识别</w:t>
            </w:r>
          </w:p>
        </w:tc>
        <w:tc>
          <w:tcPr>
            <w:tcW w:w="3928" w:type="dxa"/>
            <w:tcBorders>
              <w:top w:val="nil"/>
              <w:left w:val="nil"/>
              <w:bottom w:val="single" w:color="auto" w:sz="4" w:space="0"/>
              <w:right w:val="single" w:color="auto" w:sz="4" w:space="0"/>
            </w:tcBorders>
            <w:vAlign w:val="center"/>
          </w:tcPr>
          <w:p w14:paraId="4A652FC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通过土壤管控地块视频监控与无人机定期巡查，智能识别地块内非法施工、种植、堆放等违规行为，同步记录时间、地点及行为特征，助力土壤污染风险管控与修复监管。</w:t>
            </w:r>
          </w:p>
        </w:tc>
      </w:tr>
      <w:tr w14:paraId="2F9AE8E0">
        <w:tblPrEx>
          <w:tblCellMar>
            <w:top w:w="0" w:type="dxa"/>
            <w:left w:w="108" w:type="dxa"/>
            <w:bottom w:w="0" w:type="dxa"/>
            <w:right w:w="108" w:type="dxa"/>
          </w:tblCellMar>
        </w:tblPrEx>
        <w:trPr>
          <w:trHeight w:val="1275" w:hRule="atLeast"/>
        </w:trPr>
        <w:tc>
          <w:tcPr>
            <w:tcW w:w="704" w:type="dxa"/>
            <w:tcBorders>
              <w:top w:val="nil"/>
              <w:left w:val="single" w:color="auto" w:sz="4" w:space="0"/>
              <w:bottom w:val="single" w:color="auto" w:sz="4" w:space="0"/>
              <w:right w:val="single" w:color="auto" w:sz="4" w:space="0"/>
            </w:tcBorders>
            <w:noWrap/>
            <w:vAlign w:val="center"/>
          </w:tcPr>
          <w:p w14:paraId="1F67839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149</w:t>
            </w:r>
          </w:p>
        </w:tc>
        <w:tc>
          <w:tcPr>
            <w:tcW w:w="2028" w:type="dxa"/>
            <w:vMerge w:val="continue"/>
            <w:tcBorders>
              <w:top w:val="nil"/>
              <w:left w:val="single" w:color="auto" w:sz="4" w:space="0"/>
              <w:bottom w:val="single" w:color="000000" w:sz="4" w:space="0"/>
              <w:right w:val="single" w:color="auto" w:sz="4" w:space="0"/>
            </w:tcBorders>
            <w:vAlign w:val="center"/>
          </w:tcPr>
          <w:p w14:paraId="6130FFF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FD8901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监测视觉融合分析-环境监测视觉融合分析算法开发-焚烧事件识别</w:t>
            </w:r>
          </w:p>
        </w:tc>
        <w:tc>
          <w:tcPr>
            <w:tcW w:w="3928" w:type="dxa"/>
            <w:tcBorders>
              <w:top w:val="nil"/>
              <w:left w:val="nil"/>
              <w:bottom w:val="single" w:color="auto" w:sz="4" w:space="0"/>
              <w:right w:val="single" w:color="auto" w:sz="4" w:space="0"/>
            </w:tcBorders>
            <w:vAlign w:val="center"/>
          </w:tcPr>
          <w:p w14:paraId="221C37F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依托工业园区、垃圾填埋场、秸秆禁烧区等重点区域的视频监控网络，通过智能分析算法实时捕捉火焰、烟雾特征（如明火的橙红色光谱、黑烟的灰度值变化），自动区分正常生产用火与违规焚烧（如垃圾露天焚烧、秸秆焚烧），同步截取焚烧过程的视频片段与关键帧图像，记录焚烧发生时间、位置及火势蔓延趋势，为环保执法部门快速定位焚烧源头、查处违规行为提供可视化证据，助力大气污染源头管控。</w:t>
            </w:r>
          </w:p>
        </w:tc>
      </w:tr>
      <w:tr w14:paraId="730C9A76">
        <w:tblPrEx>
          <w:tblCellMar>
            <w:top w:w="0" w:type="dxa"/>
            <w:left w:w="108" w:type="dxa"/>
            <w:bottom w:w="0" w:type="dxa"/>
            <w:right w:w="108" w:type="dxa"/>
          </w:tblCellMar>
        </w:tblPrEx>
        <w:trPr>
          <w:trHeight w:val="1275" w:hRule="atLeast"/>
        </w:trPr>
        <w:tc>
          <w:tcPr>
            <w:tcW w:w="704" w:type="dxa"/>
            <w:tcBorders>
              <w:top w:val="nil"/>
              <w:left w:val="single" w:color="auto" w:sz="4" w:space="0"/>
              <w:bottom w:val="single" w:color="auto" w:sz="4" w:space="0"/>
              <w:right w:val="single" w:color="auto" w:sz="4" w:space="0"/>
            </w:tcBorders>
            <w:noWrap/>
            <w:vAlign w:val="center"/>
          </w:tcPr>
          <w:p w14:paraId="64E4A86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150</w:t>
            </w:r>
          </w:p>
        </w:tc>
        <w:tc>
          <w:tcPr>
            <w:tcW w:w="2028" w:type="dxa"/>
            <w:vMerge w:val="continue"/>
            <w:tcBorders>
              <w:top w:val="nil"/>
              <w:left w:val="single" w:color="auto" w:sz="4" w:space="0"/>
              <w:bottom w:val="single" w:color="000000" w:sz="4" w:space="0"/>
              <w:right w:val="single" w:color="auto" w:sz="4" w:space="0"/>
            </w:tcBorders>
            <w:vAlign w:val="center"/>
          </w:tcPr>
          <w:p w14:paraId="331E294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7224DC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监测视觉融合分析-环境监测视觉融合分析算法开发-渣土车未覆盖识别</w:t>
            </w:r>
          </w:p>
        </w:tc>
        <w:tc>
          <w:tcPr>
            <w:tcW w:w="3928" w:type="dxa"/>
            <w:tcBorders>
              <w:top w:val="nil"/>
              <w:left w:val="nil"/>
              <w:bottom w:val="single" w:color="auto" w:sz="4" w:space="0"/>
              <w:right w:val="single" w:color="auto" w:sz="4" w:space="0"/>
            </w:tcBorders>
            <w:vAlign w:val="center"/>
          </w:tcPr>
          <w:p w14:paraId="6A0F967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基于渣土车运输路线沿线（如工地出口、城市主干道、渣土消纳场）的视频监控，通过智能算法聚焦渣土车货厢区域，识别篷布覆盖状态 —— 自动判定 “完全覆盖”“部分覆盖”“未覆盖” 三类情况，对未覆盖或覆盖不严的渣土车，实时截取车辆号牌、货厢未覆盖部位图像，记录车辆通行时间与位置，同步触发预警。该算法可有效防范渣土运输过程中扬尘散落、物料遗撒污染路面问题，为交通与环保部门联合执法提供精准靶向信息。</w:t>
            </w:r>
          </w:p>
        </w:tc>
      </w:tr>
      <w:tr w14:paraId="72C51A7A">
        <w:tblPrEx>
          <w:tblCellMar>
            <w:top w:w="0" w:type="dxa"/>
            <w:left w:w="108" w:type="dxa"/>
            <w:bottom w:w="0" w:type="dxa"/>
            <w:right w:w="108" w:type="dxa"/>
          </w:tblCellMar>
        </w:tblPrEx>
        <w:trPr>
          <w:trHeight w:val="1275" w:hRule="atLeast"/>
        </w:trPr>
        <w:tc>
          <w:tcPr>
            <w:tcW w:w="704" w:type="dxa"/>
            <w:tcBorders>
              <w:top w:val="nil"/>
              <w:left w:val="single" w:color="auto" w:sz="4" w:space="0"/>
              <w:bottom w:val="single" w:color="auto" w:sz="4" w:space="0"/>
              <w:right w:val="single" w:color="auto" w:sz="4" w:space="0"/>
            </w:tcBorders>
            <w:noWrap/>
            <w:vAlign w:val="center"/>
          </w:tcPr>
          <w:p w14:paraId="458EA06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151</w:t>
            </w:r>
          </w:p>
        </w:tc>
        <w:tc>
          <w:tcPr>
            <w:tcW w:w="2028" w:type="dxa"/>
            <w:vMerge w:val="continue"/>
            <w:tcBorders>
              <w:top w:val="nil"/>
              <w:left w:val="single" w:color="auto" w:sz="4" w:space="0"/>
              <w:bottom w:val="single" w:color="000000" w:sz="4" w:space="0"/>
              <w:right w:val="single" w:color="auto" w:sz="4" w:space="0"/>
            </w:tcBorders>
            <w:vAlign w:val="center"/>
          </w:tcPr>
          <w:p w14:paraId="0BAC228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5B554B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监测视觉融合分析-环境监测视觉融合分析算法开发-非道路机械识别</w:t>
            </w:r>
          </w:p>
        </w:tc>
        <w:tc>
          <w:tcPr>
            <w:tcW w:w="3928" w:type="dxa"/>
            <w:tcBorders>
              <w:top w:val="nil"/>
              <w:left w:val="nil"/>
              <w:bottom w:val="single" w:color="auto" w:sz="4" w:space="0"/>
              <w:right w:val="single" w:color="auto" w:sz="4" w:space="0"/>
            </w:tcBorders>
            <w:vAlign w:val="center"/>
          </w:tcPr>
          <w:p w14:paraId="788072E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依托工业园区、施工工地、物流园区等非道路机械活动区域的视频监控，采用深度学习算法提取机械外观特征（如叉车的货叉结构、压路机的滚筒形态、发电机的箱体造型），精准区分非道路机械与普通车辆，进一步分类识别机械类型（如叉车、压路机、装载机、柴油发电机），并监测机械运行状态（启动 / 停机）。同时，可结合机械排放标准，辅助排查未达标非道路机械违规使用情况，为非道路移动源污染管控、淘汰高排放机械提供数据依据。</w:t>
            </w:r>
          </w:p>
        </w:tc>
      </w:tr>
      <w:tr w14:paraId="00F795FD">
        <w:tblPrEx>
          <w:tblCellMar>
            <w:top w:w="0" w:type="dxa"/>
            <w:left w:w="108" w:type="dxa"/>
            <w:bottom w:w="0" w:type="dxa"/>
            <w:right w:w="108" w:type="dxa"/>
          </w:tblCellMar>
        </w:tblPrEx>
        <w:trPr>
          <w:trHeight w:val="1530" w:hRule="atLeast"/>
        </w:trPr>
        <w:tc>
          <w:tcPr>
            <w:tcW w:w="704" w:type="dxa"/>
            <w:tcBorders>
              <w:top w:val="nil"/>
              <w:left w:val="single" w:color="auto" w:sz="4" w:space="0"/>
              <w:bottom w:val="single" w:color="auto" w:sz="4" w:space="0"/>
              <w:right w:val="single" w:color="auto" w:sz="4" w:space="0"/>
            </w:tcBorders>
            <w:noWrap/>
            <w:vAlign w:val="center"/>
          </w:tcPr>
          <w:p w14:paraId="0E959F4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152</w:t>
            </w:r>
          </w:p>
        </w:tc>
        <w:tc>
          <w:tcPr>
            <w:tcW w:w="2028" w:type="dxa"/>
            <w:vMerge w:val="continue"/>
            <w:tcBorders>
              <w:top w:val="nil"/>
              <w:left w:val="single" w:color="auto" w:sz="4" w:space="0"/>
              <w:bottom w:val="single" w:color="000000" w:sz="4" w:space="0"/>
              <w:right w:val="single" w:color="auto" w:sz="4" w:space="0"/>
            </w:tcBorders>
            <w:vAlign w:val="center"/>
          </w:tcPr>
          <w:p w14:paraId="1D0B278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FF73DC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监测视觉融合分析-环境监测视觉融合分析算法开发-施工扬尘识别</w:t>
            </w:r>
          </w:p>
        </w:tc>
        <w:tc>
          <w:tcPr>
            <w:tcW w:w="3928" w:type="dxa"/>
            <w:tcBorders>
              <w:top w:val="nil"/>
              <w:left w:val="nil"/>
              <w:bottom w:val="single" w:color="auto" w:sz="4" w:space="0"/>
              <w:right w:val="single" w:color="auto" w:sz="4" w:space="0"/>
            </w:tcBorders>
            <w:vAlign w:val="center"/>
          </w:tcPr>
          <w:p w14:paraId="5B08F04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针对建筑施工、道路施工等易产生扬尘的场景，通过视频监控的图像分析算法，捕捉空气中颗粒物的动态扩散特征（如灰度值波动、能见度变化），结合扬尘浓度视觉评估模型，自动判定扬尘污染等级（轻度 / 中度 / 重度），排除自然风沙、车辆尾气等干扰因素。当识别到扬尘超标时，实时截取扬尘扩散图像与视频片段，记录超标发生时间、作业区域（如土方开挖区、渣土堆放区），为督促工地落实降尘措施（如开启雾炮、洒水）、环保执法检查提供直接证据，助力改善区域空气质量。</w:t>
            </w:r>
          </w:p>
        </w:tc>
      </w:tr>
      <w:tr w14:paraId="2D4C0F02">
        <w:tblPrEx>
          <w:tblCellMar>
            <w:top w:w="0" w:type="dxa"/>
            <w:left w:w="108" w:type="dxa"/>
            <w:bottom w:w="0" w:type="dxa"/>
            <w:right w:w="108" w:type="dxa"/>
          </w:tblCellMar>
        </w:tblPrEx>
        <w:trPr>
          <w:trHeight w:val="1275" w:hRule="atLeast"/>
        </w:trPr>
        <w:tc>
          <w:tcPr>
            <w:tcW w:w="704" w:type="dxa"/>
            <w:tcBorders>
              <w:top w:val="nil"/>
              <w:left w:val="single" w:color="auto" w:sz="4" w:space="0"/>
              <w:bottom w:val="single" w:color="auto" w:sz="4" w:space="0"/>
              <w:right w:val="single" w:color="auto" w:sz="4" w:space="0"/>
            </w:tcBorders>
            <w:noWrap/>
            <w:vAlign w:val="center"/>
          </w:tcPr>
          <w:p w14:paraId="3541C07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153</w:t>
            </w:r>
          </w:p>
        </w:tc>
        <w:tc>
          <w:tcPr>
            <w:tcW w:w="2028" w:type="dxa"/>
            <w:vMerge w:val="continue"/>
            <w:tcBorders>
              <w:top w:val="nil"/>
              <w:left w:val="single" w:color="auto" w:sz="4" w:space="0"/>
              <w:bottom w:val="single" w:color="000000" w:sz="4" w:space="0"/>
              <w:right w:val="single" w:color="auto" w:sz="4" w:space="0"/>
            </w:tcBorders>
            <w:vAlign w:val="center"/>
          </w:tcPr>
          <w:p w14:paraId="36822A0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A92C00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监测视觉融合分析-环境监测视觉融合分析算法开发-雾炮车作业识别</w:t>
            </w:r>
          </w:p>
        </w:tc>
        <w:tc>
          <w:tcPr>
            <w:tcW w:w="3928" w:type="dxa"/>
            <w:tcBorders>
              <w:top w:val="nil"/>
              <w:left w:val="nil"/>
              <w:bottom w:val="single" w:color="auto" w:sz="4" w:space="0"/>
              <w:right w:val="single" w:color="auto" w:sz="4" w:space="0"/>
            </w:tcBorders>
            <w:vAlign w:val="center"/>
          </w:tcPr>
          <w:p w14:paraId="2ADE4D6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施工工地、道路沿线等雾炮车作业区域的视频监控，运用目标检测与行为分析算法，先识别雾炮车本体（区分于普通洒水车的喷雾装置特征），再通过监测雾炮喷射的水雾形态、覆盖范围及持续时间，判定作业状态（正常作业 / 未作业 / 作业不达标，如喷雾量不足、覆盖区域未达扬尘点）。自动记录雾炮车作业时段、频次与覆盖区域，生成作业达标率报表，辅助监管部门核查工地降尘措施落实情况，确保扬尘管控措施有效执行。</w:t>
            </w:r>
          </w:p>
        </w:tc>
      </w:tr>
      <w:tr w14:paraId="273F001A">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59E8881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154</w:t>
            </w:r>
          </w:p>
        </w:tc>
        <w:tc>
          <w:tcPr>
            <w:tcW w:w="2028" w:type="dxa"/>
            <w:vMerge w:val="continue"/>
            <w:tcBorders>
              <w:top w:val="nil"/>
              <w:left w:val="single" w:color="auto" w:sz="4" w:space="0"/>
              <w:bottom w:val="single" w:color="000000" w:sz="4" w:space="0"/>
              <w:right w:val="single" w:color="auto" w:sz="4" w:space="0"/>
            </w:tcBorders>
            <w:vAlign w:val="center"/>
          </w:tcPr>
          <w:p w14:paraId="48BA5F7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0EDCC3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生物物种智能识别分析-鸟类智能识别分析-鸟类物种库建设</w:t>
            </w:r>
          </w:p>
        </w:tc>
        <w:tc>
          <w:tcPr>
            <w:tcW w:w="3928" w:type="dxa"/>
            <w:tcBorders>
              <w:top w:val="nil"/>
              <w:left w:val="nil"/>
              <w:bottom w:val="single" w:color="auto" w:sz="4" w:space="0"/>
              <w:right w:val="single" w:color="auto" w:sz="4" w:space="0"/>
            </w:tcBorders>
            <w:vAlign w:val="center"/>
          </w:tcPr>
          <w:p w14:paraId="2DBF843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上海市鸟类的基础物种库，存储每类鸟类的学名、中文名、分类归属（目、科、属）、典型形态特征（羽毛纹理、喙形、翼展范围），关联高清形态图像（涵盖不同姿态、季节的个体图像），支持按物种名称、形态特征（如 “红色喙部”“黑白羽毛”）快速检索，为图像识别提供基础形态特征支撑。</w:t>
            </w:r>
          </w:p>
        </w:tc>
      </w:tr>
      <w:tr w14:paraId="1BCD4DB5">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36F3B70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155</w:t>
            </w:r>
          </w:p>
        </w:tc>
        <w:tc>
          <w:tcPr>
            <w:tcW w:w="2028" w:type="dxa"/>
            <w:vMerge w:val="continue"/>
            <w:tcBorders>
              <w:top w:val="nil"/>
              <w:left w:val="single" w:color="auto" w:sz="4" w:space="0"/>
              <w:bottom w:val="single" w:color="000000" w:sz="4" w:space="0"/>
              <w:right w:val="single" w:color="auto" w:sz="4" w:space="0"/>
            </w:tcBorders>
            <w:vAlign w:val="center"/>
          </w:tcPr>
          <w:p w14:paraId="3EC1F36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1A4223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生物物种智能识别分析-鸟类智能识别分析-鸟类声纹库建设</w:t>
            </w:r>
          </w:p>
        </w:tc>
        <w:tc>
          <w:tcPr>
            <w:tcW w:w="3928" w:type="dxa"/>
            <w:tcBorders>
              <w:top w:val="nil"/>
              <w:left w:val="nil"/>
              <w:bottom w:val="single" w:color="auto" w:sz="4" w:space="0"/>
              <w:right w:val="single" w:color="auto" w:sz="4" w:space="0"/>
            </w:tcBorders>
            <w:vAlign w:val="center"/>
          </w:tcPr>
          <w:p w14:paraId="00C189B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搭建上海市鸟类专项声纹库，收录典型鸣唱声纹数据（含求偶鸣唱、报警鸣叫、集群鸣叫等不同声型），存储声纹核心参数（频率范围、脉冲间隔、声强变化规律），每条声纹数据关联对应鸟类物种信息，按物种名称、声纹频率区间分类归档，支持按声纹特征片段检索，为声纹识别提供数据基础。</w:t>
            </w:r>
          </w:p>
        </w:tc>
      </w:tr>
      <w:tr w14:paraId="7E67DE36">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E2AE7E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156</w:t>
            </w:r>
          </w:p>
        </w:tc>
        <w:tc>
          <w:tcPr>
            <w:tcW w:w="2028" w:type="dxa"/>
            <w:vMerge w:val="continue"/>
            <w:tcBorders>
              <w:top w:val="nil"/>
              <w:left w:val="single" w:color="auto" w:sz="4" w:space="0"/>
              <w:bottom w:val="single" w:color="000000" w:sz="4" w:space="0"/>
              <w:right w:val="single" w:color="auto" w:sz="4" w:space="0"/>
            </w:tcBorders>
            <w:vAlign w:val="center"/>
          </w:tcPr>
          <w:p w14:paraId="3F0E80E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A73540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生物物种智能识别分析-鸟类智能识别分析-鸟类图像识别算法开发</w:t>
            </w:r>
          </w:p>
        </w:tc>
        <w:tc>
          <w:tcPr>
            <w:tcW w:w="3928" w:type="dxa"/>
            <w:tcBorders>
              <w:top w:val="nil"/>
              <w:left w:val="nil"/>
              <w:bottom w:val="single" w:color="auto" w:sz="4" w:space="0"/>
              <w:right w:val="single" w:color="auto" w:sz="4" w:space="0"/>
            </w:tcBorders>
            <w:vAlign w:val="center"/>
          </w:tcPr>
          <w:p w14:paraId="256A69C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通过对鸟类基础物种库图像数据预训练，构建模型聚焦羽毛纹理、喙形、翼展比例三大核心形态特征提取，通过与基础物种库中的形态特征模板匹配，输出具体鸟类物种名称及置信度。</w:t>
            </w:r>
          </w:p>
        </w:tc>
      </w:tr>
      <w:tr w14:paraId="3451A4B1">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1C4BA4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157</w:t>
            </w:r>
          </w:p>
        </w:tc>
        <w:tc>
          <w:tcPr>
            <w:tcW w:w="2028" w:type="dxa"/>
            <w:vMerge w:val="continue"/>
            <w:tcBorders>
              <w:top w:val="nil"/>
              <w:left w:val="single" w:color="auto" w:sz="4" w:space="0"/>
              <w:bottom w:val="single" w:color="000000" w:sz="4" w:space="0"/>
              <w:right w:val="single" w:color="auto" w:sz="4" w:space="0"/>
            </w:tcBorders>
            <w:vAlign w:val="center"/>
          </w:tcPr>
          <w:p w14:paraId="232BD90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4322FF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生物物种智能识别分析-鸟类智能识别分析-鸟类声纹识别算法开发</w:t>
            </w:r>
          </w:p>
        </w:tc>
        <w:tc>
          <w:tcPr>
            <w:tcW w:w="3928" w:type="dxa"/>
            <w:tcBorders>
              <w:top w:val="nil"/>
              <w:left w:val="nil"/>
              <w:bottom w:val="single" w:color="auto" w:sz="4" w:space="0"/>
              <w:right w:val="single" w:color="auto" w:sz="4" w:space="0"/>
            </w:tcBorders>
            <w:vAlign w:val="center"/>
          </w:tcPr>
          <w:p w14:paraId="7467270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通过对鸟类声纹库数据训练，提取鸟类鸣唱的 MFCC 核心参数，过滤风声、虫鸣等环境噪声，通过声纹特征与声纹库中对应物种的声纹模板比对，输出具体鸟类物种名称及置信度。</w:t>
            </w:r>
          </w:p>
        </w:tc>
      </w:tr>
      <w:tr w14:paraId="0FBFAE2A">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B27F01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158</w:t>
            </w:r>
          </w:p>
        </w:tc>
        <w:tc>
          <w:tcPr>
            <w:tcW w:w="2028" w:type="dxa"/>
            <w:vMerge w:val="continue"/>
            <w:tcBorders>
              <w:top w:val="nil"/>
              <w:left w:val="single" w:color="auto" w:sz="4" w:space="0"/>
              <w:bottom w:val="single" w:color="000000" w:sz="4" w:space="0"/>
              <w:right w:val="single" w:color="auto" w:sz="4" w:space="0"/>
            </w:tcBorders>
            <w:vAlign w:val="center"/>
          </w:tcPr>
          <w:p w14:paraId="0632A1B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F737B0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生物物种智能识别分析-兽类智能识别分析-兽类物种库建设</w:t>
            </w:r>
          </w:p>
        </w:tc>
        <w:tc>
          <w:tcPr>
            <w:tcW w:w="3928" w:type="dxa"/>
            <w:tcBorders>
              <w:top w:val="nil"/>
              <w:left w:val="nil"/>
              <w:bottom w:val="single" w:color="auto" w:sz="4" w:space="0"/>
              <w:right w:val="single" w:color="auto" w:sz="4" w:space="0"/>
            </w:tcBorders>
            <w:vAlign w:val="center"/>
          </w:tcPr>
          <w:p w14:paraId="6C44355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搭建上海市兽类的基础物种库，收录每类兽类的学名、中文名、分类信息（目、科、属）、关键形态特征（体型尺寸、毛色、斑纹模式、尾型）、红外环境下的典型形态图像，同时记录其基础活动习性（昼行/夜行），便于快速匹配识别需求。</w:t>
            </w:r>
          </w:p>
        </w:tc>
      </w:tr>
      <w:tr w14:paraId="5C687FE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7894D7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159</w:t>
            </w:r>
          </w:p>
        </w:tc>
        <w:tc>
          <w:tcPr>
            <w:tcW w:w="2028" w:type="dxa"/>
            <w:vMerge w:val="continue"/>
            <w:tcBorders>
              <w:top w:val="nil"/>
              <w:left w:val="single" w:color="auto" w:sz="4" w:space="0"/>
              <w:bottom w:val="single" w:color="000000" w:sz="4" w:space="0"/>
              <w:right w:val="single" w:color="auto" w:sz="4" w:space="0"/>
            </w:tcBorders>
            <w:vAlign w:val="center"/>
          </w:tcPr>
          <w:p w14:paraId="796D774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786406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生物物种智能识别分析-兽类智能识别分析-兽类识别算法开发</w:t>
            </w:r>
          </w:p>
        </w:tc>
        <w:tc>
          <w:tcPr>
            <w:tcW w:w="3928" w:type="dxa"/>
            <w:tcBorders>
              <w:top w:val="nil"/>
              <w:left w:val="nil"/>
              <w:bottom w:val="single" w:color="auto" w:sz="4" w:space="0"/>
              <w:right w:val="single" w:color="auto" w:sz="4" w:space="0"/>
            </w:tcBorders>
            <w:vAlign w:val="center"/>
          </w:tcPr>
          <w:p w14:paraId="7461864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以图像特征识别为核心，识别兽类体型轮廓、毛色深浅、斑纹分布特征，聚焦体型类型、尾型、关键斑纹特征匹配，最终输出具体兽类物种名称及置信度。</w:t>
            </w:r>
          </w:p>
        </w:tc>
      </w:tr>
      <w:tr w14:paraId="43F503A9">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FFF600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160</w:t>
            </w:r>
          </w:p>
        </w:tc>
        <w:tc>
          <w:tcPr>
            <w:tcW w:w="2028" w:type="dxa"/>
            <w:vMerge w:val="continue"/>
            <w:tcBorders>
              <w:top w:val="nil"/>
              <w:left w:val="single" w:color="auto" w:sz="4" w:space="0"/>
              <w:bottom w:val="single" w:color="000000" w:sz="4" w:space="0"/>
              <w:right w:val="single" w:color="auto" w:sz="4" w:space="0"/>
            </w:tcBorders>
            <w:vAlign w:val="center"/>
          </w:tcPr>
          <w:p w14:paraId="73133B8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3DFFEE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生物物种智能识别分析-鱼类智能识别分析-鱼类物种库建设</w:t>
            </w:r>
          </w:p>
        </w:tc>
        <w:tc>
          <w:tcPr>
            <w:tcW w:w="3928" w:type="dxa"/>
            <w:tcBorders>
              <w:top w:val="nil"/>
              <w:left w:val="nil"/>
              <w:bottom w:val="single" w:color="auto" w:sz="4" w:space="0"/>
              <w:right w:val="single" w:color="auto" w:sz="4" w:space="0"/>
            </w:tcBorders>
            <w:vAlign w:val="center"/>
          </w:tcPr>
          <w:p w14:paraId="0343328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上海市鱼类的基础物种库，收录每类鱼类的学名、中文名、分类信息（目、科、属）、核心形态特征（体型类型、体色、鳍形、鳞片排列）、水下环境下的典型图像，同时记录其基础栖息偏好（水层、水温适应范围），为识别提供基础特征支撑。</w:t>
            </w:r>
          </w:p>
        </w:tc>
      </w:tr>
      <w:tr w14:paraId="6A1CCF1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99A35D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161</w:t>
            </w:r>
          </w:p>
        </w:tc>
        <w:tc>
          <w:tcPr>
            <w:tcW w:w="2028" w:type="dxa"/>
            <w:vMerge w:val="continue"/>
            <w:tcBorders>
              <w:top w:val="nil"/>
              <w:left w:val="single" w:color="auto" w:sz="4" w:space="0"/>
              <w:bottom w:val="single" w:color="000000" w:sz="4" w:space="0"/>
              <w:right w:val="single" w:color="auto" w:sz="4" w:space="0"/>
            </w:tcBorders>
            <w:vAlign w:val="center"/>
          </w:tcPr>
          <w:p w14:paraId="1C10B34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7BB794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生物物种智能识别分析-鱼类智能识别分析-鱼类识别算法开发</w:t>
            </w:r>
          </w:p>
        </w:tc>
        <w:tc>
          <w:tcPr>
            <w:tcW w:w="3928" w:type="dxa"/>
            <w:tcBorders>
              <w:top w:val="nil"/>
              <w:left w:val="nil"/>
              <w:bottom w:val="single" w:color="auto" w:sz="4" w:space="0"/>
              <w:right w:val="single" w:color="auto" w:sz="4" w:space="0"/>
            </w:tcBorders>
            <w:vAlign w:val="center"/>
          </w:tcPr>
          <w:p w14:paraId="7E28464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围绕水下图像形态特征构建识别算法，先通过小波变换去噪去除水下图像干扰，再聚焦体型类型、鳍形、体色斑纹特征进行识别匹配，输出具体鱼类物种名称及置信度。</w:t>
            </w:r>
            <w:r>
              <w:rPr>
                <w:rFonts w:ascii="Times New Roman" w:hAnsi="Times New Roman"/>
                <w:bCs w:val="0"/>
                <w:color w:val="000000"/>
                <w:kern w:val="0"/>
                <w:sz w:val="20"/>
                <w:szCs w:val="20"/>
              </w:rPr>
              <w:t>​</w:t>
            </w:r>
          </w:p>
        </w:tc>
      </w:tr>
      <w:tr w14:paraId="4AE60125">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6E4148F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162</w:t>
            </w:r>
          </w:p>
        </w:tc>
        <w:tc>
          <w:tcPr>
            <w:tcW w:w="2028" w:type="dxa"/>
            <w:vMerge w:val="continue"/>
            <w:tcBorders>
              <w:top w:val="nil"/>
              <w:left w:val="single" w:color="auto" w:sz="4" w:space="0"/>
              <w:bottom w:val="single" w:color="000000" w:sz="4" w:space="0"/>
              <w:right w:val="single" w:color="auto" w:sz="4" w:space="0"/>
            </w:tcBorders>
            <w:vAlign w:val="center"/>
          </w:tcPr>
          <w:p w14:paraId="5998507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353DC7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生态环境多要素融合分析-污染源综合分析-</w:t>
            </w:r>
          </w:p>
        </w:tc>
        <w:tc>
          <w:tcPr>
            <w:tcW w:w="3928" w:type="dxa"/>
            <w:tcBorders>
              <w:top w:val="nil"/>
              <w:left w:val="nil"/>
              <w:bottom w:val="single" w:color="auto" w:sz="4" w:space="0"/>
              <w:right w:val="single" w:color="auto" w:sz="4" w:space="0"/>
            </w:tcBorders>
            <w:vAlign w:val="center"/>
          </w:tcPr>
          <w:p w14:paraId="033CB48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结合固定污染源系统数据和污染源监测数据，实现污染源综合统计分析。基于 GIS 地理信息系统，展示污染源清单和企业画像，并按照类型、级别、行政区划进行归集分析、污染排放分析、污染治理分析等，并对风险源关联分析、周边环境影响分析、风险源应急分析等进行可视化展示。</w:t>
            </w:r>
          </w:p>
        </w:tc>
      </w:tr>
      <w:tr w14:paraId="63D733C5">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74C6D67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163</w:t>
            </w:r>
          </w:p>
        </w:tc>
        <w:tc>
          <w:tcPr>
            <w:tcW w:w="2028" w:type="dxa"/>
            <w:vMerge w:val="continue"/>
            <w:tcBorders>
              <w:top w:val="nil"/>
              <w:left w:val="single" w:color="auto" w:sz="4" w:space="0"/>
              <w:bottom w:val="single" w:color="000000" w:sz="4" w:space="0"/>
              <w:right w:val="single" w:color="auto" w:sz="4" w:space="0"/>
            </w:tcBorders>
            <w:vAlign w:val="center"/>
          </w:tcPr>
          <w:p w14:paraId="0B1D6A0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279FC7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生态环境多要素融合分析-污染物排放综合分析-</w:t>
            </w:r>
          </w:p>
        </w:tc>
        <w:tc>
          <w:tcPr>
            <w:tcW w:w="3928" w:type="dxa"/>
            <w:tcBorders>
              <w:top w:val="nil"/>
              <w:left w:val="nil"/>
              <w:bottom w:val="single" w:color="auto" w:sz="4" w:space="0"/>
              <w:right w:val="single" w:color="auto" w:sz="4" w:space="0"/>
            </w:tcBorders>
            <w:vAlign w:val="center"/>
          </w:tcPr>
          <w:p w14:paraId="1CD649B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实现主要污染物排放指标分析，包括全省化学需氧量排放量较上年度下降比例（%）、氨氮排放量较上年度下降比例（%）、二氧化硫排放量较上年度下降比例（%）、氮氧化物排放量较上年度下降比例（%）几项指标分析，每项指标分析包括基础比例数据展示、市（区）各项指标完成情况排名分析。</w:t>
            </w:r>
          </w:p>
        </w:tc>
      </w:tr>
      <w:tr w14:paraId="3BFD01C8">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1E9FD2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164</w:t>
            </w:r>
          </w:p>
        </w:tc>
        <w:tc>
          <w:tcPr>
            <w:tcW w:w="2028" w:type="dxa"/>
            <w:vMerge w:val="continue"/>
            <w:tcBorders>
              <w:top w:val="nil"/>
              <w:left w:val="single" w:color="auto" w:sz="4" w:space="0"/>
              <w:bottom w:val="single" w:color="000000" w:sz="4" w:space="0"/>
              <w:right w:val="single" w:color="auto" w:sz="4" w:space="0"/>
            </w:tcBorders>
            <w:vAlign w:val="center"/>
          </w:tcPr>
          <w:p w14:paraId="18A2CE2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8CAFB4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生态环境多要素融合分析-水环境多要素融合分析-</w:t>
            </w:r>
          </w:p>
        </w:tc>
        <w:tc>
          <w:tcPr>
            <w:tcW w:w="3928" w:type="dxa"/>
            <w:tcBorders>
              <w:top w:val="nil"/>
              <w:left w:val="nil"/>
              <w:bottom w:val="single" w:color="auto" w:sz="4" w:space="0"/>
              <w:right w:val="single" w:color="auto" w:sz="4" w:space="0"/>
            </w:tcBorders>
            <w:vAlign w:val="center"/>
          </w:tcPr>
          <w:p w14:paraId="5E17394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长江流域固定河段饮用水源地各项主要监测因子的数据变化情况进行分析，厘清河流断面水质污染特征。对水质等级、污染程度、本年度水质目标评价、功能区达标率和综合污染指数等综合指数的态势变化统计分析，清晰掌握上海市辖区水质变化情况。</w:t>
            </w:r>
          </w:p>
        </w:tc>
      </w:tr>
      <w:tr w14:paraId="6DE5AFB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43A16D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165</w:t>
            </w:r>
          </w:p>
        </w:tc>
        <w:tc>
          <w:tcPr>
            <w:tcW w:w="2028" w:type="dxa"/>
            <w:vMerge w:val="continue"/>
            <w:tcBorders>
              <w:top w:val="nil"/>
              <w:left w:val="single" w:color="auto" w:sz="4" w:space="0"/>
              <w:bottom w:val="single" w:color="000000" w:sz="4" w:space="0"/>
              <w:right w:val="single" w:color="auto" w:sz="4" w:space="0"/>
            </w:tcBorders>
            <w:vAlign w:val="center"/>
          </w:tcPr>
          <w:p w14:paraId="738B375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ED784A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生态环境多要素融合分析-流域动态画像-</w:t>
            </w:r>
          </w:p>
        </w:tc>
        <w:tc>
          <w:tcPr>
            <w:tcW w:w="3928" w:type="dxa"/>
            <w:tcBorders>
              <w:top w:val="nil"/>
              <w:left w:val="nil"/>
              <w:bottom w:val="single" w:color="auto" w:sz="4" w:space="0"/>
              <w:right w:val="single" w:color="auto" w:sz="4" w:space="0"/>
            </w:tcBorders>
            <w:vAlign w:val="center"/>
          </w:tcPr>
          <w:p w14:paraId="6D082E5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对影响流域水质的相关指标进行分析研究，提取描绘重点流域水环境的关键指标，构建画像指标体系，形成流域的动态画像</w:t>
            </w:r>
          </w:p>
        </w:tc>
      </w:tr>
      <w:tr w14:paraId="1F66E28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F93EF7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166</w:t>
            </w:r>
          </w:p>
        </w:tc>
        <w:tc>
          <w:tcPr>
            <w:tcW w:w="2028" w:type="dxa"/>
            <w:vMerge w:val="continue"/>
            <w:tcBorders>
              <w:top w:val="nil"/>
              <w:left w:val="single" w:color="auto" w:sz="4" w:space="0"/>
              <w:bottom w:val="single" w:color="000000" w:sz="4" w:space="0"/>
              <w:right w:val="single" w:color="auto" w:sz="4" w:space="0"/>
            </w:tcBorders>
            <w:vAlign w:val="center"/>
          </w:tcPr>
          <w:p w14:paraId="0956107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5C3024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生态环境多要素融合分析-大气环境多要素融合分析-</w:t>
            </w:r>
          </w:p>
        </w:tc>
        <w:tc>
          <w:tcPr>
            <w:tcW w:w="3928" w:type="dxa"/>
            <w:tcBorders>
              <w:top w:val="nil"/>
              <w:left w:val="nil"/>
              <w:bottom w:val="single" w:color="auto" w:sz="4" w:space="0"/>
              <w:right w:val="single" w:color="auto" w:sz="4" w:space="0"/>
            </w:tcBorders>
            <w:vAlign w:val="center"/>
          </w:tcPr>
          <w:p w14:paraId="653AE4C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包含大气环境承载力分析、大气环境承载力时序变化、大气环境承载力时空分布、浓度趋势分析、浓度突变分析</w:t>
            </w:r>
          </w:p>
        </w:tc>
      </w:tr>
      <w:tr w14:paraId="6B52EC3C">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90E59F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167</w:t>
            </w:r>
          </w:p>
        </w:tc>
        <w:tc>
          <w:tcPr>
            <w:tcW w:w="2028" w:type="dxa"/>
            <w:vMerge w:val="continue"/>
            <w:tcBorders>
              <w:top w:val="nil"/>
              <w:left w:val="single" w:color="auto" w:sz="4" w:space="0"/>
              <w:bottom w:val="single" w:color="000000" w:sz="4" w:space="0"/>
              <w:right w:val="single" w:color="auto" w:sz="4" w:space="0"/>
            </w:tcBorders>
            <w:vAlign w:val="center"/>
          </w:tcPr>
          <w:p w14:paraId="469F618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B6C71D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生态环境多要素融合分析-土壤环境多要素融合分析-</w:t>
            </w:r>
          </w:p>
        </w:tc>
        <w:tc>
          <w:tcPr>
            <w:tcW w:w="3928" w:type="dxa"/>
            <w:tcBorders>
              <w:top w:val="nil"/>
              <w:left w:val="nil"/>
              <w:bottom w:val="single" w:color="auto" w:sz="4" w:space="0"/>
              <w:right w:val="single" w:color="auto" w:sz="4" w:space="0"/>
            </w:tcBorders>
            <w:vAlign w:val="center"/>
          </w:tcPr>
          <w:p w14:paraId="3A585F7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包含土壤环境变化环比分析可视化、土壤环境容量与承载力、土壤环境关键对象统计和地下水多要素融合分析</w:t>
            </w:r>
          </w:p>
        </w:tc>
      </w:tr>
      <w:tr w14:paraId="5EAF9345">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73DA6B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168</w:t>
            </w:r>
          </w:p>
        </w:tc>
        <w:tc>
          <w:tcPr>
            <w:tcW w:w="2028" w:type="dxa"/>
            <w:vMerge w:val="continue"/>
            <w:tcBorders>
              <w:top w:val="nil"/>
              <w:left w:val="single" w:color="auto" w:sz="4" w:space="0"/>
              <w:bottom w:val="single" w:color="000000" w:sz="4" w:space="0"/>
              <w:right w:val="single" w:color="auto" w:sz="4" w:space="0"/>
            </w:tcBorders>
            <w:vAlign w:val="center"/>
          </w:tcPr>
          <w:p w14:paraId="4332A50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8F308B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生态环境多要素融合分析-生态环境质量主要问题分析-</w:t>
            </w:r>
          </w:p>
        </w:tc>
        <w:tc>
          <w:tcPr>
            <w:tcW w:w="3928" w:type="dxa"/>
            <w:tcBorders>
              <w:top w:val="nil"/>
              <w:left w:val="nil"/>
              <w:bottom w:val="single" w:color="auto" w:sz="4" w:space="0"/>
              <w:right w:val="single" w:color="auto" w:sz="4" w:space="0"/>
            </w:tcBorders>
            <w:vAlign w:val="center"/>
          </w:tcPr>
          <w:p w14:paraId="6EA22D4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结合生态环境质量总体现状及污染源的总体分析，依托系统提供的可视化分析工具，针对环境空气质量、地表水环境质量、饮用水源地水环境质量、海洋环境质量、地下水环境质量、生态环境状况、农村环境质量、土壤环境质量、声环境质量的主要问题进行挖掘分析。</w:t>
            </w:r>
          </w:p>
        </w:tc>
      </w:tr>
      <w:tr w14:paraId="6CC3AC17">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0B1AAC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169</w:t>
            </w:r>
          </w:p>
        </w:tc>
        <w:tc>
          <w:tcPr>
            <w:tcW w:w="2028" w:type="dxa"/>
            <w:vMerge w:val="restart"/>
            <w:tcBorders>
              <w:top w:val="nil"/>
              <w:left w:val="single" w:color="auto" w:sz="4" w:space="0"/>
              <w:bottom w:val="single" w:color="000000" w:sz="4" w:space="0"/>
              <w:right w:val="single" w:color="auto" w:sz="4" w:space="0"/>
            </w:tcBorders>
            <w:vAlign w:val="center"/>
          </w:tcPr>
          <w:p w14:paraId="0AF1D05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污染源智慧监管</w:t>
            </w:r>
          </w:p>
        </w:tc>
        <w:tc>
          <w:tcPr>
            <w:tcW w:w="1642" w:type="dxa"/>
            <w:tcBorders>
              <w:top w:val="nil"/>
              <w:left w:val="nil"/>
              <w:bottom w:val="single" w:color="auto" w:sz="4" w:space="0"/>
              <w:right w:val="single" w:color="auto" w:sz="4" w:space="0"/>
            </w:tcBorders>
            <w:vAlign w:val="center"/>
          </w:tcPr>
          <w:p w14:paraId="79D3567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污染源监测设备联网分析-联网设备动态管理</w:t>
            </w:r>
          </w:p>
        </w:tc>
        <w:tc>
          <w:tcPr>
            <w:tcW w:w="3928" w:type="dxa"/>
            <w:tcBorders>
              <w:top w:val="nil"/>
              <w:left w:val="nil"/>
              <w:bottom w:val="single" w:color="auto" w:sz="4" w:space="0"/>
              <w:right w:val="single" w:color="auto" w:sz="4" w:space="0"/>
            </w:tcBorders>
            <w:vAlign w:val="center"/>
          </w:tcPr>
          <w:p w14:paraId="3BA9663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动态跟踪新建企业、新增设备、监管级别发生改变等、排污许可证自行监测方案改变企业的联网情况，实现对企业联网设备的动态管理，实时统计联网设备的数量、退出联网设备的数量。</w:t>
            </w:r>
          </w:p>
        </w:tc>
      </w:tr>
      <w:tr w14:paraId="36F5292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9ADD33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170</w:t>
            </w:r>
          </w:p>
        </w:tc>
        <w:tc>
          <w:tcPr>
            <w:tcW w:w="2028" w:type="dxa"/>
            <w:vMerge w:val="continue"/>
            <w:tcBorders>
              <w:top w:val="nil"/>
              <w:left w:val="single" w:color="auto" w:sz="4" w:space="0"/>
              <w:bottom w:val="single" w:color="000000" w:sz="4" w:space="0"/>
              <w:right w:val="single" w:color="auto" w:sz="4" w:space="0"/>
            </w:tcBorders>
            <w:vAlign w:val="center"/>
          </w:tcPr>
          <w:p w14:paraId="0C8C84F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5D633C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污染源监测设备联网分析-联网情况查询统计</w:t>
            </w:r>
          </w:p>
        </w:tc>
        <w:tc>
          <w:tcPr>
            <w:tcW w:w="3928" w:type="dxa"/>
            <w:tcBorders>
              <w:top w:val="nil"/>
              <w:left w:val="nil"/>
              <w:bottom w:val="single" w:color="auto" w:sz="4" w:space="0"/>
              <w:right w:val="single" w:color="auto" w:sz="4" w:space="0"/>
            </w:tcBorders>
            <w:vAlign w:val="center"/>
          </w:tcPr>
          <w:p w14:paraId="058E162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联网情况查询统计包括按区域、因子、类型进行的查询分析。可按区域查询企业联网设备信息并统计数量，也能按因子查询相关信息及统计不同监测因子的设备数量，还可按废水、废气企业类型查询设备信息并统计数量。</w:t>
            </w:r>
          </w:p>
        </w:tc>
      </w:tr>
      <w:tr w14:paraId="3CF9CE5A">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6391D4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171</w:t>
            </w:r>
          </w:p>
        </w:tc>
        <w:tc>
          <w:tcPr>
            <w:tcW w:w="2028" w:type="dxa"/>
            <w:vMerge w:val="continue"/>
            <w:tcBorders>
              <w:top w:val="nil"/>
              <w:left w:val="single" w:color="auto" w:sz="4" w:space="0"/>
              <w:bottom w:val="single" w:color="000000" w:sz="4" w:space="0"/>
              <w:right w:val="single" w:color="auto" w:sz="4" w:space="0"/>
            </w:tcBorders>
            <w:vAlign w:val="center"/>
          </w:tcPr>
          <w:p w14:paraId="082511A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122D3A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污染源监测设备联网分析-联网设备历史变化趋势</w:t>
            </w:r>
          </w:p>
        </w:tc>
        <w:tc>
          <w:tcPr>
            <w:tcW w:w="3928" w:type="dxa"/>
            <w:tcBorders>
              <w:top w:val="nil"/>
              <w:left w:val="nil"/>
              <w:bottom w:val="single" w:color="auto" w:sz="4" w:space="0"/>
              <w:right w:val="single" w:color="auto" w:sz="4" w:space="0"/>
            </w:tcBorders>
            <w:vAlign w:val="center"/>
          </w:tcPr>
          <w:p w14:paraId="001EE9B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集成联网设备历史监测数据，以统计图或统计表的形式呈现联网设备监测数据历史变化情况。</w:t>
            </w:r>
          </w:p>
        </w:tc>
      </w:tr>
      <w:tr w14:paraId="43F2155E">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566E329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172</w:t>
            </w:r>
          </w:p>
        </w:tc>
        <w:tc>
          <w:tcPr>
            <w:tcW w:w="2028" w:type="dxa"/>
            <w:vMerge w:val="continue"/>
            <w:tcBorders>
              <w:top w:val="nil"/>
              <w:left w:val="single" w:color="auto" w:sz="4" w:space="0"/>
              <w:bottom w:val="single" w:color="000000" w:sz="4" w:space="0"/>
              <w:right w:val="single" w:color="auto" w:sz="4" w:space="0"/>
            </w:tcBorders>
            <w:vAlign w:val="center"/>
          </w:tcPr>
          <w:p w14:paraId="5C98395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6DD11C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污染源监测数据异常分析-电子化运维行为与在线标记位合理性鉴别</w:t>
            </w:r>
          </w:p>
        </w:tc>
        <w:tc>
          <w:tcPr>
            <w:tcW w:w="3928" w:type="dxa"/>
            <w:tcBorders>
              <w:top w:val="nil"/>
              <w:left w:val="nil"/>
              <w:bottom w:val="single" w:color="auto" w:sz="4" w:space="0"/>
              <w:right w:val="single" w:color="auto" w:sz="4" w:space="0"/>
            </w:tcBorders>
            <w:vAlign w:val="center"/>
          </w:tcPr>
          <w:p w14:paraId="79FEEDB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获取运维记录、废 / 废气监测及标记数据，经清洗、剔除异常值、补全等预处理，构建含标记存在性、类型匹配、时间吻合度校验的模型规则，动态验证运维操作与数据标记逻辑一致性，自动判定标记位缺失、类型不符或时间偏差等异常情况，生成不合理行为企业清单并人工复核，提升数据合规性与运维规范性。</w:t>
            </w:r>
          </w:p>
        </w:tc>
      </w:tr>
      <w:tr w14:paraId="3C367743">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392A7E1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173</w:t>
            </w:r>
          </w:p>
        </w:tc>
        <w:tc>
          <w:tcPr>
            <w:tcW w:w="2028" w:type="dxa"/>
            <w:vMerge w:val="continue"/>
            <w:tcBorders>
              <w:top w:val="nil"/>
              <w:left w:val="single" w:color="auto" w:sz="4" w:space="0"/>
              <w:bottom w:val="single" w:color="000000" w:sz="4" w:space="0"/>
              <w:right w:val="single" w:color="auto" w:sz="4" w:space="0"/>
            </w:tcBorders>
            <w:vAlign w:val="center"/>
          </w:tcPr>
          <w:p w14:paraId="2E34AC2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5BDF01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污染源监测数据异常分析-企业生产、治理设施工况与排放数据合理性鉴别</w:t>
            </w:r>
          </w:p>
        </w:tc>
        <w:tc>
          <w:tcPr>
            <w:tcW w:w="3928" w:type="dxa"/>
            <w:tcBorders>
              <w:top w:val="nil"/>
              <w:left w:val="nil"/>
              <w:bottom w:val="single" w:color="auto" w:sz="4" w:space="0"/>
              <w:right w:val="single" w:color="auto" w:sz="4" w:space="0"/>
            </w:tcBorders>
            <w:vAlign w:val="center"/>
          </w:tcPr>
          <w:p w14:paraId="52AFC57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基于废 / 废气监测及标记数据，排查企业以 “停产 / 停排”“停产 / 停炉” 等不规范标记掩盖超标排放行为。获取监测数据与设备日志，经清洗、补全等预处理，构建规则：废水标记时段排水超阈值且污染物超标，废气标记时段氧含量 &lt; 15%、温度 &gt; 80℃且污染物超标则判定异常。系统生成清单并人工复核，保障数据真实。</w:t>
            </w:r>
          </w:p>
        </w:tc>
      </w:tr>
      <w:tr w14:paraId="5F3F1068">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108A1EC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174</w:t>
            </w:r>
          </w:p>
        </w:tc>
        <w:tc>
          <w:tcPr>
            <w:tcW w:w="2028" w:type="dxa"/>
            <w:vMerge w:val="continue"/>
            <w:tcBorders>
              <w:top w:val="nil"/>
              <w:left w:val="single" w:color="auto" w:sz="4" w:space="0"/>
              <w:bottom w:val="single" w:color="000000" w:sz="4" w:space="0"/>
              <w:right w:val="single" w:color="auto" w:sz="4" w:space="0"/>
            </w:tcBorders>
            <w:vAlign w:val="center"/>
          </w:tcPr>
          <w:p w14:paraId="1DCC9A0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D3DEC8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污染源监测数据异常分析-视频信息与数据合理性鉴别</w:t>
            </w:r>
          </w:p>
        </w:tc>
        <w:tc>
          <w:tcPr>
            <w:tcW w:w="3928" w:type="dxa"/>
            <w:tcBorders>
              <w:top w:val="nil"/>
              <w:left w:val="nil"/>
              <w:bottom w:val="single" w:color="auto" w:sz="4" w:space="0"/>
              <w:right w:val="single" w:color="auto" w:sz="4" w:space="0"/>
            </w:tcBorders>
            <w:vAlign w:val="center"/>
          </w:tcPr>
          <w:p w14:paraId="5BA8367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以站房视频监控的人员活动时段为依据，结合废 / 废气监测及标记数据，分析对应时段 “校准 / 故障 / 维护” 等标记的合理性。若视频显示有人操作却无标记，或标记时段与视频时间偏差超阈值，即判定异常，提示可能存在未规范记录或掩盖数据异常的情况。系统生成异常清单并经人工复核，保障监测数据真实与运维合规。</w:t>
            </w:r>
          </w:p>
        </w:tc>
      </w:tr>
      <w:tr w14:paraId="0844BFA2">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11654C1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175</w:t>
            </w:r>
          </w:p>
        </w:tc>
        <w:tc>
          <w:tcPr>
            <w:tcW w:w="2028" w:type="dxa"/>
            <w:vMerge w:val="continue"/>
            <w:tcBorders>
              <w:top w:val="nil"/>
              <w:left w:val="single" w:color="auto" w:sz="4" w:space="0"/>
              <w:bottom w:val="single" w:color="000000" w:sz="4" w:space="0"/>
              <w:right w:val="single" w:color="auto" w:sz="4" w:space="0"/>
            </w:tcBorders>
            <w:vAlign w:val="center"/>
          </w:tcPr>
          <w:p w14:paraId="7623B2F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2958D9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污染源监测数据异常分析-企业、行业排放特征与数据合理性鉴别</w:t>
            </w:r>
          </w:p>
        </w:tc>
        <w:tc>
          <w:tcPr>
            <w:tcW w:w="3928" w:type="dxa"/>
            <w:tcBorders>
              <w:top w:val="nil"/>
              <w:left w:val="nil"/>
              <w:bottom w:val="single" w:color="auto" w:sz="4" w:space="0"/>
              <w:right w:val="single" w:color="auto" w:sz="4" w:space="0"/>
            </w:tcBorders>
            <w:vAlign w:val="center"/>
          </w:tcPr>
          <w:p w14:paraId="4E64B37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分析废水车间排口与总排口流量趋势，结合废气及标记数据，验证排放合理性。针对涉一类重金属企业，利用皮尔逊相关系数统计两排口流量关联，若生产稳定时两者趋势显著偏离，或相关系数低于阈值，则判定异常。经数据预处理，系统生成异常企业清单并人工复核，助力锁定违规排放线索。</w:t>
            </w:r>
          </w:p>
        </w:tc>
      </w:tr>
      <w:tr w14:paraId="60052489">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50786B9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176</w:t>
            </w:r>
          </w:p>
        </w:tc>
        <w:tc>
          <w:tcPr>
            <w:tcW w:w="2028" w:type="dxa"/>
            <w:vMerge w:val="continue"/>
            <w:tcBorders>
              <w:top w:val="nil"/>
              <w:left w:val="single" w:color="auto" w:sz="4" w:space="0"/>
              <w:bottom w:val="single" w:color="000000" w:sz="4" w:space="0"/>
              <w:right w:val="single" w:color="auto" w:sz="4" w:space="0"/>
            </w:tcBorders>
            <w:vAlign w:val="center"/>
          </w:tcPr>
          <w:p w14:paraId="36C3589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F2B6F0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污染源监测数据异常分析-设备、工况故障标记合理性鉴别</w:t>
            </w:r>
          </w:p>
        </w:tc>
        <w:tc>
          <w:tcPr>
            <w:tcW w:w="3928" w:type="dxa"/>
            <w:tcBorders>
              <w:top w:val="nil"/>
              <w:left w:val="nil"/>
              <w:bottom w:val="single" w:color="auto" w:sz="4" w:space="0"/>
              <w:right w:val="single" w:color="auto" w:sz="4" w:space="0"/>
            </w:tcBorders>
            <w:vAlign w:val="center"/>
          </w:tcPr>
          <w:p w14:paraId="405034C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基于废水排放监测及标记数据，排查企业是否以不规范 “故障 / 事故” 标记掩盖污染物超标或数据异常。获取废水数据、设备日志等，经清洗、补全、匹配等预处理，构建规则：故障标记时段内污染物超标、流量异常、浓度超量程或出现陡升恒值等情况，即判定为异常标记。系统生成清单并人工复核，保障监测数据真实反映设备运行状态。</w:t>
            </w:r>
          </w:p>
        </w:tc>
      </w:tr>
      <w:tr w14:paraId="53D80EE8">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405773B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177</w:t>
            </w:r>
          </w:p>
        </w:tc>
        <w:tc>
          <w:tcPr>
            <w:tcW w:w="2028" w:type="dxa"/>
            <w:vMerge w:val="continue"/>
            <w:tcBorders>
              <w:top w:val="nil"/>
              <w:left w:val="single" w:color="auto" w:sz="4" w:space="0"/>
              <w:bottom w:val="single" w:color="000000" w:sz="4" w:space="0"/>
              <w:right w:val="single" w:color="auto" w:sz="4" w:space="0"/>
            </w:tcBorders>
            <w:vAlign w:val="center"/>
          </w:tcPr>
          <w:p w14:paraId="75FFD69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2D7B91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污染源监测数据异常分析-设备、工况校准校验标记合理性鉴别</w:t>
            </w:r>
          </w:p>
        </w:tc>
        <w:tc>
          <w:tcPr>
            <w:tcW w:w="3928" w:type="dxa"/>
            <w:tcBorders>
              <w:top w:val="nil"/>
              <w:left w:val="nil"/>
              <w:bottom w:val="single" w:color="auto" w:sz="4" w:space="0"/>
              <w:right w:val="single" w:color="auto" w:sz="4" w:space="0"/>
            </w:tcBorders>
            <w:vAlign w:val="center"/>
          </w:tcPr>
          <w:p w14:paraId="58E4929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基于废 / 废气监测及标记数据，排查企业是否以不规范 “校准校验” 标记掩盖污染物超标或伪造运维记录。获取监测数据、设备日志等，经清洗、补全等预处理，构建规则：废水标记时段污染物浓度变化超阈值，废气标记时段出现标气数据特征且前后超标频繁，则判定异常。系统生成清单并人工复核，保障监测数据真实可信。</w:t>
            </w:r>
          </w:p>
        </w:tc>
      </w:tr>
      <w:tr w14:paraId="4D4AACDE">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22C0BDA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178</w:t>
            </w:r>
          </w:p>
        </w:tc>
        <w:tc>
          <w:tcPr>
            <w:tcW w:w="2028" w:type="dxa"/>
            <w:vMerge w:val="continue"/>
            <w:tcBorders>
              <w:top w:val="nil"/>
              <w:left w:val="single" w:color="auto" w:sz="4" w:space="0"/>
              <w:bottom w:val="single" w:color="000000" w:sz="4" w:space="0"/>
              <w:right w:val="single" w:color="auto" w:sz="4" w:space="0"/>
            </w:tcBorders>
            <w:vAlign w:val="center"/>
          </w:tcPr>
          <w:p w14:paraId="5737EA8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72C645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污染排放预测预警-基于在线排放数据的逻辑性鉴别模型</w:t>
            </w:r>
          </w:p>
        </w:tc>
        <w:tc>
          <w:tcPr>
            <w:tcW w:w="3928" w:type="dxa"/>
            <w:tcBorders>
              <w:top w:val="nil"/>
              <w:left w:val="nil"/>
              <w:bottom w:val="single" w:color="auto" w:sz="4" w:space="0"/>
              <w:right w:val="single" w:color="auto" w:sz="4" w:space="0"/>
            </w:tcBorders>
            <w:vAlign w:val="center"/>
          </w:tcPr>
          <w:p w14:paraId="1D11C1F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整合上海市环境监测中心 20 余个污染源在线异常线索模型，以执法总队检查结果为 “黄金标准” 构建闭环反馈机制。获取废 / 废气监测、标记及执法检查数据，经异常值清洗、标准化等预处理，构建规则与机器学习模型，验证数据逻辑性、合理性等，识别异常。系统生成异常线索与模型评估报告，动态优化模型，提升环境监管精准性与科学性。</w:t>
            </w:r>
          </w:p>
        </w:tc>
      </w:tr>
      <w:tr w14:paraId="16CB0023">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44D6AAD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179</w:t>
            </w:r>
          </w:p>
        </w:tc>
        <w:tc>
          <w:tcPr>
            <w:tcW w:w="2028" w:type="dxa"/>
            <w:vMerge w:val="continue"/>
            <w:tcBorders>
              <w:top w:val="nil"/>
              <w:left w:val="single" w:color="auto" w:sz="4" w:space="0"/>
              <w:bottom w:val="single" w:color="000000" w:sz="4" w:space="0"/>
              <w:right w:val="single" w:color="auto" w:sz="4" w:space="0"/>
            </w:tcBorders>
            <w:vAlign w:val="center"/>
          </w:tcPr>
          <w:p w14:paraId="7A6422E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E9B4E2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污染排放预测预警-PEMS排放预测模型</w:t>
            </w:r>
          </w:p>
        </w:tc>
        <w:tc>
          <w:tcPr>
            <w:tcW w:w="3928" w:type="dxa"/>
            <w:tcBorders>
              <w:top w:val="nil"/>
              <w:left w:val="nil"/>
              <w:bottom w:val="single" w:color="auto" w:sz="4" w:space="0"/>
              <w:right w:val="single" w:color="auto" w:sz="4" w:space="0"/>
            </w:tcBorders>
            <w:vAlign w:val="center"/>
          </w:tcPr>
          <w:p w14:paraId="5713345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整合 DCS 等实时数据库中的废 / 废气监测及设备状态标记数据，构建超标预测能力。先筛除 “故障 / 校准” 等异常标记的超标数据，从趋势一致性、数据相关性等维度，利用线性回归分析历史数据规律，形成预警特征库。实时监测时，若数据趋势与特征库匹配度超阈值则触发预警，最终经人工复核输出异常企业清单，提示潜在异常排放行为。</w:t>
            </w:r>
          </w:p>
        </w:tc>
      </w:tr>
      <w:tr w14:paraId="59681E7C">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04D10A1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180</w:t>
            </w:r>
          </w:p>
        </w:tc>
        <w:tc>
          <w:tcPr>
            <w:tcW w:w="2028" w:type="dxa"/>
            <w:vMerge w:val="continue"/>
            <w:tcBorders>
              <w:top w:val="nil"/>
              <w:left w:val="single" w:color="auto" w:sz="4" w:space="0"/>
              <w:bottom w:val="single" w:color="000000" w:sz="4" w:space="0"/>
              <w:right w:val="single" w:color="auto" w:sz="4" w:space="0"/>
            </w:tcBorders>
            <w:vAlign w:val="center"/>
          </w:tcPr>
          <w:p w14:paraId="627D0A3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1FDD57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污染排放特征分析- 行业特征分析-行业污染物浓度特征分析</w:t>
            </w:r>
          </w:p>
        </w:tc>
        <w:tc>
          <w:tcPr>
            <w:tcW w:w="3928" w:type="dxa"/>
            <w:tcBorders>
              <w:top w:val="nil"/>
              <w:left w:val="nil"/>
              <w:bottom w:val="single" w:color="auto" w:sz="4" w:space="0"/>
              <w:right w:val="single" w:color="auto" w:sz="4" w:space="0"/>
            </w:tcBorders>
            <w:vAlign w:val="center"/>
          </w:tcPr>
          <w:p w14:paraId="31F32F3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聚焦行业排放共性规律与阈值，横向对比建立行业级排放特征数据库。采集监管、企业、第三方等多源数据，经清洗、标准化预处理后，通过统计分析确定排放阈值，运用时间序列提取时序规律，借助聚类算法识别高污染子类。最终输出阈值报告、时序图谱、聚类结果及管控策略，助力差异化环境监管。</w:t>
            </w:r>
          </w:p>
        </w:tc>
      </w:tr>
      <w:tr w14:paraId="0516BD2B">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0A66676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181</w:t>
            </w:r>
          </w:p>
        </w:tc>
        <w:tc>
          <w:tcPr>
            <w:tcW w:w="2028" w:type="dxa"/>
            <w:vMerge w:val="continue"/>
            <w:tcBorders>
              <w:top w:val="nil"/>
              <w:left w:val="single" w:color="auto" w:sz="4" w:space="0"/>
              <w:bottom w:val="single" w:color="000000" w:sz="4" w:space="0"/>
              <w:right w:val="single" w:color="auto" w:sz="4" w:space="0"/>
            </w:tcBorders>
            <w:vAlign w:val="center"/>
          </w:tcPr>
          <w:p w14:paraId="15995A3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725F51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污染排放特征分析- 行业特征分析-行业污染物总量特征分析</w:t>
            </w:r>
          </w:p>
        </w:tc>
        <w:tc>
          <w:tcPr>
            <w:tcW w:w="3928" w:type="dxa"/>
            <w:tcBorders>
              <w:top w:val="nil"/>
              <w:left w:val="nil"/>
              <w:bottom w:val="single" w:color="auto" w:sz="4" w:space="0"/>
              <w:right w:val="single" w:color="auto" w:sz="4" w:space="0"/>
            </w:tcBorders>
            <w:vAlign w:val="center"/>
          </w:tcPr>
          <w:p w14:paraId="46389E1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借助聚类与时序分析，对行业污染物总量数据分类研究。采集在线监测、设备标记等多源数据，经清洗、特征提取预处理后，运用 K-means 等聚类算法划分排放特征簇，结合 STL 分解等时序分析识别异常波动。通过关联性分析挖掘行业、政策与排放的关系，最终以统计图表呈现分析结果，定位行业、企业及区域异常，提出监管与管控建议。</w:t>
            </w:r>
          </w:p>
        </w:tc>
      </w:tr>
      <w:tr w14:paraId="788FD8F1">
        <w:tblPrEx>
          <w:tblCellMar>
            <w:top w:w="0" w:type="dxa"/>
            <w:left w:w="108" w:type="dxa"/>
            <w:bottom w:w="0" w:type="dxa"/>
            <w:right w:w="108" w:type="dxa"/>
          </w:tblCellMar>
        </w:tblPrEx>
        <w:trPr>
          <w:trHeight w:val="1275" w:hRule="atLeast"/>
        </w:trPr>
        <w:tc>
          <w:tcPr>
            <w:tcW w:w="704" w:type="dxa"/>
            <w:tcBorders>
              <w:top w:val="nil"/>
              <w:left w:val="single" w:color="auto" w:sz="4" w:space="0"/>
              <w:bottom w:val="single" w:color="auto" w:sz="4" w:space="0"/>
              <w:right w:val="single" w:color="auto" w:sz="4" w:space="0"/>
            </w:tcBorders>
            <w:noWrap/>
            <w:vAlign w:val="center"/>
          </w:tcPr>
          <w:p w14:paraId="5463CD0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182</w:t>
            </w:r>
          </w:p>
        </w:tc>
        <w:tc>
          <w:tcPr>
            <w:tcW w:w="2028" w:type="dxa"/>
            <w:vMerge w:val="continue"/>
            <w:tcBorders>
              <w:top w:val="nil"/>
              <w:left w:val="single" w:color="auto" w:sz="4" w:space="0"/>
              <w:bottom w:val="single" w:color="000000" w:sz="4" w:space="0"/>
              <w:right w:val="single" w:color="auto" w:sz="4" w:space="0"/>
            </w:tcBorders>
            <w:vAlign w:val="center"/>
          </w:tcPr>
          <w:p w14:paraId="13BE289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127090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污染排放特征分析- 行业特征分析-行业生产特征分析</w:t>
            </w:r>
          </w:p>
        </w:tc>
        <w:tc>
          <w:tcPr>
            <w:tcW w:w="3928" w:type="dxa"/>
            <w:tcBorders>
              <w:top w:val="nil"/>
              <w:left w:val="nil"/>
              <w:bottom w:val="single" w:color="auto" w:sz="4" w:space="0"/>
              <w:right w:val="single" w:color="auto" w:sz="4" w:space="0"/>
            </w:tcBorders>
            <w:vAlign w:val="center"/>
          </w:tcPr>
          <w:p w14:paraId="5192674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综合运用聚类和时序分析，对涉气、涉水行业的排气量、排水量数据分类研究。通过在线监测、设备标记等多渠道采集数据，经清洗补全与特征提取后，采用 K-means 等算法聚类划分排放特征簇，利用 STL 分解等方法识别周期性波动与异常值。同时构建行业与排放、政策与排放的关联分析，最终以图表展示结果，定位行业、企业及区域异常，为监管与生产调控提供决策依据。</w:t>
            </w:r>
          </w:p>
        </w:tc>
      </w:tr>
      <w:tr w14:paraId="2773A7F7">
        <w:tblPrEx>
          <w:tblCellMar>
            <w:top w:w="0" w:type="dxa"/>
            <w:left w:w="108" w:type="dxa"/>
            <w:bottom w:w="0" w:type="dxa"/>
            <w:right w:w="108" w:type="dxa"/>
          </w:tblCellMar>
        </w:tblPrEx>
        <w:trPr>
          <w:trHeight w:val="1275" w:hRule="atLeast"/>
        </w:trPr>
        <w:tc>
          <w:tcPr>
            <w:tcW w:w="704" w:type="dxa"/>
            <w:tcBorders>
              <w:top w:val="nil"/>
              <w:left w:val="single" w:color="auto" w:sz="4" w:space="0"/>
              <w:bottom w:val="single" w:color="auto" w:sz="4" w:space="0"/>
              <w:right w:val="single" w:color="auto" w:sz="4" w:space="0"/>
            </w:tcBorders>
            <w:noWrap/>
            <w:vAlign w:val="center"/>
          </w:tcPr>
          <w:p w14:paraId="418280E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183</w:t>
            </w:r>
          </w:p>
        </w:tc>
        <w:tc>
          <w:tcPr>
            <w:tcW w:w="2028" w:type="dxa"/>
            <w:vMerge w:val="continue"/>
            <w:tcBorders>
              <w:top w:val="nil"/>
              <w:left w:val="single" w:color="auto" w:sz="4" w:space="0"/>
              <w:bottom w:val="single" w:color="000000" w:sz="4" w:space="0"/>
              <w:right w:val="single" w:color="auto" w:sz="4" w:space="0"/>
            </w:tcBorders>
            <w:vAlign w:val="center"/>
          </w:tcPr>
          <w:p w14:paraId="4698C2D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D7680A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污染排放特征分析-企业特征分析-企业污染物浓度排放特征分析</w:t>
            </w:r>
          </w:p>
        </w:tc>
        <w:tc>
          <w:tcPr>
            <w:tcW w:w="3928" w:type="dxa"/>
            <w:tcBorders>
              <w:top w:val="nil"/>
              <w:left w:val="nil"/>
              <w:bottom w:val="single" w:color="auto" w:sz="4" w:space="0"/>
              <w:right w:val="single" w:color="auto" w:sz="4" w:space="0"/>
            </w:tcBorders>
            <w:vAlign w:val="center"/>
          </w:tcPr>
          <w:p w14:paraId="763341E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通过剖析历年污染源浓度数据，挖掘污染物年度排放规律与排口异常行为。采集在线监测、设备标记等多源数据，经清洗缺失值、检测异常值及特征提取预处理后，运用 STL 分解、ARIMA/LSTM 等模型开展时序分析，结合 K-means 等算法进行聚类，构建行业与政策关联分析。最终以图表呈现浓度分布与波动，定位企业、排放口及区域异常，为精准监管与调控提供决策依据。</w:t>
            </w:r>
          </w:p>
        </w:tc>
      </w:tr>
      <w:tr w14:paraId="638AFFD2">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1AFF640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184</w:t>
            </w:r>
          </w:p>
        </w:tc>
        <w:tc>
          <w:tcPr>
            <w:tcW w:w="2028" w:type="dxa"/>
            <w:vMerge w:val="continue"/>
            <w:tcBorders>
              <w:top w:val="nil"/>
              <w:left w:val="single" w:color="auto" w:sz="4" w:space="0"/>
              <w:bottom w:val="single" w:color="000000" w:sz="4" w:space="0"/>
              <w:right w:val="single" w:color="auto" w:sz="4" w:space="0"/>
            </w:tcBorders>
            <w:vAlign w:val="center"/>
          </w:tcPr>
          <w:p w14:paraId="52AC59D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8FEB6D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污染排放特征分析-企业特征分析-企业污染物浓度夜间/昼间分析</w:t>
            </w:r>
          </w:p>
        </w:tc>
        <w:tc>
          <w:tcPr>
            <w:tcW w:w="3928" w:type="dxa"/>
            <w:tcBorders>
              <w:top w:val="nil"/>
              <w:left w:val="nil"/>
              <w:bottom w:val="single" w:color="auto" w:sz="4" w:space="0"/>
              <w:right w:val="single" w:color="auto" w:sz="4" w:space="0"/>
            </w:tcBorders>
            <w:vAlign w:val="center"/>
          </w:tcPr>
          <w:p w14:paraId="1EBA138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采集在线监测、设备标记等多源数据，经清洗缺失值、提取特征等预处理，运用 STL 分解、ARIMA/LSTM 等进行时序分析，结合 K-means 聚类及关联性分析，构建昼夜浓度异常判定规则。最终通过图表呈现昼夜浓度分布与异常，定位企业、排放口及区域异常，为分时段精准监管提供策略建议。</w:t>
            </w:r>
          </w:p>
        </w:tc>
      </w:tr>
      <w:tr w14:paraId="08C2EBF8">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668511D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185</w:t>
            </w:r>
          </w:p>
        </w:tc>
        <w:tc>
          <w:tcPr>
            <w:tcW w:w="2028" w:type="dxa"/>
            <w:vMerge w:val="continue"/>
            <w:tcBorders>
              <w:top w:val="nil"/>
              <w:left w:val="single" w:color="auto" w:sz="4" w:space="0"/>
              <w:bottom w:val="single" w:color="000000" w:sz="4" w:space="0"/>
              <w:right w:val="single" w:color="auto" w:sz="4" w:space="0"/>
            </w:tcBorders>
            <w:vAlign w:val="center"/>
          </w:tcPr>
          <w:p w14:paraId="1A09B32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129CCE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污染排放特征分析-企业特征分析-企业污染物浓度夏季/冬季分析</w:t>
            </w:r>
          </w:p>
        </w:tc>
        <w:tc>
          <w:tcPr>
            <w:tcW w:w="3928" w:type="dxa"/>
            <w:tcBorders>
              <w:top w:val="nil"/>
              <w:left w:val="nil"/>
              <w:bottom w:val="single" w:color="auto" w:sz="4" w:space="0"/>
              <w:right w:val="single" w:color="auto" w:sz="4" w:space="0"/>
            </w:tcBorders>
            <w:vAlign w:val="center"/>
          </w:tcPr>
          <w:p w14:paraId="3BA6CAE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采集在线监测、设备标记等多源数据，经数据清洗、特征提取预处理，运用 STL 分解、ARIMA/LSTM 等模型开展时序分析，结合 K-means 聚类及关联性分析，构建季节浓度异常判定规则。最终以图表呈现季节浓度分布与异常，定位企业、排放口及区域异常，为冬夏分季精准监管提供管控策略 。</w:t>
            </w:r>
          </w:p>
        </w:tc>
      </w:tr>
      <w:tr w14:paraId="04B85656">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38E3453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186</w:t>
            </w:r>
          </w:p>
        </w:tc>
        <w:tc>
          <w:tcPr>
            <w:tcW w:w="2028" w:type="dxa"/>
            <w:vMerge w:val="continue"/>
            <w:tcBorders>
              <w:top w:val="nil"/>
              <w:left w:val="single" w:color="auto" w:sz="4" w:space="0"/>
              <w:bottom w:val="single" w:color="000000" w:sz="4" w:space="0"/>
              <w:right w:val="single" w:color="auto" w:sz="4" w:space="0"/>
            </w:tcBorders>
            <w:vAlign w:val="center"/>
          </w:tcPr>
          <w:p w14:paraId="01E20FD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88676E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污染排放特征分析-排口标记特征-排口标记类型特征分析</w:t>
            </w:r>
          </w:p>
        </w:tc>
        <w:tc>
          <w:tcPr>
            <w:tcW w:w="3928" w:type="dxa"/>
            <w:tcBorders>
              <w:top w:val="nil"/>
              <w:left w:val="nil"/>
              <w:bottom w:val="single" w:color="auto" w:sz="4" w:space="0"/>
              <w:right w:val="single" w:color="auto" w:sz="4" w:space="0"/>
            </w:tcBorders>
            <w:vAlign w:val="center"/>
          </w:tcPr>
          <w:p w14:paraId="398D81C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聚焦生产设施、治理设施及设备维护等标记行为，统计标记时长、频次、时间规律及关联特征，识别异常标记模式。采集在线监测、设备标记等数据，经清洗、标准化及匹配预处理后，结合行业属性细化标记规则，利用规则引擎与机器学习模型分析。最终以可视化图表展示标记分布，输出异常报告并给出监管优先级建议，为分类整治提供数据支撑。</w:t>
            </w:r>
          </w:p>
        </w:tc>
      </w:tr>
      <w:tr w14:paraId="592EAEFD">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2ED4C6B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187</w:t>
            </w:r>
          </w:p>
        </w:tc>
        <w:tc>
          <w:tcPr>
            <w:tcW w:w="2028" w:type="dxa"/>
            <w:vMerge w:val="continue"/>
            <w:tcBorders>
              <w:top w:val="nil"/>
              <w:left w:val="single" w:color="auto" w:sz="4" w:space="0"/>
              <w:bottom w:val="single" w:color="000000" w:sz="4" w:space="0"/>
              <w:right w:val="single" w:color="auto" w:sz="4" w:space="0"/>
            </w:tcBorders>
            <w:vAlign w:val="center"/>
          </w:tcPr>
          <w:p w14:paraId="33D7E0B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BD40FC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污染排放特征分析-排口标记特征-排口监测设备特征分析</w:t>
            </w:r>
          </w:p>
        </w:tc>
        <w:tc>
          <w:tcPr>
            <w:tcW w:w="3928" w:type="dxa"/>
            <w:tcBorders>
              <w:top w:val="nil"/>
              <w:left w:val="nil"/>
              <w:bottom w:val="single" w:color="auto" w:sz="4" w:space="0"/>
              <w:right w:val="single" w:color="auto" w:sz="4" w:space="0"/>
            </w:tcBorders>
            <w:vAlign w:val="center"/>
          </w:tcPr>
          <w:p w14:paraId="116E8D4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聚焦设备选型、安装及运行参数对数据质量的影响，涵盖监测指标覆盖范围、采样频率、校准周期等关键特征。通过采集在线监测、设备标记等数据，经清洗、标准化及匹配预处理，构建设备性能评估与排污口匹配规则。最终输出设备性能报告、选型优化建议及数据质量保障措施，确保设备性能与监测需求匹配，提升数据可靠性。</w:t>
            </w:r>
          </w:p>
        </w:tc>
      </w:tr>
      <w:tr w14:paraId="155DC26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EFC03B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188</w:t>
            </w:r>
          </w:p>
        </w:tc>
        <w:tc>
          <w:tcPr>
            <w:tcW w:w="2028" w:type="dxa"/>
            <w:vMerge w:val="continue"/>
            <w:tcBorders>
              <w:top w:val="nil"/>
              <w:left w:val="single" w:color="auto" w:sz="4" w:space="0"/>
              <w:bottom w:val="single" w:color="000000" w:sz="4" w:space="0"/>
              <w:right w:val="single" w:color="auto" w:sz="4" w:space="0"/>
            </w:tcBorders>
            <w:vAlign w:val="center"/>
          </w:tcPr>
          <w:p w14:paraId="55275B3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1E3682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污染源监测画像-企业监测画像生成-画像生成模型管理</w:t>
            </w:r>
          </w:p>
        </w:tc>
        <w:tc>
          <w:tcPr>
            <w:tcW w:w="3928" w:type="dxa"/>
            <w:tcBorders>
              <w:top w:val="nil"/>
              <w:left w:val="nil"/>
              <w:bottom w:val="single" w:color="auto" w:sz="4" w:space="0"/>
              <w:right w:val="single" w:color="auto" w:sz="4" w:space="0"/>
            </w:tcBorders>
            <w:vAlign w:val="center"/>
          </w:tcPr>
          <w:p w14:paraId="6C1FA73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基于企业画像中的在线监测数据、执法监测数据、自行手工监测数据、自行监测结果、排污许可证执行报告检查结果、执法信息等关键指标，构建多维度的量化画像生成模型，态计算企业画像评分和画像等级。</w:t>
            </w:r>
          </w:p>
        </w:tc>
      </w:tr>
      <w:tr w14:paraId="3995E6D2">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8F83E9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189</w:t>
            </w:r>
          </w:p>
        </w:tc>
        <w:tc>
          <w:tcPr>
            <w:tcW w:w="2028" w:type="dxa"/>
            <w:vMerge w:val="continue"/>
            <w:tcBorders>
              <w:top w:val="nil"/>
              <w:left w:val="single" w:color="auto" w:sz="4" w:space="0"/>
              <w:bottom w:val="single" w:color="000000" w:sz="4" w:space="0"/>
              <w:right w:val="single" w:color="auto" w:sz="4" w:space="0"/>
            </w:tcBorders>
            <w:vAlign w:val="center"/>
          </w:tcPr>
          <w:p w14:paraId="7685F7C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C7F6DB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污染源监测画像-企业监测画像生成-画像工作标题管理</w:t>
            </w:r>
          </w:p>
        </w:tc>
        <w:tc>
          <w:tcPr>
            <w:tcW w:w="3928" w:type="dxa"/>
            <w:tcBorders>
              <w:top w:val="nil"/>
              <w:left w:val="nil"/>
              <w:bottom w:val="single" w:color="auto" w:sz="4" w:space="0"/>
              <w:right w:val="single" w:color="auto" w:sz="4" w:space="0"/>
            </w:tcBorders>
            <w:vAlign w:val="center"/>
          </w:tcPr>
          <w:p w14:paraId="0FA149B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创建画像生成任务并启动相关工作流程，通过定义任务标题及参数，实现对企业画像生成工作的规范化管理，确保多维度量化模型的执行与应用，为后续画像评分及等级计算提供基础支撑，提升环境监管数据处理的有序性与效率。</w:t>
            </w:r>
          </w:p>
        </w:tc>
      </w:tr>
      <w:tr w14:paraId="7CAF5294">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46C4CB0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190</w:t>
            </w:r>
          </w:p>
        </w:tc>
        <w:tc>
          <w:tcPr>
            <w:tcW w:w="2028" w:type="dxa"/>
            <w:vMerge w:val="continue"/>
            <w:tcBorders>
              <w:top w:val="nil"/>
              <w:left w:val="single" w:color="auto" w:sz="4" w:space="0"/>
              <w:bottom w:val="single" w:color="000000" w:sz="4" w:space="0"/>
              <w:right w:val="single" w:color="auto" w:sz="4" w:space="0"/>
            </w:tcBorders>
            <w:vAlign w:val="center"/>
          </w:tcPr>
          <w:p w14:paraId="06AC882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3EF3E9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污染源监测画像-企业监测画像生成-企业画像动态管理</w:t>
            </w:r>
          </w:p>
        </w:tc>
        <w:tc>
          <w:tcPr>
            <w:tcW w:w="3928" w:type="dxa"/>
            <w:tcBorders>
              <w:top w:val="nil"/>
              <w:left w:val="nil"/>
              <w:bottom w:val="single" w:color="auto" w:sz="4" w:space="0"/>
              <w:right w:val="single" w:color="auto" w:sz="4" w:space="0"/>
            </w:tcBorders>
            <w:vAlign w:val="center"/>
          </w:tcPr>
          <w:p w14:paraId="2C420B1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在画像生成全流程中，企业名单支持动态调整，可进行新增、删除、修改操作。无论是启动画像生成工作前，还是评价工作开展期间，均可灵活变更企业名单。系统提供手动录入及 Excel 模板导入两种方式，方便高效管理企业名单，满足不同场景下数据管理需求，确保画像生成贴合实际监管要求 。</w:t>
            </w:r>
          </w:p>
        </w:tc>
      </w:tr>
      <w:tr w14:paraId="22A5889E">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6CFFFBF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191</w:t>
            </w:r>
          </w:p>
        </w:tc>
        <w:tc>
          <w:tcPr>
            <w:tcW w:w="2028" w:type="dxa"/>
            <w:vMerge w:val="continue"/>
            <w:tcBorders>
              <w:top w:val="nil"/>
              <w:left w:val="single" w:color="auto" w:sz="4" w:space="0"/>
              <w:bottom w:val="single" w:color="000000" w:sz="4" w:space="0"/>
              <w:right w:val="single" w:color="auto" w:sz="4" w:space="0"/>
            </w:tcBorders>
            <w:vAlign w:val="center"/>
          </w:tcPr>
          <w:p w14:paraId="33710FE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37C42E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污染源监测画像-企业监测画像生成-画像工作执行管理</w:t>
            </w:r>
          </w:p>
        </w:tc>
        <w:tc>
          <w:tcPr>
            <w:tcW w:w="3928" w:type="dxa"/>
            <w:tcBorders>
              <w:top w:val="nil"/>
              <w:left w:val="nil"/>
              <w:bottom w:val="single" w:color="auto" w:sz="4" w:space="0"/>
              <w:right w:val="single" w:color="auto" w:sz="4" w:space="0"/>
            </w:tcBorders>
            <w:vAlign w:val="center"/>
          </w:tcPr>
          <w:p w14:paraId="211E4E1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画像生成工作支持系统自动执行与人工手动执行两种模式。自动执行时，系统按预设频率抓取当前服务器时间作为计算节点，动态生成评价结果并发布；手动执行需人工设置计算时间点（默认取当前时间），完成运算后同步发布。两种模式灵活适配监管需求，确保企业画像评价的实时性与准确性。</w:t>
            </w:r>
          </w:p>
        </w:tc>
      </w:tr>
      <w:tr w14:paraId="738EAAE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376CFD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192</w:t>
            </w:r>
          </w:p>
        </w:tc>
        <w:tc>
          <w:tcPr>
            <w:tcW w:w="2028" w:type="dxa"/>
            <w:vMerge w:val="continue"/>
            <w:tcBorders>
              <w:top w:val="nil"/>
              <w:left w:val="single" w:color="auto" w:sz="4" w:space="0"/>
              <w:bottom w:val="single" w:color="000000" w:sz="4" w:space="0"/>
              <w:right w:val="single" w:color="auto" w:sz="4" w:space="0"/>
            </w:tcBorders>
            <w:vAlign w:val="center"/>
          </w:tcPr>
          <w:p w14:paraId="40105F0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F1A1C9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污染源监测画像-企业监测画像生成-画像生成结果查询</w:t>
            </w:r>
          </w:p>
        </w:tc>
        <w:tc>
          <w:tcPr>
            <w:tcW w:w="3928" w:type="dxa"/>
            <w:tcBorders>
              <w:top w:val="nil"/>
              <w:left w:val="nil"/>
              <w:bottom w:val="single" w:color="auto" w:sz="4" w:space="0"/>
              <w:right w:val="single" w:color="auto" w:sz="4" w:space="0"/>
            </w:tcBorders>
            <w:vAlign w:val="center"/>
          </w:tcPr>
          <w:p w14:paraId="37C74AD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以可视化图表或报告形式展示企业画像评分结果和画像评价等级，支持按行业、区域、时间等维度筛选，辅助监管人员快速识别高风险企业。</w:t>
            </w:r>
          </w:p>
        </w:tc>
      </w:tr>
      <w:tr w14:paraId="5A290277">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33EBAA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193</w:t>
            </w:r>
          </w:p>
        </w:tc>
        <w:tc>
          <w:tcPr>
            <w:tcW w:w="2028" w:type="dxa"/>
            <w:vMerge w:val="continue"/>
            <w:tcBorders>
              <w:top w:val="nil"/>
              <w:left w:val="single" w:color="auto" w:sz="4" w:space="0"/>
              <w:bottom w:val="single" w:color="000000" w:sz="4" w:space="0"/>
              <w:right w:val="single" w:color="auto" w:sz="4" w:space="0"/>
            </w:tcBorders>
            <w:vAlign w:val="center"/>
          </w:tcPr>
          <w:p w14:paraId="588C748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F60798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污染源监测画像-企业监测画像分析-综合画像视图</w:t>
            </w:r>
          </w:p>
        </w:tc>
        <w:tc>
          <w:tcPr>
            <w:tcW w:w="3928" w:type="dxa"/>
            <w:tcBorders>
              <w:top w:val="nil"/>
              <w:left w:val="nil"/>
              <w:bottom w:val="single" w:color="auto" w:sz="4" w:space="0"/>
              <w:right w:val="single" w:color="auto" w:sz="4" w:space="0"/>
            </w:tcBorders>
            <w:vAlign w:val="center"/>
          </w:tcPr>
          <w:p w14:paraId="5321FE6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以企业为单位，集中展示其基本信息、环境行为的核心特征标签，在线监测、执法监测、自行手工监测、自行监测、排污许可证执行报告检查、执法检查等异常次数和占比，以及企业评分及评价等级，构建企业综合画像视图。</w:t>
            </w:r>
          </w:p>
        </w:tc>
      </w:tr>
      <w:tr w14:paraId="71DDCBAF">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2507BA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194</w:t>
            </w:r>
          </w:p>
        </w:tc>
        <w:tc>
          <w:tcPr>
            <w:tcW w:w="2028" w:type="dxa"/>
            <w:vMerge w:val="continue"/>
            <w:tcBorders>
              <w:top w:val="nil"/>
              <w:left w:val="single" w:color="auto" w:sz="4" w:space="0"/>
              <w:bottom w:val="single" w:color="000000" w:sz="4" w:space="0"/>
              <w:right w:val="single" w:color="auto" w:sz="4" w:space="0"/>
            </w:tcBorders>
            <w:vAlign w:val="center"/>
          </w:tcPr>
          <w:p w14:paraId="14A4892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72DEB0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污染源监测画像-企业监测画像分析-排放特征画像</w:t>
            </w:r>
          </w:p>
        </w:tc>
        <w:tc>
          <w:tcPr>
            <w:tcW w:w="3928" w:type="dxa"/>
            <w:tcBorders>
              <w:top w:val="nil"/>
              <w:left w:val="nil"/>
              <w:bottom w:val="single" w:color="auto" w:sz="4" w:space="0"/>
              <w:right w:val="single" w:color="auto" w:sz="4" w:space="0"/>
            </w:tcBorders>
            <w:vAlign w:val="center"/>
          </w:tcPr>
          <w:p w14:paraId="079ECAF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按污染物类别展示排放浓度分布及历史波动范围，结合排放稳定性指标分析排放规律性。同时，系统可实现针对一图感知企业排放特征情况，包括废水/废气排放的整体查询、异常特征查询、不同数据的异常查询和异常数据分析。</w:t>
            </w:r>
          </w:p>
        </w:tc>
      </w:tr>
      <w:tr w14:paraId="6417C236">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4DBE3D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195</w:t>
            </w:r>
          </w:p>
        </w:tc>
        <w:tc>
          <w:tcPr>
            <w:tcW w:w="2028" w:type="dxa"/>
            <w:vMerge w:val="continue"/>
            <w:tcBorders>
              <w:top w:val="nil"/>
              <w:left w:val="single" w:color="auto" w:sz="4" w:space="0"/>
              <w:bottom w:val="single" w:color="000000" w:sz="4" w:space="0"/>
              <w:right w:val="single" w:color="auto" w:sz="4" w:space="0"/>
            </w:tcBorders>
            <w:vAlign w:val="center"/>
          </w:tcPr>
          <w:p w14:paraId="62C1C00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DF164A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污染源监测画像-企业监测画像分析-合规表现画像</w:t>
            </w:r>
          </w:p>
        </w:tc>
        <w:tc>
          <w:tcPr>
            <w:tcW w:w="3928" w:type="dxa"/>
            <w:tcBorders>
              <w:top w:val="nil"/>
              <w:left w:val="nil"/>
              <w:bottom w:val="single" w:color="auto" w:sz="4" w:space="0"/>
              <w:right w:val="single" w:color="auto" w:sz="4" w:space="0"/>
            </w:tcBorders>
            <w:vAlign w:val="center"/>
          </w:tcPr>
          <w:p w14:paraId="70AE26E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统计排污许可证执行率、执法处罚记录、整改完成率，并支持查看相关详情信息和过程信息，反映企业合规能力。</w:t>
            </w:r>
          </w:p>
        </w:tc>
      </w:tr>
      <w:tr w14:paraId="660DD0E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E827E5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196</w:t>
            </w:r>
          </w:p>
        </w:tc>
        <w:tc>
          <w:tcPr>
            <w:tcW w:w="2028" w:type="dxa"/>
            <w:vMerge w:val="continue"/>
            <w:tcBorders>
              <w:top w:val="nil"/>
              <w:left w:val="single" w:color="auto" w:sz="4" w:space="0"/>
              <w:bottom w:val="single" w:color="000000" w:sz="4" w:space="0"/>
              <w:right w:val="single" w:color="auto" w:sz="4" w:space="0"/>
            </w:tcBorders>
            <w:vAlign w:val="center"/>
          </w:tcPr>
          <w:p w14:paraId="6F35989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62B895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污染源监测画像-企业监测画像分析-治理设施画像</w:t>
            </w:r>
          </w:p>
        </w:tc>
        <w:tc>
          <w:tcPr>
            <w:tcW w:w="3928" w:type="dxa"/>
            <w:tcBorders>
              <w:top w:val="nil"/>
              <w:left w:val="nil"/>
              <w:bottom w:val="single" w:color="auto" w:sz="4" w:space="0"/>
              <w:right w:val="single" w:color="auto" w:sz="4" w:space="0"/>
            </w:tcBorders>
            <w:vAlign w:val="center"/>
          </w:tcPr>
          <w:p w14:paraId="7F406FC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展示设备运行状态、运维周期、治理效率，评估设施运行效能。并支持查看历史记录。</w:t>
            </w:r>
          </w:p>
        </w:tc>
      </w:tr>
      <w:tr w14:paraId="52F9C0E2">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3B1522F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197</w:t>
            </w:r>
          </w:p>
        </w:tc>
        <w:tc>
          <w:tcPr>
            <w:tcW w:w="2028" w:type="dxa"/>
            <w:vMerge w:val="continue"/>
            <w:tcBorders>
              <w:top w:val="nil"/>
              <w:left w:val="single" w:color="auto" w:sz="4" w:space="0"/>
              <w:bottom w:val="single" w:color="000000" w:sz="4" w:space="0"/>
              <w:right w:val="single" w:color="auto" w:sz="4" w:space="0"/>
            </w:tcBorders>
            <w:vAlign w:val="center"/>
          </w:tcPr>
          <w:p w14:paraId="34EC064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DBA68E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污染源监测画像-企业监测画像分析-企业档案详情</w:t>
            </w:r>
          </w:p>
        </w:tc>
        <w:tc>
          <w:tcPr>
            <w:tcW w:w="3928" w:type="dxa"/>
            <w:tcBorders>
              <w:top w:val="nil"/>
              <w:left w:val="nil"/>
              <w:bottom w:val="single" w:color="auto" w:sz="4" w:space="0"/>
              <w:right w:val="single" w:color="auto" w:sz="4" w:space="0"/>
            </w:tcBorders>
            <w:vAlign w:val="center"/>
          </w:tcPr>
          <w:p w14:paraId="535730D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聚焦企业多维度业务数据管理。通过信息索引功能，将企业基本信息、监测数据、执法信息、异常筛查结果等污染源信息分类建索，便于用户快速定位。档案详细内容涵盖上述各类信息，还包括排口接入退出及历史排放情况，全方位呈现企业环保信息，为环境监管与数据分析提供详实依据 。</w:t>
            </w:r>
          </w:p>
        </w:tc>
      </w:tr>
      <w:tr w14:paraId="3DCE8374">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526985F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198</w:t>
            </w:r>
          </w:p>
        </w:tc>
        <w:tc>
          <w:tcPr>
            <w:tcW w:w="2028" w:type="dxa"/>
            <w:vMerge w:val="continue"/>
            <w:tcBorders>
              <w:top w:val="nil"/>
              <w:left w:val="single" w:color="auto" w:sz="4" w:space="0"/>
              <w:bottom w:val="single" w:color="000000" w:sz="4" w:space="0"/>
              <w:right w:val="single" w:color="auto" w:sz="4" w:space="0"/>
            </w:tcBorders>
            <w:vAlign w:val="center"/>
          </w:tcPr>
          <w:p w14:paraId="3544B20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76EFFA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污染源监测画像-企业监测画像分析-决策支持分析</w:t>
            </w:r>
          </w:p>
        </w:tc>
        <w:tc>
          <w:tcPr>
            <w:tcW w:w="3928" w:type="dxa"/>
            <w:tcBorders>
              <w:top w:val="nil"/>
              <w:left w:val="nil"/>
              <w:bottom w:val="single" w:color="auto" w:sz="4" w:space="0"/>
              <w:right w:val="single" w:color="auto" w:sz="4" w:space="0"/>
            </w:tcBorders>
            <w:vAlign w:val="center"/>
          </w:tcPr>
          <w:p w14:paraId="6852713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通过多维数据助力环保信用体系建设与决策支持。系统提供企业画像等级变化折线图，直观呈现不同等级企业数量的时间演变；以动态饼图展示各等级占比及具体数量，结合时间轴呈现历年变化；采用饼图 + 表格形式分析各等级中行业分布占比。多维度可视化分析为环境监管与信用评估提供数据支撑。</w:t>
            </w:r>
          </w:p>
        </w:tc>
      </w:tr>
      <w:tr w14:paraId="017E5A42">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3695DAA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199</w:t>
            </w:r>
          </w:p>
        </w:tc>
        <w:tc>
          <w:tcPr>
            <w:tcW w:w="2028" w:type="dxa"/>
            <w:vMerge w:val="continue"/>
            <w:tcBorders>
              <w:top w:val="nil"/>
              <w:left w:val="single" w:color="auto" w:sz="4" w:space="0"/>
              <w:bottom w:val="single" w:color="000000" w:sz="4" w:space="0"/>
              <w:right w:val="single" w:color="auto" w:sz="4" w:space="0"/>
            </w:tcBorders>
            <w:vAlign w:val="center"/>
          </w:tcPr>
          <w:p w14:paraId="2DF0EBA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E8DB3C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污染源监测画像-企业监测画像查询-</w:t>
            </w:r>
          </w:p>
        </w:tc>
        <w:tc>
          <w:tcPr>
            <w:tcW w:w="3928" w:type="dxa"/>
            <w:tcBorders>
              <w:top w:val="nil"/>
              <w:left w:val="nil"/>
              <w:bottom w:val="single" w:color="auto" w:sz="4" w:space="0"/>
              <w:right w:val="single" w:color="auto" w:sz="4" w:space="0"/>
            </w:tcBorders>
            <w:vAlign w:val="center"/>
          </w:tcPr>
          <w:p w14:paraId="6D37672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模糊检索：通过全文检索功能，支持输入关键字对企业进行模糊查询。</w:t>
            </w:r>
            <w:r>
              <w:rPr>
                <w:rFonts w:hint="eastAsia" w:cs="宋体"/>
                <w:bCs w:val="0"/>
                <w:color w:val="000000"/>
                <w:kern w:val="0"/>
                <w:sz w:val="20"/>
                <w:szCs w:val="20"/>
              </w:rPr>
              <w:br w:type="textWrapping"/>
            </w:r>
            <w:r>
              <w:rPr>
                <w:rFonts w:hint="eastAsia" w:cs="宋体"/>
                <w:bCs w:val="0"/>
                <w:color w:val="000000"/>
                <w:kern w:val="0"/>
                <w:sz w:val="20"/>
                <w:szCs w:val="20"/>
              </w:rPr>
              <w:t>高级查询：可按行政区划、行业类别、重点源属性、污染类型等多维度筛选条件查询企业画像，也能利用企业标签体系组合查询。</w:t>
            </w:r>
            <w:r>
              <w:rPr>
                <w:rFonts w:hint="eastAsia" w:cs="宋体"/>
                <w:bCs w:val="0"/>
                <w:color w:val="000000"/>
                <w:kern w:val="0"/>
                <w:sz w:val="20"/>
                <w:szCs w:val="20"/>
              </w:rPr>
              <w:br w:type="textWrapping"/>
            </w:r>
            <w:r>
              <w:rPr>
                <w:rFonts w:hint="eastAsia" w:cs="宋体"/>
                <w:bCs w:val="0"/>
                <w:color w:val="000000"/>
                <w:kern w:val="0"/>
                <w:sz w:val="20"/>
                <w:szCs w:val="20"/>
              </w:rPr>
              <w:t>热点搜索：展示高频搜索的企业名称，用户可从列表快速查看对应企业画像。</w:t>
            </w:r>
          </w:p>
        </w:tc>
      </w:tr>
      <w:tr w14:paraId="32DDFA5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75943E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200</w:t>
            </w:r>
          </w:p>
        </w:tc>
        <w:tc>
          <w:tcPr>
            <w:tcW w:w="2028" w:type="dxa"/>
            <w:vMerge w:val="continue"/>
            <w:tcBorders>
              <w:top w:val="nil"/>
              <w:left w:val="single" w:color="auto" w:sz="4" w:space="0"/>
              <w:bottom w:val="single" w:color="000000" w:sz="4" w:space="0"/>
              <w:right w:val="single" w:color="auto" w:sz="4" w:space="0"/>
            </w:tcBorders>
            <w:vAlign w:val="center"/>
          </w:tcPr>
          <w:p w14:paraId="668F026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75B4C8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污染源监测智能检查助手-数据合规智能分析-</w:t>
            </w:r>
          </w:p>
        </w:tc>
        <w:tc>
          <w:tcPr>
            <w:tcW w:w="3928" w:type="dxa"/>
            <w:tcBorders>
              <w:top w:val="nil"/>
              <w:left w:val="nil"/>
              <w:bottom w:val="single" w:color="auto" w:sz="4" w:space="0"/>
              <w:right w:val="single" w:color="auto" w:sz="4" w:space="0"/>
            </w:tcBorders>
            <w:vAlign w:val="center"/>
          </w:tcPr>
          <w:p w14:paraId="2492E81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利用AI数据合规智能体，挖掘污染源数据异常（凭证/超标），按区域/企业/行业分类统计，关联证据链并可视化展示（饼图/柱状图等）</w:t>
            </w:r>
          </w:p>
        </w:tc>
      </w:tr>
      <w:tr w14:paraId="3A25505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8DABD5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201</w:t>
            </w:r>
          </w:p>
        </w:tc>
        <w:tc>
          <w:tcPr>
            <w:tcW w:w="2028" w:type="dxa"/>
            <w:vMerge w:val="continue"/>
            <w:tcBorders>
              <w:top w:val="nil"/>
              <w:left w:val="single" w:color="auto" w:sz="4" w:space="0"/>
              <w:bottom w:val="single" w:color="000000" w:sz="4" w:space="0"/>
              <w:right w:val="single" w:color="auto" w:sz="4" w:space="0"/>
            </w:tcBorders>
            <w:vAlign w:val="center"/>
          </w:tcPr>
          <w:p w14:paraId="4A9EA09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284004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污染源监测智能检查助手-自行监测检查智能分析-</w:t>
            </w:r>
          </w:p>
        </w:tc>
        <w:tc>
          <w:tcPr>
            <w:tcW w:w="3928" w:type="dxa"/>
            <w:tcBorders>
              <w:top w:val="nil"/>
              <w:left w:val="nil"/>
              <w:bottom w:val="single" w:color="auto" w:sz="4" w:space="0"/>
              <w:right w:val="single" w:color="auto" w:sz="4" w:space="0"/>
            </w:tcBorders>
            <w:vAlign w:val="center"/>
          </w:tcPr>
          <w:p w14:paraId="5D0C40F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AI自动核查企业材料，对异常问题评分并分类汇总（区域/行业/机构等），挖掘监测造假线索，联动执法部门。统计结果以多图表可视化展示</w:t>
            </w:r>
          </w:p>
        </w:tc>
      </w:tr>
      <w:tr w14:paraId="5D80BFCF">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489240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202</w:t>
            </w:r>
          </w:p>
        </w:tc>
        <w:tc>
          <w:tcPr>
            <w:tcW w:w="2028" w:type="dxa"/>
            <w:vMerge w:val="continue"/>
            <w:tcBorders>
              <w:top w:val="nil"/>
              <w:left w:val="single" w:color="auto" w:sz="4" w:space="0"/>
              <w:bottom w:val="single" w:color="000000" w:sz="4" w:space="0"/>
              <w:right w:val="single" w:color="auto" w:sz="4" w:space="0"/>
            </w:tcBorders>
            <w:vAlign w:val="center"/>
          </w:tcPr>
          <w:p w14:paraId="5C38006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B7348E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污染源监测智能检查助手-排污许可执行智能分析-</w:t>
            </w:r>
          </w:p>
        </w:tc>
        <w:tc>
          <w:tcPr>
            <w:tcW w:w="3928" w:type="dxa"/>
            <w:tcBorders>
              <w:top w:val="nil"/>
              <w:left w:val="nil"/>
              <w:bottom w:val="single" w:color="auto" w:sz="4" w:space="0"/>
              <w:right w:val="single" w:color="auto" w:sz="4" w:space="0"/>
            </w:tcBorders>
            <w:vAlign w:val="center"/>
          </w:tcPr>
          <w:p w14:paraId="40C1951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利用 AI 排污许可执行报告检查模型及自动化服务流程，核查名单内执行报告、数据与频次要求，汇总统计异常问题，辅助监管人员掌握执行情况。支持按行政区域、企业分类等多维度分类汇总异常，并用饼图、柱状图等可视化展示统计结果。</w:t>
            </w:r>
          </w:p>
        </w:tc>
      </w:tr>
      <w:tr w14:paraId="7807BE87">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F4B541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203</w:t>
            </w:r>
          </w:p>
        </w:tc>
        <w:tc>
          <w:tcPr>
            <w:tcW w:w="2028" w:type="dxa"/>
            <w:vMerge w:val="continue"/>
            <w:tcBorders>
              <w:top w:val="nil"/>
              <w:left w:val="single" w:color="auto" w:sz="4" w:space="0"/>
              <w:bottom w:val="single" w:color="000000" w:sz="4" w:space="0"/>
              <w:right w:val="single" w:color="auto" w:sz="4" w:space="0"/>
            </w:tcBorders>
            <w:vAlign w:val="center"/>
          </w:tcPr>
          <w:p w14:paraId="77E60C2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F6C786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污染源监测智能检查助手-预警问题闭环管理-</w:t>
            </w:r>
          </w:p>
        </w:tc>
        <w:tc>
          <w:tcPr>
            <w:tcW w:w="3928" w:type="dxa"/>
            <w:tcBorders>
              <w:top w:val="nil"/>
              <w:left w:val="nil"/>
              <w:bottom w:val="single" w:color="auto" w:sz="4" w:space="0"/>
              <w:right w:val="single" w:color="auto" w:sz="4" w:space="0"/>
            </w:tcBorders>
            <w:vAlign w:val="center"/>
          </w:tcPr>
          <w:p w14:paraId="0F52D6D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利用辅助检查智能体，对接任务管理模块，将智能检查的预警结果分类推送企业，系统提供辅助检查异常结果和对应整改建议，企业可开展自查自纠工作，上传整改的材料，或者提出异议，形成闭环。</w:t>
            </w:r>
          </w:p>
        </w:tc>
      </w:tr>
      <w:tr w14:paraId="4862D2A5">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C25407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204</w:t>
            </w:r>
          </w:p>
        </w:tc>
        <w:tc>
          <w:tcPr>
            <w:tcW w:w="2028" w:type="dxa"/>
            <w:vMerge w:val="continue"/>
            <w:tcBorders>
              <w:top w:val="nil"/>
              <w:left w:val="single" w:color="auto" w:sz="4" w:space="0"/>
              <w:bottom w:val="single" w:color="000000" w:sz="4" w:space="0"/>
              <w:right w:val="single" w:color="auto" w:sz="4" w:space="0"/>
            </w:tcBorders>
            <w:vAlign w:val="center"/>
          </w:tcPr>
          <w:p w14:paraId="1C2820E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A84074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温室气体监测排放核算与分析-温室气体监测排放核算-</w:t>
            </w:r>
          </w:p>
        </w:tc>
        <w:tc>
          <w:tcPr>
            <w:tcW w:w="3928" w:type="dxa"/>
            <w:tcBorders>
              <w:top w:val="nil"/>
              <w:left w:val="nil"/>
              <w:bottom w:val="single" w:color="auto" w:sz="4" w:space="0"/>
              <w:right w:val="single" w:color="auto" w:sz="4" w:space="0"/>
            </w:tcBorders>
            <w:vAlign w:val="center"/>
          </w:tcPr>
          <w:p w14:paraId="461901B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对接已开展碳排放在线监测的污染源企业的有效审核数据，以及减污降碳中心的企业燃料消耗量、低位发热量等碳排放数据和关键生产过程活动水平数据，基于温室气体监测数据，用实测法核算企业碳排放。</w:t>
            </w:r>
          </w:p>
        </w:tc>
      </w:tr>
      <w:tr w14:paraId="40C8817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237DAA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205</w:t>
            </w:r>
          </w:p>
        </w:tc>
        <w:tc>
          <w:tcPr>
            <w:tcW w:w="2028" w:type="dxa"/>
            <w:vMerge w:val="continue"/>
            <w:tcBorders>
              <w:top w:val="nil"/>
              <w:left w:val="single" w:color="auto" w:sz="4" w:space="0"/>
              <w:bottom w:val="single" w:color="000000" w:sz="4" w:space="0"/>
              <w:right w:val="single" w:color="auto" w:sz="4" w:space="0"/>
            </w:tcBorders>
            <w:vAlign w:val="center"/>
          </w:tcPr>
          <w:p w14:paraId="03CB58C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B18F78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温室气体监测排放核算与分析-碳排放当量分析-</w:t>
            </w:r>
          </w:p>
        </w:tc>
        <w:tc>
          <w:tcPr>
            <w:tcW w:w="3928" w:type="dxa"/>
            <w:tcBorders>
              <w:top w:val="nil"/>
              <w:left w:val="nil"/>
              <w:bottom w:val="single" w:color="auto" w:sz="4" w:space="0"/>
              <w:right w:val="single" w:color="auto" w:sz="4" w:space="0"/>
            </w:tcBorders>
            <w:vAlign w:val="center"/>
          </w:tcPr>
          <w:p w14:paraId="77DBA7F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碳排放多维分析支持区域/行业/企业多维度筛选，统计总量（直接/间接排放）、分气体排放及强度指标（单位产值/产品/能耗），支持占比分析及排名，通过柱状图/折线图/饼图可视化展示。</w:t>
            </w:r>
          </w:p>
        </w:tc>
      </w:tr>
      <w:tr w14:paraId="493DAABC">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71C2D2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206</w:t>
            </w:r>
          </w:p>
        </w:tc>
        <w:tc>
          <w:tcPr>
            <w:tcW w:w="2028" w:type="dxa"/>
            <w:vMerge w:val="continue"/>
            <w:tcBorders>
              <w:top w:val="nil"/>
              <w:left w:val="single" w:color="auto" w:sz="4" w:space="0"/>
              <w:bottom w:val="single" w:color="000000" w:sz="4" w:space="0"/>
              <w:right w:val="single" w:color="auto" w:sz="4" w:space="0"/>
            </w:tcBorders>
            <w:vAlign w:val="center"/>
          </w:tcPr>
          <w:p w14:paraId="3EFD8A2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FAA21E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温室气体监测排放核算与分析-企业碳污排放协同分析-</w:t>
            </w:r>
          </w:p>
        </w:tc>
        <w:tc>
          <w:tcPr>
            <w:tcW w:w="3928" w:type="dxa"/>
            <w:tcBorders>
              <w:top w:val="nil"/>
              <w:left w:val="nil"/>
              <w:bottom w:val="single" w:color="auto" w:sz="4" w:space="0"/>
              <w:right w:val="single" w:color="auto" w:sz="4" w:space="0"/>
            </w:tcBorders>
            <w:vAlign w:val="center"/>
          </w:tcPr>
          <w:p w14:paraId="5CE49BE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基于温室气体监测核算的碳排放量与污染物排放进行协同分析，时间序列分析、相关性分析识别协同减排效果。</w:t>
            </w:r>
          </w:p>
        </w:tc>
      </w:tr>
      <w:tr w14:paraId="1DFF6F57">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DCBC28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207</w:t>
            </w:r>
          </w:p>
        </w:tc>
        <w:tc>
          <w:tcPr>
            <w:tcW w:w="2028" w:type="dxa"/>
            <w:vMerge w:val="continue"/>
            <w:tcBorders>
              <w:top w:val="nil"/>
              <w:left w:val="single" w:color="auto" w:sz="4" w:space="0"/>
              <w:bottom w:val="single" w:color="000000" w:sz="4" w:space="0"/>
              <w:right w:val="single" w:color="auto" w:sz="4" w:space="0"/>
            </w:tcBorders>
            <w:vAlign w:val="center"/>
          </w:tcPr>
          <w:p w14:paraId="6CF2221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012818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长三角船舶污染排放动态核算与分析-船舶静态数据库构建-</w:t>
            </w:r>
          </w:p>
        </w:tc>
        <w:tc>
          <w:tcPr>
            <w:tcW w:w="3928" w:type="dxa"/>
            <w:tcBorders>
              <w:top w:val="nil"/>
              <w:left w:val="nil"/>
              <w:bottom w:val="single" w:color="auto" w:sz="4" w:space="0"/>
              <w:right w:val="single" w:color="auto" w:sz="4" w:space="0"/>
            </w:tcBorders>
            <w:vAlign w:val="center"/>
          </w:tcPr>
          <w:p w14:paraId="0100FD3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在文献调研和船舶信息数据库的基础上，设计和构建基于大数据的船舶静态数据库包括船舶类型、位、船龄、主机/辅机、锅炉、船队、油品、等船舶信息。</w:t>
            </w:r>
          </w:p>
        </w:tc>
      </w:tr>
      <w:tr w14:paraId="5E5EBA7D">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6B5F2B3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208</w:t>
            </w:r>
          </w:p>
        </w:tc>
        <w:tc>
          <w:tcPr>
            <w:tcW w:w="2028" w:type="dxa"/>
            <w:vMerge w:val="continue"/>
            <w:tcBorders>
              <w:top w:val="nil"/>
              <w:left w:val="single" w:color="auto" w:sz="4" w:space="0"/>
              <w:bottom w:val="single" w:color="000000" w:sz="4" w:space="0"/>
              <w:right w:val="single" w:color="auto" w:sz="4" w:space="0"/>
            </w:tcBorders>
            <w:vAlign w:val="center"/>
          </w:tcPr>
          <w:p w14:paraId="3D0963F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C4DA6F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长三角船舶污染排放动态核算与分析-船舶AIS数据解析关联-</w:t>
            </w:r>
          </w:p>
        </w:tc>
        <w:tc>
          <w:tcPr>
            <w:tcW w:w="3928" w:type="dxa"/>
            <w:tcBorders>
              <w:top w:val="nil"/>
              <w:left w:val="nil"/>
              <w:bottom w:val="single" w:color="auto" w:sz="4" w:space="0"/>
              <w:right w:val="single" w:color="auto" w:sz="4" w:space="0"/>
            </w:tcBorders>
            <w:vAlign w:val="center"/>
          </w:tcPr>
          <w:p w14:paraId="3A0B4B9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集并建立船舶AIS数据的数据库，实现了AIS数据的快速解译、清洗和实时入库。并实时根据每一条AIS相关信息，快速匹船舶的配静态数据，获取船舶类型、位、船龄、主机/辅机、锅炉、船队、油品、等船舶基本信息，并根据AIS数据的有限信息(如定位设备位置计算船舶大小)，对在船舶静态数据库中不存在的船舶信息进行智能化匹配，提高船舶信息的匹配率。</w:t>
            </w:r>
          </w:p>
        </w:tc>
      </w:tr>
      <w:tr w14:paraId="1F10B54C">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3252BD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209</w:t>
            </w:r>
          </w:p>
        </w:tc>
        <w:tc>
          <w:tcPr>
            <w:tcW w:w="2028" w:type="dxa"/>
            <w:vMerge w:val="continue"/>
            <w:tcBorders>
              <w:top w:val="nil"/>
              <w:left w:val="single" w:color="auto" w:sz="4" w:space="0"/>
              <w:bottom w:val="single" w:color="000000" w:sz="4" w:space="0"/>
              <w:right w:val="single" w:color="auto" w:sz="4" w:space="0"/>
            </w:tcBorders>
            <w:vAlign w:val="center"/>
          </w:tcPr>
          <w:p w14:paraId="740EEC0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B81D98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长三角船舶污染排放动态核算与分析-船舶工况智能识别-</w:t>
            </w:r>
          </w:p>
        </w:tc>
        <w:tc>
          <w:tcPr>
            <w:tcW w:w="3928" w:type="dxa"/>
            <w:tcBorders>
              <w:top w:val="nil"/>
              <w:left w:val="nil"/>
              <w:bottom w:val="single" w:color="auto" w:sz="4" w:space="0"/>
              <w:right w:val="single" w:color="auto" w:sz="4" w:space="0"/>
            </w:tcBorders>
            <w:vAlign w:val="center"/>
          </w:tcPr>
          <w:p w14:paraId="3F82FC2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根据对地航速、航线、目的地、位置等多维信息，采用模式识别、GIS空间分析等技术，自动化识别出每条船舶不同时间内的工况，实现每条船舶AIS动态信息的工况识别。通过开展典型船舶进行工况调查，实现特征船舶为精细化工况识别。</w:t>
            </w:r>
          </w:p>
        </w:tc>
      </w:tr>
      <w:tr w14:paraId="703AE7E8">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F07D68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210</w:t>
            </w:r>
          </w:p>
        </w:tc>
        <w:tc>
          <w:tcPr>
            <w:tcW w:w="2028" w:type="dxa"/>
            <w:vMerge w:val="continue"/>
            <w:tcBorders>
              <w:top w:val="nil"/>
              <w:left w:val="single" w:color="auto" w:sz="4" w:space="0"/>
              <w:bottom w:val="single" w:color="000000" w:sz="4" w:space="0"/>
              <w:right w:val="single" w:color="auto" w:sz="4" w:space="0"/>
            </w:tcBorders>
            <w:vAlign w:val="center"/>
          </w:tcPr>
          <w:p w14:paraId="4ABD386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828C47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长三角船舶污染排放动态核算与分析-船舶动态排放计算-</w:t>
            </w:r>
          </w:p>
        </w:tc>
        <w:tc>
          <w:tcPr>
            <w:tcW w:w="3928" w:type="dxa"/>
            <w:tcBorders>
              <w:top w:val="nil"/>
              <w:left w:val="nil"/>
              <w:bottom w:val="single" w:color="auto" w:sz="4" w:space="0"/>
              <w:right w:val="single" w:color="auto" w:sz="4" w:space="0"/>
            </w:tcBorders>
            <w:vAlign w:val="center"/>
          </w:tcPr>
          <w:p w14:paraId="2F050FC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在船舶静态信息匹、工况识别等基础上，开发AIS船舶排放清单和船舶动态排放计算模型，动态计算单条船舶、多条船舶的排放量，形成全部船舶排放清单。</w:t>
            </w:r>
          </w:p>
        </w:tc>
      </w:tr>
      <w:tr w14:paraId="0EF671B7">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EDFAC5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211</w:t>
            </w:r>
          </w:p>
        </w:tc>
        <w:tc>
          <w:tcPr>
            <w:tcW w:w="2028" w:type="dxa"/>
            <w:vMerge w:val="continue"/>
            <w:tcBorders>
              <w:top w:val="nil"/>
              <w:left w:val="single" w:color="auto" w:sz="4" w:space="0"/>
              <w:bottom w:val="single" w:color="000000" w:sz="4" w:space="0"/>
              <w:right w:val="single" w:color="auto" w:sz="4" w:space="0"/>
            </w:tcBorders>
            <w:vAlign w:val="center"/>
          </w:tcPr>
          <w:p w14:paraId="05E33F3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9FD61B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长三角船舶污染排放动态核算与分析-船舶整体排放空间分布-</w:t>
            </w:r>
          </w:p>
        </w:tc>
        <w:tc>
          <w:tcPr>
            <w:tcW w:w="3928" w:type="dxa"/>
            <w:tcBorders>
              <w:top w:val="nil"/>
              <w:left w:val="nil"/>
              <w:bottom w:val="single" w:color="auto" w:sz="4" w:space="0"/>
              <w:right w:val="single" w:color="auto" w:sz="4" w:space="0"/>
            </w:tcBorders>
            <w:vAlign w:val="center"/>
          </w:tcPr>
          <w:p w14:paraId="0899CA6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支持展示基于实时AIS系统计算得出的船舶排放清单，动态更新全国实时的AIS污染物排放信息，地图可以进行放大缩小，绘图方式为矢量绘制，可以根据地图缩放大小自动调整展示精度。</w:t>
            </w:r>
          </w:p>
        </w:tc>
      </w:tr>
      <w:tr w14:paraId="539040F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F7537F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212</w:t>
            </w:r>
          </w:p>
        </w:tc>
        <w:tc>
          <w:tcPr>
            <w:tcW w:w="2028" w:type="dxa"/>
            <w:vMerge w:val="continue"/>
            <w:tcBorders>
              <w:top w:val="nil"/>
              <w:left w:val="single" w:color="auto" w:sz="4" w:space="0"/>
              <w:bottom w:val="single" w:color="000000" w:sz="4" w:space="0"/>
              <w:right w:val="single" w:color="auto" w:sz="4" w:space="0"/>
            </w:tcBorders>
            <w:vAlign w:val="center"/>
          </w:tcPr>
          <w:p w14:paraId="6EF111A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13F882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长三角船舶污染排放动态核算与分析-单条船舶排放分析-</w:t>
            </w:r>
          </w:p>
        </w:tc>
        <w:tc>
          <w:tcPr>
            <w:tcW w:w="3928" w:type="dxa"/>
            <w:tcBorders>
              <w:top w:val="nil"/>
              <w:left w:val="nil"/>
              <w:bottom w:val="single" w:color="auto" w:sz="4" w:space="0"/>
              <w:right w:val="single" w:color="auto" w:sz="4" w:space="0"/>
            </w:tcBorders>
            <w:vAlign w:val="center"/>
          </w:tcPr>
          <w:p w14:paraId="6D57923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支持展示单船的运行轨迹与排放详情，可以通过查询获取重点船只的航行轨迹、航行速度、船舶信息等信息，对污染分析提供数据支撑。</w:t>
            </w:r>
          </w:p>
        </w:tc>
      </w:tr>
      <w:tr w14:paraId="74C5D8ED">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018EB3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213</w:t>
            </w:r>
          </w:p>
        </w:tc>
        <w:tc>
          <w:tcPr>
            <w:tcW w:w="2028" w:type="dxa"/>
            <w:vMerge w:val="continue"/>
            <w:tcBorders>
              <w:top w:val="nil"/>
              <w:left w:val="single" w:color="auto" w:sz="4" w:space="0"/>
              <w:bottom w:val="single" w:color="000000" w:sz="4" w:space="0"/>
              <w:right w:val="single" w:color="auto" w:sz="4" w:space="0"/>
            </w:tcBorders>
            <w:vAlign w:val="center"/>
          </w:tcPr>
          <w:p w14:paraId="3704929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57997F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长三角船舶污染排放动态核算与分析-船舶排放特征分析-排放对比分析</w:t>
            </w:r>
          </w:p>
        </w:tc>
        <w:tc>
          <w:tcPr>
            <w:tcW w:w="3928" w:type="dxa"/>
            <w:tcBorders>
              <w:top w:val="nil"/>
              <w:left w:val="nil"/>
              <w:bottom w:val="single" w:color="auto" w:sz="4" w:space="0"/>
              <w:right w:val="single" w:color="auto" w:sz="4" w:space="0"/>
            </w:tcBorders>
            <w:vAlign w:val="center"/>
          </w:tcPr>
          <w:p w14:paraId="64C8573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支持展示基于实时AIS系统计算得出不同时间网格的排放差异，用于对比管控条件对排放的影响，地图可以进行放大缩小，可以通过上方操作按钮切换地图展示的时间类型、区域范围、污染因子等选项。</w:t>
            </w:r>
          </w:p>
        </w:tc>
      </w:tr>
      <w:tr w14:paraId="5E5655E5">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51FEC0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214</w:t>
            </w:r>
          </w:p>
        </w:tc>
        <w:tc>
          <w:tcPr>
            <w:tcW w:w="2028" w:type="dxa"/>
            <w:vMerge w:val="continue"/>
            <w:tcBorders>
              <w:top w:val="nil"/>
              <w:left w:val="single" w:color="auto" w:sz="4" w:space="0"/>
              <w:bottom w:val="single" w:color="000000" w:sz="4" w:space="0"/>
              <w:right w:val="single" w:color="auto" w:sz="4" w:space="0"/>
            </w:tcBorders>
            <w:vAlign w:val="center"/>
          </w:tcPr>
          <w:p w14:paraId="14AF23D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DFF7BC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长三角船舶污染排放动态核算与分析-船舶排放特征分析-日统计</w:t>
            </w:r>
          </w:p>
        </w:tc>
        <w:tc>
          <w:tcPr>
            <w:tcW w:w="3928" w:type="dxa"/>
            <w:tcBorders>
              <w:top w:val="nil"/>
              <w:left w:val="nil"/>
              <w:bottom w:val="single" w:color="auto" w:sz="4" w:space="0"/>
              <w:right w:val="single" w:color="auto" w:sz="4" w:space="0"/>
            </w:tcBorders>
            <w:vAlign w:val="center"/>
          </w:tcPr>
          <w:p w14:paraId="6D3D28E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支持按照实时AIS数据统计计算出的数据，对当日不同船型、不同工况下的排放数据进行展示，通过页面上方的操作条对折线图展示内容进行修改默认展示最近7天全国船舶排放的数据变化情况。</w:t>
            </w:r>
          </w:p>
        </w:tc>
      </w:tr>
      <w:tr w14:paraId="0E02B6B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12A0C5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215</w:t>
            </w:r>
          </w:p>
        </w:tc>
        <w:tc>
          <w:tcPr>
            <w:tcW w:w="2028" w:type="dxa"/>
            <w:vMerge w:val="continue"/>
            <w:tcBorders>
              <w:top w:val="nil"/>
              <w:left w:val="single" w:color="auto" w:sz="4" w:space="0"/>
              <w:bottom w:val="single" w:color="000000" w:sz="4" w:space="0"/>
              <w:right w:val="single" w:color="auto" w:sz="4" w:space="0"/>
            </w:tcBorders>
            <w:vAlign w:val="center"/>
          </w:tcPr>
          <w:p w14:paraId="3527E01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5CB8EB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长三角船舶污染排放动态核算与分析-船舶排放特征分析-小时廓线</w:t>
            </w:r>
          </w:p>
        </w:tc>
        <w:tc>
          <w:tcPr>
            <w:tcW w:w="3928" w:type="dxa"/>
            <w:tcBorders>
              <w:top w:val="nil"/>
              <w:left w:val="nil"/>
              <w:bottom w:val="single" w:color="auto" w:sz="4" w:space="0"/>
              <w:right w:val="single" w:color="auto" w:sz="4" w:space="0"/>
            </w:tcBorders>
            <w:vAlign w:val="center"/>
          </w:tcPr>
          <w:p w14:paraId="7D2EF89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展示统计时间段内船舶排放的小时廓线变化情况，可以通过页面按钮切换统计范围、统计类型、统计因子等，下方折线图展示排放变化，表格展示详细数据。</w:t>
            </w:r>
          </w:p>
        </w:tc>
      </w:tr>
      <w:tr w14:paraId="0F32FDD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928041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216</w:t>
            </w:r>
          </w:p>
        </w:tc>
        <w:tc>
          <w:tcPr>
            <w:tcW w:w="2028" w:type="dxa"/>
            <w:vMerge w:val="continue"/>
            <w:tcBorders>
              <w:top w:val="nil"/>
              <w:left w:val="single" w:color="auto" w:sz="4" w:space="0"/>
              <w:bottom w:val="single" w:color="000000" w:sz="4" w:space="0"/>
              <w:right w:val="single" w:color="auto" w:sz="4" w:space="0"/>
            </w:tcBorders>
            <w:vAlign w:val="center"/>
          </w:tcPr>
          <w:p w14:paraId="2F32958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29EBFA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长三角船舶污染排放动态核算与分析-船舶排放特征分析-小时排放</w:t>
            </w:r>
          </w:p>
        </w:tc>
        <w:tc>
          <w:tcPr>
            <w:tcW w:w="3928" w:type="dxa"/>
            <w:tcBorders>
              <w:top w:val="nil"/>
              <w:left w:val="nil"/>
              <w:bottom w:val="single" w:color="auto" w:sz="4" w:space="0"/>
              <w:right w:val="single" w:color="auto" w:sz="4" w:space="0"/>
            </w:tcBorders>
            <w:vAlign w:val="center"/>
          </w:tcPr>
          <w:p w14:paraId="5F2AFCD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用于展示船舶排放的小时变化情况，可以通过上方按钮切换统计范围、统计类型、统计因子等，下方折线图展示排放变化，表格展示详细数据。日期、范围、统计类型、因子等按钮功能同上。</w:t>
            </w:r>
          </w:p>
        </w:tc>
      </w:tr>
      <w:tr w14:paraId="67006E49">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241790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217</w:t>
            </w:r>
          </w:p>
        </w:tc>
        <w:tc>
          <w:tcPr>
            <w:tcW w:w="2028" w:type="dxa"/>
            <w:vMerge w:val="continue"/>
            <w:tcBorders>
              <w:top w:val="nil"/>
              <w:left w:val="single" w:color="auto" w:sz="4" w:space="0"/>
              <w:bottom w:val="single" w:color="000000" w:sz="4" w:space="0"/>
              <w:right w:val="single" w:color="auto" w:sz="4" w:space="0"/>
            </w:tcBorders>
            <w:vAlign w:val="center"/>
          </w:tcPr>
          <w:p w14:paraId="14CDADE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19664D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长三角船舶污染排放动态核算与分析-船舶排放特征分析-日排放</w:t>
            </w:r>
          </w:p>
        </w:tc>
        <w:tc>
          <w:tcPr>
            <w:tcW w:w="3928" w:type="dxa"/>
            <w:tcBorders>
              <w:top w:val="nil"/>
              <w:left w:val="nil"/>
              <w:bottom w:val="single" w:color="auto" w:sz="4" w:space="0"/>
              <w:right w:val="single" w:color="auto" w:sz="4" w:space="0"/>
            </w:tcBorders>
            <w:vAlign w:val="center"/>
          </w:tcPr>
          <w:p w14:paraId="71A8779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用于展示船舶排放的日变化情况，可以通过上方按钮切换统计范围、统计类型、统计因子等，下方折线图展示排放变化，表格展示详细数据。日期、范围、统计类型、因子等按钮功能同上。</w:t>
            </w:r>
          </w:p>
        </w:tc>
      </w:tr>
      <w:tr w14:paraId="78017FB1">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693DAB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218</w:t>
            </w:r>
          </w:p>
        </w:tc>
        <w:tc>
          <w:tcPr>
            <w:tcW w:w="2028" w:type="dxa"/>
            <w:vMerge w:val="continue"/>
            <w:tcBorders>
              <w:top w:val="nil"/>
              <w:left w:val="single" w:color="auto" w:sz="4" w:space="0"/>
              <w:bottom w:val="single" w:color="000000" w:sz="4" w:space="0"/>
              <w:right w:val="single" w:color="auto" w:sz="4" w:space="0"/>
            </w:tcBorders>
            <w:vAlign w:val="center"/>
          </w:tcPr>
          <w:p w14:paraId="413B2D9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6501AA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长三角船舶污染排放动态核算与分析-船舶排放特征分析-月排放</w:t>
            </w:r>
          </w:p>
        </w:tc>
        <w:tc>
          <w:tcPr>
            <w:tcW w:w="3928" w:type="dxa"/>
            <w:tcBorders>
              <w:top w:val="nil"/>
              <w:left w:val="nil"/>
              <w:bottom w:val="single" w:color="auto" w:sz="4" w:space="0"/>
              <w:right w:val="single" w:color="auto" w:sz="4" w:space="0"/>
            </w:tcBorders>
            <w:vAlign w:val="center"/>
          </w:tcPr>
          <w:p w14:paraId="1A1A24C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支持展示船舶排放的月变化情况，可以通过上方按钮切换统计范围、统计类型、统计因子等，下方折线图展示排放变化，表格展示详细数据。日期、范围、统计类型、因子等按钮功能同上。</w:t>
            </w:r>
          </w:p>
        </w:tc>
      </w:tr>
      <w:tr w14:paraId="36861364">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C8C993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219</w:t>
            </w:r>
          </w:p>
        </w:tc>
        <w:tc>
          <w:tcPr>
            <w:tcW w:w="2028" w:type="dxa"/>
            <w:vMerge w:val="continue"/>
            <w:tcBorders>
              <w:top w:val="nil"/>
              <w:left w:val="single" w:color="auto" w:sz="4" w:space="0"/>
              <w:bottom w:val="single" w:color="000000" w:sz="4" w:space="0"/>
              <w:right w:val="single" w:color="auto" w:sz="4" w:space="0"/>
            </w:tcBorders>
            <w:vAlign w:val="center"/>
          </w:tcPr>
          <w:p w14:paraId="68DFC7B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BFEDDB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长三角船舶污染排放动态核算与分析-船舶排放特征分析-年排放</w:t>
            </w:r>
          </w:p>
        </w:tc>
        <w:tc>
          <w:tcPr>
            <w:tcW w:w="3928" w:type="dxa"/>
            <w:tcBorders>
              <w:top w:val="nil"/>
              <w:left w:val="nil"/>
              <w:bottom w:val="single" w:color="auto" w:sz="4" w:space="0"/>
              <w:right w:val="single" w:color="auto" w:sz="4" w:space="0"/>
            </w:tcBorders>
            <w:vAlign w:val="center"/>
          </w:tcPr>
          <w:p w14:paraId="2B8C0AC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支持展示船舶排放的年际变化情况，可以通过上方按钮切换统计范围、统计类型、统计因子等，下方折线图展示排放变化，表格展示详细数据。日期、范围、统计类型、因子等按钮功能同上。</w:t>
            </w:r>
          </w:p>
        </w:tc>
      </w:tr>
      <w:tr w14:paraId="7D025BD4">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0A2A56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220</w:t>
            </w:r>
          </w:p>
        </w:tc>
        <w:tc>
          <w:tcPr>
            <w:tcW w:w="2028" w:type="dxa"/>
            <w:vMerge w:val="continue"/>
            <w:tcBorders>
              <w:top w:val="nil"/>
              <w:left w:val="single" w:color="auto" w:sz="4" w:space="0"/>
              <w:bottom w:val="single" w:color="000000" w:sz="4" w:space="0"/>
              <w:right w:val="single" w:color="auto" w:sz="4" w:space="0"/>
            </w:tcBorders>
            <w:vAlign w:val="center"/>
          </w:tcPr>
          <w:p w14:paraId="0AB0B54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827B34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长三角船舶污染排放动态核算与分析-船舶排放信息共享服务-</w:t>
            </w:r>
          </w:p>
        </w:tc>
        <w:tc>
          <w:tcPr>
            <w:tcW w:w="3928" w:type="dxa"/>
            <w:tcBorders>
              <w:top w:val="nil"/>
              <w:left w:val="nil"/>
              <w:bottom w:val="single" w:color="auto" w:sz="4" w:space="0"/>
              <w:right w:val="single" w:color="auto" w:sz="4" w:space="0"/>
            </w:tcBorders>
            <w:vAlign w:val="center"/>
          </w:tcPr>
          <w:p w14:paraId="6616352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根据长三角空气质量预报预警系统及长三角实时总量平台的数据共享要求，提供共享空间分布页面功能开发，支持展示基于实时AIS系统计算得出的船舶排放清单，地图可以进行放大缩小，可以通过上方操作按钮切换地图展示的时间类型、区域范围、污染因子等选项。</w:t>
            </w:r>
          </w:p>
        </w:tc>
      </w:tr>
      <w:tr w14:paraId="5E1F582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E89D07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221</w:t>
            </w:r>
          </w:p>
        </w:tc>
        <w:tc>
          <w:tcPr>
            <w:tcW w:w="2028" w:type="dxa"/>
            <w:vMerge w:val="restart"/>
            <w:tcBorders>
              <w:top w:val="nil"/>
              <w:left w:val="single" w:color="auto" w:sz="4" w:space="0"/>
              <w:bottom w:val="single" w:color="000000" w:sz="4" w:space="0"/>
              <w:right w:val="single" w:color="auto" w:sz="4" w:space="0"/>
            </w:tcBorders>
            <w:vAlign w:val="center"/>
          </w:tcPr>
          <w:p w14:paraId="680F808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监测机构异常分析</w:t>
            </w:r>
          </w:p>
        </w:tc>
        <w:tc>
          <w:tcPr>
            <w:tcW w:w="1642" w:type="dxa"/>
            <w:tcBorders>
              <w:top w:val="nil"/>
              <w:left w:val="nil"/>
              <w:bottom w:val="single" w:color="auto" w:sz="4" w:space="0"/>
              <w:right w:val="single" w:color="auto" w:sz="4" w:space="0"/>
            </w:tcBorders>
            <w:vAlign w:val="center"/>
          </w:tcPr>
          <w:p w14:paraId="35C3B62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监测机构能力智能分析</w:t>
            </w:r>
          </w:p>
        </w:tc>
        <w:tc>
          <w:tcPr>
            <w:tcW w:w="3928" w:type="dxa"/>
            <w:tcBorders>
              <w:top w:val="nil"/>
              <w:left w:val="nil"/>
              <w:bottom w:val="single" w:color="auto" w:sz="4" w:space="0"/>
              <w:right w:val="single" w:color="auto" w:sz="4" w:space="0"/>
            </w:tcBorders>
            <w:vAlign w:val="center"/>
          </w:tcPr>
          <w:p w14:paraId="3030E07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对相关监测能力提取的结果进行智能体分析和比对，对机构填报和架构监测报告存在的问题进行快速定位。</w:t>
            </w:r>
          </w:p>
        </w:tc>
      </w:tr>
      <w:tr w14:paraId="0543410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38652E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222</w:t>
            </w:r>
          </w:p>
        </w:tc>
        <w:tc>
          <w:tcPr>
            <w:tcW w:w="2028" w:type="dxa"/>
            <w:vMerge w:val="continue"/>
            <w:tcBorders>
              <w:top w:val="nil"/>
              <w:left w:val="single" w:color="auto" w:sz="4" w:space="0"/>
              <w:bottom w:val="single" w:color="000000" w:sz="4" w:space="0"/>
              <w:right w:val="single" w:color="auto" w:sz="4" w:space="0"/>
            </w:tcBorders>
            <w:vAlign w:val="center"/>
          </w:tcPr>
          <w:p w14:paraId="0326FCE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9C0D80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监测机构报告异常分析</w:t>
            </w:r>
          </w:p>
        </w:tc>
        <w:tc>
          <w:tcPr>
            <w:tcW w:w="3928" w:type="dxa"/>
            <w:tcBorders>
              <w:top w:val="nil"/>
              <w:left w:val="nil"/>
              <w:bottom w:val="single" w:color="auto" w:sz="4" w:space="0"/>
              <w:right w:val="single" w:color="auto" w:sz="4" w:space="0"/>
            </w:tcBorders>
            <w:vAlign w:val="center"/>
          </w:tcPr>
          <w:p w14:paraId="462B46A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从多维度解析机构问题，生成机构画像并统计异常信息，形成专用汇总分析。结合最新报告动态更新异常问题报告，为机构管理与监测决策提供支持。</w:t>
            </w:r>
          </w:p>
        </w:tc>
      </w:tr>
      <w:tr w14:paraId="776CE98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023044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223</w:t>
            </w:r>
          </w:p>
        </w:tc>
        <w:tc>
          <w:tcPr>
            <w:tcW w:w="2028" w:type="dxa"/>
            <w:vMerge w:val="continue"/>
            <w:tcBorders>
              <w:top w:val="nil"/>
              <w:left w:val="single" w:color="auto" w:sz="4" w:space="0"/>
              <w:bottom w:val="single" w:color="000000" w:sz="4" w:space="0"/>
              <w:right w:val="single" w:color="auto" w:sz="4" w:space="0"/>
            </w:tcBorders>
            <w:vAlign w:val="center"/>
          </w:tcPr>
          <w:p w14:paraId="5A6739D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52282C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监测机构现场采样质量分析-现场采样质控标准建设</w:t>
            </w:r>
          </w:p>
        </w:tc>
        <w:tc>
          <w:tcPr>
            <w:tcW w:w="3928" w:type="dxa"/>
            <w:tcBorders>
              <w:top w:val="nil"/>
              <w:left w:val="nil"/>
              <w:bottom w:val="single" w:color="auto" w:sz="4" w:space="0"/>
              <w:right w:val="single" w:color="auto" w:sz="4" w:space="0"/>
            </w:tcBorders>
            <w:vAlign w:val="center"/>
          </w:tcPr>
          <w:p w14:paraId="57FF47A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根据现场采样（监测）的相关监测标准和技术规范要求，建立现场采样（监测）过程的关键参数库，包括监测基本信息、监测过程参数、监测结果、质控参数、质控结果、现场监测设备状态参数等。</w:t>
            </w:r>
          </w:p>
        </w:tc>
      </w:tr>
      <w:tr w14:paraId="009F46C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84880D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224</w:t>
            </w:r>
          </w:p>
        </w:tc>
        <w:tc>
          <w:tcPr>
            <w:tcW w:w="2028" w:type="dxa"/>
            <w:vMerge w:val="continue"/>
            <w:tcBorders>
              <w:top w:val="nil"/>
              <w:left w:val="single" w:color="auto" w:sz="4" w:space="0"/>
              <w:bottom w:val="single" w:color="000000" w:sz="4" w:space="0"/>
              <w:right w:val="single" w:color="auto" w:sz="4" w:space="0"/>
            </w:tcBorders>
            <w:vAlign w:val="center"/>
          </w:tcPr>
          <w:p w14:paraId="0082AD9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0494CC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监测机构现场采样质量分析-监测机构采样数据对接</w:t>
            </w:r>
          </w:p>
        </w:tc>
        <w:tc>
          <w:tcPr>
            <w:tcW w:w="3928" w:type="dxa"/>
            <w:tcBorders>
              <w:top w:val="nil"/>
              <w:left w:val="nil"/>
              <w:bottom w:val="single" w:color="auto" w:sz="4" w:space="0"/>
              <w:right w:val="single" w:color="auto" w:sz="4" w:space="0"/>
            </w:tcBorders>
            <w:vAlign w:val="center"/>
          </w:tcPr>
          <w:p w14:paraId="07130B2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对接监测机构开展采样的过程数据，包括监测工况、监测基本信息、监测过程参数、监测结果、采样质控数据、现场监测设备状态参数。</w:t>
            </w:r>
          </w:p>
        </w:tc>
      </w:tr>
      <w:tr w14:paraId="33CFBC16">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796BD2B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225</w:t>
            </w:r>
          </w:p>
        </w:tc>
        <w:tc>
          <w:tcPr>
            <w:tcW w:w="2028" w:type="dxa"/>
            <w:vMerge w:val="continue"/>
            <w:tcBorders>
              <w:top w:val="nil"/>
              <w:left w:val="single" w:color="auto" w:sz="4" w:space="0"/>
              <w:bottom w:val="single" w:color="000000" w:sz="4" w:space="0"/>
              <w:right w:val="single" w:color="auto" w:sz="4" w:space="0"/>
            </w:tcBorders>
            <w:vAlign w:val="center"/>
          </w:tcPr>
          <w:p w14:paraId="387FAD6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52D34C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监测机构现场采样质量分析-监测机构采样设备分析</w:t>
            </w:r>
          </w:p>
        </w:tc>
        <w:tc>
          <w:tcPr>
            <w:tcW w:w="3928" w:type="dxa"/>
            <w:tcBorders>
              <w:top w:val="nil"/>
              <w:left w:val="nil"/>
              <w:bottom w:val="single" w:color="auto" w:sz="4" w:space="0"/>
              <w:right w:val="single" w:color="auto" w:sz="4" w:space="0"/>
            </w:tcBorders>
            <w:vAlign w:val="center"/>
          </w:tcPr>
          <w:p w14:paraId="024F35C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聚焦设备合规性与功能性异常，重点核查传感器是否存在故障或异常状态，检定 / 校准日期是否在有效期内，若超期则判定为设备不合规；检查采样管编号与实际使用记录是否匹配、加热温度是否符合技术规范要求；含湿量枪、滤筒等设备标识是否完整且与采样任务对应，同时确认存储与通讯功能是否正常，避免因设备问题导致数据无法记录或传输。</w:t>
            </w:r>
          </w:p>
        </w:tc>
      </w:tr>
      <w:tr w14:paraId="2D007F52">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436F5DD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226</w:t>
            </w:r>
          </w:p>
        </w:tc>
        <w:tc>
          <w:tcPr>
            <w:tcW w:w="2028" w:type="dxa"/>
            <w:vMerge w:val="continue"/>
            <w:tcBorders>
              <w:top w:val="nil"/>
              <w:left w:val="single" w:color="auto" w:sz="4" w:space="0"/>
              <w:bottom w:val="single" w:color="000000" w:sz="4" w:space="0"/>
              <w:right w:val="single" w:color="auto" w:sz="4" w:space="0"/>
            </w:tcBorders>
            <w:vAlign w:val="center"/>
          </w:tcPr>
          <w:p w14:paraId="226F639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64C359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监测机构现场采样质量分析-监测机构采样过程分析</w:t>
            </w:r>
          </w:p>
        </w:tc>
        <w:tc>
          <w:tcPr>
            <w:tcW w:w="3928" w:type="dxa"/>
            <w:tcBorders>
              <w:top w:val="nil"/>
              <w:left w:val="nil"/>
              <w:bottom w:val="single" w:color="auto" w:sz="4" w:space="0"/>
              <w:right w:val="single" w:color="auto" w:sz="4" w:space="0"/>
            </w:tcBorders>
            <w:vAlign w:val="center"/>
          </w:tcPr>
          <w:p w14:paraId="54B1330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围绕采样流程规范性与参数合理性，核查压力调零是否按时完成且结果合格；含湿量测量值是否在合理范围，是否与烟道实际工况匹配；采样嘴直径选择是否符合预测流速对应的技术要求；采样方式选择是否适配监测场景；采样时长、采气体积等参数是否满足监测标准，同时对比平均流速、风量等数据与烟道实际运行情况，判断是否存在流程遗漏或参数异常。</w:t>
            </w:r>
          </w:p>
        </w:tc>
      </w:tr>
      <w:tr w14:paraId="492FB2AE">
        <w:tblPrEx>
          <w:tblCellMar>
            <w:top w:w="0" w:type="dxa"/>
            <w:left w:w="108" w:type="dxa"/>
            <w:bottom w:w="0" w:type="dxa"/>
            <w:right w:w="108" w:type="dxa"/>
          </w:tblCellMar>
        </w:tblPrEx>
        <w:trPr>
          <w:trHeight w:val="1275" w:hRule="atLeast"/>
        </w:trPr>
        <w:tc>
          <w:tcPr>
            <w:tcW w:w="704" w:type="dxa"/>
            <w:tcBorders>
              <w:top w:val="nil"/>
              <w:left w:val="single" w:color="auto" w:sz="4" w:space="0"/>
              <w:bottom w:val="single" w:color="auto" w:sz="4" w:space="0"/>
              <w:right w:val="single" w:color="auto" w:sz="4" w:space="0"/>
            </w:tcBorders>
            <w:noWrap/>
            <w:vAlign w:val="center"/>
          </w:tcPr>
          <w:p w14:paraId="0721417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227</w:t>
            </w:r>
          </w:p>
        </w:tc>
        <w:tc>
          <w:tcPr>
            <w:tcW w:w="2028" w:type="dxa"/>
            <w:vMerge w:val="continue"/>
            <w:tcBorders>
              <w:top w:val="nil"/>
              <w:left w:val="single" w:color="auto" w:sz="4" w:space="0"/>
              <w:bottom w:val="single" w:color="000000" w:sz="4" w:space="0"/>
              <w:right w:val="single" w:color="auto" w:sz="4" w:space="0"/>
            </w:tcBorders>
            <w:vAlign w:val="center"/>
          </w:tcPr>
          <w:p w14:paraId="21D9091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E3E53D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监测机构现场采样质量分析-监测机构采样质控操作分析</w:t>
            </w:r>
          </w:p>
        </w:tc>
        <w:tc>
          <w:tcPr>
            <w:tcW w:w="3928" w:type="dxa"/>
            <w:tcBorders>
              <w:top w:val="nil"/>
              <w:left w:val="nil"/>
              <w:bottom w:val="single" w:color="auto" w:sz="4" w:space="0"/>
              <w:right w:val="single" w:color="auto" w:sz="4" w:space="0"/>
            </w:tcBorders>
            <w:vAlign w:val="center"/>
          </w:tcPr>
          <w:p w14:paraId="5822C6C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以质控结果有效性与异常预警为核心，检查压力调零、气密性检查是否通过，未通过则判定为质控不合格，采样数据无效；核算等速跟踪率是否符合技术规范要求（通常需达到一定阈值，如 90%-110%），低于或超出阈值则视为采样精度不达标；针对流量计前压力、传感器等异常记录，分析异常发生原因，判断是否因设备故障、操作失误导致，同时评估异常对采样数据准确性的影响程度，确定数据是否可采用或需重新采样。</w:t>
            </w:r>
          </w:p>
        </w:tc>
      </w:tr>
      <w:tr w14:paraId="1BBA4C7D">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5E68B8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228</w:t>
            </w:r>
          </w:p>
        </w:tc>
        <w:tc>
          <w:tcPr>
            <w:tcW w:w="2028" w:type="dxa"/>
            <w:vMerge w:val="continue"/>
            <w:tcBorders>
              <w:top w:val="nil"/>
              <w:left w:val="single" w:color="auto" w:sz="4" w:space="0"/>
              <w:bottom w:val="single" w:color="000000" w:sz="4" w:space="0"/>
              <w:right w:val="single" w:color="auto" w:sz="4" w:space="0"/>
            </w:tcBorders>
            <w:vAlign w:val="center"/>
          </w:tcPr>
          <w:p w14:paraId="3882F35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2BD0BE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监测机构实验过程质量分析-采样仪器设备间智能分析</w:t>
            </w:r>
          </w:p>
        </w:tc>
        <w:tc>
          <w:tcPr>
            <w:tcW w:w="3928" w:type="dxa"/>
            <w:tcBorders>
              <w:top w:val="nil"/>
              <w:left w:val="nil"/>
              <w:bottom w:val="single" w:color="auto" w:sz="4" w:space="0"/>
              <w:right w:val="single" w:color="auto" w:sz="4" w:space="0"/>
            </w:tcBorders>
            <w:vAlign w:val="center"/>
          </w:tcPr>
          <w:p w14:paraId="797F17A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通过记录人员进出与设备存取时间，并与出入库记录交叉核对，同时监测设备间连续无人时长以识别异常空闲（超过阈值则提示可能存在未采样即出报告的风险），从而确保采样过程和报告的真实性。</w:t>
            </w:r>
          </w:p>
        </w:tc>
      </w:tr>
      <w:tr w14:paraId="5A1CA42E">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515188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229</w:t>
            </w:r>
          </w:p>
        </w:tc>
        <w:tc>
          <w:tcPr>
            <w:tcW w:w="2028" w:type="dxa"/>
            <w:vMerge w:val="continue"/>
            <w:tcBorders>
              <w:top w:val="nil"/>
              <w:left w:val="single" w:color="auto" w:sz="4" w:space="0"/>
              <w:bottom w:val="single" w:color="000000" w:sz="4" w:space="0"/>
              <w:right w:val="single" w:color="auto" w:sz="4" w:space="0"/>
            </w:tcBorders>
            <w:vAlign w:val="center"/>
          </w:tcPr>
          <w:p w14:paraId="255AA09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0CFF83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监测机构实验过程质量分析-样品交接室智能分析</w:t>
            </w:r>
          </w:p>
        </w:tc>
        <w:tc>
          <w:tcPr>
            <w:tcW w:w="3928" w:type="dxa"/>
            <w:tcBorders>
              <w:top w:val="nil"/>
              <w:left w:val="nil"/>
              <w:bottom w:val="single" w:color="auto" w:sz="4" w:space="0"/>
              <w:right w:val="single" w:color="auto" w:sz="4" w:space="0"/>
            </w:tcBorders>
            <w:vAlign w:val="center"/>
          </w:tcPr>
          <w:p w14:paraId="6571CEE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记录人员携带样品进出交接室的时间并与交接单、流转单交叉核对，同时监控样品停留时长以确保有效性，并监测交接室连续无人时长以识别异常空闲（超过阈值则提示可能存在未按规定进行样品交接即出报告的风险），从而确保样品交接的规范性和检测报告的真实性。</w:t>
            </w:r>
          </w:p>
        </w:tc>
      </w:tr>
      <w:tr w14:paraId="631FCC1D">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17D34E2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230</w:t>
            </w:r>
          </w:p>
        </w:tc>
        <w:tc>
          <w:tcPr>
            <w:tcW w:w="2028" w:type="dxa"/>
            <w:vMerge w:val="continue"/>
            <w:tcBorders>
              <w:top w:val="nil"/>
              <w:left w:val="single" w:color="auto" w:sz="4" w:space="0"/>
              <w:bottom w:val="single" w:color="000000" w:sz="4" w:space="0"/>
              <w:right w:val="single" w:color="auto" w:sz="4" w:space="0"/>
            </w:tcBorders>
            <w:vAlign w:val="center"/>
          </w:tcPr>
          <w:p w14:paraId="2069248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CAB0F0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监测机构实验过程质量分析-制样室智能分析</w:t>
            </w:r>
          </w:p>
        </w:tc>
        <w:tc>
          <w:tcPr>
            <w:tcW w:w="3928" w:type="dxa"/>
            <w:tcBorders>
              <w:top w:val="nil"/>
              <w:left w:val="nil"/>
              <w:bottom w:val="single" w:color="auto" w:sz="4" w:space="0"/>
              <w:right w:val="single" w:color="auto" w:sz="4" w:space="0"/>
            </w:tcBorders>
            <w:vAlign w:val="center"/>
          </w:tcPr>
          <w:p w14:paraId="496C846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记录人员携带样品进出制样室的时间并与相关记录核对，同时监控风干操作及时间以识别违规行为，并检测制样过程是否符合规范（如研磨、过筛等必要操作），同时监测制样室连续无人时长以识别异常空闲（超过阈值则提示可能存在未按规定进行制样操作的风险），从而确保样品制备的规范性和检测结果的真实性。</w:t>
            </w:r>
          </w:p>
        </w:tc>
      </w:tr>
      <w:tr w14:paraId="28DE9563">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5E661E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231</w:t>
            </w:r>
          </w:p>
        </w:tc>
        <w:tc>
          <w:tcPr>
            <w:tcW w:w="2028" w:type="dxa"/>
            <w:vMerge w:val="continue"/>
            <w:tcBorders>
              <w:top w:val="nil"/>
              <w:left w:val="single" w:color="auto" w:sz="4" w:space="0"/>
              <w:bottom w:val="single" w:color="000000" w:sz="4" w:space="0"/>
              <w:right w:val="single" w:color="auto" w:sz="4" w:space="0"/>
            </w:tcBorders>
            <w:vAlign w:val="center"/>
          </w:tcPr>
          <w:p w14:paraId="0247C8C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6EEEBB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监测机构实验过程质量分析-样品前处理过程智能分析</w:t>
            </w:r>
          </w:p>
        </w:tc>
        <w:tc>
          <w:tcPr>
            <w:tcW w:w="3928" w:type="dxa"/>
            <w:tcBorders>
              <w:top w:val="nil"/>
              <w:left w:val="nil"/>
              <w:bottom w:val="single" w:color="auto" w:sz="4" w:space="0"/>
              <w:right w:val="single" w:color="auto" w:sz="4" w:space="0"/>
            </w:tcBorders>
            <w:vAlign w:val="center"/>
          </w:tcPr>
          <w:p w14:paraId="66D5886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该通过智能视觉技术监控样品流转时间与位置信息（结合停留时间判断有效性），并识别实验人员的预处理操作动作是否符合规范，从而有效判定样品有效性，防范未按规定处理而直接出报告的风险。</w:t>
            </w:r>
          </w:p>
        </w:tc>
      </w:tr>
      <w:tr w14:paraId="343BB7CD">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7E15B2C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232</w:t>
            </w:r>
          </w:p>
        </w:tc>
        <w:tc>
          <w:tcPr>
            <w:tcW w:w="2028" w:type="dxa"/>
            <w:vMerge w:val="continue"/>
            <w:tcBorders>
              <w:top w:val="nil"/>
              <w:left w:val="single" w:color="auto" w:sz="4" w:space="0"/>
              <w:bottom w:val="single" w:color="000000" w:sz="4" w:space="0"/>
              <w:right w:val="single" w:color="auto" w:sz="4" w:space="0"/>
            </w:tcBorders>
            <w:vAlign w:val="center"/>
          </w:tcPr>
          <w:p w14:paraId="2177945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383B68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监测机构实验过程质量分析-实验分析过程智能分析</w:t>
            </w:r>
          </w:p>
        </w:tc>
        <w:tc>
          <w:tcPr>
            <w:tcW w:w="3928" w:type="dxa"/>
            <w:tcBorders>
              <w:top w:val="nil"/>
              <w:left w:val="nil"/>
              <w:bottom w:val="single" w:color="auto" w:sz="4" w:space="0"/>
              <w:right w:val="single" w:color="auto" w:sz="4" w:space="0"/>
            </w:tcBorders>
            <w:vAlign w:val="center"/>
          </w:tcPr>
          <w:p w14:paraId="6EFE7E2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实时监控实验人员进出实验室的时间并与相关记录核对，同时统计在岗人数以确保符合标准方法要求（如恶臭嗅辨需4-6人），并记录样品停留时间以判断其有效性，同时识别实验人员操作动作的起止以确认实验真实开展（如上机分析、嗅辨），从而全面确保实验室操作的规范性、人员配置的合规性及样品和数据的真实性。</w:t>
            </w:r>
          </w:p>
        </w:tc>
      </w:tr>
      <w:tr w14:paraId="270BA6D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2070E8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233</w:t>
            </w:r>
          </w:p>
        </w:tc>
        <w:tc>
          <w:tcPr>
            <w:tcW w:w="2028" w:type="dxa"/>
            <w:vMerge w:val="continue"/>
            <w:tcBorders>
              <w:top w:val="nil"/>
              <w:left w:val="single" w:color="auto" w:sz="4" w:space="0"/>
              <w:bottom w:val="single" w:color="000000" w:sz="4" w:space="0"/>
              <w:right w:val="single" w:color="auto" w:sz="4" w:space="0"/>
            </w:tcBorders>
            <w:vAlign w:val="center"/>
          </w:tcPr>
          <w:p w14:paraId="13C485A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548AF1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监测机构实验过程质量分析-实验区出入口智能分析</w:t>
            </w:r>
          </w:p>
        </w:tc>
        <w:tc>
          <w:tcPr>
            <w:tcW w:w="3928" w:type="dxa"/>
            <w:tcBorders>
              <w:top w:val="nil"/>
              <w:left w:val="nil"/>
              <w:bottom w:val="single" w:color="auto" w:sz="4" w:space="0"/>
              <w:right w:val="single" w:color="auto" w:sz="4" w:space="0"/>
            </w:tcBorders>
            <w:vAlign w:val="center"/>
          </w:tcPr>
          <w:p w14:paraId="0071C12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通过实时监控并记录实验区人员进出时间，同时监测实验区连续无人时长以识别异常空闲（超过阈值则提示可能存在未分析即出报告的风险），从而确保报告的真实性。</w:t>
            </w:r>
          </w:p>
        </w:tc>
      </w:tr>
      <w:tr w14:paraId="08D0A332">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50C96B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234</w:t>
            </w:r>
          </w:p>
        </w:tc>
        <w:tc>
          <w:tcPr>
            <w:tcW w:w="2028" w:type="dxa"/>
            <w:vMerge w:val="continue"/>
            <w:tcBorders>
              <w:top w:val="nil"/>
              <w:left w:val="single" w:color="auto" w:sz="4" w:space="0"/>
              <w:bottom w:val="single" w:color="000000" w:sz="4" w:space="0"/>
              <w:right w:val="single" w:color="auto" w:sz="4" w:space="0"/>
            </w:tcBorders>
            <w:vAlign w:val="center"/>
          </w:tcPr>
          <w:p w14:paraId="4EFEE58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3B9261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监测机构实验过程质量分析-样品瓶清洗间智能分析</w:t>
            </w:r>
          </w:p>
        </w:tc>
        <w:tc>
          <w:tcPr>
            <w:tcW w:w="3928" w:type="dxa"/>
            <w:tcBorders>
              <w:top w:val="nil"/>
              <w:left w:val="nil"/>
              <w:bottom w:val="single" w:color="auto" w:sz="4" w:space="0"/>
              <w:right w:val="single" w:color="auto" w:sz="4" w:space="0"/>
            </w:tcBorders>
            <w:vAlign w:val="center"/>
          </w:tcPr>
          <w:p w14:paraId="10F7ADB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实时记录清洗间人员进出时间（可与相关记录核对），监测法定工作日清洗间连续无人情况以防止容器未清洗，并识别人员是否执行规范清洗动作（如使用去离子水等），从而确保清洗操作的规范性和有效性。</w:t>
            </w:r>
          </w:p>
        </w:tc>
      </w:tr>
      <w:tr w14:paraId="37D12755">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47117AD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235</w:t>
            </w:r>
          </w:p>
        </w:tc>
        <w:tc>
          <w:tcPr>
            <w:tcW w:w="2028" w:type="dxa"/>
            <w:vMerge w:val="restart"/>
            <w:tcBorders>
              <w:top w:val="nil"/>
              <w:left w:val="single" w:color="auto" w:sz="4" w:space="0"/>
              <w:bottom w:val="single" w:color="000000" w:sz="4" w:space="0"/>
              <w:right w:val="single" w:color="auto" w:sz="4" w:space="0"/>
            </w:tcBorders>
            <w:vAlign w:val="center"/>
          </w:tcPr>
          <w:p w14:paraId="04A2ADD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环境污染溯源分析</w:t>
            </w:r>
          </w:p>
        </w:tc>
        <w:tc>
          <w:tcPr>
            <w:tcW w:w="1642" w:type="dxa"/>
            <w:tcBorders>
              <w:top w:val="nil"/>
              <w:left w:val="nil"/>
              <w:bottom w:val="single" w:color="auto" w:sz="4" w:space="0"/>
              <w:right w:val="single" w:color="auto" w:sz="4" w:space="0"/>
            </w:tcBorders>
            <w:vAlign w:val="center"/>
          </w:tcPr>
          <w:p w14:paraId="6FF34D1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大气污染溯源分析-多源数据联动污染源识别</w:t>
            </w:r>
          </w:p>
        </w:tc>
        <w:tc>
          <w:tcPr>
            <w:tcW w:w="3928" w:type="dxa"/>
            <w:tcBorders>
              <w:top w:val="nil"/>
              <w:left w:val="nil"/>
              <w:bottom w:val="single" w:color="auto" w:sz="4" w:space="0"/>
              <w:right w:val="single" w:color="auto" w:sz="4" w:space="0"/>
            </w:tcBorders>
            <w:vAlign w:val="center"/>
          </w:tcPr>
          <w:p w14:paraId="63E0881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依托MILVUS向量数据库对超标污染物成分进行快速检索，筛选出成分匹配度≥70%的潜在污染源企业。同时，结合风向玫瑰图算法分析上风向主导区域，综合成分相似度、风向影响权重以及距离衰减模型，进行多维动态评分，最终精准排序并锁定3至5家高概率关联污染源企业，生成结构化优先级清单。</w:t>
            </w:r>
          </w:p>
        </w:tc>
      </w:tr>
      <w:tr w14:paraId="761B9113">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DDEA6F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236</w:t>
            </w:r>
          </w:p>
        </w:tc>
        <w:tc>
          <w:tcPr>
            <w:tcW w:w="2028" w:type="dxa"/>
            <w:vMerge w:val="continue"/>
            <w:tcBorders>
              <w:top w:val="nil"/>
              <w:left w:val="single" w:color="auto" w:sz="4" w:space="0"/>
              <w:bottom w:val="single" w:color="000000" w:sz="4" w:space="0"/>
              <w:right w:val="single" w:color="auto" w:sz="4" w:space="0"/>
            </w:tcBorders>
            <w:vAlign w:val="center"/>
          </w:tcPr>
          <w:p w14:paraId="11B84FB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6D5D37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大气污染溯源分析-历史案例辅助溯源推理</w:t>
            </w:r>
          </w:p>
        </w:tc>
        <w:tc>
          <w:tcPr>
            <w:tcW w:w="3928" w:type="dxa"/>
            <w:tcBorders>
              <w:top w:val="nil"/>
              <w:left w:val="nil"/>
              <w:bottom w:val="single" w:color="auto" w:sz="4" w:space="0"/>
              <w:right w:val="single" w:color="auto" w:sz="4" w:space="0"/>
            </w:tcBorders>
            <w:vAlign w:val="center"/>
          </w:tcPr>
          <w:p w14:paraId="341DCBA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通过调取近三年内的历史超标案例库分析转化为当前溯源分析中的规则权重因子，通过对潜在污染源企业的初步清单进行二次置信度加权修正，结合行业排放特性、地理空间关系及气象条件等多维参数，生成优化后的二次风险排名，提升复杂场景下的溯源准确性。</w:t>
            </w:r>
          </w:p>
        </w:tc>
      </w:tr>
      <w:tr w14:paraId="7BF4532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A996EF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237</w:t>
            </w:r>
          </w:p>
        </w:tc>
        <w:tc>
          <w:tcPr>
            <w:tcW w:w="2028" w:type="dxa"/>
            <w:vMerge w:val="continue"/>
            <w:tcBorders>
              <w:top w:val="nil"/>
              <w:left w:val="single" w:color="auto" w:sz="4" w:space="0"/>
              <w:bottom w:val="single" w:color="000000" w:sz="4" w:space="0"/>
              <w:right w:val="single" w:color="auto" w:sz="4" w:space="0"/>
            </w:tcBorders>
            <w:vAlign w:val="center"/>
          </w:tcPr>
          <w:p w14:paraId="0B42539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A8DB69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大气污染溯源分析-传统数值模式比对结果反向输入及优化</w:t>
            </w:r>
          </w:p>
        </w:tc>
        <w:tc>
          <w:tcPr>
            <w:tcW w:w="3928" w:type="dxa"/>
            <w:tcBorders>
              <w:top w:val="nil"/>
              <w:left w:val="nil"/>
              <w:bottom w:val="single" w:color="auto" w:sz="4" w:space="0"/>
              <w:right w:val="single" w:color="auto" w:sz="4" w:space="0"/>
            </w:tcBorders>
            <w:vAlign w:val="center"/>
          </w:tcPr>
          <w:p w14:paraId="79A2F74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基于传统模式结果对比后的反向输入</w:t>
            </w:r>
          </w:p>
        </w:tc>
      </w:tr>
      <w:tr w14:paraId="18D624C2">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725DCA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238</w:t>
            </w:r>
          </w:p>
        </w:tc>
        <w:tc>
          <w:tcPr>
            <w:tcW w:w="2028" w:type="dxa"/>
            <w:vMerge w:val="continue"/>
            <w:tcBorders>
              <w:top w:val="nil"/>
              <w:left w:val="single" w:color="auto" w:sz="4" w:space="0"/>
              <w:bottom w:val="single" w:color="000000" w:sz="4" w:space="0"/>
              <w:right w:val="single" w:color="auto" w:sz="4" w:space="0"/>
            </w:tcBorders>
            <w:vAlign w:val="center"/>
          </w:tcPr>
          <w:p w14:paraId="328EA70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5AB299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大气污染溯源分析-溯源企业跟踪评估</w:t>
            </w:r>
          </w:p>
        </w:tc>
        <w:tc>
          <w:tcPr>
            <w:tcW w:w="3928" w:type="dxa"/>
            <w:tcBorders>
              <w:top w:val="nil"/>
              <w:left w:val="nil"/>
              <w:bottom w:val="single" w:color="auto" w:sz="4" w:space="0"/>
              <w:right w:val="single" w:color="auto" w:sz="4" w:space="0"/>
            </w:tcBorders>
            <w:vAlign w:val="center"/>
          </w:tcPr>
          <w:p w14:paraId="3266479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在模型分析清单基础上结合人工研判和污染源预管控对象确认风险排查名单，协助属地及时发现问题源头，及时下发任务处置，及时反馈跟踪。</w:t>
            </w:r>
          </w:p>
        </w:tc>
      </w:tr>
      <w:tr w14:paraId="78283F44">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A4CEE5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239</w:t>
            </w:r>
          </w:p>
        </w:tc>
        <w:tc>
          <w:tcPr>
            <w:tcW w:w="2028" w:type="dxa"/>
            <w:vMerge w:val="continue"/>
            <w:tcBorders>
              <w:top w:val="nil"/>
              <w:left w:val="single" w:color="auto" w:sz="4" w:space="0"/>
              <w:bottom w:val="single" w:color="000000" w:sz="4" w:space="0"/>
              <w:right w:val="single" w:color="auto" w:sz="4" w:space="0"/>
            </w:tcBorders>
            <w:vAlign w:val="center"/>
          </w:tcPr>
          <w:p w14:paraId="2460142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4F153B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大气污染溯源分析-结构化超标分析报告生成</w:t>
            </w:r>
          </w:p>
        </w:tc>
        <w:tc>
          <w:tcPr>
            <w:tcW w:w="3928" w:type="dxa"/>
            <w:tcBorders>
              <w:top w:val="nil"/>
              <w:left w:val="nil"/>
              <w:bottom w:val="single" w:color="auto" w:sz="4" w:space="0"/>
              <w:right w:val="single" w:color="auto" w:sz="4" w:space="0"/>
            </w:tcBorders>
            <w:vAlign w:val="center"/>
          </w:tcPr>
          <w:p w14:paraId="0925548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基于知识库中预设的标准化报告模板，智能体可自动整合多维度关键信息，实现高效、精准的分析报告生成。</w:t>
            </w:r>
          </w:p>
        </w:tc>
      </w:tr>
      <w:tr w14:paraId="7FB1424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B10027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240</w:t>
            </w:r>
          </w:p>
        </w:tc>
        <w:tc>
          <w:tcPr>
            <w:tcW w:w="2028" w:type="dxa"/>
            <w:vMerge w:val="continue"/>
            <w:tcBorders>
              <w:top w:val="nil"/>
              <w:left w:val="single" w:color="auto" w:sz="4" w:space="0"/>
              <w:bottom w:val="single" w:color="000000" w:sz="4" w:space="0"/>
              <w:right w:val="single" w:color="auto" w:sz="4" w:space="0"/>
            </w:tcBorders>
            <w:vAlign w:val="center"/>
          </w:tcPr>
          <w:p w14:paraId="703ABB3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82DD54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水污染溯源分析-无人机数据集成</w:t>
            </w:r>
          </w:p>
        </w:tc>
        <w:tc>
          <w:tcPr>
            <w:tcW w:w="3928" w:type="dxa"/>
            <w:tcBorders>
              <w:top w:val="nil"/>
              <w:left w:val="nil"/>
              <w:bottom w:val="single" w:color="auto" w:sz="4" w:space="0"/>
              <w:right w:val="single" w:color="auto" w:sz="4" w:space="0"/>
            </w:tcBorders>
            <w:vAlign w:val="center"/>
          </w:tcPr>
          <w:p w14:paraId="315AB3D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依托无人机搭载高光谱 / 热红外成像仪及水质传感器，采集水质空间分布、水温异常区域及不同水深水质数据，通过 4G 网络实时传输至系统，构建多维度监测数据源</w:t>
            </w:r>
          </w:p>
        </w:tc>
      </w:tr>
      <w:tr w14:paraId="08E44E5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E48601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241</w:t>
            </w:r>
          </w:p>
        </w:tc>
        <w:tc>
          <w:tcPr>
            <w:tcW w:w="2028" w:type="dxa"/>
            <w:vMerge w:val="continue"/>
            <w:tcBorders>
              <w:top w:val="nil"/>
              <w:left w:val="single" w:color="auto" w:sz="4" w:space="0"/>
              <w:bottom w:val="single" w:color="000000" w:sz="4" w:space="0"/>
              <w:right w:val="single" w:color="auto" w:sz="4" w:space="0"/>
            </w:tcBorders>
            <w:vAlign w:val="center"/>
          </w:tcPr>
          <w:p w14:paraId="499BBC3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690134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水污染溯源分析-数据预处理与质控</w:t>
            </w:r>
          </w:p>
        </w:tc>
        <w:tc>
          <w:tcPr>
            <w:tcW w:w="3928" w:type="dxa"/>
            <w:tcBorders>
              <w:top w:val="nil"/>
              <w:left w:val="nil"/>
              <w:bottom w:val="single" w:color="auto" w:sz="4" w:space="0"/>
              <w:right w:val="single" w:color="auto" w:sz="4" w:space="0"/>
            </w:tcBorders>
            <w:vAlign w:val="center"/>
          </w:tcPr>
          <w:p w14:paraId="10402BF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系统内置清洗管道，对采集数据进行格式、值域、逻辑三级校验，结合模型精度评估模块优化参数；利用机器学习模型实现水面污染物图像去噪、特征提取与精准识别。</w:t>
            </w:r>
          </w:p>
        </w:tc>
      </w:tr>
      <w:tr w14:paraId="43294A34">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99F549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242</w:t>
            </w:r>
          </w:p>
        </w:tc>
        <w:tc>
          <w:tcPr>
            <w:tcW w:w="2028" w:type="dxa"/>
            <w:vMerge w:val="continue"/>
            <w:tcBorders>
              <w:top w:val="nil"/>
              <w:left w:val="single" w:color="auto" w:sz="4" w:space="0"/>
              <w:bottom w:val="single" w:color="000000" w:sz="4" w:space="0"/>
              <w:right w:val="single" w:color="auto" w:sz="4" w:space="0"/>
            </w:tcBorders>
            <w:vAlign w:val="center"/>
          </w:tcPr>
          <w:p w14:paraId="307D535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2F3F23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水污染溯源分析-水污染动态预警</w:t>
            </w:r>
          </w:p>
        </w:tc>
        <w:tc>
          <w:tcPr>
            <w:tcW w:w="3928" w:type="dxa"/>
            <w:tcBorders>
              <w:top w:val="nil"/>
              <w:left w:val="nil"/>
              <w:bottom w:val="single" w:color="auto" w:sz="4" w:space="0"/>
              <w:right w:val="single" w:color="auto" w:sz="4" w:space="0"/>
            </w:tcBorders>
            <w:vAlign w:val="center"/>
          </w:tcPr>
          <w:p w14:paraId="739F591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基于水质指标与污染物识别率，面积占比，设定四级预警阈值；系统自动触发预警工单，通过移动端，pc端等多渠道推送至监测、应急等岗位，实现污染及时响应。</w:t>
            </w:r>
          </w:p>
        </w:tc>
      </w:tr>
      <w:tr w14:paraId="14C20887">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210832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243</w:t>
            </w:r>
          </w:p>
        </w:tc>
        <w:tc>
          <w:tcPr>
            <w:tcW w:w="2028" w:type="dxa"/>
            <w:vMerge w:val="continue"/>
            <w:tcBorders>
              <w:top w:val="nil"/>
              <w:left w:val="single" w:color="auto" w:sz="4" w:space="0"/>
              <w:bottom w:val="single" w:color="000000" w:sz="4" w:space="0"/>
              <w:right w:val="single" w:color="auto" w:sz="4" w:space="0"/>
            </w:tcBorders>
            <w:vAlign w:val="center"/>
          </w:tcPr>
          <w:p w14:paraId="6E838BD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79789F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水污染溯源分析-水污染扩散模拟</w:t>
            </w:r>
          </w:p>
        </w:tc>
        <w:tc>
          <w:tcPr>
            <w:tcW w:w="3928" w:type="dxa"/>
            <w:tcBorders>
              <w:top w:val="nil"/>
              <w:left w:val="nil"/>
              <w:bottom w:val="single" w:color="auto" w:sz="4" w:space="0"/>
              <w:right w:val="single" w:color="auto" w:sz="4" w:space="0"/>
            </w:tcBorders>
            <w:vAlign w:val="center"/>
          </w:tcPr>
          <w:p w14:paraId="1B93EB9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融合河网水动力、水文气象数据构建污染源扩散模型，以预警时刻为起点，模拟预测 1 到 48 小时污染团空间位置、影响范围及浓度变化，为应急处置提供数据支撑。</w:t>
            </w:r>
          </w:p>
        </w:tc>
      </w:tr>
      <w:tr w14:paraId="37E3631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2CDE28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244</w:t>
            </w:r>
          </w:p>
        </w:tc>
        <w:tc>
          <w:tcPr>
            <w:tcW w:w="2028" w:type="dxa"/>
            <w:vMerge w:val="continue"/>
            <w:tcBorders>
              <w:top w:val="nil"/>
              <w:left w:val="single" w:color="auto" w:sz="4" w:space="0"/>
              <w:bottom w:val="single" w:color="000000" w:sz="4" w:space="0"/>
              <w:right w:val="single" w:color="auto" w:sz="4" w:space="0"/>
            </w:tcBorders>
            <w:vAlign w:val="center"/>
          </w:tcPr>
          <w:p w14:paraId="5F77694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30F5AF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水污染溯源分析-水污染溯源技术体系</w:t>
            </w:r>
          </w:p>
        </w:tc>
        <w:tc>
          <w:tcPr>
            <w:tcW w:w="3928" w:type="dxa"/>
            <w:tcBorders>
              <w:top w:val="nil"/>
              <w:left w:val="nil"/>
              <w:bottom w:val="single" w:color="auto" w:sz="4" w:space="0"/>
              <w:right w:val="single" w:color="auto" w:sz="4" w:space="0"/>
            </w:tcBorders>
            <w:vAlign w:val="center"/>
          </w:tcPr>
          <w:p w14:paraId="7F21346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梳理排污口、企业、污染物等多源数据构建知识图谱，建立特征污染物数据库；结合粒子漂移模型反推漂浮物历史轨迹，关联排污口位置实现污染源快速溯源。</w:t>
            </w:r>
          </w:p>
        </w:tc>
      </w:tr>
      <w:tr w14:paraId="1ED777D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95DC29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245</w:t>
            </w:r>
          </w:p>
        </w:tc>
        <w:tc>
          <w:tcPr>
            <w:tcW w:w="2028" w:type="dxa"/>
            <w:vMerge w:val="continue"/>
            <w:tcBorders>
              <w:top w:val="nil"/>
              <w:left w:val="single" w:color="auto" w:sz="4" w:space="0"/>
              <w:bottom w:val="single" w:color="000000" w:sz="4" w:space="0"/>
              <w:right w:val="single" w:color="auto" w:sz="4" w:space="0"/>
            </w:tcBorders>
            <w:vAlign w:val="center"/>
          </w:tcPr>
          <w:p w14:paraId="0CFE4AF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28F674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水污染溯源分析-水污染应急处置联动机制</w:t>
            </w:r>
          </w:p>
        </w:tc>
        <w:tc>
          <w:tcPr>
            <w:tcW w:w="3928" w:type="dxa"/>
            <w:tcBorders>
              <w:top w:val="nil"/>
              <w:left w:val="nil"/>
              <w:bottom w:val="single" w:color="auto" w:sz="4" w:space="0"/>
              <w:right w:val="single" w:color="auto" w:sz="4" w:space="0"/>
            </w:tcBorders>
            <w:vAlign w:val="center"/>
          </w:tcPr>
          <w:p w14:paraId="2279344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系统预设分级预警规则，自动生成任务工单并对接多部门协同平台；基于扩散模拟结果智能规划采样布点，整合排污口地理信息与移动监测数据辅助现场排查。</w:t>
            </w:r>
          </w:p>
        </w:tc>
      </w:tr>
      <w:tr w14:paraId="4ACDAC4A">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B1C2F3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246</w:t>
            </w:r>
          </w:p>
        </w:tc>
        <w:tc>
          <w:tcPr>
            <w:tcW w:w="2028" w:type="dxa"/>
            <w:vMerge w:val="continue"/>
            <w:tcBorders>
              <w:top w:val="nil"/>
              <w:left w:val="single" w:color="auto" w:sz="4" w:space="0"/>
              <w:bottom w:val="single" w:color="000000" w:sz="4" w:space="0"/>
              <w:right w:val="single" w:color="auto" w:sz="4" w:space="0"/>
            </w:tcBorders>
            <w:vAlign w:val="center"/>
          </w:tcPr>
          <w:p w14:paraId="134D3EB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56B6FC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水污染溯源分析-预警和溯源信息可视化</w:t>
            </w:r>
          </w:p>
        </w:tc>
        <w:tc>
          <w:tcPr>
            <w:tcW w:w="3928" w:type="dxa"/>
            <w:tcBorders>
              <w:top w:val="nil"/>
              <w:left w:val="nil"/>
              <w:bottom w:val="single" w:color="auto" w:sz="4" w:space="0"/>
              <w:right w:val="single" w:color="auto" w:sz="4" w:space="0"/>
            </w:tcBorders>
            <w:vAlign w:val="center"/>
          </w:tcPr>
          <w:p w14:paraId="55AC372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 GIS 平台动态展示无人机轨迹、预警区域及污染扩散范围，支持地图交互；利用仪表盘、趋势图实时呈现水质指标、模型结果，直观辅助管理决策。</w:t>
            </w:r>
          </w:p>
        </w:tc>
      </w:tr>
      <w:tr w14:paraId="0E36061A">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F575EC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247</w:t>
            </w:r>
          </w:p>
        </w:tc>
        <w:tc>
          <w:tcPr>
            <w:tcW w:w="2028" w:type="dxa"/>
            <w:vMerge w:val="continue"/>
            <w:tcBorders>
              <w:top w:val="nil"/>
              <w:left w:val="single" w:color="auto" w:sz="4" w:space="0"/>
              <w:bottom w:val="single" w:color="000000" w:sz="4" w:space="0"/>
              <w:right w:val="single" w:color="auto" w:sz="4" w:space="0"/>
            </w:tcBorders>
            <w:vAlign w:val="center"/>
          </w:tcPr>
          <w:p w14:paraId="65DC1EE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89B8F7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水污染溯源分析-分析报告智能生成</w:t>
            </w:r>
          </w:p>
        </w:tc>
        <w:tc>
          <w:tcPr>
            <w:tcW w:w="3928" w:type="dxa"/>
            <w:tcBorders>
              <w:top w:val="nil"/>
              <w:left w:val="nil"/>
              <w:bottom w:val="single" w:color="auto" w:sz="4" w:space="0"/>
              <w:right w:val="single" w:color="auto" w:sz="4" w:space="0"/>
            </w:tcBorders>
            <w:vAlign w:val="center"/>
          </w:tcPr>
          <w:p w14:paraId="12DB9D8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按标准化模板自动生成含事件概况、成因分析、处置建议的富媒体报告，支持按用户角色（监测 / 应急 / 管理）定制内容，可自定义章节结构与图表优先级。</w:t>
            </w:r>
          </w:p>
        </w:tc>
      </w:tr>
      <w:tr w14:paraId="2E627253">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994DBA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248</w:t>
            </w:r>
          </w:p>
        </w:tc>
        <w:tc>
          <w:tcPr>
            <w:tcW w:w="2028" w:type="dxa"/>
            <w:vMerge w:val="restart"/>
            <w:tcBorders>
              <w:top w:val="nil"/>
              <w:left w:val="single" w:color="auto" w:sz="4" w:space="0"/>
              <w:bottom w:val="single" w:color="000000" w:sz="4" w:space="0"/>
              <w:right w:val="single" w:color="auto" w:sz="4" w:space="0"/>
            </w:tcBorders>
            <w:vAlign w:val="center"/>
          </w:tcPr>
          <w:p w14:paraId="6EBC599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应急监测决策分析</w:t>
            </w:r>
          </w:p>
        </w:tc>
        <w:tc>
          <w:tcPr>
            <w:tcW w:w="1642" w:type="dxa"/>
            <w:tcBorders>
              <w:top w:val="nil"/>
              <w:left w:val="nil"/>
              <w:bottom w:val="single" w:color="auto" w:sz="4" w:space="0"/>
              <w:right w:val="single" w:color="auto" w:sz="4" w:space="0"/>
            </w:tcBorders>
            <w:vAlign w:val="center"/>
          </w:tcPr>
          <w:p w14:paraId="4AC58BE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应急事件现状分析</w:t>
            </w:r>
          </w:p>
        </w:tc>
        <w:tc>
          <w:tcPr>
            <w:tcW w:w="3928" w:type="dxa"/>
            <w:tcBorders>
              <w:top w:val="nil"/>
              <w:left w:val="nil"/>
              <w:bottom w:val="single" w:color="auto" w:sz="4" w:space="0"/>
              <w:right w:val="single" w:color="auto" w:sz="4" w:space="0"/>
            </w:tcBorders>
            <w:vAlign w:val="center"/>
          </w:tcPr>
          <w:p w14:paraId="1794468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实时采集应急事件的时间、地点等基础信息，融合现场传感器、人工上报及第三方平台数据，借助 GIS 精准定位污染区域，直观呈现影响范围，自动提取事件类型、污染物种类及初始浓度，为应急决策筑牢数据根基 。</w:t>
            </w:r>
          </w:p>
        </w:tc>
      </w:tr>
      <w:tr w14:paraId="7E0155E8">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1C8A65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249</w:t>
            </w:r>
          </w:p>
        </w:tc>
        <w:tc>
          <w:tcPr>
            <w:tcW w:w="2028" w:type="dxa"/>
            <w:vMerge w:val="continue"/>
            <w:tcBorders>
              <w:top w:val="nil"/>
              <w:left w:val="single" w:color="auto" w:sz="4" w:space="0"/>
              <w:bottom w:val="single" w:color="000000" w:sz="4" w:space="0"/>
              <w:right w:val="single" w:color="auto" w:sz="4" w:space="0"/>
            </w:tcBorders>
            <w:vAlign w:val="center"/>
          </w:tcPr>
          <w:p w14:paraId="59A2C07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3BF1D3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污染趋势模拟预测</w:t>
            </w:r>
          </w:p>
        </w:tc>
        <w:tc>
          <w:tcPr>
            <w:tcW w:w="3928" w:type="dxa"/>
            <w:tcBorders>
              <w:top w:val="nil"/>
              <w:left w:val="nil"/>
              <w:bottom w:val="single" w:color="auto" w:sz="4" w:space="0"/>
              <w:right w:val="single" w:color="auto" w:sz="4" w:space="0"/>
            </w:tcBorders>
            <w:vAlign w:val="center"/>
          </w:tcPr>
          <w:p w14:paraId="65D02AA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智能体综合气象条件、污染物排放及历史案例，模拟污染物在不同气象下的距离与浓度变化变化关系，预测未来 48 小时污染趋势，包括峰值时间、范围扩展及敏感区域预警，参照历史处置效果辅助研判 。</w:t>
            </w:r>
          </w:p>
        </w:tc>
      </w:tr>
      <w:tr w14:paraId="5223A92C">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4498E2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250</w:t>
            </w:r>
          </w:p>
        </w:tc>
        <w:tc>
          <w:tcPr>
            <w:tcW w:w="2028" w:type="dxa"/>
            <w:vMerge w:val="continue"/>
            <w:tcBorders>
              <w:top w:val="nil"/>
              <w:left w:val="single" w:color="auto" w:sz="4" w:space="0"/>
              <w:bottom w:val="single" w:color="000000" w:sz="4" w:space="0"/>
              <w:right w:val="single" w:color="auto" w:sz="4" w:space="0"/>
            </w:tcBorders>
            <w:vAlign w:val="center"/>
          </w:tcPr>
          <w:p w14:paraId="64E05FF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ECD633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应急监测预案生成</w:t>
            </w:r>
          </w:p>
        </w:tc>
        <w:tc>
          <w:tcPr>
            <w:tcW w:w="3928" w:type="dxa"/>
            <w:tcBorders>
              <w:top w:val="nil"/>
              <w:left w:val="nil"/>
              <w:bottom w:val="single" w:color="auto" w:sz="4" w:space="0"/>
              <w:right w:val="single" w:color="auto" w:sz="4" w:space="0"/>
            </w:tcBorders>
            <w:vAlign w:val="center"/>
          </w:tcPr>
          <w:p w14:paraId="7864E7F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依据现状与趋势结果，遵循 “重点加密、边缘覆盖” 原则，综合污染源、扩散趋势与周边敏感点分布，确定监测点位数量与坐标，配套推荐监测设备、采样频率及物资调配建议 。</w:t>
            </w:r>
          </w:p>
        </w:tc>
      </w:tr>
      <w:tr w14:paraId="15A45A5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D1DF0E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251</w:t>
            </w:r>
          </w:p>
        </w:tc>
        <w:tc>
          <w:tcPr>
            <w:tcW w:w="2028" w:type="dxa"/>
            <w:vMerge w:val="continue"/>
            <w:tcBorders>
              <w:top w:val="nil"/>
              <w:left w:val="single" w:color="auto" w:sz="4" w:space="0"/>
              <w:bottom w:val="single" w:color="000000" w:sz="4" w:space="0"/>
              <w:right w:val="single" w:color="auto" w:sz="4" w:space="0"/>
            </w:tcBorders>
            <w:vAlign w:val="center"/>
          </w:tcPr>
          <w:p w14:paraId="40AF815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800F17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应急监测综合分析</w:t>
            </w:r>
          </w:p>
        </w:tc>
        <w:tc>
          <w:tcPr>
            <w:tcW w:w="3928" w:type="dxa"/>
            <w:tcBorders>
              <w:top w:val="nil"/>
              <w:left w:val="nil"/>
              <w:bottom w:val="single" w:color="auto" w:sz="4" w:space="0"/>
              <w:right w:val="single" w:color="auto" w:sz="4" w:space="0"/>
            </w:tcBorders>
            <w:vAlign w:val="center"/>
          </w:tcPr>
          <w:p w14:paraId="473D4C4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自动生成结构化报告，涵盖风险源、敏感点、周边企业应急力量、污染浓度变化及应对措施，以图文并茂形式展示处置过程与效果，总结经验形成案例库，助力应急决策 。</w:t>
            </w:r>
          </w:p>
        </w:tc>
      </w:tr>
      <w:tr w14:paraId="5058772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D2BBDC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252</w:t>
            </w:r>
          </w:p>
        </w:tc>
        <w:tc>
          <w:tcPr>
            <w:tcW w:w="2028" w:type="dxa"/>
            <w:vMerge w:val="restart"/>
            <w:tcBorders>
              <w:top w:val="nil"/>
              <w:left w:val="single" w:color="auto" w:sz="4" w:space="0"/>
              <w:bottom w:val="single" w:color="000000" w:sz="4" w:space="0"/>
              <w:right w:val="single" w:color="auto" w:sz="4" w:space="0"/>
            </w:tcBorders>
            <w:vAlign w:val="center"/>
          </w:tcPr>
          <w:p w14:paraId="721CA89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环境监测任务管理</w:t>
            </w:r>
          </w:p>
        </w:tc>
        <w:tc>
          <w:tcPr>
            <w:tcW w:w="1642" w:type="dxa"/>
            <w:tcBorders>
              <w:top w:val="nil"/>
              <w:left w:val="nil"/>
              <w:bottom w:val="single" w:color="auto" w:sz="4" w:space="0"/>
              <w:right w:val="single" w:color="auto" w:sz="4" w:space="0"/>
            </w:tcBorders>
            <w:vAlign w:val="center"/>
          </w:tcPr>
          <w:p w14:paraId="507CFAF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监测站点统一管理- 站点编码与分类管理</w:t>
            </w:r>
            <w:r>
              <w:rPr>
                <w:rFonts w:ascii="Times New Roman" w:hAnsi="Times New Roman"/>
                <w:bCs w:val="0"/>
                <w:color w:val="000000"/>
                <w:kern w:val="0"/>
                <w:sz w:val="20"/>
                <w:szCs w:val="20"/>
              </w:rPr>
              <w:t>​</w:t>
            </w:r>
          </w:p>
        </w:tc>
        <w:tc>
          <w:tcPr>
            <w:tcW w:w="3928" w:type="dxa"/>
            <w:tcBorders>
              <w:top w:val="nil"/>
              <w:left w:val="nil"/>
              <w:bottom w:val="single" w:color="auto" w:sz="4" w:space="0"/>
              <w:right w:val="single" w:color="auto" w:sz="4" w:space="0"/>
            </w:tcBorders>
            <w:vAlign w:val="center"/>
          </w:tcPr>
          <w:p w14:paraId="65B448C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制定统一编码规则，规范建立分类目录，对编码进行分类与维护。</w:t>
            </w:r>
          </w:p>
        </w:tc>
      </w:tr>
      <w:tr w14:paraId="54C2F996">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CDFAE8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253</w:t>
            </w:r>
          </w:p>
        </w:tc>
        <w:tc>
          <w:tcPr>
            <w:tcW w:w="2028" w:type="dxa"/>
            <w:vMerge w:val="continue"/>
            <w:tcBorders>
              <w:top w:val="nil"/>
              <w:left w:val="single" w:color="auto" w:sz="4" w:space="0"/>
              <w:bottom w:val="single" w:color="000000" w:sz="4" w:space="0"/>
              <w:right w:val="single" w:color="auto" w:sz="4" w:space="0"/>
            </w:tcBorders>
            <w:vAlign w:val="center"/>
          </w:tcPr>
          <w:p w14:paraId="5C36E34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0B924A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监测站点统一管理- 站点基础信息管理</w:t>
            </w:r>
          </w:p>
        </w:tc>
        <w:tc>
          <w:tcPr>
            <w:tcW w:w="3928" w:type="dxa"/>
            <w:tcBorders>
              <w:top w:val="nil"/>
              <w:left w:val="nil"/>
              <w:bottom w:val="single" w:color="auto" w:sz="4" w:space="0"/>
              <w:right w:val="single" w:color="auto" w:sz="4" w:space="0"/>
            </w:tcBorders>
            <w:vAlign w:val="center"/>
          </w:tcPr>
          <w:p w14:paraId="19BF238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对站点进行基础信息录入、数据对接和信息更新与审核。</w:t>
            </w:r>
          </w:p>
        </w:tc>
      </w:tr>
      <w:tr w14:paraId="5CB9D9E6">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6EDDFE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254</w:t>
            </w:r>
          </w:p>
        </w:tc>
        <w:tc>
          <w:tcPr>
            <w:tcW w:w="2028" w:type="dxa"/>
            <w:vMerge w:val="continue"/>
            <w:tcBorders>
              <w:top w:val="nil"/>
              <w:left w:val="single" w:color="auto" w:sz="4" w:space="0"/>
              <w:bottom w:val="single" w:color="000000" w:sz="4" w:space="0"/>
              <w:right w:val="single" w:color="auto" w:sz="4" w:space="0"/>
            </w:tcBorders>
            <w:vAlign w:val="center"/>
          </w:tcPr>
          <w:p w14:paraId="7EB2CC9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C60E2B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监测站点统一管理- 站点设施动态管理</w:t>
            </w:r>
          </w:p>
        </w:tc>
        <w:tc>
          <w:tcPr>
            <w:tcW w:w="3928" w:type="dxa"/>
            <w:tcBorders>
              <w:top w:val="nil"/>
              <w:left w:val="nil"/>
              <w:bottom w:val="single" w:color="auto" w:sz="4" w:space="0"/>
              <w:right w:val="single" w:color="auto" w:sz="4" w:space="0"/>
            </w:tcBorders>
            <w:vAlign w:val="center"/>
          </w:tcPr>
          <w:p w14:paraId="1BE5DF7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包含设施台账管理、设施状态监控、设施维护管理。</w:t>
            </w:r>
          </w:p>
        </w:tc>
      </w:tr>
      <w:tr w14:paraId="02C6E689">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60E9435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255</w:t>
            </w:r>
          </w:p>
        </w:tc>
        <w:tc>
          <w:tcPr>
            <w:tcW w:w="2028" w:type="dxa"/>
            <w:vMerge w:val="continue"/>
            <w:tcBorders>
              <w:top w:val="nil"/>
              <w:left w:val="single" w:color="auto" w:sz="4" w:space="0"/>
              <w:bottom w:val="single" w:color="000000" w:sz="4" w:space="0"/>
              <w:right w:val="single" w:color="auto" w:sz="4" w:space="0"/>
            </w:tcBorders>
            <w:vAlign w:val="center"/>
          </w:tcPr>
          <w:p w14:paraId="6FC8507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2C2ECF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监测任务分类管理- 按监测要素分类</w:t>
            </w:r>
          </w:p>
        </w:tc>
        <w:tc>
          <w:tcPr>
            <w:tcW w:w="3928" w:type="dxa"/>
            <w:tcBorders>
              <w:top w:val="nil"/>
              <w:left w:val="nil"/>
              <w:bottom w:val="single" w:color="auto" w:sz="4" w:space="0"/>
              <w:right w:val="single" w:color="auto" w:sz="4" w:space="0"/>
            </w:tcBorders>
            <w:vAlign w:val="center"/>
          </w:tcPr>
          <w:p w14:paraId="3B09D1E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按照大气、地表水、海洋等监测要素进行分类。</w:t>
            </w:r>
          </w:p>
        </w:tc>
      </w:tr>
      <w:tr w14:paraId="712F5AFE">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2386D82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256</w:t>
            </w:r>
          </w:p>
        </w:tc>
        <w:tc>
          <w:tcPr>
            <w:tcW w:w="2028" w:type="dxa"/>
            <w:vMerge w:val="continue"/>
            <w:tcBorders>
              <w:top w:val="nil"/>
              <w:left w:val="single" w:color="auto" w:sz="4" w:space="0"/>
              <w:bottom w:val="single" w:color="000000" w:sz="4" w:space="0"/>
              <w:right w:val="single" w:color="auto" w:sz="4" w:space="0"/>
            </w:tcBorders>
            <w:vAlign w:val="center"/>
          </w:tcPr>
          <w:p w14:paraId="071F4DD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6F9799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监测任务分类管理- 按任务性质分类</w:t>
            </w:r>
          </w:p>
        </w:tc>
        <w:tc>
          <w:tcPr>
            <w:tcW w:w="3928" w:type="dxa"/>
            <w:tcBorders>
              <w:top w:val="nil"/>
              <w:left w:val="nil"/>
              <w:bottom w:val="single" w:color="auto" w:sz="4" w:space="0"/>
              <w:right w:val="single" w:color="auto" w:sz="4" w:space="0"/>
            </w:tcBorders>
            <w:vAlign w:val="center"/>
          </w:tcPr>
          <w:p w14:paraId="3BBA327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包含常规监测、专项监测和应急监测。</w:t>
            </w:r>
          </w:p>
        </w:tc>
      </w:tr>
      <w:tr w14:paraId="0E095271">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40C2B8F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257</w:t>
            </w:r>
          </w:p>
        </w:tc>
        <w:tc>
          <w:tcPr>
            <w:tcW w:w="2028" w:type="dxa"/>
            <w:vMerge w:val="continue"/>
            <w:tcBorders>
              <w:top w:val="nil"/>
              <w:left w:val="single" w:color="auto" w:sz="4" w:space="0"/>
              <w:bottom w:val="single" w:color="000000" w:sz="4" w:space="0"/>
              <w:right w:val="single" w:color="auto" w:sz="4" w:space="0"/>
            </w:tcBorders>
            <w:vAlign w:val="center"/>
          </w:tcPr>
          <w:p w14:paraId="093E846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E6AC88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监测任务分类管理- 按时间维度分类</w:t>
            </w:r>
          </w:p>
        </w:tc>
        <w:tc>
          <w:tcPr>
            <w:tcW w:w="3928" w:type="dxa"/>
            <w:tcBorders>
              <w:top w:val="nil"/>
              <w:left w:val="nil"/>
              <w:bottom w:val="single" w:color="auto" w:sz="4" w:space="0"/>
              <w:right w:val="single" w:color="auto" w:sz="4" w:space="0"/>
            </w:tcBorders>
            <w:vAlign w:val="center"/>
          </w:tcPr>
          <w:p w14:paraId="219C8E3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主要分为年度任务、季度任务、月度任务和临时任务。</w:t>
            </w:r>
          </w:p>
        </w:tc>
      </w:tr>
      <w:tr w14:paraId="076629B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6AC66D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258</w:t>
            </w:r>
          </w:p>
        </w:tc>
        <w:tc>
          <w:tcPr>
            <w:tcW w:w="2028" w:type="dxa"/>
            <w:vMerge w:val="continue"/>
            <w:tcBorders>
              <w:top w:val="nil"/>
              <w:left w:val="single" w:color="auto" w:sz="4" w:space="0"/>
              <w:bottom w:val="single" w:color="000000" w:sz="4" w:space="0"/>
              <w:right w:val="single" w:color="auto" w:sz="4" w:space="0"/>
            </w:tcBorders>
            <w:vAlign w:val="center"/>
          </w:tcPr>
          <w:p w14:paraId="6EF1D28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E26FE2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监测任务模板配置管理- 预设标准监测任务模板</w:t>
            </w:r>
          </w:p>
        </w:tc>
        <w:tc>
          <w:tcPr>
            <w:tcW w:w="3928" w:type="dxa"/>
            <w:tcBorders>
              <w:top w:val="nil"/>
              <w:left w:val="nil"/>
              <w:bottom w:val="single" w:color="auto" w:sz="4" w:space="0"/>
              <w:right w:val="single" w:color="auto" w:sz="4" w:space="0"/>
            </w:tcBorders>
            <w:vAlign w:val="center"/>
          </w:tcPr>
          <w:p w14:paraId="48F202E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设置模板结构，采用三级模板体系，一级模板为监测要素（如大气），二级模板为任务性质（如专项监测），三级模板为具体任务场景（如 "秋冬季大气污染攻坚专项监测"）。</w:t>
            </w:r>
          </w:p>
        </w:tc>
      </w:tr>
      <w:tr w14:paraId="712D5A6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55C1EF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259</w:t>
            </w:r>
          </w:p>
        </w:tc>
        <w:tc>
          <w:tcPr>
            <w:tcW w:w="2028" w:type="dxa"/>
            <w:vMerge w:val="continue"/>
            <w:tcBorders>
              <w:top w:val="nil"/>
              <w:left w:val="single" w:color="auto" w:sz="4" w:space="0"/>
              <w:bottom w:val="single" w:color="000000" w:sz="4" w:space="0"/>
              <w:right w:val="single" w:color="auto" w:sz="4" w:space="0"/>
            </w:tcBorders>
            <w:vAlign w:val="center"/>
          </w:tcPr>
          <w:p w14:paraId="6A1D95E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C0C3ED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监测任务模板配置管理- 监测任务模板参数配置</w:t>
            </w:r>
          </w:p>
        </w:tc>
        <w:tc>
          <w:tcPr>
            <w:tcW w:w="3928" w:type="dxa"/>
            <w:tcBorders>
              <w:top w:val="nil"/>
              <w:left w:val="nil"/>
              <w:bottom w:val="single" w:color="auto" w:sz="4" w:space="0"/>
              <w:right w:val="single" w:color="auto" w:sz="4" w:space="0"/>
            </w:tcBorders>
            <w:vAlign w:val="center"/>
          </w:tcPr>
          <w:p w14:paraId="4CD3B75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包含监测项目配置、方法标准配置、采样要求配置、报告格式配置等。</w:t>
            </w:r>
          </w:p>
        </w:tc>
      </w:tr>
      <w:tr w14:paraId="41E869A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3F1D41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260</w:t>
            </w:r>
          </w:p>
        </w:tc>
        <w:tc>
          <w:tcPr>
            <w:tcW w:w="2028" w:type="dxa"/>
            <w:vMerge w:val="continue"/>
            <w:tcBorders>
              <w:top w:val="nil"/>
              <w:left w:val="single" w:color="auto" w:sz="4" w:space="0"/>
              <w:bottom w:val="single" w:color="000000" w:sz="4" w:space="0"/>
              <w:right w:val="single" w:color="auto" w:sz="4" w:space="0"/>
            </w:tcBorders>
            <w:vAlign w:val="center"/>
          </w:tcPr>
          <w:p w14:paraId="1F61884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BB638F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监测任务模板配置管理- 监测任务模板管理功能</w:t>
            </w:r>
          </w:p>
        </w:tc>
        <w:tc>
          <w:tcPr>
            <w:tcW w:w="3928" w:type="dxa"/>
            <w:tcBorders>
              <w:top w:val="nil"/>
              <w:left w:val="nil"/>
              <w:bottom w:val="single" w:color="auto" w:sz="4" w:space="0"/>
              <w:right w:val="single" w:color="auto" w:sz="4" w:space="0"/>
            </w:tcBorders>
            <w:vAlign w:val="center"/>
          </w:tcPr>
          <w:p w14:paraId="18B3B9B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包含模板版本控制、模板导入导出、模板智能推荐。</w:t>
            </w:r>
          </w:p>
        </w:tc>
      </w:tr>
      <w:tr w14:paraId="019CAA01">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0C2968F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261</w:t>
            </w:r>
          </w:p>
        </w:tc>
        <w:tc>
          <w:tcPr>
            <w:tcW w:w="2028" w:type="dxa"/>
            <w:vMerge w:val="continue"/>
            <w:tcBorders>
              <w:top w:val="nil"/>
              <w:left w:val="single" w:color="auto" w:sz="4" w:space="0"/>
              <w:bottom w:val="single" w:color="000000" w:sz="4" w:space="0"/>
              <w:right w:val="single" w:color="auto" w:sz="4" w:space="0"/>
            </w:tcBorders>
            <w:vAlign w:val="center"/>
          </w:tcPr>
          <w:p w14:paraId="2BAD4C1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24BC45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监测任务创建- 计划监测任务创建</w:t>
            </w:r>
          </w:p>
        </w:tc>
        <w:tc>
          <w:tcPr>
            <w:tcW w:w="3928" w:type="dxa"/>
            <w:tcBorders>
              <w:top w:val="nil"/>
              <w:left w:val="nil"/>
              <w:bottom w:val="single" w:color="auto" w:sz="4" w:space="0"/>
              <w:right w:val="single" w:color="auto" w:sz="4" w:space="0"/>
            </w:tcBorders>
            <w:vAlign w:val="center"/>
          </w:tcPr>
          <w:p w14:paraId="1FB86F9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包含周期性执行规则配置、智能资源预分配、历史任务复用。</w:t>
            </w:r>
          </w:p>
        </w:tc>
      </w:tr>
      <w:tr w14:paraId="1BC25B2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2328EC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262</w:t>
            </w:r>
          </w:p>
        </w:tc>
        <w:tc>
          <w:tcPr>
            <w:tcW w:w="2028" w:type="dxa"/>
            <w:vMerge w:val="continue"/>
            <w:tcBorders>
              <w:top w:val="nil"/>
              <w:left w:val="single" w:color="auto" w:sz="4" w:space="0"/>
              <w:bottom w:val="single" w:color="000000" w:sz="4" w:space="0"/>
              <w:right w:val="single" w:color="auto" w:sz="4" w:space="0"/>
            </w:tcBorders>
            <w:vAlign w:val="center"/>
          </w:tcPr>
          <w:p w14:paraId="189D2F4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12BB63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监测任务创建- 联动监测任务创建</w:t>
            </w:r>
          </w:p>
        </w:tc>
        <w:tc>
          <w:tcPr>
            <w:tcW w:w="3928" w:type="dxa"/>
            <w:tcBorders>
              <w:top w:val="nil"/>
              <w:left w:val="nil"/>
              <w:bottom w:val="single" w:color="auto" w:sz="4" w:space="0"/>
              <w:right w:val="single" w:color="auto" w:sz="4" w:space="0"/>
            </w:tcBorders>
            <w:vAlign w:val="center"/>
          </w:tcPr>
          <w:p w14:paraId="64FB679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联动监测任务主要是通过与系统外的业务系统进行对接开展联动的监测任务，主要包含固定污染源系统、应急指挥系统、环境执法系统。</w:t>
            </w:r>
          </w:p>
        </w:tc>
      </w:tr>
      <w:tr w14:paraId="37E22018">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0A30E48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263</w:t>
            </w:r>
          </w:p>
        </w:tc>
        <w:tc>
          <w:tcPr>
            <w:tcW w:w="2028" w:type="dxa"/>
            <w:vMerge w:val="continue"/>
            <w:tcBorders>
              <w:top w:val="nil"/>
              <w:left w:val="single" w:color="auto" w:sz="4" w:space="0"/>
              <w:bottom w:val="single" w:color="000000" w:sz="4" w:space="0"/>
              <w:right w:val="single" w:color="auto" w:sz="4" w:space="0"/>
            </w:tcBorders>
            <w:vAlign w:val="center"/>
          </w:tcPr>
          <w:p w14:paraId="10BCE43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98B060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监测任务创建- 自动触发监测任务</w:t>
            </w:r>
          </w:p>
        </w:tc>
        <w:tc>
          <w:tcPr>
            <w:tcW w:w="3928" w:type="dxa"/>
            <w:tcBorders>
              <w:top w:val="nil"/>
              <w:left w:val="nil"/>
              <w:bottom w:val="single" w:color="auto" w:sz="4" w:space="0"/>
              <w:right w:val="single" w:color="auto" w:sz="4" w:space="0"/>
            </w:tcBorders>
            <w:vAlign w:val="center"/>
          </w:tcPr>
          <w:p w14:paraId="2572959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包含规则引擎配置、动态任务生成、智能推送执行</w:t>
            </w:r>
          </w:p>
        </w:tc>
      </w:tr>
      <w:tr w14:paraId="0663A07A">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8F608D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264</w:t>
            </w:r>
          </w:p>
        </w:tc>
        <w:tc>
          <w:tcPr>
            <w:tcW w:w="2028" w:type="dxa"/>
            <w:vMerge w:val="continue"/>
            <w:tcBorders>
              <w:top w:val="nil"/>
              <w:left w:val="single" w:color="auto" w:sz="4" w:space="0"/>
              <w:bottom w:val="single" w:color="000000" w:sz="4" w:space="0"/>
              <w:right w:val="single" w:color="auto" w:sz="4" w:space="0"/>
            </w:tcBorders>
            <w:vAlign w:val="center"/>
          </w:tcPr>
          <w:p w14:paraId="11BD1A7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EABEC5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监测检查任务创建-排污单位现场采样检查任务</w:t>
            </w:r>
          </w:p>
        </w:tc>
        <w:tc>
          <w:tcPr>
            <w:tcW w:w="3928" w:type="dxa"/>
            <w:tcBorders>
              <w:top w:val="nil"/>
              <w:left w:val="nil"/>
              <w:bottom w:val="single" w:color="auto" w:sz="4" w:space="0"/>
              <w:right w:val="single" w:color="auto" w:sz="4" w:space="0"/>
            </w:tcBorders>
            <w:vAlign w:val="center"/>
          </w:tcPr>
          <w:p w14:paraId="4497960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通过系统定期分析各区监测机构开展的采样情况数据，根据采样数据的完成情况创建监督检查任务并下发给各区。</w:t>
            </w:r>
          </w:p>
        </w:tc>
      </w:tr>
      <w:tr w14:paraId="32118DB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7102D8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265</w:t>
            </w:r>
          </w:p>
        </w:tc>
        <w:tc>
          <w:tcPr>
            <w:tcW w:w="2028" w:type="dxa"/>
            <w:vMerge w:val="continue"/>
            <w:tcBorders>
              <w:top w:val="nil"/>
              <w:left w:val="single" w:color="auto" w:sz="4" w:space="0"/>
              <w:bottom w:val="single" w:color="000000" w:sz="4" w:space="0"/>
              <w:right w:val="single" w:color="auto" w:sz="4" w:space="0"/>
            </w:tcBorders>
            <w:vAlign w:val="center"/>
          </w:tcPr>
          <w:p w14:paraId="02B0742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664042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监测检查任务创建-排污单位自行监测检查任务</w:t>
            </w:r>
          </w:p>
        </w:tc>
        <w:tc>
          <w:tcPr>
            <w:tcW w:w="3928" w:type="dxa"/>
            <w:tcBorders>
              <w:top w:val="nil"/>
              <w:left w:val="nil"/>
              <w:bottom w:val="single" w:color="auto" w:sz="4" w:space="0"/>
              <w:right w:val="single" w:color="auto" w:sz="4" w:space="0"/>
            </w:tcBorders>
            <w:vAlign w:val="center"/>
          </w:tcPr>
          <w:p w14:paraId="05FF66A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通过系统定期分析各区排污单位的自行监测完成情况，根据完成情况创建自行监测检查监督任务并下发给各区。</w:t>
            </w:r>
          </w:p>
        </w:tc>
      </w:tr>
      <w:tr w14:paraId="1D5F903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675E9F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266</w:t>
            </w:r>
          </w:p>
        </w:tc>
        <w:tc>
          <w:tcPr>
            <w:tcW w:w="2028" w:type="dxa"/>
            <w:vMerge w:val="continue"/>
            <w:tcBorders>
              <w:top w:val="nil"/>
              <w:left w:val="single" w:color="auto" w:sz="4" w:space="0"/>
              <w:bottom w:val="single" w:color="000000" w:sz="4" w:space="0"/>
              <w:right w:val="single" w:color="auto" w:sz="4" w:space="0"/>
            </w:tcBorders>
            <w:vAlign w:val="center"/>
          </w:tcPr>
          <w:p w14:paraId="549E603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ADDAE2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监测检查任务创建-运维机构运维工作检查任务</w:t>
            </w:r>
          </w:p>
        </w:tc>
        <w:tc>
          <w:tcPr>
            <w:tcW w:w="3928" w:type="dxa"/>
            <w:tcBorders>
              <w:top w:val="nil"/>
              <w:left w:val="nil"/>
              <w:bottom w:val="single" w:color="auto" w:sz="4" w:space="0"/>
              <w:right w:val="single" w:color="auto" w:sz="4" w:space="0"/>
            </w:tcBorders>
            <w:vAlign w:val="center"/>
          </w:tcPr>
          <w:p w14:paraId="056F641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通过系统定期分析各区监测站点运维机构的运维任务执行情况的，根据运维任务完成情况创建运维机构检查监督任务并下发给各区。</w:t>
            </w:r>
          </w:p>
        </w:tc>
      </w:tr>
      <w:tr w14:paraId="1F6E5039">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762D2B6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267</w:t>
            </w:r>
          </w:p>
        </w:tc>
        <w:tc>
          <w:tcPr>
            <w:tcW w:w="2028" w:type="dxa"/>
            <w:vMerge w:val="continue"/>
            <w:tcBorders>
              <w:top w:val="nil"/>
              <w:left w:val="single" w:color="auto" w:sz="4" w:space="0"/>
              <w:bottom w:val="single" w:color="000000" w:sz="4" w:space="0"/>
              <w:right w:val="single" w:color="auto" w:sz="4" w:space="0"/>
            </w:tcBorders>
            <w:vAlign w:val="center"/>
          </w:tcPr>
          <w:p w14:paraId="3DE6236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0E9B16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监测站点关联筛选- 空间维度筛选</w:t>
            </w:r>
          </w:p>
        </w:tc>
        <w:tc>
          <w:tcPr>
            <w:tcW w:w="3928" w:type="dxa"/>
            <w:tcBorders>
              <w:top w:val="nil"/>
              <w:left w:val="nil"/>
              <w:bottom w:val="single" w:color="auto" w:sz="4" w:space="0"/>
              <w:right w:val="single" w:color="auto" w:sz="4" w:space="0"/>
            </w:tcBorders>
            <w:vAlign w:val="center"/>
          </w:tcPr>
          <w:p w14:paraId="604703E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支持行政区筛选、流域筛选、网格筛选。</w:t>
            </w:r>
          </w:p>
        </w:tc>
      </w:tr>
      <w:tr w14:paraId="6BE826C6">
        <w:tblPrEx>
          <w:tblCellMar>
            <w:top w:w="0" w:type="dxa"/>
            <w:left w:w="108" w:type="dxa"/>
            <w:bottom w:w="0" w:type="dxa"/>
            <w:right w:w="108" w:type="dxa"/>
          </w:tblCellMar>
        </w:tblPrEx>
        <w:trPr>
          <w:trHeight w:val="525" w:hRule="atLeast"/>
        </w:trPr>
        <w:tc>
          <w:tcPr>
            <w:tcW w:w="704" w:type="dxa"/>
            <w:tcBorders>
              <w:top w:val="nil"/>
              <w:left w:val="single" w:color="auto" w:sz="4" w:space="0"/>
              <w:bottom w:val="single" w:color="auto" w:sz="4" w:space="0"/>
              <w:right w:val="single" w:color="auto" w:sz="4" w:space="0"/>
            </w:tcBorders>
            <w:noWrap/>
            <w:vAlign w:val="center"/>
          </w:tcPr>
          <w:p w14:paraId="66086C3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268</w:t>
            </w:r>
          </w:p>
        </w:tc>
        <w:tc>
          <w:tcPr>
            <w:tcW w:w="2028" w:type="dxa"/>
            <w:vMerge w:val="continue"/>
            <w:tcBorders>
              <w:top w:val="nil"/>
              <w:left w:val="single" w:color="auto" w:sz="4" w:space="0"/>
              <w:bottom w:val="single" w:color="000000" w:sz="4" w:space="0"/>
              <w:right w:val="single" w:color="auto" w:sz="4" w:space="0"/>
            </w:tcBorders>
            <w:vAlign w:val="center"/>
          </w:tcPr>
          <w:p w14:paraId="6C2CDEE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06F80E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监测站点关联筛选- 监测要素筛选</w:t>
            </w:r>
          </w:p>
        </w:tc>
        <w:tc>
          <w:tcPr>
            <w:tcW w:w="3928" w:type="dxa"/>
            <w:tcBorders>
              <w:top w:val="nil"/>
              <w:left w:val="nil"/>
              <w:bottom w:val="single" w:color="auto" w:sz="4" w:space="0"/>
              <w:right w:val="single" w:color="auto" w:sz="4" w:space="0"/>
            </w:tcBorders>
            <w:vAlign w:val="center"/>
          </w:tcPr>
          <w:p w14:paraId="20B21BF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支持多要素组合筛选（如大气 + 水质），每个要素下细分具体参数（如大气→PM</w:t>
            </w:r>
            <w:r>
              <w:rPr>
                <w:rFonts w:ascii="Cambria Math" w:hAnsi="Cambria Math" w:eastAsia="等线" w:cs="Cambria Math"/>
                <w:bCs w:val="0"/>
                <w:color w:val="000000"/>
                <w:kern w:val="0"/>
                <w:sz w:val="20"/>
                <w:szCs w:val="20"/>
              </w:rPr>
              <w:t>₂</w:t>
            </w:r>
            <w:r>
              <w:rPr>
                <w:rFonts w:hint="eastAsia" w:cs="宋体"/>
                <w:bCs w:val="0"/>
                <w:color w:val="000000"/>
                <w:kern w:val="0"/>
                <w:sz w:val="20"/>
                <w:szCs w:val="20"/>
              </w:rPr>
              <w:t>.</w:t>
            </w:r>
            <w:r>
              <w:rPr>
                <w:rFonts w:ascii="Cambria Math" w:hAnsi="Cambria Math" w:cs="Cambria Math"/>
                <w:bCs w:val="0"/>
                <w:color w:val="000000"/>
                <w:kern w:val="0"/>
                <w:sz w:val="20"/>
                <w:szCs w:val="20"/>
              </w:rPr>
              <w:t>₅</w:t>
            </w:r>
            <w:r>
              <w:rPr>
                <w:rFonts w:hint="eastAsia" w:cs="宋体"/>
                <w:bCs w:val="0"/>
                <w:color w:val="000000"/>
                <w:kern w:val="0"/>
                <w:sz w:val="20"/>
                <w:szCs w:val="20"/>
              </w:rPr>
              <w:t>、臭氧、NO</w:t>
            </w:r>
            <w:r>
              <w:rPr>
                <w:rFonts w:ascii="Cambria Math" w:hAnsi="Cambria Math" w:eastAsia="等线" w:cs="Cambria Math"/>
                <w:bCs w:val="0"/>
                <w:color w:val="000000"/>
                <w:kern w:val="0"/>
                <w:sz w:val="20"/>
                <w:szCs w:val="20"/>
              </w:rPr>
              <w:t>₂</w:t>
            </w:r>
            <w:r>
              <w:rPr>
                <w:rFonts w:hint="eastAsia" w:cs="宋体"/>
                <w:bCs w:val="0"/>
                <w:color w:val="000000"/>
                <w:kern w:val="0"/>
                <w:sz w:val="20"/>
                <w:szCs w:val="20"/>
              </w:rPr>
              <w:t>；水质→溶解氧、氨氮、总磷）。</w:t>
            </w:r>
          </w:p>
        </w:tc>
      </w:tr>
      <w:tr w14:paraId="099E84C8">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44247BC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269</w:t>
            </w:r>
          </w:p>
        </w:tc>
        <w:tc>
          <w:tcPr>
            <w:tcW w:w="2028" w:type="dxa"/>
            <w:vMerge w:val="continue"/>
            <w:tcBorders>
              <w:top w:val="nil"/>
              <w:left w:val="single" w:color="auto" w:sz="4" w:space="0"/>
              <w:bottom w:val="single" w:color="000000" w:sz="4" w:space="0"/>
              <w:right w:val="single" w:color="auto" w:sz="4" w:space="0"/>
            </w:tcBorders>
            <w:vAlign w:val="center"/>
          </w:tcPr>
          <w:p w14:paraId="46AD794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811850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监测站点关联筛选- 站点属性筛选</w:t>
            </w:r>
          </w:p>
        </w:tc>
        <w:tc>
          <w:tcPr>
            <w:tcW w:w="3928" w:type="dxa"/>
            <w:tcBorders>
              <w:top w:val="nil"/>
              <w:left w:val="nil"/>
              <w:bottom w:val="single" w:color="auto" w:sz="4" w:space="0"/>
              <w:right w:val="single" w:color="auto" w:sz="4" w:space="0"/>
            </w:tcBorders>
            <w:vAlign w:val="center"/>
          </w:tcPr>
          <w:p w14:paraId="23297C9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属性包含设备能力、运行状态和监测状态</w:t>
            </w:r>
          </w:p>
        </w:tc>
      </w:tr>
      <w:tr w14:paraId="34A89F89">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215895C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270</w:t>
            </w:r>
          </w:p>
        </w:tc>
        <w:tc>
          <w:tcPr>
            <w:tcW w:w="2028" w:type="dxa"/>
            <w:vMerge w:val="continue"/>
            <w:tcBorders>
              <w:top w:val="nil"/>
              <w:left w:val="single" w:color="auto" w:sz="4" w:space="0"/>
              <w:bottom w:val="single" w:color="000000" w:sz="4" w:space="0"/>
              <w:right w:val="single" w:color="auto" w:sz="4" w:space="0"/>
            </w:tcBorders>
            <w:vAlign w:val="center"/>
          </w:tcPr>
          <w:p w14:paraId="5E775BD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40C4CA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监测频率设置- 常规站点基础频率</w:t>
            </w:r>
          </w:p>
        </w:tc>
        <w:tc>
          <w:tcPr>
            <w:tcW w:w="3928" w:type="dxa"/>
            <w:tcBorders>
              <w:top w:val="nil"/>
              <w:left w:val="nil"/>
              <w:bottom w:val="single" w:color="auto" w:sz="4" w:space="0"/>
              <w:right w:val="single" w:color="auto" w:sz="4" w:space="0"/>
            </w:tcBorders>
            <w:vAlign w:val="center"/>
          </w:tcPr>
          <w:p w14:paraId="06E5B04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按监测要素与站点等级差异化设置。</w:t>
            </w:r>
          </w:p>
        </w:tc>
      </w:tr>
      <w:tr w14:paraId="4DF27BB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3FD1B6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271</w:t>
            </w:r>
          </w:p>
        </w:tc>
        <w:tc>
          <w:tcPr>
            <w:tcW w:w="2028" w:type="dxa"/>
            <w:vMerge w:val="continue"/>
            <w:tcBorders>
              <w:top w:val="nil"/>
              <w:left w:val="single" w:color="auto" w:sz="4" w:space="0"/>
              <w:bottom w:val="single" w:color="000000" w:sz="4" w:space="0"/>
              <w:right w:val="single" w:color="auto" w:sz="4" w:space="0"/>
            </w:tcBorders>
            <w:vAlign w:val="center"/>
          </w:tcPr>
          <w:p w14:paraId="6010B64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C2C96C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监测频率设置- 敏感区域高频监测</w:t>
            </w:r>
          </w:p>
        </w:tc>
        <w:tc>
          <w:tcPr>
            <w:tcW w:w="3928" w:type="dxa"/>
            <w:tcBorders>
              <w:top w:val="nil"/>
              <w:left w:val="nil"/>
              <w:bottom w:val="single" w:color="auto" w:sz="4" w:space="0"/>
              <w:right w:val="single" w:color="auto" w:sz="4" w:space="0"/>
            </w:tcBorders>
            <w:vAlign w:val="center"/>
          </w:tcPr>
          <w:p w14:paraId="55A249B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针对化工园区、饮用水源地一级保护区、生态红线区等敏感区域，支持单站点或区域批量配置高频次监测（如每小时 1 次），自动触发设备预热与数据上传机制。</w:t>
            </w:r>
          </w:p>
        </w:tc>
      </w:tr>
      <w:tr w14:paraId="7FF4D946">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A8223C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272</w:t>
            </w:r>
          </w:p>
        </w:tc>
        <w:tc>
          <w:tcPr>
            <w:tcW w:w="2028" w:type="dxa"/>
            <w:vMerge w:val="continue"/>
            <w:tcBorders>
              <w:top w:val="nil"/>
              <w:left w:val="single" w:color="auto" w:sz="4" w:space="0"/>
              <w:bottom w:val="single" w:color="000000" w:sz="4" w:space="0"/>
              <w:right w:val="single" w:color="auto" w:sz="4" w:space="0"/>
            </w:tcBorders>
            <w:vAlign w:val="center"/>
          </w:tcPr>
          <w:p w14:paraId="1DA4726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8C48CD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监测频率设置- 应急场景临时加密</w:t>
            </w:r>
          </w:p>
        </w:tc>
        <w:tc>
          <w:tcPr>
            <w:tcW w:w="3928" w:type="dxa"/>
            <w:tcBorders>
              <w:top w:val="nil"/>
              <w:left w:val="nil"/>
              <w:bottom w:val="single" w:color="auto" w:sz="4" w:space="0"/>
              <w:right w:val="single" w:color="auto" w:sz="4" w:space="0"/>
            </w:tcBorders>
            <w:vAlign w:val="center"/>
          </w:tcPr>
          <w:p w14:paraId="375CD8C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污染事件处置期间（如河道油污泄漏），支持临时设置超高频监测（如每 15 分钟 1 次）。针对进博会、春节等特殊时期，支持按周 / 月维度批量设置保障区域内站点频率提升。</w:t>
            </w:r>
          </w:p>
        </w:tc>
      </w:tr>
      <w:tr w14:paraId="7577030A">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6F405F3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273</w:t>
            </w:r>
          </w:p>
        </w:tc>
        <w:tc>
          <w:tcPr>
            <w:tcW w:w="2028" w:type="dxa"/>
            <w:vMerge w:val="continue"/>
            <w:tcBorders>
              <w:top w:val="nil"/>
              <w:left w:val="single" w:color="auto" w:sz="4" w:space="0"/>
              <w:bottom w:val="single" w:color="000000" w:sz="4" w:space="0"/>
              <w:right w:val="single" w:color="auto" w:sz="4" w:space="0"/>
            </w:tcBorders>
            <w:vAlign w:val="center"/>
          </w:tcPr>
          <w:p w14:paraId="1391CCE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B6D65A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监测任务审核- 多级电子审核流程</w:t>
            </w:r>
          </w:p>
        </w:tc>
        <w:tc>
          <w:tcPr>
            <w:tcW w:w="3928" w:type="dxa"/>
            <w:tcBorders>
              <w:top w:val="nil"/>
              <w:left w:val="nil"/>
              <w:bottom w:val="single" w:color="auto" w:sz="4" w:space="0"/>
              <w:right w:val="single" w:color="auto" w:sz="4" w:space="0"/>
            </w:tcBorders>
            <w:vAlign w:val="center"/>
          </w:tcPr>
          <w:p w14:paraId="0EE1549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包含初审（系统自动校验）、复核（资源调度验证）和终审（电子签章审批）。</w:t>
            </w:r>
          </w:p>
        </w:tc>
      </w:tr>
      <w:tr w14:paraId="23FE0A43">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71BC7CD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274</w:t>
            </w:r>
          </w:p>
        </w:tc>
        <w:tc>
          <w:tcPr>
            <w:tcW w:w="2028" w:type="dxa"/>
            <w:vMerge w:val="continue"/>
            <w:tcBorders>
              <w:top w:val="nil"/>
              <w:left w:val="single" w:color="auto" w:sz="4" w:space="0"/>
              <w:bottom w:val="single" w:color="000000" w:sz="4" w:space="0"/>
              <w:right w:val="single" w:color="auto" w:sz="4" w:space="0"/>
            </w:tcBorders>
            <w:vAlign w:val="center"/>
          </w:tcPr>
          <w:p w14:paraId="670DEE4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C7B70E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监测任务审核- 智能校验规则引擎</w:t>
            </w:r>
          </w:p>
        </w:tc>
        <w:tc>
          <w:tcPr>
            <w:tcW w:w="3928" w:type="dxa"/>
            <w:tcBorders>
              <w:top w:val="nil"/>
              <w:left w:val="nil"/>
              <w:bottom w:val="single" w:color="auto" w:sz="4" w:space="0"/>
              <w:right w:val="single" w:color="auto" w:sz="4" w:space="0"/>
            </w:tcBorders>
            <w:vAlign w:val="center"/>
          </w:tcPr>
          <w:p w14:paraId="46A7874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包含内置规则库、技术规范、质量控制、安全要求和动态规则更新。</w:t>
            </w:r>
          </w:p>
        </w:tc>
      </w:tr>
      <w:tr w14:paraId="22968F20">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3DC60C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275</w:t>
            </w:r>
          </w:p>
        </w:tc>
        <w:tc>
          <w:tcPr>
            <w:tcW w:w="2028" w:type="dxa"/>
            <w:vMerge w:val="continue"/>
            <w:tcBorders>
              <w:top w:val="nil"/>
              <w:left w:val="single" w:color="auto" w:sz="4" w:space="0"/>
              <w:bottom w:val="single" w:color="000000" w:sz="4" w:space="0"/>
              <w:right w:val="single" w:color="auto" w:sz="4" w:space="0"/>
            </w:tcBorders>
            <w:vAlign w:val="center"/>
          </w:tcPr>
          <w:p w14:paraId="187A04E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C1B758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监测任务审核- 审核进度看板</w:t>
            </w:r>
          </w:p>
        </w:tc>
        <w:tc>
          <w:tcPr>
            <w:tcW w:w="3928" w:type="dxa"/>
            <w:tcBorders>
              <w:top w:val="nil"/>
              <w:left w:val="nil"/>
              <w:bottom w:val="single" w:color="auto" w:sz="4" w:space="0"/>
              <w:right w:val="single" w:color="auto" w:sz="4" w:space="0"/>
            </w:tcBorders>
            <w:vAlign w:val="center"/>
          </w:tcPr>
          <w:p w14:paraId="6479755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实时显示任务所处审核阶段（初审中 / 复核中 / 终审中）、停留时间（如“任务 002 在复核环节已停留 4 小时”）；异常任务高亮（如超期未审核任务标红），支持一键催办（自动发送短信至审批人）。</w:t>
            </w:r>
          </w:p>
        </w:tc>
      </w:tr>
      <w:tr w14:paraId="1F8197E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4FD8B4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276</w:t>
            </w:r>
          </w:p>
        </w:tc>
        <w:tc>
          <w:tcPr>
            <w:tcW w:w="2028" w:type="dxa"/>
            <w:vMerge w:val="continue"/>
            <w:tcBorders>
              <w:top w:val="nil"/>
              <w:left w:val="single" w:color="auto" w:sz="4" w:space="0"/>
              <w:bottom w:val="single" w:color="000000" w:sz="4" w:space="0"/>
              <w:right w:val="single" w:color="auto" w:sz="4" w:space="0"/>
            </w:tcBorders>
            <w:vAlign w:val="center"/>
          </w:tcPr>
          <w:p w14:paraId="0DD4F5A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DE1508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监测任务推送- 分级推送机制</w:t>
            </w:r>
          </w:p>
        </w:tc>
        <w:tc>
          <w:tcPr>
            <w:tcW w:w="3928" w:type="dxa"/>
            <w:tcBorders>
              <w:top w:val="nil"/>
              <w:left w:val="nil"/>
              <w:bottom w:val="single" w:color="auto" w:sz="4" w:space="0"/>
              <w:right w:val="single" w:color="auto" w:sz="4" w:space="0"/>
            </w:tcBorders>
            <w:vAlign w:val="center"/>
          </w:tcPr>
          <w:p w14:paraId="07DC0A3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区域自动分配：系统根据监测站点的区域属性，自动将任务推送至对应市、区两级监测人员。支持自定义区域划分规则（如将化工集中区单独划分为特殊监管单元）。</w:t>
            </w:r>
          </w:p>
        </w:tc>
      </w:tr>
      <w:tr w14:paraId="6EB8DB1B">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49AD7FA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277</w:t>
            </w:r>
          </w:p>
        </w:tc>
        <w:tc>
          <w:tcPr>
            <w:tcW w:w="2028" w:type="dxa"/>
            <w:vMerge w:val="continue"/>
            <w:tcBorders>
              <w:top w:val="nil"/>
              <w:left w:val="single" w:color="auto" w:sz="4" w:space="0"/>
              <w:bottom w:val="single" w:color="000000" w:sz="4" w:space="0"/>
              <w:right w:val="single" w:color="auto" w:sz="4" w:space="0"/>
            </w:tcBorders>
            <w:vAlign w:val="center"/>
          </w:tcPr>
          <w:p w14:paraId="200680A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48385B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监测任务推送- 多渠道同步</w:t>
            </w:r>
          </w:p>
        </w:tc>
        <w:tc>
          <w:tcPr>
            <w:tcW w:w="3928" w:type="dxa"/>
            <w:tcBorders>
              <w:top w:val="nil"/>
              <w:left w:val="nil"/>
              <w:bottom w:val="single" w:color="auto" w:sz="4" w:space="0"/>
              <w:right w:val="single" w:color="auto" w:sz="4" w:space="0"/>
            </w:tcBorders>
            <w:vAlign w:val="center"/>
          </w:tcPr>
          <w:p w14:paraId="34AD12D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支持系统消息、短信提醒、移动端推送、推送外部系统等多渠道推送功能。</w:t>
            </w:r>
          </w:p>
        </w:tc>
      </w:tr>
      <w:tr w14:paraId="4D50AE73">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44BA979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278</w:t>
            </w:r>
          </w:p>
        </w:tc>
        <w:tc>
          <w:tcPr>
            <w:tcW w:w="2028" w:type="dxa"/>
            <w:vMerge w:val="continue"/>
            <w:tcBorders>
              <w:top w:val="nil"/>
              <w:left w:val="single" w:color="auto" w:sz="4" w:space="0"/>
              <w:bottom w:val="single" w:color="000000" w:sz="4" w:space="0"/>
              <w:right w:val="single" w:color="auto" w:sz="4" w:space="0"/>
            </w:tcBorders>
            <w:vAlign w:val="center"/>
          </w:tcPr>
          <w:p w14:paraId="455559C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662522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监测任务推送- 推送内容精细化</w:t>
            </w:r>
          </w:p>
        </w:tc>
        <w:tc>
          <w:tcPr>
            <w:tcW w:w="3928" w:type="dxa"/>
            <w:tcBorders>
              <w:top w:val="nil"/>
              <w:left w:val="nil"/>
              <w:bottom w:val="single" w:color="auto" w:sz="4" w:space="0"/>
              <w:right w:val="single" w:color="auto" w:sz="4" w:space="0"/>
            </w:tcBorders>
            <w:vAlign w:val="center"/>
          </w:tcPr>
          <w:p w14:paraId="34F59B3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包含推送任务信息、采样点位地址、监测项目列表、执行标准。</w:t>
            </w:r>
          </w:p>
        </w:tc>
      </w:tr>
      <w:tr w14:paraId="0EEB37F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B415C5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279</w:t>
            </w:r>
          </w:p>
        </w:tc>
        <w:tc>
          <w:tcPr>
            <w:tcW w:w="2028" w:type="dxa"/>
            <w:vMerge w:val="continue"/>
            <w:tcBorders>
              <w:top w:val="nil"/>
              <w:left w:val="single" w:color="auto" w:sz="4" w:space="0"/>
              <w:bottom w:val="single" w:color="000000" w:sz="4" w:space="0"/>
              <w:right w:val="single" w:color="auto" w:sz="4" w:space="0"/>
            </w:tcBorders>
            <w:vAlign w:val="center"/>
          </w:tcPr>
          <w:p w14:paraId="057FC13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124CF8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监测任务督办-任务进度跟踪</w:t>
            </w:r>
          </w:p>
        </w:tc>
        <w:tc>
          <w:tcPr>
            <w:tcW w:w="3928" w:type="dxa"/>
            <w:tcBorders>
              <w:top w:val="nil"/>
              <w:left w:val="nil"/>
              <w:bottom w:val="single" w:color="auto" w:sz="4" w:space="0"/>
              <w:right w:val="single" w:color="auto" w:sz="4" w:space="0"/>
            </w:tcBorders>
            <w:vAlign w:val="center"/>
          </w:tcPr>
          <w:p w14:paraId="4C3B02E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督办人员进入任务界面后，可直观查看任务当前状态、与计划进度的偏差，随时查看任务详情，掌握整体进展。</w:t>
            </w:r>
          </w:p>
        </w:tc>
      </w:tr>
      <w:tr w14:paraId="72A72ED7">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0CF466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280</w:t>
            </w:r>
          </w:p>
        </w:tc>
        <w:tc>
          <w:tcPr>
            <w:tcW w:w="2028" w:type="dxa"/>
            <w:vMerge w:val="continue"/>
            <w:tcBorders>
              <w:top w:val="nil"/>
              <w:left w:val="single" w:color="auto" w:sz="4" w:space="0"/>
              <w:bottom w:val="single" w:color="000000" w:sz="4" w:space="0"/>
              <w:right w:val="single" w:color="auto" w:sz="4" w:space="0"/>
            </w:tcBorders>
            <w:vAlign w:val="center"/>
          </w:tcPr>
          <w:p w14:paraId="5ACD2D1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C48C53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监测任务督办-预警提醒机制</w:t>
            </w:r>
          </w:p>
        </w:tc>
        <w:tc>
          <w:tcPr>
            <w:tcW w:w="3928" w:type="dxa"/>
            <w:tcBorders>
              <w:top w:val="nil"/>
              <w:left w:val="nil"/>
              <w:bottom w:val="single" w:color="auto" w:sz="4" w:space="0"/>
              <w:right w:val="single" w:color="auto" w:sz="4" w:space="0"/>
            </w:tcBorders>
            <w:vAlign w:val="center"/>
          </w:tcPr>
          <w:p w14:paraId="5EC2CFB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在预警规则设置页面，支持自定义多级时间预警，可配置不同级别通知方式。针对任务进度滞后超 20% 或监测数据异常等情况，系统触发智能预警，并生成包含异常任务名称、责任人及详情的预警简报，自动推送至管理人员及移动端 。</w:t>
            </w:r>
          </w:p>
        </w:tc>
      </w:tr>
      <w:tr w14:paraId="2A3174BC">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2BCD10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281</w:t>
            </w:r>
          </w:p>
        </w:tc>
        <w:tc>
          <w:tcPr>
            <w:tcW w:w="2028" w:type="dxa"/>
            <w:vMerge w:val="continue"/>
            <w:tcBorders>
              <w:top w:val="nil"/>
              <w:left w:val="single" w:color="auto" w:sz="4" w:space="0"/>
              <w:bottom w:val="single" w:color="000000" w:sz="4" w:space="0"/>
              <w:right w:val="single" w:color="auto" w:sz="4" w:space="0"/>
            </w:tcBorders>
            <w:vAlign w:val="center"/>
          </w:tcPr>
          <w:p w14:paraId="70AB30E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28140A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监测任务督办-督办与协调</w:t>
            </w:r>
          </w:p>
        </w:tc>
        <w:tc>
          <w:tcPr>
            <w:tcW w:w="3928" w:type="dxa"/>
            <w:tcBorders>
              <w:top w:val="nil"/>
              <w:left w:val="nil"/>
              <w:bottom w:val="single" w:color="auto" w:sz="4" w:space="0"/>
              <w:right w:val="single" w:color="auto" w:sz="4" w:space="0"/>
            </w:tcBorders>
            <w:vAlign w:val="center"/>
          </w:tcPr>
          <w:p w14:paraId="639A1C0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督办人员发现任务滞后或异常时，点击任务详情页 “发起督办” 按钮，可通过预设模板快速填写督办意见，也可手动输入要求与期望完成时间。系统自动生成督办工单，记录督办发起时间、内容、接收人，后续每一次沟通回复均按时间线留存，形成完整督办历史链。</w:t>
            </w:r>
          </w:p>
        </w:tc>
      </w:tr>
      <w:tr w14:paraId="0B5D0EA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6581B6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282</w:t>
            </w:r>
          </w:p>
        </w:tc>
        <w:tc>
          <w:tcPr>
            <w:tcW w:w="2028" w:type="dxa"/>
            <w:vMerge w:val="continue"/>
            <w:tcBorders>
              <w:top w:val="nil"/>
              <w:left w:val="single" w:color="auto" w:sz="4" w:space="0"/>
              <w:bottom w:val="single" w:color="000000" w:sz="4" w:space="0"/>
              <w:right w:val="single" w:color="auto" w:sz="4" w:space="0"/>
            </w:tcBorders>
            <w:vAlign w:val="center"/>
          </w:tcPr>
          <w:p w14:paraId="3D1F0BD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B16FCE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监测任务反馈- 手工上传反馈</w:t>
            </w:r>
          </w:p>
        </w:tc>
        <w:tc>
          <w:tcPr>
            <w:tcW w:w="3928" w:type="dxa"/>
            <w:tcBorders>
              <w:top w:val="nil"/>
              <w:left w:val="nil"/>
              <w:bottom w:val="single" w:color="auto" w:sz="4" w:space="0"/>
              <w:right w:val="single" w:color="auto" w:sz="4" w:space="0"/>
            </w:tcBorders>
            <w:vAlign w:val="center"/>
          </w:tcPr>
          <w:p w14:paraId="6BF0AE5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提供 PC 端上传入口与移动端上传模块，支持多文件批量上传，兼容格式包括：图片、数据文件、视频、文档。</w:t>
            </w:r>
          </w:p>
        </w:tc>
      </w:tr>
      <w:tr w14:paraId="4BD37063">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C080EC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283</w:t>
            </w:r>
          </w:p>
        </w:tc>
        <w:tc>
          <w:tcPr>
            <w:tcW w:w="2028" w:type="dxa"/>
            <w:vMerge w:val="continue"/>
            <w:tcBorders>
              <w:top w:val="nil"/>
              <w:left w:val="single" w:color="auto" w:sz="4" w:space="0"/>
              <w:bottom w:val="single" w:color="000000" w:sz="4" w:space="0"/>
              <w:right w:val="single" w:color="auto" w:sz="4" w:space="0"/>
            </w:tcBorders>
            <w:vAlign w:val="center"/>
          </w:tcPr>
          <w:p w14:paraId="2C2C010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F2F178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监测任务反馈- 外部系统对接反馈</w:t>
            </w:r>
          </w:p>
        </w:tc>
        <w:tc>
          <w:tcPr>
            <w:tcW w:w="3928" w:type="dxa"/>
            <w:tcBorders>
              <w:top w:val="nil"/>
              <w:left w:val="nil"/>
              <w:bottom w:val="single" w:color="auto" w:sz="4" w:space="0"/>
              <w:right w:val="single" w:color="auto" w:sz="4" w:space="0"/>
            </w:tcBorders>
            <w:vAlign w:val="center"/>
          </w:tcPr>
          <w:p w14:paraId="3CA61DD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定期查询外部系统任务状态（如 “已接收”“采样中”“分析中”“完成”），异常状态（如 “超时未启动”）自动触发预警；任务完成后，外部系统通过 API 返回监测结果（含数据、报告、现场影像），系统自动解析并匹配至原任务，更新任务完成进度。</w:t>
            </w:r>
          </w:p>
        </w:tc>
      </w:tr>
      <w:tr w14:paraId="15A3AC3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98B510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284</w:t>
            </w:r>
          </w:p>
        </w:tc>
        <w:tc>
          <w:tcPr>
            <w:tcW w:w="2028" w:type="dxa"/>
            <w:vMerge w:val="continue"/>
            <w:tcBorders>
              <w:top w:val="nil"/>
              <w:left w:val="single" w:color="auto" w:sz="4" w:space="0"/>
              <w:bottom w:val="single" w:color="000000" w:sz="4" w:space="0"/>
              <w:right w:val="single" w:color="auto" w:sz="4" w:space="0"/>
            </w:tcBorders>
            <w:vAlign w:val="center"/>
          </w:tcPr>
          <w:p w14:paraId="40B0ECF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E805F2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监测任务完成统计- 分级分类进度统计</w:t>
            </w:r>
          </w:p>
        </w:tc>
        <w:tc>
          <w:tcPr>
            <w:tcW w:w="3928" w:type="dxa"/>
            <w:tcBorders>
              <w:top w:val="nil"/>
              <w:left w:val="nil"/>
              <w:bottom w:val="single" w:color="auto" w:sz="4" w:space="0"/>
              <w:right w:val="single" w:color="auto" w:sz="4" w:space="0"/>
            </w:tcBorders>
            <w:vAlign w:val="center"/>
          </w:tcPr>
          <w:p w14:paraId="7DCF52A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包含市级总览、区级细分、类型细分统计。</w:t>
            </w:r>
          </w:p>
        </w:tc>
      </w:tr>
      <w:tr w14:paraId="6385C158">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4311724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285</w:t>
            </w:r>
          </w:p>
        </w:tc>
        <w:tc>
          <w:tcPr>
            <w:tcW w:w="2028" w:type="dxa"/>
            <w:vMerge w:val="continue"/>
            <w:tcBorders>
              <w:top w:val="nil"/>
              <w:left w:val="single" w:color="auto" w:sz="4" w:space="0"/>
              <w:bottom w:val="single" w:color="000000" w:sz="4" w:space="0"/>
              <w:right w:val="single" w:color="auto" w:sz="4" w:space="0"/>
            </w:tcBorders>
            <w:vAlign w:val="center"/>
          </w:tcPr>
          <w:p w14:paraId="0F5AA4A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36C5D3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监测任务完成统计- 多维度对比分析</w:t>
            </w:r>
          </w:p>
        </w:tc>
        <w:tc>
          <w:tcPr>
            <w:tcW w:w="3928" w:type="dxa"/>
            <w:tcBorders>
              <w:top w:val="nil"/>
              <w:left w:val="nil"/>
              <w:bottom w:val="single" w:color="auto" w:sz="4" w:space="0"/>
              <w:right w:val="single" w:color="auto" w:sz="4" w:space="0"/>
            </w:tcBorders>
            <w:vAlign w:val="center"/>
          </w:tcPr>
          <w:p w14:paraId="0F419F3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包含区域横向对比、时间纵向对比。</w:t>
            </w:r>
          </w:p>
        </w:tc>
      </w:tr>
      <w:tr w14:paraId="31E4E53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D5727E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286</w:t>
            </w:r>
          </w:p>
        </w:tc>
        <w:tc>
          <w:tcPr>
            <w:tcW w:w="2028" w:type="dxa"/>
            <w:vMerge w:val="continue"/>
            <w:tcBorders>
              <w:top w:val="nil"/>
              <w:left w:val="single" w:color="auto" w:sz="4" w:space="0"/>
              <w:bottom w:val="single" w:color="000000" w:sz="4" w:space="0"/>
              <w:right w:val="single" w:color="auto" w:sz="4" w:space="0"/>
            </w:tcBorders>
            <w:vAlign w:val="center"/>
          </w:tcPr>
          <w:p w14:paraId="33A3C2E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C7A0CC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监测任务完成统计- 数据筛选与导出</w:t>
            </w:r>
          </w:p>
        </w:tc>
        <w:tc>
          <w:tcPr>
            <w:tcW w:w="3928" w:type="dxa"/>
            <w:tcBorders>
              <w:top w:val="nil"/>
              <w:left w:val="nil"/>
              <w:bottom w:val="single" w:color="auto" w:sz="4" w:space="0"/>
              <w:right w:val="single" w:color="auto" w:sz="4" w:space="0"/>
            </w:tcBorders>
            <w:vAlign w:val="center"/>
          </w:tcPr>
          <w:p w14:paraId="614868A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支持按 “任务发起时间”（如 2024-01-01 至 2024-10-31）、“任务状态”（进行中 / 已完成 / 超时）、“任务来源”（市级下发 / 区级自建）等条件过滤进行任务数据筛选和导出。</w:t>
            </w:r>
          </w:p>
        </w:tc>
      </w:tr>
      <w:tr w14:paraId="37BD2AE2">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53AD23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287</w:t>
            </w:r>
          </w:p>
        </w:tc>
        <w:tc>
          <w:tcPr>
            <w:tcW w:w="2028" w:type="dxa"/>
            <w:vMerge w:val="continue"/>
            <w:tcBorders>
              <w:top w:val="nil"/>
              <w:left w:val="single" w:color="auto" w:sz="4" w:space="0"/>
              <w:bottom w:val="single" w:color="000000" w:sz="4" w:space="0"/>
              <w:right w:val="single" w:color="auto" w:sz="4" w:space="0"/>
            </w:tcBorders>
            <w:vAlign w:val="center"/>
          </w:tcPr>
          <w:p w14:paraId="2CA044C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B7B5F3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监测任务自动报告- 多类型模板库构建</w:t>
            </w:r>
          </w:p>
        </w:tc>
        <w:tc>
          <w:tcPr>
            <w:tcW w:w="3928" w:type="dxa"/>
            <w:tcBorders>
              <w:top w:val="nil"/>
              <w:left w:val="nil"/>
              <w:bottom w:val="single" w:color="auto" w:sz="4" w:space="0"/>
              <w:right w:val="single" w:color="auto" w:sz="4" w:space="0"/>
            </w:tcBorders>
            <w:vAlign w:val="center"/>
          </w:tcPr>
          <w:p w14:paraId="67014B9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内置标准化模板，包括常规报告、专项报告等。</w:t>
            </w:r>
          </w:p>
        </w:tc>
      </w:tr>
      <w:tr w14:paraId="1A43DD2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F22E9D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288</w:t>
            </w:r>
          </w:p>
        </w:tc>
        <w:tc>
          <w:tcPr>
            <w:tcW w:w="2028" w:type="dxa"/>
            <w:vMerge w:val="continue"/>
            <w:tcBorders>
              <w:top w:val="nil"/>
              <w:left w:val="single" w:color="auto" w:sz="4" w:space="0"/>
              <w:bottom w:val="single" w:color="000000" w:sz="4" w:space="0"/>
              <w:right w:val="single" w:color="auto" w:sz="4" w:space="0"/>
            </w:tcBorders>
            <w:vAlign w:val="center"/>
          </w:tcPr>
          <w:p w14:paraId="2971600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D7DC9A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监测任务自动报告- 数据自动填充与智能分析</w:t>
            </w:r>
          </w:p>
        </w:tc>
        <w:tc>
          <w:tcPr>
            <w:tcW w:w="3928" w:type="dxa"/>
            <w:tcBorders>
              <w:top w:val="nil"/>
              <w:left w:val="nil"/>
              <w:bottom w:val="single" w:color="auto" w:sz="4" w:space="0"/>
              <w:right w:val="single" w:color="auto" w:sz="4" w:space="0"/>
            </w:tcBorders>
            <w:vAlign w:val="center"/>
          </w:tcPr>
          <w:p w14:paraId="5DAEE99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包含动态数据抽取、数据摘要、趋势分析、可视化图表等。</w:t>
            </w:r>
          </w:p>
        </w:tc>
      </w:tr>
      <w:tr w14:paraId="4FF7EFE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888342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289</w:t>
            </w:r>
          </w:p>
        </w:tc>
        <w:tc>
          <w:tcPr>
            <w:tcW w:w="2028" w:type="dxa"/>
            <w:vMerge w:val="continue"/>
            <w:tcBorders>
              <w:top w:val="nil"/>
              <w:left w:val="single" w:color="auto" w:sz="4" w:space="0"/>
              <w:bottom w:val="single" w:color="000000" w:sz="4" w:space="0"/>
              <w:right w:val="single" w:color="auto" w:sz="4" w:space="0"/>
            </w:tcBorders>
            <w:vAlign w:val="center"/>
          </w:tcPr>
          <w:p w14:paraId="5C468AB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944B60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监测任务自动报告- 人机协同编辑与输出</w:t>
            </w:r>
          </w:p>
        </w:tc>
        <w:tc>
          <w:tcPr>
            <w:tcW w:w="3928" w:type="dxa"/>
            <w:tcBorders>
              <w:top w:val="nil"/>
              <w:left w:val="nil"/>
              <w:bottom w:val="single" w:color="auto" w:sz="4" w:space="0"/>
              <w:right w:val="single" w:color="auto" w:sz="4" w:space="0"/>
            </w:tcBorders>
            <w:vAlign w:val="center"/>
          </w:tcPr>
          <w:p w14:paraId="7C07BD5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支持人工调整图表样式（如修改配色方案、添加数据标注）、补充现场照片（如应急报告中插入污染现场影像）、修订文字描述（如补充 “本次监测未覆盖雨季面源污染影响”）。</w:t>
            </w:r>
          </w:p>
        </w:tc>
      </w:tr>
      <w:tr w14:paraId="4C0C05E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5BA379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290</w:t>
            </w:r>
          </w:p>
        </w:tc>
        <w:tc>
          <w:tcPr>
            <w:tcW w:w="2028" w:type="dxa"/>
            <w:vMerge w:val="continue"/>
            <w:tcBorders>
              <w:top w:val="nil"/>
              <w:left w:val="single" w:color="auto" w:sz="4" w:space="0"/>
              <w:bottom w:val="single" w:color="000000" w:sz="4" w:space="0"/>
              <w:right w:val="single" w:color="auto" w:sz="4" w:space="0"/>
            </w:tcBorders>
            <w:vAlign w:val="center"/>
          </w:tcPr>
          <w:p w14:paraId="03F4A10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AD29AD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监测任务移动端- 任务接收与展示</w:t>
            </w:r>
          </w:p>
        </w:tc>
        <w:tc>
          <w:tcPr>
            <w:tcW w:w="3928" w:type="dxa"/>
            <w:tcBorders>
              <w:top w:val="nil"/>
              <w:left w:val="nil"/>
              <w:bottom w:val="single" w:color="auto" w:sz="4" w:space="0"/>
              <w:right w:val="single" w:color="auto" w:sz="4" w:space="0"/>
            </w:tcBorders>
            <w:vAlign w:val="center"/>
          </w:tcPr>
          <w:p w14:paraId="5C8A989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实时同步后台任务数据，按 “待办 / 进行中 / 已完成 / 超时” 分类展示，支持搜索（如任务编号、监测要素）与过滤（如按区域、任务类型）。</w:t>
            </w:r>
          </w:p>
        </w:tc>
      </w:tr>
      <w:tr w14:paraId="162D6D8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44B929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291</w:t>
            </w:r>
          </w:p>
        </w:tc>
        <w:tc>
          <w:tcPr>
            <w:tcW w:w="2028" w:type="dxa"/>
            <w:vMerge w:val="continue"/>
            <w:tcBorders>
              <w:top w:val="nil"/>
              <w:left w:val="single" w:color="auto" w:sz="4" w:space="0"/>
              <w:bottom w:val="single" w:color="000000" w:sz="4" w:space="0"/>
              <w:right w:val="single" w:color="auto" w:sz="4" w:space="0"/>
            </w:tcBorders>
            <w:vAlign w:val="center"/>
          </w:tcPr>
          <w:p w14:paraId="62426CC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953558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监测任务移动端- 任务详情与操作</w:t>
            </w:r>
          </w:p>
        </w:tc>
        <w:tc>
          <w:tcPr>
            <w:tcW w:w="3928" w:type="dxa"/>
            <w:tcBorders>
              <w:top w:val="nil"/>
              <w:left w:val="nil"/>
              <w:bottom w:val="single" w:color="auto" w:sz="4" w:space="0"/>
              <w:right w:val="single" w:color="auto" w:sz="4" w:space="0"/>
            </w:tcBorders>
            <w:vAlign w:val="center"/>
          </w:tcPr>
          <w:p w14:paraId="7D03CF1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包含基础信息、执行指南、导航功能，支持任务签收 / 驳回（如因设备故障需驳回重新分配），记录操作日志。</w:t>
            </w:r>
          </w:p>
        </w:tc>
      </w:tr>
      <w:tr w14:paraId="569FCBAE">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7D0377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292</w:t>
            </w:r>
          </w:p>
        </w:tc>
        <w:tc>
          <w:tcPr>
            <w:tcW w:w="2028" w:type="dxa"/>
            <w:vMerge w:val="continue"/>
            <w:tcBorders>
              <w:top w:val="nil"/>
              <w:left w:val="single" w:color="auto" w:sz="4" w:space="0"/>
              <w:bottom w:val="single" w:color="000000" w:sz="4" w:space="0"/>
              <w:right w:val="single" w:color="auto" w:sz="4" w:space="0"/>
            </w:tcBorders>
            <w:vAlign w:val="center"/>
          </w:tcPr>
          <w:p w14:paraId="39EC1B5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1E15C9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监测任务移动端- 现场数据采集</w:t>
            </w:r>
          </w:p>
        </w:tc>
        <w:tc>
          <w:tcPr>
            <w:tcW w:w="3928" w:type="dxa"/>
            <w:tcBorders>
              <w:top w:val="nil"/>
              <w:left w:val="nil"/>
              <w:bottom w:val="single" w:color="auto" w:sz="4" w:space="0"/>
              <w:right w:val="single" w:color="auto" w:sz="4" w:space="0"/>
            </w:tcBorders>
            <w:vAlign w:val="center"/>
          </w:tcPr>
          <w:p w14:paraId="2DA9654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表单式设计，按监测要素（大气 / 水 / 土壤）动态加载字段，支持自动填充、快速选择、多媒体附件、离线作业支持、离线地图提前下载（如监测区域 1:1 万比例尺地图），支持离线点位导航与轨迹记录。</w:t>
            </w:r>
          </w:p>
        </w:tc>
      </w:tr>
      <w:tr w14:paraId="0E58E4F6">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4B55BF7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293</w:t>
            </w:r>
          </w:p>
        </w:tc>
        <w:tc>
          <w:tcPr>
            <w:tcW w:w="2028" w:type="dxa"/>
            <w:vMerge w:val="continue"/>
            <w:tcBorders>
              <w:top w:val="nil"/>
              <w:left w:val="single" w:color="auto" w:sz="4" w:space="0"/>
              <w:bottom w:val="single" w:color="000000" w:sz="4" w:space="0"/>
              <w:right w:val="single" w:color="auto" w:sz="4" w:space="0"/>
            </w:tcBorders>
            <w:vAlign w:val="center"/>
          </w:tcPr>
          <w:p w14:paraId="339EBEE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C0E5DC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监测任务移动端- 实时质量控制</w:t>
            </w:r>
          </w:p>
        </w:tc>
        <w:tc>
          <w:tcPr>
            <w:tcW w:w="3928" w:type="dxa"/>
            <w:tcBorders>
              <w:top w:val="nil"/>
              <w:left w:val="nil"/>
              <w:bottom w:val="single" w:color="auto" w:sz="4" w:space="0"/>
              <w:right w:val="single" w:color="auto" w:sz="4" w:space="0"/>
            </w:tcBorders>
            <w:vAlign w:val="center"/>
          </w:tcPr>
          <w:p w14:paraId="7E2FE45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支持逻辑校验、完整性校验、实时比对、异常数据标红显示等功能。</w:t>
            </w:r>
          </w:p>
        </w:tc>
      </w:tr>
      <w:tr w14:paraId="424380CD">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035459C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294</w:t>
            </w:r>
          </w:p>
        </w:tc>
        <w:tc>
          <w:tcPr>
            <w:tcW w:w="2028" w:type="dxa"/>
            <w:vMerge w:val="continue"/>
            <w:tcBorders>
              <w:top w:val="nil"/>
              <w:left w:val="single" w:color="auto" w:sz="4" w:space="0"/>
              <w:bottom w:val="single" w:color="000000" w:sz="4" w:space="0"/>
              <w:right w:val="single" w:color="auto" w:sz="4" w:space="0"/>
            </w:tcBorders>
            <w:vAlign w:val="center"/>
          </w:tcPr>
          <w:p w14:paraId="5604174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5FDFAA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监测任务移动端- 设备与资源管理</w:t>
            </w:r>
          </w:p>
        </w:tc>
        <w:tc>
          <w:tcPr>
            <w:tcW w:w="3928" w:type="dxa"/>
            <w:tcBorders>
              <w:top w:val="nil"/>
              <w:left w:val="nil"/>
              <w:bottom w:val="single" w:color="auto" w:sz="4" w:space="0"/>
              <w:right w:val="single" w:color="auto" w:sz="4" w:space="0"/>
            </w:tcBorders>
            <w:vAlign w:val="center"/>
          </w:tcPr>
          <w:p w14:paraId="2B85ACD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支持扫码查看设备档案、资源调度申请。</w:t>
            </w:r>
          </w:p>
        </w:tc>
      </w:tr>
      <w:tr w14:paraId="20B24E1C">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32B11F2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295</w:t>
            </w:r>
          </w:p>
        </w:tc>
        <w:tc>
          <w:tcPr>
            <w:tcW w:w="2028" w:type="dxa"/>
            <w:vMerge w:val="continue"/>
            <w:tcBorders>
              <w:top w:val="nil"/>
              <w:left w:val="single" w:color="auto" w:sz="4" w:space="0"/>
              <w:bottom w:val="single" w:color="000000" w:sz="4" w:space="0"/>
              <w:right w:val="single" w:color="auto" w:sz="4" w:space="0"/>
            </w:tcBorders>
            <w:vAlign w:val="center"/>
          </w:tcPr>
          <w:p w14:paraId="5003E29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019B8F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监测任务移动端- 统计与反馈</w:t>
            </w:r>
          </w:p>
        </w:tc>
        <w:tc>
          <w:tcPr>
            <w:tcW w:w="3928" w:type="dxa"/>
            <w:tcBorders>
              <w:top w:val="nil"/>
              <w:left w:val="nil"/>
              <w:bottom w:val="single" w:color="auto" w:sz="4" w:space="0"/>
              <w:right w:val="single" w:color="auto" w:sz="4" w:space="0"/>
            </w:tcBorders>
            <w:vAlign w:val="center"/>
          </w:tcPr>
          <w:p w14:paraId="35DAA9D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包含资源调度申请、数据查询与分析以及实时数据看板等功能。</w:t>
            </w:r>
          </w:p>
        </w:tc>
      </w:tr>
      <w:tr w14:paraId="5AB83AE7">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36B5A1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296</w:t>
            </w:r>
          </w:p>
        </w:tc>
        <w:tc>
          <w:tcPr>
            <w:tcW w:w="2028" w:type="dxa"/>
            <w:vMerge w:val="restart"/>
            <w:tcBorders>
              <w:top w:val="nil"/>
              <w:left w:val="single" w:color="auto" w:sz="4" w:space="0"/>
              <w:bottom w:val="single" w:color="000000" w:sz="4" w:space="0"/>
              <w:right w:val="single" w:color="auto" w:sz="4" w:space="0"/>
            </w:tcBorders>
            <w:vAlign w:val="center"/>
          </w:tcPr>
          <w:p w14:paraId="786B2C7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环境监测智能分析大模型</w:t>
            </w:r>
          </w:p>
        </w:tc>
        <w:tc>
          <w:tcPr>
            <w:tcW w:w="1642" w:type="dxa"/>
            <w:tcBorders>
              <w:top w:val="nil"/>
              <w:left w:val="nil"/>
              <w:bottom w:val="single" w:color="auto" w:sz="4" w:space="0"/>
              <w:right w:val="single" w:color="auto" w:sz="4" w:space="0"/>
            </w:tcBorders>
            <w:vAlign w:val="center"/>
          </w:tcPr>
          <w:p w14:paraId="4295DFD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数据预处理-数据采集-结构化数据采集</w:t>
            </w:r>
          </w:p>
        </w:tc>
        <w:tc>
          <w:tcPr>
            <w:tcW w:w="3928" w:type="dxa"/>
            <w:tcBorders>
              <w:top w:val="nil"/>
              <w:left w:val="nil"/>
              <w:bottom w:val="single" w:color="auto" w:sz="4" w:space="0"/>
              <w:right w:val="single" w:color="auto" w:sz="4" w:space="0"/>
            </w:tcBorders>
            <w:vAlign w:val="center"/>
          </w:tcPr>
          <w:p w14:paraId="0AB8483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首先根据训练需求进行人工编制，然后再通过数据导入采集方式，主要编制并采集环境监测领域结构化数据7500条，涵盖大气环境2100条、水环境2100条、声环境700条、土壤700条、自然生态700条、污染源1200条数据记录。</w:t>
            </w:r>
          </w:p>
        </w:tc>
      </w:tr>
      <w:tr w14:paraId="51320DE7">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8B89B9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297</w:t>
            </w:r>
          </w:p>
        </w:tc>
        <w:tc>
          <w:tcPr>
            <w:tcW w:w="2028" w:type="dxa"/>
            <w:vMerge w:val="continue"/>
            <w:tcBorders>
              <w:top w:val="nil"/>
              <w:left w:val="single" w:color="auto" w:sz="4" w:space="0"/>
              <w:bottom w:val="single" w:color="000000" w:sz="4" w:space="0"/>
              <w:right w:val="single" w:color="auto" w:sz="4" w:space="0"/>
            </w:tcBorders>
            <w:vAlign w:val="center"/>
          </w:tcPr>
          <w:p w14:paraId="0D35CA5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3A1622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数据预处理-数据采集-非结构化数据采集</w:t>
            </w:r>
          </w:p>
        </w:tc>
        <w:tc>
          <w:tcPr>
            <w:tcW w:w="3928" w:type="dxa"/>
            <w:tcBorders>
              <w:top w:val="nil"/>
              <w:left w:val="nil"/>
              <w:bottom w:val="single" w:color="auto" w:sz="4" w:space="0"/>
              <w:right w:val="single" w:color="auto" w:sz="4" w:space="0"/>
            </w:tcBorders>
            <w:vAlign w:val="center"/>
          </w:tcPr>
          <w:p w14:paraId="41400CA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通过文件导入、文件批量导入等自主采集方式，主要采集环境监测领域非结构化数据21100个，涵盖大气环境3600个、水环境3600个、声环境1300个、土壤1300个、自然生态1300个、污染源1000个文档数据。</w:t>
            </w:r>
          </w:p>
        </w:tc>
      </w:tr>
      <w:tr w14:paraId="2738A14B">
        <w:tblPrEx>
          <w:tblCellMar>
            <w:top w:w="0" w:type="dxa"/>
            <w:left w:w="108" w:type="dxa"/>
            <w:bottom w:w="0" w:type="dxa"/>
            <w:right w:w="108" w:type="dxa"/>
          </w:tblCellMar>
        </w:tblPrEx>
        <w:trPr>
          <w:trHeight w:val="1275" w:hRule="atLeast"/>
        </w:trPr>
        <w:tc>
          <w:tcPr>
            <w:tcW w:w="704" w:type="dxa"/>
            <w:tcBorders>
              <w:top w:val="nil"/>
              <w:left w:val="single" w:color="auto" w:sz="4" w:space="0"/>
              <w:bottom w:val="single" w:color="auto" w:sz="4" w:space="0"/>
              <w:right w:val="single" w:color="auto" w:sz="4" w:space="0"/>
            </w:tcBorders>
            <w:noWrap/>
            <w:vAlign w:val="center"/>
          </w:tcPr>
          <w:p w14:paraId="084C295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298</w:t>
            </w:r>
          </w:p>
        </w:tc>
        <w:tc>
          <w:tcPr>
            <w:tcW w:w="2028" w:type="dxa"/>
            <w:vMerge w:val="continue"/>
            <w:tcBorders>
              <w:top w:val="nil"/>
              <w:left w:val="single" w:color="auto" w:sz="4" w:space="0"/>
              <w:bottom w:val="single" w:color="000000" w:sz="4" w:space="0"/>
              <w:right w:val="single" w:color="auto" w:sz="4" w:space="0"/>
            </w:tcBorders>
            <w:vAlign w:val="center"/>
          </w:tcPr>
          <w:p w14:paraId="6CDAC0F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F291C0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数据预处理-数据处理-格式规范化</w:t>
            </w:r>
          </w:p>
        </w:tc>
        <w:tc>
          <w:tcPr>
            <w:tcW w:w="3928" w:type="dxa"/>
            <w:tcBorders>
              <w:top w:val="nil"/>
              <w:left w:val="nil"/>
              <w:bottom w:val="single" w:color="auto" w:sz="4" w:space="0"/>
              <w:right w:val="single" w:color="auto" w:sz="4" w:space="0"/>
            </w:tcBorders>
            <w:vAlign w:val="center"/>
          </w:tcPr>
          <w:p w14:paraId="0724BB7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需处理多格式文档，其中知识RAG数据涵盖大气环境3000个、水环境3000个、声环境1200个、土壤环境1200个、自然生态1200个、污染源10000个文档，需将PDF、Word等格式转换为文本格式；标注测试数据包括大气500条、水环境500条、声环境300条等，采用EXCEL、Markdown格式；Schema元数据涉及大气100条、水环境100条等，以Markdown格式存储；智能报告、问屏、会商数据也需按对应格式处理，整体覆盖上万文档和数千条记录的格式转换与统一。</w:t>
            </w:r>
          </w:p>
        </w:tc>
      </w:tr>
      <w:tr w14:paraId="6C44C0A5">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429084A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299</w:t>
            </w:r>
          </w:p>
        </w:tc>
        <w:tc>
          <w:tcPr>
            <w:tcW w:w="2028" w:type="dxa"/>
            <w:vMerge w:val="continue"/>
            <w:tcBorders>
              <w:top w:val="nil"/>
              <w:left w:val="single" w:color="auto" w:sz="4" w:space="0"/>
              <w:bottom w:val="single" w:color="000000" w:sz="4" w:space="0"/>
              <w:right w:val="single" w:color="auto" w:sz="4" w:space="0"/>
            </w:tcBorders>
            <w:vAlign w:val="center"/>
          </w:tcPr>
          <w:p w14:paraId="3D3DBC4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46DDAA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数据预处理-数据处理-异常值检测与处理</w:t>
            </w:r>
          </w:p>
        </w:tc>
        <w:tc>
          <w:tcPr>
            <w:tcW w:w="3928" w:type="dxa"/>
            <w:tcBorders>
              <w:top w:val="nil"/>
              <w:left w:val="nil"/>
              <w:bottom w:val="single" w:color="auto" w:sz="4" w:space="0"/>
              <w:right w:val="single" w:color="auto" w:sz="4" w:space="0"/>
            </w:tcBorders>
            <w:vAlign w:val="center"/>
          </w:tcPr>
          <w:p w14:paraId="056AC64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自动化手段结合人工抽样核验，对大气环境2100条、水环境2100条、声环境700条、土壤700条、自然生态700条、污染源1200条结构化数据，以及接口传输的大气、水、声、土壤、生态、污染源等领域的实时/历史监测数据，进行识别并剔除或修正异常数据，确保各模块数据集质量，为后续分析应用提供可靠基础。</w:t>
            </w:r>
          </w:p>
        </w:tc>
      </w:tr>
      <w:tr w14:paraId="7F37297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49F5EA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300</w:t>
            </w:r>
          </w:p>
        </w:tc>
        <w:tc>
          <w:tcPr>
            <w:tcW w:w="2028" w:type="dxa"/>
            <w:vMerge w:val="continue"/>
            <w:tcBorders>
              <w:top w:val="nil"/>
              <w:left w:val="single" w:color="auto" w:sz="4" w:space="0"/>
              <w:bottom w:val="single" w:color="000000" w:sz="4" w:space="0"/>
              <w:right w:val="single" w:color="auto" w:sz="4" w:space="0"/>
            </w:tcBorders>
            <w:vAlign w:val="center"/>
          </w:tcPr>
          <w:p w14:paraId="10FEBE9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7E1F70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数据预处理-数据处理-重复数据去重</w:t>
            </w:r>
          </w:p>
        </w:tc>
        <w:tc>
          <w:tcPr>
            <w:tcW w:w="3928" w:type="dxa"/>
            <w:tcBorders>
              <w:top w:val="nil"/>
              <w:left w:val="nil"/>
              <w:bottom w:val="single" w:color="auto" w:sz="4" w:space="0"/>
              <w:right w:val="single" w:color="auto" w:sz="4" w:space="0"/>
            </w:tcBorders>
            <w:vAlign w:val="center"/>
          </w:tcPr>
          <w:p w14:paraId="52CF8BE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知识RAG数据展开大规模去重工作，涵盖大气环境3000个、水环境3000个、声环境1200个、土壤环境1200个、自然生态1200个、污染源10000个文档，基于文档内容特征字段识别重复文档并执行去重，避免模型对相同信息过度学习，涉及上万文档的比对与处理。</w:t>
            </w:r>
          </w:p>
        </w:tc>
      </w:tr>
      <w:tr w14:paraId="777E96C3">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23F4A9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301</w:t>
            </w:r>
          </w:p>
        </w:tc>
        <w:tc>
          <w:tcPr>
            <w:tcW w:w="2028" w:type="dxa"/>
            <w:vMerge w:val="continue"/>
            <w:tcBorders>
              <w:top w:val="nil"/>
              <w:left w:val="single" w:color="auto" w:sz="4" w:space="0"/>
              <w:bottom w:val="single" w:color="000000" w:sz="4" w:space="0"/>
              <w:right w:val="single" w:color="auto" w:sz="4" w:space="0"/>
            </w:tcBorders>
            <w:vAlign w:val="center"/>
          </w:tcPr>
          <w:p w14:paraId="511D8D3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5C0968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数据预处理-数据处理-噪声数据剔除</w:t>
            </w:r>
          </w:p>
        </w:tc>
        <w:tc>
          <w:tcPr>
            <w:tcW w:w="3928" w:type="dxa"/>
            <w:tcBorders>
              <w:top w:val="nil"/>
              <w:left w:val="nil"/>
              <w:bottom w:val="single" w:color="auto" w:sz="4" w:space="0"/>
              <w:right w:val="single" w:color="auto" w:sz="4" w:space="0"/>
            </w:tcBorders>
            <w:vAlign w:val="center"/>
          </w:tcPr>
          <w:p w14:paraId="785BDEC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RAG数据处理中，需对大气3000个、水环境3000个、污染源10000个等文档去除特殊字符、HTML标签等无意义内容；智能报告数据处理涵盖大气300条、水环境300条等数据中的噪声，通过系统性剔除工作提升数据质量，涉及上万文档和数千条记录的噪声清理。</w:t>
            </w:r>
          </w:p>
        </w:tc>
      </w:tr>
      <w:tr w14:paraId="4E954418">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E6ABDA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302</w:t>
            </w:r>
          </w:p>
        </w:tc>
        <w:tc>
          <w:tcPr>
            <w:tcW w:w="2028" w:type="dxa"/>
            <w:vMerge w:val="continue"/>
            <w:tcBorders>
              <w:top w:val="nil"/>
              <w:left w:val="single" w:color="auto" w:sz="4" w:space="0"/>
              <w:bottom w:val="single" w:color="000000" w:sz="4" w:space="0"/>
              <w:right w:val="single" w:color="auto" w:sz="4" w:space="0"/>
            </w:tcBorders>
            <w:vAlign w:val="center"/>
          </w:tcPr>
          <w:p w14:paraId="6FF9E75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12DA9C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数据预处理-数据处理-数据脱敏与隐私保护</w:t>
            </w:r>
          </w:p>
        </w:tc>
        <w:tc>
          <w:tcPr>
            <w:tcW w:w="3928" w:type="dxa"/>
            <w:tcBorders>
              <w:top w:val="nil"/>
              <w:left w:val="nil"/>
              <w:bottom w:val="single" w:color="auto" w:sz="4" w:space="0"/>
              <w:right w:val="single" w:color="auto" w:sz="4" w:space="0"/>
            </w:tcBorders>
            <w:vAlign w:val="center"/>
          </w:tcPr>
          <w:p w14:paraId="2FD662B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知识RAG数据中的敏感信息进行脱敏，涉及大气3000个、水环境3000个、污染源10000个等文档，采用去标识化、匿名化等方法去除或隐藏个人身份信息、敏感业务信息，覆盖上万文档的敏感信息识别与处理，确保符合法规要求。</w:t>
            </w:r>
          </w:p>
        </w:tc>
      </w:tr>
      <w:tr w14:paraId="4FB5ECFD">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F62291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303</w:t>
            </w:r>
          </w:p>
        </w:tc>
        <w:tc>
          <w:tcPr>
            <w:tcW w:w="2028" w:type="dxa"/>
            <w:vMerge w:val="continue"/>
            <w:tcBorders>
              <w:top w:val="nil"/>
              <w:left w:val="single" w:color="auto" w:sz="4" w:space="0"/>
              <w:bottom w:val="single" w:color="000000" w:sz="4" w:space="0"/>
              <w:right w:val="single" w:color="auto" w:sz="4" w:space="0"/>
            </w:tcBorders>
            <w:vAlign w:val="center"/>
          </w:tcPr>
          <w:p w14:paraId="03CFC93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567766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数据预处理-数据处理-编码标准化</w:t>
            </w:r>
          </w:p>
        </w:tc>
        <w:tc>
          <w:tcPr>
            <w:tcW w:w="3928" w:type="dxa"/>
            <w:tcBorders>
              <w:top w:val="nil"/>
              <w:left w:val="nil"/>
              <w:bottom w:val="single" w:color="auto" w:sz="4" w:space="0"/>
              <w:right w:val="single" w:color="auto" w:sz="4" w:space="0"/>
            </w:tcBorders>
            <w:vAlign w:val="center"/>
          </w:tcPr>
          <w:p w14:paraId="7D375B4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Schema元数据处理中，需统一大气100条、水环境100条、污染源100条等元数据的表名、字段名中英文映射，消除命名歧义；补充关键字段业务逻辑说明，建立“业务术语-数据字段”对应关系，涉及多领域数百条元数据的标准化梳理与关联构建，为自然语言解析提供支撑。</w:t>
            </w:r>
          </w:p>
        </w:tc>
      </w:tr>
      <w:tr w14:paraId="6C271B7F">
        <w:tblPrEx>
          <w:tblCellMar>
            <w:top w:w="0" w:type="dxa"/>
            <w:left w:w="108" w:type="dxa"/>
            <w:bottom w:w="0" w:type="dxa"/>
            <w:right w:w="108" w:type="dxa"/>
          </w:tblCellMar>
        </w:tblPrEx>
        <w:trPr>
          <w:trHeight w:val="1530" w:hRule="atLeast"/>
        </w:trPr>
        <w:tc>
          <w:tcPr>
            <w:tcW w:w="704" w:type="dxa"/>
            <w:tcBorders>
              <w:top w:val="nil"/>
              <w:left w:val="single" w:color="auto" w:sz="4" w:space="0"/>
              <w:bottom w:val="single" w:color="auto" w:sz="4" w:space="0"/>
              <w:right w:val="single" w:color="auto" w:sz="4" w:space="0"/>
            </w:tcBorders>
            <w:noWrap/>
            <w:vAlign w:val="center"/>
          </w:tcPr>
          <w:p w14:paraId="11518E4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304</w:t>
            </w:r>
          </w:p>
        </w:tc>
        <w:tc>
          <w:tcPr>
            <w:tcW w:w="2028" w:type="dxa"/>
            <w:vMerge w:val="continue"/>
            <w:tcBorders>
              <w:top w:val="nil"/>
              <w:left w:val="single" w:color="auto" w:sz="4" w:space="0"/>
              <w:bottom w:val="single" w:color="000000" w:sz="4" w:space="0"/>
              <w:right w:val="single" w:color="auto" w:sz="4" w:space="0"/>
            </w:tcBorders>
            <w:vAlign w:val="center"/>
          </w:tcPr>
          <w:p w14:paraId="00CC615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BBED96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数据预处理-接口服务-元数据接口</w:t>
            </w:r>
          </w:p>
        </w:tc>
        <w:tc>
          <w:tcPr>
            <w:tcW w:w="3928" w:type="dxa"/>
            <w:tcBorders>
              <w:top w:val="nil"/>
              <w:left w:val="nil"/>
              <w:bottom w:val="single" w:color="auto" w:sz="4" w:space="0"/>
              <w:right w:val="single" w:color="auto" w:sz="4" w:space="0"/>
            </w:tcBorders>
            <w:vAlign w:val="center"/>
          </w:tcPr>
          <w:p w14:paraId="23A781B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主要用于从业务核心系统抽取元数据，服务于语料治理，涉及大气环境、水环境、声环境、土壤环境、生态监测、污染源监测等多个领域。其中，大气环境Schema元数据100条、水环境Schema元数据100条、声环境Schema元数据50条、土壤环境Schema元数据50条、生态监测Schema元数据50条、污染源监测Schema元数据100条，完成这些元数据的采集、结构化、标准化校验及索引构建等工作，为大模型理解数据结构与业务含义提供支撑，整体覆盖数百条元数据的抽取与处理流程。</w:t>
            </w:r>
          </w:p>
        </w:tc>
      </w:tr>
      <w:tr w14:paraId="08FEF68C">
        <w:tblPrEx>
          <w:tblCellMar>
            <w:top w:w="0" w:type="dxa"/>
            <w:left w:w="108" w:type="dxa"/>
            <w:bottom w:w="0" w:type="dxa"/>
            <w:right w:w="108" w:type="dxa"/>
          </w:tblCellMar>
        </w:tblPrEx>
        <w:trPr>
          <w:trHeight w:val="1275" w:hRule="atLeast"/>
        </w:trPr>
        <w:tc>
          <w:tcPr>
            <w:tcW w:w="704" w:type="dxa"/>
            <w:tcBorders>
              <w:top w:val="nil"/>
              <w:left w:val="single" w:color="auto" w:sz="4" w:space="0"/>
              <w:bottom w:val="single" w:color="auto" w:sz="4" w:space="0"/>
              <w:right w:val="single" w:color="auto" w:sz="4" w:space="0"/>
            </w:tcBorders>
            <w:noWrap/>
            <w:vAlign w:val="center"/>
          </w:tcPr>
          <w:p w14:paraId="3356B9D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305</w:t>
            </w:r>
          </w:p>
        </w:tc>
        <w:tc>
          <w:tcPr>
            <w:tcW w:w="2028" w:type="dxa"/>
            <w:vMerge w:val="continue"/>
            <w:tcBorders>
              <w:top w:val="nil"/>
              <w:left w:val="single" w:color="auto" w:sz="4" w:space="0"/>
              <w:bottom w:val="single" w:color="000000" w:sz="4" w:space="0"/>
              <w:right w:val="single" w:color="auto" w:sz="4" w:space="0"/>
            </w:tcBorders>
            <w:vAlign w:val="center"/>
          </w:tcPr>
          <w:p w14:paraId="2123694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68BC22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数据预处理-接口服务-知识库接口</w:t>
            </w:r>
          </w:p>
        </w:tc>
        <w:tc>
          <w:tcPr>
            <w:tcW w:w="3928" w:type="dxa"/>
            <w:tcBorders>
              <w:top w:val="nil"/>
              <w:left w:val="nil"/>
              <w:bottom w:val="single" w:color="auto" w:sz="4" w:space="0"/>
              <w:right w:val="single" w:color="auto" w:sz="4" w:space="0"/>
            </w:tcBorders>
            <w:vAlign w:val="center"/>
          </w:tcPr>
          <w:p w14:paraId="1AA3624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将预处理后的数据同步推送至知识库系统的功能，涉及多类数据。知识RAG数据中，大气环境3000个文档、水环境3000个文档、声环境1200个文档、土壤环境1200个文档、自然生态1200个文档、污染源10000个文档，经预处理后通过该接口推送；标注测试数据里，大气环境500条、水环境500条、声环境300条、土壤环境300条、自然生态300条、污染源500条，完成处理后也通过此接口推送，保障知识库系统获取大量规范化数据，支撑智能问答等功能。</w:t>
            </w:r>
          </w:p>
        </w:tc>
      </w:tr>
      <w:tr w14:paraId="587254CB">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384512C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306</w:t>
            </w:r>
          </w:p>
        </w:tc>
        <w:tc>
          <w:tcPr>
            <w:tcW w:w="2028" w:type="dxa"/>
            <w:vMerge w:val="continue"/>
            <w:tcBorders>
              <w:top w:val="nil"/>
              <w:left w:val="single" w:color="auto" w:sz="4" w:space="0"/>
              <w:bottom w:val="single" w:color="000000" w:sz="4" w:space="0"/>
              <w:right w:val="single" w:color="auto" w:sz="4" w:space="0"/>
            </w:tcBorders>
            <w:vAlign w:val="center"/>
          </w:tcPr>
          <w:p w14:paraId="4CEE45C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BF84CF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知识库建设-知识建模与组织-知识切片</w:t>
            </w:r>
          </w:p>
        </w:tc>
        <w:tc>
          <w:tcPr>
            <w:tcW w:w="3928" w:type="dxa"/>
            <w:tcBorders>
              <w:top w:val="nil"/>
              <w:left w:val="nil"/>
              <w:bottom w:val="single" w:color="auto" w:sz="4" w:space="0"/>
              <w:right w:val="single" w:color="auto" w:sz="4" w:space="0"/>
            </w:tcBorders>
            <w:vAlign w:val="center"/>
          </w:tcPr>
          <w:p w14:paraId="2FAE9AB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在知识RAG数据的文档切分环节，需对大量文档进行结构化与非结构化切分。其中，大气环境知识RAG数据3000个文档、水环境3000个、声环境1200个、土壤环境1200个、自然生态1200个、污染源10000个，均需根据文本结构（章节、段落）或句子数量、字符长度进行切分，同时保留上下文信息并为每个片段编号标记。</w:t>
            </w:r>
          </w:p>
        </w:tc>
      </w:tr>
      <w:tr w14:paraId="31FDA171">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352BC25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307</w:t>
            </w:r>
          </w:p>
        </w:tc>
        <w:tc>
          <w:tcPr>
            <w:tcW w:w="2028" w:type="dxa"/>
            <w:vMerge w:val="continue"/>
            <w:tcBorders>
              <w:top w:val="nil"/>
              <w:left w:val="single" w:color="auto" w:sz="4" w:space="0"/>
              <w:bottom w:val="single" w:color="000000" w:sz="4" w:space="0"/>
              <w:right w:val="single" w:color="auto" w:sz="4" w:space="0"/>
            </w:tcBorders>
            <w:vAlign w:val="center"/>
          </w:tcPr>
          <w:p w14:paraId="6ACA7DB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545724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知识库建设-知识建模与组织-元信息标注</w:t>
            </w:r>
          </w:p>
        </w:tc>
        <w:tc>
          <w:tcPr>
            <w:tcW w:w="3928" w:type="dxa"/>
            <w:tcBorders>
              <w:top w:val="nil"/>
              <w:left w:val="nil"/>
              <w:bottom w:val="single" w:color="auto" w:sz="4" w:space="0"/>
              <w:right w:val="single" w:color="auto" w:sz="4" w:space="0"/>
            </w:tcBorders>
            <w:vAlign w:val="center"/>
          </w:tcPr>
          <w:p w14:paraId="043CF7D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 RAG 数据中，大气、水、声等领域共约 19600 个文档需人工鉴别内容并手工录入元数据，污染源知识 RAG 数据还需添加 “排放标准”“执法检查” 等主题标签及上下文关联标注；标注测试数据中，大气 500 条、水环境 500 条、声环境 300 条等需标注问题类型、难度等级、数据来源等信息。</w:t>
            </w:r>
          </w:p>
        </w:tc>
      </w:tr>
      <w:tr w14:paraId="16409BB6">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6A2742D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308</w:t>
            </w:r>
          </w:p>
        </w:tc>
        <w:tc>
          <w:tcPr>
            <w:tcW w:w="2028" w:type="dxa"/>
            <w:vMerge w:val="continue"/>
            <w:tcBorders>
              <w:top w:val="nil"/>
              <w:left w:val="single" w:color="auto" w:sz="4" w:space="0"/>
              <w:bottom w:val="single" w:color="000000" w:sz="4" w:space="0"/>
              <w:right w:val="single" w:color="auto" w:sz="4" w:space="0"/>
            </w:tcBorders>
            <w:vAlign w:val="center"/>
          </w:tcPr>
          <w:p w14:paraId="7F3B32C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D18CB6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知识库建设-知识建模与组织-知识图谱建模</w:t>
            </w:r>
          </w:p>
        </w:tc>
        <w:tc>
          <w:tcPr>
            <w:tcW w:w="3928" w:type="dxa"/>
            <w:tcBorders>
              <w:top w:val="nil"/>
              <w:left w:val="nil"/>
              <w:bottom w:val="single" w:color="auto" w:sz="4" w:space="0"/>
              <w:right w:val="single" w:color="auto" w:sz="4" w:space="0"/>
            </w:tcBorders>
            <w:vAlign w:val="center"/>
          </w:tcPr>
          <w:p w14:paraId="5B3EE0B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构建覆盖环境监测全要素的动态图谱，涉及定义如污染物、监测站点、政策条款等核心实体、提取企业与监测站点位置关系、政策与污染物管控关联等实体关系。通过 BiLSTM-CRF、BERT 等模型对大气、水、污染源等多领域文本进行实体识别与关系抽取，利用 Neo4j 存储并建立索引，同时支持增量更新（如每日同步监测数据关联关系）。</w:t>
            </w:r>
          </w:p>
        </w:tc>
      </w:tr>
      <w:tr w14:paraId="4663158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7A261E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309</w:t>
            </w:r>
          </w:p>
        </w:tc>
        <w:tc>
          <w:tcPr>
            <w:tcW w:w="2028" w:type="dxa"/>
            <w:vMerge w:val="continue"/>
            <w:tcBorders>
              <w:top w:val="nil"/>
              <w:left w:val="single" w:color="auto" w:sz="4" w:space="0"/>
              <w:bottom w:val="single" w:color="000000" w:sz="4" w:space="0"/>
              <w:right w:val="single" w:color="auto" w:sz="4" w:space="0"/>
            </w:tcBorders>
            <w:vAlign w:val="center"/>
          </w:tcPr>
          <w:p w14:paraId="3B93552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E37934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知识库建设-知识建模与组织-知识抽取</w:t>
            </w:r>
          </w:p>
        </w:tc>
        <w:tc>
          <w:tcPr>
            <w:tcW w:w="3928" w:type="dxa"/>
            <w:tcBorders>
              <w:top w:val="nil"/>
              <w:left w:val="nil"/>
              <w:bottom w:val="single" w:color="auto" w:sz="4" w:space="0"/>
              <w:right w:val="single" w:color="auto" w:sz="4" w:space="0"/>
            </w:tcBorders>
            <w:vAlign w:val="center"/>
          </w:tcPr>
          <w:p w14:paraId="55194B1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对多领域文本进行实体与关系提取。采用规则引擎与深度学习模型结合的方式，从大气、水、污染源等领域的上万文档中抽取实体及关系，并解决实体消歧。</w:t>
            </w:r>
          </w:p>
        </w:tc>
      </w:tr>
      <w:tr w14:paraId="4431FF95">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623D201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310</w:t>
            </w:r>
          </w:p>
        </w:tc>
        <w:tc>
          <w:tcPr>
            <w:tcW w:w="2028" w:type="dxa"/>
            <w:vMerge w:val="continue"/>
            <w:tcBorders>
              <w:top w:val="nil"/>
              <w:left w:val="single" w:color="auto" w:sz="4" w:space="0"/>
              <w:bottom w:val="single" w:color="000000" w:sz="4" w:space="0"/>
              <w:right w:val="single" w:color="auto" w:sz="4" w:space="0"/>
            </w:tcBorders>
            <w:vAlign w:val="center"/>
          </w:tcPr>
          <w:p w14:paraId="5E05534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D5959E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知识库建设-知识建模与组织-知识增强</w:t>
            </w:r>
          </w:p>
        </w:tc>
        <w:tc>
          <w:tcPr>
            <w:tcW w:w="3928" w:type="dxa"/>
            <w:tcBorders>
              <w:top w:val="nil"/>
              <w:left w:val="nil"/>
              <w:bottom w:val="single" w:color="auto" w:sz="4" w:space="0"/>
              <w:right w:val="single" w:color="auto" w:sz="4" w:space="0"/>
            </w:tcBorders>
            <w:vAlign w:val="center"/>
          </w:tcPr>
          <w:p w14:paraId="37DA13A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对知识 RAG 数据和标注测试数据进行多样化处理。其中，大气、水、污染源等知识 RAG 数据共约 19600 个文档，需通过同义词替换、句子重组、添加噪声、文档拼接等方式增强；标注测试数据，如大气 500 条、水环境 500 条、声300条、土壤300条、自然生态300条、污染源300条，采用同类方法扩充多样性。</w:t>
            </w:r>
          </w:p>
        </w:tc>
      </w:tr>
      <w:tr w14:paraId="5522A9A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D26DD4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311</w:t>
            </w:r>
          </w:p>
        </w:tc>
        <w:tc>
          <w:tcPr>
            <w:tcW w:w="2028" w:type="dxa"/>
            <w:vMerge w:val="continue"/>
            <w:tcBorders>
              <w:top w:val="nil"/>
              <w:left w:val="single" w:color="auto" w:sz="4" w:space="0"/>
              <w:bottom w:val="single" w:color="000000" w:sz="4" w:space="0"/>
              <w:right w:val="single" w:color="auto" w:sz="4" w:space="0"/>
            </w:tcBorders>
            <w:vAlign w:val="center"/>
          </w:tcPr>
          <w:p w14:paraId="6702F68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7B98DA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知识库建设-知识更新与进化-变更检测与版本管理</w:t>
            </w:r>
          </w:p>
        </w:tc>
        <w:tc>
          <w:tcPr>
            <w:tcW w:w="3928" w:type="dxa"/>
            <w:tcBorders>
              <w:top w:val="nil"/>
              <w:left w:val="nil"/>
              <w:bottom w:val="single" w:color="auto" w:sz="4" w:space="0"/>
              <w:right w:val="single" w:color="auto" w:sz="4" w:space="0"/>
            </w:tcBorders>
            <w:vAlign w:val="center"/>
          </w:tcPr>
          <w:p w14:paraId="247C71B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针对知识图谱的动态更新，每日同步最新监测数据，触发图谱节点与关系的增量更新，同时保留历史图谱快照以支持时间维度回溯分析。</w:t>
            </w:r>
          </w:p>
        </w:tc>
      </w:tr>
      <w:tr w14:paraId="4B9C9BD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DD4674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312</w:t>
            </w:r>
          </w:p>
        </w:tc>
        <w:tc>
          <w:tcPr>
            <w:tcW w:w="2028" w:type="dxa"/>
            <w:vMerge w:val="continue"/>
            <w:tcBorders>
              <w:top w:val="nil"/>
              <w:left w:val="single" w:color="auto" w:sz="4" w:space="0"/>
              <w:bottom w:val="single" w:color="000000" w:sz="4" w:space="0"/>
              <w:right w:val="single" w:color="auto" w:sz="4" w:space="0"/>
            </w:tcBorders>
            <w:vAlign w:val="center"/>
          </w:tcPr>
          <w:p w14:paraId="488A09C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2A6A12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知识库建设-知识更新与进化-用户行为驱动进化</w:t>
            </w:r>
          </w:p>
        </w:tc>
        <w:tc>
          <w:tcPr>
            <w:tcW w:w="3928" w:type="dxa"/>
            <w:tcBorders>
              <w:top w:val="nil"/>
              <w:left w:val="nil"/>
              <w:bottom w:val="single" w:color="auto" w:sz="4" w:space="0"/>
              <w:right w:val="single" w:color="auto" w:sz="4" w:space="0"/>
            </w:tcBorders>
            <w:vAlign w:val="center"/>
          </w:tcPr>
          <w:p w14:paraId="7D80A73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基于用户反馈优化知识库，记录智能问答、问数等场景的用户交互数据，如大气问答的多轮对话、问数查询记录等，分析高频错误类型，并将用户提供的优质问答对注入训练集。</w:t>
            </w:r>
          </w:p>
        </w:tc>
      </w:tr>
      <w:tr w14:paraId="07D341D8">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2124D8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313</w:t>
            </w:r>
          </w:p>
        </w:tc>
        <w:tc>
          <w:tcPr>
            <w:tcW w:w="2028" w:type="dxa"/>
            <w:vMerge w:val="continue"/>
            <w:tcBorders>
              <w:top w:val="nil"/>
              <w:left w:val="single" w:color="auto" w:sz="4" w:space="0"/>
              <w:bottom w:val="single" w:color="000000" w:sz="4" w:space="0"/>
              <w:right w:val="single" w:color="auto" w:sz="4" w:space="0"/>
            </w:tcBorders>
            <w:vAlign w:val="center"/>
          </w:tcPr>
          <w:p w14:paraId="233450F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913CEC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知识库建设-知识质量与安全-质量检查</w:t>
            </w:r>
          </w:p>
        </w:tc>
        <w:tc>
          <w:tcPr>
            <w:tcW w:w="3928" w:type="dxa"/>
            <w:tcBorders>
              <w:top w:val="nil"/>
              <w:left w:val="nil"/>
              <w:bottom w:val="single" w:color="auto" w:sz="4" w:space="0"/>
              <w:right w:val="single" w:color="auto" w:sz="4" w:space="0"/>
            </w:tcBorders>
            <w:vAlign w:val="center"/>
          </w:tcPr>
          <w:p w14:paraId="77F186F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覆盖多类数据的准确性与合规性验证，智能报告数据需人工抽样检查语料库正确性及业务逻辑一致性；智能问数标注测试数据需过滤无效 SQL 并检查语法与逻辑；知识 RAG 数据需验证处理后正确率，标注测试数据需确保准确率。</w:t>
            </w:r>
          </w:p>
        </w:tc>
      </w:tr>
      <w:tr w14:paraId="237F0E9A">
        <w:tblPrEx>
          <w:tblCellMar>
            <w:top w:w="0" w:type="dxa"/>
            <w:left w:w="108" w:type="dxa"/>
            <w:bottom w:w="0" w:type="dxa"/>
            <w:right w:w="108" w:type="dxa"/>
          </w:tblCellMar>
        </w:tblPrEx>
        <w:trPr>
          <w:trHeight w:val="1275" w:hRule="atLeast"/>
        </w:trPr>
        <w:tc>
          <w:tcPr>
            <w:tcW w:w="704" w:type="dxa"/>
            <w:tcBorders>
              <w:top w:val="nil"/>
              <w:left w:val="single" w:color="auto" w:sz="4" w:space="0"/>
              <w:bottom w:val="single" w:color="auto" w:sz="4" w:space="0"/>
              <w:right w:val="single" w:color="auto" w:sz="4" w:space="0"/>
            </w:tcBorders>
            <w:noWrap/>
            <w:vAlign w:val="center"/>
          </w:tcPr>
          <w:p w14:paraId="4E91B10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314</w:t>
            </w:r>
          </w:p>
        </w:tc>
        <w:tc>
          <w:tcPr>
            <w:tcW w:w="2028" w:type="dxa"/>
            <w:vMerge w:val="continue"/>
            <w:tcBorders>
              <w:top w:val="nil"/>
              <w:left w:val="single" w:color="auto" w:sz="4" w:space="0"/>
              <w:bottom w:val="single" w:color="000000" w:sz="4" w:space="0"/>
              <w:right w:val="single" w:color="auto" w:sz="4" w:space="0"/>
            </w:tcBorders>
            <w:vAlign w:val="center"/>
          </w:tcPr>
          <w:p w14:paraId="4641C7F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4A127D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知识库建设-知识质量与安全-多语言对齐检查</w:t>
            </w:r>
          </w:p>
        </w:tc>
        <w:tc>
          <w:tcPr>
            <w:tcW w:w="3928" w:type="dxa"/>
            <w:tcBorders>
              <w:top w:val="nil"/>
              <w:left w:val="nil"/>
              <w:bottom w:val="single" w:color="auto" w:sz="4" w:space="0"/>
              <w:right w:val="single" w:color="auto" w:sz="4" w:space="0"/>
            </w:tcBorders>
            <w:vAlign w:val="center"/>
          </w:tcPr>
          <w:p w14:paraId="15817C0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环境监测领域的多语言知识文档开展对齐校验工作，覆盖大气、水、声、土壤、生态、污染源等多个领域的政策文件、技术规范、监测报告等。需对中英文版本的环境术语、法规条款、监测指标进行映射对齐，确保不同语言版本在实体、关系及语义上的一致性。通过建立环境领域多语言对照词典、利用机器翻译模型辅助校验等方式，保障跨语言知识的准确性与关联性，为多语言环境监测智能问答、报告生成等功能提供支撑。</w:t>
            </w:r>
          </w:p>
        </w:tc>
      </w:tr>
      <w:tr w14:paraId="1310CE28">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C5FF46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315</w:t>
            </w:r>
          </w:p>
        </w:tc>
        <w:tc>
          <w:tcPr>
            <w:tcW w:w="2028" w:type="dxa"/>
            <w:vMerge w:val="continue"/>
            <w:tcBorders>
              <w:top w:val="nil"/>
              <w:left w:val="single" w:color="auto" w:sz="4" w:space="0"/>
              <w:bottom w:val="single" w:color="000000" w:sz="4" w:space="0"/>
              <w:right w:val="single" w:color="auto" w:sz="4" w:space="0"/>
            </w:tcBorders>
            <w:vAlign w:val="center"/>
          </w:tcPr>
          <w:p w14:paraId="6830C23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1971F1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知识库建设-知识质量与安全-安全检查</w:t>
            </w:r>
          </w:p>
        </w:tc>
        <w:tc>
          <w:tcPr>
            <w:tcW w:w="3928" w:type="dxa"/>
            <w:tcBorders>
              <w:top w:val="nil"/>
              <w:left w:val="nil"/>
              <w:bottom w:val="single" w:color="auto" w:sz="4" w:space="0"/>
              <w:right w:val="single" w:color="auto" w:sz="4" w:space="0"/>
            </w:tcBorders>
            <w:vAlign w:val="center"/>
          </w:tcPr>
          <w:p w14:paraId="0D911CF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对全领域知识库数据进行敏感词检测、法规条款验证，确保政策解释与原文一致，并建立违规拦截机制。</w:t>
            </w:r>
          </w:p>
        </w:tc>
      </w:tr>
      <w:tr w14:paraId="559FC85C">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06C17E4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316</w:t>
            </w:r>
          </w:p>
        </w:tc>
        <w:tc>
          <w:tcPr>
            <w:tcW w:w="2028" w:type="dxa"/>
            <w:vMerge w:val="continue"/>
            <w:tcBorders>
              <w:top w:val="nil"/>
              <w:left w:val="single" w:color="auto" w:sz="4" w:space="0"/>
              <w:bottom w:val="single" w:color="000000" w:sz="4" w:space="0"/>
              <w:right w:val="single" w:color="auto" w:sz="4" w:space="0"/>
            </w:tcBorders>
            <w:vAlign w:val="center"/>
          </w:tcPr>
          <w:p w14:paraId="4815D73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8EE0AA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环境监测智能分析-智能问数智能体建设-角色与对话框架设计-角色设定与身份管理</w:t>
            </w:r>
          </w:p>
        </w:tc>
        <w:tc>
          <w:tcPr>
            <w:tcW w:w="3928" w:type="dxa"/>
            <w:tcBorders>
              <w:top w:val="nil"/>
              <w:left w:val="nil"/>
              <w:bottom w:val="single" w:color="auto" w:sz="4" w:space="0"/>
              <w:right w:val="single" w:color="auto" w:sz="4" w:space="0"/>
            </w:tcBorders>
            <w:vAlign w:val="center"/>
          </w:tcPr>
          <w:p w14:paraId="2F1BB94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智能问数智能体定位 “专业严谨的环境数据分析专家”，对管理人员和技术用户设计差异化权限与交互模式。管理人员侧重数据概况，访问范围为公开汇总数据，问数精度保留 1 位小数；技术用户侧重数据严谨性，可访问全量数据，精度支持 3 位小数，覆盖环境问数全场景。</w:t>
            </w:r>
          </w:p>
        </w:tc>
      </w:tr>
      <w:tr w14:paraId="679D81BD">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DD65D0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317</w:t>
            </w:r>
          </w:p>
        </w:tc>
        <w:tc>
          <w:tcPr>
            <w:tcW w:w="2028" w:type="dxa"/>
            <w:vMerge w:val="continue"/>
            <w:tcBorders>
              <w:top w:val="nil"/>
              <w:left w:val="single" w:color="auto" w:sz="4" w:space="0"/>
              <w:bottom w:val="single" w:color="000000" w:sz="4" w:space="0"/>
              <w:right w:val="single" w:color="auto" w:sz="4" w:space="0"/>
            </w:tcBorders>
            <w:vAlign w:val="center"/>
          </w:tcPr>
          <w:p w14:paraId="53BB5C5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5D323A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环境监测智能分析-智能问数智能体建设-角色与对话框架设计-对话流程设计与结构化脚本</w:t>
            </w:r>
          </w:p>
        </w:tc>
        <w:tc>
          <w:tcPr>
            <w:tcW w:w="3928" w:type="dxa"/>
            <w:tcBorders>
              <w:top w:val="nil"/>
              <w:left w:val="nil"/>
              <w:bottom w:val="single" w:color="auto" w:sz="4" w:space="0"/>
              <w:right w:val="single" w:color="auto" w:sz="4" w:space="0"/>
            </w:tcBorders>
            <w:vAlign w:val="center"/>
          </w:tcPr>
          <w:p w14:paraId="200B2BD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涵盖用户指令输入、意图识别、数据定位、分析计算、结果展示全链路。意图识别含自然语言解析、分类及上下文理解；污染趋势分析等场景含数据筛选、时序关联、趋势可视化模块，配套超时与异常处理机制。</w:t>
            </w:r>
          </w:p>
        </w:tc>
      </w:tr>
      <w:tr w14:paraId="232395B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087171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318</w:t>
            </w:r>
          </w:p>
        </w:tc>
        <w:tc>
          <w:tcPr>
            <w:tcW w:w="2028" w:type="dxa"/>
            <w:vMerge w:val="continue"/>
            <w:tcBorders>
              <w:top w:val="nil"/>
              <w:left w:val="single" w:color="auto" w:sz="4" w:space="0"/>
              <w:bottom w:val="single" w:color="000000" w:sz="4" w:space="0"/>
              <w:right w:val="single" w:color="auto" w:sz="4" w:space="0"/>
            </w:tcBorders>
            <w:vAlign w:val="center"/>
          </w:tcPr>
          <w:p w14:paraId="798C8DC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027609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环境监测智能分析-智能问数智能体建设-能力构建与流程编排-提示词工程</w:t>
            </w:r>
          </w:p>
        </w:tc>
        <w:tc>
          <w:tcPr>
            <w:tcW w:w="3928" w:type="dxa"/>
            <w:tcBorders>
              <w:top w:val="nil"/>
              <w:left w:val="nil"/>
              <w:bottom w:val="single" w:color="auto" w:sz="4" w:space="0"/>
              <w:right w:val="single" w:color="auto" w:sz="4" w:space="0"/>
            </w:tcBorders>
            <w:vAlign w:val="center"/>
          </w:tcPr>
          <w:p w14:paraId="21B11FF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 6 大领域开展深度优化，梳理指标、时间、空间等核心关键词，采用结构化框架规范指令格式，设计多轮交互话术引导完善模糊指令，建立测试集并通过反馈调整关键词权重与指令结构。</w:t>
            </w:r>
          </w:p>
        </w:tc>
      </w:tr>
      <w:tr w14:paraId="16C30A8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733E25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319</w:t>
            </w:r>
          </w:p>
        </w:tc>
        <w:tc>
          <w:tcPr>
            <w:tcW w:w="2028" w:type="dxa"/>
            <w:vMerge w:val="continue"/>
            <w:tcBorders>
              <w:top w:val="nil"/>
              <w:left w:val="single" w:color="auto" w:sz="4" w:space="0"/>
              <w:bottom w:val="single" w:color="000000" w:sz="4" w:space="0"/>
              <w:right w:val="single" w:color="auto" w:sz="4" w:space="0"/>
            </w:tcBorders>
            <w:vAlign w:val="center"/>
          </w:tcPr>
          <w:p w14:paraId="0C7F721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04966B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环境监测智能分析-智能问数智能体建设-能力构建与流程编排-知识工程</w:t>
            </w:r>
          </w:p>
        </w:tc>
        <w:tc>
          <w:tcPr>
            <w:tcW w:w="3928" w:type="dxa"/>
            <w:tcBorders>
              <w:top w:val="nil"/>
              <w:left w:val="nil"/>
              <w:bottom w:val="single" w:color="auto" w:sz="4" w:space="0"/>
              <w:right w:val="single" w:color="auto" w:sz="4" w:space="0"/>
            </w:tcBorders>
            <w:vAlign w:val="center"/>
          </w:tcPr>
          <w:p w14:paraId="6AF6BD2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构建多源知识库，分基础层、业务层、决策层，结合 RAG 技术支撑意图解析，定期同步最新环保政策与监测标准，识别知识缺口。</w:t>
            </w:r>
          </w:p>
        </w:tc>
      </w:tr>
      <w:tr w14:paraId="0E04D3B6">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377F85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320</w:t>
            </w:r>
          </w:p>
        </w:tc>
        <w:tc>
          <w:tcPr>
            <w:tcW w:w="2028" w:type="dxa"/>
            <w:vMerge w:val="continue"/>
            <w:tcBorders>
              <w:top w:val="nil"/>
              <w:left w:val="single" w:color="auto" w:sz="4" w:space="0"/>
              <w:bottom w:val="single" w:color="000000" w:sz="4" w:space="0"/>
              <w:right w:val="single" w:color="auto" w:sz="4" w:space="0"/>
            </w:tcBorders>
            <w:vAlign w:val="center"/>
          </w:tcPr>
          <w:p w14:paraId="3C801CB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9DB82C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环境监测智能分析-智能问数智能体建设-能力构建与流程编排-工具开发及框架集成</w:t>
            </w:r>
          </w:p>
        </w:tc>
        <w:tc>
          <w:tcPr>
            <w:tcW w:w="3928" w:type="dxa"/>
            <w:tcBorders>
              <w:top w:val="nil"/>
              <w:left w:val="nil"/>
              <w:bottom w:val="single" w:color="auto" w:sz="4" w:space="0"/>
              <w:right w:val="single" w:color="auto" w:sz="4" w:space="0"/>
            </w:tcBorders>
            <w:vAlign w:val="center"/>
          </w:tcPr>
          <w:p w14:paraId="15342F3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定制开发 NL-SQL、数据分析、图表呈现等核心插件，实现自然语言转 SQL、数据计算分析、专业图表生成等功能，集成业务与通用工具，通过中间库对接数据，保障安全与权限控制。</w:t>
            </w:r>
          </w:p>
        </w:tc>
      </w:tr>
      <w:tr w14:paraId="47C6E889">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A3AA87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321</w:t>
            </w:r>
          </w:p>
        </w:tc>
        <w:tc>
          <w:tcPr>
            <w:tcW w:w="2028" w:type="dxa"/>
            <w:vMerge w:val="continue"/>
            <w:tcBorders>
              <w:top w:val="nil"/>
              <w:left w:val="single" w:color="auto" w:sz="4" w:space="0"/>
              <w:bottom w:val="single" w:color="000000" w:sz="4" w:space="0"/>
              <w:right w:val="single" w:color="auto" w:sz="4" w:space="0"/>
            </w:tcBorders>
            <w:vAlign w:val="center"/>
          </w:tcPr>
          <w:p w14:paraId="675D8B4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AB64AB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环境监测智能分析-智能问数智能体建设-能力构建与流程编排-流程编排与逻辑控制</w:t>
            </w:r>
          </w:p>
        </w:tc>
        <w:tc>
          <w:tcPr>
            <w:tcW w:w="3928" w:type="dxa"/>
            <w:tcBorders>
              <w:top w:val="nil"/>
              <w:left w:val="nil"/>
              <w:bottom w:val="single" w:color="auto" w:sz="4" w:space="0"/>
              <w:right w:val="single" w:color="auto" w:sz="4" w:space="0"/>
            </w:tcBorders>
            <w:vAlign w:val="center"/>
          </w:tcPr>
          <w:p w14:paraId="0E5E03D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基于规则驱动与动态路径规划设计流程，含模糊表达处理、子任务规划、步骤控制与异常恢复。子任务按依赖关系排序，支持异常重试与断点续行，人工干预留痕可追溯。</w:t>
            </w:r>
          </w:p>
        </w:tc>
      </w:tr>
      <w:tr w14:paraId="41C7DCD0">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4D3B2E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322</w:t>
            </w:r>
          </w:p>
        </w:tc>
        <w:tc>
          <w:tcPr>
            <w:tcW w:w="2028" w:type="dxa"/>
            <w:vMerge w:val="continue"/>
            <w:tcBorders>
              <w:top w:val="nil"/>
              <w:left w:val="single" w:color="auto" w:sz="4" w:space="0"/>
              <w:bottom w:val="single" w:color="000000" w:sz="4" w:space="0"/>
              <w:right w:val="single" w:color="auto" w:sz="4" w:space="0"/>
            </w:tcBorders>
            <w:vAlign w:val="center"/>
          </w:tcPr>
          <w:p w14:paraId="3883074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5BC2EC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环境监测智能分析-智能问数智能体建设-上下文与多轮对话管理-上下文建模与状态管理</w:t>
            </w:r>
          </w:p>
        </w:tc>
        <w:tc>
          <w:tcPr>
            <w:tcW w:w="3928" w:type="dxa"/>
            <w:tcBorders>
              <w:top w:val="nil"/>
              <w:left w:val="nil"/>
              <w:bottom w:val="single" w:color="auto" w:sz="4" w:space="0"/>
              <w:right w:val="single" w:color="auto" w:sz="4" w:space="0"/>
            </w:tcBorders>
            <w:vAlign w:val="center"/>
          </w:tcPr>
          <w:p w14:paraId="6F5C44C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 BERT-Large 模型捕捉对话关联，维护多轮上下文，记录查询对象、时空范围等状态并实时更新，支持会话归档与中断恢复，保障跨轮次意图理解。</w:t>
            </w:r>
          </w:p>
        </w:tc>
      </w:tr>
      <w:tr w14:paraId="45F8A82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B6EF2E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323</w:t>
            </w:r>
          </w:p>
        </w:tc>
        <w:tc>
          <w:tcPr>
            <w:tcW w:w="2028" w:type="dxa"/>
            <w:vMerge w:val="continue"/>
            <w:tcBorders>
              <w:top w:val="nil"/>
              <w:left w:val="single" w:color="auto" w:sz="4" w:space="0"/>
              <w:bottom w:val="single" w:color="000000" w:sz="4" w:space="0"/>
              <w:right w:val="single" w:color="auto" w:sz="4" w:space="0"/>
            </w:tcBorders>
            <w:vAlign w:val="center"/>
          </w:tcPr>
          <w:p w14:paraId="5A694B8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482679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环境监测智能分析-智能问数智能体建设-上下文与多轮对话管理-用户画像与长期记忆机制</w:t>
            </w:r>
          </w:p>
        </w:tc>
        <w:tc>
          <w:tcPr>
            <w:tcW w:w="3928" w:type="dxa"/>
            <w:tcBorders>
              <w:top w:val="nil"/>
              <w:left w:val="nil"/>
              <w:bottom w:val="single" w:color="auto" w:sz="4" w:space="0"/>
              <w:right w:val="single" w:color="auto" w:sz="4" w:space="0"/>
            </w:tcBorders>
            <w:vAlign w:val="center"/>
          </w:tcPr>
          <w:p w14:paraId="69CBAEA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基于问数历史与操作记录构建画像，记录用户常用指标、时空范围等偏好，通过强化学习优化模型参数，支持隐私重置与关闭记录。</w:t>
            </w:r>
          </w:p>
        </w:tc>
      </w:tr>
      <w:tr w14:paraId="59BEBF5E">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F584F7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324</w:t>
            </w:r>
          </w:p>
        </w:tc>
        <w:tc>
          <w:tcPr>
            <w:tcW w:w="2028" w:type="dxa"/>
            <w:vMerge w:val="continue"/>
            <w:tcBorders>
              <w:top w:val="nil"/>
              <w:left w:val="single" w:color="auto" w:sz="4" w:space="0"/>
              <w:bottom w:val="single" w:color="000000" w:sz="4" w:space="0"/>
              <w:right w:val="single" w:color="auto" w:sz="4" w:space="0"/>
            </w:tcBorders>
            <w:vAlign w:val="center"/>
          </w:tcPr>
          <w:p w14:paraId="29EE4E6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642466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环境监测智能分析-智能问数智能体建设-上下文与多轮对话管理-多会话并行与多用户管理</w:t>
            </w:r>
          </w:p>
        </w:tc>
        <w:tc>
          <w:tcPr>
            <w:tcW w:w="3928" w:type="dxa"/>
            <w:tcBorders>
              <w:top w:val="nil"/>
              <w:left w:val="nil"/>
              <w:bottom w:val="single" w:color="auto" w:sz="4" w:space="0"/>
              <w:right w:val="single" w:color="auto" w:sz="4" w:space="0"/>
            </w:tcBorders>
            <w:vAlign w:val="center"/>
          </w:tcPr>
          <w:p w14:paraId="2793520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支持多用户同时发起请求，通过动态线程池与会话隔离避免冲突，按优先级调度资源，核心业务优先处理，保障响应效率。</w:t>
            </w:r>
          </w:p>
        </w:tc>
      </w:tr>
      <w:tr w14:paraId="50ED7D0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5C0576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325</w:t>
            </w:r>
          </w:p>
        </w:tc>
        <w:tc>
          <w:tcPr>
            <w:tcW w:w="2028" w:type="dxa"/>
            <w:vMerge w:val="continue"/>
            <w:tcBorders>
              <w:top w:val="nil"/>
              <w:left w:val="single" w:color="auto" w:sz="4" w:space="0"/>
              <w:bottom w:val="single" w:color="000000" w:sz="4" w:space="0"/>
              <w:right w:val="single" w:color="auto" w:sz="4" w:space="0"/>
            </w:tcBorders>
            <w:vAlign w:val="center"/>
          </w:tcPr>
          <w:p w14:paraId="3EE61DF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D17E61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环境监测智能分析-智能问数智能体建设-智能体评估与部署-方案设计</w:t>
            </w:r>
          </w:p>
        </w:tc>
        <w:tc>
          <w:tcPr>
            <w:tcW w:w="3928" w:type="dxa"/>
            <w:tcBorders>
              <w:top w:val="nil"/>
              <w:left w:val="nil"/>
              <w:bottom w:val="single" w:color="auto" w:sz="4" w:space="0"/>
              <w:right w:val="single" w:color="auto" w:sz="4" w:space="0"/>
            </w:tcBorders>
            <w:vAlign w:val="center"/>
          </w:tcPr>
          <w:p w14:paraId="38E1FE8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制定评估方案，功能测试含单表查询、多表关联等场景，验证结果准确性；性能测试覆盖响应时间、并发承载等指标。</w:t>
            </w:r>
          </w:p>
        </w:tc>
      </w:tr>
      <w:tr w14:paraId="1594326A">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1E200B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326</w:t>
            </w:r>
          </w:p>
        </w:tc>
        <w:tc>
          <w:tcPr>
            <w:tcW w:w="2028" w:type="dxa"/>
            <w:vMerge w:val="continue"/>
            <w:tcBorders>
              <w:top w:val="nil"/>
              <w:left w:val="single" w:color="auto" w:sz="4" w:space="0"/>
              <w:bottom w:val="single" w:color="000000" w:sz="4" w:space="0"/>
              <w:right w:val="single" w:color="auto" w:sz="4" w:space="0"/>
            </w:tcBorders>
            <w:vAlign w:val="center"/>
          </w:tcPr>
          <w:p w14:paraId="1641FC1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C6FE99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环境监测智能分析-智能问数智能体建设-智能体评估与部署-可用性评测</w:t>
            </w:r>
          </w:p>
        </w:tc>
        <w:tc>
          <w:tcPr>
            <w:tcW w:w="3928" w:type="dxa"/>
            <w:tcBorders>
              <w:top w:val="nil"/>
              <w:left w:val="nil"/>
              <w:bottom w:val="single" w:color="auto" w:sz="4" w:space="0"/>
              <w:right w:val="single" w:color="auto" w:sz="4" w:space="0"/>
            </w:tcBorders>
            <w:vAlign w:val="center"/>
          </w:tcPr>
          <w:p w14:paraId="6C62639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建立提示词测试集涵盖各类业务场景，评估意图识别准确率与结果匹配度，邀请用户实测并收集反馈，调整提示词模板与交互话术优化体验。</w:t>
            </w:r>
          </w:p>
        </w:tc>
      </w:tr>
      <w:tr w14:paraId="5DECCD4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15EBEC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327</w:t>
            </w:r>
          </w:p>
        </w:tc>
        <w:tc>
          <w:tcPr>
            <w:tcW w:w="2028" w:type="dxa"/>
            <w:vMerge w:val="continue"/>
            <w:tcBorders>
              <w:top w:val="nil"/>
              <w:left w:val="single" w:color="auto" w:sz="4" w:space="0"/>
              <w:bottom w:val="single" w:color="000000" w:sz="4" w:space="0"/>
              <w:right w:val="single" w:color="auto" w:sz="4" w:space="0"/>
            </w:tcBorders>
            <w:vAlign w:val="center"/>
          </w:tcPr>
          <w:p w14:paraId="5AC9FA4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193B7A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环境监测智能分析-智能问数智能体建设-智能体评估与部署-安全性评测</w:t>
            </w:r>
          </w:p>
        </w:tc>
        <w:tc>
          <w:tcPr>
            <w:tcW w:w="3928" w:type="dxa"/>
            <w:tcBorders>
              <w:top w:val="nil"/>
              <w:left w:val="nil"/>
              <w:bottom w:val="single" w:color="auto" w:sz="4" w:space="0"/>
              <w:right w:val="single" w:color="auto" w:sz="4" w:space="0"/>
            </w:tcBorders>
            <w:vAlign w:val="center"/>
          </w:tcPr>
          <w:p w14:paraId="6AF8980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针对问数数据安全设计专项测试，含敏感数据访问权限控制、查询结果脱敏处理，通过工具扫描与人工测试验证防护机制，确保符合数据安全规范。</w:t>
            </w:r>
          </w:p>
        </w:tc>
      </w:tr>
      <w:tr w14:paraId="03371C56">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08D334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328</w:t>
            </w:r>
          </w:p>
        </w:tc>
        <w:tc>
          <w:tcPr>
            <w:tcW w:w="2028" w:type="dxa"/>
            <w:vMerge w:val="continue"/>
            <w:tcBorders>
              <w:top w:val="nil"/>
              <w:left w:val="single" w:color="auto" w:sz="4" w:space="0"/>
              <w:bottom w:val="single" w:color="000000" w:sz="4" w:space="0"/>
              <w:right w:val="single" w:color="auto" w:sz="4" w:space="0"/>
            </w:tcBorders>
            <w:vAlign w:val="center"/>
          </w:tcPr>
          <w:p w14:paraId="23F513F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C0CD20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环境监测智能分析-智能问数智能体建设-智能体评估与部署-智能体部署</w:t>
            </w:r>
          </w:p>
        </w:tc>
        <w:tc>
          <w:tcPr>
            <w:tcW w:w="3928" w:type="dxa"/>
            <w:tcBorders>
              <w:top w:val="nil"/>
              <w:left w:val="nil"/>
              <w:bottom w:val="single" w:color="auto" w:sz="4" w:space="0"/>
              <w:right w:val="single" w:color="auto" w:sz="4" w:space="0"/>
            </w:tcBorders>
            <w:vAlign w:val="center"/>
          </w:tcPr>
          <w:p w14:paraId="62E195A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将智能体部署至系统平台，配置硬件资源、中间库连接及插件依赖环境，完成后验证全流程功能，实时监控响应时间、资源占用等性能指标，保障稳定运行。</w:t>
            </w:r>
          </w:p>
        </w:tc>
      </w:tr>
      <w:tr w14:paraId="42325F4C">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7446BB9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329</w:t>
            </w:r>
          </w:p>
        </w:tc>
        <w:tc>
          <w:tcPr>
            <w:tcW w:w="2028" w:type="dxa"/>
            <w:vMerge w:val="continue"/>
            <w:tcBorders>
              <w:top w:val="nil"/>
              <w:left w:val="single" w:color="auto" w:sz="4" w:space="0"/>
              <w:bottom w:val="single" w:color="000000" w:sz="4" w:space="0"/>
              <w:right w:val="single" w:color="auto" w:sz="4" w:space="0"/>
            </w:tcBorders>
            <w:vAlign w:val="center"/>
          </w:tcPr>
          <w:p w14:paraId="5897CAC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24C12B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环境监测智能分析-智能报告智能体建设-角色与对话框架设计-角色设定与身份管理</w:t>
            </w:r>
          </w:p>
        </w:tc>
        <w:tc>
          <w:tcPr>
            <w:tcW w:w="3928" w:type="dxa"/>
            <w:tcBorders>
              <w:top w:val="nil"/>
              <w:left w:val="nil"/>
              <w:bottom w:val="single" w:color="auto" w:sz="4" w:space="0"/>
              <w:right w:val="single" w:color="auto" w:sz="4" w:space="0"/>
            </w:tcBorders>
            <w:vAlign w:val="center"/>
          </w:tcPr>
          <w:p w14:paraId="4B777E3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智能报告智能体定位 “资深环境监测报告编撰专家”，针对管理人员和技术用户设计差异化权限与交互模式。管理人员侧重报告概况，数据访问范围为汇总分析结果，报告复杂度低；技术用户侧重数据严谨性，可访问全量数据，报告包含详细计算与来源说明，覆盖环境监测全领域。</w:t>
            </w:r>
          </w:p>
        </w:tc>
      </w:tr>
      <w:tr w14:paraId="0D6C26C0">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17EB37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330</w:t>
            </w:r>
          </w:p>
        </w:tc>
        <w:tc>
          <w:tcPr>
            <w:tcW w:w="2028" w:type="dxa"/>
            <w:vMerge w:val="continue"/>
            <w:tcBorders>
              <w:top w:val="nil"/>
              <w:left w:val="single" w:color="auto" w:sz="4" w:space="0"/>
              <w:bottom w:val="single" w:color="000000" w:sz="4" w:space="0"/>
              <w:right w:val="single" w:color="auto" w:sz="4" w:space="0"/>
            </w:tcBorders>
            <w:vAlign w:val="center"/>
          </w:tcPr>
          <w:p w14:paraId="14B883D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5A5FF1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环境监测智能分析-智能报告智能体建设-角色与对话框架设计-对话流程设计与结构化脚本</w:t>
            </w:r>
          </w:p>
        </w:tc>
        <w:tc>
          <w:tcPr>
            <w:tcW w:w="3928" w:type="dxa"/>
            <w:tcBorders>
              <w:top w:val="nil"/>
              <w:left w:val="nil"/>
              <w:bottom w:val="single" w:color="auto" w:sz="4" w:space="0"/>
              <w:right w:val="single" w:color="auto" w:sz="4" w:space="0"/>
            </w:tcBorders>
            <w:vAlign w:val="center"/>
          </w:tcPr>
          <w:p w14:paraId="4C37A2C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涵盖用户需求输入、意图识别、大纲生成、数据提取、文本生成、格式输出全链路。为大气月报等场景编写脚本，如大气报告含污染物浓度分析、超标原因研判、管控建议模块；意图识别解析报告类型与参数，配套超时及异常处理机制。</w:t>
            </w:r>
          </w:p>
        </w:tc>
      </w:tr>
      <w:tr w14:paraId="45EE6695">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9175CA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331</w:t>
            </w:r>
          </w:p>
        </w:tc>
        <w:tc>
          <w:tcPr>
            <w:tcW w:w="2028" w:type="dxa"/>
            <w:vMerge w:val="continue"/>
            <w:tcBorders>
              <w:top w:val="nil"/>
              <w:left w:val="single" w:color="auto" w:sz="4" w:space="0"/>
              <w:bottom w:val="single" w:color="000000" w:sz="4" w:space="0"/>
              <w:right w:val="single" w:color="auto" w:sz="4" w:space="0"/>
            </w:tcBorders>
            <w:vAlign w:val="center"/>
          </w:tcPr>
          <w:p w14:paraId="604A68C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1A1982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环境监测智能分析-智能报告智能体建设-能力构建与流程编排-提示词工程</w:t>
            </w:r>
          </w:p>
        </w:tc>
        <w:tc>
          <w:tcPr>
            <w:tcW w:w="3928" w:type="dxa"/>
            <w:tcBorders>
              <w:top w:val="nil"/>
              <w:left w:val="nil"/>
              <w:bottom w:val="single" w:color="auto" w:sz="4" w:space="0"/>
              <w:right w:val="single" w:color="auto" w:sz="4" w:space="0"/>
            </w:tcBorders>
            <w:vAlign w:val="center"/>
          </w:tcPr>
          <w:p w14:paraId="4F5689B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 6 大领域设计多层次指令模板，含系统级角色约束、任务级生成规则，动态注入用户需求与数据参数。通过反幻觉机制确保结论基于数据，结合 bad-case 分析迭代优化，覆盖各类报告生成场景。</w:t>
            </w:r>
          </w:p>
        </w:tc>
      </w:tr>
      <w:tr w14:paraId="6552FBF6">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5E23CF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332</w:t>
            </w:r>
          </w:p>
        </w:tc>
        <w:tc>
          <w:tcPr>
            <w:tcW w:w="2028" w:type="dxa"/>
            <w:vMerge w:val="continue"/>
            <w:tcBorders>
              <w:top w:val="nil"/>
              <w:left w:val="single" w:color="auto" w:sz="4" w:space="0"/>
              <w:bottom w:val="single" w:color="000000" w:sz="4" w:space="0"/>
              <w:right w:val="single" w:color="auto" w:sz="4" w:space="0"/>
            </w:tcBorders>
            <w:vAlign w:val="center"/>
          </w:tcPr>
          <w:p w14:paraId="3348C91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A571B2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环境监测智能分析-智能报告智能体建设-能力构建与流程编排-知识工程</w:t>
            </w:r>
          </w:p>
        </w:tc>
        <w:tc>
          <w:tcPr>
            <w:tcW w:w="3928" w:type="dxa"/>
            <w:tcBorders>
              <w:top w:val="nil"/>
              <w:left w:val="nil"/>
              <w:bottom w:val="single" w:color="auto" w:sz="4" w:space="0"/>
              <w:right w:val="single" w:color="auto" w:sz="4" w:space="0"/>
            </w:tcBorders>
            <w:vAlign w:val="center"/>
          </w:tcPr>
          <w:p w14:paraId="4ABA3A1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构建多维度知识库，含环境监测标准、报告模板、数据关联规则等，分基础层、模板层、应用层、专家层。定期同步最新政策与标准，通过智能匹配支撑报告生成。</w:t>
            </w:r>
          </w:p>
        </w:tc>
      </w:tr>
      <w:tr w14:paraId="59051ED2">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B98FF6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333</w:t>
            </w:r>
          </w:p>
        </w:tc>
        <w:tc>
          <w:tcPr>
            <w:tcW w:w="2028" w:type="dxa"/>
            <w:vMerge w:val="continue"/>
            <w:tcBorders>
              <w:top w:val="nil"/>
              <w:left w:val="single" w:color="auto" w:sz="4" w:space="0"/>
              <w:bottom w:val="single" w:color="000000" w:sz="4" w:space="0"/>
              <w:right w:val="single" w:color="auto" w:sz="4" w:space="0"/>
            </w:tcBorders>
            <w:vAlign w:val="center"/>
          </w:tcPr>
          <w:p w14:paraId="778A257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9CC68C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环境监测智能分析-智能报告智能体建设-能力构建与流程编排-工具开发及框架集成</w:t>
            </w:r>
          </w:p>
        </w:tc>
        <w:tc>
          <w:tcPr>
            <w:tcW w:w="3928" w:type="dxa"/>
            <w:tcBorders>
              <w:top w:val="nil"/>
              <w:left w:val="nil"/>
              <w:bottom w:val="single" w:color="auto" w:sz="4" w:space="0"/>
              <w:right w:val="single" w:color="auto" w:sz="4" w:space="0"/>
            </w:tcBorders>
            <w:vAlign w:val="center"/>
          </w:tcPr>
          <w:p w14:paraId="01DB66D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定制大纲生成、文本生成、报告及 PPT 编辑输出插件，实现 Markdown/HTML/PDF 等格式转换。集成至平台，与数据接口协同调试，保障流程顺畅。</w:t>
            </w:r>
          </w:p>
        </w:tc>
      </w:tr>
      <w:tr w14:paraId="699282B2">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47C3A8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334</w:t>
            </w:r>
          </w:p>
        </w:tc>
        <w:tc>
          <w:tcPr>
            <w:tcW w:w="2028" w:type="dxa"/>
            <w:vMerge w:val="continue"/>
            <w:tcBorders>
              <w:top w:val="nil"/>
              <w:left w:val="single" w:color="auto" w:sz="4" w:space="0"/>
              <w:bottom w:val="single" w:color="000000" w:sz="4" w:space="0"/>
              <w:right w:val="single" w:color="auto" w:sz="4" w:space="0"/>
            </w:tcBorders>
            <w:vAlign w:val="center"/>
          </w:tcPr>
          <w:p w14:paraId="1CDE2E8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2ABB09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环境监测智能分析-智能报告智能体建设-能力构建与流程编排-流程编排与逻辑控制</w:t>
            </w:r>
          </w:p>
        </w:tc>
        <w:tc>
          <w:tcPr>
            <w:tcW w:w="3928" w:type="dxa"/>
            <w:tcBorders>
              <w:top w:val="nil"/>
              <w:left w:val="nil"/>
              <w:bottom w:val="single" w:color="auto" w:sz="4" w:space="0"/>
              <w:right w:val="single" w:color="auto" w:sz="4" w:space="0"/>
            </w:tcBorders>
            <w:vAlign w:val="center"/>
          </w:tcPr>
          <w:p w14:paraId="5FA21F2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基于规则驱动拆解任务，按依赖关系排序执行。配置分支逻辑，异常时保全上下文并断点续行，支持人工干预。</w:t>
            </w:r>
          </w:p>
        </w:tc>
      </w:tr>
      <w:tr w14:paraId="1E2577F0">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4ACCAD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335</w:t>
            </w:r>
          </w:p>
        </w:tc>
        <w:tc>
          <w:tcPr>
            <w:tcW w:w="2028" w:type="dxa"/>
            <w:vMerge w:val="continue"/>
            <w:tcBorders>
              <w:top w:val="nil"/>
              <w:left w:val="single" w:color="auto" w:sz="4" w:space="0"/>
              <w:bottom w:val="single" w:color="000000" w:sz="4" w:space="0"/>
              <w:right w:val="single" w:color="auto" w:sz="4" w:space="0"/>
            </w:tcBorders>
            <w:vAlign w:val="center"/>
          </w:tcPr>
          <w:p w14:paraId="63EE94B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2CB041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环境监测智能分析-智能报告智能体建设-上下文与多轮对话管理-上下文建模与状态管理</w:t>
            </w:r>
          </w:p>
        </w:tc>
        <w:tc>
          <w:tcPr>
            <w:tcW w:w="3928" w:type="dxa"/>
            <w:tcBorders>
              <w:top w:val="nil"/>
              <w:left w:val="nil"/>
              <w:bottom w:val="single" w:color="auto" w:sz="4" w:space="0"/>
              <w:right w:val="single" w:color="auto" w:sz="4" w:space="0"/>
            </w:tcBorders>
            <w:vAlign w:val="center"/>
          </w:tcPr>
          <w:p w14:paraId="5168021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 BERT-Large 模型维护多轮对话上下文，记录报告类型、时间范围等状态，用户曾查某区域数据则后续报告默认关联。支持会话归档与中断恢复，实时更新状态确保连贯性。</w:t>
            </w:r>
          </w:p>
        </w:tc>
      </w:tr>
      <w:tr w14:paraId="2C8C2546">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E76F98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336</w:t>
            </w:r>
          </w:p>
        </w:tc>
        <w:tc>
          <w:tcPr>
            <w:tcW w:w="2028" w:type="dxa"/>
            <w:vMerge w:val="continue"/>
            <w:tcBorders>
              <w:top w:val="nil"/>
              <w:left w:val="single" w:color="auto" w:sz="4" w:space="0"/>
              <w:bottom w:val="single" w:color="000000" w:sz="4" w:space="0"/>
              <w:right w:val="single" w:color="auto" w:sz="4" w:space="0"/>
            </w:tcBorders>
            <w:vAlign w:val="center"/>
          </w:tcPr>
          <w:p w14:paraId="554F3A2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B76FE6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环境监测智能分析-智能报告智能体建设-上下文与多轮对话管理-用户画像与长期记忆机制</w:t>
            </w:r>
          </w:p>
        </w:tc>
        <w:tc>
          <w:tcPr>
            <w:tcW w:w="3928" w:type="dxa"/>
            <w:tcBorders>
              <w:top w:val="nil"/>
              <w:left w:val="nil"/>
              <w:bottom w:val="single" w:color="auto" w:sz="4" w:space="0"/>
              <w:right w:val="single" w:color="auto" w:sz="4" w:space="0"/>
            </w:tcBorders>
            <w:vAlign w:val="center"/>
          </w:tcPr>
          <w:p w14:paraId="7F098DA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基于用户身份与操作记录构建画像，如管理人员侧重概况，技术用户侧重数据严谨性，记录用户对报告的修改以优化模型参数。</w:t>
            </w:r>
          </w:p>
        </w:tc>
      </w:tr>
      <w:tr w14:paraId="3CE0F28A">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77EAD9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337</w:t>
            </w:r>
          </w:p>
        </w:tc>
        <w:tc>
          <w:tcPr>
            <w:tcW w:w="2028" w:type="dxa"/>
            <w:vMerge w:val="continue"/>
            <w:tcBorders>
              <w:top w:val="nil"/>
              <w:left w:val="single" w:color="auto" w:sz="4" w:space="0"/>
              <w:bottom w:val="single" w:color="000000" w:sz="4" w:space="0"/>
              <w:right w:val="single" w:color="auto" w:sz="4" w:space="0"/>
            </w:tcBorders>
            <w:vAlign w:val="center"/>
          </w:tcPr>
          <w:p w14:paraId="71D67EC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CCA7AF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环境监测智能分析-智能报告智能体建设-上下文与多轮对话管理-多会话并行与多用户管理</w:t>
            </w:r>
          </w:p>
        </w:tc>
        <w:tc>
          <w:tcPr>
            <w:tcW w:w="3928" w:type="dxa"/>
            <w:tcBorders>
              <w:top w:val="nil"/>
              <w:left w:val="nil"/>
              <w:bottom w:val="single" w:color="auto" w:sz="4" w:space="0"/>
              <w:right w:val="single" w:color="auto" w:sz="4" w:space="0"/>
            </w:tcBorders>
            <w:vAlign w:val="center"/>
          </w:tcPr>
          <w:p w14:paraId="0EDC84D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多会话并行与多用户管理：支持多用户同时生成报告，采用动态线程池与会话隔离避免冲突。按报告紧急度调度资源，应急报告优先处理，保障响应效率。</w:t>
            </w:r>
          </w:p>
        </w:tc>
      </w:tr>
      <w:tr w14:paraId="37127D47">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CC5681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338</w:t>
            </w:r>
          </w:p>
        </w:tc>
        <w:tc>
          <w:tcPr>
            <w:tcW w:w="2028" w:type="dxa"/>
            <w:vMerge w:val="continue"/>
            <w:tcBorders>
              <w:top w:val="nil"/>
              <w:left w:val="single" w:color="auto" w:sz="4" w:space="0"/>
              <w:bottom w:val="single" w:color="000000" w:sz="4" w:space="0"/>
              <w:right w:val="single" w:color="auto" w:sz="4" w:space="0"/>
            </w:tcBorders>
            <w:vAlign w:val="center"/>
          </w:tcPr>
          <w:p w14:paraId="5C36C03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B7844D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环境监测智能分析-智能报告智能体建设-智能体评估与部署-方案设计</w:t>
            </w:r>
          </w:p>
        </w:tc>
        <w:tc>
          <w:tcPr>
            <w:tcW w:w="3928" w:type="dxa"/>
            <w:tcBorders>
              <w:top w:val="nil"/>
              <w:left w:val="nil"/>
              <w:bottom w:val="single" w:color="auto" w:sz="4" w:space="0"/>
              <w:right w:val="single" w:color="auto" w:sz="4" w:space="0"/>
            </w:tcBorders>
            <w:vAlign w:val="center"/>
          </w:tcPr>
          <w:p w14:paraId="0FF4A2B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制定评估方案，功能测试验证报告准确性、完整性；性能测试测生成耗时、并发承载，覆盖各类场景用例。</w:t>
            </w:r>
          </w:p>
        </w:tc>
      </w:tr>
      <w:tr w14:paraId="4A506481">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B5CD4D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339</w:t>
            </w:r>
          </w:p>
        </w:tc>
        <w:tc>
          <w:tcPr>
            <w:tcW w:w="2028" w:type="dxa"/>
            <w:vMerge w:val="continue"/>
            <w:tcBorders>
              <w:top w:val="nil"/>
              <w:left w:val="single" w:color="auto" w:sz="4" w:space="0"/>
              <w:bottom w:val="single" w:color="000000" w:sz="4" w:space="0"/>
              <w:right w:val="single" w:color="auto" w:sz="4" w:space="0"/>
            </w:tcBorders>
            <w:vAlign w:val="center"/>
          </w:tcPr>
          <w:p w14:paraId="135F652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DB933F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环境监测智能分析-智能报告智能体建设-智能体评估与部署-可用性评测</w:t>
            </w:r>
          </w:p>
        </w:tc>
        <w:tc>
          <w:tcPr>
            <w:tcW w:w="3928" w:type="dxa"/>
            <w:tcBorders>
              <w:top w:val="nil"/>
              <w:left w:val="nil"/>
              <w:bottom w:val="single" w:color="auto" w:sz="4" w:space="0"/>
              <w:right w:val="single" w:color="auto" w:sz="4" w:space="0"/>
            </w:tcBorders>
            <w:vAlign w:val="center"/>
          </w:tcPr>
          <w:p w14:paraId="550C0CB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集成 A/B 测试框架，对比不同提示词版本的报告质量。收集用户对格式与内容的反馈，迭代优化模板与生成逻辑，提升适配性。</w:t>
            </w:r>
          </w:p>
        </w:tc>
      </w:tr>
      <w:tr w14:paraId="3564D51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92C802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340</w:t>
            </w:r>
          </w:p>
        </w:tc>
        <w:tc>
          <w:tcPr>
            <w:tcW w:w="2028" w:type="dxa"/>
            <w:vMerge w:val="continue"/>
            <w:tcBorders>
              <w:top w:val="nil"/>
              <w:left w:val="single" w:color="auto" w:sz="4" w:space="0"/>
              <w:bottom w:val="single" w:color="000000" w:sz="4" w:space="0"/>
              <w:right w:val="single" w:color="auto" w:sz="4" w:space="0"/>
            </w:tcBorders>
            <w:vAlign w:val="center"/>
          </w:tcPr>
          <w:p w14:paraId="0B3D497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937FFE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环境监测智能分析-智能报告智能体建设-智能体评估与部署-安全性评测</w:t>
            </w:r>
          </w:p>
        </w:tc>
        <w:tc>
          <w:tcPr>
            <w:tcW w:w="3928" w:type="dxa"/>
            <w:tcBorders>
              <w:top w:val="nil"/>
              <w:left w:val="nil"/>
              <w:bottom w:val="single" w:color="auto" w:sz="4" w:space="0"/>
              <w:right w:val="single" w:color="auto" w:sz="4" w:space="0"/>
            </w:tcBorders>
            <w:vAlign w:val="center"/>
          </w:tcPr>
          <w:p w14:paraId="0461C23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测试敏感数据脱敏、权限控制，通过工具扫描与人工审计确保符合数据安全法规，操作日志保留 2 年。</w:t>
            </w:r>
          </w:p>
        </w:tc>
      </w:tr>
      <w:tr w14:paraId="7A46484A">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85042D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341</w:t>
            </w:r>
          </w:p>
        </w:tc>
        <w:tc>
          <w:tcPr>
            <w:tcW w:w="2028" w:type="dxa"/>
            <w:vMerge w:val="continue"/>
            <w:tcBorders>
              <w:top w:val="nil"/>
              <w:left w:val="single" w:color="auto" w:sz="4" w:space="0"/>
              <w:bottom w:val="single" w:color="000000" w:sz="4" w:space="0"/>
              <w:right w:val="single" w:color="auto" w:sz="4" w:space="0"/>
            </w:tcBorders>
            <w:vAlign w:val="center"/>
          </w:tcPr>
          <w:p w14:paraId="3A20869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CD77AD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环境监测智能分析-智能报告智能体建设-智能体评估与部署-智能体部署</w:t>
            </w:r>
          </w:p>
        </w:tc>
        <w:tc>
          <w:tcPr>
            <w:tcW w:w="3928" w:type="dxa"/>
            <w:tcBorders>
              <w:top w:val="nil"/>
              <w:left w:val="nil"/>
              <w:bottom w:val="single" w:color="auto" w:sz="4" w:space="0"/>
              <w:right w:val="single" w:color="auto" w:sz="4" w:space="0"/>
            </w:tcBorders>
            <w:vAlign w:val="center"/>
          </w:tcPr>
          <w:p w14:paraId="4191325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采用容器化架构部署至平台，配置硬件资源、数据库连接及插件依赖。部署后验证全流程功能，监控运行性能确保稳定。</w:t>
            </w:r>
          </w:p>
        </w:tc>
      </w:tr>
      <w:tr w14:paraId="2771BE4D">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755040A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342</w:t>
            </w:r>
          </w:p>
        </w:tc>
        <w:tc>
          <w:tcPr>
            <w:tcW w:w="2028" w:type="dxa"/>
            <w:vMerge w:val="continue"/>
            <w:tcBorders>
              <w:top w:val="nil"/>
              <w:left w:val="single" w:color="auto" w:sz="4" w:space="0"/>
              <w:bottom w:val="single" w:color="000000" w:sz="4" w:space="0"/>
              <w:right w:val="single" w:color="auto" w:sz="4" w:space="0"/>
            </w:tcBorders>
            <w:vAlign w:val="center"/>
          </w:tcPr>
          <w:p w14:paraId="22CD5DF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B9A02E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环境监测智能分析-智能问屏智能体建设-角色与对话框架设计-角色设定与身份管理</w:t>
            </w:r>
          </w:p>
        </w:tc>
        <w:tc>
          <w:tcPr>
            <w:tcW w:w="3928" w:type="dxa"/>
            <w:tcBorders>
              <w:top w:val="nil"/>
              <w:left w:val="nil"/>
              <w:bottom w:val="single" w:color="auto" w:sz="4" w:space="0"/>
              <w:right w:val="single" w:color="auto" w:sz="4" w:space="0"/>
            </w:tcBorders>
            <w:vAlign w:val="center"/>
          </w:tcPr>
          <w:p w14:paraId="1E6F1B2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智能问屏智能体定位 “场景聚合型决策可视化专家”，针对管理人员与技术人员设计差异化权限。管理人员侧重全域监测态势大屏，数据访问范围为区域汇总数据，大屏复杂度低；技术人员支持深度分析大屏，可访问点位明细数据，大屏含多维度分析组件，覆盖环境监测决策全场景。</w:t>
            </w:r>
          </w:p>
        </w:tc>
      </w:tr>
      <w:tr w14:paraId="444BA553">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19E519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343</w:t>
            </w:r>
          </w:p>
        </w:tc>
        <w:tc>
          <w:tcPr>
            <w:tcW w:w="2028" w:type="dxa"/>
            <w:vMerge w:val="continue"/>
            <w:tcBorders>
              <w:top w:val="nil"/>
              <w:left w:val="single" w:color="auto" w:sz="4" w:space="0"/>
              <w:bottom w:val="single" w:color="000000" w:sz="4" w:space="0"/>
              <w:right w:val="single" w:color="auto" w:sz="4" w:space="0"/>
            </w:tcBorders>
            <w:vAlign w:val="center"/>
          </w:tcPr>
          <w:p w14:paraId="41ADAC0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EAC968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环境监测智能分析-智能问屏智能体建设-角色与对话框架设计-对话流程设计与结构化脚本</w:t>
            </w:r>
          </w:p>
        </w:tc>
        <w:tc>
          <w:tcPr>
            <w:tcW w:w="3928" w:type="dxa"/>
            <w:tcBorders>
              <w:top w:val="nil"/>
              <w:left w:val="nil"/>
              <w:bottom w:val="single" w:color="auto" w:sz="4" w:space="0"/>
              <w:right w:val="single" w:color="auto" w:sz="4" w:space="0"/>
            </w:tcBorders>
            <w:vAlign w:val="center"/>
          </w:tcPr>
          <w:p w14:paraId="7E169B2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涵盖用户指令输入、意图识别、数据聚合、布局规划、大屏渲染全链路。大气大屏含实时浓度、趋势变化、风险预警模块；水环境大屏关联断面分布、指标对比逻辑；声环境大屏包含功能区达标率、噪声源分布等，配套细分场景处理机制。</w:t>
            </w:r>
          </w:p>
        </w:tc>
      </w:tr>
      <w:tr w14:paraId="10E881A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5123FC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344</w:t>
            </w:r>
          </w:p>
        </w:tc>
        <w:tc>
          <w:tcPr>
            <w:tcW w:w="2028" w:type="dxa"/>
            <w:vMerge w:val="continue"/>
            <w:tcBorders>
              <w:top w:val="nil"/>
              <w:left w:val="single" w:color="auto" w:sz="4" w:space="0"/>
              <w:bottom w:val="single" w:color="000000" w:sz="4" w:space="0"/>
              <w:right w:val="single" w:color="auto" w:sz="4" w:space="0"/>
            </w:tcBorders>
            <w:vAlign w:val="center"/>
          </w:tcPr>
          <w:p w14:paraId="4825EBA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1CEDD4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环境监测智能分析-智能问屏智能体建设-能力构建与流程编排-提示词工程</w:t>
            </w:r>
          </w:p>
        </w:tc>
        <w:tc>
          <w:tcPr>
            <w:tcW w:w="3928" w:type="dxa"/>
            <w:tcBorders>
              <w:top w:val="nil"/>
              <w:left w:val="nil"/>
              <w:bottom w:val="single" w:color="auto" w:sz="4" w:space="0"/>
              <w:right w:val="single" w:color="auto" w:sz="4" w:space="0"/>
            </w:tcBorders>
            <w:vAlign w:val="center"/>
          </w:tcPr>
          <w:p w14:paraId="280CDF8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 6 大领域设计多层次指令模板，支持参数化调整。通过动态优化机制迭代模板，结合用户反馈调整关键词权重，确保提示词适配各类大屏生成场景。</w:t>
            </w:r>
          </w:p>
        </w:tc>
      </w:tr>
      <w:tr w14:paraId="6769113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2C3D42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345</w:t>
            </w:r>
          </w:p>
        </w:tc>
        <w:tc>
          <w:tcPr>
            <w:tcW w:w="2028" w:type="dxa"/>
            <w:vMerge w:val="continue"/>
            <w:tcBorders>
              <w:top w:val="nil"/>
              <w:left w:val="single" w:color="auto" w:sz="4" w:space="0"/>
              <w:bottom w:val="single" w:color="000000" w:sz="4" w:space="0"/>
              <w:right w:val="single" w:color="auto" w:sz="4" w:space="0"/>
            </w:tcBorders>
            <w:vAlign w:val="center"/>
          </w:tcPr>
          <w:p w14:paraId="6DAF34E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58EA15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环境监测智能分析-智能问屏智能体建设-能力构建与流程编排-知识工程</w:t>
            </w:r>
          </w:p>
        </w:tc>
        <w:tc>
          <w:tcPr>
            <w:tcW w:w="3928" w:type="dxa"/>
            <w:tcBorders>
              <w:top w:val="nil"/>
              <w:left w:val="nil"/>
              <w:bottom w:val="single" w:color="auto" w:sz="4" w:space="0"/>
              <w:right w:val="single" w:color="auto" w:sz="4" w:space="0"/>
            </w:tcBorders>
            <w:vAlign w:val="center"/>
          </w:tcPr>
          <w:p w14:paraId="7BCFA13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知识工程：构建含大屏布局模板、数据关联规则的知识库，整合测试数据，建立用户需求 - 组件类型 - 数据维度映射关系，维护环境领域术语库。</w:t>
            </w:r>
          </w:p>
        </w:tc>
      </w:tr>
      <w:tr w14:paraId="5CF18359">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4C5B75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346</w:t>
            </w:r>
          </w:p>
        </w:tc>
        <w:tc>
          <w:tcPr>
            <w:tcW w:w="2028" w:type="dxa"/>
            <w:vMerge w:val="continue"/>
            <w:tcBorders>
              <w:top w:val="nil"/>
              <w:left w:val="single" w:color="auto" w:sz="4" w:space="0"/>
              <w:bottom w:val="single" w:color="000000" w:sz="4" w:space="0"/>
              <w:right w:val="single" w:color="auto" w:sz="4" w:space="0"/>
            </w:tcBorders>
            <w:vAlign w:val="center"/>
          </w:tcPr>
          <w:p w14:paraId="7017F22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1B0AE2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环境监测智能分析-智能问屏智能体建设-能力构建与流程编排-工具开发及框架集成</w:t>
            </w:r>
          </w:p>
        </w:tc>
        <w:tc>
          <w:tcPr>
            <w:tcW w:w="3928" w:type="dxa"/>
            <w:tcBorders>
              <w:top w:val="nil"/>
              <w:left w:val="nil"/>
              <w:bottom w:val="single" w:color="auto" w:sz="4" w:space="0"/>
              <w:right w:val="single" w:color="auto" w:sz="4" w:space="0"/>
            </w:tcBorders>
            <w:vAlign w:val="center"/>
          </w:tcPr>
          <w:p w14:paraId="521724F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定制意图识别、大屏布局、异步渲染等插件，集成至 MAP 平台，与数据接入、图表呈现插件协同调试，实现专业图表生成。</w:t>
            </w:r>
          </w:p>
        </w:tc>
      </w:tr>
      <w:tr w14:paraId="56615DC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848DDF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347</w:t>
            </w:r>
          </w:p>
        </w:tc>
        <w:tc>
          <w:tcPr>
            <w:tcW w:w="2028" w:type="dxa"/>
            <w:vMerge w:val="continue"/>
            <w:tcBorders>
              <w:top w:val="nil"/>
              <w:left w:val="single" w:color="auto" w:sz="4" w:space="0"/>
              <w:bottom w:val="single" w:color="000000" w:sz="4" w:space="0"/>
              <w:right w:val="single" w:color="auto" w:sz="4" w:space="0"/>
            </w:tcBorders>
            <w:vAlign w:val="center"/>
          </w:tcPr>
          <w:p w14:paraId="5E778D5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B76292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环境监测智能分析-智能问屏智能体建设-能力构建与流程编排-流程编排与逻辑控制</w:t>
            </w:r>
          </w:p>
        </w:tc>
        <w:tc>
          <w:tcPr>
            <w:tcW w:w="3928" w:type="dxa"/>
            <w:tcBorders>
              <w:top w:val="nil"/>
              <w:left w:val="nil"/>
              <w:bottom w:val="single" w:color="auto" w:sz="4" w:space="0"/>
              <w:right w:val="single" w:color="auto" w:sz="4" w:space="0"/>
            </w:tcBorders>
            <w:vAlign w:val="center"/>
          </w:tcPr>
          <w:p w14:paraId="6F16BD1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 MAP 平台设计大屏生成流程，意图识别后触发布局插件，数据聚合完成调用渲染插件。配置分支逻辑，异常时自动切换备用数据源，测试多场景流程组合。</w:t>
            </w:r>
          </w:p>
        </w:tc>
      </w:tr>
      <w:tr w14:paraId="140110B5">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0581C5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348</w:t>
            </w:r>
          </w:p>
        </w:tc>
        <w:tc>
          <w:tcPr>
            <w:tcW w:w="2028" w:type="dxa"/>
            <w:vMerge w:val="continue"/>
            <w:tcBorders>
              <w:top w:val="nil"/>
              <w:left w:val="single" w:color="auto" w:sz="4" w:space="0"/>
              <w:bottom w:val="single" w:color="000000" w:sz="4" w:space="0"/>
              <w:right w:val="single" w:color="auto" w:sz="4" w:space="0"/>
            </w:tcBorders>
            <w:vAlign w:val="center"/>
          </w:tcPr>
          <w:p w14:paraId="7F454A5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042DAA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环境监测智能分析-智能问屏智能体建设-上下文与多轮对话管理-上下文建模与状态管理</w:t>
            </w:r>
          </w:p>
        </w:tc>
        <w:tc>
          <w:tcPr>
            <w:tcW w:w="3928" w:type="dxa"/>
            <w:tcBorders>
              <w:top w:val="nil"/>
              <w:left w:val="nil"/>
              <w:bottom w:val="single" w:color="auto" w:sz="4" w:space="0"/>
              <w:right w:val="single" w:color="auto" w:sz="4" w:space="0"/>
            </w:tcBorders>
            <w:vAlign w:val="center"/>
          </w:tcPr>
          <w:p w14:paraId="3FCC19A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通过会话存储维护多轮上下文，用户先要求 “生成大气大屏”，后续 “添加风速数据” 时自动关联前文时间与区域。实时更新会话状态，支撑跨轮次意图连贯理解。</w:t>
            </w:r>
          </w:p>
        </w:tc>
      </w:tr>
      <w:tr w14:paraId="1FE79565">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7EABEF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349</w:t>
            </w:r>
          </w:p>
        </w:tc>
        <w:tc>
          <w:tcPr>
            <w:tcW w:w="2028" w:type="dxa"/>
            <w:vMerge w:val="continue"/>
            <w:tcBorders>
              <w:top w:val="nil"/>
              <w:left w:val="single" w:color="auto" w:sz="4" w:space="0"/>
              <w:bottom w:val="single" w:color="000000" w:sz="4" w:space="0"/>
              <w:right w:val="single" w:color="auto" w:sz="4" w:space="0"/>
            </w:tcBorders>
            <w:vAlign w:val="center"/>
          </w:tcPr>
          <w:p w14:paraId="53AC704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95B50B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环境监测智能分析-智能问屏智能体建设-上下文与多轮对话管理-用户画像与长期记忆机制</w:t>
            </w:r>
          </w:p>
        </w:tc>
        <w:tc>
          <w:tcPr>
            <w:tcW w:w="3928" w:type="dxa"/>
            <w:tcBorders>
              <w:top w:val="nil"/>
              <w:left w:val="nil"/>
              <w:bottom w:val="single" w:color="auto" w:sz="4" w:space="0"/>
              <w:right w:val="single" w:color="auto" w:sz="4" w:space="0"/>
            </w:tcBorders>
            <w:vAlign w:val="center"/>
          </w:tcPr>
          <w:p w14:paraId="5F356EC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基于历史操作构建画像，如管理人员常需 “区域排名声环境大屏”，系统优先加载对应模板。长期记忆用户偏好，分析操作记录优化画像精度，提升模板匹配效率。</w:t>
            </w:r>
          </w:p>
        </w:tc>
      </w:tr>
      <w:tr w14:paraId="43119876">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25B1A0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350</w:t>
            </w:r>
          </w:p>
        </w:tc>
        <w:tc>
          <w:tcPr>
            <w:tcW w:w="2028" w:type="dxa"/>
            <w:vMerge w:val="continue"/>
            <w:tcBorders>
              <w:top w:val="nil"/>
              <w:left w:val="single" w:color="auto" w:sz="4" w:space="0"/>
              <w:bottom w:val="single" w:color="000000" w:sz="4" w:space="0"/>
              <w:right w:val="single" w:color="auto" w:sz="4" w:space="0"/>
            </w:tcBorders>
            <w:vAlign w:val="center"/>
          </w:tcPr>
          <w:p w14:paraId="4C01A22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5B6B3C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环境监测智能分析-智能问屏智能体建设-上下文与多轮对话管理-多会话并行与多用户管理</w:t>
            </w:r>
          </w:p>
        </w:tc>
        <w:tc>
          <w:tcPr>
            <w:tcW w:w="3928" w:type="dxa"/>
            <w:tcBorders>
              <w:top w:val="nil"/>
              <w:left w:val="nil"/>
              <w:bottom w:val="single" w:color="auto" w:sz="4" w:space="0"/>
              <w:right w:val="single" w:color="auto" w:sz="4" w:space="0"/>
            </w:tcBorders>
            <w:vAlign w:val="center"/>
          </w:tcPr>
          <w:p w14:paraId="7D1C55B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支持多用户同时发起请求，通过动态线程池与会话隔离避免冲突。按大屏复杂度调度资源，测试 100 并发场景确保响应稳定。</w:t>
            </w:r>
          </w:p>
        </w:tc>
      </w:tr>
      <w:tr w14:paraId="2AA91004">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512C34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351</w:t>
            </w:r>
          </w:p>
        </w:tc>
        <w:tc>
          <w:tcPr>
            <w:tcW w:w="2028" w:type="dxa"/>
            <w:vMerge w:val="continue"/>
            <w:tcBorders>
              <w:top w:val="nil"/>
              <w:left w:val="single" w:color="auto" w:sz="4" w:space="0"/>
              <w:bottom w:val="single" w:color="000000" w:sz="4" w:space="0"/>
              <w:right w:val="single" w:color="auto" w:sz="4" w:space="0"/>
            </w:tcBorders>
            <w:vAlign w:val="center"/>
          </w:tcPr>
          <w:p w14:paraId="0BD96D0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F388C4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环境监测智能分析-智能问屏智能体建设-智能体评估与部署-方案设计</w:t>
            </w:r>
          </w:p>
        </w:tc>
        <w:tc>
          <w:tcPr>
            <w:tcW w:w="3928" w:type="dxa"/>
            <w:tcBorders>
              <w:top w:val="nil"/>
              <w:left w:val="nil"/>
              <w:bottom w:val="single" w:color="auto" w:sz="4" w:space="0"/>
              <w:right w:val="single" w:color="auto" w:sz="4" w:space="0"/>
            </w:tcBorders>
            <w:vAlign w:val="center"/>
          </w:tcPr>
          <w:p w14:paraId="276A0E0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评估方案含功能测试性能测试、兼容性测试。大气大屏测试 “颗粒物雷达图”“源解析热力图” 等专业组件。</w:t>
            </w:r>
          </w:p>
        </w:tc>
      </w:tr>
      <w:tr w14:paraId="7A6A0D37">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2D82B6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352</w:t>
            </w:r>
          </w:p>
        </w:tc>
        <w:tc>
          <w:tcPr>
            <w:tcW w:w="2028" w:type="dxa"/>
            <w:vMerge w:val="continue"/>
            <w:tcBorders>
              <w:top w:val="nil"/>
              <w:left w:val="single" w:color="auto" w:sz="4" w:space="0"/>
              <w:bottom w:val="single" w:color="000000" w:sz="4" w:space="0"/>
              <w:right w:val="single" w:color="auto" w:sz="4" w:space="0"/>
            </w:tcBorders>
            <w:vAlign w:val="center"/>
          </w:tcPr>
          <w:p w14:paraId="2A056F2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D86CEA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环境监测智能分析-智能问屏智能体建设-智能体评估与部署-可用性评测</w:t>
            </w:r>
          </w:p>
        </w:tc>
        <w:tc>
          <w:tcPr>
            <w:tcW w:w="3928" w:type="dxa"/>
            <w:tcBorders>
              <w:top w:val="nil"/>
              <w:left w:val="nil"/>
              <w:bottom w:val="single" w:color="auto" w:sz="4" w:space="0"/>
              <w:right w:val="single" w:color="auto" w:sz="4" w:space="0"/>
            </w:tcBorders>
            <w:vAlign w:val="center"/>
          </w:tcPr>
          <w:p w14:paraId="27B2336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邀请用户实测，收集对大屏布局合理性、交互便捷性的反馈，通过问卷与行为分析识别问题，优化组件排列与操作逻辑。</w:t>
            </w:r>
          </w:p>
        </w:tc>
      </w:tr>
      <w:tr w14:paraId="4D8D3CD8">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189F64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353</w:t>
            </w:r>
          </w:p>
        </w:tc>
        <w:tc>
          <w:tcPr>
            <w:tcW w:w="2028" w:type="dxa"/>
            <w:vMerge w:val="continue"/>
            <w:tcBorders>
              <w:top w:val="nil"/>
              <w:left w:val="single" w:color="auto" w:sz="4" w:space="0"/>
              <w:bottom w:val="single" w:color="000000" w:sz="4" w:space="0"/>
              <w:right w:val="single" w:color="auto" w:sz="4" w:space="0"/>
            </w:tcBorders>
            <w:vAlign w:val="center"/>
          </w:tcPr>
          <w:p w14:paraId="34BA196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26C3CF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环境监测智能分析-智能问屏智能体建设-智能体评估与部署-安全性评测</w:t>
            </w:r>
          </w:p>
        </w:tc>
        <w:tc>
          <w:tcPr>
            <w:tcW w:w="3928" w:type="dxa"/>
            <w:tcBorders>
              <w:top w:val="nil"/>
              <w:left w:val="nil"/>
              <w:bottom w:val="single" w:color="auto" w:sz="4" w:space="0"/>
              <w:right w:val="single" w:color="auto" w:sz="4" w:space="0"/>
            </w:tcBorders>
            <w:vAlign w:val="center"/>
          </w:tcPr>
          <w:p w14:paraId="6D6B6EF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测试敏感信息脱敏、权限控制、渲染内容防篡改。模拟攻击场景，工具扫描与人工渗透确保合规。</w:t>
            </w:r>
          </w:p>
        </w:tc>
      </w:tr>
      <w:tr w14:paraId="4C943EB8">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E64040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354</w:t>
            </w:r>
          </w:p>
        </w:tc>
        <w:tc>
          <w:tcPr>
            <w:tcW w:w="2028" w:type="dxa"/>
            <w:vMerge w:val="continue"/>
            <w:tcBorders>
              <w:top w:val="nil"/>
              <w:left w:val="single" w:color="auto" w:sz="4" w:space="0"/>
              <w:bottom w:val="single" w:color="000000" w:sz="4" w:space="0"/>
              <w:right w:val="single" w:color="auto" w:sz="4" w:space="0"/>
            </w:tcBorders>
            <w:vAlign w:val="center"/>
          </w:tcPr>
          <w:p w14:paraId="1DFA9CE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2619A5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环境监测智能分析-智能问屏智能体建设-智能体评估与部署-智能体部署</w:t>
            </w:r>
          </w:p>
        </w:tc>
        <w:tc>
          <w:tcPr>
            <w:tcW w:w="3928" w:type="dxa"/>
            <w:tcBorders>
              <w:top w:val="nil"/>
              <w:left w:val="nil"/>
              <w:bottom w:val="single" w:color="auto" w:sz="4" w:space="0"/>
              <w:right w:val="single" w:color="auto" w:sz="4" w:space="0"/>
            </w:tcBorders>
            <w:vAlign w:val="center"/>
          </w:tcPr>
          <w:p w14:paraId="656AC85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部署至平台，配置 GPU 资源、数据库连接及插件依赖，验证全流程功能，灰度发布后监控响应时间与资源占用，保障稳定运行。</w:t>
            </w:r>
          </w:p>
        </w:tc>
      </w:tr>
      <w:tr w14:paraId="67FF8F3D">
        <w:tblPrEx>
          <w:tblCellMar>
            <w:top w:w="0" w:type="dxa"/>
            <w:left w:w="108" w:type="dxa"/>
            <w:bottom w:w="0" w:type="dxa"/>
            <w:right w:w="108" w:type="dxa"/>
          </w:tblCellMar>
        </w:tblPrEx>
        <w:trPr>
          <w:trHeight w:val="1020" w:hRule="atLeast"/>
        </w:trPr>
        <w:tc>
          <w:tcPr>
            <w:tcW w:w="704" w:type="dxa"/>
            <w:tcBorders>
              <w:top w:val="nil"/>
              <w:left w:val="single" w:color="auto" w:sz="4" w:space="0"/>
              <w:bottom w:val="single" w:color="auto" w:sz="4" w:space="0"/>
              <w:right w:val="single" w:color="auto" w:sz="4" w:space="0"/>
            </w:tcBorders>
            <w:noWrap/>
            <w:vAlign w:val="center"/>
          </w:tcPr>
          <w:p w14:paraId="6E36EA8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355</w:t>
            </w:r>
          </w:p>
        </w:tc>
        <w:tc>
          <w:tcPr>
            <w:tcW w:w="2028" w:type="dxa"/>
            <w:vMerge w:val="continue"/>
            <w:tcBorders>
              <w:top w:val="nil"/>
              <w:left w:val="single" w:color="auto" w:sz="4" w:space="0"/>
              <w:bottom w:val="single" w:color="000000" w:sz="4" w:space="0"/>
              <w:right w:val="single" w:color="auto" w:sz="4" w:space="0"/>
            </w:tcBorders>
            <w:vAlign w:val="center"/>
          </w:tcPr>
          <w:p w14:paraId="4BCFA35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7BA354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环境监测智能分析-智能会商智能体建设-角色与对话框架设计-角色设定与身份管理</w:t>
            </w:r>
          </w:p>
        </w:tc>
        <w:tc>
          <w:tcPr>
            <w:tcW w:w="3928" w:type="dxa"/>
            <w:tcBorders>
              <w:top w:val="nil"/>
              <w:left w:val="nil"/>
              <w:bottom w:val="single" w:color="auto" w:sz="4" w:space="0"/>
              <w:right w:val="single" w:color="auto" w:sz="4" w:space="0"/>
            </w:tcBorders>
            <w:vAlign w:val="center"/>
          </w:tcPr>
          <w:p w14:paraId="3D9A6AC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智能会商智能体定位 “高效协同的环境决策参谋”，针对管理人员与技术人员设计差异化权限。管理人员侧重会商概况与决策支持，数据访问范围为汇总分析结果，参与流程限于结论审议；技术人员侧重数据严谨性与深度分析，可访问全量数据，参与全流程，覆盖环境监测会商场景。</w:t>
            </w:r>
          </w:p>
        </w:tc>
      </w:tr>
      <w:tr w14:paraId="0D49593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226F86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356</w:t>
            </w:r>
          </w:p>
        </w:tc>
        <w:tc>
          <w:tcPr>
            <w:tcW w:w="2028" w:type="dxa"/>
            <w:vMerge w:val="continue"/>
            <w:tcBorders>
              <w:top w:val="nil"/>
              <w:left w:val="single" w:color="auto" w:sz="4" w:space="0"/>
              <w:bottom w:val="single" w:color="000000" w:sz="4" w:space="0"/>
              <w:right w:val="single" w:color="auto" w:sz="4" w:space="0"/>
            </w:tcBorders>
            <w:vAlign w:val="center"/>
          </w:tcPr>
          <w:p w14:paraId="3C14F1D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A8FB90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环境监测智能分析-智能会商智能体建设-角色与对话框架设计-对话流程设计与结构化脚本</w:t>
            </w:r>
          </w:p>
        </w:tc>
        <w:tc>
          <w:tcPr>
            <w:tcW w:w="3928" w:type="dxa"/>
            <w:tcBorders>
              <w:top w:val="nil"/>
              <w:left w:val="nil"/>
              <w:bottom w:val="single" w:color="auto" w:sz="4" w:space="0"/>
              <w:right w:val="single" w:color="auto" w:sz="4" w:space="0"/>
            </w:tcBorders>
            <w:vAlign w:val="center"/>
          </w:tcPr>
          <w:p w14:paraId="46BAF4A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涵盖用户指令输入、意图识别、数据整理、趋势分析、预测研判、结果展示全链路。为大气污染物分析等场景编写脚本，“区域污染溯源” 含数据筛选、时空关联、源解析模块，配套意图识别与异常处理机制，保障流程顺畅。</w:t>
            </w:r>
          </w:p>
        </w:tc>
      </w:tr>
      <w:tr w14:paraId="633A14B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1F0F1B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357</w:t>
            </w:r>
          </w:p>
        </w:tc>
        <w:tc>
          <w:tcPr>
            <w:tcW w:w="2028" w:type="dxa"/>
            <w:vMerge w:val="continue"/>
            <w:tcBorders>
              <w:top w:val="nil"/>
              <w:left w:val="single" w:color="auto" w:sz="4" w:space="0"/>
              <w:bottom w:val="single" w:color="000000" w:sz="4" w:space="0"/>
              <w:right w:val="single" w:color="auto" w:sz="4" w:space="0"/>
            </w:tcBorders>
            <w:vAlign w:val="center"/>
          </w:tcPr>
          <w:p w14:paraId="2376E08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290D1C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环境监测智能分析-智能会商智能体建设-能力构建与流程编排-提示词工程</w:t>
            </w:r>
          </w:p>
        </w:tc>
        <w:tc>
          <w:tcPr>
            <w:tcW w:w="3928" w:type="dxa"/>
            <w:tcBorders>
              <w:top w:val="nil"/>
              <w:left w:val="nil"/>
              <w:bottom w:val="single" w:color="auto" w:sz="4" w:space="0"/>
              <w:right w:val="single" w:color="auto" w:sz="4" w:space="0"/>
            </w:tcBorders>
            <w:vAlign w:val="center"/>
          </w:tcPr>
          <w:p w14:paraId="28CD336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开展深度优化，梳理指标、时间、空间等核心关键词，采用结构化框架，设计多轮交互话术引导完善指令，建立覆盖会商场景的测试集，通过反馈持续迭代调整关键词权重与结构。</w:t>
            </w:r>
          </w:p>
        </w:tc>
      </w:tr>
      <w:tr w14:paraId="7AC91AAA">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63A8F7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358</w:t>
            </w:r>
          </w:p>
        </w:tc>
        <w:tc>
          <w:tcPr>
            <w:tcW w:w="2028" w:type="dxa"/>
            <w:vMerge w:val="continue"/>
            <w:tcBorders>
              <w:top w:val="nil"/>
              <w:left w:val="single" w:color="auto" w:sz="4" w:space="0"/>
              <w:bottom w:val="single" w:color="000000" w:sz="4" w:space="0"/>
              <w:right w:val="single" w:color="auto" w:sz="4" w:space="0"/>
            </w:tcBorders>
            <w:vAlign w:val="center"/>
          </w:tcPr>
          <w:p w14:paraId="4F9DDAC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5DE363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环境监测智能分析-智能会商智能体建设-能力构建与流程编排-知识工程</w:t>
            </w:r>
          </w:p>
        </w:tc>
        <w:tc>
          <w:tcPr>
            <w:tcW w:w="3928" w:type="dxa"/>
            <w:tcBorders>
              <w:top w:val="nil"/>
              <w:left w:val="nil"/>
              <w:bottom w:val="single" w:color="auto" w:sz="4" w:space="0"/>
              <w:right w:val="single" w:color="auto" w:sz="4" w:space="0"/>
            </w:tcBorders>
            <w:vAlign w:val="center"/>
          </w:tcPr>
          <w:p w14:paraId="68D2D1D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构建含环保政策、监测标准、历史案例、数据关联规则的知识库，定期同步最新政策与标准，整合污染物、气象等会商数据，建立用户需求、数据、分析方法的映射关系，支撑会商全流程。</w:t>
            </w:r>
          </w:p>
        </w:tc>
      </w:tr>
      <w:tr w14:paraId="02F8262C">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010EBB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359</w:t>
            </w:r>
          </w:p>
        </w:tc>
        <w:tc>
          <w:tcPr>
            <w:tcW w:w="2028" w:type="dxa"/>
            <w:vMerge w:val="continue"/>
            <w:tcBorders>
              <w:top w:val="nil"/>
              <w:left w:val="single" w:color="auto" w:sz="4" w:space="0"/>
              <w:bottom w:val="single" w:color="000000" w:sz="4" w:space="0"/>
              <w:right w:val="single" w:color="auto" w:sz="4" w:space="0"/>
            </w:tcBorders>
            <w:vAlign w:val="center"/>
          </w:tcPr>
          <w:p w14:paraId="74306E6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109315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环境监测智能分析-智能会商智能体建设-能力构建与流程编排-工具开发及框架集成</w:t>
            </w:r>
          </w:p>
        </w:tc>
        <w:tc>
          <w:tcPr>
            <w:tcW w:w="3928" w:type="dxa"/>
            <w:tcBorders>
              <w:top w:val="nil"/>
              <w:left w:val="nil"/>
              <w:bottom w:val="single" w:color="auto" w:sz="4" w:space="0"/>
              <w:right w:val="single" w:color="auto" w:sz="4" w:space="0"/>
            </w:tcBorders>
            <w:vAlign w:val="center"/>
          </w:tcPr>
          <w:p w14:paraId="58B716F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定制意图识别、会商过程调度等核心插件，集成至系统框架，与数据提取、分析工具协同调试，确保流程衔接顺畅。</w:t>
            </w:r>
          </w:p>
        </w:tc>
      </w:tr>
      <w:tr w14:paraId="25ECF95A">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4DD264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360</w:t>
            </w:r>
          </w:p>
        </w:tc>
        <w:tc>
          <w:tcPr>
            <w:tcW w:w="2028" w:type="dxa"/>
            <w:vMerge w:val="continue"/>
            <w:tcBorders>
              <w:top w:val="nil"/>
              <w:left w:val="single" w:color="auto" w:sz="4" w:space="0"/>
              <w:bottom w:val="single" w:color="000000" w:sz="4" w:space="0"/>
              <w:right w:val="single" w:color="auto" w:sz="4" w:space="0"/>
            </w:tcBorders>
            <w:vAlign w:val="center"/>
          </w:tcPr>
          <w:p w14:paraId="33121F6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94C7AD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环境监测智能分析-智能会商智能体建设-能力构建与流程编排-流程编排与逻辑控制</w:t>
            </w:r>
          </w:p>
        </w:tc>
        <w:tc>
          <w:tcPr>
            <w:tcW w:w="3928" w:type="dxa"/>
            <w:tcBorders>
              <w:top w:val="nil"/>
              <w:left w:val="nil"/>
              <w:bottom w:val="single" w:color="auto" w:sz="4" w:space="0"/>
              <w:right w:val="single" w:color="auto" w:sz="4" w:space="0"/>
            </w:tcBorders>
            <w:vAlign w:val="center"/>
          </w:tcPr>
          <w:p w14:paraId="661099E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基于规则驱动与动态路径规划设计流程，含意图解析、任务分解、工具调用、结果整合，配置分支逻辑与异常处理，支持断点续行。</w:t>
            </w:r>
          </w:p>
        </w:tc>
      </w:tr>
      <w:tr w14:paraId="3D958BD7">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F26C1A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361</w:t>
            </w:r>
          </w:p>
        </w:tc>
        <w:tc>
          <w:tcPr>
            <w:tcW w:w="2028" w:type="dxa"/>
            <w:vMerge w:val="continue"/>
            <w:tcBorders>
              <w:top w:val="nil"/>
              <w:left w:val="single" w:color="auto" w:sz="4" w:space="0"/>
              <w:bottom w:val="single" w:color="000000" w:sz="4" w:space="0"/>
              <w:right w:val="single" w:color="auto" w:sz="4" w:space="0"/>
            </w:tcBorders>
            <w:vAlign w:val="center"/>
          </w:tcPr>
          <w:p w14:paraId="5CDFA98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B76E6E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环境监测智能分析-智能会商智能体建设-上下文与多轮对话管理-上下文建模与状态管理</w:t>
            </w:r>
          </w:p>
        </w:tc>
        <w:tc>
          <w:tcPr>
            <w:tcW w:w="3928" w:type="dxa"/>
            <w:tcBorders>
              <w:top w:val="nil"/>
              <w:left w:val="nil"/>
              <w:bottom w:val="single" w:color="auto" w:sz="4" w:space="0"/>
              <w:right w:val="single" w:color="auto" w:sz="4" w:space="0"/>
            </w:tcBorders>
            <w:vAlign w:val="center"/>
          </w:tcPr>
          <w:p w14:paraId="6B83E28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 BERT-Large 模型维护多轮对话上下文，用户曾查询某区域空气质量，后续会商默认关联该区域，实时更新会话状态，支撑跨轮次意图连贯理解。</w:t>
            </w:r>
          </w:p>
        </w:tc>
      </w:tr>
      <w:tr w14:paraId="0CD77731">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D227F4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362</w:t>
            </w:r>
          </w:p>
        </w:tc>
        <w:tc>
          <w:tcPr>
            <w:tcW w:w="2028" w:type="dxa"/>
            <w:vMerge w:val="continue"/>
            <w:tcBorders>
              <w:top w:val="nil"/>
              <w:left w:val="single" w:color="auto" w:sz="4" w:space="0"/>
              <w:bottom w:val="single" w:color="000000" w:sz="4" w:space="0"/>
              <w:right w:val="single" w:color="auto" w:sz="4" w:space="0"/>
            </w:tcBorders>
            <w:vAlign w:val="center"/>
          </w:tcPr>
          <w:p w14:paraId="1F79041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09F66B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环境监测智能分析-智能会商智能体建设-上下文与多轮对话管理-用户画像与长期记忆机制</w:t>
            </w:r>
          </w:p>
        </w:tc>
        <w:tc>
          <w:tcPr>
            <w:tcW w:w="3928" w:type="dxa"/>
            <w:tcBorders>
              <w:top w:val="nil"/>
              <w:left w:val="nil"/>
              <w:bottom w:val="single" w:color="auto" w:sz="4" w:space="0"/>
              <w:right w:val="single" w:color="auto" w:sz="4" w:space="0"/>
            </w:tcBorders>
            <w:vAlign w:val="center"/>
          </w:tcPr>
          <w:p w14:paraId="7E33307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基于历史会商行为构建画像，如技术人员常关注 “VOCs 与臭氧相关性”，系统优先加载相关数据与方法，长期记忆偏好，分析操作记录优化画像精度。</w:t>
            </w:r>
          </w:p>
        </w:tc>
      </w:tr>
      <w:tr w14:paraId="04B6B0D7">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1043AB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363</w:t>
            </w:r>
          </w:p>
        </w:tc>
        <w:tc>
          <w:tcPr>
            <w:tcW w:w="2028" w:type="dxa"/>
            <w:vMerge w:val="continue"/>
            <w:tcBorders>
              <w:top w:val="nil"/>
              <w:left w:val="single" w:color="auto" w:sz="4" w:space="0"/>
              <w:bottom w:val="single" w:color="000000" w:sz="4" w:space="0"/>
              <w:right w:val="single" w:color="auto" w:sz="4" w:space="0"/>
            </w:tcBorders>
            <w:vAlign w:val="center"/>
          </w:tcPr>
          <w:p w14:paraId="5A4E376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5AF727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环境监测智能分析-智能会商智能体建设-上下文与多轮对话管理-多会话并行与多用户管理</w:t>
            </w:r>
          </w:p>
        </w:tc>
        <w:tc>
          <w:tcPr>
            <w:tcW w:w="3928" w:type="dxa"/>
            <w:tcBorders>
              <w:top w:val="nil"/>
              <w:left w:val="nil"/>
              <w:bottom w:val="single" w:color="auto" w:sz="4" w:space="0"/>
              <w:right w:val="single" w:color="auto" w:sz="4" w:space="0"/>
            </w:tcBorders>
            <w:vAlign w:val="center"/>
          </w:tcPr>
          <w:p w14:paraId="36C6D3C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支持多用户同时发起会商请求，通过动态线程池与会话隔离避免冲突，按会商紧急度调度资源，确保系统稳定运行。</w:t>
            </w:r>
          </w:p>
        </w:tc>
      </w:tr>
      <w:tr w14:paraId="5C49360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FAAE92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364</w:t>
            </w:r>
          </w:p>
        </w:tc>
        <w:tc>
          <w:tcPr>
            <w:tcW w:w="2028" w:type="dxa"/>
            <w:vMerge w:val="continue"/>
            <w:tcBorders>
              <w:top w:val="nil"/>
              <w:left w:val="single" w:color="auto" w:sz="4" w:space="0"/>
              <w:bottom w:val="single" w:color="000000" w:sz="4" w:space="0"/>
              <w:right w:val="single" w:color="auto" w:sz="4" w:space="0"/>
            </w:tcBorders>
            <w:vAlign w:val="center"/>
          </w:tcPr>
          <w:p w14:paraId="0ABEFD6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C0BD42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环境监测智能分析-智能会商智能体建设-智能体评估与部署-方案设计</w:t>
            </w:r>
          </w:p>
        </w:tc>
        <w:tc>
          <w:tcPr>
            <w:tcW w:w="3928" w:type="dxa"/>
            <w:tcBorders>
              <w:top w:val="nil"/>
              <w:left w:val="nil"/>
              <w:bottom w:val="single" w:color="auto" w:sz="4" w:space="0"/>
              <w:right w:val="single" w:color="auto" w:sz="4" w:space="0"/>
            </w:tcBorders>
            <w:vAlign w:val="center"/>
          </w:tcPr>
          <w:p w14:paraId="4CD6821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评估方案含功能测试、性能测试，覆盖各类会商场景用例。</w:t>
            </w:r>
          </w:p>
        </w:tc>
      </w:tr>
      <w:tr w14:paraId="06D0AD4C">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FAA483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365</w:t>
            </w:r>
          </w:p>
        </w:tc>
        <w:tc>
          <w:tcPr>
            <w:tcW w:w="2028" w:type="dxa"/>
            <w:vMerge w:val="continue"/>
            <w:tcBorders>
              <w:top w:val="nil"/>
              <w:left w:val="single" w:color="auto" w:sz="4" w:space="0"/>
              <w:bottom w:val="single" w:color="000000" w:sz="4" w:space="0"/>
              <w:right w:val="single" w:color="auto" w:sz="4" w:space="0"/>
            </w:tcBorders>
            <w:vAlign w:val="center"/>
          </w:tcPr>
          <w:p w14:paraId="42A13D1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EB2B1B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环境监测智能分析-智能会商智能体建设-智能体评估与部署-可用性评测</w:t>
            </w:r>
          </w:p>
        </w:tc>
        <w:tc>
          <w:tcPr>
            <w:tcW w:w="3928" w:type="dxa"/>
            <w:tcBorders>
              <w:top w:val="nil"/>
              <w:left w:val="nil"/>
              <w:bottom w:val="single" w:color="auto" w:sz="4" w:space="0"/>
              <w:right w:val="single" w:color="auto" w:sz="4" w:space="0"/>
            </w:tcBorders>
            <w:vAlign w:val="center"/>
          </w:tcPr>
          <w:p w14:paraId="6857AE9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邀请用户实测，收集对会商流程流畅性、结果实用性的反馈，通过问卷调查与行为分析识别问题，迭代优化功能点。</w:t>
            </w:r>
          </w:p>
        </w:tc>
      </w:tr>
      <w:tr w14:paraId="5F4E8AB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E94EE1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366</w:t>
            </w:r>
          </w:p>
        </w:tc>
        <w:tc>
          <w:tcPr>
            <w:tcW w:w="2028" w:type="dxa"/>
            <w:vMerge w:val="continue"/>
            <w:tcBorders>
              <w:top w:val="nil"/>
              <w:left w:val="single" w:color="auto" w:sz="4" w:space="0"/>
              <w:bottom w:val="single" w:color="000000" w:sz="4" w:space="0"/>
              <w:right w:val="single" w:color="auto" w:sz="4" w:space="0"/>
            </w:tcBorders>
            <w:vAlign w:val="center"/>
          </w:tcPr>
          <w:p w14:paraId="027DB12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B02211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环境监测智能分析-智能会商智能体建设-智能体评估与部署-安全性评测</w:t>
            </w:r>
          </w:p>
        </w:tc>
        <w:tc>
          <w:tcPr>
            <w:tcW w:w="3928" w:type="dxa"/>
            <w:tcBorders>
              <w:top w:val="nil"/>
              <w:left w:val="nil"/>
              <w:bottom w:val="single" w:color="auto" w:sz="4" w:space="0"/>
              <w:right w:val="single" w:color="auto" w:sz="4" w:space="0"/>
            </w:tcBorders>
            <w:vAlign w:val="center"/>
          </w:tcPr>
          <w:p w14:paraId="0BBCA69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测试敏感信息脱敏、权限控制，模拟攻击场景，通过工具扫描与人工渗透测试确保符合数据安全规范。</w:t>
            </w:r>
          </w:p>
        </w:tc>
      </w:tr>
      <w:tr w14:paraId="0D4A4AD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32BCB3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367</w:t>
            </w:r>
          </w:p>
        </w:tc>
        <w:tc>
          <w:tcPr>
            <w:tcW w:w="2028" w:type="dxa"/>
            <w:vMerge w:val="continue"/>
            <w:tcBorders>
              <w:top w:val="nil"/>
              <w:left w:val="single" w:color="auto" w:sz="4" w:space="0"/>
              <w:bottom w:val="single" w:color="000000" w:sz="4" w:space="0"/>
              <w:right w:val="single" w:color="auto" w:sz="4" w:space="0"/>
            </w:tcBorders>
            <w:vAlign w:val="center"/>
          </w:tcPr>
          <w:p w14:paraId="221F12A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D1B9A8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环境监测智能分析-智能会商智能体建设-智能体评估与部署-智能体部署</w:t>
            </w:r>
          </w:p>
        </w:tc>
        <w:tc>
          <w:tcPr>
            <w:tcW w:w="3928" w:type="dxa"/>
            <w:tcBorders>
              <w:top w:val="nil"/>
              <w:left w:val="nil"/>
              <w:bottom w:val="single" w:color="auto" w:sz="4" w:space="0"/>
              <w:right w:val="single" w:color="auto" w:sz="4" w:space="0"/>
            </w:tcBorders>
            <w:vAlign w:val="center"/>
          </w:tcPr>
          <w:p w14:paraId="47045C0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部署至系统平台，配置硬件资源、中间库连接及插件依赖，验证全流程功能，灰度发布后监控运行性能，保障稳定。</w:t>
            </w:r>
          </w:p>
        </w:tc>
      </w:tr>
      <w:tr w14:paraId="384E03C8">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626B21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368</w:t>
            </w:r>
          </w:p>
        </w:tc>
        <w:tc>
          <w:tcPr>
            <w:tcW w:w="2028" w:type="dxa"/>
            <w:vMerge w:val="restart"/>
            <w:tcBorders>
              <w:top w:val="nil"/>
              <w:left w:val="single" w:color="auto" w:sz="4" w:space="0"/>
              <w:bottom w:val="single" w:color="000000" w:sz="4" w:space="0"/>
              <w:right w:val="single" w:color="auto" w:sz="4" w:space="0"/>
            </w:tcBorders>
            <w:vAlign w:val="center"/>
          </w:tcPr>
          <w:p w14:paraId="458BD45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空气质量预报大模型</w:t>
            </w:r>
          </w:p>
        </w:tc>
        <w:tc>
          <w:tcPr>
            <w:tcW w:w="1642" w:type="dxa"/>
            <w:tcBorders>
              <w:top w:val="nil"/>
              <w:left w:val="nil"/>
              <w:bottom w:val="single" w:color="auto" w:sz="4" w:space="0"/>
              <w:right w:val="single" w:color="auto" w:sz="4" w:space="0"/>
            </w:tcBorders>
            <w:vAlign w:val="center"/>
          </w:tcPr>
          <w:p w14:paraId="205E8E6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数据预处理-数据采集-结构化数据采集</w:t>
            </w:r>
          </w:p>
        </w:tc>
        <w:tc>
          <w:tcPr>
            <w:tcW w:w="3928" w:type="dxa"/>
            <w:tcBorders>
              <w:top w:val="nil"/>
              <w:left w:val="nil"/>
              <w:bottom w:val="single" w:color="auto" w:sz="4" w:space="0"/>
              <w:right w:val="single" w:color="auto" w:sz="4" w:space="0"/>
            </w:tcBorders>
            <w:vAlign w:val="center"/>
          </w:tcPr>
          <w:p w14:paraId="668931F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 FTP / HTTPS 定时拉取 ECMWF、NCEP 全球分析场 GRIB2 数据；自动解析要素、层次、时次并写入对象存储。</w:t>
            </w:r>
          </w:p>
        </w:tc>
      </w:tr>
      <w:tr w14:paraId="3B7D506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3F3D49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369</w:t>
            </w:r>
          </w:p>
        </w:tc>
        <w:tc>
          <w:tcPr>
            <w:tcW w:w="2028" w:type="dxa"/>
            <w:vMerge w:val="continue"/>
            <w:tcBorders>
              <w:top w:val="nil"/>
              <w:left w:val="single" w:color="auto" w:sz="4" w:space="0"/>
              <w:bottom w:val="single" w:color="000000" w:sz="4" w:space="0"/>
              <w:right w:val="single" w:color="auto" w:sz="4" w:space="0"/>
            </w:tcBorders>
            <w:vAlign w:val="center"/>
          </w:tcPr>
          <w:p w14:paraId="5C2F82E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5BD3D1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数据预处理-数据采集-非结构化数据采集</w:t>
            </w:r>
          </w:p>
        </w:tc>
        <w:tc>
          <w:tcPr>
            <w:tcW w:w="3928" w:type="dxa"/>
            <w:tcBorders>
              <w:top w:val="nil"/>
              <w:left w:val="nil"/>
              <w:bottom w:val="single" w:color="auto" w:sz="4" w:space="0"/>
              <w:right w:val="single" w:color="auto" w:sz="4" w:space="0"/>
            </w:tcBorders>
            <w:vAlign w:val="center"/>
          </w:tcPr>
          <w:p w14:paraId="67DD9A8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收集 0.25° 地形高度、海陆掩码、植被覆盖等 GeoTIFF / NetCDF 静态地理数据，用于地形修正与边界条件。</w:t>
            </w:r>
          </w:p>
        </w:tc>
      </w:tr>
      <w:tr w14:paraId="6903E70C">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518378A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370</w:t>
            </w:r>
          </w:p>
        </w:tc>
        <w:tc>
          <w:tcPr>
            <w:tcW w:w="2028" w:type="dxa"/>
            <w:vMerge w:val="continue"/>
            <w:tcBorders>
              <w:top w:val="nil"/>
              <w:left w:val="single" w:color="auto" w:sz="4" w:space="0"/>
              <w:bottom w:val="single" w:color="000000" w:sz="4" w:space="0"/>
              <w:right w:val="single" w:color="auto" w:sz="4" w:space="0"/>
            </w:tcBorders>
            <w:vAlign w:val="center"/>
          </w:tcPr>
          <w:p w14:paraId="3BB99A8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A6B104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数据预处理-数据处理-格式规范化</w:t>
            </w:r>
          </w:p>
        </w:tc>
        <w:tc>
          <w:tcPr>
            <w:tcW w:w="3928" w:type="dxa"/>
            <w:tcBorders>
              <w:top w:val="nil"/>
              <w:left w:val="nil"/>
              <w:bottom w:val="single" w:color="auto" w:sz="4" w:space="0"/>
              <w:right w:val="single" w:color="auto" w:sz="4" w:space="0"/>
            </w:tcBorders>
            <w:vAlign w:val="center"/>
          </w:tcPr>
          <w:p w14:paraId="585C53B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将所有 GRIB/NetCDF 统一转码为 Zarr 格式，保证跨平台高效读写。</w:t>
            </w:r>
          </w:p>
        </w:tc>
      </w:tr>
      <w:tr w14:paraId="2AA50994">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55C39C3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371</w:t>
            </w:r>
          </w:p>
        </w:tc>
        <w:tc>
          <w:tcPr>
            <w:tcW w:w="2028" w:type="dxa"/>
            <w:vMerge w:val="continue"/>
            <w:tcBorders>
              <w:top w:val="nil"/>
              <w:left w:val="single" w:color="auto" w:sz="4" w:space="0"/>
              <w:bottom w:val="single" w:color="000000" w:sz="4" w:space="0"/>
              <w:right w:val="single" w:color="auto" w:sz="4" w:space="0"/>
            </w:tcBorders>
            <w:vAlign w:val="center"/>
          </w:tcPr>
          <w:p w14:paraId="4C4CB03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51002D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数据预处理-数据处理-缺失值处理</w:t>
            </w:r>
          </w:p>
        </w:tc>
        <w:tc>
          <w:tcPr>
            <w:tcW w:w="3928" w:type="dxa"/>
            <w:tcBorders>
              <w:top w:val="nil"/>
              <w:left w:val="nil"/>
              <w:bottom w:val="single" w:color="auto" w:sz="4" w:space="0"/>
              <w:right w:val="single" w:color="auto" w:sz="4" w:space="0"/>
            </w:tcBorders>
            <w:vAlign w:val="center"/>
          </w:tcPr>
          <w:p w14:paraId="4249F76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采用插值 + ERA5 背景场替代填补缺测格点。</w:t>
            </w:r>
          </w:p>
        </w:tc>
      </w:tr>
      <w:tr w14:paraId="4279EC77">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86D407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372</w:t>
            </w:r>
          </w:p>
        </w:tc>
        <w:tc>
          <w:tcPr>
            <w:tcW w:w="2028" w:type="dxa"/>
            <w:vMerge w:val="continue"/>
            <w:tcBorders>
              <w:top w:val="nil"/>
              <w:left w:val="single" w:color="auto" w:sz="4" w:space="0"/>
              <w:bottom w:val="single" w:color="000000" w:sz="4" w:space="0"/>
              <w:right w:val="single" w:color="auto" w:sz="4" w:space="0"/>
            </w:tcBorders>
            <w:vAlign w:val="center"/>
          </w:tcPr>
          <w:p w14:paraId="324EFCE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B4A1F4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数据预处理-数据处理-异常值检测与处理</w:t>
            </w:r>
          </w:p>
        </w:tc>
        <w:tc>
          <w:tcPr>
            <w:tcW w:w="3928" w:type="dxa"/>
            <w:tcBorders>
              <w:top w:val="nil"/>
              <w:left w:val="nil"/>
              <w:bottom w:val="single" w:color="auto" w:sz="4" w:space="0"/>
              <w:right w:val="single" w:color="auto" w:sz="4" w:space="0"/>
            </w:tcBorders>
            <w:vAlign w:val="center"/>
          </w:tcPr>
          <w:p w14:paraId="059F11C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 3σ 统计检验 + 相邻时次梯度阈值法标记并替换异常格点。</w:t>
            </w:r>
          </w:p>
        </w:tc>
      </w:tr>
      <w:tr w14:paraId="11CA5F59">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5A715DA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373</w:t>
            </w:r>
          </w:p>
        </w:tc>
        <w:tc>
          <w:tcPr>
            <w:tcW w:w="2028" w:type="dxa"/>
            <w:vMerge w:val="continue"/>
            <w:tcBorders>
              <w:top w:val="nil"/>
              <w:left w:val="single" w:color="auto" w:sz="4" w:space="0"/>
              <w:bottom w:val="single" w:color="000000" w:sz="4" w:space="0"/>
              <w:right w:val="single" w:color="auto" w:sz="4" w:space="0"/>
            </w:tcBorders>
            <w:vAlign w:val="center"/>
          </w:tcPr>
          <w:p w14:paraId="4A22DA5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61FDD9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数据预处理-数据处理-重复数据去重</w:t>
            </w:r>
          </w:p>
        </w:tc>
        <w:tc>
          <w:tcPr>
            <w:tcW w:w="3928" w:type="dxa"/>
            <w:tcBorders>
              <w:top w:val="nil"/>
              <w:left w:val="nil"/>
              <w:bottom w:val="single" w:color="auto" w:sz="4" w:space="0"/>
              <w:right w:val="single" w:color="auto" w:sz="4" w:space="0"/>
            </w:tcBorders>
            <w:vAlign w:val="center"/>
          </w:tcPr>
          <w:p w14:paraId="7F844EA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以 (time, lat, lon, level, variable) 五维键值去重，保证唯一性。</w:t>
            </w:r>
          </w:p>
        </w:tc>
      </w:tr>
      <w:tr w14:paraId="05A8535F">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1BB8846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374</w:t>
            </w:r>
          </w:p>
        </w:tc>
        <w:tc>
          <w:tcPr>
            <w:tcW w:w="2028" w:type="dxa"/>
            <w:vMerge w:val="continue"/>
            <w:tcBorders>
              <w:top w:val="nil"/>
              <w:left w:val="single" w:color="auto" w:sz="4" w:space="0"/>
              <w:bottom w:val="single" w:color="000000" w:sz="4" w:space="0"/>
              <w:right w:val="single" w:color="auto" w:sz="4" w:space="0"/>
            </w:tcBorders>
            <w:vAlign w:val="center"/>
          </w:tcPr>
          <w:p w14:paraId="10BCC15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4529AA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数据预处理-数据处理-噪声数据剔除</w:t>
            </w:r>
          </w:p>
        </w:tc>
        <w:tc>
          <w:tcPr>
            <w:tcW w:w="3928" w:type="dxa"/>
            <w:tcBorders>
              <w:top w:val="nil"/>
              <w:left w:val="nil"/>
              <w:bottom w:val="single" w:color="auto" w:sz="4" w:space="0"/>
              <w:right w:val="single" w:color="auto" w:sz="4" w:space="0"/>
            </w:tcBorders>
            <w:vAlign w:val="center"/>
          </w:tcPr>
          <w:p w14:paraId="60039CE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对数据进行 5×5 高斯滤波平滑，抑制高频噪声。</w:t>
            </w:r>
          </w:p>
        </w:tc>
      </w:tr>
      <w:tr w14:paraId="59D18881">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5930F1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375</w:t>
            </w:r>
          </w:p>
        </w:tc>
        <w:tc>
          <w:tcPr>
            <w:tcW w:w="2028" w:type="dxa"/>
            <w:vMerge w:val="continue"/>
            <w:tcBorders>
              <w:top w:val="nil"/>
              <w:left w:val="single" w:color="auto" w:sz="4" w:space="0"/>
              <w:bottom w:val="single" w:color="000000" w:sz="4" w:space="0"/>
              <w:right w:val="single" w:color="auto" w:sz="4" w:space="0"/>
            </w:tcBorders>
            <w:vAlign w:val="center"/>
          </w:tcPr>
          <w:p w14:paraId="15B7E72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B2BF40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数据预处理-数据处理-数据脱敏与隐私保护</w:t>
            </w:r>
          </w:p>
        </w:tc>
        <w:tc>
          <w:tcPr>
            <w:tcW w:w="3928" w:type="dxa"/>
            <w:tcBorders>
              <w:top w:val="nil"/>
              <w:left w:val="nil"/>
              <w:bottom w:val="single" w:color="auto" w:sz="4" w:space="0"/>
              <w:right w:val="single" w:color="auto" w:sz="4" w:space="0"/>
            </w:tcBorders>
            <w:vAlign w:val="center"/>
          </w:tcPr>
          <w:p w14:paraId="703C714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全球公开数据无敏感信息，仅做来源标识与访问日志脱敏。</w:t>
            </w:r>
          </w:p>
        </w:tc>
      </w:tr>
      <w:tr w14:paraId="445376E7">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566E983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376</w:t>
            </w:r>
          </w:p>
        </w:tc>
        <w:tc>
          <w:tcPr>
            <w:tcW w:w="2028" w:type="dxa"/>
            <w:vMerge w:val="continue"/>
            <w:tcBorders>
              <w:top w:val="nil"/>
              <w:left w:val="single" w:color="auto" w:sz="4" w:space="0"/>
              <w:bottom w:val="single" w:color="000000" w:sz="4" w:space="0"/>
              <w:right w:val="single" w:color="auto" w:sz="4" w:space="0"/>
            </w:tcBorders>
            <w:vAlign w:val="center"/>
          </w:tcPr>
          <w:p w14:paraId="6BD1C67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9B80A0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数据预处理-数据处理-数据类型转换</w:t>
            </w:r>
          </w:p>
        </w:tc>
        <w:tc>
          <w:tcPr>
            <w:tcW w:w="3928" w:type="dxa"/>
            <w:tcBorders>
              <w:top w:val="nil"/>
              <w:left w:val="nil"/>
              <w:bottom w:val="single" w:color="auto" w:sz="4" w:space="0"/>
              <w:right w:val="single" w:color="auto" w:sz="4" w:space="0"/>
            </w:tcBorders>
            <w:vAlign w:val="center"/>
          </w:tcPr>
          <w:p w14:paraId="5465113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统一要素单位为 SI 单位（K、m/s、Pa 等），时间统一为 UTC。</w:t>
            </w:r>
          </w:p>
        </w:tc>
      </w:tr>
      <w:tr w14:paraId="6895843A">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51054DA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377</w:t>
            </w:r>
          </w:p>
        </w:tc>
        <w:tc>
          <w:tcPr>
            <w:tcW w:w="2028" w:type="dxa"/>
            <w:vMerge w:val="continue"/>
            <w:tcBorders>
              <w:top w:val="nil"/>
              <w:left w:val="single" w:color="auto" w:sz="4" w:space="0"/>
              <w:bottom w:val="single" w:color="000000" w:sz="4" w:space="0"/>
              <w:right w:val="single" w:color="auto" w:sz="4" w:space="0"/>
            </w:tcBorders>
            <w:vAlign w:val="center"/>
          </w:tcPr>
          <w:p w14:paraId="5381531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35E700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数据预处理-数据处理-编码标准化</w:t>
            </w:r>
          </w:p>
        </w:tc>
        <w:tc>
          <w:tcPr>
            <w:tcW w:w="3928" w:type="dxa"/>
            <w:tcBorders>
              <w:top w:val="nil"/>
              <w:left w:val="nil"/>
              <w:bottom w:val="single" w:color="auto" w:sz="4" w:space="0"/>
              <w:right w:val="single" w:color="auto" w:sz="4" w:space="0"/>
            </w:tcBorders>
            <w:vAlign w:val="center"/>
          </w:tcPr>
          <w:p w14:paraId="78FBA27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 CF-1.9 标准属性命名，确保跨语言/工具兼容。</w:t>
            </w:r>
          </w:p>
        </w:tc>
      </w:tr>
      <w:tr w14:paraId="0160F86E">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4AFE97C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378</w:t>
            </w:r>
          </w:p>
        </w:tc>
        <w:tc>
          <w:tcPr>
            <w:tcW w:w="2028" w:type="dxa"/>
            <w:vMerge w:val="continue"/>
            <w:tcBorders>
              <w:top w:val="nil"/>
              <w:left w:val="single" w:color="auto" w:sz="4" w:space="0"/>
              <w:bottom w:val="single" w:color="000000" w:sz="4" w:space="0"/>
              <w:right w:val="single" w:color="auto" w:sz="4" w:space="0"/>
            </w:tcBorders>
            <w:vAlign w:val="center"/>
          </w:tcPr>
          <w:p w14:paraId="2411D76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B808A8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数据预处理-接口服务-元数据接口</w:t>
            </w:r>
          </w:p>
        </w:tc>
        <w:tc>
          <w:tcPr>
            <w:tcW w:w="3928" w:type="dxa"/>
            <w:tcBorders>
              <w:top w:val="nil"/>
              <w:left w:val="nil"/>
              <w:bottom w:val="single" w:color="auto" w:sz="4" w:space="0"/>
              <w:right w:val="single" w:color="auto" w:sz="4" w:space="0"/>
            </w:tcBorders>
            <w:vAlign w:val="center"/>
          </w:tcPr>
          <w:p w14:paraId="6D4EC17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提供 RESTful /catalog 接口，返回每个文件的维度、大小、校验码、更新时间。</w:t>
            </w:r>
          </w:p>
        </w:tc>
      </w:tr>
      <w:tr w14:paraId="0F625A98">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002753B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379</w:t>
            </w:r>
          </w:p>
        </w:tc>
        <w:tc>
          <w:tcPr>
            <w:tcW w:w="2028" w:type="dxa"/>
            <w:vMerge w:val="continue"/>
            <w:tcBorders>
              <w:top w:val="nil"/>
              <w:left w:val="single" w:color="auto" w:sz="4" w:space="0"/>
              <w:bottom w:val="single" w:color="000000" w:sz="4" w:space="0"/>
              <w:right w:val="single" w:color="auto" w:sz="4" w:space="0"/>
            </w:tcBorders>
            <w:vAlign w:val="center"/>
          </w:tcPr>
          <w:p w14:paraId="7FC3D02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615356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数据预处理-接口服务-知识库接口</w:t>
            </w:r>
          </w:p>
        </w:tc>
        <w:tc>
          <w:tcPr>
            <w:tcW w:w="3928" w:type="dxa"/>
            <w:tcBorders>
              <w:top w:val="nil"/>
              <w:left w:val="nil"/>
              <w:bottom w:val="single" w:color="auto" w:sz="4" w:space="0"/>
              <w:right w:val="single" w:color="auto" w:sz="4" w:space="0"/>
            </w:tcBorders>
            <w:vAlign w:val="center"/>
          </w:tcPr>
          <w:p w14:paraId="46ADAA1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接口供下游智能体实时查询 0.25° 静态地理信息。</w:t>
            </w:r>
          </w:p>
        </w:tc>
      </w:tr>
      <w:tr w14:paraId="4CF85A8E">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B3A3BD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380</w:t>
            </w:r>
          </w:p>
        </w:tc>
        <w:tc>
          <w:tcPr>
            <w:tcW w:w="2028" w:type="dxa"/>
            <w:vMerge w:val="continue"/>
            <w:tcBorders>
              <w:top w:val="nil"/>
              <w:left w:val="single" w:color="auto" w:sz="4" w:space="0"/>
              <w:bottom w:val="single" w:color="000000" w:sz="4" w:space="0"/>
              <w:right w:val="single" w:color="auto" w:sz="4" w:space="0"/>
            </w:tcBorders>
            <w:vAlign w:val="center"/>
          </w:tcPr>
          <w:p w14:paraId="1416203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FDE9C8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知识库建设-知识建模与组织-知识切片</w:t>
            </w:r>
          </w:p>
        </w:tc>
        <w:tc>
          <w:tcPr>
            <w:tcW w:w="3928" w:type="dxa"/>
            <w:tcBorders>
              <w:top w:val="nil"/>
              <w:left w:val="nil"/>
              <w:bottom w:val="single" w:color="auto" w:sz="4" w:space="0"/>
              <w:right w:val="single" w:color="auto" w:sz="4" w:space="0"/>
            </w:tcBorders>
            <w:vAlign w:val="center"/>
          </w:tcPr>
          <w:p w14:paraId="0A28740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通过NLP与规则引擎，对气象与污染物相关的多源数据（站点监测数据、监测报告、科研文献等）进行语义切片，将污染物浓度、排放清单、气象因子等实体切分为可管理的知识单元，便于后续检索、推理和更新。</w:t>
            </w:r>
          </w:p>
        </w:tc>
      </w:tr>
      <w:tr w14:paraId="40EE7962">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EB6D8E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381</w:t>
            </w:r>
          </w:p>
        </w:tc>
        <w:tc>
          <w:tcPr>
            <w:tcW w:w="2028" w:type="dxa"/>
            <w:vMerge w:val="continue"/>
            <w:tcBorders>
              <w:top w:val="nil"/>
              <w:left w:val="single" w:color="auto" w:sz="4" w:space="0"/>
              <w:bottom w:val="single" w:color="000000" w:sz="4" w:space="0"/>
              <w:right w:val="single" w:color="auto" w:sz="4" w:space="0"/>
            </w:tcBorders>
            <w:vAlign w:val="center"/>
          </w:tcPr>
          <w:p w14:paraId="77ABA4D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EDF388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知识库建设-知识建模与组织-元信息标注</w:t>
            </w:r>
          </w:p>
        </w:tc>
        <w:tc>
          <w:tcPr>
            <w:tcW w:w="3928" w:type="dxa"/>
            <w:tcBorders>
              <w:top w:val="nil"/>
              <w:left w:val="nil"/>
              <w:bottom w:val="single" w:color="auto" w:sz="4" w:space="0"/>
              <w:right w:val="single" w:color="auto" w:sz="4" w:space="0"/>
            </w:tcBorders>
            <w:vAlign w:val="center"/>
          </w:tcPr>
          <w:p w14:paraId="2489437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为切片知识单元添加标准化元信息，包括时间戳、数据来源、质量评估标签、语义标签、版本号等，实现跨模态数据的快速检索与精确溯源。</w:t>
            </w:r>
          </w:p>
        </w:tc>
      </w:tr>
      <w:tr w14:paraId="372D04A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7B38B2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382</w:t>
            </w:r>
          </w:p>
        </w:tc>
        <w:tc>
          <w:tcPr>
            <w:tcW w:w="2028" w:type="dxa"/>
            <w:vMerge w:val="continue"/>
            <w:tcBorders>
              <w:top w:val="nil"/>
              <w:left w:val="single" w:color="auto" w:sz="4" w:space="0"/>
              <w:bottom w:val="single" w:color="000000" w:sz="4" w:space="0"/>
              <w:right w:val="single" w:color="auto" w:sz="4" w:space="0"/>
            </w:tcBorders>
            <w:vAlign w:val="center"/>
          </w:tcPr>
          <w:p w14:paraId="5DEF30B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C2D920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知识库建设-知识建模与组织-知识图谱建模</w:t>
            </w:r>
          </w:p>
        </w:tc>
        <w:tc>
          <w:tcPr>
            <w:tcW w:w="3928" w:type="dxa"/>
            <w:tcBorders>
              <w:top w:val="nil"/>
              <w:left w:val="nil"/>
              <w:bottom w:val="single" w:color="auto" w:sz="4" w:space="0"/>
              <w:right w:val="single" w:color="auto" w:sz="4" w:space="0"/>
            </w:tcBorders>
            <w:vAlign w:val="center"/>
          </w:tcPr>
          <w:p w14:paraId="3B473E4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基于时空图结构构建气象-污染物动态知识图谱，融合多模态节点及时空约束条件等边属性，支持跨域关联推理、多版本回溯及协同计算，为污染溯源和预报提供支撑。</w:t>
            </w:r>
          </w:p>
        </w:tc>
      </w:tr>
      <w:tr w14:paraId="1066F2A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5196DB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383</w:t>
            </w:r>
          </w:p>
        </w:tc>
        <w:tc>
          <w:tcPr>
            <w:tcW w:w="2028" w:type="dxa"/>
            <w:vMerge w:val="continue"/>
            <w:tcBorders>
              <w:top w:val="nil"/>
              <w:left w:val="single" w:color="auto" w:sz="4" w:space="0"/>
              <w:bottom w:val="single" w:color="000000" w:sz="4" w:space="0"/>
              <w:right w:val="single" w:color="auto" w:sz="4" w:space="0"/>
            </w:tcBorders>
            <w:vAlign w:val="center"/>
          </w:tcPr>
          <w:p w14:paraId="4B92CB8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997409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知识库建设-知识建模与组织-知识抽取</w:t>
            </w:r>
          </w:p>
        </w:tc>
        <w:tc>
          <w:tcPr>
            <w:tcW w:w="3928" w:type="dxa"/>
            <w:tcBorders>
              <w:top w:val="nil"/>
              <w:left w:val="nil"/>
              <w:bottom w:val="single" w:color="auto" w:sz="4" w:space="0"/>
              <w:right w:val="single" w:color="auto" w:sz="4" w:space="0"/>
            </w:tcBorders>
            <w:vAlign w:val="center"/>
          </w:tcPr>
          <w:p w14:paraId="1A963B2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通过时空对齐与语义解析，从文本、影像和传感器数据中自动抽取气象因子与污染物扩散的因果关系，构建多维图结构表示动态关系网络。</w:t>
            </w:r>
          </w:p>
        </w:tc>
      </w:tr>
      <w:tr w14:paraId="538B6C5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878853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384</w:t>
            </w:r>
          </w:p>
        </w:tc>
        <w:tc>
          <w:tcPr>
            <w:tcW w:w="2028" w:type="dxa"/>
            <w:vMerge w:val="continue"/>
            <w:tcBorders>
              <w:top w:val="nil"/>
              <w:left w:val="single" w:color="auto" w:sz="4" w:space="0"/>
              <w:bottom w:val="single" w:color="000000" w:sz="4" w:space="0"/>
              <w:right w:val="single" w:color="auto" w:sz="4" w:space="0"/>
            </w:tcBorders>
            <w:vAlign w:val="center"/>
          </w:tcPr>
          <w:p w14:paraId="229BEC9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2D14E7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知识库建设-知识建模与组织-知识增强</w:t>
            </w:r>
          </w:p>
        </w:tc>
        <w:tc>
          <w:tcPr>
            <w:tcW w:w="3928" w:type="dxa"/>
            <w:tcBorders>
              <w:top w:val="nil"/>
              <w:left w:val="nil"/>
              <w:bottom w:val="single" w:color="auto" w:sz="4" w:space="0"/>
              <w:right w:val="single" w:color="auto" w:sz="4" w:space="0"/>
            </w:tcBorders>
            <w:vAlign w:val="center"/>
          </w:tcPr>
          <w:p w14:paraId="42BC796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利用多模态深度学习将气象格点、污染物时序数据、文本报告等统一编码为语义向量，并与图数据库、向量数据库混合存储，实现高效检索与模型优化支持。</w:t>
            </w:r>
          </w:p>
        </w:tc>
      </w:tr>
      <w:tr w14:paraId="1789D6E1">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6C9323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385</w:t>
            </w:r>
          </w:p>
        </w:tc>
        <w:tc>
          <w:tcPr>
            <w:tcW w:w="2028" w:type="dxa"/>
            <w:vMerge w:val="continue"/>
            <w:tcBorders>
              <w:top w:val="nil"/>
              <w:left w:val="single" w:color="auto" w:sz="4" w:space="0"/>
              <w:bottom w:val="single" w:color="000000" w:sz="4" w:space="0"/>
              <w:right w:val="single" w:color="auto" w:sz="4" w:space="0"/>
            </w:tcBorders>
            <w:vAlign w:val="center"/>
          </w:tcPr>
          <w:p w14:paraId="0F97EFD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2D9347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知识库建设-知识更新与进化-变更检测与版本管理</w:t>
            </w:r>
          </w:p>
        </w:tc>
        <w:tc>
          <w:tcPr>
            <w:tcW w:w="3928" w:type="dxa"/>
            <w:tcBorders>
              <w:top w:val="nil"/>
              <w:left w:val="nil"/>
              <w:bottom w:val="single" w:color="auto" w:sz="4" w:space="0"/>
              <w:right w:val="single" w:color="auto" w:sz="4" w:space="0"/>
            </w:tcBorders>
            <w:vAlign w:val="center"/>
          </w:tcPr>
          <w:p w14:paraId="71BDC05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建立自动化校验机制，实时监测气象数据更新、污染源清单更新、模型参数变更等事件，生成版本快照并维护时间戳索引，支持周期性更新与应急版本切换。</w:t>
            </w:r>
          </w:p>
        </w:tc>
      </w:tr>
      <w:tr w14:paraId="749B0168">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E052B9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386</w:t>
            </w:r>
          </w:p>
        </w:tc>
        <w:tc>
          <w:tcPr>
            <w:tcW w:w="2028" w:type="dxa"/>
            <w:vMerge w:val="continue"/>
            <w:tcBorders>
              <w:top w:val="nil"/>
              <w:left w:val="single" w:color="auto" w:sz="4" w:space="0"/>
              <w:bottom w:val="single" w:color="000000" w:sz="4" w:space="0"/>
              <w:right w:val="single" w:color="auto" w:sz="4" w:space="0"/>
            </w:tcBorders>
            <w:vAlign w:val="center"/>
          </w:tcPr>
          <w:p w14:paraId="4766F08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325C08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知识库建设-知识更新与进化-用户行为驱动进化</w:t>
            </w:r>
          </w:p>
        </w:tc>
        <w:tc>
          <w:tcPr>
            <w:tcW w:w="3928" w:type="dxa"/>
            <w:tcBorders>
              <w:top w:val="nil"/>
              <w:left w:val="nil"/>
              <w:bottom w:val="single" w:color="auto" w:sz="4" w:space="0"/>
              <w:right w:val="single" w:color="auto" w:sz="4" w:space="0"/>
            </w:tcBorders>
            <w:vAlign w:val="center"/>
          </w:tcPr>
          <w:p w14:paraId="6A59082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收集用户在检索、推理和结果使用过程中的行为数据（如检索频次、查询类型、反馈标注等），结合模型评估结果，动态调整知识图谱结构、检索策略与推理规则，实现知识库的自适应进化。</w:t>
            </w:r>
          </w:p>
        </w:tc>
      </w:tr>
      <w:tr w14:paraId="451495E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991DDE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387</w:t>
            </w:r>
          </w:p>
        </w:tc>
        <w:tc>
          <w:tcPr>
            <w:tcW w:w="2028" w:type="dxa"/>
            <w:vMerge w:val="continue"/>
            <w:tcBorders>
              <w:top w:val="nil"/>
              <w:left w:val="single" w:color="auto" w:sz="4" w:space="0"/>
              <w:bottom w:val="single" w:color="000000" w:sz="4" w:space="0"/>
              <w:right w:val="single" w:color="auto" w:sz="4" w:space="0"/>
            </w:tcBorders>
            <w:vAlign w:val="center"/>
          </w:tcPr>
          <w:p w14:paraId="6BFBC3B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48FE54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知识库建设-知识质量与安全-质量检查</w:t>
            </w:r>
          </w:p>
        </w:tc>
        <w:tc>
          <w:tcPr>
            <w:tcW w:w="3928" w:type="dxa"/>
            <w:tcBorders>
              <w:top w:val="nil"/>
              <w:left w:val="nil"/>
              <w:bottom w:val="single" w:color="auto" w:sz="4" w:space="0"/>
              <w:right w:val="single" w:color="auto" w:sz="4" w:space="0"/>
            </w:tcBorders>
            <w:vAlign w:val="center"/>
          </w:tcPr>
          <w:p w14:paraId="0F5B854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定期巡检多源数据的一致性、完整性与准确性，通过数据同化技术比对模型预测结果与实测数据差异，及时修正异常并记录质量报告。</w:t>
            </w:r>
          </w:p>
        </w:tc>
      </w:tr>
      <w:tr w14:paraId="171660C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1C7F06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388</w:t>
            </w:r>
          </w:p>
        </w:tc>
        <w:tc>
          <w:tcPr>
            <w:tcW w:w="2028" w:type="dxa"/>
            <w:vMerge w:val="continue"/>
            <w:tcBorders>
              <w:top w:val="nil"/>
              <w:left w:val="single" w:color="auto" w:sz="4" w:space="0"/>
              <w:bottom w:val="single" w:color="000000" w:sz="4" w:space="0"/>
              <w:right w:val="single" w:color="auto" w:sz="4" w:space="0"/>
            </w:tcBorders>
            <w:vAlign w:val="center"/>
          </w:tcPr>
          <w:p w14:paraId="2E5F44D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7E0AB4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知识库建设-知识质量与安全-多语言对齐检查</w:t>
            </w:r>
          </w:p>
        </w:tc>
        <w:tc>
          <w:tcPr>
            <w:tcW w:w="3928" w:type="dxa"/>
            <w:tcBorders>
              <w:top w:val="nil"/>
              <w:left w:val="nil"/>
              <w:bottom w:val="single" w:color="auto" w:sz="4" w:space="0"/>
              <w:right w:val="single" w:color="auto" w:sz="4" w:space="0"/>
            </w:tcBorders>
            <w:vAlign w:val="center"/>
          </w:tcPr>
          <w:p w14:paraId="211754A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对跨语言数据源（如国际报告、外文科研文献）进行多语言语义对齐校验，确保翻译或映射后的知识在语义层面保持一致，避免信息偏差影响预测与推理。</w:t>
            </w:r>
          </w:p>
        </w:tc>
      </w:tr>
      <w:tr w14:paraId="05A99FA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08CA12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389</w:t>
            </w:r>
          </w:p>
        </w:tc>
        <w:tc>
          <w:tcPr>
            <w:tcW w:w="2028" w:type="dxa"/>
            <w:vMerge w:val="continue"/>
            <w:tcBorders>
              <w:top w:val="nil"/>
              <w:left w:val="single" w:color="auto" w:sz="4" w:space="0"/>
              <w:bottom w:val="single" w:color="000000" w:sz="4" w:space="0"/>
              <w:right w:val="single" w:color="auto" w:sz="4" w:space="0"/>
            </w:tcBorders>
            <w:vAlign w:val="center"/>
          </w:tcPr>
          <w:p w14:paraId="3E0EC7E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817E35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知识库建设-知识质量与安全-安全检查</w:t>
            </w:r>
          </w:p>
        </w:tc>
        <w:tc>
          <w:tcPr>
            <w:tcW w:w="3928" w:type="dxa"/>
            <w:tcBorders>
              <w:top w:val="nil"/>
              <w:left w:val="nil"/>
              <w:bottom w:val="single" w:color="auto" w:sz="4" w:space="0"/>
              <w:right w:val="single" w:color="auto" w:sz="4" w:space="0"/>
            </w:tcBorders>
            <w:vAlign w:val="center"/>
          </w:tcPr>
          <w:p w14:paraId="2779C5E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对知识库访问、版本操作和数据更新实施权限管控与安全审计，防止未授权访问、数据篡改及恶意注入；同时确保知识推理服务的安全稳定运行。</w:t>
            </w:r>
          </w:p>
        </w:tc>
      </w:tr>
      <w:tr w14:paraId="679FDAD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75DE19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390</w:t>
            </w:r>
          </w:p>
        </w:tc>
        <w:tc>
          <w:tcPr>
            <w:tcW w:w="2028" w:type="dxa"/>
            <w:vMerge w:val="continue"/>
            <w:tcBorders>
              <w:top w:val="nil"/>
              <w:left w:val="single" w:color="auto" w:sz="4" w:space="0"/>
              <w:bottom w:val="single" w:color="000000" w:sz="4" w:space="0"/>
              <w:right w:val="single" w:color="auto" w:sz="4" w:space="0"/>
            </w:tcBorders>
            <w:vAlign w:val="center"/>
          </w:tcPr>
          <w:p w14:paraId="47A4529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6016AE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全球25km气象预报智能体建设-角色与对话框架设计-角色设定与身份管理</w:t>
            </w:r>
          </w:p>
        </w:tc>
        <w:tc>
          <w:tcPr>
            <w:tcW w:w="3928" w:type="dxa"/>
            <w:tcBorders>
              <w:top w:val="nil"/>
              <w:left w:val="nil"/>
              <w:bottom w:val="single" w:color="auto" w:sz="4" w:space="0"/>
              <w:right w:val="single" w:color="auto" w:sz="4" w:space="0"/>
            </w:tcBorders>
            <w:vAlign w:val="center"/>
          </w:tcPr>
          <w:p w14:paraId="7F6F306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定位为“全球 0.25° 分辨率 7–15 天中期数值天气预报专家”，具备 ECMWF、NCEP 等多源全球分析场接入身份标识，支持多用户并发身份鉴权与任务级权限隔离。</w:t>
            </w:r>
          </w:p>
        </w:tc>
      </w:tr>
      <w:tr w14:paraId="03A5E7F2">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A9C6A8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391</w:t>
            </w:r>
          </w:p>
        </w:tc>
        <w:tc>
          <w:tcPr>
            <w:tcW w:w="2028" w:type="dxa"/>
            <w:vMerge w:val="continue"/>
            <w:tcBorders>
              <w:top w:val="nil"/>
              <w:left w:val="single" w:color="auto" w:sz="4" w:space="0"/>
              <w:bottom w:val="single" w:color="000000" w:sz="4" w:space="0"/>
              <w:right w:val="single" w:color="auto" w:sz="4" w:space="0"/>
            </w:tcBorders>
            <w:vAlign w:val="center"/>
          </w:tcPr>
          <w:p w14:paraId="5DB0F01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7F6FA1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全球25km气象预报智能体建设-角色与对话框架设计-对话流程设计与结构化脚本</w:t>
            </w:r>
          </w:p>
        </w:tc>
        <w:tc>
          <w:tcPr>
            <w:tcW w:w="3928" w:type="dxa"/>
            <w:tcBorders>
              <w:top w:val="nil"/>
              <w:left w:val="nil"/>
              <w:bottom w:val="single" w:color="auto" w:sz="4" w:space="0"/>
              <w:right w:val="single" w:color="auto" w:sz="4" w:space="0"/>
            </w:tcBorders>
            <w:vAlign w:val="center"/>
          </w:tcPr>
          <w:p w14:paraId="08E63C5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定义“数据获取-任务解析-模型推理-结果封装-产品推送”五步标准对话脚本；支持 HTTP/消息队列双通道输入，脚本可参数化配置起报时间、预报时效、输出变量。</w:t>
            </w:r>
          </w:p>
        </w:tc>
      </w:tr>
      <w:tr w14:paraId="5949E8B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EBFD89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392</w:t>
            </w:r>
          </w:p>
        </w:tc>
        <w:tc>
          <w:tcPr>
            <w:tcW w:w="2028" w:type="dxa"/>
            <w:vMerge w:val="continue"/>
            <w:tcBorders>
              <w:top w:val="nil"/>
              <w:left w:val="single" w:color="auto" w:sz="4" w:space="0"/>
              <w:bottom w:val="single" w:color="000000" w:sz="4" w:space="0"/>
              <w:right w:val="single" w:color="auto" w:sz="4" w:space="0"/>
            </w:tcBorders>
            <w:vAlign w:val="center"/>
          </w:tcPr>
          <w:p w14:paraId="70E458F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334F1B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全球25km气象预报智能体建设-能力构建与流程编排-提示词工程</w:t>
            </w:r>
          </w:p>
        </w:tc>
        <w:tc>
          <w:tcPr>
            <w:tcW w:w="3928" w:type="dxa"/>
            <w:tcBorders>
              <w:top w:val="nil"/>
              <w:left w:val="nil"/>
              <w:bottom w:val="single" w:color="auto" w:sz="4" w:space="0"/>
              <w:right w:val="single" w:color="auto" w:sz="4" w:space="0"/>
            </w:tcBorders>
            <w:vAlign w:val="center"/>
          </w:tcPr>
          <w:p w14:paraId="2129BD2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将业务需求（区域范围、时效、变量列表）自动转换为模型推理所需的模板；内置提示版本库，支持测试与更新。</w:t>
            </w:r>
          </w:p>
        </w:tc>
      </w:tr>
      <w:tr w14:paraId="291963D1">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372A9A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393</w:t>
            </w:r>
          </w:p>
        </w:tc>
        <w:tc>
          <w:tcPr>
            <w:tcW w:w="2028" w:type="dxa"/>
            <w:vMerge w:val="continue"/>
            <w:tcBorders>
              <w:top w:val="nil"/>
              <w:left w:val="single" w:color="auto" w:sz="4" w:space="0"/>
              <w:bottom w:val="single" w:color="000000" w:sz="4" w:space="0"/>
              <w:right w:val="single" w:color="auto" w:sz="4" w:space="0"/>
            </w:tcBorders>
            <w:vAlign w:val="center"/>
          </w:tcPr>
          <w:p w14:paraId="60E2287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F37C9D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全球25km气象预报智能体建设-能力构建与流程编排-知识工程</w:t>
            </w:r>
          </w:p>
        </w:tc>
        <w:tc>
          <w:tcPr>
            <w:tcW w:w="3928" w:type="dxa"/>
            <w:tcBorders>
              <w:top w:val="nil"/>
              <w:left w:val="nil"/>
              <w:bottom w:val="single" w:color="auto" w:sz="4" w:space="0"/>
              <w:right w:val="single" w:color="auto" w:sz="4" w:space="0"/>
            </w:tcBorders>
            <w:vAlign w:val="center"/>
          </w:tcPr>
          <w:p w14:paraId="7A47A1D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 0.25° 全球静态地理知识库（地形、海陆掩码、植被覆盖），并与动态气象要素建立时空索引。</w:t>
            </w:r>
          </w:p>
        </w:tc>
      </w:tr>
      <w:tr w14:paraId="036A843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E171C2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394</w:t>
            </w:r>
          </w:p>
        </w:tc>
        <w:tc>
          <w:tcPr>
            <w:tcW w:w="2028" w:type="dxa"/>
            <w:vMerge w:val="continue"/>
            <w:tcBorders>
              <w:top w:val="nil"/>
              <w:left w:val="single" w:color="auto" w:sz="4" w:space="0"/>
              <w:bottom w:val="single" w:color="000000" w:sz="4" w:space="0"/>
              <w:right w:val="single" w:color="auto" w:sz="4" w:space="0"/>
            </w:tcBorders>
            <w:vAlign w:val="center"/>
          </w:tcPr>
          <w:p w14:paraId="67A0964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6B1266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全球25km气象预报智能体建设-能力构建与流程编排-工具开发及框架集成</w:t>
            </w:r>
          </w:p>
        </w:tc>
        <w:tc>
          <w:tcPr>
            <w:tcW w:w="3928" w:type="dxa"/>
            <w:tcBorders>
              <w:top w:val="nil"/>
              <w:left w:val="nil"/>
              <w:bottom w:val="single" w:color="auto" w:sz="4" w:space="0"/>
              <w:right w:val="single" w:color="auto" w:sz="4" w:space="0"/>
            </w:tcBorders>
            <w:vAlign w:val="center"/>
          </w:tcPr>
          <w:p w14:paraId="251A779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集成GRIB/NetCDF解析工具、预测模型、评估模块，提供预测结果自动化生成与可视化功能。</w:t>
            </w:r>
          </w:p>
        </w:tc>
      </w:tr>
      <w:tr w14:paraId="6DEC648A">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86014B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395</w:t>
            </w:r>
          </w:p>
        </w:tc>
        <w:tc>
          <w:tcPr>
            <w:tcW w:w="2028" w:type="dxa"/>
            <w:vMerge w:val="continue"/>
            <w:tcBorders>
              <w:top w:val="nil"/>
              <w:left w:val="single" w:color="auto" w:sz="4" w:space="0"/>
              <w:bottom w:val="single" w:color="000000" w:sz="4" w:space="0"/>
              <w:right w:val="single" w:color="auto" w:sz="4" w:space="0"/>
            </w:tcBorders>
            <w:vAlign w:val="center"/>
          </w:tcPr>
          <w:p w14:paraId="09069FC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E2D124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全球25km气象预报智能体建设-能力构建与流程编排-流程编排与逻辑控制</w:t>
            </w:r>
          </w:p>
        </w:tc>
        <w:tc>
          <w:tcPr>
            <w:tcW w:w="3928" w:type="dxa"/>
            <w:tcBorders>
              <w:top w:val="nil"/>
              <w:left w:val="nil"/>
              <w:bottom w:val="single" w:color="auto" w:sz="4" w:space="0"/>
              <w:right w:val="single" w:color="auto" w:sz="4" w:space="0"/>
            </w:tcBorders>
            <w:vAlign w:val="center"/>
          </w:tcPr>
          <w:p w14:paraId="0222037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构建任务调度引擎，支持逐小时刷新短临预报与每日中期预报，自动记录任务日志、失败重试及版本控制；根据任务状态动态调整预测周期与粒度。</w:t>
            </w:r>
          </w:p>
        </w:tc>
      </w:tr>
      <w:tr w14:paraId="11B27D0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0DA00B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396</w:t>
            </w:r>
          </w:p>
        </w:tc>
        <w:tc>
          <w:tcPr>
            <w:tcW w:w="2028" w:type="dxa"/>
            <w:vMerge w:val="continue"/>
            <w:tcBorders>
              <w:top w:val="nil"/>
              <w:left w:val="single" w:color="auto" w:sz="4" w:space="0"/>
              <w:bottom w:val="single" w:color="000000" w:sz="4" w:space="0"/>
              <w:right w:val="single" w:color="auto" w:sz="4" w:space="0"/>
            </w:tcBorders>
            <w:vAlign w:val="center"/>
          </w:tcPr>
          <w:p w14:paraId="665948C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A493F1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全球25km气象预报智能体建设-上下文与多轮对话管理-上下文建模与状态管理</w:t>
            </w:r>
          </w:p>
        </w:tc>
        <w:tc>
          <w:tcPr>
            <w:tcW w:w="3928" w:type="dxa"/>
            <w:tcBorders>
              <w:top w:val="nil"/>
              <w:left w:val="nil"/>
              <w:bottom w:val="single" w:color="auto" w:sz="4" w:space="0"/>
              <w:right w:val="single" w:color="auto" w:sz="4" w:space="0"/>
            </w:tcBorders>
            <w:vAlign w:val="center"/>
          </w:tcPr>
          <w:p w14:paraId="37068F4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保留预测任务的时间轴与参数配置，支持跨日、跨任务的预测结果对比与延续分析。</w:t>
            </w:r>
          </w:p>
        </w:tc>
      </w:tr>
      <w:tr w14:paraId="4CAA959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773CCF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397</w:t>
            </w:r>
          </w:p>
        </w:tc>
        <w:tc>
          <w:tcPr>
            <w:tcW w:w="2028" w:type="dxa"/>
            <w:vMerge w:val="continue"/>
            <w:tcBorders>
              <w:top w:val="nil"/>
              <w:left w:val="single" w:color="auto" w:sz="4" w:space="0"/>
              <w:bottom w:val="single" w:color="000000" w:sz="4" w:space="0"/>
              <w:right w:val="single" w:color="auto" w:sz="4" w:space="0"/>
            </w:tcBorders>
            <w:vAlign w:val="center"/>
          </w:tcPr>
          <w:p w14:paraId="008ADB8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A147B9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全球25km气象预报智能体建设-上下文与多轮对话管理-用户画像与长期记忆机制</w:t>
            </w:r>
          </w:p>
        </w:tc>
        <w:tc>
          <w:tcPr>
            <w:tcW w:w="3928" w:type="dxa"/>
            <w:tcBorders>
              <w:top w:val="nil"/>
              <w:left w:val="nil"/>
              <w:bottom w:val="single" w:color="auto" w:sz="4" w:space="0"/>
              <w:right w:val="single" w:color="auto" w:sz="4" w:space="0"/>
            </w:tcBorders>
            <w:vAlign w:val="center"/>
          </w:tcPr>
          <w:p w14:paraId="2ED56C5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基于用户角色存储定制化需求偏好，例如图表样式、数据格式、更新频率。</w:t>
            </w:r>
          </w:p>
        </w:tc>
      </w:tr>
      <w:tr w14:paraId="1560F101">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73A3E2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398</w:t>
            </w:r>
          </w:p>
        </w:tc>
        <w:tc>
          <w:tcPr>
            <w:tcW w:w="2028" w:type="dxa"/>
            <w:vMerge w:val="continue"/>
            <w:tcBorders>
              <w:top w:val="nil"/>
              <w:left w:val="single" w:color="auto" w:sz="4" w:space="0"/>
              <w:bottom w:val="single" w:color="000000" w:sz="4" w:space="0"/>
              <w:right w:val="single" w:color="auto" w:sz="4" w:space="0"/>
            </w:tcBorders>
            <w:vAlign w:val="center"/>
          </w:tcPr>
          <w:p w14:paraId="206EB4F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220F89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全球25km气象预报智能体建设-上下文与多轮对话管理-多会话并行与多用户管理</w:t>
            </w:r>
          </w:p>
        </w:tc>
        <w:tc>
          <w:tcPr>
            <w:tcW w:w="3928" w:type="dxa"/>
            <w:tcBorders>
              <w:top w:val="nil"/>
              <w:left w:val="nil"/>
              <w:bottom w:val="single" w:color="auto" w:sz="4" w:space="0"/>
              <w:right w:val="single" w:color="auto" w:sz="4" w:space="0"/>
            </w:tcBorders>
            <w:vAlign w:val="center"/>
          </w:tcPr>
          <w:p w14:paraId="55ED8DA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基于消息队列的异步任务池，支持 50 路并发；用户级优先级与资源上限隔离。</w:t>
            </w:r>
          </w:p>
        </w:tc>
      </w:tr>
      <w:tr w14:paraId="6F42C846">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30A6DF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399</w:t>
            </w:r>
          </w:p>
        </w:tc>
        <w:tc>
          <w:tcPr>
            <w:tcW w:w="2028" w:type="dxa"/>
            <w:vMerge w:val="continue"/>
            <w:tcBorders>
              <w:top w:val="nil"/>
              <w:left w:val="single" w:color="auto" w:sz="4" w:space="0"/>
              <w:bottom w:val="single" w:color="000000" w:sz="4" w:space="0"/>
              <w:right w:val="single" w:color="auto" w:sz="4" w:space="0"/>
            </w:tcBorders>
            <w:vAlign w:val="center"/>
          </w:tcPr>
          <w:p w14:paraId="02292B7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076524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全球25km气象预报智能体建设-智能体持续学习与优化-用户反馈与标注方案</w:t>
            </w:r>
          </w:p>
        </w:tc>
        <w:tc>
          <w:tcPr>
            <w:tcW w:w="3928" w:type="dxa"/>
            <w:tcBorders>
              <w:top w:val="nil"/>
              <w:left w:val="nil"/>
              <w:bottom w:val="single" w:color="auto" w:sz="4" w:space="0"/>
              <w:right w:val="single" w:color="auto" w:sz="4" w:space="0"/>
            </w:tcBorders>
            <w:vAlign w:val="center"/>
          </w:tcPr>
          <w:p w14:paraId="563FF91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采集用户对预测准确率、图表可读性、预警及时性的反馈，并将实际监测数据作为标签用于模型再训练。</w:t>
            </w:r>
          </w:p>
        </w:tc>
      </w:tr>
      <w:tr w14:paraId="399FC72C">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00A20F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400</w:t>
            </w:r>
          </w:p>
        </w:tc>
        <w:tc>
          <w:tcPr>
            <w:tcW w:w="2028" w:type="dxa"/>
            <w:vMerge w:val="continue"/>
            <w:tcBorders>
              <w:top w:val="nil"/>
              <w:left w:val="single" w:color="auto" w:sz="4" w:space="0"/>
              <w:bottom w:val="single" w:color="000000" w:sz="4" w:space="0"/>
              <w:right w:val="single" w:color="auto" w:sz="4" w:space="0"/>
            </w:tcBorders>
            <w:vAlign w:val="center"/>
          </w:tcPr>
          <w:p w14:paraId="4FA0519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467EDC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全球25km气象预报智能体建设-智能体评估与部署-方案设计</w:t>
            </w:r>
          </w:p>
        </w:tc>
        <w:tc>
          <w:tcPr>
            <w:tcW w:w="3928" w:type="dxa"/>
            <w:tcBorders>
              <w:top w:val="nil"/>
              <w:left w:val="nil"/>
              <w:bottom w:val="single" w:color="auto" w:sz="4" w:space="0"/>
              <w:right w:val="single" w:color="auto" w:sz="4" w:space="0"/>
            </w:tcBorders>
            <w:vAlign w:val="center"/>
          </w:tcPr>
          <w:p w14:paraId="321A64F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制定以 RMSE、ACC、Bias 为核心的 7–15 天预报客观检验方案；设计分区（纬度带、海陆类型）评分策略。</w:t>
            </w:r>
          </w:p>
        </w:tc>
      </w:tr>
      <w:tr w14:paraId="0711FD86">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1A8B75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401</w:t>
            </w:r>
          </w:p>
        </w:tc>
        <w:tc>
          <w:tcPr>
            <w:tcW w:w="2028" w:type="dxa"/>
            <w:vMerge w:val="continue"/>
            <w:tcBorders>
              <w:top w:val="nil"/>
              <w:left w:val="single" w:color="auto" w:sz="4" w:space="0"/>
              <w:bottom w:val="single" w:color="000000" w:sz="4" w:space="0"/>
              <w:right w:val="single" w:color="auto" w:sz="4" w:space="0"/>
            </w:tcBorders>
            <w:vAlign w:val="center"/>
          </w:tcPr>
          <w:p w14:paraId="008EE5C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511638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全球25km气象预报智能体建设-智能体评估与部署-可用性评测</w:t>
            </w:r>
          </w:p>
        </w:tc>
        <w:tc>
          <w:tcPr>
            <w:tcW w:w="3928" w:type="dxa"/>
            <w:tcBorders>
              <w:top w:val="nil"/>
              <w:left w:val="nil"/>
              <w:bottom w:val="single" w:color="auto" w:sz="4" w:space="0"/>
              <w:right w:val="single" w:color="auto" w:sz="4" w:space="0"/>
            </w:tcBorders>
            <w:vAlign w:val="center"/>
          </w:tcPr>
          <w:p w14:paraId="0723E4E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每日定时对比 ECMWF 分析场，生成 24 h/72 h/168 h 预报性能报告；异常阈值自动触发告警。</w:t>
            </w:r>
          </w:p>
        </w:tc>
      </w:tr>
      <w:tr w14:paraId="4B0CC2D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837B25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402</w:t>
            </w:r>
          </w:p>
        </w:tc>
        <w:tc>
          <w:tcPr>
            <w:tcW w:w="2028" w:type="dxa"/>
            <w:vMerge w:val="continue"/>
            <w:tcBorders>
              <w:top w:val="nil"/>
              <w:left w:val="single" w:color="auto" w:sz="4" w:space="0"/>
              <w:bottom w:val="single" w:color="000000" w:sz="4" w:space="0"/>
              <w:right w:val="single" w:color="auto" w:sz="4" w:space="0"/>
            </w:tcBorders>
            <w:vAlign w:val="center"/>
          </w:tcPr>
          <w:p w14:paraId="6BC1632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506311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全球25km气象预报智能体建设-智能体评估与部署-安全性评测</w:t>
            </w:r>
          </w:p>
        </w:tc>
        <w:tc>
          <w:tcPr>
            <w:tcW w:w="3928" w:type="dxa"/>
            <w:tcBorders>
              <w:top w:val="nil"/>
              <w:left w:val="nil"/>
              <w:bottom w:val="single" w:color="auto" w:sz="4" w:space="0"/>
              <w:right w:val="single" w:color="auto" w:sz="4" w:space="0"/>
            </w:tcBorders>
            <w:vAlign w:val="center"/>
          </w:tcPr>
          <w:p w14:paraId="0995989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对输入数据进行恶意代码扫描；模型权重文件 SHA256 校验；API 接口限流、鉴权、审计日志全覆盖。</w:t>
            </w:r>
          </w:p>
        </w:tc>
      </w:tr>
      <w:tr w14:paraId="403C57F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39B52A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403</w:t>
            </w:r>
          </w:p>
        </w:tc>
        <w:tc>
          <w:tcPr>
            <w:tcW w:w="2028" w:type="dxa"/>
            <w:vMerge w:val="continue"/>
            <w:tcBorders>
              <w:top w:val="nil"/>
              <w:left w:val="single" w:color="auto" w:sz="4" w:space="0"/>
              <w:bottom w:val="single" w:color="000000" w:sz="4" w:space="0"/>
              <w:right w:val="single" w:color="auto" w:sz="4" w:space="0"/>
            </w:tcBorders>
            <w:vAlign w:val="center"/>
          </w:tcPr>
          <w:p w14:paraId="38BD978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C6AA98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全球25km气象预报智能体建设-智能体评估与部署-智能体部署</w:t>
            </w:r>
          </w:p>
        </w:tc>
        <w:tc>
          <w:tcPr>
            <w:tcW w:w="3928" w:type="dxa"/>
            <w:tcBorders>
              <w:top w:val="nil"/>
              <w:left w:val="nil"/>
              <w:bottom w:val="single" w:color="auto" w:sz="4" w:space="0"/>
              <w:right w:val="single" w:color="auto" w:sz="4" w:space="0"/>
            </w:tcBorders>
            <w:vAlign w:val="center"/>
          </w:tcPr>
          <w:p w14:paraId="02F65C3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采用模块化部署架构，支持在本地政务云或市级数据中心运行，并与区域智能体数据无缝对接。</w:t>
            </w:r>
          </w:p>
        </w:tc>
      </w:tr>
      <w:tr w14:paraId="33C18067">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6084C9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404</w:t>
            </w:r>
          </w:p>
        </w:tc>
        <w:tc>
          <w:tcPr>
            <w:tcW w:w="2028" w:type="dxa"/>
            <w:vMerge w:val="continue"/>
            <w:tcBorders>
              <w:top w:val="nil"/>
              <w:left w:val="single" w:color="auto" w:sz="4" w:space="0"/>
              <w:bottom w:val="single" w:color="000000" w:sz="4" w:space="0"/>
              <w:right w:val="single" w:color="auto" w:sz="4" w:space="0"/>
            </w:tcBorders>
            <w:vAlign w:val="center"/>
          </w:tcPr>
          <w:p w14:paraId="677033B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67D106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长三角9km气象降尺度智能体建设-角色与对话框架设计-角色设定与身份管理</w:t>
            </w:r>
          </w:p>
        </w:tc>
        <w:tc>
          <w:tcPr>
            <w:tcW w:w="3928" w:type="dxa"/>
            <w:tcBorders>
              <w:top w:val="nil"/>
              <w:left w:val="nil"/>
              <w:bottom w:val="single" w:color="auto" w:sz="4" w:space="0"/>
              <w:right w:val="single" w:color="auto" w:sz="4" w:space="0"/>
            </w:tcBorders>
            <w:vAlign w:val="center"/>
          </w:tcPr>
          <w:p w14:paraId="16EA40B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定位为“长三角区域 9 km 高分辨率气象降尺度专家”，拥有上游 25 km 全球场订阅身份及区域用户权限体系。</w:t>
            </w:r>
          </w:p>
        </w:tc>
      </w:tr>
      <w:tr w14:paraId="2C56E150">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167B3A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405</w:t>
            </w:r>
          </w:p>
        </w:tc>
        <w:tc>
          <w:tcPr>
            <w:tcW w:w="2028" w:type="dxa"/>
            <w:vMerge w:val="continue"/>
            <w:tcBorders>
              <w:top w:val="nil"/>
              <w:left w:val="single" w:color="auto" w:sz="4" w:space="0"/>
              <w:bottom w:val="single" w:color="000000" w:sz="4" w:space="0"/>
              <w:right w:val="single" w:color="auto" w:sz="4" w:space="0"/>
            </w:tcBorders>
            <w:vAlign w:val="center"/>
          </w:tcPr>
          <w:p w14:paraId="2264DFE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2EE2B3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长三角9km气象降尺度智能体建设-角色与对话框架设计-对话流程设计与结构化脚本</w:t>
            </w:r>
          </w:p>
        </w:tc>
        <w:tc>
          <w:tcPr>
            <w:tcW w:w="3928" w:type="dxa"/>
            <w:tcBorders>
              <w:top w:val="nil"/>
              <w:left w:val="nil"/>
              <w:bottom w:val="single" w:color="auto" w:sz="4" w:space="0"/>
              <w:right w:val="single" w:color="auto" w:sz="4" w:space="0"/>
            </w:tcBorders>
            <w:vAlign w:val="center"/>
          </w:tcPr>
          <w:p w14:paraId="55FB7F7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固定脚本：“拉取上游场→静态数据叠加→AI 降尺度推理→输出 9 km 产品→回写对象存储”，脚本参数化起报时间与预报时长。</w:t>
            </w:r>
          </w:p>
        </w:tc>
      </w:tr>
      <w:tr w14:paraId="0F5AC0F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C0E7A0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406</w:t>
            </w:r>
          </w:p>
        </w:tc>
        <w:tc>
          <w:tcPr>
            <w:tcW w:w="2028" w:type="dxa"/>
            <w:vMerge w:val="continue"/>
            <w:tcBorders>
              <w:top w:val="nil"/>
              <w:left w:val="single" w:color="auto" w:sz="4" w:space="0"/>
              <w:bottom w:val="single" w:color="000000" w:sz="4" w:space="0"/>
              <w:right w:val="single" w:color="auto" w:sz="4" w:space="0"/>
            </w:tcBorders>
            <w:vAlign w:val="center"/>
          </w:tcPr>
          <w:p w14:paraId="726D233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FEC83F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长三角9km气象降尺度智能体建设-能力构建与流程编排-提示词工程</w:t>
            </w:r>
          </w:p>
        </w:tc>
        <w:tc>
          <w:tcPr>
            <w:tcW w:w="3928" w:type="dxa"/>
            <w:tcBorders>
              <w:top w:val="nil"/>
              <w:left w:val="nil"/>
              <w:bottom w:val="single" w:color="auto" w:sz="4" w:space="0"/>
              <w:right w:val="single" w:color="auto" w:sz="4" w:space="0"/>
            </w:tcBorders>
            <w:vAlign w:val="center"/>
          </w:tcPr>
          <w:p w14:paraId="0F8F812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将区域网格范围、缓冲区大小、输出变量等需求自动转为模型输入张量描述；支持提示词模板版本管理。</w:t>
            </w:r>
          </w:p>
        </w:tc>
      </w:tr>
      <w:tr w14:paraId="6D04249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7AA5B2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407</w:t>
            </w:r>
          </w:p>
        </w:tc>
        <w:tc>
          <w:tcPr>
            <w:tcW w:w="2028" w:type="dxa"/>
            <w:vMerge w:val="continue"/>
            <w:tcBorders>
              <w:top w:val="nil"/>
              <w:left w:val="single" w:color="auto" w:sz="4" w:space="0"/>
              <w:bottom w:val="single" w:color="000000" w:sz="4" w:space="0"/>
              <w:right w:val="single" w:color="auto" w:sz="4" w:space="0"/>
            </w:tcBorders>
            <w:vAlign w:val="center"/>
          </w:tcPr>
          <w:p w14:paraId="4D77348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1268DE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长三角9km气象降尺度智能体建设-能力构建与流程编排-知识工程</w:t>
            </w:r>
          </w:p>
        </w:tc>
        <w:tc>
          <w:tcPr>
            <w:tcW w:w="3928" w:type="dxa"/>
            <w:tcBorders>
              <w:top w:val="nil"/>
              <w:left w:val="nil"/>
              <w:bottom w:val="single" w:color="auto" w:sz="4" w:space="0"/>
              <w:right w:val="single" w:color="auto" w:sz="4" w:space="0"/>
            </w:tcBorders>
            <w:vAlign w:val="center"/>
          </w:tcPr>
          <w:p w14:paraId="6F1E007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 0.25° 全球静态地理知识库（地形、海陆掩码、植被覆盖），并与动态气象要素建立时空索引。</w:t>
            </w:r>
          </w:p>
        </w:tc>
      </w:tr>
      <w:tr w14:paraId="33396D24">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2FD064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408</w:t>
            </w:r>
          </w:p>
        </w:tc>
        <w:tc>
          <w:tcPr>
            <w:tcW w:w="2028" w:type="dxa"/>
            <w:vMerge w:val="continue"/>
            <w:tcBorders>
              <w:top w:val="nil"/>
              <w:left w:val="single" w:color="auto" w:sz="4" w:space="0"/>
              <w:bottom w:val="single" w:color="000000" w:sz="4" w:space="0"/>
              <w:right w:val="single" w:color="auto" w:sz="4" w:space="0"/>
            </w:tcBorders>
            <w:vAlign w:val="center"/>
          </w:tcPr>
          <w:p w14:paraId="4FE6C60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3470A0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长三角9km气象降尺度智能体建设-能力构建与流程编排-工具开发及框架集成</w:t>
            </w:r>
          </w:p>
        </w:tc>
        <w:tc>
          <w:tcPr>
            <w:tcW w:w="3928" w:type="dxa"/>
            <w:tcBorders>
              <w:top w:val="nil"/>
              <w:left w:val="nil"/>
              <w:bottom w:val="single" w:color="auto" w:sz="4" w:space="0"/>
              <w:right w:val="single" w:color="auto" w:sz="4" w:space="0"/>
            </w:tcBorders>
            <w:vAlign w:val="center"/>
          </w:tcPr>
          <w:p w14:paraId="3757829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集成GRIB/NetCDF解析工具、预测模型、评估模块，提供预测结果自动化生成与可视化功能。</w:t>
            </w:r>
          </w:p>
        </w:tc>
      </w:tr>
      <w:tr w14:paraId="17FB5E25">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D1CBDD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409</w:t>
            </w:r>
          </w:p>
        </w:tc>
        <w:tc>
          <w:tcPr>
            <w:tcW w:w="2028" w:type="dxa"/>
            <w:vMerge w:val="continue"/>
            <w:tcBorders>
              <w:top w:val="nil"/>
              <w:left w:val="single" w:color="auto" w:sz="4" w:space="0"/>
              <w:bottom w:val="single" w:color="000000" w:sz="4" w:space="0"/>
              <w:right w:val="single" w:color="auto" w:sz="4" w:space="0"/>
            </w:tcBorders>
            <w:vAlign w:val="center"/>
          </w:tcPr>
          <w:p w14:paraId="12ABD10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47FA16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长三角9km气象降尺度智能体建设-能力构建与流程编排-流程编排与逻辑控制</w:t>
            </w:r>
          </w:p>
        </w:tc>
        <w:tc>
          <w:tcPr>
            <w:tcW w:w="3928" w:type="dxa"/>
            <w:tcBorders>
              <w:top w:val="nil"/>
              <w:left w:val="nil"/>
              <w:bottom w:val="single" w:color="auto" w:sz="4" w:space="0"/>
              <w:right w:val="single" w:color="auto" w:sz="4" w:space="0"/>
            </w:tcBorders>
            <w:vAlign w:val="center"/>
          </w:tcPr>
          <w:p w14:paraId="0F6104A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构建任务调度引擎，支持逐小时刷新短临预报与每日中期预报，自动记录任务日志、失败重试及版本控制；根据任务状态动态调整预测周期与粒度。</w:t>
            </w:r>
          </w:p>
        </w:tc>
      </w:tr>
      <w:tr w14:paraId="70F654FA">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1577A2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410</w:t>
            </w:r>
          </w:p>
        </w:tc>
        <w:tc>
          <w:tcPr>
            <w:tcW w:w="2028" w:type="dxa"/>
            <w:vMerge w:val="continue"/>
            <w:tcBorders>
              <w:top w:val="nil"/>
              <w:left w:val="single" w:color="auto" w:sz="4" w:space="0"/>
              <w:bottom w:val="single" w:color="000000" w:sz="4" w:space="0"/>
              <w:right w:val="single" w:color="auto" w:sz="4" w:space="0"/>
            </w:tcBorders>
            <w:vAlign w:val="center"/>
          </w:tcPr>
          <w:p w14:paraId="33F4D87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320577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长三角9km气象降尺度智能体建设-上下文与多轮对话管理-上下文建模与状态管理</w:t>
            </w:r>
          </w:p>
        </w:tc>
        <w:tc>
          <w:tcPr>
            <w:tcW w:w="3928" w:type="dxa"/>
            <w:tcBorders>
              <w:top w:val="nil"/>
              <w:left w:val="nil"/>
              <w:bottom w:val="single" w:color="auto" w:sz="4" w:space="0"/>
              <w:right w:val="single" w:color="auto" w:sz="4" w:space="0"/>
            </w:tcBorders>
            <w:vAlign w:val="center"/>
          </w:tcPr>
          <w:p w14:paraId="1AC7759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保留预测任务的时间轴与参数配置，支持跨日、跨任务的预测结果对比与延续分析。</w:t>
            </w:r>
          </w:p>
        </w:tc>
      </w:tr>
      <w:tr w14:paraId="5A567E2A">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526ED1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411</w:t>
            </w:r>
          </w:p>
        </w:tc>
        <w:tc>
          <w:tcPr>
            <w:tcW w:w="2028" w:type="dxa"/>
            <w:vMerge w:val="continue"/>
            <w:tcBorders>
              <w:top w:val="nil"/>
              <w:left w:val="single" w:color="auto" w:sz="4" w:space="0"/>
              <w:bottom w:val="single" w:color="000000" w:sz="4" w:space="0"/>
              <w:right w:val="single" w:color="auto" w:sz="4" w:space="0"/>
            </w:tcBorders>
            <w:vAlign w:val="center"/>
          </w:tcPr>
          <w:p w14:paraId="31623EF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11702C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长三角9km气象降尺度智能体建设-上下文与多轮对话管理-用户画像与长期记忆机制</w:t>
            </w:r>
          </w:p>
        </w:tc>
        <w:tc>
          <w:tcPr>
            <w:tcW w:w="3928" w:type="dxa"/>
            <w:tcBorders>
              <w:top w:val="nil"/>
              <w:left w:val="nil"/>
              <w:bottom w:val="single" w:color="auto" w:sz="4" w:space="0"/>
              <w:right w:val="single" w:color="auto" w:sz="4" w:space="0"/>
            </w:tcBorders>
            <w:vAlign w:val="center"/>
          </w:tcPr>
          <w:p w14:paraId="0AD2F6E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基于用户角色存储定制化需求偏好，例如图表样式、数据格式、更新频率。</w:t>
            </w:r>
          </w:p>
        </w:tc>
      </w:tr>
      <w:tr w14:paraId="359ECBFA">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332FC5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412</w:t>
            </w:r>
          </w:p>
        </w:tc>
        <w:tc>
          <w:tcPr>
            <w:tcW w:w="2028" w:type="dxa"/>
            <w:vMerge w:val="continue"/>
            <w:tcBorders>
              <w:top w:val="nil"/>
              <w:left w:val="single" w:color="auto" w:sz="4" w:space="0"/>
              <w:bottom w:val="single" w:color="000000" w:sz="4" w:space="0"/>
              <w:right w:val="single" w:color="auto" w:sz="4" w:space="0"/>
            </w:tcBorders>
            <w:vAlign w:val="center"/>
          </w:tcPr>
          <w:p w14:paraId="1607120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84ABB5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长三角9km气象降尺度智能体建设-上下文与多轮对话管理-多会话并行与多用户管理</w:t>
            </w:r>
          </w:p>
        </w:tc>
        <w:tc>
          <w:tcPr>
            <w:tcW w:w="3928" w:type="dxa"/>
            <w:tcBorders>
              <w:top w:val="nil"/>
              <w:left w:val="nil"/>
              <w:bottom w:val="single" w:color="auto" w:sz="4" w:space="0"/>
              <w:right w:val="single" w:color="auto" w:sz="4" w:space="0"/>
            </w:tcBorders>
            <w:vAlign w:val="center"/>
          </w:tcPr>
          <w:p w14:paraId="560269B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基于消息队列的异步任务池，支持 50 路并发；用户级优先级与资源上限隔离。</w:t>
            </w:r>
          </w:p>
        </w:tc>
      </w:tr>
      <w:tr w14:paraId="6EDEAD3A">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80413A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413</w:t>
            </w:r>
          </w:p>
        </w:tc>
        <w:tc>
          <w:tcPr>
            <w:tcW w:w="2028" w:type="dxa"/>
            <w:vMerge w:val="continue"/>
            <w:tcBorders>
              <w:top w:val="nil"/>
              <w:left w:val="single" w:color="auto" w:sz="4" w:space="0"/>
              <w:bottom w:val="single" w:color="000000" w:sz="4" w:space="0"/>
              <w:right w:val="single" w:color="auto" w:sz="4" w:space="0"/>
            </w:tcBorders>
            <w:vAlign w:val="center"/>
          </w:tcPr>
          <w:p w14:paraId="3F71F13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13F89C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长三角9km气象降尺度智能体建设-智能体持续学习与优化-用户反馈与标注方案</w:t>
            </w:r>
          </w:p>
        </w:tc>
        <w:tc>
          <w:tcPr>
            <w:tcW w:w="3928" w:type="dxa"/>
            <w:tcBorders>
              <w:top w:val="nil"/>
              <w:left w:val="nil"/>
              <w:bottom w:val="single" w:color="auto" w:sz="4" w:space="0"/>
              <w:right w:val="single" w:color="auto" w:sz="4" w:space="0"/>
            </w:tcBorders>
            <w:vAlign w:val="center"/>
          </w:tcPr>
          <w:p w14:paraId="4D952CA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采集用户对预测准确率、图表可读性、预警及时性的反馈，并将实际监测数据作为标签用于模型再训练。</w:t>
            </w:r>
          </w:p>
        </w:tc>
      </w:tr>
      <w:tr w14:paraId="0B7D617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FA86A8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414</w:t>
            </w:r>
          </w:p>
        </w:tc>
        <w:tc>
          <w:tcPr>
            <w:tcW w:w="2028" w:type="dxa"/>
            <w:vMerge w:val="continue"/>
            <w:tcBorders>
              <w:top w:val="nil"/>
              <w:left w:val="single" w:color="auto" w:sz="4" w:space="0"/>
              <w:bottom w:val="single" w:color="000000" w:sz="4" w:space="0"/>
              <w:right w:val="single" w:color="auto" w:sz="4" w:space="0"/>
            </w:tcBorders>
            <w:vAlign w:val="center"/>
          </w:tcPr>
          <w:p w14:paraId="2B0AA80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2DC4A2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长三角9km气象降尺度智能体建设-智能体评估与部署-方案设计</w:t>
            </w:r>
          </w:p>
        </w:tc>
        <w:tc>
          <w:tcPr>
            <w:tcW w:w="3928" w:type="dxa"/>
            <w:tcBorders>
              <w:top w:val="nil"/>
              <w:left w:val="nil"/>
              <w:bottom w:val="single" w:color="auto" w:sz="4" w:space="0"/>
              <w:right w:val="single" w:color="auto" w:sz="4" w:space="0"/>
            </w:tcBorders>
            <w:vAlign w:val="center"/>
          </w:tcPr>
          <w:p w14:paraId="681512C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制定以 RMSE、ACC、Bias 为核心的 7–15 天预报客观检验方案；设计分区（纬度带、海陆类型）评分策略。</w:t>
            </w:r>
          </w:p>
        </w:tc>
      </w:tr>
      <w:tr w14:paraId="00675202">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411B70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415</w:t>
            </w:r>
          </w:p>
        </w:tc>
        <w:tc>
          <w:tcPr>
            <w:tcW w:w="2028" w:type="dxa"/>
            <w:vMerge w:val="continue"/>
            <w:tcBorders>
              <w:top w:val="nil"/>
              <w:left w:val="single" w:color="auto" w:sz="4" w:space="0"/>
              <w:bottom w:val="single" w:color="000000" w:sz="4" w:space="0"/>
              <w:right w:val="single" w:color="auto" w:sz="4" w:space="0"/>
            </w:tcBorders>
            <w:vAlign w:val="center"/>
          </w:tcPr>
          <w:p w14:paraId="16A841D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FF3BAD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长三角9km气象降尺度智能体建设-智能体评估与部署-可用性评测</w:t>
            </w:r>
          </w:p>
        </w:tc>
        <w:tc>
          <w:tcPr>
            <w:tcW w:w="3928" w:type="dxa"/>
            <w:tcBorders>
              <w:top w:val="nil"/>
              <w:left w:val="nil"/>
              <w:bottom w:val="single" w:color="auto" w:sz="4" w:space="0"/>
              <w:right w:val="single" w:color="auto" w:sz="4" w:space="0"/>
            </w:tcBorders>
            <w:vAlign w:val="center"/>
          </w:tcPr>
          <w:p w14:paraId="54529D3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与区域自动站观测做逐日滚动验证，生成 24 h/48 h 时效评分报告；异常自动邮件告警。</w:t>
            </w:r>
          </w:p>
        </w:tc>
      </w:tr>
      <w:tr w14:paraId="58FB95D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6C1BB3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416</w:t>
            </w:r>
          </w:p>
        </w:tc>
        <w:tc>
          <w:tcPr>
            <w:tcW w:w="2028" w:type="dxa"/>
            <w:vMerge w:val="continue"/>
            <w:tcBorders>
              <w:top w:val="nil"/>
              <w:left w:val="single" w:color="auto" w:sz="4" w:space="0"/>
              <w:bottom w:val="single" w:color="000000" w:sz="4" w:space="0"/>
              <w:right w:val="single" w:color="auto" w:sz="4" w:space="0"/>
            </w:tcBorders>
            <w:vAlign w:val="center"/>
          </w:tcPr>
          <w:p w14:paraId="2138186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00E07F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长三角9km气象降尺度智能体建设-智能体评估与部署-安全性评测</w:t>
            </w:r>
          </w:p>
        </w:tc>
        <w:tc>
          <w:tcPr>
            <w:tcW w:w="3928" w:type="dxa"/>
            <w:tcBorders>
              <w:top w:val="nil"/>
              <w:left w:val="nil"/>
              <w:bottom w:val="single" w:color="auto" w:sz="4" w:space="0"/>
              <w:right w:val="single" w:color="auto" w:sz="4" w:space="0"/>
            </w:tcBorders>
            <w:vAlign w:val="center"/>
          </w:tcPr>
          <w:p w14:paraId="3553554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对输入数据进行恶意代码扫描；模型权重文件 SHA256 校验；API 接口限流、鉴权、审计日志全覆盖。</w:t>
            </w:r>
          </w:p>
        </w:tc>
      </w:tr>
      <w:tr w14:paraId="706D445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6B0CCD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417</w:t>
            </w:r>
          </w:p>
        </w:tc>
        <w:tc>
          <w:tcPr>
            <w:tcW w:w="2028" w:type="dxa"/>
            <w:vMerge w:val="continue"/>
            <w:tcBorders>
              <w:top w:val="nil"/>
              <w:left w:val="single" w:color="auto" w:sz="4" w:space="0"/>
              <w:bottom w:val="single" w:color="000000" w:sz="4" w:space="0"/>
              <w:right w:val="single" w:color="auto" w:sz="4" w:space="0"/>
            </w:tcBorders>
            <w:vAlign w:val="center"/>
          </w:tcPr>
          <w:p w14:paraId="07AF75F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14CD24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长三角9km气象降尺度智能体建设-智能体评估与部署-智能体部署</w:t>
            </w:r>
          </w:p>
        </w:tc>
        <w:tc>
          <w:tcPr>
            <w:tcW w:w="3928" w:type="dxa"/>
            <w:tcBorders>
              <w:top w:val="nil"/>
              <w:left w:val="nil"/>
              <w:bottom w:val="single" w:color="auto" w:sz="4" w:space="0"/>
              <w:right w:val="single" w:color="auto" w:sz="4" w:space="0"/>
            </w:tcBorders>
            <w:vAlign w:val="center"/>
          </w:tcPr>
          <w:p w14:paraId="2B2CCAC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采用模块化部署架构，支持在本地政务云或市级数据中心运行，并与区域智能体数据无缝对接。</w:t>
            </w:r>
          </w:p>
        </w:tc>
      </w:tr>
      <w:tr w14:paraId="6542634A">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AE3689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418</w:t>
            </w:r>
          </w:p>
        </w:tc>
        <w:tc>
          <w:tcPr>
            <w:tcW w:w="2028" w:type="dxa"/>
            <w:vMerge w:val="continue"/>
            <w:tcBorders>
              <w:top w:val="nil"/>
              <w:left w:val="single" w:color="auto" w:sz="4" w:space="0"/>
              <w:bottom w:val="single" w:color="000000" w:sz="4" w:space="0"/>
              <w:right w:val="single" w:color="auto" w:sz="4" w:space="0"/>
            </w:tcBorders>
            <w:vAlign w:val="center"/>
          </w:tcPr>
          <w:p w14:paraId="7131331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780D97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上海市1km气象降尺度智能体建设-角色与对话框架设计-角色设定与身份管理</w:t>
            </w:r>
          </w:p>
        </w:tc>
        <w:tc>
          <w:tcPr>
            <w:tcW w:w="3928" w:type="dxa"/>
            <w:tcBorders>
              <w:top w:val="nil"/>
              <w:left w:val="nil"/>
              <w:bottom w:val="single" w:color="auto" w:sz="4" w:space="0"/>
              <w:right w:val="single" w:color="auto" w:sz="4" w:space="0"/>
            </w:tcBorders>
            <w:vAlign w:val="center"/>
          </w:tcPr>
          <w:p w14:paraId="7523460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定位为“上海市 1 km 超高分辨率城市气象降尺度服务终端”，具备上海本地业务系统身份认证及细粒度权限控制。</w:t>
            </w:r>
          </w:p>
        </w:tc>
      </w:tr>
      <w:tr w14:paraId="6317BCD9">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EE80BB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419</w:t>
            </w:r>
          </w:p>
        </w:tc>
        <w:tc>
          <w:tcPr>
            <w:tcW w:w="2028" w:type="dxa"/>
            <w:vMerge w:val="continue"/>
            <w:tcBorders>
              <w:top w:val="nil"/>
              <w:left w:val="single" w:color="auto" w:sz="4" w:space="0"/>
              <w:bottom w:val="single" w:color="000000" w:sz="4" w:space="0"/>
              <w:right w:val="single" w:color="auto" w:sz="4" w:space="0"/>
            </w:tcBorders>
            <w:vAlign w:val="center"/>
          </w:tcPr>
          <w:p w14:paraId="671537C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40A9DA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上海市1km气象降尺度智能体建设-角色与对话框架设计-对话流程设计与结构化脚本</w:t>
            </w:r>
          </w:p>
        </w:tc>
        <w:tc>
          <w:tcPr>
            <w:tcW w:w="3928" w:type="dxa"/>
            <w:tcBorders>
              <w:top w:val="nil"/>
              <w:left w:val="nil"/>
              <w:bottom w:val="single" w:color="auto" w:sz="4" w:space="0"/>
              <w:right w:val="single" w:color="auto" w:sz="4" w:space="0"/>
            </w:tcBorders>
            <w:vAlign w:val="center"/>
          </w:tcPr>
          <w:p w14:paraId="164EAB8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脚本：“获取 9 km 区域场→叠加城市微尺度静态数据→AI 降尺度→输出 1 km 网格→推送至可视化平台”，脚本内置上海行政区划过滤逻辑。</w:t>
            </w:r>
          </w:p>
        </w:tc>
      </w:tr>
      <w:tr w14:paraId="43C2B634">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0B4CA5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420</w:t>
            </w:r>
          </w:p>
        </w:tc>
        <w:tc>
          <w:tcPr>
            <w:tcW w:w="2028" w:type="dxa"/>
            <w:vMerge w:val="continue"/>
            <w:tcBorders>
              <w:top w:val="nil"/>
              <w:left w:val="single" w:color="auto" w:sz="4" w:space="0"/>
              <w:bottom w:val="single" w:color="000000" w:sz="4" w:space="0"/>
              <w:right w:val="single" w:color="auto" w:sz="4" w:space="0"/>
            </w:tcBorders>
            <w:vAlign w:val="center"/>
          </w:tcPr>
          <w:p w14:paraId="52C4437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E5C81A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上海市1km气象降尺度智能体建设-能力构建与流程编排-提示词工程</w:t>
            </w:r>
          </w:p>
        </w:tc>
        <w:tc>
          <w:tcPr>
            <w:tcW w:w="3928" w:type="dxa"/>
            <w:tcBorders>
              <w:top w:val="nil"/>
              <w:left w:val="nil"/>
              <w:bottom w:val="single" w:color="auto" w:sz="4" w:space="0"/>
              <w:right w:val="single" w:color="auto" w:sz="4" w:space="0"/>
            </w:tcBorders>
            <w:vAlign w:val="center"/>
          </w:tcPr>
          <w:p w14:paraId="4DE776B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将业务需求（区域范围、时效、变量列表）自动转换为模型推理所需的模板；内置提示版本库，支持测试与更新。</w:t>
            </w:r>
          </w:p>
        </w:tc>
      </w:tr>
      <w:tr w14:paraId="4E3EA7C2">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FD4D3A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421</w:t>
            </w:r>
          </w:p>
        </w:tc>
        <w:tc>
          <w:tcPr>
            <w:tcW w:w="2028" w:type="dxa"/>
            <w:vMerge w:val="continue"/>
            <w:tcBorders>
              <w:top w:val="nil"/>
              <w:left w:val="single" w:color="auto" w:sz="4" w:space="0"/>
              <w:bottom w:val="single" w:color="000000" w:sz="4" w:space="0"/>
              <w:right w:val="single" w:color="auto" w:sz="4" w:space="0"/>
            </w:tcBorders>
            <w:vAlign w:val="center"/>
          </w:tcPr>
          <w:p w14:paraId="42C8F46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253FBF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上海市1km气象降尺度智能体建设-能力构建与流程编排-知识工程</w:t>
            </w:r>
          </w:p>
        </w:tc>
        <w:tc>
          <w:tcPr>
            <w:tcW w:w="3928" w:type="dxa"/>
            <w:tcBorders>
              <w:top w:val="nil"/>
              <w:left w:val="nil"/>
              <w:bottom w:val="single" w:color="auto" w:sz="4" w:space="0"/>
              <w:right w:val="single" w:color="auto" w:sz="4" w:space="0"/>
            </w:tcBorders>
            <w:vAlign w:val="center"/>
          </w:tcPr>
          <w:p w14:paraId="5AF6EF1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 0.25° 全球静态地理知识库（地形、海陆掩码、植被覆盖），并与动态气象要素建立时空索引。</w:t>
            </w:r>
          </w:p>
        </w:tc>
      </w:tr>
      <w:tr w14:paraId="41F9B52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4B6A0F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422</w:t>
            </w:r>
          </w:p>
        </w:tc>
        <w:tc>
          <w:tcPr>
            <w:tcW w:w="2028" w:type="dxa"/>
            <w:vMerge w:val="continue"/>
            <w:tcBorders>
              <w:top w:val="nil"/>
              <w:left w:val="single" w:color="auto" w:sz="4" w:space="0"/>
              <w:bottom w:val="single" w:color="000000" w:sz="4" w:space="0"/>
              <w:right w:val="single" w:color="auto" w:sz="4" w:space="0"/>
            </w:tcBorders>
            <w:vAlign w:val="center"/>
          </w:tcPr>
          <w:p w14:paraId="7D4A9F6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2D2845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上海市1km气象降尺度智能体建设-能力构建与流程编排-工具开发及框架集成</w:t>
            </w:r>
          </w:p>
        </w:tc>
        <w:tc>
          <w:tcPr>
            <w:tcW w:w="3928" w:type="dxa"/>
            <w:tcBorders>
              <w:top w:val="nil"/>
              <w:left w:val="nil"/>
              <w:bottom w:val="single" w:color="auto" w:sz="4" w:space="0"/>
              <w:right w:val="single" w:color="auto" w:sz="4" w:space="0"/>
            </w:tcBorders>
            <w:vAlign w:val="center"/>
          </w:tcPr>
          <w:p w14:paraId="512CE27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集成GRIB/NetCDF解析工具、预测模型、评估模块，提供预测结果自动化生成与可视化功能。</w:t>
            </w:r>
          </w:p>
        </w:tc>
      </w:tr>
      <w:tr w14:paraId="0344EFDF">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3A811B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423</w:t>
            </w:r>
          </w:p>
        </w:tc>
        <w:tc>
          <w:tcPr>
            <w:tcW w:w="2028" w:type="dxa"/>
            <w:vMerge w:val="continue"/>
            <w:tcBorders>
              <w:top w:val="nil"/>
              <w:left w:val="single" w:color="auto" w:sz="4" w:space="0"/>
              <w:bottom w:val="single" w:color="000000" w:sz="4" w:space="0"/>
              <w:right w:val="single" w:color="auto" w:sz="4" w:space="0"/>
            </w:tcBorders>
            <w:vAlign w:val="center"/>
          </w:tcPr>
          <w:p w14:paraId="01BC137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74467D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上海市1km气象降尺度智能体建设-能力构建与流程编排-流程编排与逻辑控制</w:t>
            </w:r>
          </w:p>
        </w:tc>
        <w:tc>
          <w:tcPr>
            <w:tcW w:w="3928" w:type="dxa"/>
            <w:tcBorders>
              <w:top w:val="nil"/>
              <w:left w:val="nil"/>
              <w:bottom w:val="single" w:color="auto" w:sz="4" w:space="0"/>
              <w:right w:val="single" w:color="auto" w:sz="4" w:space="0"/>
            </w:tcBorders>
            <w:vAlign w:val="center"/>
          </w:tcPr>
          <w:p w14:paraId="0651981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构建任务调度引擎，支持逐小时刷新短临预报与每日中期预报，自动记录任务日志、失败重试及版本控制；根据任务状态动态调整预测周期与粒度。</w:t>
            </w:r>
          </w:p>
        </w:tc>
      </w:tr>
      <w:tr w14:paraId="57892AFE">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6B2EA0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424</w:t>
            </w:r>
          </w:p>
        </w:tc>
        <w:tc>
          <w:tcPr>
            <w:tcW w:w="2028" w:type="dxa"/>
            <w:vMerge w:val="continue"/>
            <w:tcBorders>
              <w:top w:val="nil"/>
              <w:left w:val="single" w:color="auto" w:sz="4" w:space="0"/>
              <w:bottom w:val="single" w:color="000000" w:sz="4" w:space="0"/>
              <w:right w:val="single" w:color="auto" w:sz="4" w:space="0"/>
            </w:tcBorders>
            <w:vAlign w:val="center"/>
          </w:tcPr>
          <w:p w14:paraId="18C7A70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E5F2AF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上海市1km气象降尺度智能体建设-上下文与多轮对话管理-上下文建模与状态管理</w:t>
            </w:r>
          </w:p>
        </w:tc>
        <w:tc>
          <w:tcPr>
            <w:tcW w:w="3928" w:type="dxa"/>
            <w:tcBorders>
              <w:top w:val="nil"/>
              <w:left w:val="nil"/>
              <w:bottom w:val="single" w:color="auto" w:sz="4" w:space="0"/>
              <w:right w:val="single" w:color="auto" w:sz="4" w:space="0"/>
            </w:tcBorders>
            <w:vAlign w:val="center"/>
          </w:tcPr>
          <w:p w14:paraId="63FF631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保留预测任务的时间轴与参数配置，支持跨日、跨任务的预测结果对比与延续分析。</w:t>
            </w:r>
          </w:p>
        </w:tc>
      </w:tr>
      <w:tr w14:paraId="39BD7784">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443309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425</w:t>
            </w:r>
          </w:p>
        </w:tc>
        <w:tc>
          <w:tcPr>
            <w:tcW w:w="2028" w:type="dxa"/>
            <w:vMerge w:val="continue"/>
            <w:tcBorders>
              <w:top w:val="nil"/>
              <w:left w:val="single" w:color="auto" w:sz="4" w:space="0"/>
              <w:bottom w:val="single" w:color="000000" w:sz="4" w:space="0"/>
              <w:right w:val="single" w:color="auto" w:sz="4" w:space="0"/>
            </w:tcBorders>
            <w:vAlign w:val="center"/>
          </w:tcPr>
          <w:p w14:paraId="60AC9E7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9476A1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上海市1km气象降尺度智能体建设-上下文与多轮对话管理-用户画像与长期记忆机制</w:t>
            </w:r>
          </w:p>
        </w:tc>
        <w:tc>
          <w:tcPr>
            <w:tcW w:w="3928" w:type="dxa"/>
            <w:tcBorders>
              <w:top w:val="nil"/>
              <w:left w:val="nil"/>
              <w:bottom w:val="single" w:color="auto" w:sz="4" w:space="0"/>
              <w:right w:val="single" w:color="auto" w:sz="4" w:space="0"/>
            </w:tcBorders>
            <w:vAlign w:val="center"/>
          </w:tcPr>
          <w:p w14:paraId="23BD8C5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基于用户角色存储定制化需求偏好，例如图表样式、数据格式、更新频率。</w:t>
            </w:r>
          </w:p>
        </w:tc>
      </w:tr>
      <w:tr w14:paraId="3C9F0370">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49EC63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426</w:t>
            </w:r>
          </w:p>
        </w:tc>
        <w:tc>
          <w:tcPr>
            <w:tcW w:w="2028" w:type="dxa"/>
            <w:vMerge w:val="continue"/>
            <w:tcBorders>
              <w:top w:val="nil"/>
              <w:left w:val="single" w:color="auto" w:sz="4" w:space="0"/>
              <w:bottom w:val="single" w:color="000000" w:sz="4" w:space="0"/>
              <w:right w:val="single" w:color="auto" w:sz="4" w:space="0"/>
            </w:tcBorders>
            <w:vAlign w:val="center"/>
          </w:tcPr>
          <w:p w14:paraId="4A27F05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93C462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上海市1km气象降尺度智能体建设-上下文与多轮对话管理-多会话并行与多用户管理</w:t>
            </w:r>
          </w:p>
        </w:tc>
        <w:tc>
          <w:tcPr>
            <w:tcW w:w="3928" w:type="dxa"/>
            <w:tcBorders>
              <w:top w:val="nil"/>
              <w:left w:val="nil"/>
              <w:bottom w:val="single" w:color="auto" w:sz="4" w:space="0"/>
              <w:right w:val="single" w:color="auto" w:sz="4" w:space="0"/>
            </w:tcBorders>
            <w:vAlign w:val="center"/>
          </w:tcPr>
          <w:p w14:paraId="185CD68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基于消息队列的异步任务池，支持 50 路并发；用户级优先级与资源上限隔离。</w:t>
            </w:r>
          </w:p>
        </w:tc>
      </w:tr>
      <w:tr w14:paraId="19B8839C">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B53A5F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427</w:t>
            </w:r>
          </w:p>
        </w:tc>
        <w:tc>
          <w:tcPr>
            <w:tcW w:w="2028" w:type="dxa"/>
            <w:vMerge w:val="continue"/>
            <w:tcBorders>
              <w:top w:val="nil"/>
              <w:left w:val="single" w:color="auto" w:sz="4" w:space="0"/>
              <w:bottom w:val="single" w:color="000000" w:sz="4" w:space="0"/>
              <w:right w:val="single" w:color="auto" w:sz="4" w:space="0"/>
            </w:tcBorders>
            <w:vAlign w:val="center"/>
          </w:tcPr>
          <w:p w14:paraId="1313037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B78ED6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上海市1km气象降尺度智能体建设-智能体持续学习与优化-用户反馈与标注方案</w:t>
            </w:r>
          </w:p>
        </w:tc>
        <w:tc>
          <w:tcPr>
            <w:tcW w:w="3928" w:type="dxa"/>
            <w:tcBorders>
              <w:top w:val="nil"/>
              <w:left w:val="nil"/>
              <w:bottom w:val="single" w:color="auto" w:sz="4" w:space="0"/>
              <w:right w:val="single" w:color="auto" w:sz="4" w:space="0"/>
            </w:tcBorders>
            <w:vAlign w:val="center"/>
          </w:tcPr>
          <w:p w14:paraId="49388E5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采集用户对预测准确率、图表可读性、预警及时性的反馈，并将实际监测数据作为标签用于模型再训练。</w:t>
            </w:r>
          </w:p>
        </w:tc>
      </w:tr>
      <w:tr w14:paraId="7A207B61">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69DA46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428</w:t>
            </w:r>
          </w:p>
        </w:tc>
        <w:tc>
          <w:tcPr>
            <w:tcW w:w="2028" w:type="dxa"/>
            <w:vMerge w:val="continue"/>
            <w:tcBorders>
              <w:top w:val="nil"/>
              <w:left w:val="single" w:color="auto" w:sz="4" w:space="0"/>
              <w:bottom w:val="single" w:color="000000" w:sz="4" w:space="0"/>
              <w:right w:val="single" w:color="auto" w:sz="4" w:space="0"/>
            </w:tcBorders>
            <w:vAlign w:val="center"/>
          </w:tcPr>
          <w:p w14:paraId="78B8EE1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993C18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上海市1km气象降尺度智能体建设-智能体评估与部署-方案设计</w:t>
            </w:r>
          </w:p>
        </w:tc>
        <w:tc>
          <w:tcPr>
            <w:tcW w:w="3928" w:type="dxa"/>
            <w:tcBorders>
              <w:top w:val="nil"/>
              <w:left w:val="nil"/>
              <w:bottom w:val="single" w:color="auto" w:sz="4" w:space="0"/>
              <w:right w:val="single" w:color="auto" w:sz="4" w:space="0"/>
            </w:tcBorders>
            <w:vAlign w:val="center"/>
          </w:tcPr>
          <w:p w14:paraId="6475112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制定 1 km vs 自动站观测的 2 m 温度、10 m 风速逐小时检验方案；引入城市冠层误差分区统计。</w:t>
            </w:r>
          </w:p>
        </w:tc>
      </w:tr>
      <w:tr w14:paraId="26F6A3C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B2A337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429</w:t>
            </w:r>
          </w:p>
        </w:tc>
        <w:tc>
          <w:tcPr>
            <w:tcW w:w="2028" w:type="dxa"/>
            <w:vMerge w:val="continue"/>
            <w:tcBorders>
              <w:top w:val="nil"/>
              <w:left w:val="single" w:color="auto" w:sz="4" w:space="0"/>
              <w:bottom w:val="single" w:color="000000" w:sz="4" w:space="0"/>
              <w:right w:val="single" w:color="auto" w:sz="4" w:space="0"/>
            </w:tcBorders>
            <w:vAlign w:val="center"/>
          </w:tcPr>
          <w:p w14:paraId="2D06615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8D0DDA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上海市1km气象降尺度智能体建设-智能体评估与部署-可用性评测</w:t>
            </w:r>
          </w:p>
        </w:tc>
        <w:tc>
          <w:tcPr>
            <w:tcW w:w="3928" w:type="dxa"/>
            <w:tcBorders>
              <w:top w:val="nil"/>
              <w:left w:val="nil"/>
              <w:bottom w:val="single" w:color="auto" w:sz="4" w:space="0"/>
              <w:right w:val="single" w:color="auto" w:sz="4" w:space="0"/>
            </w:tcBorders>
            <w:vAlign w:val="center"/>
          </w:tcPr>
          <w:p w14:paraId="2FD55A5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与 HRCLDAS 分析场、加密自动站实时对比，生成逐小时误差热力图；触发阈值自动告警。</w:t>
            </w:r>
          </w:p>
        </w:tc>
      </w:tr>
      <w:tr w14:paraId="378C2A6C">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EF6C92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430</w:t>
            </w:r>
          </w:p>
        </w:tc>
        <w:tc>
          <w:tcPr>
            <w:tcW w:w="2028" w:type="dxa"/>
            <w:vMerge w:val="continue"/>
            <w:tcBorders>
              <w:top w:val="nil"/>
              <w:left w:val="single" w:color="auto" w:sz="4" w:space="0"/>
              <w:bottom w:val="single" w:color="000000" w:sz="4" w:space="0"/>
              <w:right w:val="single" w:color="auto" w:sz="4" w:space="0"/>
            </w:tcBorders>
            <w:vAlign w:val="center"/>
          </w:tcPr>
          <w:p w14:paraId="3C9013F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E5BD8E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上海市1km气象降尺度智能体建设-智能体评估与部署-安全性评测</w:t>
            </w:r>
          </w:p>
        </w:tc>
        <w:tc>
          <w:tcPr>
            <w:tcW w:w="3928" w:type="dxa"/>
            <w:tcBorders>
              <w:top w:val="nil"/>
              <w:left w:val="nil"/>
              <w:bottom w:val="single" w:color="auto" w:sz="4" w:space="0"/>
              <w:right w:val="single" w:color="auto" w:sz="4" w:space="0"/>
            </w:tcBorders>
            <w:vAlign w:val="center"/>
          </w:tcPr>
          <w:p w14:paraId="249D09C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对输入数据进行恶意代码扫描；模型权重文件 SHA256 校验；API 接口限流、鉴权、审计日志全覆盖。</w:t>
            </w:r>
          </w:p>
        </w:tc>
      </w:tr>
      <w:tr w14:paraId="4FAB0D9A">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7444E0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431</w:t>
            </w:r>
          </w:p>
        </w:tc>
        <w:tc>
          <w:tcPr>
            <w:tcW w:w="2028" w:type="dxa"/>
            <w:vMerge w:val="continue"/>
            <w:tcBorders>
              <w:top w:val="nil"/>
              <w:left w:val="single" w:color="auto" w:sz="4" w:space="0"/>
              <w:bottom w:val="single" w:color="000000" w:sz="4" w:space="0"/>
              <w:right w:val="single" w:color="auto" w:sz="4" w:space="0"/>
            </w:tcBorders>
            <w:vAlign w:val="center"/>
          </w:tcPr>
          <w:p w14:paraId="3271048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4C7A78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上海市1km气象降尺度智能体建设-智能体评估与部署-智能体部署</w:t>
            </w:r>
          </w:p>
        </w:tc>
        <w:tc>
          <w:tcPr>
            <w:tcW w:w="3928" w:type="dxa"/>
            <w:tcBorders>
              <w:top w:val="nil"/>
              <w:left w:val="nil"/>
              <w:bottom w:val="single" w:color="auto" w:sz="4" w:space="0"/>
              <w:right w:val="single" w:color="auto" w:sz="4" w:space="0"/>
            </w:tcBorders>
            <w:vAlign w:val="center"/>
          </w:tcPr>
          <w:p w14:paraId="6A72C2E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采用模块化部署架构，支持在本地政务云或市级数据中心运行，并与区域智能体数据无缝对接。</w:t>
            </w:r>
          </w:p>
        </w:tc>
      </w:tr>
      <w:tr w14:paraId="50976B7E">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0359AF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432</w:t>
            </w:r>
          </w:p>
        </w:tc>
        <w:tc>
          <w:tcPr>
            <w:tcW w:w="2028" w:type="dxa"/>
            <w:vMerge w:val="continue"/>
            <w:tcBorders>
              <w:top w:val="nil"/>
              <w:left w:val="single" w:color="auto" w:sz="4" w:space="0"/>
              <w:bottom w:val="single" w:color="000000" w:sz="4" w:space="0"/>
              <w:right w:val="single" w:color="auto" w:sz="4" w:space="0"/>
            </w:tcBorders>
            <w:vAlign w:val="center"/>
          </w:tcPr>
          <w:p w14:paraId="5386132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9988AF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长三角空气质量预测智能体建设-角色与对话框架设计-角色设定与身份管理</w:t>
            </w:r>
          </w:p>
        </w:tc>
        <w:tc>
          <w:tcPr>
            <w:tcW w:w="3928" w:type="dxa"/>
            <w:tcBorders>
              <w:top w:val="nil"/>
              <w:left w:val="nil"/>
              <w:bottom w:val="single" w:color="auto" w:sz="4" w:space="0"/>
              <w:right w:val="single" w:color="auto" w:sz="4" w:space="0"/>
            </w:tcBorders>
            <w:vAlign w:val="center"/>
          </w:tcPr>
          <w:p w14:paraId="4C18057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将智能体定位为“长三角区域空气质量预测与分析助手”，身份覆盖数据分析师、预报员和应急调度顾问等角色，具备自动抓取ERA5气象数据、FuXi气象预报数据、MEIC/CAMS排放清单及站点监测数据的权限和能力，确保数据标准化一致性。</w:t>
            </w:r>
          </w:p>
        </w:tc>
      </w:tr>
      <w:tr w14:paraId="3412E9B5">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C03ADD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433</w:t>
            </w:r>
          </w:p>
        </w:tc>
        <w:tc>
          <w:tcPr>
            <w:tcW w:w="2028" w:type="dxa"/>
            <w:vMerge w:val="continue"/>
            <w:tcBorders>
              <w:top w:val="nil"/>
              <w:left w:val="single" w:color="auto" w:sz="4" w:space="0"/>
              <w:bottom w:val="single" w:color="000000" w:sz="4" w:space="0"/>
              <w:right w:val="single" w:color="auto" w:sz="4" w:space="0"/>
            </w:tcBorders>
            <w:vAlign w:val="center"/>
          </w:tcPr>
          <w:p w14:paraId="1432097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EA2290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长三角空气质量预测智能体建设-角色与对话框架设计-对话流程设计与结构化脚本</w:t>
            </w:r>
          </w:p>
        </w:tc>
        <w:tc>
          <w:tcPr>
            <w:tcW w:w="3928" w:type="dxa"/>
            <w:tcBorders>
              <w:top w:val="nil"/>
              <w:left w:val="nil"/>
              <w:bottom w:val="single" w:color="auto" w:sz="4" w:space="0"/>
              <w:right w:val="single" w:color="auto" w:sz="4" w:space="0"/>
            </w:tcBorders>
            <w:vAlign w:val="center"/>
          </w:tcPr>
          <w:p w14:paraId="0E0D6CC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设计任务导向型对话流程，支持预测任务下发、数据更新提醒、异常预警通知等多轮交互；结构化脚本涵盖从数据感知、预测推理到结果发布的全链路步骤，支持跨模块协作。</w:t>
            </w:r>
          </w:p>
        </w:tc>
      </w:tr>
      <w:tr w14:paraId="4ED55184">
        <w:tblPrEx>
          <w:tblCellMar>
            <w:top w:w="0" w:type="dxa"/>
            <w:left w:w="108" w:type="dxa"/>
            <w:bottom w:w="0" w:type="dxa"/>
            <w:right w:w="108" w:type="dxa"/>
          </w:tblCellMar>
        </w:tblPrEx>
        <w:trPr>
          <w:trHeight w:val="518" w:hRule="atLeast"/>
        </w:trPr>
        <w:tc>
          <w:tcPr>
            <w:tcW w:w="704" w:type="dxa"/>
            <w:tcBorders>
              <w:top w:val="nil"/>
              <w:left w:val="single" w:color="auto" w:sz="4" w:space="0"/>
              <w:bottom w:val="single" w:color="auto" w:sz="4" w:space="0"/>
              <w:right w:val="single" w:color="auto" w:sz="4" w:space="0"/>
            </w:tcBorders>
            <w:noWrap/>
            <w:vAlign w:val="center"/>
          </w:tcPr>
          <w:p w14:paraId="549C8F4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434</w:t>
            </w:r>
          </w:p>
        </w:tc>
        <w:tc>
          <w:tcPr>
            <w:tcW w:w="2028" w:type="dxa"/>
            <w:vMerge w:val="continue"/>
            <w:tcBorders>
              <w:top w:val="nil"/>
              <w:left w:val="single" w:color="auto" w:sz="4" w:space="0"/>
              <w:bottom w:val="single" w:color="000000" w:sz="4" w:space="0"/>
              <w:right w:val="single" w:color="auto" w:sz="4" w:space="0"/>
            </w:tcBorders>
            <w:vAlign w:val="center"/>
          </w:tcPr>
          <w:p w14:paraId="1532994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12EE88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长三角空气质量预测智能体建设-能力构建与流程编排-提示词工程</w:t>
            </w:r>
          </w:p>
        </w:tc>
        <w:tc>
          <w:tcPr>
            <w:tcW w:w="3928" w:type="dxa"/>
            <w:tcBorders>
              <w:top w:val="nil"/>
              <w:left w:val="nil"/>
              <w:bottom w:val="single" w:color="auto" w:sz="4" w:space="0"/>
              <w:right w:val="single" w:color="auto" w:sz="4" w:space="0"/>
            </w:tcBorders>
            <w:vAlign w:val="center"/>
          </w:tcPr>
          <w:p w14:paraId="0F9B2B3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针对预测任务构建专业化提示词，例如“生成48小时O</w:t>
            </w:r>
            <w:r>
              <w:rPr>
                <w:rFonts w:ascii="Cambria Math" w:hAnsi="Cambria Math" w:eastAsia="等线" w:cs="Cambria Math"/>
                <w:bCs w:val="0"/>
                <w:color w:val="000000"/>
                <w:kern w:val="0"/>
                <w:sz w:val="20"/>
                <w:szCs w:val="20"/>
              </w:rPr>
              <w:t>₃</w:t>
            </w:r>
            <w:r>
              <w:rPr>
                <w:rFonts w:hint="eastAsia" w:cs="宋体"/>
                <w:bCs w:val="0"/>
                <w:color w:val="000000"/>
                <w:kern w:val="0"/>
                <w:sz w:val="20"/>
                <w:szCs w:val="20"/>
              </w:rPr>
              <w:t>预测热力图”、“比较预测偏差”，确保对话触发的预测结果精确且可复现。</w:t>
            </w:r>
          </w:p>
        </w:tc>
      </w:tr>
      <w:tr w14:paraId="042313F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8A516C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435</w:t>
            </w:r>
          </w:p>
        </w:tc>
        <w:tc>
          <w:tcPr>
            <w:tcW w:w="2028" w:type="dxa"/>
            <w:vMerge w:val="continue"/>
            <w:tcBorders>
              <w:top w:val="nil"/>
              <w:left w:val="single" w:color="auto" w:sz="4" w:space="0"/>
              <w:bottom w:val="single" w:color="000000" w:sz="4" w:space="0"/>
              <w:right w:val="single" w:color="auto" w:sz="4" w:space="0"/>
            </w:tcBorders>
            <w:vAlign w:val="center"/>
          </w:tcPr>
          <w:p w14:paraId="2068E59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33C4B8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长三角空气质量预测智能体建设-能力构建与流程编排-知识工程</w:t>
            </w:r>
          </w:p>
        </w:tc>
        <w:tc>
          <w:tcPr>
            <w:tcW w:w="3928" w:type="dxa"/>
            <w:tcBorders>
              <w:top w:val="nil"/>
              <w:left w:val="nil"/>
              <w:bottom w:val="single" w:color="auto" w:sz="4" w:space="0"/>
              <w:right w:val="single" w:color="auto" w:sz="4" w:space="0"/>
            </w:tcBorders>
            <w:vAlign w:val="center"/>
          </w:tcPr>
          <w:p w14:paraId="6B2BA34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集成长三角区域气象、排放、观测数据的耦合知识库，内含模型版本对比记录、历史污染过程案例等，用于推理与决策参考。</w:t>
            </w:r>
          </w:p>
        </w:tc>
      </w:tr>
      <w:tr w14:paraId="015DA6F2">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0C291D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436</w:t>
            </w:r>
          </w:p>
        </w:tc>
        <w:tc>
          <w:tcPr>
            <w:tcW w:w="2028" w:type="dxa"/>
            <w:vMerge w:val="continue"/>
            <w:tcBorders>
              <w:top w:val="nil"/>
              <w:left w:val="single" w:color="auto" w:sz="4" w:space="0"/>
              <w:bottom w:val="single" w:color="000000" w:sz="4" w:space="0"/>
              <w:right w:val="single" w:color="auto" w:sz="4" w:space="0"/>
            </w:tcBorders>
            <w:vAlign w:val="center"/>
          </w:tcPr>
          <w:p w14:paraId="5363045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8AB09E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长三角空气质量预测智能体建设-能力构建与流程编排-工具开发及框架集成</w:t>
            </w:r>
          </w:p>
        </w:tc>
        <w:tc>
          <w:tcPr>
            <w:tcW w:w="3928" w:type="dxa"/>
            <w:tcBorders>
              <w:top w:val="nil"/>
              <w:left w:val="nil"/>
              <w:bottom w:val="single" w:color="auto" w:sz="4" w:space="0"/>
              <w:right w:val="single" w:color="auto" w:sz="4" w:space="0"/>
            </w:tcBorders>
            <w:vAlign w:val="center"/>
          </w:tcPr>
          <w:p w14:paraId="74A88E0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集成GRIB/NetCDF解析工具、预测模型、评估模块，提供预测结果自动化生成与可视化功能。</w:t>
            </w:r>
          </w:p>
        </w:tc>
      </w:tr>
      <w:tr w14:paraId="7A28D3C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0DA43E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437</w:t>
            </w:r>
          </w:p>
        </w:tc>
        <w:tc>
          <w:tcPr>
            <w:tcW w:w="2028" w:type="dxa"/>
            <w:vMerge w:val="continue"/>
            <w:tcBorders>
              <w:top w:val="nil"/>
              <w:left w:val="single" w:color="auto" w:sz="4" w:space="0"/>
              <w:bottom w:val="single" w:color="000000" w:sz="4" w:space="0"/>
              <w:right w:val="single" w:color="auto" w:sz="4" w:space="0"/>
            </w:tcBorders>
            <w:vAlign w:val="center"/>
          </w:tcPr>
          <w:p w14:paraId="506B619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28BA21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长三角空气质量预测智能体建设-能力构建与流程编排-流程编排与逻辑控制</w:t>
            </w:r>
          </w:p>
        </w:tc>
        <w:tc>
          <w:tcPr>
            <w:tcW w:w="3928" w:type="dxa"/>
            <w:tcBorders>
              <w:top w:val="nil"/>
              <w:left w:val="nil"/>
              <w:bottom w:val="single" w:color="auto" w:sz="4" w:space="0"/>
              <w:right w:val="single" w:color="auto" w:sz="4" w:space="0"/>
            </w:tcBorders>
            <w:vAlign w:val="center"/>
          </w:tcPr>
          <w:p w14:paraId="01D597A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构建任务调度引擎，支持逐小时刷新短临预报与每日中期预报，自动记录任务日志、失败重试及版本控制；根据任务状态动态调整预测周期与粒度。</w:t>
            </w:r>
          </w:p>
        </w:tc>
      </w:tr>
      <w:tr w14:paraId="0917EB9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B52B81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438</w:t>
            </w:r>
          </w:p>
        </w:tc>
        <w:tc>
          <w:tcPr>
            <w:tcW w:w="2028" w:type="dxa"/>
            <w:vMerge w:val="continue"/>
            <w:tcBorders>
              <w:top w:val="nil"/>
              <w:left w:val="single" w:color="auto" w:sz="4" w:space="0"/>
              <w:bottom w:val="single" w:color="000000" w:sz="4" w:space="0"/>
              <w:right w:val="single" w:color="auto" w:sz="4" w:space="0"/>
            </w:tcBorders>
            <w:vAlign w:val="center"/>
          </w:tcPr>
          <w:p w14:paraId="7F6D3FE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D39F3F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长三角空气质量预测智能体建设-能力构建与流程编排-MCP服务开发与接入</w:t>
            </w:r>
          </w:p>
        </w:tc>
        <w:tc>
          <w:tcPr>
            <w:tcW w:w="3928" w:type="dxa"/>
            <w:tcBorders>
              <w:top w:val="nil"/>
              <w:left w:val="nil"/>
              <w:bottom w:val="single" w:color="auto" w:sz="4" w:space="0"/>
              <w:right w:val="single" w:color="auto" w:sz="4" w:space="0"/>
            </w:tcBorders>
            <w:vAlign w:val="center"/>
          </w:tcPr>
          <w:p w14:paraId="5351EDA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接入多源数据服务（气象、排放、监测）、图表渲染与文件输出服务，实现与外部业务平台无缝对接。</w:t>
            </w:r>
          </w:p>
        </w:tc>
      </w:tr>
      <w:tr w14:paraId="01E1B8F1">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5B6400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439</w:t>
            </w:r>
          </w:p>
        </w:tc>
        <w:tc>
          <w:tcPr>
            <w:tcW w:w="2028" w:type="dxa"/>
            <w:vMerge w:val="continue"/>
            <w:tcBorders>
              <w:top w:val="nil"/>
              <w:left w:val="single" w:color="auto" w:sz="4" w:space="0"/>
              <w:bottom w:val="single" w:color="000000" w:sz="4" w:space="0"/>
              <w:right w:val="single" w:color="auto" w:sz="4" w:space="0"/>
            </w:tcBorders>
            <w:vAlign w:val="center"/>
          </w:tcPr>
          <w:p w14:paraId="6BC3E2A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4DBEA4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长三角空气质量预测智能体建设-上下文与多轮对话管理-上下文建模与状态管理</w:t>
            </w:r>
          </w:p>
        </w:tc>
        <w:tc>
          <w:tcPr>
            <w:tcW w:w="3928" w:type="dxa"/>
            <w:tcBorders>
              <w:top w:val="nil"/>
              <w:left w:val="nil"/>
              <w:bottom w:val="single" w:color="auto" w:sz="4" w:space="0"/>
              <w:right w:val="single" w:color="auto" w:sz="4" w:space="0"/>
            </w:tcBorders>
            <w:vAlign w:val="center"/>
          </w:tcPr>
          <w:p w14:paraId="13B7812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保留预测任务的时间轴与参数配置，支持跨日、跨任务的预测结果对比与延续分析。</w:t>
            </w:r>
          </w:p>
        </w:tc>
      </w:tr>
      <w:tr w14:paraId="73AC1E96">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B80A2E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440</w:t>
            </w:r>
          </w:p>
        </w:tc>
        <w:tc>
          <w:tcPr>
            <w:tcW w:w="2028" w:type="dxa"/>
            <w:vMerge w:val="continue"/>
            <w:tcBorders>
              <w:top w:val="nil"/>
              <w:left w:val="single" w:color="auto" w:sz="4" w:space="0"/>
              <w:bottom w:val="single" w:color="000000" w:sz="4" w:space="0"/>
              <w:right w:val="single" w:color="auto" w:sz="4" w:space="0"/>
            </w:tcBorders>
            <w:vAlign w:val="center"/>
          </w:tcPr>
          <w:p w14:paraId="20F58DD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74E9A5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长三角空气质量预测智能体建设-上下文与多轮对话管理-用户画像与长期记忆机制</w:t>
            </w:r>
          </w:p>
        </w:tc>
        <w:tc>
          <w:tcPr>
            <w:tcW w:w="3928" w:type="dxa"/>
            <w:tcBorders>
              <w:top w:val="nil"/>
              <w:left w:val="nil"/>
              <w:bottom w:val="single" w:color="auto" w:sz="4" w:space="0"/>
              <w:right w:val="single" w:color="auto" w:sz="4" w:space="0"/>
            </w:tcBorders>
            <w:vAlign w:val="center"/>
          </w:tcPr>
          <w:p w14:paraId="6D83C86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基于用户角色（如科研人员、环保部门）存储定制化需求偏好，例如图表样式、数据格式、更新频率。</w:t>
            </w:r>
          </w:p>
        </w:tc>
      </w:tr>
      <w:tr w14:paraId="1290F573">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D1E546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441</w:t>
            </w:r>
          </w:p>
        </w:tc>
        <w:tc>
          <w:tcPr>
            <w:tcW w:w="2028" w:type="dxa"/>
            <w:vMerge w:val="continue"/>
            <w:tcBorders>
              <w:top w:val="nil"/>
              <w:left w:val="single" w:color="auto" w:sz="4" w:space="0"/>
              <w:bottom w:val="single" w:color="000000" w:sz="4" w:space="0"/>
              <w:right w:val="single" w:color="auto" w:sz="4" w:space="0"/>
            </w:tcBorders>
            <w:vAlign w:val="center"/>
          </w:tcPr>
          <w:p w14:paraId="7F98F39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9C6EC6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长三角空气质量预测智能体建设-上下文与多轮对话管理-多会话并行与多用户管理</w:t>
            </w:r>
          </w:p>
        </w:tc>
        <w:tc>
          <w:tcPr>
            <w:tcW w:w="3928" w:type="dxa"/>
            <w:tcBorders>
              <w:top w:val="nil"/>
              <w:left w:val="nil"/>
              <w:bottom w:val="single" w:color="auto" w:sz="4" w:space="0"/>
              <w:right w:val="single" w:color="auto" w:sz="4" w:space="0"/>
            </w:tcBorders>
            <w:vAlign w:val="center"/>
          </w:tcPr>
          <w:p w14:paraId="4F6937D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支持不同地区或不同污染物预测会话的并行处理，保证多任务独立运行与上下文准确性。</w:t>
            </w:r>
          </w:p>
        </w:tc>
      </w:tr>
      <w:tr w14:paraId="243AA3B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E25004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442</w:t>
            </w:r>
          </w:p>
        </w:tc>
        <w:tc>
          <w:tcPr>
            <w:tcW w:w="2028" w:type="dxa"/>
            <w:vMerge w:val="continue"/>
            <w:tcBorders>
              <w:top w:val="nil"/>
              <w:left w:val="single" w:color="auto" w:sz="4" w:space="0"/>
              <w:bottom w:val="single" w:color="000000" w:sz="4" w:space="0"/>
              <w:right w:val="single" w:color="auto" w:sz="4" w:space="0"/>
            </w:tcBorders>
            <w:vAlign w:val="center"/>
          </w:tcPr>
          <w:p w14:paraId="4C88E39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A90B18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长三角空气质量预测智能体建设-智能体持续学习与优化-用户反馈与标注方案</w:t>
            </w:r>
          </w:p>
        </w:tc>
        <w:tc>
          <w:tcPr>
            <w:tcW w:w="3928" w:type="dxa"/>
            <w:tcBorders>
              <w:top w:val="nil"/>
              <w:left w:val="nil"/>
              <w:bottom w:val="single" w:color="auto" w:sz="4" w:space="0"/>
              <w:right w:val="single" w:color="auto" w:sz="4" w:space="0"/>
            </w:tcBorders>
            <w:vAlign w:val="center"/>
          </w:tcPr>
          <w:p w14:paraId="5BF6C04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采集用户对预测准确率、图表可读性、预警及时性的反馈，并将实际监测数据作为标签用于模型再训练。</w:t>
            </w:r>
          </w:p>
        </w:tc>
      </w:tr>
      <w:tr w14:paraId="795C940A">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8A80B2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443</w:t>
            </w:r>
          </w:p>
        </w:tc>
        <w:tc>
          <w:tcPr>
            <w:tcW w:w="2028" w:type="dxa"/>
            <w:vMerge w:val="continue"/>
            <w:tcBorders>
              <w:top w:val="nil"/>
              <w:left w:val="single" w:color="auto" w:sz="4" w:space="0"/>
              <w:bottom w:val="single" w:color="000000" w:sz="4" w:space="0"/>
              <w:right w:val="single" w:color="auto" w:sz="4" w:space="0"/>
            </w:tcBorders>
            <w:vAlign w:val="center"/>
          </w:tcPr>
          <w:p w14:paraId="61C0EFA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1B67F5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长三角空气质量预测智能体建设-智能体评估与部署-方案设计</w:t>
            </w:r>
          </w:p>
        </w:tc>
        <w:tc>
          <w:tcPr>
            <w:tcW w:w="3928" w:type="dxa"/>
            <w:tcBorders>
              <w:top w:val="nil"/>
              <w:left w:val="nil"/>
              <w:bottom w:val="single" w:color="auto" w:sz="4" w:space="0"/>
              <w:right w:val="single" w:color="auto" w:sz="4" w:space="0"/>
            </w:tcBorders>
            <w:vAlign w:val="center"/>
          </w:tcPr>
          <w:p w14:paraId="1140ADE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部署高性能预测引擎与数据缓存机制，确保区域多站点预测在5分钟内完成。</w:t>
            </w:r>
          </w:p>
        </w:tc>
      </w:tr>
      <w:tr w14:paraId="0DFA4C7C">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FA8400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444</w:t>
            </w:r>
          </w:p>
        </w:tc>
        <w:tc>
          <w:tcPr>
            <w:tcW w:w="2028" w:type="dxa"/>
            <w:vMerge w:val="continue"/>
            <w:tcBorders>
              <w:top w:val="nil"/>
              <w:left w:val="single" w:color="auto" w:sz="4" w:space="0"/>
              <w:bottom w:val="single" w:color="000000" w:sz="4" w:space="0"/>
              <w:right w:val="single" w:color="auto" w:sz="4" w:space="0"/>
            </w:tcBorders>
            <w:vAlign w:val="center"/>
          </w:tcPr>
          <w:p w14:paraId="24ACA10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DA9B58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长三角空气质量预测智能体建设-智能体评估与部署-可用性评测</w:t>
            </w:r>
          </w:p>
        </w:tc>
        <w:tc>
          <w:tcPr>
            <w:tcW w:w="3928" w:type="dxa"/>
            <w:tcBorders>
              <w:top w:val="nil"/>
              <w:left w:val="nil"/>
              <w:bottom w:val="single" w:color="auto" w:sz="4" w:space="0"/>
              <w:right w:val="single" w:color="auto" w:sz="4" w:space="0"/>
            </w:tcBorders>
            <w:vAlign w:val="center"/>
          </w:tcPr>
          <w:p w14:paraId="42A6A44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定期验证预测任务响应时间、数据获取成功率与交互流畅度。</w:t>
            </w:r>
          </w:p>
        </w:tc>
      </w:tr>
      <w:tr w14:paraId="328674EC">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654E61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445</w:t>
            </w:r>
          </w:p>
        </w:tc>
        <w:tc>
          <w:tcPr>
            <w:tcW w:w="2028" w:type="dxa"/>
            <w:vMerge w:val="continue"/>
            <w:tcBorders>
              <w:top w:val="nil"/>
              <w:left w:val="single" w:color="auto" w:sz="4" w:space="0"/>
              <w:bottom w:val="single" w:color="000000" w:sz="4" w:space="0"/>
              <w:right w:val="single" w:color="auto" w:sz="4" w:space="0"/>
            </w:tcBorders>
            <w:vAlign w:val="center"/>
          </w:tcPr>
          <w:p w14:paraId="120C17A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4F397C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长三角空气质量预测智能体建设-智能体评估与部署-安全性评测</w:t>
            </w:r>
          </w:p>
        </w:tc>
        <w:tc>
          <w:tcPr>
            <w:tcW w:w="3928" w:type="dxa"/>
            <w:tcBorders>
              <w:top w:val="nil"/>
              <w:left w:val="nil"/>
              <w:bottom w:val="single" w:color="auto" w:sz="4" w:space="0"/>
              <w:right w:val="single" w:color="auto" w:sz="4" w:space="0"/>
            </w:tcBorders>
            <w:vAlign w:val="center"/>
          </w:tcPr>
          <w:p w14:paraId="4012F67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建立数据接口访问权限与异常调用审计机制，防止未授权数据泄露。</w:t>
            </w:r>
          </w:p>
        </w:tc>
      </w:tr>
      <w:tr w14:paraId="7137ECE2">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B4049F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446</w:t>
            </w:r>
          </w:p>
        </w:tc>
        <w:tc>
          <w:tcPr>
            <w:tcW w:w="2028" w:type="dxa"/>
            <w:vMerge w:val="continue"/>
            <w:tcBorders>
              <w:top w:val="nil"/>
              <w:left w:val="single" w:color="auto" w:sz="4" w:space="0"/>
              <w:bottom w:val="single" w:color="000000" w:sz="4" w:space="0"/>
              <w:right w:val="single" w:color="auto" w:sz="4" w:space="0"/>
            </w:tcBorders>
            <w:vAlign w:val="center"/>
          </w:tcPr>
          <w:p w14:paraId="1C62667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601C61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长三角空气质量预测智能体建设-智能体评估与部署-智能体部署</w:t>
            </w:r>
          </w:p>
        </w:tc>
        <w:tc>
          <w:tcPr>
            <w:tcW w:w="3928" w:type="dxa"/>
            <w:tcBorders>
              <w:top w:val="nil"/>
              <w:left w:val="nil"/>
              <w:bottom w:val="single" w:color="auto" w:sz="4" w:space="0"/>
              <w:right w:val="single" w:color="auto" w:sz="4" w:space="0"/>
            </w:tcBorders>
            <w:vAlign w:val="center"/>
          </w:tcPr>
          <w:p w14:paraId="0D181DB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采用模块化部署架构，支持在本地政务云或市级数据中心运行，并与区域智能体数据无缝对接。</w:t>
            </w:r>
          </w:p>
        </w:tc>
      </w:tr>
      <w:tr w14:paraId="7BC64CA7">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987954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447</w:t>
            </w:r>
          </w:p>
        </w:tc>
        <w:tc>
          <w:tcPr>
            <w:tcW w:w="2028" w:type="dxa"/>
            <w:vMerge w:val="continue"/>
            <w:tcBorders>
              <w:top w:val="nil"/>
              <w:left w:val="single" w:color="auto" w:sz="4" w:space="0"/>
              <w:bottom w:val="single" w:color="000000" w:sz="4" w:space="0"/>
              <w:right w:val="single" w:color="auto" w:sz="4" w:space="0"/>
            </w:tcBorders>
            <w:vAlign w:val="center"/>
          </w:tcPr>
          <w:p w14:paraId="3176DCA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7FC937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上海市降尺度空气质量预测智能体建设-角色与对话框架设计-角色设定与身份管理</w:t>
            </w:r>
          </w:p>
        </w:tc>
        <w:tc>
          <w:tcPr>
            <w:tcW w:w="3928" w:type="dxa"/>
            <w:tcBorders>
              <w:top w:val="nil"/>
              <w:left w:val="nil"/>
              <w:bottom w:val="single" w:color="auto" w:sz="4" w:space="0"/>
              <w:right w:val="single" w:color="auto" w:sz="4" w:space="0"/>
            </w:tcBorders>
            <w:vAlign w:val="center"/>
          </w:tcPr>
          <w:p w14:paraId="6FB1318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将智能体定位为“上海市精细化空气质量预报与决策支持助手”，承担城市尺度降尺度建模、局地污染过程解析及区域预警发布任务，角色适配市级环保部门与公众服务。</w:t>
            </w:r>
          </w:p>
        </w:tc>
      </w:tr>
      <w:tr w14:paraId="354A957A">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177947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448</w:t>
            </w:r>
          </w:p>
        </w:tc>
        <w:tc>
          <w:tcPr>
            <w:tcW w:w="2028" w:type="dxa"/>
            <w:vMerge w:val="continue"/>
            <w:tcBorders>
              <w:top w:val="nil"/>
              <w:left w:val="single" w:color="auto" w:sz="4" w:space="0"/>
              <w:bottom w:val="single" w:color="000000" w:sz="4" w:space="0"/>
              <w:right w:val="single" w:color="auto" w:sz="4" w:space="0"/>
            </w:tcBorders>
            <w:vAlign w:val="center"/>
          </w:tcPr>
          <w:p w14:paraId="63882F9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A9685D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上海市降尺度空气质量预测智能体建设-角色与对话框架设计-对话流程设计与结构化脚本</w:t>
            </w:r>
          </w:p>
        </w:tc>
        <w:tc>
          <w:tcPr>
            <w:tcW w:w="3928" w:type="dxa"/>
            <w:tcBorders>
              <w:top w:val="nil"/>
              <w:left w:val="nil"/>
              <w:bottom w:val="single" w:color="auto" w:sz="4" w:space="0"/>
              <w:right w:val="single" w:color="auto" w:sz="4" w:space="0"/>
            </w:tcBorders>
            <w:vAlign w:val="center"/>
          </w:tcPr>
          <w:p w14:paraId="7B98F06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定义从区域预测结果接入到可视化发布的完整对话脚本。</w:t>
            </w:r>
          </w:p>
        </w:tc>
      </w:tr>
      <w:tr w14:paraId="166A02E6">
        <w:tblPrEx>
          <w:tblCellMar>
            <w:top w:w="0" w:type="dxa"/>
            <w:left w:w="108" w:type="dxa"/>
            <w:bottom w:w="0" w:type="dxa"/>
            <w:right w:w="108" w:type="dxa"/>
          </w:tblCellMar>
        </w:tblPrEx>
        <w:trPr>
          <w:trHeight w:val="525" w:hRule="atLeast"/>
        </w:trPr>
        <w:tc>
          <w:tcPr>
            <w:tcW w:w="704" w:type="dxa"/>
            <w:tcBorders>
              <w:top w:val="nil"/>
              <w:left w:val="single" w:color="auto" w:sz="4" w:space="0"/>
              <w:bottom w:val="single" w:color="auto" w:sz="4" w:space="0"/>
              <w:right w:val="single" w:color="auto" w:sz="4" w:space="0"/>
            </w:tcBorders>
            <w:noWrap/>
            <w:vAlign w:val="center"/>
          </w:tcPr>
          <w:p w14:paraId="095533E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449</w:t>
            </w:r>
          </w:p>
        </w:tc>
        <w:tc>
          <w:tcPr>
            <w:tcW w:w="2028" w:type="dxa"/>
            <w:vMerge w:val="continue"/>
            <w:tcBorders>
              <w:top w:val="nil"/>
              <w:left w:val="single" w:color="auto" w:sz="4" w:space="0"/>
              <w:bottom w:val="single" w:color="000000" w:sz="4" w:space="0"/>
              <w:right w:val="single" w:color="auto" w:sz="4" w:space="0"/>
            </w:tcBorders>
            <w:vAlign w:val="center"/>
          </w:tcPr>
          <w:p w14:paraId="24B3E7F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4D62B5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上海市降尺度空气质量预测智能体建设-能力构建与流程编排-提示词工程</w:t>
            </w:r>
          </w:p>
        </w:tc>
        <w:tc>
          <w:tcPr>
            <w:tcW w:w="3928" w:type="dxa"/>
            <w:tcBorders>
              <w:top w:val="nil"/>
              <w:left w:val="nil"/>
              <w:bottom w:val="single" w:color="auto" w:sz="4" w:space="0"/>
              <w:right w:val="single" w:color="auto" w:sz="4" w:space="0"/>
            </w:tcBorders>
            <w:vAlign w:val="center"/>
          </w:tcPr>
          <w:p w14:paraId="474AAA0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针对城市精细化预测构建提示词，如“生成黄浦区未来24小时PM</w:t>
            </w:r>
            <w:r>
              <w:rPr>
                <w:rFonts w:ascii="Cambria Math" w:hAnsi="Cambria Math" w:eastAsia="等线" w:cs="Cambria Math"/>
                <w:bCs w:val="0"/>
                <w:color w:val="000000"/>
                <w:kern w:val="0"/>
                <w:sz w:val="20"/>
                <w:szCs w:val="20"/>
              </w:rPr>
              <w:t>₂</w:t>
            </w:r>
            <w:r>
              <w:rPr>
                <w:rFonts w:hint="eastAsia" w:cs="宋体"/>
                <w:bCs w:val="0"/>
                <w:color w:val="000000"/>
                <w:kern w:val="0"/>
                <w:sz w:val="20"/>
                <w:szCs w:val="20"/>
              </w:rPr>
              <w:t>.</w:t>
            </w:r>
            <w:r>
              <w:rPr>
                <w:rFonts w:ascii="Cambria Math" w:hAnsi="Cambria Math" w:cs="Cambria Math"/>
                <w:bCs w:val="0"/>
                <w:color w:val="000000"/>
                <w:kern w:val="0"/>
                <w:sz w:val="20"/>
                <w:szCs w:val="20"/>
              </w:rPr>
              <w:t>₅</w:t>
            </w:r>
            <w:r>
              <w:rPr>
                <w:rFonts w:hint="eastAsia" w:cs="宋体"/>
                <w:bCs w:val="0"/>
                <w:color w:val="000000"/>
                <w:kern w:val="0"/>
                <w:sz w:val="20"/>
                <w:szCs w:val="20"/>
              </w:rPr>
              <w:t>预测热力图”“判断未来24h上海市O</w:t>
            </w:r>
            <w:r>
              <w:rPr>
                <w:rFonts w:ascii="Cambria Math" w:hAnsi="Cambria Math" w:eastAsia="等线" w:cs="Cambria Math"/>
                <w:bCs w:val="0"/>
                <w:color w:val="000000"/>
                <w:kern w:val="0"/>
                <w:sz w:val="20"/>
                <w:szCs w:val="20"/>
              </w:rPr>
              <w:t>₃</w:t>
            </w:r>
            <w:r>
              <w:rPr>
                <w:rFonts w:hint="eastAsia" w:cs="宋体"/>
                <w:bCs w:val="0"/>
                <w:color w:val="000000"/>
                <w:kern w:val="0"/>
                <w:sz w:val="20"/>
                <w:szCs w:val="20"/>
              </w:rPr>
              <w:t>污染等级”。</w:t>
            </w:r>
          </w:p>
        </w:tc>
      </w:tr>
      <w:tr w14:paraId="1A42F09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BFDED0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450</w:t>
            </w:r>
          </w:p>
        </w:tc>
        <w:tc>
          <w:tcPr>
            <w:tcW w:w="2028" w:type="dxa"/>
            <w:vMerge w:val="continue"/>
            <w:tcBorders>
              <w:top w:val="nil"/>
              <w:left w:val="single" w:color="auto" w:sz="4" w:space="0"/>
              <w:bottom w:val="single" w:color="000000" w:sz="4" w:space="0"/>
              <w:right w:val="single" w:color="auto" w:sz="4" w:space="0"/>
            </w:tcBorders>
            <w:vAlign w:val="center"/>
          </w:tcPr>
          <w:p w14:paraId="577BC7B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2AA8A8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上海市降尺度空气质量预测智能体建设-能力构建与流程编排-知识工程</w:t>
            </w:r>
          </w:p>
        </w:tc>
        <w:tc>
          <w:tcPr>
            <w:tcW w:w="3928" w:type="dxa"/>
            <w:tcBorders>
              <w:top w:val="nil"/>
              <w:left w:val="nil"/>
              <w:bottom w:val="single" w:color="auto" w:sz="4" w:space="0"/>
              <w:right w:val="single" w:color="auto" w:sz="4" w:space="0"/>
            </w:tcBorders>
            <w:vAlign w:val="center"/>
          </w:tcPr>
          <w:p w14:paraId="23915A5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建立包含城市高密度监测网络、历史污染过程的知识库，用于模型微调与决策支持。</w:t>
            </w:r>
          </w:p>
        </w:tc>
      </w:tr>
      <w:tr w14:paraId="265A0D60">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515249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451</w:t>
            </w:r>
          </w:p>
        </w:tc>
        <w:tc>
          <w:tcPr>
            <w:tcW w:w="2028" w:type="dxa"/>
            <w:vMerge w:val="continue"/>
            <w:tcBorders>
              <w:top w:val="nil"/>
              <w:left w:val="single" w:color="auto" w:sz="4" w:space="0"/>
              <w:bottom w:val="single" w:color="000000" w:sz="4" w:space="0"/>
              <w:right w:val="single" w:color="auto" w:sz="4" w:space="0"/>
            </w:tcBorders>
            <w:vAlign w:val="center"/>
          </w:tcPr>
          <w:p w14:paraId="672A0DE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364F8B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上海市降尺度空气质量预测智能体建设-能力构建与流程编排-工具开发及框架集成</w:t>
            </w:r>
          </w:p>
        </w:tc>
        <w:tc>
          <w:tcPr>
            <w:tcW w:w="3928" w:type="dxa"/>
            <w:tcBorders>
              <w:top w:val="nil"/>
              <w:left w:val="nil"/>
              <w:bottom w:val="single" w:color="auto" w:sz="4" w:space="0"/>
              <w:right w:val="single" w:color="auto" w:sz="4" w:space="0"/>
            </w:tcBorders>
            <w:vAlign w:val="center"/>
          </w:tcPr>
          <w:p w14:paraId="63A75AF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集成城市降尺度模型、可视化引擎，支持多平台数据交互。</w:t>
            </w:r>
          </w:p>
        </w:tc>
      </w:tr>
      <w:tr w14:paraId="21A1E716">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7BFEC9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452</w:t>
            </w:r>
          </w:p>
        </w:tc>
        <w:tc>
          <w:tcPr>
            <w:tcW w:w="2028" w:type="dxa"/>
            <w:vMerge w:val="continue"/>
            <w:tcBorders>
              <w:top w:val="nil"/>
              <w:left w:val="single" w:color="auto" w:sz="4" w:space="0"/>
              <w:bottom w:val="single" w:color="000000" w:sz="4" w:space="0"/>
              <w:right w:val="single" w:color="auto" w:sz="4" w:space="0"/>
            </w:tcBorders>
            <w:vAlign w:val="center"/>
          </w:tcPr>
          <w:p w14:paraId="48E38EE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CEF1DE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上海市降尺度空气质量预测智能体建设-能力构建与流程编排-流程编排与逻辑控制</w:t>
            </w:r>
          </w:p>
        </w:tc>
        <w:tc>
          <w:tcPr>
            <w:tcW w:w="3928" w:type="dxa"/>
            <w:tcBorders>
              <w:top w:val="nil"/>
              <w:left w:val="nil"/>
              <w:bottom w:val="single" w:color="auto" w:sz="4" w:space="0"/>
              <w:right w:val="single" w:color="auto" w:sz="4" w:space="0"/>
            </w:tcBorders>
            <w:vAlign w:val="center"/>
          </w:tcPr>
          <w:p w14:paraId="5C5AC76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支持站点数据驱动的短临预测动态刷新，自动重设参数并调用最新区域预报作为输入，形成闭环控制。</w:t>
            </w:r>
          </w:p>
        </w:tc>
      </w:tr>
      <w:tr w14:paraId="511B851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B2AF0D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453</w:t>
            </w:r>
          </w:p>
        </w:tc>
        <w:tc>
          <w:tcPr>
            <w:tcW w:w="2028" w:type="dxa"/>
            <w:vMerge w:val="continue"/>
            <w:tcBorders>
              <w:top w:val="nil"/>
              <w:left w:val="single" w:color="auto" w:sz="4" w:space="0"/>
              <w:bottom w:val="single" w:color="000000" w:sz="4" w:space="0"/>
              <w:right w:val="single" w:color="auto" w:sz="4" w:space="0"/>
            </w:tcBorders>
            <w:vAlign w:val="center"/>
          </w:tcPr>
          <w:p w14:paraId="1966244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E8A65C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上海市降尺度空气质量预测智能体建设-上下文与多轮对话管理-上下文建模与状态管理</w:t>
            </w:r>
          </w:p>
        </w:tc>
        <w:tc>
          <w:tcPr>
            <w:tcW w:w="3928" w:type="dxa"/>
            <w:tcBorders>
              <w:top w:val="nil"/>
              <w:left w:val="nil"/>
              <w:bottom w:val="single" w:color="auto" w:sz="4" w:space="0"/>
              <w:right w:val="single" w:color="auto" w:sz="4" w:space="0"/>
            </w:tcBorders>
            <w:vAlign w:val="center"/>
          </w:tcPr>
          <w:p w14:paraId="1E70312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存储城市预测任务的空间分辨率、分区划分与时间跨度，便于持续追踪和比对不同版本预测。</w:t>
            </w:r>
          </w:p>
        </w:tc>
      </w:tr>
      <w:tr w14:paraId="02D338AA">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7CE3D0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454</w:t>
            </w:r>
          </w:p>
        </w:tc>
        <w:tc>
          <w:tcPr>
            <w:tcW w:w="2028" w:type="dxa"/>
            <w:vMerge w:val="continue"/>
            <w:tcBorders>
              <w:top w:val="nil"/>
              <w:left w:val="single" w:color="auto" w:sz="4" w:space="0"/>
              <w:bottom w:val="single" w:color="000000" w:sz="4" w:space="0"/>
              <w:right w:val="single" w:color="auto" w:sz="4" w:space="0"/>
            </w:tcBorders>
            <w:vAlign w:val="center"/>
          </w:tcPr>
          <w:p w14:paraId="2E07A4F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6512BE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上海市降尺度空气质量预测智能体建设-上下文与多轮对话管理-用户画像与长期记忆机制</w:t>
            </w:r>
          </w:p>
        </w:tc>
        <w:tc>
          <w:tcPr>
            <w:tcW w:w="3928" w:type="dxa"/>
            <w:tcBorders>
              <w:top w:val="nil"/>
              <w:left w:val="nil"/>
              <w:bottom w:val="single" w:color="auto" w:sz="4" w:space="0"/>
              <w:right w:val="single" w:color="auto" w:sz="4" w:space="0"/>
            </w:tcBorders>
            <w:vAlign w:val="center"/>
          </w:tcPr>
          <w:p w14:paraId="230E9E1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根据用户类型（如市政府部门、街道办、科研机构）存储特定数据关注点与图表需求。</w:t>
            </w:r>
          </w:p>
        </w:tc>
      </w:tr>
      <w:tr w14:paraId="48B5B77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C318B9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455</w:t>
            </w:r>
          </w:p>
        </w:tc>
        <w:tc>
          <w:tcPr>
            <w:tcW w:w="2028" w:type="dxa"/>
            <w:vMerge w:val="continue"/>
            <w:tcBorders>
              <w:top w:val="nil"/>
              <w:left w:val="single" w:color="auto" w:sz="4" w:space="0"/>
              <w:bottom w:val="single" w:color="000000" w:sz="4" w:space="0"/>
              <w:right w:val="single" w:color="auto" w:sz="4" w:space="0"/>
            </w:tcBorders>
            <w:vAlign w:val="center"/>
          </w:tcPr>
          <w:p w14:paraId="13C5757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938B4B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上海市降尺度空气质量预测智能体建设-上下文与多轮对话管理-多会话并行与多用户管理</w:t>
            </w:r>
          </w:p>
        </w:tc>
        <w:tc>
          <w:tcPr>
            <w:tcW w:w="3928" w:type="dxa"/>
            <w:tcBorders>
              <w:top w:val="nil"/>
              <w:left w:val="nil"/>
              <w:bottom w:val="single" w:color="auto" w:sz="4" w:space="0"/>
              <w:right w:val="single" w:color="auto" w:sz="4" w:space="0"/>
            </w:tcBorders>
            <w:vAlign w:val="center"/>
          </w:tcPr>
          <w:p w14:paraId="2F78CF4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支持多行政区预测任务的并行执行，并保持各自独立的上下文状态。</w:t>
            </w:r>
          </w:p>
        </w:tc>
      </w:tr>
      <w:tr w14:paraId="1609B0A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E4CC2D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456</w:t>
            </w:r>
          </w:p>
        </w:tc>
        <w:tc>
          <w:tcPr>
            <w:tcW w:w="2028" w:type="dxa"/>
            <w:vMerge w:val="continue"/>
            <w:tcBorders>
              <w:top w:val="nil"/>
              <w:left w:val="single" w:color="auto" w:sz="4" w:space="0"/>
              <w:bottom w:val="single" w:color="000000" w:sz="4" w:space="0"/>
              <w:right w:val="single" w:color="auto" w:sz="4" w:space="0"/>
            </w:tcBorders>
            <w:vAlign w:val="center"/>
          </w:tcPr>
          <w:p w14:paraId="61DBDE8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AF4462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上海市降尺度空气质量预测智能体建设-智能体持续学习与优化-用户反馈与标注方案</w:t>
            </w:r>
          </w:p>
        </w:tc>
        <w:tc>
          <w:tcPr>
            <w:tcW w:w="3928" w:type="dxa"/>
            <w:tcBorders>
              <w:top w:val="nil"/>
              <w:left w:val="nil"/>
              <w:bottom w:val="single" w:color="auto" w:sz="4" w:space="0"/>
              <w:right w:val="single" w:color="auto" w:sz="4" w:space="0"/>
            </w:tcBorders>
            <w:vAlign w:val="center"/>
          </w:tcPr>
          <w:p w14:paraId="1833CB4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收集实际监测数据与预测结果的偏差，结合用户反馈修正城市降尺度模型参数。</w:t>
            </w:r>
          </w:p>
        </w:tc>
      </w:tr>
      <w:tr w14:paraId="5748D9C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CCB561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457</w:t>
            </w:r>
          </w:p>
        </w:tc>
        <w:tc>
          <w:tcPr>
            <w:tcW w:w="2028" w:type="dxa"/>
            <w:vMerge w:val="continue"/>
            <w:tcBorders>
              <w:top w:val="nil"/>
              <w:left w:val="single" w:color="auto" w:sz="4" w:space="0"/>
              <w:bottom w:val="single" w:color="000000" w:sz="4" w:space="0"/>
              <w:right w:val="single" w:color="auto" w:sz="4" w:space="0"/>
            </w:tcBorders>
            <w:vAlign w:val="center"/>
          </w:tcPr>
          <w:p w14:paraId="6FB3164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46BBFF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上海市降尺度空气质量预测智能体建设-智能体评估与部署-方案设计</w:t>
            </w:r>
          </w:p>
        </w:tc>
        <w:tc>
          <w:tcPr>
            <w:tcW w:w="3928" w:type="dxa"/>
            <w:tcBorders>
              <w:top w:val="nil"/>
              <w:left w:val="nil"/>
              <w:bottom w:val="single" w:color="auto" w:sz="4" w:space="0"/>
              <w:right w:val="single" w:color="auto" w:sz="4" w:space="0"/>
            </w:tcBorders>
            <w:vAlign w:val="center"/>
          </w:tcPr>
          <w:p w14:paraId="74B177A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部署轻量化降尺度预测框架，优化运行效率以适配高频次任务需求。</w:t>
            </w:r>
          </w:p>
        </w:tc>
      </w:tr>
      <w:tr w14:paraId="6F28268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0D673B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458</w:t>
            </w:r>
          </w:p>
        </w:tc>
        <w:tc>
          <w:tcPr>
            <w:tcW w:w="2028" w:type="dxa"/>
            <w:vMerge w:val="continue"/>
            <w:tcBorders>
              <w:top w:val="nil"/>
              <w:left w:val="single" w:color="auto" w:sz="4" w:space="0"/>
              <w:bottom w:val="single" w:color="000000" w:sz="4" w:space="0"/>
              <w:right w:val="single" w:color="auto" w:sz="4" w:space="0"/>
            </w:tcBorders>
            <w:vAlign w:val="center"/>
          </w:tcPr>
          <w:p w14:paraId="5E21181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6A59BB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上海市降尺度空气质量预测智能体建设-智能体评估与部署-可用性评测</w:t>
            </w:r>
          </w:p>
        </w:tc>
        <w:tc>
          <w:tcPr>
            <w:tcW w:w="3928" w:type="dxa"/>
            <w:tcBorders>
              <w:top w:val="nil"/>
              <w:left w:val="nil"/>
              <w:bottom w:val="single" w:color="auto" w:sz="4" w:space="0"/>
              <w:right w:val="single" w:color="auto" w:sz="4" w:space="0"/>
            </w:tcBorders>
            <w:vAlign w:val="center"/>
          </w:tcPr>
          <w:p w14:paraId="0A54B81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检查预测任务的更新延迟、图表渲染速度和平台兼容性。</w:t>
            </w:r>
          </w:p>
        </w:tc>
      </w:tr>
      <w:tr w14:paraId="655D5EF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25BA5E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459</w:t>
            </w:r>
          </w:p>
        </w:tc>
        <w:tc>
          <w:tcPr>
            <w:tcW w:w="2028" w:type="dxa"/>
            <w:vMerge w:val="continue"/>
            <w:tcBorders>
              <w:top w:val="nil"/>
              <w:left w:val="single" w:color="auto" w:sz="4" w:space="0"/>
              <w:bottom w:val="single" w:color="000000" w:sz="4" w:space="0"/>
              <w:right w:val="single" w:color="auto" w:sz="4" w:space="0"/>
            </w:tcBorders>
            <w:vAlign w:val="center"/>
          </w:tcPr>
          <w:p w14:paraId="40F9194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F4BFB8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上海市降尺度空气质量预测智能体建设-智能体评估与部署-安全性评测</w:t>
            </w:r>
          </w:p>
        </w:tc>
        <w:tc>
          <w:tcPr>
            <w:tcW w:w="3928" w:type="dxa"/>
            <w:tcBorders>
              <w:top w:val="nil"/>
              <w:left w:val="nil"/>
              <w:bottom w:val="single" w:color="auto" w:sz="4" w:space="0"/>
              <w:right w:val="single" w:color="auto" w:sz="4" w:space="0"/>
            </w:tcBorders>
            <w:vAlign w:val="center"/>
          </w:tcPr>
          <w:p w14:paraId="10FD6D7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保障城市敏感监测数据的访问安全，防止非法调用或篡改。</w:t>
            </w:r>
          </w:p>
        </w:tc>
      </w:tr>
      <w:tr w14:paraId="4E1CDF0A">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A1244A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460</w:t>
            </w:r>
          </w:p>
        </w:tc>
        <w:tc>
          <w:tcPr>
            <w:tcW w:w="2028" w:type="dxa"/>
            <w:vMerge w:val="continue"/>
            <w:tcBorders>
              <w:top w:val="nil"/>
              <w:left w:val="single" w:color="auto" w:sz="4" w:space="0"/>
              <w:bottom w:val="single" w:color="000000" w:sz="4" w:space="0"/>
              <w:right w:val="single" w:color="auto" w:sz="4" w:space="0"/>
            </w:tcBorders>
            <w:vAlign w:val="center"/>
          </w:tcPr>
          <w:p w14:paraId="39DFFF8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15B91F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上海市降尺度空气质量预测智能体建设-智能体评估与部署-智能体部署</w:t>
            </w:r>
          </w:p>
        </w:tc>
        <w:tc>
          <w:tcPr>
            <w:tcW w:w="3928" w:type="dxa"/>
            <w:tcBorders>
              <w:top w:val="nil"/>
              <w:left w:val="nil"/>
              <w:bottom w:val="single" w:color="auto" w:sz="4" w:space="0"/>
              <w:right w:val="single" w:color="auto" w:sz="4" w:space="0"/>
            </w:tcBorders>
            <w:vAlign w:val="center"/>
          </w:tcPr>
          <w:p w14:paraId="10FCD24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采用模块化部署架构，支持在本地政务云或市级数据中心运行，并与区域智能体数据无缝对接。</w:t>
            </w:r>
          </w:p>
        </w:tc>
      </w:tr>
      <w:tr w14:paraId="7F5F5418">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4A5614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461</w:t>
            </w:r>
          </w:p>
        </w:tc>
        <w:tc>
          <w:tcPr>
            <w:tcW w:w="2028" w:type="dxa"/>
            <w:vMerge w:val="restart"/>
            <w:tcBorders>
              <w:top w:val="nil"/>
              <w:left w:val="single" w:color="auto" w:sz="4" w:space="0"/>
              <w:bottom w:val="single" w:color="000000" w:sz="4" w:space="0"/>
              <w:right w:val="single" w:color="auto" w:sz="4" w:space="0"/>
            </w:tcBorders>
            <w:vAlign w:val="center"/>
          </w:tcPr>
          <w:p w14:paraId="1791575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大气污染溯源大模型</w:t>
            </w:r>
          </w:p>
        </w:tc>
        <w:tc>
          <w:tcPr>
            <w:tcW w:w="1642" w:type="dxa"/>
            <w:tcBorders>
              <w:top w:val="nil"/>
              <w:left w:val="nil"/>
              <w:bottom w:val="single" w:color="auto" w:sz="4" w:space="0"/>
              <w:right w:val="single" w:color="auto" w:sz="4" w:space="0"/>
            </w:tcBorders>
            <w:vAlign w:val="center"/>
          </w:tcPr>
          <w:p w14:paraId="3DD0F5E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数据预处理-数据采集-结构化数据采集</w:t>
            </w:r>
          </w:p>
        </w:tc>
        <w:tc>
          <w:tcPr>
            <w:tcW w:w="3928" w:type="dxa"/>
            <w:tcBorders>
              <w:top w:val="nil"/>
              <w:left w:val="nil"/>
              <w:bottom w:val="single" w:color="auto" w:sz="4" w:space="0"/>
              <w:right w:val="single" w:color="auto" w:sz="4" w:space="0"/>
            </w:tcBorders>
            <w:vAlign w:val="center"/>
          </w:tcPr>
          <w:p w14:paraId="14759EF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结构化数据采集，包含监测站点基础信息、实时监测指标、历史数据记录、源谱特征库等核心业务数据。</w:t>
            </w:r>
          </w:p>
        </w:tc>
      </w:tr>
      <w:tr w14:paraId="2448D25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72A270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462</w:t>
            </w:r>
          </w:p>
        </w:tc>
        <w:tc>
          <w:tcPr>
            <w:tcW w:w="2028" w:type="dxa"/>
            <w:vMerge w:val="continue"/>
            <w:tcBorders>
              <w:top w:val="nil"/>
              <w:left w:val="single" w:color="auto" w:sz="4" w:space="0"/>
              <w:bottom w:val="single" w:color="000000" w:sz="4" w:space="0"/>
              <w:right w:val="single" w:color="auto" w:sz="4" w:space="0"/>
            </w:tcBorders>
            <w:vAlign w:val="center"/>
          </w:tcPr>
          <w:p w14:paraId="77286A1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47B152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数据预处理-数据采集-非结构化数据采集</w:t>
            </w:r>
          </w:p>
        </w:tc>
        <w:tc>
          <w:tcPr>
            <w:tcW w:w="3928" w:type="dxa"/>
            <w:tcBorders>
              <w:top w:val="nil"/>
              <w:left w:val="nil"/>
              <w:bottom w:val="single" w:color="auto" w:sz="4" w:space="0"/>
              <w:right w:val="single" w:color="auto" w:sz="4" w:space="0"/>
            </w:tcBorders>
            <w:vAlign w:val="center"/>
          </w:tcPr>
          <w:p w14:paraId="60E74B8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非结构化数据采集，主要包括法律法规、报告模板和涉及规范规则等数据。</w:t>
            </w:r>
          </w:p>
        </w:tc>
      </w:tr>
      <w:tr w14:paraId="39CAB3F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8B9D66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463</w:t>
            </w:r>
          </w:p>
        </w:tc>
        <w:tc>
          <w:tcPr>
            <w:tcW w:w="2028" w:type="dxa"/>
            <w:vMerge w:val="continue"/>
            <w:tcBorders>
              <w:top w:val="nil"/>
              <w:left w:val="single" w:color="auto" w:sz="4" w:space="0"/>
              <w:bottom w:val="single" w:color="000000" w:sz="4" w:space="0"/>
              <w:right w:val="single" w:color="auto" w:sz="4" w:space="0"/>
            </w:tcBorders>
            <w:vAlign w:val="center"/>
          </w:tcPr>
          <w:p w14:paraId="2C62165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A00C06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数据预处理-数据处理-格式规范化</w:t>
            </w:r>
          </w:p>
        </w:tc>
        <w:tc>
          <w:tcPr>
            <w:tcW w:w="3928" w:type="dxa"/>
            <w:tcBorders>
              <w:top w:val="nil"/>
              <w:left w:val="nil"/>
              <w:bottom w:val="single" w:color="auto" w:sz="4" w:space="0"/>
              <w:right w:val="single" w:color="auto" w:sz="4" w:space="0"/>
            </w:tcBorders>
            <w:vAlign w:val="center"/>
          </w:tcPr>
          <w:p w14:paraId="19E3233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统一所有数据的时间格式，确保时间记录规范一致，便于后续时间序列分析。对于数值型数据，统一单位，消除因单位不统一带来的计算误差。</w:t>
            </w:r>
          </w:p>
        </w:tc>
      </w:tr>
      <w:tr w14:paraId="73BA14E9">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30680E4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464</w:t>
            </w:r>
          </w:p>
        </w:tc>
        <w:tc>
          <w:tcPr>
            <w:tcW w:w="2028" w:type="dxa"/>
            <w:vMerge w:val="continue"/>
            <w:tcBorders>
              <w:top w:val="nil"/>
              <w:left w:val="single" w:color="auto" w:sz="4" w:space="0"/>
              <w:bottom w:val="single" w:color="000000" w:sz="4" w:space="0"/>
              <w:right w:val="single" w:color="auto" w:sz="4" w:space="0"/>
            </w:tcBorders>
            <w:vAlign w:val="center"/>
          </w:tcPr>
          <w:p w14:paraId="22F7E4E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B152D1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数据预处理-接口服务-元数据接口</w:t>
            </w:r>
          </w:p>
        </w:tc>
        <w:tc>
          <w:tcPr>
            <w:tcW w:w="3928" w:type="dxa"/>
            <w:tcBorders>
              <w:top w:val="nil"/>
              <w:left w:val="nil"/>
              <w:bottom w:val="single" w:color="auto" w:sz="4" w:space="0"/>
              <w:right w:val="single" w:color="auto" w:sz="4" w:space="0"/>
            </w:tcBorders>
            <w:vAlign w:val="center"/>
          </w:tcPr>
          <w:p w14:paraId="1670780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提供源谱数据、工业区排口数据、报警因子库等查询和更新接口。</w:t>
            </w:r>
          </w:p>
        </w:tc>
      </w:tr>
      <w:tr w14:paraId="2F514CFA">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44C1237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465</w:t>
            </w:r>
          </w:p>
        </w:tc>
        <w:tc>
          <w:tcPr>
            <w:tcW w:w="2028" w:type="dxa"/>
            <w:vMerge w:val="continue"/>
            <w:tcBorders>
              <w:top w:val="nil"/>
              <w:left w:val="single" w:color="auto" w:sz="4" w:space="0"/>
              <w:bottom w:val="single" w:color="000000" w:sz="4" w:space="0"/>
              <w:right w:val="single" w:color="auto" w:sz="4" w:space="0"/>
            </w:tcBorders>
            <w:vAlign w:val="center"/>
          </w:tcPr>
          <w:p w14:paraId="407A203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8338AB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数据预处理-接口服务-知识库接口</w:t>
            </w:r>
          </w:p>
        </w:tc>
        <w:tc>
          <w:tcPr>
            <w:tcW w:w="3928" w:type="dxa"/>
            <w:tcBorders>
              <w:top w:val="nil"/>
              <w:left w:val="nil"/>
              <w:bottom w:val="single" w:color="auto" w:sz="4" w:space="0"/>
              <w:right w:val="single" w:color="auto" w:sz="4" w:space="0"/>
            </w:tcBorders>
            <w:vAlign w:val="center"/>
          </w:tcPr>
          <w:p w14:paraId="5C5E78E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包括知识库创建接口、删除接口、更新接口和查询接口。</w:t>
            </w:r>
          </w:p>
        </w:tc>
      </w:tr>
      <w:tr w14:paraId="39318A2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D02CD7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466</w:t>
            </w:r>
          </w:p>
        </w:tc>
        <w:tc>
          <w:tcPr>
            <w:tcW w:w="2028" w:type="dxa"/>
            <w:vMerge w:val="continue"/>
            <w:tcBorders>
              <w:top w:val="nil"/>
              <w:left w:val="single" w:color="auto" w:sz="4" w:space="0"/>
              <w:bottom w:val="single" w:color="000000" w:sz="4" w:space="0"/>
              <w:right w:val="single" w:color="auto" w:sz="4" w:space="0"/>
            </w:tcBorders>
            <w:vAlign w:val="center"/>
          </w:tcPr>
          <w:p w14:paraId="4F9216D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284100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知识库建设-知识建模与组织-知识切片</w:t>
            </w:r>
          </w:p>
        </w:tc>
        <w:tc>
          <w:tcPr>
            <w:tcW w:w="3928" w:type="dxa"/>
            <w:tcBorders>
              <w:top w:val="nil"/>
              <w:left w:val="nil"/>
              <w:bottom w:val="single" w:color="auto" w:sz="4" w:space="0"/>
              <w:right w:val="single" w:color="auto" w:sz="4" w:space="0"/>
            </w:tcBorders>
            <w:vAlign w:val="center"/>
          </w:tcPr>
          <w:p w14:paraId="0F688E8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依据业务流程（如污染事件处理流程）、知识主题（如监测技术知识、法规政策知识）划分知识片段。</w:t>
            </w:r>
          </w:p>
        </w:tc>
      </w:tr>
      <w:tr w14:paraId="5AE6F56C">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C8E706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467</w:t>
            </w:r>
          </w:p>
        </w:tc>
        <w:tc>
          <w:tcPr>
            <w:tcW w:w="2028" w:type="dxa"/>
            <w:vMerge w:val="continue"/>
            <w:tcBorders>
              <w:top w:val="nil"/>
              <w:left w:val="single" w:color="auto" w:sz="4" w:space="0"/>
              <w:bottom w:val="single" w:color="000000" w:sz="4" w:space="0"/>
              <w:right w:val="single" w:color="auto" w:sz="4" w:space="0"/>
            </w:tcBorders>
            <w:vAlign w:val="center"/>
          </w:tcPr>
          <w:p w14:paraId="3F7A347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E3CBE4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知识库建设-知识建模与组织-元信息标注</w:t>
            </w:r>
          </w:p>
        </w:tc>
        <w:tc>
          <w:tcPr>
            <w:tcW w:w="3928" w:type="dxa"/>
            <w:tcBorders>
              <w:top w:val="nil"/>
              <w:left w:val="nil"/>
              <w:bottom w:val="single" w:color="auto" w:sz="4" w:space="0"/>
              <w:right w:val="single" w:color="auto" w:sz="4" w:space="0"/>
            </w:tcBorders>
            <w:vAlign w:val="center"/>
          </w:tcPr>
          <w:p w14:paraId="0B5BC6D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为知识添加数据来源、更新时间（实时/日/月）、适用范围（特定行业/区域）等元数据标签，采用Elasticsearch 搭建分布式索引集群。</w:t>
            </w:r>
          </w:p>
        </w:tc>
      </w:tr>
      <w:tr w14:paraId="59B8DDB4">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962249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468</w:t>
            </w:r>
          </w:p>
        </w:tc>
        <w:tc>
          <w:tcPr>
            <w:tcW w:w="2028" w:type="dxa"/>
            <w:vMerge w:val="continue"/>
            <w:tcBorders>
              <w:top w:val="nil"/>
              <w:left w:val="single" w:color="auto" w:sz="4" w:space="0"/>
              <w:bottom w:val="single" w:color="000000" w:sz="4" w:space="0"/>
              <w:right w:val="single" w:color="auto" w:sz="4" w:space="0"/>
            </w:tcBorders>
            <w:vAlign w:val="center"/>
          </w:tcPr>
          <w:p w14:paraId="7522DEC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5C9EA1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知识库建设-知识建模与组织-知识图谱建模</w:t>
            </w:r>
          </w:p>
        </w:tc>
        <w:tc>
          <w:tcPr>
            <w:tcW w:w="3928" w:type="dxa"/>
            <w:tcBorders>
              <w:top w:val="nil"/>
              <w:left w:val="nil"/>
              <w:bottom w:val="single" w:color="auto" w:sz="4" w:space="0"/>
              <w:right w:val="single" w:color="auto" w:sz="4" w:space="0"/>
            </w:tcBorders>
            <w:vAlign w:val="center"/>
          </w:tcPr>
          <w:p w14:paraId="3E262DD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基于Neo4j图数据库构建分布式知识图谱，采用 “核心实体-关联实体-属性边” 的三层架构。</w:t>
            </w:r>
          </w:p>
        </w:tc>
      </w:tr>
      <w:tr w14:paraId="220F0868">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41E2B5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469</w:t>
            </w:r>
          </w:p>
        </w:tc>
        <w:tc>
          <w:tcPr>
            <w:tcW w:w="2028" w:type="dxa"/>
            <w:vMerge w:val="continue"/>
            <w:tcBorders>
              <w:top w:val="nil"/>
              <w:left w:val="single" w:color="auto" w:sz="4" w:space="0"/>
              <w:bottom w:val="single" w:color="000000" w:sz="4" w:space="0"/>
              <w:right w:val="single" w:color="auto" w:sz="4" w:space="0"/>
            </w:tcBorders>
            <w:vAlign w:val="center"/>
          </w:tcPr>
          <w:p w14:paraId="34727AF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6E4D41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知识库建设-知识建模与组织-知识抽取</w:t>
            </w:r>
          </w:p>
        </w:tc>
        <w:tc>
          <w:tcPr>
            <w:tcW w:w="3928" w:type="dxa"/>
            <w:tcBorders>
              <w:top w:val="nil"/>
              <w:left w:val="nil"/>
              <w:bottom w:val="single" w:color="auto" w:sz="4" w:space="0"/>
              <w:right w:val="single" w:color="auto" w:sz="4" w:space="0"/>
            </w:tcBorders>
            <w:vAlign w:val="center"/>
          </w:tcPr>
          <w:p w14:paraId="33AA29B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建立多维度实体识别体系，通过正则表达式与深度学习模型（如BERT+CRF）结合的方式，从各类文档、数据中抽取监测站点、污染物、企业、气象参数等核心实体。</w:t>
            </w:r>
          </w:p>
        </w:tc>
      </w:tr>
      <w:tr w14:paraId="02D33D4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5C236B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470</w:t>
            </w:r>
          </w:p>
        </w:tc>
        <w:tc>
          <w:tcPr>
            <w:tcW w:w="2028" w:type="dxa"/>
            <w:vMerge w:val="continue"/>
            <w:tcBorders>
              <w:top w:val="nil"/>
              <w:left w:val="single" w:color="auto" w:sz="4" w:space="0"/>
              <w:bottom w:val="single" w:color="000000" w:sz="4" w:space="0"/>
              <w:right w:val="single" w:color="auto" w:sz="4" w:space="0"/>
            </w:tcBorders>
            <w:vAlign w:val="center"/>
          </w:tcPr>
          <w:p w14:paraId="76BA593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5FD25B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知识库建设-知识更新与进化-变更检测与版本管理</w:t>
            </w:r>
          </w:p>
        </w:tc>
        <w:tc>
          <w:tcPr>
            <w:tcW w:w="3928" w:type="dxa"/>
            <w:tcBorders>
              <w:top w:val="nil"/>
              <w:left w:val="nil"/>
              <w:bottom w:val="single" w:color="auto" w:sz="4" w:space="0"/>
              <w:right w:val="single" w:color="auto" w:sz="4" w:space="0"/>
            </w:tcBorders>
            <w:vAlign w:val="center"/>
          </w:tcPr>
          <w:p w14:paraId="3B9CA0D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知识每日定期更新管理，通过主键判断需更新时，将旧文档存历史列表并标注版本号，支持按版本号、时间区间回溯，确保可追溯性与准确性。</w:t>
            </w:r>
          </w:p>
        </w:tc>
      </w:tr>
      <w:tr w14:paraId="5913DE3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CE1EF0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471</w:t>
            </w:r>
          </w:p>
        </w:tc>
        <w:tc>
          <w:tcPr>
            <w:tcW w:w="2028" w:type="dxa"/>
            <w:vMerge w:val="continue"/>
            <w:tcBorders>
              <w:top w:val="nil"/>
              <w:left w:val="single" w:color="auto" w:sz="4" w:space="0"/>
              <w:bottom w:val="single" w:color="000000" w:sz="4" w:space="0"/>
              <w:right w:val="single" w:color="auto" w:sz="4" w:space="0"/>
            </w:tcBorders>
            <w:vAlign w:val="center"/>
          </w:tcPr>
          <w:p w14:paraId="029CE36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7CBAB0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知识库建设-知识更新与进化-用户行为驱动进化</w:t>
            </w:r>
          </w:p>
        </w:tc>
        <w:tc>
          <w:tcPr>
            <w:tcW w:w="3928" w:type="dxa"/>
            <w:tcBorders>
              <w:top w:val="nil"/>
              <w:left w:val="nil"/>
              <w:bottom w:val="single" w:color="auto" w:sz="4" w:space="0"/>
              <w:right w:val="single" w:color="auto" w:sz="4" w:space="0"/>
            </w:tcBorders>
            <w:vAlign w:val="center"/>
          </w:tcPr>
          <w:p w14:paraId="3B6CD42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构建以用户行为数据为核心的动态进化机制，通过热度分析、知识重排序与人类增强反馈的协同作用，实现知识库的精准迭代。</w:t>
            </w:r>
          </w:p>
        </w:tc>
      </w:tr>
      <w:tr w14:paraId="6426257C">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A41D6F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472</w:t>
            </w:r>
          </w:p>
        </w:tc>
        <w:tc>
          <w:tcPr>
            <w:tcW w:w="2028" w:type="dxa"/>
            <w:vMerge w:val="continue"/>
            <w:tcBorders>
              <w:top w:val="nil"/>
              <w:left w:val="single" w:color="auto" w:sz="4" w:space="0"/>
              <w:bottom w:val="single" w:color="000000" w:sz="4" w:space="0"/>
              <w:right w:val="single" w:color="auto" w:sz="4" w:space="0"/>
            </w:tcBorders>
            <w:vAlign w:val="center"/>
          </w:tcPr>
          <w:p w14:paraId="7AE00DB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07B968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智能体建设-角色与对话框架设计-角色设定与身份管理</w:t>
            </w:r>
          </w:p>
        </w:tc>
        <w:tc>
          <w:tcPr>
            <w:tcW w:w="3928" w:type="dxa"/>
            <w:tcBorders>
              <w:top w:val="nil"/>
              <w:left w:val="nil"/>
              <w:bottom w:val="single" w:color="auto" w:sz="4" w:space="0"/>
              <w:right w:val="single" w:color="auto" w:sz="4" w:space="0"/>
            </w:tcBorders>
            <w:vAlign w:val="center"/>
          </w:tcPr>
          <w:p w14:paraId="204A798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针对环保监测管理人员和应急处置团队等不同用户，设计差异化交互逻辑。</w:t>
            </w:r>
          </w:p>
        </w:tc>
      </w:tr>
      <w:tr w14:paraId="0B8E975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678F6C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473</w:t>
            </w:r>
          </w:p>
        </w:tc>
        <w:tc>
          <w:tcPr>
            <w:tcW w:w="2028" w:type="dxa"/>
            <w:vMerge w:val="continue"/>
            <w:tcBorders>
              <w:top w:val="nil"/>
              <w:left w:val="single" w:color="auto" w:sz="4" w:space="0"/>
              <w:bottom w:val="single" w:color="000000" w:sz="4" w:space="0"/>
              <w:right w:val="single" w:color="auto" w:sz="4" w:space="0"/>
            </w:tcBorders>
            <w:vAlign w:val="center"/>
          </w:tcPr>
          <w:p w14:paraId="09A001A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A6CBAA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智能体建设-角色与对话框架设计-对话流程设计与结构化脚本</w:t>
            </w:r>
          </w:p>
        </w:tc>
        <w:tc>
          <w:tcPr>
            <w:tcW w:w="3928" w:type="dxa"/>
            <w:tcBorders>
              <w:top w:val="nil"/>
              <w:left w:val="nil"/>
              <w:bottom w:val="single" w:color="auto" w:sz="4" w:space="0"/>
              <w:right w:val="single" w:color="auto" w:sz="4" w:space="0"/>
            </w:tcBorders>
            <w:vAlign w:val="center"/>
          </w:tcPr>
          <w:p w14:paraId="1840DDE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搭建多轮对话标准流程，从接收报警数据开始，依次完成初步分析、用户确认、深度溯源和结论生成，最终整合数据形成结构化分析报告。</w:t>
            </w:r>
          </w:p>
        </w:tc>
      </w:tr>
      <w:tr w14:paraId="5554CE8B">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85131C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474</w:t>
            </w:r>
          </w:p>
        </w:tc>
        <w:tc>
          <w:tcPr>
            <w:tcW w:w="2028" w:type="dxa"/>
            <w:vMerge w:val="continue"/>
            <w:tcBorders>
              <w:top w:val="nil"/>
              <w:left w:val="single" w:color="auto" w:sz="4" w:space="0"/>
              <w:bottom w:val="single" w:color="000000" w:sz="4" w:space="0"/>
              <w:right w:val="single" w:color="auto" w:sz="4" w:space="0"/>
            </w:tcBorders>
            <w:vAlign w:val="center"/>
          </w:tcPr>
          <w:p w14:paraId="5DEEC60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C30D43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智能体建设-能力构建与流程编排-提示词工程</w:t>
            </w:r>
          </w:p>
        </w:tc>
        <w:tc>
          <w:tcPr>
            <w:tcW w:w="3928" w:type="dxa"/>
            <w:tcBorders>
              <w:top w:val="nil"/>
              <w:left w:val="nil"/>
              <w:bottom w:val="single" w:color="auto" w:sz="4" w:space="0"/>
              <w:right w:val="single" w:color="auto" w:sz="4" w:space="0"/>
            </w:tcBorders>
            <w:vAlign w:val="center"/>
          </w:tcPr>
          <w:p w14:paraId="68490BC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构建分层提示词体系体系，融入动态参数与逻辑链引导，提升模型在复杂场景的推理逻辑性与响应准确率，并基于历史案例持续优化提示词。</w:t>
            </w:r>
          </w:p>
        </w:tc>
      </w:tr>
      <w:tr w14:paraId="2272EEEC">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18485C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475</w:t>
            </w:r>
          </w:p>
        </w:tc>
        <w:tc>
          <w:tcPr>
            <w:tcW w:w="2028" w:type="dxa"/>
            <w:vMerge w:val="continue"/>
            <w:tcBorders>
              <w:top w:val="nil"/>
              <w:left w:val="single" w:color="auto" w:sz="4" w:space="0"/>
              <w:bottom w:val="single" w:color="000000" w:sz="4" w:space="0"/>
              <w:right w:val="single" w:color="auto" w:sz="4" w:space="0"/>
            </w:tcBorders>
            <w:vAlign w:val="center"/>
          </w:tcPr>
          <w:p w14:paraId="440C467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5F7CE5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智能体建设-能力构建与流程编排-知识工程</w:t>
            </w:r>
          </w:p>
        </w:tc>
        <w:tc>
          <w:tcPr>
            <w:tcW w:w="3928" w:type="dxa"/>
            <w:tcBorders>
              <w:top w:val="nil"/>
              <w:left w:val="nil"/>
              <w:bottom w:val="single" w:color="auto" w:sz="4" w:space="0"/>
              <w:right w:val="single" w:color="auto" w:sz="4" w:space="0"/>
            </w:tcBorders>
            <w:vAlign w:val="center"/>
          </w:tcPr>
          <w:p w14:paraId="2EB2F52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构建多层级知识增强体系，从实体、关系到知识融合层进行优化，新增关键属性与动态权重，提升污染源贡献度计算精度。</w:t>
            </w:r>
          </w:p>
        </w:tc>
      </w:tr>
      <w:tr w14:paraId="49E82FB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E4497D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476</w:t>
            </w:r>
          </w:p>
        </w:tc>
        <w:tc>
          <w:tcPr>
            <w:tcW w:w="2028" w:type="dxa"/>
            <w:vMerge w:val="continue"/>
            <w:tcBorders>
              <w:top w:val="nil"/>
              <w:left w:val="single" w:color="auto" w:sz="4" w:space="0"/>
              <w:bottom w:val="single" w:color="000000" w:sz="4" w:space="0"/>
              <w:right w:val="single" w:color="auto" w:sz="4" w:space="0"/>
            </w:tcBorders>
            <w:vAlign w:val="center"/>
          </w:tcPr>
          <w:p w14:paraId="1882179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1CF680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智能体建设-能力构建与流程编排-工具开发及框架集成</w:t>
            </w:r>
          </w:p>
        </w:tc>
        <w:tc>
          <w:tcPr>
            <w:tcW w:w="3928" w:type="dxa"/>
            <w:tcBorders>
              <w:top w:val="nil"/>
              <w:left w:val="nil"/>
              <w:bottom w:val="single" w:color="auto" w:sz="4" w:space="0"/>
              <w:right w:val="single" w:color="auto" w:sz="4" w:space="0"/>
            </w:tcBorders>
            <w:vAlign w:val="center"/>
          </w:tcPr>
          <w:p w14:paraId="1CD59CA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开发场景专属工具集，优化源谱匹配等核心工具，采用微服务架构集成工具，运用优先级规则与API网关，实现工具与大模型的高效联动，缩短响应时间。</w:t>
            </w:r>
          </w:p>
        </w:tc>
      </w:tr>
      <w:tr w14:paraId="3A90257A">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B7ACF3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477</w:t>
            </w:r>
          </w:p>
        </w:tc>
        <w:tc>
          <w:tcPr>
            <w:tcW w:w="2028" w:type="dxa"/>
            <w:vMerge w:val="continue"/>
            <w:tcBorders>
              <w:top w:val="nil"/>
              <w:left w:val="single" w:color="auto" w:sz="4" w:space="0"/>
              <w:bottom w:val="single" w:color="000000" w:sz="4" w:space="0"/>
              <w:right w:val="single" w:color="auto" w:sz="4" w:space="0"/>
            </w:tcBorders>
            <w:vAlign w:val="center"/>
          </w:tcPr>
          <w:p w14:paraId="616CBEC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3E0E3D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智能体建设-能力构建与流程编排-流程编排与逻辑控制</w:t>
            </w:r>
          </w:p>
        </w:tc>
        <w:tc>
          <w:tcPr>
            <w:tcW w:w="3928" w:type="dxa"/>
            <w:tcBorders>
              <w:top w:val="nil"/>
              <w:left w:val="nil"/>
              <w:bottom w:val="single" w:color="auto" w:sz="4" w:space="0"/>
              <w:right w:val="single" w:color="auto" w:sz="4" w:space="0"/>
            </w:tcBorders>
            <w:vAlign w:val="center"/>
          </w:tcPr>
          <w:p w14:paraId="0591846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搭建双层编排体系，基础流程标准化，复杂场景设柔性分支，开发流程状态机实时监控进度，遇超时自动触发资源调度机制。设置人工干预入口，保障溯源流程的稳定运行。</w:t>
            </w:r>
          </w:p>
        </w:tc>
      </w:tr>
      <w:tr w14:paraId="20163E8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6FA818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478</w:t>
            </w:r>
          </w:p>
        </w:tc>
        <w:tc>
          <w:tcPr>
            <w:tcW w:w="2028" w:type="dxa"/>
            <w:vMerge w:val="continue"/>
            <w:tcBorders>
              <w:top w:val="nil"/>
              <w:left w:val="single" w:color="auto" w:sz="4" w:space="0"/>
              <w:bottom w:val="single" w:color="000000" w:sz="4" w:space="0"/>
              <w:right w:val="single" w:color="auto" w:sz="4" w:space="0"/>
            </w:tcBorders>
            <w:vAlign w:val="center"/>
          </w:tcPr>
          <w:p w14:paraId="1348DBF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D2B28C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智能体建设-上下文与多轮对话管理-上下文建模与状态管理</w:t>
            </w:r>
          </w:p>
        </w:tc>
        <w:tc>
          <w:tcPr>
            <w:tcW w:w="3928" w:type="dxa"/>
            <w:tcBorders>
              <w:top w:val="nil"/>
              <w:left w:val="nil"/>
              <w:bottom w:val="single" w:color="auto" w:sz="4" w:space="0"/>
              <w:right w:val="single" w:color="auto" w:sz="4" w:space="0"/>
            </w:tcBorders>
            <w:vAlign w:val="center"/>
          </w:tcPr>
          <w:p w14:paraId="2BC783C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通过动态状态机机制记录多轮交互轨迹，实时捕捉用户提问逻辑与智能体回应脉络。</w:t>
            </w:r>
          </w:p>
        </w:tc>
      </w:tr>
      <w:tr w14:paraId="4DFD16E1">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069C2D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479</w:t>
            </w:r>
          </w:p>
        </w:tc>
        <w:tc>
          <w:tcPr>
            <w:tcW w:w="2028" w:type="dxa"/>
            <w:vMerge w:val="continue"/>
            <w:tcBorders>
              <w:top w:val="nil"/>
              <w:left w:val="single" w:color="auto" w:sz="4" w:space="0"/>
              <w:bottom w:val="single" w:color="000000" w:sz="4" w:space="0"/>
              <w:right w:val="single" w:color="auto" w:sz="4" w:space="0"/>
            </w:tcBorders>
            <w:vAlign w:val="center"/>
          </w:tcPr>
          <w:p w14:paraId="4463BCD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1507A0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智能体建设-上下文与多轮对话管理-用户画像与长期记忆机制</w:t>
            </w:r>
          </w:p>
        </w:tc>
        <w:tc>
          <w:tcPr>
            <w:tcW w:w="3928" w:type="dxa"/>
            <w:tcBorders>
              <w:top w:val="nil"/>
              <w:left w:val="nil"/>
              <w:bottom w:val="single" w:color="auto" w:sz="4" w:space="0"/>
              <w:right w:val="single" w:color="auto" w:sz="4" w:space="0"/>
            </w:tcBorders>
            <w:vAlign w:val="center"/>
          </w:tcPr>
          <w:p w14:paraId="4766CE1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依托Redis构建双层记忆体系：既存储监测数据，又保留对话历史。当用户再次查询时，自动调用相关历史信息形成参考基线。</w:t>
            </w:r>
          </w:p>
        </w:tc>
      </w:tr>
      <w:tr w14:paraId="3333AAA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1639D5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480</w:t>
            </w:r>
          </w:p>
        </w:tc>
        <w:tc>
          <w:tcPr>
            <w:tcW w:w="2028" w:type="dxa"/>
            <w:vMerge w:val="continue"/>
            <w:tcBorders>
              <w:top w:val="nil"/>
              <w:left w:val="single" w:color="auto" w:sz="4" w:space="0"/>
              <w:bottom w:val="single" w:color="000000" w:sz="4" w:space="0"/>
              <w:right w:val="single" w:color="auto" w:sz="4" w:space="0"/>
            </w:tcBorders>
            <w:vAlign w:val="center"/>
          </w:tcPr>
          <w:p w14:paraId="6598DAA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408A7F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智能体建设-上下文与多轮对话管理-多会话并行与多用户管理</w:t>
            </w:r>
          </w:p>
        </w:tc>
        <w:tc>
          <w:tcPr>
            <w:tcW w:w="3928" w:type="dxa"/>
            <w:tcBorders>
              <w:top w:val="nil"/>
              <w:left w:val="nil"/>
              <w:bottom w:val="single" w:color="auto" w:sz="4" w:space="0"/>
              <w:right w:val="single" w:color="auto" w:sz="4" w:space="0"/>
            </w:tcBorders>
            <w:vAlign w:val="center"/>
          </w:tcPr>
          <w:p w14:paraId="4B205A4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采用目标导向的对话引擎，根据当前状态与用户意图动态调整交互路径。</w:t>
            </w:r>
          </w:p>
        </w:tc>
      </w:tr>
      <w:tr w14:paraId="1CB91F0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025F11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481</w:t>
            </w:r>
          </w:p>
        </w:tc>
        <w:tc>
          <w:tcPr>
            <w:tcW w:w="2028" w:type="dxa"/>
            <w:vMerge w:val="continue"/>
            <w:tcBorders>
              <w:top w:val="nil"/>
              <w:left w:val="single" w:color="auto" w:sz="4" w:space="0"/>
              <w:bottom w:val="single" w:color="000000" w:sz="4" w:space="0"/>
              <w:right w:val="single" w:color="auto" w:sz="4" w:space="0"/>
            </w:tcBorders>
            <w:vAlign w:val="center"/>
          </w:tcPr>
          <w:p w14:paraId="2A9E592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7CEA1D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智能体建设-智能体评估与部署-方案设计</w:t>
            </w:r>
          </w:p>
        </w:tc>
        <w:tc>
          <w:tcPr>
            <w:tcW w:w="3928" w:type="dxa"/>
            <w:tcBorders>
              <w:top w:val="nil"/>
              <w:left w:val="nil"/>
              <w:bottom w:val="single" w:color="auto" w:sz="4" w:space="0"/>
              <w:right w:val="single" w:color="auto" w:sz="4" w:space="0"/>
            </w:tcBorders>
            <w:vAlign w:val="center"/>
          </w:tcPr>
          <w:p w14:paraId="6D2417F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结合工业区污染溯源需求，从功能、性能、适配性评估，按测试、灰度、全量三阶段部署，模拟场景、试点运行，联调接口确保接入现有业务体系。</w:t>
            </w:r>
          </w:p>
        </w:tc>
      </w:tr>
      <w:tr w14:paraId="360F2F9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4E8FCF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482</w:t>
            </w:r>
          </w:p>
        </w:tc>
        <w:tc>
          <w:tcPr>
            <w:tcW w:w="2028" w:type="dxa"/>
            <w:vMerge w:val="continue"/>
            <w:tcBorders>
              <w:top w:val="nil"/>
              <w:left w:val="single" w:color="auto" w:sz="4" w:space="0"/>
              <w:bottom w:val="single" w:color="000000" w:sz="4" w:space="0"/>
              <w:right w:val="single" w:color="auto" w:sz="4" w:space="0"/>
            </w:tcBorders>
            <w:vAlign w:val="center"/>
          </w:tcPr>
          <w:p w14:paraId="793DF90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988800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智能体建设-智能体评估与部署-可用性评测</w:t>
            </w:r>
          </w:p>
        </w:tc>
        <w:tc>
          <w:tcPr>
            <w:tcW w:w="3928" w:type="dxa"/>
            <w:tcBorders>
              <w:top w:val="nil"/>
              <w:left w:val="nil"/>
              <w:bottom w:val="single" w:color="auto" w:sz="4" w:space="0"/>
              <w:right w:val="single" w:color="auto" w:sz="4" w:space="0"/>
            </w:tcBorders>
            <w:vAlign w:val="center"/>
          </w:tcPr>
          <w:p w14:paraId="64A5573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从用户操作与业务适配两方面开展可用性评测，评估指标包括场景溯源准确性、报告解读准确率、异常场景处理满意度等。</w:t>
            </w:r>
          </w:p>
        </w:tc>
      </w:tr>
      <w:tr w14:paraId="770BEC0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FA2B66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483</w:t>
            </w:r>
          </w:p>
        </w:tc>
        <w:tc>
          <w:tcPr>
            <w:tcW w:w="2028" w:type="dxa"/>
            <w:vMerge w:val="continue"/>
            <w:tcBorders>
              <w:top w:val="nil"/>
              <w:left w:val="single" w:color="auto" w:sz="4" w:space="0"/>
              <w:bottom w:val="single" w:color="000000" w:sz="4" w:space="0"/>
              <w:right w:val="single" w:color="auto" w:sz="4" w:space="0"/>
            </w:tcBorders>
            <w:vAlign w:val="center"/>
          </w:tcPr>
          <w:p w14:paraId="203CB73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44D36C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智能体建设-智能体评估与部署-安全性评测</w:t>
            </w:r>
          </w:p>
        </w:tc>
        <w:tc>
          <w:tcPr>
            <w:tcW w:w="3928" w:type="dxa"/>
            <w:tcBorders>
              <w:top w:val="nil"/>
              <w:left w:val="nil"/>
              <w:bottom w:val="single" w:color="auto" w:sz="4" w:space="0"/>
              <w:right w:val="single" w:color="auto" w:sz="4" w:space="0"/>
            </w:tcBorders>
            <w:vAlign w:val="center"/>
          </w:tcPr>
          <w:p w14:paraId="313C72C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构建多层次安全体系，数据层验证脱敏与权限，系统层开展渗透和压力测试，合规层核查规范，保障数据与系统全流程安全合规。</w:t>
            </w:r>
          </w:p>
        </w:tc>
      </w:tr>
      <w:tr w14:paraId="306A891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F6A70B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484</w:t>
            </w:r>
          </w:p>
        </w:tc>
        <w:tc>
          <w:tcPr>
            <w:tcW w:w="2028" w:type="dxa"/>
            <w:vMerge w:val="continue"/>
            <w:tcBorders>
              <w:top w:val="nil"/>
              <w:left w:val="single" w:color="auto" w:sz="4" w:space="0"/>
              <w:bottom w:val="single" w:color="000000" w:sz="4" w:space="0"/>
              <w:right w:val="single" w:color="auto" w:sz="4" w:space="0"/>
            </w:tcBorders>
            <w:vAlign w:val="center"/>
          </w:tcPr>
          <w:p w14:paraId="5172910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332285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智能体建设-智能体评估与部署-智能体部署</w:t>
            </w:r>
          </w:p>
        </w:tc>
        <w:tc>
          <w:tcPr>
            <w:tcW w:w="3928" w:type="dxa"/>
            <w:tcBorders>
              <w:top w:val="nil"/>
              <w:left w:val="nil"/>
              <w:bottom w:val="single" w:color="auto" w:sz="4" w:space="0"/>
              <w:right w:val="single" w:color="auto" w:sz="4" w:space="0"/>
            </w:tcBorders>
            <w:vAlign w:val="center"/>
          </w:tcPr>
          <w:p w14:paraId="2641411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采用Docker容器化部署，核心组件独立封装，支持自动扩缩容，部署架构包含生产与灾备环境，配置自动化运维脚本，实现容器日志收集与版本回滚功能。</w:t>
            </w:r>
          </w:p>
        </w:tc>
      </w:tr>
      <w:tr w14:paraId="1083B7A1">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218FAC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485</w:t>
            </w:r>
          </w:p>
        </w:tc>
        <w:tc>
          <w:tcPr>
            <w:tcW w:w="2028" w:type="dxa"/>
            <w:vMerge w:val="restart"/>
            <w:tcBorders>
              <w:top w:val="nil"/>
              <w:left w:val="single" w:color="auto" w:sz="4" w:space="0"/>
              <w:bottom w:val="single" w:color="000000" w:sz="4" w:space="0"/>
              <w:right w:val="single" w:color="auto" w:sz="4" w:space="0"/>
            </w:tcBorders>
            <w:vAlign w:val="center"/>
          </w:tcPr>
          <w:p w14:paraId="1358DD6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监测机构分析大模型</w:t>
            </w:r>
          </w:p>
        </w:tc>
        <w:tc>
          <w:tcPr>
            <w:tcW w:w="1642" w:type="dxa"/>
            <w:tcBorders>
              <w:top w:val="nil"/>
              <w:left w:val="nil"/>
              <w:bottom w:val="single" w:color="auto" w:sz="4" w:space="0"/>
              <w:right w:val="single" w:color="auto" w:sz="4" w:space="0"/>
            </w:tcBorders>
            <w:vAlign w:val="center"/>
          </w:tcPr>
          <w:p w14:paraId="5332E56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数据预处理-数据采集-结构化数据采集</w:t>
            </w:r>
          </w:p>
        </w:tc>
        <w:tc>
          <w:tcPr>
            <w:tcW w:w="3928" w:type="dxa"/>
            <w:tcBorders>
              <w:top w:val="nil"/>
              <w:left w:val="nil"/>
              <w:bottom w:val="single" w:color="auto" w:sz="4" w:space="0"/>
              <w:right w:val="single" w:color="auto" w:sz="4" w:space="0"/>
            </w:tcBorders>
            <w:vAlign w:val="center"/>
          </w:tcPr>
          <w:p w14:paraId="6298871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企业基本信息、人员信息、物资信息状态信息、CMA资质能力信息、任务行程信息、采样信息</w:t>
            </w:r>
          </w:p>
        </w:tc>
      </w:tr>
      <w:tr w14:paraId="0B12C2E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828646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486</w:t>
            </w:r>
          </w:p>
        </w:tc>
        <w:tc>
          <w:tcPr>
            <w:tcW w:w="2028" w:type="dxa"/>
            <w:vMerge w:val="continue"/>
            <w:tcBorders>
              <w:top w:val="nil"/>
              <w:left w:val="single" w:color="auto" w:sz="4" w:space="0"/>
              <w:bottom w:val="single" w:color="000000" w:sz="4" w:space="0"/>
              <w:right w:val="single" w:color="auto" w:sz="4" w:space="0"/>
            </w:tcBorders>
            <w:vAlign w:val="center"/>
          </w:tcPr>
          <w:p w14:paraId="30A0466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FBA348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数据预处理-数据采集-非结构化数据采集</w:t>
            </w:r>
          </w:p>
        </w:tc>
        <w:tc>
          <w:tcPr>
            <w:tcW w:w="3928" w:type="dxa"/>
            <w:tcBorders>
              <w:top w:val="nil"/>
              <w:left w:val="nil"/>
              <w:bottom w:val="single" w:color="auto" w:sz="4" w:space="0"/>
              <w:right w:val="single" w:color="auto" w:sz="4" w:space="0"/>
            </w:tcBorders>
            <w:vAlign w:val="center"/>
          </w:tcPr>
          <w:p w14:paraId="757E586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机构合同信息、报告信息和采样行程照片信息</w:t>
            </w:r>
          </w:p>
        </w:tc>
      </w:tr>
      <w:tr w14:paraId="6BBBD29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9CB32F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487</w:t>
            </w:r>
          </w:p>
        </w:tc>
        <w:tc>
          <w:tcPr>
            <w:tcW w:w="2028" w:type="dxa"/>
            <w:vMerge w:val="continue"/>
            <w:tcBorders>
              <w:top w:val="nil"/>
              <w:left w:val="single" w:color="auto" w:sz="4" w:space="0"/>
              <w:bottom w:val="single" w:color="000000" w:sz="4" w:space="0"/>
              <w:right w:val="single" w:color="auto" w:sz="4" w:space="0"/>
            </w:tcBorders>
            <w:vAlign w:val="center"/>
          </w:tcPr>
          <w:p w14:paraId="336FFA6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9E67A9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数据预处理-数据处理-格式规范化</w:t>
            </w:r>
          </w:p>
        </w:tc>
        <w:tc>
          <w:tcPr>
            <w:tcW w:w="3928" w:type="dxa"/>
            <w:tcBorders>
              <w:top w:val="nil"/>
              <w:left w:val="nil"/>
              <w:bottom w:val="single" w:color="auto" w:sz="4" w:space="0"/>
              <w:right w:val="single" w:color="auto" w:sz="4" w:space="0"/>
            </w:tcBorders>
            <w:vAlign w:val="center"/>
          </w:tcPr>
          <w:p w14:paraId="49F8E02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统一所有数据的时间格式，确保时间记录规范一致，便于后续时间序列分析。对于数值型数据，统一单位，消除因单位不统一带来的计算误差。</w:t>
            </w:r>
          </w:p>
        </w:tc>
      </w:tr>
      <w:tr w14:paraId="351CFE02">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1F8BD5C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488</w:t>
            </w:r>
          </w:p>
        </w:tc>
        <w:tc>
          <w:tcPr>
            <w:tcW w:w="2028" w:type="dxa"/>
            <w:vMerge w:val="continue"/>
            <w:tcBorders>
              <w:top w:val="nil"/>
              <w:left w:val="single" w:color="auto" w:sz="4" w:space="0"/>
              <w:bottom w:val="single" w:color="000000" w:sz="4" w:space="0"/>
              <w:right w:val="single" w:color="auto" w:sz="4" w:space="0"/>
            </w:tcBorders>
            <w:vAlign w:val="center"/>
          </w:tcPr>
          <w:p w14:paraId="52963AF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8601A1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数据预处理-接口服务-元数据接口</w:t>
            </w:r>
          </w:p>
        </w:tc>
        <w:tc>
          <w:tcPr>
            <w:tcW w:w="3928" w:type="dxa"/>
            <w:tcBorders>
              <w:top w:val="nil"/>
              <w:left w:val="nil"/>
              <w:bottom w:val="single" w:color="auto" w:sz="4" w:space="0"/>
              <w:right w:val="single" w:color="auto" w:sz="4" w:space="0"/>
            </w:tcBorders>
            <w:vAlign w:val="center"/>
          </w:tcPr>
          <w:p w14:paraId="49D6162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提供企业数据、CMA能力、监测价格和其他相关元数据接口</w:t>
            </w:r>
          </w:p>
        </w:tc>
      </w:tr>
      <w:tr w14:paraId="25615055">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344967C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489</w:t>
            </w:r>
          </w:p>
        </w:tc>
        <w:tc>
          <w:tcPr>
            <w:tcW w:w="2028" w:type="dxa"/>
            <w:vMerge w:val="continue"/>
            <w:tcBorders>
              <w:top w:val="nil"/>
              <w:left w:val="single" w:color="auto" w:sz="4" w:space="0"/>
              <w:bottom w:val="single" w:color="000000" w:sz="4" w:space="0"/>
              <w:right w:val="single" w:color="auto" w:sz="4" w:space="0"/>
            </w:tcBorders>
            <w:vAlign w:val="center"/>
          </w:tcPr>
          <w:p w14:paraId="7F1ED09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C365EB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数据预处理-接口服务-知识库接口</w:t>
            </w:r>
          </w:p>
        </w:tc>
        <w:tc>
          <w:tcPr>
            <w:tcW w:w="3928" w:type="dxa"/>
            <w:tcBorders>
              <w:top w:val="nil"/>
              <w:left w:val="nil"/>
              <w:bottom w:val="single" w:color="auto" w:sz="4" w:space="0"/>
              <w:right w:val="single" w:color="auto" w:sz="4" w:space="0"/>
            </w:tcBorders>
            <w:vAlign w:val="center"/>
          </w:tcPr>
          <w:p w14:paraId="2CDC958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国家相关的采样标准、操作流程和规范和其他行业准则的知识库的增、删个改动接口</w:t>
            </w:r>
          </w:p>
        </w:tc>
      </w:tr>
      <w:tr w14:paraId="328B113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153A32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490</w:t>
            </w:r>
          </w:p>
        </w:tc>
        <w:tc>
          <w:tcPr>
            <w:tcW w:w="2028" w:type="dxa"/>
            <w:vMerge w:val="continue"/>
            <w:tcBorders>
              <w:top w:val="nil"/>
              <w:left w:val="single" w:color="auto" w:sz="4" w:space="0"/>
              <w:bottom w:val="single" w:color="000000" w:sz="4" w:space="0"/>
              <w:right w:val="single" w:color="auto" w:sz="4" w:space="0"/>
            </w:tcBorders>
            <w:vAlign w:val="center"/>
          </w:tcPr>
          <w:p w14:paraId="20A5B8B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0AC709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知识库建设-知识建模与组织-知识切片</w:t>
            </w:r>
          </w:p>
        </w:tc>
        <w:tc>
          <w:tcPr>
            <w:tcW w:w="3928" w:type="dxa"/>
            <w:tcBorders>
              <w:top w:val="nil"/>
              <w:left w:val="nil"/>
              <w:bottom w:val="single" w:color="auto" w:sz="4" w:space="0"/>
              <w:right w:val="single" w:color="auto" w:sz="4" w:space="0"/>
            </w:tcBorders>
            <w:vAlign w:val="center"/>
          </w:tcPr>
          <w:p w14:paraId="4268337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依据采样和报告编制等业务流程、采样技术规范、分析标准流程、相关法规政策知识知识主题划分知识片段。</w:t>
            </w:r>
          </w:p>
        </w:tc>
      </w:tr>
      <w:tr w14:paraId="11A5A5B4">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C1FE1D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491</w:t>
            </w:r>
          </w:p>
        </w:tc>
        <w:tc>
          <w:tcPr>
            <w:tcW w:w="2028" w:type="dxa"/>
            <w:vMerge w:val="continue"/>
            <w:tcBorders>
              <w:top w:val="nil"/>
              <w:left w:val="single" w:color="auto" w:sz="4" w:space="0"/>
              <w:bottom w:val="single" w:color="000000" w:sz="4" w:space="0"/>
              <w:right w:val="single" w:color="auto" w:sz="4" w:space="0"/>
            </w:tcBorders>
            <w:vAlign w:val="center"/>
          </w:tcPr>
          <w:p w14:paraId="0E27C8C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74F363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知识库建设-知识建模与组织-元信息标注</w:t>
            </w:r>
          </w:p>
        </w:tc>
        <w:tc>
          <w:tcPr>
            <w:tcW w:w="3928" w:type="dxa"/>
            <w:tcBorders>
              <w:top w:val="nil"/>
              <w:left w:val="nil"/>
              <w:bottom w:val="single" w:color="auto" w:sz="4" w:space="0"/>
              <w:right w:val="single" w:color="auto" w:sz="4" w:space="0"/>
            </w:tcBorders>
            <w:vAlign w:val="center"/>
          </w:tcPr>
          <w:p w14:paraId="24DEC7D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为知识添加数据来源、更新时间（实时/日/月）、适用范围（特定行业/区域）等元数据标签</w:t>
            </w:r>
          </w:p>
        </w:tc>
      </w:tr>
      <w:tr w14:paraId="5E107F32">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AD2A40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492</w:t>
            </w:r>
          </w:p>
        </w:tc>
        <w:tc>
          <w:tcPr>
            <w:tcW w:w="2028" w:type="dxa"/>
            <w:vMerge w:val="continue"/>
            <w:tcBorders>
              <w:top w:val="nil"/>
              <w:left w:val="single" w:color="auto" w:sz="4" w:space="0"/>
              <w:bottom w:val="single" w:color="000000" w:sz="4" w:space="0"/>
              <w:right w:val="single" w:color="auto" w:sz="4" w:space="0"/>
            </w:tcBorders>
            <w:vAlign w:val="center"/>
          </w:tcPr>
          <w:p w14:paraId="1DEAD4B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4EF513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知识库建设-知识建模与组织-知识图谱建模</w:t>
            </w:r>
          </w:p>
        </w:tc>
        <w:tc>
          <w:tcPr>
            <w:tcW w:w="3928" w:type="dxa"/>
            <w:tcBorders>
              <w:top w:val="nil"/>
              <w:left w:val="nil"/>
              <w:bottom w:val="single" w:color="auto" w:sz="4" w:space="0"/>
              <w:right w:val="single" w:color="auto" w:sz="4" w:space="0"/>
            </w:tcBorders>
            <w:vAlign w:val="center"/>
          </w:tcPr>
          <w:p w14:paraId="7C0B718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基于主流图数据库构建分布式知识图谱，采用 “核心实体-关联实体-属性边” 的三层架构。</w:t>
            </w:r>
          </w:p>
        </w:tc>
      </w:tr>
      <w:tr w14:paraId="74C3906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9EC91E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493</w:t>
            </w:r>
          </w:p>
        </w:tc>
        <w:tc>
          <w:tcPr>
            <w:tcW w:w="2028" w:type="dxa"/>
            <w:vMerge w:val="continue"/>
            <w:tcBorders>
              <w:top w:val="nil"/>
              <w:left w:val="single" w:color="auto" w:sz="4" w:space="0"/>
              <w:bottom w:val="single" w:color="000000" w:sz="4" w:space="0"/>
              <w:right w:val="single" w:color="auto" w:sz="4" w:space="0"/>
            </w:tcBorders>
            <w:vAlign w:val="center"/>
          </w:tcPr>
          <w:p w14:paraId="43A73F7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23A703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知识库建设-知识建模与组织-知识抽取</w:t>
            </w:r>
          </w:p>
        </w:tc>
        <w:tc>
          <w:tcPr>
            <w:tcW w:w="3928" w:type="dxa"/>
            <w:tcBorders>
              <w:top w:val="nil"/>
              <w:left w:val="nil"/>
              <w:bottom w:val="single" w:color="auto" w:sz="4" w:space="0"/>
              <w:right w:val="single" w:color="auto" w:sz="4" w:space="0"/>
            </w:tcBorders>
            <w:vAlign w:val="center"/>
          </w:tcPr>
          <w:p w14:paraId="16EF48A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基于监测方法和采样规范进行相关知识抽取，形成完善知识体系</w:t>
            </w:r>
          </w:p>
        </w:tc>
      </w:tr>
      <w:tr w14:paraId="7552FC1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D88A14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494</w:t>
            </w:r>
          </w:p>
        </w:tc>
        <w:tc>
          <w:tcPr>
            <w:tcW w:w="2028" w:type="dxa"/>
            <w:vMerge w:val="continue"/>
            <w:tcBorders>
              <w:top w:val="nil"/>
              <w:left w:val="single" w:color="auto" w:sz="4" w:space="0"/>
              <w:bottom w:val="single" w:color="000000" w:sz="4" w:space="0"/>
              <w:right w:val="single" w:color="auto" w:sz="4" w:space="0"/>
            </w:tcBorders>
            <w:vAlign w:val="center"/>
          </w:tcPr>
          <w:p w14:paraId="4DA102F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4FC224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知识库建设-知识更新与进化-变更检测与版本管理</w:t>
            </w:r>
          </w:p>
        </w:tc>
        <w:tc>
          <w:tcPr>
            <w:tcW w:w="3928" w:type="dxa"/>
            <w:tcBorders>
              <w:top w:val="nil"/>
              <w:left w:val="nil"/>
              <w:bottom w:val="single" w:color="auto" w:sz="4" w:space="0"/>
              <w:right w:val="single" w:color="auto" w:sz="4" w:space="0"/>
            </w:tcBorders>
            <w:vAlign w:val="center"/>
          </w:tcPr>
          <w:p w14:paraId="47BB3E5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知识每周定期更新管理，通过对知识建立标注版本号体系，支持按版本号、时间区间回溯，确保可追溯性与准确性。</w:t>
            </w:r>
          </w:p>
        </w:tc>
      </w:tr>
      <w:tr w14:paraId="3F030AF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B9F28C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495</w:t>
            </w:r>
          </w:p>
        </w:tc>
        <w:tc>
          <w:tcPr>
            <w:tcW w:w="2028" w:type="dxa"/>
            <w:vMerge w:val="continue"/>
            <w:tcBorders>
              <w:top w:val="nil"/>
              <w:left w:val="single" w:color="auto" w:sz="4" w:space="0"/>
              <w:bottom w:val="single" w:color="000000" w:sz="4" w:space="0"/>
              <w:right w:val="single" w:color="auto" w:sz="4" w:space="0"/>
            </w:tcBorders>
            <w:vAlign w:val="center"/>
          </w:tcPr>
          <w:p w14:paraId="73EC02F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03B22D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知识库建设-知识更新与进化-用户行为驱动进化</w:t>
            </w:r>
          </w:p>
        </w:tc>
        <w:tc>
          <w:tcPr>
            <w:tcW w:w="3928" w:type="dxa"/>
            <w:tcBorders>
              <w:top w:val="nil"/>
              <w:left w:val="nil"/>
              <w:bottom w:val="single" w:color="auto" w:sz="4" w:space="0"/>
              <w:right w:val="single" w:color="auto" w:sz="4" w:space="0"/>
            </w:tcBorders>
            <w:vAlign w:val="center"/>
          </w:tcPr>
          <w:p w14:paraId="37B53D7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构建以用户行为数据为核心的动态进化机制，通过热度分析、知识重排序与人类增强反馈的协同作用，实现知识库的精准迭代。</w:t>
            </w:r>
          </w:p>
        </w:tc>
      </w:tr>
      <w:tr w14:paraId="6782E2B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2C97E2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496</w:t>
            </w:r>
          </w:p>
        </w:tc>
        <w:tc>
          <w:tcPr>
            <w:tcW w:w="2028" w:type="dxa"/>
            <w:vMerge w:val="continue"/>
            <w:tcBorders>
              <w:top w:val="nil"/>
              <w:left w:val="single" w:color="auto" w:sz="4" w:space="0"/>
              <w:bottom w:val="single" w:color="000000" w:sz="4" w:space="0"/>
              <w:right w:val="single" w:color="auto" w:sz="4" w:space="0"/>
            </w:tcBorders>
            <w:vAlign w:val="center"/>
          </w:tcPr>
          <w:p w14:paraId="36FA5E4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DFF08F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智能体建设-角色与对话框架设计-角色设定与身份管理</w:t>
            </w:r>
          </w:p>
        </w:tc>
        <w:tc>
          <w:tcPr>
            <w:tcW w:w="3928" w:type="dxa"/>
            <w:tcBorders>
              <w:top w:val="nil"/>
              <w:left w:val="nil"/>
              <w:bottom w:val="single" w:color="auto" w:sz="4" w:space="0"/>
              <w:right w:val="single" w:color="auto" w:sz="4" w:space="0"/>
            </w:tcBorders>
            <w:vAlign w:val="center"/>
          </w:tcPr>
          <w:p w14:paraId="7C085A7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设定管理人员、业务人员和机构人员三类角色统一管理相关身份认证信息，实现不同角色的不同场景搭建</w:t>
            </w:r>
          </w:p>
        </w:tc>
      </w:tr>
      <w:tr w14:paraId="6EA63DC7">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3415B5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497</w:t>
            </w:r>
          </w:p>
        </w:tc>
        <w:tc>
          <w:tcPr>
            <w:tcW w:w="2028" w:type="dxa"/>
            <w:vMerge w:val="continue"/>
            <w:tcBorders>
              <w:top w:val="nil"/>
              <w:left w:val="single" w:color="auto" w:sz="4" w:space="0"/>
              <w:bottom w:val="single" w:color="000000" w:sz="4" w:space="0"/>
              <w:right w:val="single" w:color="auto" w:sz="4" w:space="0"/>
            </w:tcBorders>
            <w:vAlign w:val="center"/>
          </w:tcPr>
          <w:p w14:paraId="1D598A3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F1864F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智能体建设-角色与对话框架设计-对话流程设计与结构化脚本</w:t>
            </w:r>
          </w:p>
        </w:tc>
        <w:tc>
          <w:tcPr>
            <w:tcW w:w="3928" w:type="dxa"/>
            <w:tcBorders>
              <w:top w:val="nil"/>
              <w:left w:val="nil"/>
              <w:bottom w:val="single" w:color="auto" w:sz="4" w:space="0"/>
              <w:right w:val="single" w:color="auto" w:sz="4" w:space="0"/>
            </w:tcBorders>
            <w:vAlign w:val="center"/>
          </w:tcPr>
          <w:p w14:paraId="35E6B47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搭建多轮对话标准流程，从形成创建、合同上传、报告上传和自动化分析结论生成，最终整合数据形成结构化分析报告。</w:t>
            </w:r>
          </w:p>
        </w:tc>
      </w:tr>
      <w:tr w14:paraId="6D53171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A9CE17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498</w:t>
            </w:r>
          </w:p>
        </w:tc>
        <w:tc>
          <w:tcPr>
            <w:tcW w:w="2028" w:type="dxa"/>
            <w:vMerge w:val="continue"/>
            <w:tcBorders>
              <w:top w:val="nil"/>
              <w:left w:val="single" w:color="auto" w:sz="4" w:space="0"/>
              <w:bottom w:val="single" w:color="000000" w:sz="4" w:space="0"/>
              <w:right w:val="single" w:color="auto" w:sz="4" w:space="0"/>
            </w:tcBorders>
            <w:vAlign w:val="center"/>
          </w:tcPr>
          <w:p w14:paraId="6F8395A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6123E9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智能体建设-能力构建与流程编排-提示词工程</w:t>
            </w:r>
          </w:p>
        </w:tc>
        <w:tc>
          <w:tcPr>
            <w:tcW w:w="3928" w:type="dxa"/>
            <w:tcBorders>
              <w:top w:val="nil"/>
              <w:left w:val="nil"/>
              <w:bottom w:val="single" w:color="auto" w:sz="4" w:space="0"/>
              <w:right w:val="single" w:color="auto" w:sz="4" w:space="0"/>
            </w:tcBorders>
            <w:vAlign w:val="center"/>
          </w:tcPr>
          <w:p w14:paraId="24F886A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根据合同和报告内容不同搭建不同的提示词系统，可以根据模板匹配启用不同版本的提示词系统来适配不同机构的不同需求。</w:t>
            </w:r>
          </w:p>
        </w:tc>
      </w:tr>
      <w:tr w14:paraId="25501E01">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7AA172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499</w:t>
            </w:r>
          </w:p>
        </w:tc>
        <w:tc>
          <w:tcPr>
            <w:tcW w:w="2028" w:type="dxa"/>
            <w:vMerge w:val="continue"/>
            <w:tcBorders>
              <w:top w:val="nil"/>
              <w:left w:val="single" w:color="auto" w:sz="4" w:space="0"/>
              <w:bottom w:val="single" w:color="000000" w:sz="4" w:space="0"/>
              <w:right w:val="single" w:color="auto" w:sz="4" w:space="0"/>
            </w:tcBorders>
            <w:vAlign w:val="center"/>
          </w:tcPr>
          <w:p w14:paraId="434679B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1B795A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智能体建设-能力构建与流程编排-知识工程</w:t>
            </w:r>
          </w:p>
        </w:tc>
        <w:tc>
          <w:tcPr>
            <w:tcW w:w="3928" w:type="dxa"/>
            <w:tcBorders>
              <w:top w:val="nil"/>
              <w:left w:val="nil"/>
              <w:bottom w:val="single" w:color="auto" w:sz="4" w:space="0"/>
              <w:right w:val="single" w:color="auto" w:sz="4" w:space="0"/>
            </w:tcBorders>
            <w:vAlign w:val="center"/>
          </w:tcPr>
          <w:p w14:paraId="7AF5086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构建多层级知识增强体系，从实体、关系到知识融合层进行优化，新增关键属性与动态权重，提升报告内容完整性和报告内容合理性的识别度，从而精准定位相关问题</w:t>
            </w:r>
          </w:p>
        </w:tc>
      </w:tr>
      <w:tr w14:paraId="547BF9C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D9BDAF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500</w:t>
            </w:r>
          </w:p>
        </w:tc>
        <w:tc>
          <w:tcPr>
            <w:tcW w:w="2028" w:type="dxa"/>
            <w:vMerge w:val="continue"/>
            <w:tcBorders>
              <w:top w:val="nil"/>
              <w:left w:val="single" w:color="auto" w:sz="4" w:space="0"/>
              <w:bottom w:val="single" w:color="000000" w:sz="4" w:space="0"/>
              <w:right w:val="single" w:color="auto" w:sz="4" w:space="0"/>
            </w:tcBorders>
            <w:vAlign w:val="center"/>
          </w:tcPr>
          <w:p w14:paraId="2F2BFDF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5BAA41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智能体建设-能力构建与流程编排-工具开发及框架集成</w:t>
            </w:r>
          </w:p>
        </w:tc>
        <w:tc>
          <w:tcPr>
            <w:tcW w:w="3928" w:type="dxa"/>
            <w:tcBorders>
              <w:top w:val="nil"/>
              <w:left w:val="nil"/>
              <w:bottom w:val="single" w:color="auto" w:sz="4" w:space="0"/>
              <w:right w:val="single" w:color="auto" w:sz="4" w:space="0"/>
            </w:tcBorders>
            <w:vAlign w:val="center"/>
          </w:tcPr>
          <w:p w14:paraId="24365C3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基于微服务架构开发各类工具集，通过统一调度完成集成，实在各个模型的和数据的有机融合。</w:t>
            </w:r>
          </w:p>
        </w:tc>
      </w:tr>
      <w:tr w14:paraId="005ECCC2">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32B0F2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501</w:t>
            </w:r>
          </w:p>
        </w:tc>
        <w:tc>
          <w:tcPr>
            <w:tcW w:w="2028" w:type="dxa"/>
            <w:vMerge w:val="continue"/>
            <w:tcBorders>
              <w:top w:val="nil"/>
              <w:left w:val="single" w:color="auto" w:sz="4" w:space="0"/>
              <w:bottom w:val="single" w:color="000000" w:sz="4" w:space="0"/>
              <w:right w:val="single" w:color="auto" w:sz="4" w:space="0"/>
            </w:tcBorders>
            <w:vAlign w:val="center"/>
          </w:tcPr>
          <w:p w14:paraId="15F22C2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694C93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智能体建设-能力构建与流程编排-流程编排与逻辑控制</w:t>
            </w:r>
          </w:p>
        </w:tc>
        <w:tc>
          <w:tcPr>
            <w:tcW w:w="3928" w:type="dxa"/>
            <w:tcBorders>
              <w:top w:val="nil"/>
              <w:left w:val="nil"/>
              <w:bottom w:val="single" w:color="auto" w:sz="4" w:space="0"/>
              <w:right w:val="single" w:color="auto" w:sz="4" w:space="0"/>
            </w:tcBorders>
            <w:vAlign w:val="center"/>
          </w:tcPr>
          <w:p w14:paraId="14F7C57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基于可视化工具搭建相关流程节点链路，通过预设不同的模型工具，通过模块耦合完成整个业务流转。</w:t>
            </w:r>
          </w:p>
        </w:tc>
      </w:tr>
      <w:tr w14:paraId="3CDEAFAA">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FE1EB3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502</w:t>
            </w:r>
          </w:p>
        </w:tc>
        <w:tc>
          <w:tcPr>
            <w:tcW w:w="2028" w:type="dxa"/>
            <w:vMerge w:val="continue"/>
            <w:tcBorders>
              <w:top w:val="nil"/>
              <w:left w:val="single" w:color="auto" w:sz="4" w:space="0"/>
              <w:bottom w:val="single" w:color="000000" w:sz="4" w:space="0"/>
              <w:right w:val="single" w:color="auto" w:sz="4" w:space="0"/>
            </w:tcBorders>
            <w:vAlign w:val="center"/>
          </w:tcPr>
          <w:p w14:paraId="290A8F4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527724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智能体建设-上下文与多轮对话管理-上下文建模与状态管理</w:t>
            </w:r>
          </w:p>
        </w:tc>
        <w:tc>
          <w:tcPr>
            <w:tcW w:w="3928" w:type="dxa"/>
            <w:tcBorders>
              <w:top w:val="nil"/>
              <w:left w:val="nil"/>
              <w:bottom w:val="single" w:color="auto" w:sz="4" w:space="0"/>
              <w:right w:val="single" w:color="auto" w:sz="4" w:space="0"/>
            </w:tcBorders>
            <w:vAlign w:val="center"/>
          </w:tcPr>
          <w:p w14:paraId="255805A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通过动态状态机机制记录多轮交互轨迹，实时捕捉用户提问逻辑与智能体回应脉络。</w:t>
            </w:r>
          </w:p>
        </w:tc>
      </w:tr>
      <w:tr w14:paraId="7847450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605E33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503</w:t>
            </w:r>
          </w:p>
        </w:tc>
        <w:tc>
          <w:tcPr>
            <w:tcW w:w="2028" w:type="dxa"/>
            <w:vMerge w:val="continue"/>
            <w:tcBorders>
              <w:top w:val="nil"/>
              <w:left w:val="single" w:color="auto" w:sz="4" w:space="0"/>
              <w:bottom w:val="single" w:color="000000" w:sz="4" w:space="0"/>
              <w:right w:val="single" w:color="auto" w:sz="4" w:space="0"/>
            </w:tcBorders>
            <w:vAlign w:val="center"/>
          </w:tcPr>
          <w:p w14:paraId="6AEAF31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27BF2E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智能体建设-上下文与多轮对话管理-用户画像与长期记忆机制</w:t>
            </w:r>
          </w:p>
        </w:tc>
        <w:tc>
          <w:tcPr>
            <w:tcW w:w="3928" w:type="dxa"/>
            <w:tcBorders>
              <w:top w:val="nil"/>
              <w:left w:val="nil"/>
              <w:bottom w:val="single" w:color="auto" w:sz="4" w:space="0"/>
              <w:right w:val="single" w:color="auto" w:sz="4" w:space="0"/>
            </w:tcBorders>
            <w:vAlign w:val="center"/>
          </w:tcPr>
          <w:p w14:paraId="78232B7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依托Redis构建双层记忆体系，保持用户回话的持久性，对不同角色的问题和相关结果进行记忆，通过问题分类进行快速搜索</w:t>
            </w:r>
          </w:p>
        </w:tc>
      </w:tr>
      <w:tr w14:paraId="0F28D2E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12F0A0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504</w:t>
            </w:r>
          </w:p>
        </w:tc>
        <w:tc>
          <w:tcPr>
            <w:tcW w:w="2028" w:type="dxa"/>
            <w:vMerge w:val="continue"/>
            <w:tcBorders>
              <w:top w:val="nil"/>
              <w:left w:val="single" w:color="auto" w:sz="4" w:space="0"/>
              <w:bottom w:val="single" w:color="000000" w:sz="4" w:space="0"/>
              <w:right w:val="single" w:color="auto" w:sz="4" w:space="0"/>
            </w:tcBorders>
            <w:vAlign w:val="center"/>
          </w:tcPr>
          <w:p w14:paraId="649FD60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2E39D1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智能体建设-上下文与多轮对话管理-多会话并行与多用户管理</w:t>
            </w:r>
          </w:p>
        </w:tc>
        <w:tc>
          <w:tcPr>
            <w:tcW w:w="3928" w:type="dxa"/>
            <w:tcBorders>
              <w:top w:val="nil"/>
              <w:left w:val="nil"/>
              <w:bottom w:val="single" w:color="auto" w:sz="4" w:space="0"/>
              <w:right w:val="single" w:color="auto" w:sz="4" w:space="0"/>
            </w:tcBorders>
            <w:vAlign w:val="center"/>
          </w:tcPr>
          <w:p w14:paraId="510D880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采用目标导向的对话引擎，根据当前状态和用户目前要求，完成多轮对话结果的输出。</w:t>
            </w:r>
          </w:p>
        </w:tc>
      </w:tr>
      <w:tr w14:paraId="727CD33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C30D27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505</w:t>
            </w:r>
          </w:p>
        </w:tc>
        <w:tc>
          <w:tcPr>
            <w:tcW w:w="2028" w:type="dxa"/>
            <w:vMerge w:val="continue"/>
            <w:tcBorders>
              <w:top w:val="nil"/>
              <w:left w:val="single" w:color="auto" w:sz="4" w:space="0"/>
              <w:bottom w:val="single" w:color="000000" w:sz="4" w:space="0"/>
              <w:right w:val="single" w:color="auto" w:sz="4" w:space="0"/>
            </w:tcBorders>
            <w:vAlign w:val="center"/>
          </w:tcPr>
          <w:p w14:paraId="68082A6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C4F8A3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智能体建设-智能体评估与部署-方案设计</w:t>
            </w:r>
          </w:p>
        </w:tc>
        <w:tc>
          <w:tcPr>
            <w:tcW w:w="3928" w:type="dxa"/>
            <w:tcBorders>
              <w:top w:val="nil"/>
              <w:left w:val="nil"/>
              <w:bottom w:val="single" w:color="auto" w:sz="4" w:space="0"/>
              <w:right w:val="single" w:color="auto" w:sz="4" w:space="0"/>
            </w:tcBorders>
            <w:vAlign w:val="center"/>
          </w:tcPr>
          <w:p w14:paraId="3275F67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结合社会化系统的监管要求需求，从监测要点、关键步骤和重要数据为出发点进行评估，按测试、灰度、全量三阶段部署，模拟场景、试点运行，联调接口确保接入现有业务体系。</w:t>
            </w:r>
          </w:p>
        </w:tc>
      </w:tr>
      <w:tr w14:paraId="572D236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9C0210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506</w:t>
            </w:r>
          </w:p>
        </w:tc>
        <w:tc>
          <w:tcPr>
            <w:tcW w:w="2028" w:type="dxa"/>
            <w:vMerge w:val="continue"/>
            <w:tcBorders>
              <w:top w:val="nil"/>
              <w:left w:val="single" w:color="auto" w:sz="4" w:space="0"/>
              <w:bottom w:val="single" w:color="000000" w:sz="4" w:space="0"/>
              <w:right w:val="single" w:color="auto" w:sz="4" w:space="0"/>
            </w:tcBorders>
            <w:vAlign w:val="center"/>
          </w:tcPr>
          <w:p w14:paraId="1AC0C69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08E702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智能体建设-智能体评估与部署-可用性评测</w:t>
            </w:r>
          </w:p>
        </w:tc>
        <w:tc>
          <w:tcPr>
            <w:tcW w:w="3928" w:type="dxa"/>
            <w:tcBorders>
              <w:top w:val="nil"/>
              <w:left w:val="nil"/>
              <w:bottom w:val="single" w:color="auto" w:sz="4" w:space="0"/>
              <w:right w:val="single" w:color="auto" w:sz="4" w:space="0"/>
            </w:tcBorders>
            <w:vAlign w:val="center"/>
          </w:tcPr>
          <w:p w14:paraId="2371935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从用户操作与业务适配两方面开展可用性评测，评估指标包括合同解析的完整度，价格匹配的合理性和保护完整性和可信程度出发，对问题进行分析。</w:t>
            </w:r>
          </w:p>
        </w:tc>
      </w:tr>
      <w:tr w14:paraId="5693CCD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9B3065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507</w:t>
            </w:r>
          </w:p>
        </w:tc>
        <w:tc>
          <w:tcPr>
            <w:tcW w:w="2028" w:type="dxa"/>
            <w:vMerge w:val="continue"/>
            <w:tcBorders>
              <w:top w:val="nil"/>
              <w:left w:val="single" w:color="auto" w:sz="4" w:space="0"/>
              <w:bottom w:val="single" w:color="000000" w:sz="4" w:space="0"/>
              <w:right w:val="single" w:color="auto" w:sz="4" w:space="0"/>
            </w:tcBorders>
            <w:vAlign w:val="center"/>
          </w:tcPr>
          <w:p w14:paraId="640844F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C4A016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智能体建设-智能体评估与部署-安全性评测</w:t>
            </w:r>
          </w:p>
        </w:tc>
        <w:tc>
          <w:tcPr>
            <w:tcW w:w="3928" w:type="dxa"/>
            <w:tcBorders>
              <w:top w:val="nil"/>
              <w:left w:val="nil"/>
              <w:bottom w:val="single" w:color="auto" w:sz="4" w:space="0"/>
              <w:right w:val="single" w:color="auto" w:sz="4" w:space="0"/>
            </w:tcBorders>
            <w:vAlign w:val="center"/>
          </w:tcPr>
          <w:p w14:paraId="2E24D88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构建多层次安全体系，数据层验证脱敏与权限，系统层开展渗透和压力测试，合规层核查规范，保障数据与系统全流程安全合规。</w:t>
            </w:r>
          </w:p>
        </w:tc>
      </w:tr>
      <w:tr w14:paraId="7670F638">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F275D5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508</w:t>
            </w:r>
          </w:p>
        </w:tc>
        <w:tc>
          <w:tcPr>
            <w:tcW w:w="2028" w:type="dxa"/>
            <w:vMerge w:val="continue"/>
            <w:tcBorders>
              <w:top w:val="nil"/>
              <w:left w:val="single" w:color="auto" w:sz="4" w:space="0"/>
              <w:bottom w:val="single" w:color="000000" w:sz="4" w:space="0"/>
              <w:right w:val="single" w:color="auto" w:sz="4" w:space="0"/>
            </w:tcBorders>
            <w:vAlign w:val="center"/>
          </w:tcPr>
          <w:p w14:paraId="243442F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3F9194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智能体建设-智能体评估与部署-智能体部署</w:t>
            </w:r>
          </w:p>
        </w:tc>
        <w:tc>
          <w:tcPr>
            <w:tcW w:w="3928" w:type="dxa"/>
            <w:tcBorders>
              <w:top w:val="nil"/>
              <w:left w:val="nil"/>
              <w:bottom w:val="single" w:color="auto" w:sz="4" w:space="0"/>
              <w:right w:val="single" w:color="auto" w:sz="4" w:space="0"/>
            </w:tcBorders>
            <w:vAlign w:val="center"/>
          </w:tcPr>
          <w:p w14:paraId="064A963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采用容器化部署策略，对核心组件独立封装，支持服务节点和服务对象的自动扩缩容，部署架构包含生产与灾备环境，配置自动化运维脚本，实现容器日志收集与版本回滚功能。</w:t>
            </w:r>
          </w:p>
        </w:tc>
      </w:tr>
      <w:tr w14:paraId="326D31B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6A2BE6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509</w:t>
            </w:r>
          </w:p>
        </w:tc>
        <w:tc>
          <w:tcPr>
            <w:tcW w:w="2028" w:type="dxa"/>
            <w:vMerge w:val="restart"/>
            <w:tcBorders>
              <w:top w:val="nil"/>
              <w:left w:val="single" w:color="auto" w:sz="4" w:space="0"/>
              <w:bottom w:val="single" w:color="000000" w:sz="4" w:space="0"/>
              <w:right w:val="single" w:color="auto" w:sz="4" w:space="0"/>
            </w:tcBorders>
            <w:vAlign w:val="center"/>
          </w:tcPr>
          <w:p w14:paraId="0C702DA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应急监测决策分析大模型</w:t>
            </w:r>
          </w:p>
        </w:tc>
        <w:tc>
          <w:tcPr>
            <w:tcW w:w="1642" w:type="dxa"/>
            <w:tcBorders>
              <w:top w:val="nil"/>
              <w:left w:val="nil"/>
              <w:bottom w:val="single" w:color="auto" w:sz="4" w:space="0"/>
              <w:right w:val="single" w:color="auto" w:sz="4" w:space="0"/>
            </w:tcBorders>
            <w:vAlign w:val="center"/>
          </w:tcPr>
          <w:p w14:paraId="4693E8C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数据预处理-数据采集-结构化数据采集</w:t>
            </w:r>
          </w:p>
        </w:tc>
        <w:tc>
          <w:tcPr>
            <w:tcW w:w="3928" w:type="dxa"/>
            <w:tcBorders>
              <w:top w:val="nil"/>
              <w:left w:val="nil"/>
              <w:bottom w:val="single" w:color="auto" w:sz="4" w:space="0"/>
              <w:right w:val="single" w:color="auto" w:sz="4" w:space="0"/>
            </w:tcBorders>
            <w:vAlign w:val="center"/>
          </w:tcPr>
          <w:p w14:paraId="33572D2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结构化数据采集，主要包括风险源坐标、敏感点清单等结构化数据。</w:t>
            </w:r>
            <w:r>
              <w:rPr>
                <w:rFonts w:ascii="Times New Roman" w:hAnsi="Times New Roman"/>
                <w:bCs w:val="0"/>
                <w:color w:val="000000"/>
                <w:kern w:val="0"/>
                <w:sz w:val="20"/>
                <w:szCs w:val="20"/>
              </w:rPr>
              <w:t>​</w:t>
            </w:r>
          </w:p>
        </w:tc>
      </w:tr>
      <w:tr w14:paraId="2BE584E4">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21880C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510</w:t>
            </w:r>
          </w:p>
        </w:tc>
        <w:tc>
          <w:tcPr>
            <w:tcW w:w="2028" w:type="dxa"/>
            <w:vMerge w:val="continue"/>
            <w:tcBorders>
              <w:top w:val="nil"/>
              <w:left w:val="single" w:color="auto" w:sz="4" w:space="0"/>
              <w:bottom w:val="single" w:color="000000" w:sz="4" w:space="0"/>
              <w:right w:val="single" w:color="auto" w:sz="4" w:space="0"/>
            </w:tcBorders>
            <w:vAlign w:val="center"/>
          </w:tcPr>
          <w:p w14:paraId="21107F6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0F5301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数据预处理-数据采集-非结构化数据采集</w:t>
            </w:r>
          </w:p>
        </w:tc>
        <w:tc>
          <w:tcPr>
            <w:tcW w:w="3928" w:type="dxa"/>
            <w:tcBorders>
              <w:top w:val="nil"/>
              <w:left w:val="nil"/>
              <w:bottom w:val="single" w:color="auto" w:sz="4" w:space="0"/>
              <w:right w:val="single" w:color="auto" w:sz="4" w:space="0"/>
            </w:tcBorders>
            <w:vAlign w:val="center"/>
          </w:tcPr>
          <w:p w14:paraId="2943DF9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非结构化数据采集，主要存包括企业应急预案、环境风险源分析报告等长文档。</w:t>
            </w:r>
          </w:p>
        </w:tc>
      </w:tr>
      <w:tr w14:paraId="507521D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F27DAE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511</w:t>
            </w:r>
          </w:p>
        </w:tc>
        <w:tc>
          <w:tcPr>
            <w:tcW w:w="2028" w:type="dxa"/>
            <w:vMerge w:val="continue"/>
            <w:tcBorders>
              <w:top w:val="nil"/>
              <w:left w:val="single" w:color="auto" w:sz="4" w:space="0"/>
              <w:bottom w:val="single" w:color="000000" w:sz="4" w:space="0"/>
              <w:right w:val="single" w:color="auto" w:sz="4" w:space="0"/>
            </w:tcBorders>
            <w:vAlign w:val="center"/>
          </w:tcPr>
          <w:p w14:paraId="57065D2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A2FD38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数据预处理-数据处理-格式规范化</w:t>
            </w:r>
          </w:p>
        </w:tc>
        <w:tc>
          <w:tcPr>
            <w:tcW w:w="3928" w:type="dxa"/>
            <w:tcBorders>
              <w:top w:val="nil"/>
              <w:left w:val="nil"/>
              <w:bottom w:val="single" w:color="auto" w:sz="4" w:space="0"/>
              <w:right w:val="single" w:color="auto" w:sz="4" w:space="0"/>
            </w:tcBorders>
            <w:vAlign w:val="center"/>
          </w:tcPr>
          <w:p w14:paraId="07D34E7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要求所有数据均为可编辑的电子文档，杜绝图片扫描件。对于PDF扫描件，使用OCR 技术将其转换为可编辑文本，并进行人工校对。</w:t>
            </w:r>
            <w:r>
              <w:rPr>
                <w:rFonts w:ascii="Times New Roman" w:hAnsi="Times New Roman"/>
                <w:bCs w:val="0"/>
                <w:color w:val="000000"/>
                <w:kern w:val="0"/>
                <w:sz w:val="20"/>
                <w:szCs w:val="20"/>
              </w:rPr>
              <w:t>​</w:t>
            </w:r>
          </w:p>
        </w:tc>
      </w:tr>
      <w:tr w14:paraId="47052F6F">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389EFD7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512</w:t>
            </w:r>
          </w:p>
        </w:tc>
        <w:tc>
          <w:tcPr>
            <w:tcW w:w="2028" w:type="dxa"/>
            <w:vMerge w:val="continue"/>
            <w:tcBorders>
              <w:top w:val="nil"/>
              <w:left w:val="single" w:color="auto" w:sz="4" w:space="0"/>
              <w:bottom w:val="single" w:color="000000" w:sz="4" w:space="0"/>
              <w:right w:val="single" w:color="auto" w:sz="4" w:space="0"/>
            </w:tcBorders>
            <w:vAlign w:val="center"/>
          </w:tcPr>
          <w:p w14:paraId="466E43A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F252DF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数据预处理-接口服务-元数据接口</w:t>
            </w:r>
          </w:p>
        </w:tc>
        <w:tc>
          <w:tcPr>
            <w:tcW w:w="3928" w:type="dxa"/>
            <w:tcBorders>
              <w:top w:val="nil"/>
              <w:left w:val="nil"/>
              <w:bottom w:val="single" w:color="auto" w:sz="4" w:space="0"/>
              <w:right w:val="single" w:color="auto" w:sz="4" w:space="0"/>
            </w:tcBorders>
            <w:vAlign w:val="center"/>
          </w:tcPr>
          <w:p w14:paraId="2061123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提供风险源数据、敏感点数据、企业预案备案等查询和更新接口。</w:t>
            </w:r>
          </w:p>
        </w:tc>
      </w:tr>
      <w:tr w14:paraId="5537B155">
        <w:tblPrEx>
          <w:tblCellMar>
            <w:top w:w="0" w:type="dxa"/>
            <w:left w:w="108" w:type="dxa"/>
            <w:bottom w:w="0" w:type="dxa"/>
            <w:right w:w="108" w:type="dxa"/>
          </w:tblCellMar>
        </w:tblPrEx>
        <w:trPr>
          <w:trHeight w:val="278" w:hRule="atLeast"/>
        </w:trPr>
        <w:tc>
          <w:tcPr>
            <w:tcW w:w="704" w:type="dxa"/>
            <w:tcBorders>
              <w:top w:val="nil"/>
              <w:left w:val="single" w:color="auto" w:sz="4" w:space="0"/>
              <w:bottom w:val="single" w:color="auto" w:sz="4" w:space="0"/>
              <w:right w:val="single" w:color="auto" w:sz="4" w:space="0"/>
            </w:tcBorders>
            <w:noWrap/>
            <w:vAlign w:val="center"/>
          </w:tcPr>
          <w:p w14:paraId="2CF9928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513</w:t>
            </w:r>
          </w:p>
        </w:tc>
        <w:tc>
          <w:tcPr>
            <w:tcW w:w="2028" w:type="dxa"/>
            <w:vMerge w:val="continue"/>
            <w:tcBorders>
              <w:top w:val="nil"/>
              <w:left w:val="single" w:color="auto" w:sz="4" w:space="0"/>
              <w:bottom w:val="single" w:color="000000" w:sz="4" w:space="0"/>
              <w:right w:val="single" w:color="auto" w:sz="4" w:space="0"/>
            </w:tcBorders>
            <w:vAlign w:val="center"/>
          </w:tcPr>
          <w:p w14:paraId="7D776A1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92E93E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数据预处理-接口服务-知识库接口</w:t>
            </w:r>
          </w:p>
        </w:tc>
        <w:tc>
          <w:tcPr>
            <w:tcW w:w="3928" w:type="dxa"/>
            <w:tcBorders>
              <w:top w:val="nil"/>
              <w:left w:val="nil"/>
              <w:bottom w:val="single" w:color="auto" w:sz="4" w:space="0"/>
              <w:right w:val="single" w:color="auto" w:sz="4" w:space="0"/>
            </w:tcBorders>
            <w:vAlign w:val="center"/>
          </w:tcPr>
          <w:p w14:paraId="3AEDF0B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包括知识库创建接口、删除接口、更新接口和查询接口。</w:t>
            </w:r>
          </w:p>
        </w:tc>
      </w:tr>
      <w:tr w14:paraId="75149DE2">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49AED7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514</w:t>
            </w:r>
          </w:p>
        </w:tc>
        <w:tc>
          <w:tcPr>
            <w:tcW w:w="2028" w:type="dxa"/>
            <w:vMerge w:val="continue"/>
            <w:tcBorders>
              <w:top w:val="nil"/>
              <w:left w:val="single" w:color="auto" w:sz="4" w:space="0"/>
              <w:bottom w:val="single" w:color="000000" w:sz="4" w:space="0"/>
              <w:right w:val="single" w:color="auto" w:sz="4" w:space="0"/>
            </w:tcBorders>
            <w:vAlign w:val="center"/>
          </w:tcPr>
          <w:p w14:paraId="56948AB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B99F62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知识库建设-知识建模与组织-知识切片</w:t>
            </w:r>
          </w:p>
        </w:tc>
        <w:tc>
          <w:tcPr>
            <w:tcW w:w="3928" w:type="dxa"/>
            <w:tcBorders>
              <w:top w:val="nil"/>
              <w:left w:val="nil"/>
              <w:bottom w:val="single" w:color="auto" w:sz="4" w:space="0"/>
              <w:right w:val="single" w:color="auto" w:sz="4" w:space="0"/>
            </w:tcBorders>
            <w:vAlign w:val="center"/>
          </w:tcPr>
          <w:p w14:paraId="7C84288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按照段落拆分的向量化策略，将企业应急预案、报告等长文档拆分为逻辑完整的段落知识片段。</w:t>
            </w:r>
          </w:p>
        </w:tc>
      </w:tr>
      <w:tr w14:paraId="3F67C2F8">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2F9E04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515</w:t>
            </w:r>
          </w:p>
        </w:tc>
        <w:tc>
          <w:tcPr>
            <w:tcW w:w="2028" w:type="dxa"/>
            <w:vMerge w:val="continue"/>
            <w:tcBorders>
              <w:top w:val="nil"/>
              <w:left w:val="single" w:color="auto" w:sz="4" w:space="0"/>
              <w:bottom w:val="single" w:color="000000" w:sz="4" w:space="0"/>
              <w:right w:val="single" w:color="auto" w:sz="4" w:space="0"/>
            </w:tcBorders>
            <w:vAlign w:val="center"/>
          </w:tcPr>
          <w:p w14:paraId="371D393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729BD4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知识库建设-知识建模与组织-元信息标注</w:t>
            </w:r>
          </w:p>
        </w:tc>
        <w:tc>
          <w:tcPr>
            <w:tcW w:w="3928" w:type="dxa"/>
            <w:tcBorders>
              <w:top w:val="nil"/>
              <w:left w:val="nil"/>
              <w:bottom w:val="single" w:color="auto" w:sz="4" w:space="0"/>
              <w:right w:val="single" w:color="auto" w:sz="4" w:space="0"/>
            </w:tcBorders>
            <w:vAlign w:val="center"/>
          </w:tcPr>
          <w:p w14:paraId="174EA6F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为知识库中的每条知识添加元数据，包括数据来源（企业填报、管理部门发布等）、创建时间、更新时间、数据类型等信息。</w:t>
            </w:r>
          </w:p>
        </w:tc>
      </w:tr>
      <w:tr w14:paraId="7262A9C6">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AAF864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516</w:t>
            </w:r>
          </w:p>
        </w:tc>
        <w:tc>
          <w:tcPr>
            <w:tcW w:w="2028" w:type="dxa"/>
            <w:vMerge w:val="continue"/>
            <w:tcBorders>
              <w:top w:val="nil"/>
              <w:left w:val="single" w:color="auto" w:sz="4" w:space="0"/>
              <w:bottom w:val="single" w:color="000000" w:sz="4" w:space="0"/>
              <w:right w:val="single" w:color="auto" w:sz="4" w:space="0"/>
            </w:tcBorders>
            <w:vAlign w:val="center"/>
          </w:tcPr>
          <w:p w14:paraId="0ABE1D2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A70CA6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知识库建设-知识建模与组织-知识图谱建模</w:t>
            </w:r>
          </w:p>
        </w:tc>
        <w:tc>
          <w:tcPr>
            <w:tcW w:w="3928" w:type="dxa"/>
            <w:tcBorders>
              <w:top w:val="nil"/>
              <w:left w:val="nil"/>
              <w:bottom w:val="single" w:color="auto" w:sz="4" w:space="0"/>
              <w:right w:val="single" w:color="auto" w:sz="4" w:space="0"/>
            </w:tcBorders>
            <w:vAlign w:val="center"/>
          </w:tcPr>
          <w:p w14:paraId="14112FC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基于实体和关系数据，构建环境应急知识图谱，将风险源、敏感点、应急措施、企业等信息通过节点和边的形式可视化呈现。</w:t>
            </w:r>
          </w:p>
        </w:tc>
      </w:tr>
      <w:tr w14:paraId="3BB3B35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E1811E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517</w:t>
            </w:r>
          </w:p>
        </w:tc>
        <w:tc>
          <w:tcPr>
            <w:tcW w:w="2028" w:type="dxa"/>
            <w:vMerge w:val="continue"/>
            <w:tcBorders>
              <w:top w:val="nil"/>
              <w:left w:val="single" w:color="auto" w:sz="4" w:space="0"/>
              <w:bottom w:val="single" w:color="000000" w:sz="4" w:space="0"/>
              <w:right w:val="single" w:color="auto" w:sz="4" w:space="0"/>
            </w:tcBorders>
            <w:vAlign w:val="center"/>
          </w:tcPr>
          <w:p w14:paraId="0C72D5C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C811D5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知识库建设-知识建模与组织-知识抽取</w:t>
            </w:r>
          </w:p>
        </w:tc>
        <w:tc>
          <w:tcPr>
            <w:tcW w:w="3928" w:type="dxa"/>
            <w:tcBorders>
              <w:top w:val="nil"/>
              <w:left w:val="nil"/>
              <w:bottom w:val="single" w:color="auto" w:sz="4" w:space="0"/>
              <w:right w:val="single" w:color="auto" w:sz="4" w:space="0"/>
            </w:tcBorders>
            <w:vAlign w:val="center"/>
          </w:tcPr>
          <w:p w14:paraId="704FAD2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采用命名实体识别技术，从企业应急预案、历史事件总结报告等文本中抽取环境应急相关实体。</w:t>
            </w:r>
          </w:p>
        </w:tc>
      </w:tr>
      <w:tr w14:paraId="2AC5274C">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7F43E1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518</w:t>
            </w:r>
          </w:p>
        </w:tc>
        <w:tc>
          <w:tcPr>
            <w:tcW w:w="2028" w:type="dxa"/>
            <w:vMerge w:val="continue"/>
            <w:tcBorders>
              <w:top w:val="nil"/>
              <w:left w:val="single" w:color="auto" w:sz="4" w:space="0"/>
              <w:bottom w:val="single" w:color="000000" w:sz="4" w:space="0"/>
              <w:right w:val="single" w:color="auto" w:sz="4" w:space="0"/>
            </w:tcBorders>
            <w:vAlign w:val="center"/>
          </w:tcPr>
          <w:p w14:paraId="6FFDD8C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871688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知识库建设-知识更新与进化-变更检测与版本管理</w:t>
            </w:r>
          </w:p>
        </w:tc>
        <w:tc>
          <w:tcPr>
            <w:tcW w:w="3928" w:type="dxa"/>
            <w:tcBorders>
              <w:top w:val="nil"/>
              <w:left w:val="nil"/>
              <w:bottom w:val="single" w:color="auto" w:sz="4" w:space="0"/>
              <w:right w:val="single" w:color="auto" w:sz="4" w:space="0"/>
            </w:tcBorders>
            <w:vAlign w:val="center"/>
          </w:tcPr>
          <w:p w14:paraId="31C341E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每日定时对知识库中的知识进行变更检测，通过对比文件哈希值、文本相似度等方式，识别企业在“一网通办”平台更新的预案、管理部门发布的新政策等变化内容。</w:t>
            </w:r>
          </w:p>
        </w:tc>
      </w:tr>
      <w:tr w14:paraId="099B3DC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8814E4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519</w:t>
            </w:r>
          </w:p>
        </w:tc>
        <w:tc>
          <w:tcPr>
            <w:tcW w:w="2028" w:type="dxa"/>
            <w:vMerge w:val="continue"/>
            <w:tcBorders>
              <w:top w:val="nil"/>
              <w:left w:val="single" w:color="auto" w:sz="4" w:space="0"/>
              <w:bottom w:val="single" w:color="000000" w:sz="4" w:space="0"/>
              <w:right w:val="single" w:color="auto" w:sz="4" w:space="0"/>
            </w:tcBorders>
            <w:vAlign w:val="center"/>
          </w:tcPr>
          <w:p w14:paraId="43A5A29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45B1A5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知识库建设-知识更新与进化-用户行为驱动进化</w:t>
            </w:r>
          </w:p>
        </w:tc>
        <w:tc>
          <w:tcPr>
            <w:tcW w:w="3928" w:type="dxa"/>
            <w:tcBorders>
              <w:top w:val="nil"/>
              <w:left w:val="nil"/>
              <w:bottom w:val="single" w:color="auto" w:sz="4" w:space="0"/>
              <w:right w:val="single" w:color="auto" w:sz="4" w:space="0"/>
            </w:tcBorders>
            <w:vAlign w:val="center"/>
          </w:tcPr>
          <w:p w14:paraId="760DC71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通过多维度评估生成热度指数，动态置顶高频知识并聚合关联内容；经用户反馈、专家审核实现知识迭代，提升满意度。</w:t>
            </w:r>
          </w:p>
        </w:tc>
      </w:tr>
      <w:tr w14:paraId="241F89A6">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39EE54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520</w:t>
            </w:r>
          </w:p>
        </w:tc>
        <w:tc>
          <w:tcPr>
            <w:tcW w:w="2028" w:type="dxa"/>
            <w:vMerge w:val="continue"/>
            <w:tcBorders>
              <w:top w:val="nil"/>
              <w:left w:val="single" w:color="auto" w:sz="4" w:space="0"/>
              <w:bottom w:val="single" w:color="000000" w:sz="4" w:space="0"/>
              <w:right w:val="single" w:color="auto" w:sz="4" w:space="0"/>
            </w:tcBorders>
            <w:vAlign w:val="center"/>
          </w:tcPr>
          <w:p w14:paraId="21CE755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877517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知识库建设-知识质量与安全-质量检查</w:t>
            </w:r>
          </w:p>
        </w:tc>
        <w:tc>
          <w:tcPr>
            <w:tcW w:w="3928" w:type="dxa"/>
            <w:tcBorders>
              <w:top w:val="nil"/>
              <w:left w:val="nil"/>
              <w:bottom w:val="single" w:color="auto" w:sz="4" w:space="0"/>
              <w:right w:val="single" w:color="auto" w:sz="4" w:space="0"/>
            </w:tcBorders>
            <w:vAlign w:val="center"/>
          </w:tcPr>
          <w:p w14:paraId="647CD5B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建立知识质量检查机制，通过语义一致性检查、逻辑矛盾检测等方法，自动识别知识库中可能存在的错误或过时知识。</w:t>
            </w:r>
          </w:p>
        </w:tc>
      </w:tr>
      <w:tr w14:paraId="1B16950C">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8F079A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521</w:t>
            </w:r>
          </w:p>
        </w:tc>
        <w:tc>
          <w:tcPr>
            <w:tcW w:w="2028" w:type="dxa"/>
            <w:vMerge w:val="continue"/>
            <w:tcBorders>
              <w:top w:val="nil"/>
              <w:left w:val="single" w:color="auto" w:sz="4" w:space="0"/>
              <w:bottom w:val="single" w:color="000000" w:sz="4" w:space="0"/>
              <w:right w:val="single" w:color="auto" w:sz="4" w:space="0"/>
            </w:tcBorders>
            <w:vAlign w:val="center"/>
          </w:tcPr>
          <w:p w14:paraId="6C78A98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C0D7FE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智能体建设-角色与对话框架设计-角色设定与身份管理</w:t>
            </w:r>
          </w:p>
        </w:tc>
        <w:tc>
          <w:tcPr>
            <w:tcW w:w="3928" w:type="dxa"/>
            <w:tcBorders>
              <w:top w:val="nil"/>
              <w:left w:val="nil"/>
              <w:bottom w:val="single" w:color="auto" w:sz="4" w:space="0"/>
              <w:right w:val="single" w:color="auto" w:sz="4" w:space="0"/>
            </w:tcBorders>
            <w:vAlign w:val="center"/>
          </w:tcPr>
          <w:p w14:paraId="5CF0C08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构建“三级角色体系”，核心为“应急决策助手”，衍生“企业预案顾问”、“公众咨询助手”；以多维度权限矩阵动态分配功能权限，保障安全与适配。</w:t>
            </w:r>
          </w:p>
        </w:tc>
      </w:tr>
      <w:tr w14:paraId="551A55F1">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C60A1F5">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522</w:t>
            </w:r>
          </w:p>
        </w:tc>
        <w:tc>
          <w:tcPr>
            <w:tcW w:w="2028" w:type="dxa"/>
            <w:vMerge w:val="continue"/>
            <w:tcBorders>
              <w:top w:val="nil"/>
              <w:left w:val="single" w:color="auto" w:sz="4" w:space="0"/>
              <w:bottom w:val="single" w:color="000000" w:sz="4" w:space="0"/>
              <w:right w:val="single" w:color="auto" w:sz="4" w:space="0"/>
            </w:tcBorders>
            <w:vAlign w:val="center"/>
          </w:tcPr>
          <w:p w14:paraId="3232217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83B074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智能体建设-角色与对话框架设计-对话流程设计与结构化脚本</w:t>
            </w:r>
          </w:p>
        </w:tc>
        <w:tc>
          <w:tcPr>
            <w:tcW w:w="3928" w:type="dxa"/>
            <w:tcBorders>
              <w:top w:val="nil"/>
              <w:left w:val="nil"/>
              <w:bottom w:val="single" w:color="auto" w:sz="4" w:space="0"/>
              <w:right w:val="single" w:color="auto" w:sz="4" w:space="0"/>
            </w:tcBorders>
            <w:vAlign w:val="center"/>
          </w:tcPr>
          <w:p w14:paraId="1B9242D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采用“触发-解析-响应-反馈”四阶闭环，按场景模块化设计，包含多个预制模板，关键节点嵌入变量占位符，结合实时数据动态生成对话内容。</w:t>
            </w:r>
          </w:p>
        </w:tc>
      </w:tr>
      <w:tr w14:paraId="2261C82C">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E5FEEB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523</w:t>
            </w:r>
          </w:p>
        </w:tc>
        <w:tc>
          <w:tcPr>
            <w:tcW w:w="2028" w:type="dxa"/>
            <w:vMerge w:val="continue"/>
            <w:tcBorders>
              <w:top w:val="nil"/>
              <w:left w:val="single" w:color="auto" w:sz="4" w:space="0"/>
              <w:bottom w:val="single" w:color="000000" w:sz="4" w:space="0"/>
              <w:right w:val="single" w:color="auto" w:sz="4" w:space="0"/>
            </w:tcBorders>
            <w:vAlign w:val="center"/>
          </w:tcPr>
          <w:p w14:paraId="7155DF7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66A8AD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智能体建设-能力构建与流程编排-提示词工程</w:t>
            </w:r>
          </w:p>
        </w:tc>
        <w:tc>
          <w:tcPr>
            <w:tcW w:w="3928" w:type="dxa"/>
            <w:tcBorders>
              <w:top w:val="nil"/>
              <w:left w:val="nil"/>
              <w:bottom w:val="single" w:color="auto" w:sz="4" w:space="0"/>
              <w:right w:val="single" w:color="auto" w:sz="4" w:space="0"/>
            </w:tcBorders>
            <w:vAlign w:val="center"/>
          </w:tcPr>
          <w:p w14:paraId="405BF20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针对应急场景多变量特性，设计层级化提示词模板体系，基础层包含事件要素提取指令，中间层嵌入逻辑推理规则，高层级支持动态参数适配，通过提示词微调优化语义理解精度。</w:t>
            </w:r>
          </w:p>
        </w:tc>
      </w:tr>
      <w:tr w14:paraId="0FA3235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C49059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524</w:t>
            </w:r>
          </w:p>
        </w:tc>
        <w:tc>
          <w:tcPr>
            <w:tcW w:w="2028" w:type="dxa"/>
            <w:vMerge w:val="continue"/>
            <w:tcBorders>
              <w:top w:val="nil"/>
              <w:left w:val="single" w:color="auto" w:sz="4" w:space="0"/>
              <w:bottom w:val="single" w:color="000000" w:sz="4" w:space="0"/>
              <w:right w:val="single" w:color="auto" w:sz="4" w:space="0"/>
            </w:tcBorders>
            <w:vAlign w:val="center"/>
          </w:tcPr>
          <w:p w14:paraId="3868683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873EC1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智能体建设-能力构建与流程编排-知识工程</w:t>
            </w:r>
          </w:p>
        </w:tc>
        <w:tc>
          <w:tcPr>
            <w:tcW w:w="3928" w:type="dxa"/>
            <w:tcBorders>
              <w:top w:val="nil"/>
              <w:left w:val="nil"/>
              <w:bottom w:val="single" w:color="auto" w:sz="4" w:space="0"/>
              <w:right w:val="single" w:color="auto" w:sz="4" w:space="0"/>
            </w:tcBorders>
            <w:vAlign w:val="center"/>
          </w:tcPr>
          <w:p w14:paraId="3233FDF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构建“知识图谱+向量库”双引擎知识架构，开发知识增强插件，实现图谱推理结果与向量检索内容的交叉验证，确保为决策提供的知识支撑既全面又精准。</w:t>
            </w:r>
          </w:p>
        </w:tc>
      </w:tr>
      <w:tr w14:paraId="0A5DCC88">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08F409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525</w:t>
            </w:r>
          </w:p>
        </w:tc>
        <w:tc>
          <w:tcPr>
            <w:tcW w:w="2028" w:type="dxa"/>
            <w:vMerge w:val="continue"/>
            <w:tcBorders>
              <w:top w:val="nil"/>
              <w:left w:val="single" w:color="auto" w:sz="4" w:space="0"/>
              <w:bottom w:val="single" w:color="000000" w:sz="4" w:space="0"/>
              <w:right w:val="single" w:color="auto" w:sz="4" w:space="0"/>
            </w:tcBorders>
            <w:vAlign w:val="center"/>
          </w:tcPr>
          <w:p w14:paraId="12AE542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4DF077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智能体建设-能力构建与流程编排-工具开发及框架集成</w:t>
            </w:r>
          </w:p>
        </w:tc>
        <w:tc>
          <w:tcPr>
            <w:tcW w:w="3928" w:type="dxa"/>
            <w:tcBorders>
              <w:top w:val="nil"/>
              <w:left w:val="nil"/>
              <w:bottom w:val="single" w:color="auto" w:sz="4" w:space="0"/>
              <w:right w:val="single" w:color="auto" w:sz="4" w:space="0"/>
            </w:tcBorders>
            <w:vAlign w:val="center"/>
          </w:tcPr>
          <w:p w14:paraId="3B2EB83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定制化开发应急专属工具集，包括GIS空间分析工具、扩散模拟工具、数据解析工具。基于LangChain+LangGraph框架实现工具无缝集成，通过标准化接口封装，支持工具调用链动态组合。</w:t>
            </w:r>
          </w:p>
        </w:tc>
      </w:tr>
      <w:tr w14:paraId="110AF95C">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B7C39D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526</w:t>
            </w:r>
          </w:p>
        </w:tc>
        <w:tc>
          <w:tcPr>
            <w:tcW w:w="2028" w:type="dxa"/>
            <w:vMerge w:val="continue"/>
            <w:tcBorders>
              <w:top w:val="nil"/>
              <w:left w:val="single" w:color="auto" w:sz="4" w:space="0"/>
              <w:bottom w:val="single" w:color="000000" w:sz="4" w:space="0"/>
              <w:right w:val="single" w:color="auto" w:sz="4" w:space="0"/>
            </w:tcBorders>
            <w:vAlign w:val="center"/>
          </w:tcPr>
          <w:p w14:paraId="77C5104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E0D6B3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智能体建设-能力构建与流程编排-流程编排与逻辑控制</w:t>
            </w:r>
          </w:p>
        </w:tc>
        <w:tc>
          <w:tcPr>
            <w:tcW w:w="3928" w:type="dxa"/>
            <w:tcBorders>
              <w:top w:val="nil"/>
              <w:left w:val="nil"/>
              <w:bottom w:val="single" w:color="auto" w:sz="4" w:space="0"/>
              <w:right w:val="single" w:color="auto" w:sz="4" w:space="0"/>
            </w:tcBorders>
            <w:vAlign w:val="center"/>
          </w:tcPr>
          <w:p w14:paraId="43D6586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采用可视化流程设计器构建应急处置流程库，包含多个预设流程通过条件分支节点、循环节点实现逻辑控制，支持异常处理机制。</w:t>
            </w:r>
          </w:p>
        </w:tc>
      </w:tr>
      <w:tr w14:paraId="02A7D004">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D0CF4E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527</w:t>
            </w:r>
          </w:p>
        </w:tc>
        <w:tc>
          <w:tcPr>
            <w:tcW w:w="2028" w:type="dxa"/>
            <w:vMerge w:val="continue"/>
            <w:tcBorders>
              <w:top w:val="nil"/>
              <w:left w:val="single" w:color="auto" w:sz="4" w:space="0"/>
              <w:bottom w:val="single" w:color="000000" w:sz="4" w:space="0"/>
              <w:right w:val="single" w:color="auto" w:sz="4" w:space="0"/>
            </w:tcBorders>
            <w:vAlign w:val="center"/>
          </w:tcPr>
          <w:p w14:paraId="251BD10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72FD43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智能体建设-上下文与多轮对话管理-上下文建模与状态管理</w:t>
            </w:r>
          </w:p>
        </w:tc>
        <w:tc>
          <w:tcPr>
            <w:tcW w:w="3928" w:type="dxa"/>
            <w:tcBorders>
              <w:top w:val="nil"/>
              <w:left w:val="nil"/>
              <w:bottom w:val="single" w:color="auto" w:sz="4" w:space="0"/>
              <w:right w:val="single" w:color="auto" w:sz="4" w:space="0"/>
            </w:tcBorders>
            <w:vAlign w:val="center"/>
          </w:tcPr>
          <w:p w14:paraId="40EDECF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构建“语义向量+结构化字段”双轨上下文模型，实时捕捉对话动态。设计状态衰减机制，对低频信息自动降权，重点保留关键指令，确保上下文窗口高效利用。</w:t>
            </w:r>
          </w:p>
        </w:tc>
      </w:tr>
      <w:tr w14:paraId="135B4B48">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AE3E39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528</w:t>
            </w:r>
          </w:p>
        </w:tc>
        <w:tc>
          <w:tcPr>
            <w:tcW w:w="2028" w:type="dxa"/>
            <w:vMerge w:val="continue"/>
            <w:tcBorders>
              <w:top w:val="nil"/>
              <w:left w:val="single" w:color="auto" w:sz="4" w:space="0"/>
              <w:bottom w:val="single" w:color="000000" w:sz="4" w:space="0"/>
              <w:right w:val="single" w:color="auto" w:sz="4" w:space="0"/>
            </w:tcBorders>
            <w:vAlign w:val="center"/>
          </w:tcPr>
          <w:p w14:paraId="139F3CA1">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EE5A10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智能体建设-上下文与多轮对话管理-用户画像与长期记忆机制</w:t>
            </w:r>
          </w:p>
        </w:tc>
        <w:tc>
          <w:tcPr>
            <w:tcW w:w="3928" w:type="dxa"/>
            <w:tcBorders>
              <w:top w:val="nil"/>
              <w:left w:val="nil"/>
              <w:bottom w:val="single" w:color="auto" w:sz="4" w:space="0"/>
              <w:right w:val="single" w:color="auto" w:sz="4" w:space="0"/>
            </w:tcBorders>
            <w:vAlign w:val="center"/>
          </w:tcPr>
          <w:p w14:paraId="2A5ED69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基于用户交互日志构建三维画像体系，采用向量数据库持久化存储画像特征，并进行个性化偏好记录，结合时序衰减算法更新权重。</w:t>
            </w:r>
          </w:p>
        </w:tc>
      </w:tr>
      <w:tr w14:paraId="247EFA98">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063B644">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529</w:t>
            </w:r>
          </w:p>
        </w:tc>
        <w:tc>
          <w:tcPr>
            <w:tcW w:w="2028" w:type="dxa"/>
            <w:vMerge w:val="continue"/>
            <w:tcBorders>
              <w:top w:val="nil"/>
              <w:left w:val="single" w:color="auto" w:sz="4" w:space="0"/>
              <w:bottom w:val="single" w:color="000000" w:sz="4" w:space="0"/>
              <w:right w:val="single" w:color="auto" w:sz="4" w:space="0"/>
            </w:tcBorders>
            <w:vAlign w:val="center"/>
          </w:tcPr>
          <w:p w14:paraId="7C540F8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FE4195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智能体建设-上下文与多轮对话管理-多会话并行与多用户管理</w:t>
            </w:r>
          </w:p>
        </w:tc>
        <w:tc>
          <w:tcPr>
            <w:tcW w:w="3928" w:type="dxa"/>
            <w:tcBorders>
              <w:top w:val="nil"/>
              <w:left w:val="nil"/>
              <w:bottom w:val="single" w:color="auto" w:sz="4" w:space="0"/>
              <w:right w:val="single" w:color="auto" w:sz="4" w:space="0"/>
            </w:tcBorders>
            <w:vAlign w:val="center"/>
          </w:tcPr>
          <w:p w14:paraId="2CADD98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依托Redis分布式缓存实现会话隔离，为每个用户分配独立会话ID，支持多会话并行处理。设计会话优先级机制，应急指挥用户会话权重高于普通咨询，确保紧急指令优先处理。</w:t>
            </w:r>
          </w:p>
        </w:tc>
      </w:tr>
      <w:tr w14:paraId="454CBB84">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66057E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530</w:t>
            </w:r>
          </w:p>
        </w:tc>
        <w:tc>
          <w:tcPr>
            <w:tcW w:w="2028" w:type="dxa"/>
            <w:vMerge w:val="continue"/>
            <w:tcBorders>
              <w:top w:val="nil"/>
              <w:left w:val="single" w:color="auto" w:sz="4" w:space="0"/>
              <w:bottom w:val="single" w:color="000000" w:sz="4" w:space="0"/>
              <w:right w:val="single" w:color="auto" w:sz="4" w:space="0"/>
            </w:tcBorders>
            <w:vAlign w:val="center"/>
          </w:tcPr>
          <w:p w14:paraId="291A46F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0203A3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智能体建设-智能体评估与部署-方案设计</w:t>
            </w:r>
          </w:p>
        </w:tc>
        <w:tc>
          <w:tcPr>
            <w:tcW w:w="3928" w:type="dxa"/>
            <w:tcBorders>
              <w:top w:val="nil"/>
              <w:left w:val="nil"/>
              <w:bottom w:val="single" w:color="auto" w:sz="4" w:space="0"/>
              <w:right w:val="single" w:color="auto" w:sz="4" w:space="0"/>
            </w:tcBorders>
            <w:vAlign w:val="center"/>
          </w:tcPr>
          <w:p w14:paraId="1F66C97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 “功能 - 性能 - 安全” 三维框架，经模拟测试验决策准确性，借负载测试定容器配置，按“测试预部署→灰度验证→全量上线”三步走。</w:t>
            </w:r>
          </w:p>
        </w:tc>
      </w:tr>
      <w:tr w14:paraId="6F69CCB6">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BC2A18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531</w:t>
            </w:r>
          </w:p>
        </w:tc>
        <w:tc>
          <w:tcPr>
            <w:tcW w:w="2028" w:type="dxa"/>
            <w:vMerge w:val="continue"/>
            <w:tcBorders>
              <w:top w:val="nil"/>
              <w:left w:val="single" w:color="auto" w:sz="4" w:space="0"/>
              <w:bottom w:val="single" w:color="000000" w:sz="4" w:space="0"/>
              <w:right w:val="single" w:color="auto" w:sz="4" w:space="0"/>
            </w:tcBorders>
            <w:vAlign w:val="center"/>
          </w:tcPr>
          <w:p w14:paraId="64BA909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44958E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智能体建设-智能体评估与部署-可用性评测</w:t>
            </w:r>
          </w:p>
        </w:tc>
        <w:tc>
          <w:tcPr>
            <w:tcW w:w="3928" w:type="dxa"/>
            <w:tcBorders>
              <w:top w:val="nil"/>
              <w:left w:val="nil"/>
              <w:bottom w:val="single" w:color="auto" w:sz="4" w:space="0"/>
              <w:right w:val="single" w:color="auto" w:sz="4" w:space="0"/>
            </w:tcBorders>
            <w:vAlign w:val="center"/>
          </w:tcPr>
          <w:p w14:paraId="6CE384C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从交互效率与决策有效性评估：100+模拟事件测响应，算决策与专家方案重合度；根据用户反馈，评交互流畅度及多终端适配性，助一线人员快速上手。</w:t>
            </w:r>
          </w:p>
        </w:tc>
      </w:tr>
      <w:tr w14:paraId="6315ACC1">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8DF5D3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532</w:t>
            </w:r>
          </w:p>
        </w:tc>
        <w:tc>
          <w:tcPr>
            <w:tcW w:w="2028" w:type="dxa"/>
            <w:vMerge w:val="continue"/>
            <w:tcBorders>
              <w:top w:val="nil"/>
              <w:left w:val="single" w:color="auto" w:sz="4" w:space="0"/>
              <w:bottom w:val="single" w:color="000000" w:sz="4" w:space="0"/>
              <w:right w:val="single" w:color="auto" w:sz="4" w:space="0"/>
            </w:tcBorders>
            <w:vAlign w:val="center"/>
          </w:tcPr>
          <w:p w14:paraId="3C083E5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34C089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智能体建设-智能体评估与部署-安全性评测</w:t>
            </w:r>
          </w:p>
        </w:tc>
        <w:tc>
          <w:tcPr>
            <w:tcW w:w="3928" w:type="dxa"/>
            <w:tcBorders>
              <w:top w:val="nil"/>
              <w:left w:val="nil"/>
              <w:bottom w:val="single" w:color="auto" w:sz="4" w:space="0"/>
              <w:right w:val="single" w:color="auto" w:sz="4" w:space="0"/>
            </w:tcBorders>
            <w:vAlign w:val="center"/>
          </w:tcPr>
          <w:p w14:paraId="36F1534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聚焦数据与运行安全，包括渗透测试验接口防护、数据脱敏、模拟容器故障测灾备，核查权限管理体系，确定符合等保要求。</w:t>
            </w:r>
          </w:p>
        </w:tc>
      </w:tr>
      <w:tr w14:paraId="30929C3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19144A6">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533</w:t>
            </w:r>
          </w:p>
        </w:tc>
        <w:tc>
          <w:tcPr>
            <w:tcW w:w="2028" w:type="dxa"/>
            <w:vMerge w:val="continue"/>
            <w:tcBorders>
              <w:top w:val="nil"/>
              <w:left w:val="single" w:color="auto" w:sz="4" w:space="0"/>
              <w:bottom w:val="single" w:color="000000" w:sz="4" w:space="0"/>
              <w:right w:val="single" w:color="auto" w:sz="4" w:space="0"/>
            </w:tcBorders>
            <w:vAlign w:val="center"/>
          </w:tcPr>
          <w:p w14:paraId="4D037AA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9855D8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智能体建设-智能体评估与部署-智能体部署</w:t>
            </w:r>
          </w:p>
        </w:tc>
        <w:tc>
          <w:tcPr>
            <w:tcW w:w="3928" w:type="dxa"/>
            <w:tcBorders>
              <w:top w:val="nil"/>
              <w:left w:val="nil"/>
              <w:bottom w:val="single" w:color="auto" w:sz="4" w:space="0"/>
              <w:right w:val="single" w:color="auto" w:sz="4" w:space="0"/>
            </w:tcBorders>
            <w:vAlign w:val="center"/>
          </w:tcPr>
          <w:p w14:paraId="2C616CA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 Docker+Kubernetes 架构实现容器化部署，将智能体拆分为“交互层、推理层、数据层”三个容器镜像，通过K8s实现自动扩缩容。</w:t>
            </w:r>
          </w:p>
        </w:tc>
      </w:tr>
      <w:tr w14:paraId="6C992A01">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37E9C8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534</w:t>
            </w:r>
          </w:p>
        </w:tc>
        <w:tc>
          <w:tcPr>
            <w:tcW w:w="2028" w:type="dxa"/>
            <w:vMerge w:val="restart"/>
            <w:tcBorders>
              <w:top w:val="nil"/>
              <w:left w:val="single" w:color="auto" w:sz="4" w:space="0"/>
              <w:bottom w:val="single" w:color="000000" w:sz="4" w:space="0"/>
              <w:right w:val="single" w:color="auto" w:sz="4" w:space="0"/>
            </w:tcBorders>
            <w:vAlign w:val="center"/>
          </w:tcPr>
          <w:p w14:paraId="2B47BEA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污染源智能监管大模型</w:t>
            </w:r>
          </w:p>
        </w:tc>
        <w:tc>
          <w:tcPr>
            <w:tcW w:w="1642" w:type="dxa"/>
            <w:tcBorders>
              <w:top w:val="nil"/>
              <w:left w:val="nil"/>
              <w:bottom w:val="single" w:color="auto" w:sz="4" w:space="0"/>
              <w:right w:val="single" w:color="auto" w:sz="4" w:space="0"/>
            </w:tcBorders>
            <w:vAlign w:val="center"/>
          </w:tcPr>
          <w:p w14:paraId="7A6933A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数据预处理-数据采集-结构化数据采集</w:t>
            </w:r>
          </w:p>
        </w:tc>
        <w:tc>
          <w:tcPr>
            <w:tcW w:w="3928" w:type="dxa"/>
            <w:tcBorders>
              <w:top w:val="nil"/>
              <w:left w:val="nil"/>
              <w:bottom w:val="single" w:color="auto" w:sz="4" w:space="0"/>
              <w:right w:val="single" w:color="auto" w:sz="4" w:space="0"/>
            </w:tcBorders>
            <w:vAlign w:val="center"/>
          </w:tcPr>
          <w:p w14:paraId="30EF6F9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汇聚固定污染源在线综合管理平台内自动在线监控、自行监测、自行监测检查、排污许可证信息的结构化数据；通过数据治理，形成数据合规认定、自行监测检查、排污许可执行报告检查所需数据。</w:t>
            </w:r>
          </w:p>
        </w:tc>
      </w:tr>
      <w:tr w14:paraId="1197B7F0">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AED580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535</w:t>
            </w:r>
          </w:p>
        </w:tc>
        <w:tc>
          <w:tcPr>
            <w:tcW w:w="2028" w:type="dxa"/>
            <w:vMerge w:val="continue"/>
            <w:tcBorders>
              <w:top w:val="nil"/>
              <w:left w:val="single" w:color="auto" w:sz="4" w:space="0"/>
              <w:bottom w:val="single" w:color="000000" w:sz="4" w:space="0"/>
              <w:right w:val="single" w:color="auto" w:sz="4" w:space="0"/>
            </w:tcBorders>
            <w:vAlign w:val="center"/>
          </w:tcPr>
          <w:p w14:paraId="0E56111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6DA09A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数据预处理-数据采集-非结构化数据采集</w:t>
            </w:r>
          </w:p>
        </w:tc>
        <w:tc>
          <w:tcPr>
            <w:tcW w:w="3928" w:type="dxa"/>
            <w:tcBorders>
              <w:top w:val="nil"/>
              <w:left w:val="nil"/>
              <w:bottom w:val="single" w:color="auto" w:sz="4" w:space="0"/>
              <w:right w:val="single" w:color="auto" w:sz="4" w:space="0"/>
            </w:tcBorders>
            <w:vAlign w:val="center"/>
          </w:tcPr>
          <w:p w14:paraId="45B0256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汇聚固定污染源在线综合管理平台内的企业凭证、自行监测检查上传的材料、执行报告材料数据，通过智能感知矩阵和NLP技术识别文本、图像中的关键信息，采集污染源企业凭证附件内的非结构化数据。</w:t>
            </w:r>
          </w:p>
        </w:tc>
      </w:tr>
      <w:tr w14:paraId="2A15C202">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4782BA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536</w:t>
            </w:r>
          </w:p>
        </w:tc>
        <w:tc>
          <w:tcPr>
            <w:tcW w:w="2028" w:type="dxa"/>
            <w:vMerge w:val="continue"/>
            <w:tcBorders>
              <w:top w:val="nil"/>
              <w:left w:val="single" w:color="auto" w:sz="4" w:space="0"/>
              <w:bottom w:val="single" w:color="000000" w:sz="4" w:space="0"/>
              <w:right w:val="single" w:color="auto" w:sz="4" w:space="0"/>
            </w:tcBorders>
            <w:vAlign w:val="center"/>
          </w:tcPr>
          <w:p w14:paraId="112FB21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DCFB89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数据预处理-数据处理-格式规范化</w:t>
            </w:r>
          </w:p>
        </w:tc>
        <w:tc>
          <w:tcPr>
            <w:tcW w:w="3928" w:type="dxa"/>
            <w:tcBorders>
              <w:top w:val="nil"/>
              <w:left w:val="nil"/>
              <w:bottom w:val="single" w:color="auto" w:sz="4" w:space="0"/>
              <w:right w:val="single" w:color="auto" w:sz="4" w:space="0"/>
            </w:tcBorders>
            <w:vAlign w:val="center"/>
          </w:tcPr>
          <w:p w14:paraId="54E9D82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针对采集到的在线、凭证、附件数据，统一数据格式、标准化单位、清洗异常值、补全缺失值，确保数据一致性与可分析性。</w:t>
            </w:r>
          </w:p>
        </w:tc>
      </w:tr>
      <w:tr w14:paraId="1FA38EB8">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FC093E8">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537</w:t>
            </w:r>
          </w:p>
        </w:tc>
        <w:tc>
          <w:tcPr>
            <w:tcW w:w="2028" w:type="dxa"/>
            <w:vMerge w:val="continue"/>
            <w:tcBorders>
              <w:top w:val="nil"/>
              <w:left w:val="single" w:color="auto" w:sz="4" w:space="0"/>
              <w:bottom w:val="single" w:color="000000" w:sz="4" w:space="0"/>
              <w:right w:val="single" w:color="auto" w:sz="4" w:space="0"/>
            </w:tcBorders>
            <w:vAlign w:val="center"/>
          </w:tcPr>
          <w:p w14:paraId="39F6E23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F50C43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数据预处理-数据处理-重复数据去重</w:t>
            </w:r>
          </w:p>
        </w:tc>
        <w:tc>
          <w:tcPr>
            <w:tcW w:w="3928" w:type="dxa"/>
            <w:tcBorders>
              <w:top w:val="nil"/>
              <w:left w:val="nil"/>
              <w:bottom w:val="single" w:color="auto" w:sz="4" w:space="0"/>
              <w:right w:val="single" w:color="auto" w:sz="4" w:space="0"/>
            </w:tcBorders>
            <w:vAlign w:val="center"/>
          </w:tcPr>
          <w:p w14:paraId="6883B42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针对采集到的在线、凭证、附件数据进行重复数据去重，识别并删除完全重复或关键字段重复的记录，确保数据唯一性，提升数据质量与分析准确性。</w:t>
            </w:r>
          </w:p>
        </w:tc>
      </w:tr>
      <w:tr w14:paraId="7E66B70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0A6EC0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538</w:t>
            </w:r>
          </w:p>
        </w:tc>
        <w:tc>
          <w:tcPr>
            <w:tcW w:w="2028" w:type="dxa"/>
            <w:vMerge w:val="continue"/>
            <w:tcBorders>
              <w:top w:val="nil"/>
              <w:left w:val="single" w:color="auto" w:sz="4" w:space="0"/>
              <w:bottom w:val="single" w:color="000000" w:sz="4" w:space="0"/>
              <w:right w:val="single" w:color="auto" w:sz="4" w:space="0"/>
            </w:tcBorders>
            <w:vAlign w:val="center"/>
          </w:tcPr>
          <w:p w14:paraId="7EBAAC4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A70F04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数据预处理-数据处理-数据脱敏与隐私保护</w:t>
            </w:r>
          </w:p>
        </w:tc>
        <w:tc>
          <w:tcPr>
            <w:tcW w:w="3928" w:type="dxa"/>
            <w:tcBorders>
              <w:top w:val="nil"/>
              <w:left w:val="nil"/>
              <w:bottom w:val="single" w:color="auto" w:sz="4" w:space="0"/>
              <w:right w:val="single" w:color="auto" w:sz="4" w:space="0"/>
            </w:tcBorders>
            <w:vAlign w:val="center"/>
          </w:tcPr>
          <w:p w14:paraId="39BF63D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针对采集到的数据进行数据脱敏处理，对敏感信息进行加密、掩码或泛化处理，确保数据匿名化，保障用户隐私与数据合规使用。</w:t>
            </w:r>
          </w:p>
        </w:tc>
      </w:tr>
      <w:tr w14:paraId="521D64E8">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587712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539</w:t>
            </w:r>
          </w:p>
        </w:tc>
        <w:tc>
          <w:tcPr>
            <w:tcW w:w="2028" w:type="dxa"/>
            <w:vMerge w:val="continue"/>
            <w:tcBorders>
              <w:top w:val="nil"/>
              <w:left w:val="single" w:color="auto" w:sz="4" w:space="0"/>
              <w:bottom w:val="single" w:color="000000" w:sz="4" w:space="0"/>
              <w:right w:val="single" w:color="auto" w:sz="4" w:space="0"/>
            </w:tcBorders>
            <w:vAlign w:val="center"/>
          </w:tcPr>
          <w:p w14:paraId="780D1CF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A1D1F3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数据预处理-数据处理-编码标准化</w:t>
            </w:r>
          </w:p>
        </w:tc>
        <w:tc>
          <w:tcPr>
            <w:tcW w:w="3928" w:type="dxa"/>
            <w:tcBorders>
              <w:top w:val="nil"/>
              <w:left w:val="nil"/>
              <w:bottom w:val="single" w:color="auto" w:sz="4" w:space="0"/>
              <w:right w:val="single" w:color="auto" w:sz="4" w:space="0"/>
            </w:tcBorders>
            <w:vAlign w:val="center"/>
          </w:tcPr>
          <w:p w14:paraId="3A43B25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针对采集到的在线、凭证、附件数据统一字符编码格式（如UTF-8），避免乱码问题，确保数据在不同系统间正确读取与处理。</w:t>
            </w:r>
          </w:p>
        </w:tc>
      </w:tr>
      <w:tr w14:paraId="2BF83B5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CB5060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540</w:t>
            </w:r>
          </w:p>
        </w:tc>
        <w:tc>
          <w:tcPr>
            <w:tcW w:w="2028" w:type="dxa"/>
            <w:vMerge w:val="continue"/>
            <w:tcBorders>
              <w:top w:val="nil"/>
              <w:left w:val="single" w:color="auto" w:sz="4" w:space="0"/>
              <w:bottom w:val="single" w:color="000000" w:sz="4" w:space="0"/>
              <w:right w:val="single" w:color="auto" w:sz="4" w:space="0"/>
            </w:tcBorders>
            <w:vAlign w:val="center"/>
          </w:tcPr>
          <w:p w14:paraId="57B5FE8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BF2912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数据预处理-接口服务-元数据接口</w:t>
            </w:r>
          </w:p>
        </w:tc>
        <w:tc>
          <w:tcPr>
            <w:tcW w:w="3928" w:type="dxa"/>
            <w:tcBorders>
              <w:top w:val="nil"/>
              <w:left w:val="nil"/>
              <w:bottom w:val="single" w:color="auto" w:sz="4" w:space="0"/>
              <w:right w:val="single" w:color="auto" w:sz="4" w:space="0"/>
            </w:tcBorders>
            <w:vAlign w:val="center"/>
          </w:tcPr>
          <w:p w14:paraId="23B6842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开发一套元数据接口，能够实现采集后数据库内的元数据，用于定义和交换数据的结构、来源及属性，支持系统间元数据共享与数据治理。</w:t>
            </w:r>
          </w:p>
        </w:tc>
      </w:tr>
      <w:tr w14:paraId="39483BD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D08248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541</w:t>
            </w:r>
          </w:p>
        </w:tc>
        <w:tc>
          <w:tcPr>
            <w:tcW w:w="2028" w:type="dxa"/>
            <w:vMerge w:val="continue"/>
            <w:tcBorders>
              <w:top w:val="nil"/>
              <w:left w:val="single" w:color="auto" w:sz="4" w:space="0"/>
              <w:bottom w:val="single" w:color="000000" w:sz="4" w:space="0"/>
              <w:right w:val="single" w:color="auto" w:sz="4" w:space="0"/>
            </w:tcBorders>
            <w:vAlign w:val="center"/>
          </w:tcPr>
          <w:p w14:paraId="6C6F5A2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6E1E8F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数据预处理-接口服务-知识库接口</w:t>
            </w:r>
          </w:p>
        </w:tc>
        <w:tc>
          <w:tcPr>
            <w:tcW w:w="3928" w:type="dxa"/>
            <w:tcBorders>
              <w:top w:val="nil"/>
              <w:left w:val="nil"/>
              <w:bottom w:val="single" w:color="auto" w:sz="4" w:space="0"/>
              <w:right w:val="single" w:color="auto" w:sz="4" w:space="0"/>
            </w:tcBorders>
            <w:vAlign w:val="center"/>
          </w:tcPr>
          <w:p w14:paraId="23B386D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AI大模型知识库接口提供知识查询、语义理解与推理服务，实现大模型与知识库的高效交互与数据调用。</w:t>
            </w:r>
          </w:p>
        </w:tc>
      </w:tr>
      <w:tr w14:paraId="22E89BF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32CBC9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542</w:t>
            </w:r>
          </w:p>
        </w:tc>
        <w:tc>
          <w:tcPr>
            <w:tcW w:w="2028" w:type="dxa"/>
            <w:vMerge w:val="continue"/>
            <w:tcBorders>
              <w:top w:val="nil"/>
              <w:left w:val="single" w:color="auto" w:sz="4" w:space="0"/>
              <w:bottom w:val="single" w:color="000000" w:sz="4" w:space="0"/>
              <w:right w:val="single" w:color="auto" w:sz="4" w:space="0"/>
            </w:tcBorders>
            <w:vAlign w:val="center"/>
          </w:tcPr>
          <w:p w14:paraId="064BAEA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077B5D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知识库建设-知识建模与组织-知识切片</w:t>
            </w:r>
          </w:p>
        </w:tc>
        <w:tc>
          <w:tcPr>
            <w:tcW w:w="3928" w:type="dxa"/>
            <w:tcBorders>
              <w:top w:val="nil"/>
              <w:left w:val="nil"/>
              <w:bottom w:val="single" w:color="auto" w:sz="4" w:space="0"/>
              <w:right w:val="single" w:color="auto" w:sz="4" w:space="0"/>
            </w:tcBorders>
            <w:vAlign w:val="center"/>
          </w:tcPr>
          <w:p w14:paraId="2B8831B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将数据合规认定内、自行监测检查、排污许可执行报告检查涉及到的知识按语义单元切分为细粒度片段，便于存储、检索与重组。</w:t>
            </w:r>
          </w:p>
        </w:tc>
      </w:tr>
      <w:tr w14:paraId="68BEC544">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0B5169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543</w:t>
            </w:r>
          </w:p>
        </w:tc>
        <w:tc>
          <w:tcPr>
            <w:tcW w:w="2028" w:type="dxa"/>
            <w:vMerge w:val="continue"/>
            <w:tcBorders>
              <w:top w:val="nil"/>
              <w:left w:val="single" w:color="auto" w:sz="4" w:space="0"/>
              <w:bottom w:val="single" w:color="000000" w:sz="4" w:space="0"/>
              <w:right w:val="single" w:color="auto" w:sz="4" w:space="0"/>
            </w:tcBorders>
            <w:vAlign w:val="center"/>
          </w:tcPr>
          <w:p w14:paraId="4E2FBAD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81F1E0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知识库建设-知识建模与组织-元信息标注</w:t>
            </w:r>
          </w:p>
        </w:tc>
        <w:tc>
          <w:tcPr>
            <w:tcW w:w="3928" w:type="dxa"/>
            <w:tcBorders>
              <w:top w:val="nil"/>
              <w:left w:val="nil"/>
              <w:bottom w:val="single" w:color="auto" w:sz="4" w:space="0"/>
              <w:right w:val="single" w:color="auto" w:sz="4" w:space="0"/>
            </w:tcBorders>
            <w:vAlign w:val="center"/>
          </w:tcPr>
          <w:p w14:paraId="7CD093B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对数据合规认定内、自行监测检查、排污许可执行报告检查内知识单元添加来源、类型、标签等元信息，提升知识的可追溯性、组织性与检索效率。</w:t>
            </w:r>
          </w:p>
        </w:tc>
      </w:tr>
      <w:tr w14:paraId="46859B1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79A2A52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544</w:t>
            </w:r>
          </w:p>
        </w:tc>
        <w:tc>
          <w:tcPr>
            <w:tcW w:w="2028" w:type="dxa"/>
            <w:vMerge w:val="continue"/>
            <w:tcBorders>
              <w:top w:val="nil"/>
              <w:left w:val="single" w:color="auto" w:sz="4" w:space="0"/>
              <w:bottom w:val="single" w:color="000000" w:sz="4" w:space="0"/>
              <w:right w:val="single" w:color="auto" w:sz="4" w:space="0"/>
            </w:tcBorders>
            <w:vAlign w:val="center"/>
          </w:tcPr>
          <w:p w14:paraId="6FA5E49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A403E2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知识库建设-知识更新与进化-变更检测与版本管理</w:t>
            </w:r>
          </w:p>
        </w:tc>
        <w:tc>
          <w:tcPr>
            <w:tcW w:w="3928" w:type="dxa"/>
            <w:tcBorders>
              <w:top w:val="nil"/>
              <w:left w:val="nil"/>
              <w:bottom w:val="single" w:color="auto" w:sz="4" w:space="0"/>
              <w:right w:val="single" w:color="auto" w:sz="4" w:space="0"/>
            </w:tcBorders>
            <w:vAlign w:val="center"/>
          </w:tcPr>
          <w:p w14:paraId="1D9DB71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历史版本追溯，保留数据修改记录，支持回溯至任意时间点的状态。数据冲突检测，通过比对多源数据，标记不一致项，触发版本核查流程。</w:t>
            </w:r>
          </w:p>
        </w:tc>
      </w:tr>
      <w:tr w14:paraId="68322666">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E9A870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545</w:t>
            </w:r>
          </w:p>
        </w:tc>
        <w:tc>
          <w:tcPr>
            <w:tcW w:w="2028" w:type="dxa"/>
            <w:vMerge w:val="continue"/>
            <w:tcBorders>
              <w:top w:val="nil"/>
              <w:left w:val="single" w:color="auto" w:sz="4" w:space="0"/>
              <w:bottom w:val="single" w:color="000000" w:sz="4" w:space="0"/>
              <w:right w:val="single" w:color="auto" w:sz="4" w:space="0"/>
            </w:tcBorders>
            <w:vAlign w:val="center"/>
          </w:tcPr>
          <w:p w14:paraId="593A3B8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A0AA82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知识库建设-知识更新与进化-用户行为驱动进化</w:t>
            </w:r>
          </w:p>
        </w:tc>
        <w:tc>
          <w:tcPr>
            <w:tcW w:w="3928" w:type="dxa"/>
            <w:tcBorders>
              <w:top w:val="nil"/>
              <w:left w:val="nil"/>
              <w:bottom w:val="single" w:color="auto" w:sz="4" w:space="0"/>
              <w:right w:val="single" w:color="auto" w:sz="4" w:space="0"/>
            </w:tcBorders>
            <w:vAlign w:val="center"/>
          </w:tcPr>
          <w:p w14:paraId="75E1882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对接排污许可、执法处罚等业务系统，实时抓取新增数据，通过ETL工具完成清洗与入库。</w:t>
            </w:r>
          </w:p>
        </w:tc>
      </w:tr>
      <w:tr w14:paraId="1EC38319">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6F8013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546</w:t>
            </w:r>
          </w:p>
        </w:tc>
        <w:tc>
          <w:tcPr>
            <w:tcW w:w="2028" w:type="dxa"/>
            <w:vMerge w:val="continue"/>
            <w:tcBorders>
              <w:top w:val="nil"/>
              <w:left w:val="single" w:color="auto" w:sz="4" w:space="0"/>
              <w:bottom w:val="single" w:color="000000" w:sz="4" w:space="0"/>
              <w:right w:val="single" w:color="auto" w:sz="4" w:space="0"/>
            </w:tcBorders>
            <w:vAlign w:val="center"/>
          </w:tcPr>
          <w:p w14:paraId="5353F6A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72AEDD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数据合规认定智能体建设-角色与对话框架设计-角色设定与身份管理</w:t>
            </w:r>
          </w:p>
        </w:tc>
        <w:tc>
          <w:tcPr>
            <w:tcW w:w="3928" w:type="dxa"/>
            <w:tcBorders>
              <w:top w:val="nil"/>
              <w:left w:val="nil"/>
              <w:bottom w:val="single" w:color="auto" w:sz="4" w:space="0"/>
              <w:right w:val="single" w:color="auto" w:sz="4" w:space="0"/>
            </w:tcBorders>
            <w:vAlign w:val="center"/>
          </w:tcPr>
          <w:p w14:paraId="24F3244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提供数字人对话引擎，可支持自定义对话界面，界面可选择对应模型进行知识问答，同时支持拖拽各类文件、图片等附件进行上传解析，在对话框内，还可选择对应的知识库进行问答。</w:t>
            </w:r>
          </w:p>
        </w:tc>
      </w:tr>
      <w:tr w14:paraId="37FA0C22">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D891E9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547</w:t>
            </w:r>
          </w:p>
        </w:tc>
        <w:tc>
          <w:tcPr>
            <w:tcW w:w="2028" w:type="dxa"/>
            <w:vMerge w:val="continue"/>
            <w:tcBorders>
              <w:top w:val="nil"/>
              <w:left w:val="single" w:color="auto" w:sz="4" w:space="0"/>
              <w:bottom w:val="single" w:color="000000" w:sz="4" w:space="0"/>
              <w:right w:val="single" w:color="auto" w:sz="4" w:space="0"/>
            </w:tcBorders>
            <w:vAlign w:val="center"/>
          </w:tcPr>
          <w:p w14:paraId="2068404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A76DC6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数据合规认定智能体建设-角色与对话框架设计-对话流程设计与结构化脚本</w:t>
            </w:r>
          </w:p>
        </w:tc>
        <w:tc>
          <w:tcPr>
            <w:tcW w:w="3928" w:type="dxa"/>
            <w:tcBorders>
              <w:top w:val="nil"/>
              <w:left w:val="nil"/>
              <w:bottom w:val="single" w:color="auto" w:sz="4" w:space="0"/>
              <w:right w:val="single" w:color="auto" w:sz="4" w:space="0"/>
            </w:tcBorders>
            <w:vAlign w:val="center"/>
          </w:tcPr>
          <w:p w14:paraId="1CF32C5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开发清晰的对话流程与结构化脚本，明确交互节点与响应逻辑，提升AI对话的连贯性与用户体验。</w:t>
            </w:r>
          </w:p>
        </w:tc>
      </w:tr>
      <w:tr w14:paraId="2F5D5917">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EB0431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548</w:t>
            </w:r>
          </w:p>
        </w:tc>
        <w:tc>
          <w:tcPr>
            <w:tcW w:w="2028" w:type="dxa"/>
            <w:vMerge w:val="continue"/>
            <w:tcBorders>
              <w:top w:val="nil"/>
              <w:left w:val="single" w:color="auto" w:sz="4" w:space="0"/>
              <w:bottom w:val="single" w:color="000000" w:sz="4" w:space="0"/>
              <w:right w:val="single" w:color="auto" w:sz="4" w:space="0"/>
            </w:tcBorders>
            <w:vAlign w:val="center"/>
          </w:tcPr>
          <w:p w14:paraId="1B0B129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2D5E68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数据合规认定智能体建设-能力构建与流程编排-提示词工程</w:t>
            </w:r>
          </w:p>
        </w:tc>
        <w:tc>
          <w:tcPr>
            <w:tcW w:w="3928" w:type="dxa"/>
            <w:tcBorders>
              <w:top w:val="nil"/>
              <w:left w:val="nil"/>
              <w:bottom w:val="single" w:color="auto" w:sz="4" w:space="0"/>
              <w:right w:val="single" w:color="auto" w:sz="4" w:space="0"/>
            </w:tcBorders>
            <w:vAlign w:val="center"/>
          </w:tcPr>
          <w:p w14:paraId="32F9AC8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系统深度融合环保法规，提供提示词管理服务。实现动态收录、优化推荐，匹配合规要点，生成分析建议关联执法依据，降低违法风险。</w:t>
            </w:r>
          </w:p>
        </w:tc>
      </w:tr>
      <w:tr w14:paraId="376A643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B2FA63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549</w:t>
            </w:r>
          </w:p>
        </w:tc>
        <w:tc>
          <w:tcPr>
            <w:tcW w:w="2028" w:type="dxa"/>
            <w:vMerge w:val="continue"/>
            <w:tcBorders>
              <w:top w:val="nil"/>
              <w:left w:val="single" w:color="auto" w:sz="4" w:space="0"/>
              <w:bottom w:val="single" w:color="000000" w:sz="4" w:space="0"/>
              <w:right w:val="single" w:color="auto" w:sz="4" w:space="0"/>
            </w:tcBorders>
            <w:vAlign w:val="center"/>
          </w:tcPr>
          <w:p w14:paraId="5E08642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2F7BDC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数据合规认定智能体建设-能力构建与流程编排-知识工程</w:t>
            </w:r>
          </w:p>
        </w:tc>
        <w:tc>
          <w:tcPr>
            <w:tcW w:w="3928" w:type="dxa"/>
            <w:tcBorders>
              <w:top w:val="nil"/>
              <w:left w:val="nil"/>
              <w:bottom w:val="single" w:color="auto" w:sz="4" w:space="0"/>
              <w:right w:val="single" w:color="auto" w:sz="4" w:space="0"/>
            </w:tcBorders>
            <w:vAlign w:val="center"/>
          </w:tcPr>
          <w:p w14:paraId="75396F2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构建高质量数据合规认定知识库，整合知识抽取、建模与管理，支撑智能系统的能力实现与流程高效协同。</w:t>
            </w:r>
          </w:p>
        </w:tc>
      </w:tr>
      <w:tr w14:paraId="5CC55B97">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794821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550</w:t>
            </w:r>
          </w:p>
        </w:tc>
        <w:tc>
          <w:tcPr>
            <w:tcW w:w="2028" w:type="dxa"/>
            <w:vMerge w:val="continue"/>
            <w:tcBorders>
              <w:top w:val="nil"/>
              <w:left w:val="single" w:color="auto" w:sz="4" w:space="0"/>
              <w:bottom w:val="single" w:color="000000" w:sz="4" w:space="0"/>
              <w:right w:val="single" w:color="auto" w:sz="4" w:space="0"/>
            </w:tcBorders>
            <w:vAlign w:val="center"/>
          </w:tcPr>
          <w:p w14:paraId="675008A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4687CA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数据合规认定智能体建设-能力构建与流程编排-工具开发及框架集成</w:t>
            </w:r>
          </w:p>
        </w:tc>
        <w:tc>
          <w:tcPr>
            <w:tcW w:w="3928" w:type="dxa"/>
            <w:tcBorders>
              <w:top w:val="nil"/>
              <w:left w:val="nil"/>
              <w:bottom w:val="single" w:color="auto" w:sz="4" w:space="0"/>
              <w:right w:val="single" w:color="auto" w:sz="4" w:space="0"/>
            </w:tcBorders>
            <w:vAlign w:val="center"/>
          </w:tcPr>
          <w:p w14:paraId="3783F7C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统一提供OCR、图片识别、markdown等工具进行集成。对使用该智能体的文件或图片使用OCR、图片识别工具进行转换。系统集成公有知识库和私有知识库，支持知识库文档的上传、召回、编辑、删除等功能。</w:t>
            </w:r>
          </w:p>
        </w:tc>
      </w:tr>
      <w:tr w14:paraId="657127F6">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A57A8F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551</w:t>
            </w:r>
          </w:p>
        </w:tc>
        <w:tc>
          <w:tcPr>
            <w:tcW w:w="2028" w:type="dxa"/>
            <w:vMerge w:val="continue"/>
            <w:tcBorders>
              <w:top w:val="nil"/>
              <w:left w:val="single" w:color="auto" w:sz="4" w:space="0"/>
              <w:bottom w:val="single" w:color="000000" w:sz="4" w:space="0"/>
              <w:right w:val="single" w:color="auto" w:sz="4" w:space="0"/>
            </w:tcBorders>
            <w:vAlign w:val="center"/>
          </w:tcPr>
          <w:p w14:paraId="2FF8ED6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BB8900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数据合规认定智能体建设-能力构建与流程编排-流程编排与逻辑控制</w:t>
            </w:r>
          </w:p>
        </w:tc>
        <w:tc>
          <w:tcPr>
            <w:tcW w:w="3928" w:type="dxa"/>
            <w:tcBorders>
              <w:top w:val="nil"/>
              <w:left w:val="nil"/>
              <w:bottom w:val="single" w:color="auto" w:sz="4" w:space="0"/>
              <w:right w:val="single" w:color="auto" w:sz="4" w:space="0"/>
            </w:tcBorders>
            <w:vAlign w:val="center"/>
          </w:tcPr>
          <w:p w14:paraId="727AA0A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并提供自动化流程编排工具，将数据审核和超标推送分步实施，可以选择对应AI推理模型、数据合规认定对应知识库、数据合规认定提示词、选择对应数据进行自动运行，最后将合规认定结果汇总智能体进行展示。</w:t>
            </w:r>
          </w:p>
        </w:tc>
      </w:tr>
      <w:tr w14:paraId="0ED36D1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11702B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552</w:t>
            </w:r>
          </w:p>
        </w:tc>
        <w:tc>
          <w:tcPr>
            <w:tcW w:w="2028" w:type="dxa"/>
            <w:vMerge w:val="continue"/>
            <w:tcBorders>
              <w:top w:val="nil"/>
              <w:left w:val="single" w:color="auto" w:sz="4" w:space="0"/>
              <w:bottom w:val="single" w:color="000000" w:sz="4" w:space="0"/>
              <w:right w:val="single" w:color="auto" w:sz="4" w:space="0"/>
            </w:tcBorders>
            <w:vAlign w:val="center"/>
          </w:tcPr>
          <w:p w14:paraId="2AD064C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7B7CE0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数据合规认定智能体建设-能力构建与流程编排-MCP服务开发与接入</w:t>
            </w:r>
          </w:p>
        </w:tc>
        <w:tc>
          <w:tcPr>
            <w:tcW w:w="3928" w:type="dxa"/>
            <w:tcBorders>
              <w:top w:val="nil"/>
              <w:left w:val="nil"/>
              <w:bottom w:val="single" w:color="auto" w:sz="4" w:space="0"/>
              <w:right w:val="single" w:color="auto" w:sz="4" w:space="0"/>
            </w:tcBorders>
            <w:vAlign w:val="center"/>
          </w:tcPr>
          <w:p w14:paraId="016806A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开发与接入MCP服务，实现多能力协同、流程自动化与系统集成，提升智能化应用的灵活性与效率。</w:t>
            </w:r>
          </w:p>
        </w:tc>
      </w:tr>
      <w:tr w14:paraId="75A732F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600DB97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553</w:t>
            </w:r>
          </w:p>
        </w:tc>
        <w:tc>
          <w:tcPr>
            <w:tcW w:w="2028" w:type="dxa"/>
            <w:vMerge w:val="continue"/>
            <w:tcBorders>
              <w:top w:val="nil"/>
              <w:left w:val="single" w:color="auto" w:sz="4" w:space="0"/>
              <w:bottom w:val="single" w:color="000000" w:sz="4" w:space="0"/>
              <w:right w:val="single" w:color="auto" w:sz="4" w:space="0"/>
            </w:tcBorders>
            <w:vAlign w:val="center"/>
          </w:tcPr>
          <w:p w14:paraId="0990FDF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A6B7B9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数据合规认定智能体建设-上下文与多轮对话管理-上下文建模与状态管理</w:t>
            </w:r>
          </w:p>
        </w:tc>
        <w:tc>
          <w:tcPr>
            <w:tcW w:w="3928" w:type="dxa"/>
            <w:tcBorders>
              <w:top w:val="nil"/>
              <w:left w:val="nil"/>
              <w:bottom w:val="single" w:color="auto" w:sz="4" w:space="0"/>
              <w:right w:val="single" w:color="auto" w:sz="4" w:space="0"/>
            </w:tcBorders>
            <w:vAlign w:val="center"/>
          </w:tcPr>
          <w:p w14:paraId="2870422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该智能体内内置特定的上下文知识，采用的是单轮固定对话，利用工作流编排每一步任务进行问答推理。</w:t>
            </w:r>
          </w:p>
        </w:tc>
      </w:tr>
      <w:tr w14:paraId="75156D4C">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A5A917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554</w:t>
            </w:r>
          </w:p>
        </w:tc>
        <w:tc>
          <w:tcPr>
            <w:tcW w:w="2028" w:type="dxa"/>
            <w:vMerge w:val="continue"/>
            <w:tcBorders>
              <w:top w:val="nil"/>
              <w:left w:val="single" w:color="auto" w:sz="4" w:space="0"/>
              <w:bottom w:val="single" w:color="000000" w:sz="4" w:space="0"/>
              <w:right w:val="single" w:color="auto" w:sz="4" w:space="0"/>
            </w:tcBorders>
            <w:vAlign w:val="center"/>
          </w:tcPr>
          <w:p w14:paraId="6F8C099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A5944B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数据合规认定智能体建设-上下文与多轮对话管理-用户画像与长期记忆机制</w:t>
            </w:r>
          </w:p>
        </w:tc>
        <w:tc>
          <w:tcPr>
            <w:tcW w:w="3928" w:type="dxa"/>
            <w:tcBorders>
              <w:top w:val="nil"/>
              <w:left w:val="nil"/>
              <w:bottom w:val="single" w:color="auto" w:sz="4" w:space="0"/>
              <w:right w:val="single" w:color="auto" w:sz="4" w:space="0"/>
            </w:tcBorders>
            <w:vAlign w:val="center"/>
          </w:tcPr>
          <w:p w14:paraId="7DAD1BE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基于用户行为构建动态画像，结合长期记忆实现个性化交互与偏好记忆，提升服务精准度与用户体验。</w:t>
            </w:r>
          </w:p>
        </w:tc>
      </w:tr>
      <w:tr w14:paraId="49C74EC4">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20EF5E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555</w:t>
            </w:r>
          </w:p>
        </w:tc>
        <w:tc>
          <w:tcPr>
            <w:tcW w:w="2028" w:type="dxa"/>
            <w:vMerge w:val="continue"/>
            <w:tcBorders>
              <w:top w:val="nil"/>
              <w:left w:val="single" w:color="auto" w:sz="4" w:space="0"/>
              <w:bottom w:val="single" w:color="000000" w:sz="4" w:space="0"/>
              <w:right w:val="single" w:color="auto" w:sz="4" w:space="0"/>
            </w:tcBorders>
            <w:vAlign w:val="center"/>
          </w:tcPr>
          <w:p w14:paraId="22FD153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2236E1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数据合规认定智能体建设-上下文与多轮对话管理-多会话并行与多用户管理</w:t>
            </w:r>
          </w:p>
        </w:tc>
        <w:tc>
          <w:tcPr>
            <w:tcW w:w="3928" w:type="dxa"/>
            <w:tcBorders>
              <w:top w:val="nil"/>
              <w:left w:val="nil"/>
              <w:bottom w:val="single" w:color="auto" w:sz="4" w:space="0"/>
              <w:right w:val="single" w:color="auto" w:sz="4" w:space="0"/>
            </w:tcBorders>
            <w:vAlign w:val="center"/>
          </w:tcPr>
          <w:p w14:paraId="044442E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多个用户同时与系统进行独立会话，通过会话隔离、上下文管理和用户身份识别，确保各会话状态互不干扰。实现资源高效调度与并发处理，提升系统响应速度与服务能力，保障多用户场景下的稳定性与个性化体验。</w:t>
            </w:r>
          </w:p>
        </w:tc>
      </w:tr>
      <w:tr w14:paraId="00679B29">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E258D8A">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556</w:t>
            </w:r>
          </w:p>
        </w:tc>
        <w:tc>
          <w:tcPr>
            <w:tcW w:w="2028" w:type="dxa"/>
            <w:vMerge w:val="continue"/>
            <w:tcBorders>
              <w:top w:val="nil"/>
              <w:left w:val="single" w:color="auto" w:sz="4" w:space="0"/>
              <w:bottom w:val="single" w:color="000000" w:sz="4" w:space="0"/>
              <w:right w:val="single" w:color="auto" w:sz="4" w:space="0"/>
            </w:tcBorders>
            <w:vAlign w:val="center"/>
          </w:tcPr>
          <w:p w14:paraId="01B3ED4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EA1B5D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数据合规认定智能体建设-智能体评估与部署-方案设计</w:t>
            </w:r>
          </w:p>
        </w:tc>
        <w:tc>
          <w:tcPr>
            <w:tcW w:w="3928" w:type="dxa"/>
            <w:tcBorders>
              <w:top w:val="nil"/>
              <w:left w:val="nil"/>
              <w:bottom w:val="single" w:color="auto" w:sz="4" w:space="0"/>
              <w:right w:val="single" w:color="auto" w:sz="4" w:space="0"/>
            </w:tcBorders>
            <w:vAlign w:val="center"/>
          </w:tcPr>
          <w:p w14:paraId="4CCA1A8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设计涵盖准确性、响应速度、用户体验等维度的评估体系，通过离线测试与在线灰度验证评估智能体性能。结合容器化部署与自动化运维，实现快速迭代与弹性扩展，确保智能体在多场景下的稳定性、安全性与高效运行。</w:t>
            </w:r>
          </w:p>
        </w:tc>
      </w:tr>
      <w:tr w14:paraId="0CE7FF94">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1B834A2">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557</w:t>
            </w:r>
          </w:p>
        </w:tc>
        <w:tc>
          <w:tcPr>
            <w:tcW w:w="2028" w:type="dxa"/>
            <w:vMerge w:val="continue"/>
            <w:tcBorders>
              <w:top w:val="nil"/>
              <w:left w:val="single" w:color="auto" w:sz="4" w:space="0"/>
              <w:bottom w:val="single" w:color="000000" w:sz="4" w:space="0"/>
              <w:right w:val="single" w:color="auto" w:sz="4" w:space="0"/>
            </w:tcBorders>
            <w:vAlign w:val="center"/>
          </w:tcPr>
          <w:p w14:paraId="32C8024C">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E0CDE7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数据合规认定智能体建设-智能体评估与部署-可用性评测</w:t>
            </w:r>
          </w:p>
        </w:tc>
        <w:tc>
          <w:tcPr>
            <w:tcW w:w="3928" w:type="dxa"/>
            <w:tcBorders>
              <w:top w:val="nil"/>
              <w:left w:val="nil"/>
              <w:bottom w:val="single" w:color="auto" w:sz="4" w:space="0"/>
              <w:right w:val="single" w:color="auto" w:sz="4" w:space="0"/>
            </w:tcBorders>
            <w:vAlign w:val="center"/>
          </w:tcPr>
          <w:p w14:paraId="0EC0938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多场景压力测试、响应延迟、容错能力与服务连续性评估智能体的可用性，确保其在高并发、复杂交互下稳定运行。结合用户满意度与任务完成率，全面衡量系统可靠性与用户体验，保障生产环境持续高效服务。</w:t>
            </w:r>
          </w:p>
        </w:tc>
      </w:tr>
      <w:tr w14:paraId="72790771">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B44955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558</w:t>
            </w:r>
          </w:p>
        </w:tc>
        <w:tc>
          <w:tcPr>
            <w:tcW w:w="2028" w:type="dxa"/>
            <w:vMerge w:val="continue"/>
            <w:tcBorders>
              <w:top w:val="nil"/>
              <w:left w:val="single" w:color="auto" w:sz="4" w:space="0"/>
              <w:bottom w:val="single" w:color="000000" w:sz="4" w:space="0"/>
              <w:right w:val="single" w:color="auto" w:sz="4" w:space="0"/>
            </w:tcBorders>
            <w:vAlign w:val="center"/>
          </w:tcPr>
          <w:p w14:paraId="512172B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B3A76A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数据合规认定智能体建设-智能体评估与部署-安全性评测</w:t>
            </w:r>
          </w:p>
        </w:tc>
        <w:tc>
          <w:tcPr>
            <w:tcW w:w="3928" w:type="dxa"/>
            <w:tcBorders>
              <w:top w:val="nil"/>
              <w:left w:val="nil"/>
              <w:bottom w:val="single" w:color="auto" w:sz="4" w:space="0"/>
              <w:right w:val="single" w:color="auto" w:sz="4" w:space="0"/>
            </w:tcBorders>
            <w:vAlign w:val="center"/>
          </w:tcPr>
          <w:p w14:paraId="5CE5AF0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评估智能体在数据传输、用户隐私、权限控制和对抗攻击等方面的安全防护能力，检测潜在漏洞与风险。确保符合安全合规要求，防止信息泄露与恶意利用，保障系统在部署运行中的数据安全与用户信任。</w:t>
            </w:r>
          </w:p>
        </w:tc>
      </w:tr>
      <w:tr w14:paraId="6E9C73BF">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81F811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559</w:t>
            </w:r>
          </w:p>
        </w:tc>
        <w:tc>
          <w:tcPr>
            <w:tcW w:w="2028" w:type="dxa"/>
            <w:vMerge w:val="continue"/>
            <w:tcBorders>
              <w:top w:val="nil"/>
              <w:left w:val="single" w:color="auto" w:sz="4" w:space="0"/>
              <w:bottom w:val="single" w:color="000000" w:sz="4" w:space="0"/>
              <w:right w:val="single" w:color="auto" w:sz="4" w:space="0"/>
            </w:tcBorders>
            <w:vAlign w:val="center"/>
          </w:tcPr>
          <w:p w14:paraId="5BA775AA">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259EAB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数据合规认定智能体建设-智能体评估与部署-智能体部署</w:t>
            </w:r>
          </w:p>
        </w:tc>
        <w:tc>
          <w:tcPr>
            <w:tcW w:w="3928" w:type="dxa"/>
            <w:tcBorders>
              <w:top w:val="nil"/>
              <w:left w:val="nil"/>
              <w:bottom w:val="single" w:color="auto" w:sz="4" w:space="0"/>
              <w:right w:val="single" w:color="auto" w:sz="4" w:space="0"/>
            </w:tcBorders>
            <w:vAlign w:val="center"/>
          </w:tcPr>
          <w:p w14:paraId="0E8DBD1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容器化（如Docker）与编排技术（如Kubernetes）实现智能体的自动化部署与弹性伸缩。支持灰度发布、版本管理和监控告警，确保部署过程高效可控，提升系统可维护性与服务可用性，适应多环境、多终端的业务需求。</w:t>
            </w:r>
          </w:p>
        </w:tc>
      </w:tr>
      <w:tr w14:paraId="5738E1C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0311566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560</w:t>
            </w:r>
          </w:p>
        </w:tc>
        <w:tc>
          <w:tcPr>
            <w:tcW w:w="2028" w:type="dxa"/>
            <w:vMerge w:val="continue"/>
            <w:tcBorders>
              <w:top w:val="nil"/>
              <w:left w:val="single" w:color="auto" w:sz="4" w:space="0"/>
              <w:bottom w:val="single" w:color="000000" w:sz="4" w:space="0"/>
              <w:right w:val="single" w:color="auto" w:sz="4" w:space="0"/>
            </w:tcBorders>
            <w:vAlign w:val="center"/>
          </w:tcPr>
          <w:p w14:paraId="4B2C9C8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97E1BE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自行监测检查智能体建设-角色与对话框架设计-角色设定与身份管理</w:t>
            </w:r>
          </w:p>
        </w:tc>
        <w:tc>
          <w:tcPr>
            <w:tcW w:w="3928" w:type="dxa"/>
            <w:tcBorders>
              <w:top w:val="nil"/>
              <w:left w:val="nil"/>
              <w:bottom w:val="single" w:color="auto" w:sz="4" w:space="0"/>
              <w:right w:val="single" w:color="auto" w:sz="4" w:space="0"/>
            </w:tcBorders>
            <w:vAlign w:val="center"/>
          </w:tcPr>
          <w:p w14:paraId="460209A5">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提供数字人对话引擎，可支持自定义对话界面，界面可选择对应模型进行知识问答，同时支持拖拽各类文件、图片等附件进行上传解析，在对话框内，还可选择对应的知识库进行问答。</w:t>
            </w:r>
          </w:p>
        </w:tc>
      </w:tr>
      <w:tr w14:paraId="6C0EE2EE">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C3A32C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561</w:t>
            </w:r>
          </w:p>
        </w:tc>
        <w:tc>
          <w:tcPr>
            <w:tcW w:w="2028" w:type="dxa"/>
            <w:vMerge w:val="continue"/>
            <w:tcBorders>
              <w:top w:val="nil"/>
              <w:left w:val="single" w:color="auto" w:sz="4" w:space="0"/>
              <w:bottom w:val="single" w:color="000000" w:sz="4" w:space="0"/>
              <w:right w:val="single" w:color="auto" w:sz="4" w:space="0"/>
            </w:tcBorders>
            <w:vAlign w:val="center"/>
          </w:tcPr>
          <w:p w14:paraId="1FBC0CC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C434FD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自行监测检查智能体建设-角色与对话框架设计-对话流程设计与结构化脚本</w:t>
            </w:r>
          </w:p>
        </w:tc>
        <w:tc>
          <w:tcPr>
            <w:tcW w:w="3928" w:type="dxa"/>
            <w:tcBorders>
              <w:top w:val="nil"/>
              <w:left w:val="nil"/>
              <w:bottom w:val="single" w:color="auto" w:sz="4" w:space="0"/>
              <w:right w:val="single" w:color="auto" w:sz="4" w:space="0"/>
            </w:tcBorders>
            <w:vAlign w:val="center"/>
          </w:tcPr>
          <w:p w14:paraId="0D5AB64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开发清晰的对话流程与结构化脚本，明确交互节点与响应逻辑，提升AI对话的连贯性与用户体验。</w:t>
            </w:r>
          </w:p>
        </w:tc>
      </w:tr>
      <w:tr w14:paraId="2AD815CF">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224C65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562</w:t>
            </w:r>
          </w:p>
        </w:tc>
        <w:tc>
          <w:tcPr>
            <w:tcW w:w="2028" w:type="dxa"/>
            <w:vMerge w:val="continue"/>
            <w:tcBorders>
              <w:top w:val="nil"/>
              <w:left w:val="single" w:color="auto" w:sz="4" w:space="0"/>
              <w:bottom w:val="single" w:color="000000" w:sz="4" w:space="0"/>
              <w:right w:val="single" w:color="auto" w:sz="4" w:space="0"/>
            </w:tcBorders>
            <w:vAlign w:val="center"/>
          </w:tcPr>
          <w:p w14:paraId="27D8BCA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0CA71D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自行监测检查智能体建设-能力构建与流程编排-提示词工程</w:t>
            </w:r>
          </w:p>
        </w:tc>
        <w:tc>
          <w:tcPr>
            <w:tcW w:w="3928" w:type="dxa"/>
            <w:tcBorders>
              <w:top w:val="nil"/>
              <w:left w:val="nil"/>
              <w:bottom w:val="single" w:color="auto" w:sz="4" w:space="0"/>
              <w:right w:val="single" w:color="auto" w:sz="4" w:space="0"/>
            </w:tcBorders>
            <w:vAlign w:val="center"/>
          </w:tcPr>
          <w:p w14:paraId="317D314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系统深度融合环保法规，提供提示词管理服务。实现动态收录、优化推荐，匹配合规要点，生成分析建议关联执法依据，降低违法风险。</w:t>
            </w:r>
          </w:p>
        </w:tc>
      </w:tr>
      <w:tr w14:paraId="58E5C3F0">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3EC975B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563</w:t>
            </w:r>
          </w:p>
        </w:tc>
        <w:tc>
          <w:tcPr>
            <w:tcW w:w="2028" w:type="dxa"/>
            <w:vMerge w:val="continue"/>
            <w:tcBorders>
              <w:top w:val="nil"/>
              <w:left w:val="single" w:color="auto" w:sz="4" w:space="0"/>
              <w:bottom w:val="single" w:color="000000" w:sz="4" w:space="0"/>
              <w:right w:val="single" w:color="auto" w:sz="4" w:space="0"/>
            </w:tcBorders>
            <w:vAlign w:val="center"/>
          </w:tcPr>
          <w:p w14:paraId="51B5232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D1261D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自行监测检查智能体建设-能力构建与流程编排-知识工程</w:t>
            </w:r>
          </w:p>
        </w:tc>
        <w:tc>
          <w:tcPr>
            <w:tcW w:w="3928" w:type="dxa"/>
            <w:tcBorders>
              <w:top w:val="nil"/>
              <w:left w:val="nil"/>
              <w:bottom w:val="single" w:color="auto" w:sz="4" w:space="0"/>
              <w:right w:val="single" w:color="auto" w:sz="4" w:space="0"/>
            </w:tcBorders>
            <w:vAlign w:val="center"/>
          </w:tcPr>
          <w:p w14:paraId="353F4FD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构建高质量数据合规认定知识库，整合知识抽取、建模与管理，支撑智能系统的能力实现与流程高效协同。</w:t>
            </w:r>
          </w:p>
        </w:tc>
      </w:tr>
      <w:tr w14:paraId="69B2CC23">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19AC52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564</w:t>
            </w:r>
          </w:p>
        </w:tc>
        <w:tc>
          <w:tcPr>
            <w:tcW w:w="2028" w:type="dxa"/>
            <w:vMerge w:val="continue"/>
            <w:tcBorders>
              <w:top w:val="nil"/>
              <w:left w:val="single" w:color="auto" w:sz="4" w:space="0"/>
              <w:bottom w:val="single" w:color="000000" w:sz="4" w:space="0"/>
              <w:right w:val="single" w:color="auto" w:sz="4" w:space="0"/>
            </w:tcBorders>
            <w:vAlign w:val="center"/>
          </w:tcPr>
          <w:p w14:paraId="298B13E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7878CD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自行监测检查智能体建设-能力构建与流程编排-工具开发及框架集成</w:t>
            </w:r>
          </w:p>
        </w:tc>
        <w:tc>
          <w:tcPr>
            <w:tcW w:w="3928" w:type="dxa"/>
            <w:tcBorders>
              <w:top w:val="nil"/>
              <w:left w:val="nil"/>
              <w:bottom w:val="single" w:color="auto" w:sz="4" w:space="0"/>
              <w:right w:val="single" w:color="auto" w:sz="4" w:space="0"/>
            </w:tcBorders>
            <w:vAlign w:val="center"/>
          </w:tcPr>
          <w:p w14:paraId="0632E61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统一提供OCR、图片识别、markdown等工具进行集成。对使用该智能体的文件或图片使用OCR、图片识别工具进行转换。系统集成公有知识库和私有知识库，支持知识库文档的上传、召回、编辑、删除等功能。</w:t>
            </w:r>
          </w:p>
        </w:tc>
      </w:tr>
      <w:tr w14:paraId="05159632">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B4E403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565</w:t>
            </w:r>
          </w:p>
        </w:tc>
        <w:tc>
          <w:tcPr>
            <w:tcW w:w="2028" w:type="dxa"/>
            <w:vMerge w:val="continue"/>
            <w:tcBorders>
              <w:top w:val="nil"/>
              <w:left w:val="single" w:color="auto" w:sz="4" w:space="0"/>
              <w:bottom w:val="single" w:color="000000" w:sz="4" w:space="0"/>
              <w:right w:val="single" w:color="auto" w:sz="4" w:space="0"/>
            </w:tcBorders>
            <w:vAlign w:val="center"/>
          </w:tcPr>
          <w:p w14:paraId="5403691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1E32D5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自行监测检查智能体建设-能力构建与流程编排-流程编排与逻辑控制</w:t>
            </w:r>
          </w:p>
        </w:tc>
        <w:tc>
          <w:tcPr>
            <w:tcW w:w="3928" w:type="dxa"/>
            <w:tcBorders>
              <w:top w:val="nil"/>
              <w:left w:val="nil"/>
              <w:bottom w:val="single" w:color="auto" w:sz="4" w:space="0"/>
              <w:right w:val="single" w:color="auto" w:sz="4" w:space="0"/>
            </w:tcBorders>
            <w:vAlign w:val="center"/>
          </w:tcPr>
          <w:p w14:paraId="234E120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并提供自动化流程编排工具，将数据审核和超标推送分步实施，可以选择对应AI推理模型、数据合规认定对应知识库、数据合规认定提示词、选择对应数据进行自动运行，最后将合规认定结果汇总智能体进行展示。</w:t>
            </w:r>
          </w:p>
        </w:tc>
      </w:tr>
      <w:tr w14:paraId="470CE82D">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282FA9DF">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566</w:t>
            </w:r>
          </w:p>
        </w:tc>
        <w:tc>
          <w:tcPr>
            <w:tcW w:w="2028" w:type="dxa"/>
            <w:vMerge w:val="continue"/>
            <w:tcBorders>
              <w:top w:val="nil"/>
              <w:left w:val="single" w:color="auto" w:sz="4" w:space="0"/>
              <w:bottom w:val="single" w:color="000000" w:sz="4" w:space="0"/>
              <w:right w:val="single" w:color="auto" w:sz="4" w:space="0"/>
            </w:tcBorders>
            <w:vAlign w:val="center"/>
          </w:tcPr>
          <w:p w14:paraId="4794A235">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C1FAF0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自行监测检查智能体建设-能力构建与流程编排-MCP服务开发与接入</w:t>
            </w:r>
          </w:p>
        </w:tc>
        <w:tc>
          <w:tcPr>
            <w:tcW w:w="3928" w:type="dxa"/>
            <w:tcBorders>
              <w:top w:val="nil"/>
              <w:left w:val="nil"/>
              <w:bottom w:val="single" w:color="auto" w:sz="4" w:space="0"/>
              <w:right w:val="single" w:color="auto" w:sz="4" w:space="0"/>
            </w:tcBorders>
            <w:vAlign w:val="center"/>
          </w:tcPr>
          <w:p w14:paraId="568BAA3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开发与接入MCP服务，实现多能力协同、流程自动化与系统集成，提升智能化应用的灵活性与效率。</w:t>
            </w:r>
          </w:p>
        </w:tc>
      </w:tr>
      <w:tr w14:paraId="1F9FF726">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533E00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567</w:t>
            </w:r>
          </w:p>
        </w:tc>
        <w:tc>
          <w:tcPr>
            <w:tcW w:w="2028" w:type="dxa"/>
            <w:vMerge w:val="continue"/>
            <w:tcBorders>
              <w:top w:val="nil"/>
              <w:left w:val="single" w:color="auto" w:sz="4" w:space="0"/>
              <w:bottom w:val="single" w:color="000000" w:sz="4" w:space="0"/>
              <w:right w:val="single" w:color="auto" w:sz="4" w:space="0"/>
            </w:tcBorders>
            <w:vAlign w:val="center"/>
          </w:tcPr>
          <w:p w14:paraId="4226A35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F562EC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自行监测检查智能体建设-上下文与多轮对话管理-上下文建模与状态管理</w:t>
            </w:r>
          </w:p>
        </w:tc>
        <w:tc>
          <w:tcPr>
            <w:tcW w:w="3928" w:type="dxa"/>
            <w:tcBorders>
              <w:top w:val="nil"/>
              <w:left w:val="nil"/>
              <w:bottom w:val="single" w:color="auto" w:sz="4" w:space="0"/>
              <w:right w:val="single" w:color="auto" w:sz="4" w:space="0"/>
            </w:tcBorders>
            <w:vAlign w:val="center"/>
          </w:tcPr>
          <w:p w14:paraId="084D7C2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该智能体内内置特定的上下文知识，采用的是单轮固定对话，利用工作流编排每一步任务进行问答推理。</w:t>
            </w:r>
          </w:p>
        </w:tc>
      </w:tr>
      <w:tr w14:paraId="43E7B32A">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56D93BA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568</w:t>
            </w:r>
          </w:p>
        </w:tc>
        <w:tc>
          <w:tcPr>
            <w:tcW w:w="2028" w:type="dxa"/>
            <w:vMerge w:val="continue"/>
            <w:tcBorders>
              <w:top w:val="nil"/>
              <w:left w:val="single" w:color="auto" w:sz="4" w:space="0"/>
              <w:bottom w:val="single" w:color="000000" w:sz="4" w:space="0"/>
              <w:right w:val="single" w:color="auto" w:sz="4" w:space="0"/>
            </w:tcBorders>
            <w:vAlign w:val="center"/>
          </w:tcPr>
          <w:p w14:paraId="66D16C9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B41078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自行监测检查智能体建设-上下文与多轮对话管理-用户画像与长期记忆机制</w:t>
            </w:r>
          </w:p>
        </w:tc>
        <w:tc>
          <w:tcPr>
            <w:tcW w:w="3928" w:type="dxa"/>
            <w:tcBorders>
              <w:top w:val="nil"/>
              <w:left w:val="nil"/>
              <w:bottom w:val="single" w:color="auto" w:sz="4" w:space="0"/>
              <w:right w:val="single" w:color="auto" w:sz="4" w:space="0"/>
            </w:tcBorders>
            <w:vAlign w:val="center"/>
          </w:tcPr>
          <w:p w14:paraId="58C97704">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基于用户行为构建动态画像，结合长期记忆实现个性化交互与偏好记忆，提升服务精准度与用户体验。</w:t>
            </w:r>
          </w:p>
        </w:tc>
      </w:tr>
      <w:tr w14:paraId="42C8615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AD11C8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569</w:t>
            </w:r>
          </w:p>
        </w:tc>
        <w:tc>
          <w:tcPr>
            <w:tcW w:w="2028" w:type="dxa"/>
            <w:vMerge w:val="continue"/>
            <w:tcBorders>
              <w:top w:val="nil"/>
              <w:left w:val="single" w:color="auto" w:sz="4" w:space="0"/>
              <w:bottom w:val="single" w:color="000000" w:sz="4" w:space="0"/>
              <w:right w:val="single" w:color="auto" w:sz="4" w:space="0"/>
            </w:tcBorders>
            <w:vAlign w:val="center"/>
          </w:tcPr>
          <w:p w14:paraId="333FA7A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C0F983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自行监测检查智能体建设-上下文与多轮对话管理-多会话并行与多用户管理</w:t>
            </w:r>
          </w:p>
        </w:tc>
        <w:tc>
          <w:tcPr>
            <w:tcW w:w="3928" w:type="dxa"/>
            <w:tcBorders>
              <w:top w:val="nil"/>
              <w:left w:val="nil"/>
              <w:bottom w:val="single" w:color="auto" w:sz="4" w:space="0"/>
              <w:right w:val="single" w:color="auto" w:sz="4" w:space="0"/>
            </w:tcBorders>
            <w:vAlign w:val="center"/>
          </w:tcPr>
          <w:p w14:paraId="6D5075E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多个用户同时与系统进行独立会话，通过会话隔离、上下文管理和用户身份识别，确保各会话状态互不干扰。实现资源高效调度与并发处理，提升系统响应速度与服务能力，保障多用户场景下的稳定性与个性化体验。</w:t>
            </w:r>
          </w:p>
        </w:tc>
      </w:tr>
      <w:tr w14:paraId="354D695E">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C4BC7B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570</w:t>
            </w:r>
          </w:p>
        </w:tc>
        <w:tc>
          <w:tcPr>
            <w:tcW w:w="2028" w:type="dxa"/>
            <w:vMerge w:val="continue"/>
            <w:tcBorders>
              <w:top w:val="nil"/>
              <w:left w:val="single" w:color="auto" w:sz="4" w:space="0"/>
              <w:bottom w:val="single" w:color="000000" w:sz="4" w:space="0"/>
              <w:right w:val="single" w:color="auto" w:sz="4" w:space="0"/>
            </w:tcBorders>
            <w:vAlign w:val="center"/>
          </w:tcPr>
          <w:p w14:paraId="2238666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8BE6C5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自行监测检查智能体建设-智能体评估与部署-方案设计</w:t>
            </w:r>
          </w:p>
        </w:tc>
        <w:tc>
          <w:tcPr>
            <w:tcW w:w="3928" w:type="dxa"/>
            <w:tcBorders>
              <w:top w:val="nil"/>
              <w:left w:val="nil"/>
              <w:bottom w:val="single" w:color="auto" w:sz="4" w:space="0"/>
              <w:right w:val="single" w:color="auto" w:sz="4" w:space="0"/>
            </w:tcBorders>
            <w:vAlign w:val="center"/>
          </w:tcPr>
          <w:p w14:paraId="6C4F326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设计涵盖准确性、响应速度、用户体验等维度的评估体系，通过离线测试与在线灰度验证评估智能体性能。结合容器化部署与自动化运维，实现快速迭代与弹性扩展，确保智能体在多场景下的稳定性、安全性与高效运行。</w:t>
            </w:r>
          </w:p>
        </w:tc>
      </w:tr>
      <w:tr w14:paraId="3E034C9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5D00DC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571</w:t>
            </w:r>
          </w:p>
        </w:tc>
        <w:tc>
          <w:tcPr>
            <w:tcW w:w="2028" w:type="dxa"/>
            <w:vMerge w:val="continue"/>
            <w:tcBorders>
              <w:top w:val="nil"/>
              <w:left w:val="single" w:color="auto" w:sz="4" w:space="0"/>
              <w:bottom w:val="single" w:color="000000" w:sz="4" w:space="0"/>
              <w:right w:val="single" w:color="auto" w:sz="4" w:space="0"/>
            </w:tcBorders>
            <w:vAlign w:val="center"/>
          </w:tcPr>
          <w:p w14:paraId="49AE0BFF">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50F1B2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自行监测检查智能体建设-智能体评估与部署-可用性评测</w:t>
            </w:r>
          </w:p>
        </w:tc>
        <w:tc>
          <w:tcPr>
            <w:tcW w:w="3928" w:type="dxa"/>
            <w:tcBorders>
              <w:top w:val="nil"/>
              <w:left w:val="nil"/>
              <w:bottom w:val="single" w:color="auto" w:sz="4" w:space="0"/>
              <w:right w:val="single" w:color="auto" w:sz="4" w:space="0"/>
            </w:tcBorders>
            <w:vAlign w:val="center"/>
          </w:tcPr>
          <w:p w14:paraId="1F91F8D2">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多场景压力测试、响应延迟、容错能力与服务连续性评估智能体的可用性，确保其在高并发、复杂交互下稳定运行。结合用户满意度与任务完成率，全面衡量系统可靠性与用户体验，保障生产环境持续高效服务。</w:t>
            </w:r>
          </w:p>
        </w:tc>
      </w:tr>
      <w:tr w14:paraId="5E80786B">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1F9EB89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572</w:t>
            </w:r>
          </w:p>
        </w:tc>
        <w:tc>
          <w:tcPr>
            <w:tcW w:w="2028" w:type="dxa"/>
            <w:vMerge w:val="continue"/>
            <w:tcBorders>
              <w:top w:val="nil"/>
              <w:left w:val="single" w:color="auto" w:sz="4" w:space="0"/>
              <w:bottom w:val="single" w:color="000000" w:sz="4" w:space="0"/>
              <w:right w:val="single" w:color="auto" w:sz="4" w:space="0"/>
            </w:tcBorders>
            <w:vAlign w:val="center"/>
          </w:tcPr>
          <w:p w14:paraId="271D44DD">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8E7A65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自行监测检查智能体建设-智能体评估与部署-安全性评测</w:t>
            </w:r>
          </w:p>
        </w:tc>
        <w:tc>
          <w:tcPr>
            <w:tcW w:w="3928" w:type="dxa"/>
            <w:tcBorders>
              <w:top w:val="nil"/>
              <w:left w:val="nil"/>
              <w:bottom w:val="single" w:color="auto" w:sz="4" w:space="0"/>
              <w:right w:val="single" w:color="auto" w:sz="4" w:space="0"/>
            </w:tcBorders>
            <w:vAlign w:val="center"/>
          </w:tcPr>
          <w:p w14:paraId="59E5C34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评估智能体在数据传输、用户隐私、权限控制和对抗攻击等方面的安全防护能力，检测潜在漏洞与风险。确保符合安全合规要求，防止信息泄露与恶意利用，保障系统在部署运行中的数据安全与用户信任。</w:t>
            </w:r>
          </w:p>
        </w:tc>
      </w:tr>
      <w:tr w14:paraId="510FF52A">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198789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573</w:t>
            </w:r>
          </w:p>
        </w:tc>
        <w:tc>
          <w:tcPr>
            <w:tcW w:w="2028" w:type="dxa"/>
            <w:vMerge w:val="continue"/>
            <w:tcBorders>
              <w:top w:val="nil"/>
              <w:left w:val="single" w:color="auto" w:sz="4" w:space="0"/>
              <w:bottom w:val="single" w:color="000000" w:sz="4" w:space="0"/>
              <w:right w:val="single" w:color="auto" w:sz="4" w:space="0"/>
            </w:tcBorders>
            <w:vAlign w:val="center"/>
          </w:tcPr>
          <w:p w14:paraId="5157ED6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353BAED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自行监测检查智能体建设-智能体评估与部署-智能体部署</w:t>
            </w:r>
          </w:p>
        </w:tc>
        <w:tc>
          <w:tcPr>
            <w:tcW w:w="3928" w:type="dxa"/>
            <w:tcBorders>
              <w:top w:val="nil"/>
              <w:left w:val="nil"/>
              <w:bottom w:val="single" w:color="auto" w:sz="4" w:space="0"/>
              <w:right w:val="single" w:color="auto" w:sz="4" w:space="0"/>
            </w:tcBorders>
            <w:vAlign w:val="center"/>
          </w:tcPr>
          <w:p w14:paraId="4DAF16F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容器化（如Docker）与编排技术（如Kubernetes）实现智能体的自动化部署与弹性伸缩。支持灰度发布、版本管理和监控告警，确保部署过程高效可控，提升系统可维护性与服务可用性，适应多环境、多终端的业务需求。</w:t>
            </w:r>
          </w:p>
        </w:tc>
      </w:tr>
      <w:tr w14:paraId="52A9B4A6">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6C3D2F63">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574</w:t>
            </w:r>
          </w:p>
        </w:tc>
        <w:tc>
          <w:tcPr>
            <w:tcW w:w="2028" w:type="dxa"/>
            <w:vMerge w:val="continue"/>
            <w:tcBorders>
              <w:top w:val="nil"/>
              <w:left w:val="single" w:color="auto" w:sz="4" w:space="0"/>
              <w:bottom w:val="single" w:color="000000" w:sz="4" w:space="0"/>
              <w:right w:val="single" w:color="auto" w:sz="4" w:space="0"/>
            </w:tcBorders>
            <w:vAlign w:val="center"/>
          </w:tcPr>
          <w:p w14:paraId="024FCEB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4ABA3618">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排污许可执行报告检查智能体建设-角色与对话框架设计-角色设定与身份管理</w:t>
            </w:r>
          </w:p>
        </w:tc>
        <w:tc>
          <w:tcPr>
            <w:tcW w:w="3928" w:type="dxa"/>
            <w:tcBorders>
              <w:top w:val="nil"/>
              <w:left w:val="nil"/>
              <w:bottom w:val="single" w:color="auto" w:sz="4" w:space="0"/>
              <w:right w:val="single" w:color="auto" w:sz="4" w:space="0"/>
            </w:tcBorders>
            <w:vAlign w:val="center"/>
          </w:tcPr>
          <w:p w14:paraId="64BA1AF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提供数字人对话引擎，可支持自定义对话界面，界面可选择对应模型进行知识问答，同时支持拖拽各类文件、图片等附件进行上传解析，在对话框内，还可选择对应的知识库进行问答。</w:t>
            </w:r>
          </w:p>
        </w:tc>
      </w:tr>
      <w:tr w14:paraId="64A467F5">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3841740">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575</w:t>
            </w:r>
          </w:p>
        </w:tc>
        <w:tc>
          <w:tcPr>
            <w:tcW w:w="2028" w:type="dxa"/>
            <w:vMerge w:val="continue"/>
            <w:tcBorders>
              <w:top w:val="nil"/>
              <w:left w:val="single" w:color="auto" w:sz="4" w:space="0"/>
              <w:bottom w:val="single" w:color="000000" w:sz="4" w:space="0"/>
              <w:right w:val="single" w:color="auto" w:sz="4" w:space="0"/>
            </w:tcBorders>
            <w:vAlign w:val="center"/>
          </w:tcPr>
          <w:p w14:paraId="0D7CCF0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081E7AF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排污许可执行报告检查智能体建设-角色与对话框架设计-对话流程设计与结构化脚本</w:t>
            </w:r>
          </w:p>
        </w:tc>
        <w:tc>
          <w:tcPr>
            <w:tcW w:w="3928" w:type="dxa"/>
            <w:tcBorders>
              <w:top w:val="nil"/>
              <w:left w:val="nil"/>
              <w:bottom w:val="single" w:color="auto" w:sz="4" w:space="0"/>
              <w:right w:val="single" w:color="auto" w:sz="4" w:space="0"/>
            </w:tcBorders>
            <w:vAlign w:val="center"/>
          </w:tcPr>
          <w:p w14:paraId="1460E7A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开发清晰的对话流程与结构化脚本，明确交互节点与响应逻辑，提升AI对话的连贯性与用户体验。</w:t>
            </w:r>
          </w:p>
        </w:tc>
      </w:tr>
      <w:tr w14:paraId="28E08915">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1234FDDE">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576</w:t>
            </w:r>
          </w:p>
        </w:tc>
        <w:tc>
          <w:tcPr>
            <w:tcW w:w="2028" w:type="dxa"/>
            <w:vMerge w:val="continue"/>
            <w:tcBorders>
              <w:top w:val="nil"/>
              <w:left w:val="single" w:color="auto" w:sz="4" w:space="0"/>
              <w:bottom w:val="single" w:color="000000" w:sz="4" w:space="0"/>
              <w:right w:val="single" w:color="auto" w:sz="4" w:space="0"/>
            </w:tcBorders>
            <w:vAlign w:val="center"/>
          </w:tcPr>
          <w:p w14:paraId="15FBFBA7">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EF1EC8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排污许可执行报告检查智能体建设-能力构建与流程编排-提示词工程</w:t>
            </w:r>
          </w:p>
        </w:tc>
        <w:tc>
          <w:tcPr>
            <w:tcW w:w="3928" w:type="dxa"/>
            <w:tcBorders>
              <w:top w:val="nil"/>
              <w:left w:val="nil"/>
              <w:bottom w:val="single" w:color="auto" w:sz="4" w:space="0"/>
              <w:right w:val="single" w:color="auto" w:sz="4" w:space="0"/>
            </w:tcBorders>
            <w:vAlign w:val="center"/>
          </w:tcPr>
          <w:p w14:paraId="220B5C4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系统深度融合环保法规，提供提示词管理服务。实现动态收录、优化推荐，匹配合规要点，生成分析建议关联执法依据，降低违法风险。</w:t>
            </w:r>
          </w:p>
        </w:tc>
      </w:tr>
      <w:tr w14:paraId="646260E3">
        <w:tblPrEx>
          <w:tblCellMar>
            <w:top w:w="0" w:type="dxa"/>
            <w:left w:w="108" w:type="dxa"/>
            <w:bottom w:w="0" w:type="dxa"/>
            <w:right w:w="108" w:type="dxa"/>
          </w:tblCellMar>
        </w:tblPrEx>
        <w:trPr>
          <w:trHeight w:val="510" w:hRule="atLeast"/>
        </w:trPr>
        <w:tc>
          <w:tcPr>
            <w:tcW w:w="704" w:type="dxa"/>
            <w:tcBorders>
              <w:top w:val="nil"/>
              <w:left w:val="single" w:color="auto" w:sz="4" w:space="0"/>
              <w:bottom w:val="single" w:color="auto" w:sz="4" w:space="0"/>
              <w:right w:val="single" w:color="auto" w:sz="4" w:space="0"/>
            </w:tcBorders>
            <w:noWrap/>
            <w:vAlign w:val="center"/>
          </w:tcPr>
          <w:p w14:paraId="48F7AA5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577</w:t>
            </w:r>
          </w:p>
        </w:tc>
        <w:tc>
          <w:tcPr>
            <w:tcW w:w="2028" w:type="dxa"/>
            <w:vMerge w:val="continue"/>
            <w:tcBorders>
              <w:top w:val="nil"/>
              <w:left w:val="single" w:color="auto" w:sz="4" w:space="0"/>
              <w:bottom w:val="single" w:color="000000" w:sz="4" w:space="0"/>
              <w:right w:val="single" w:color="auto" w:sz="4" w:space="0"/>
            </w:tcBorders>
            <w:vAlign w:val="center"/>
          </w:tcPr>
          <w:p w14:paraId="604DCE66">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3F40B4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排污许可执行报告检查智能体建设-能力构建与流程编排-知识工程</w:t>
            </w:r>
          </w:p>
        </w:tc>
        <w:tc>
          <w:tcPr>
            <w:tcW w:w="3928" w:type="dxa"/>
            <w:tcBorders>
              <w:top w:val="nil"/>
              <w:left w:val="nil"/>
              <w:bottom w:val="single" w:color="auto" w:sz="4" w:space="0"/>
              <w:right w:val="single" w:color="auto" w:sz="4" w:space="0"/>
            </w:tcBorders>
            <w:vAlign w:val="center"/>
          </w:tcPr>
          <w:p w14:paraId="64607B2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构建高质量数据合规认定知识库，整合知识抽取、建模与管理，支撑智能系统的能力实现与流程高效协同。</w:t>
            </w:r>
          </w:p>
        </w:tc>
      </w:tr>
      <w:tr w14:paraId="0C42D86F">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2D2BC1C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578</w:t>
            </w:r>
          </w:p>
        </w:tc>
        <w:tc>
          <w:tcPr>
            <w:tcW w:w="2028" w:type="dxa"/>
            <w:vMerge w:val="continue"/>
            <w:tcBorders>
              <w:top w:val="nil"/>
              <w:left w:val="single" w:color="auto" w:sz="4" w:space="0"/>
              <w:bottom w:val="single" w:color="000000" w:sz="4" w:space="0"/>
              <w:right w:val="single" w:color="auto" w:sz="4" w:space="0"/>
            </w:tcBorders>
            <w:vAlign w:val="center"/>
          </w:tcPr>
          <w:p w14:paraId="02B4C210">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B859516">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排污许可执行报告检查智能体建设-能力构建与流程编排-工具开发及框架集成</w:t>
            </w:r>
          </w:p>
        </w:tc>
        <w:tc>
          <w:tcPr>
            <w:tcW w:w="3928" w:type="dxa"/>
            <w:tcBorders>
              <w:top w:val="nil"/>
              <w:left w:val="nil"/>
              <w:bottom w:val="single" w:color="auto" w:sz="4" w:space="0"/>
              <w:right w:val="single" w:color="auto" w:sz="4" w:space="0"/>
            </w:tcBorders>
            <w:vAlign w:val="center"/>
          </w:tcPr>
          <w:p w14:paraId="7EB54C73">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统一提供OCR、图片识别、markdown等工具进行集成。对使用该智能体的文件或图片使用OCR、图片识别工具进行转换。系统集成公有知识库和私有知识库，支持知识库文档的上传、召回、编辑、删除等功能。</w:t>
            </w:r>
          </w:p>
        </w:tc>
      </w:tr>
      <w:tr w14:paraId="0E7D850F">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B75C927">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579</w:t>
            </w:r>
          </w:p>
        </w:tc>
        <w:tc>
          <w:tcPr>
            <w:tcW w:w="2028" w:type="dxa"/>
            <w:vMerge w:val="continue"/>
            <w:tcBorders>
              <w:top w:val="nil"/>
              <w:left w:val="single" w:color="auto" w:sz="4" w:space="0"/>
              <w:bottom w:val="single" w:color="000000" w:sz="4" w:space="0"/>
              <w:right w:val="single" w:color="auto" w:sz="4" w:space="0"/>
            </w:tcBorders>
            <w:vAlign w:val="center"/>
          </w:tcPr>
          <w:p w14:paraId="70B2CB29">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628D69D">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排污许可执行报告检查智能体建设-能力构建与流程编排-流程编排与逻辑控制</w:t>
            </w:r>
          </w:p>
        </w:tc>
        <w:tc>
          <w:tcPr>
            <w:tcW w:w="3928" w:type="dxa"/>
            <w:tcBorders>
              <w:top w:val="nil"/>
              <w:left w:val="nil"/>
              <w:bottom w:val="single" w:color="auto" w:sz="4" w:space="0"/>
              <w:right w:val="single" w:color="auto" w:sz="4" w:space="0"/>
            </w:tcBorders>
            <w:vAlign w:val="center"/>
          </w:tcPr>
          <w:p w14:paraId="37BDFC1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并提供自动化流程编排工具，将数据审核和超标推送分步实施，可以选择对应AI推理模型、数据合规认定对应知识库、数据合规认定提示词、选择对应数据进行自动运行，最后将合规认定结果汇总智能体进行展示。</w:t>
            </w:r>
          </w:p>
        </w:tc>
      </w:tr>
      <w:tr w14:paraId="0D688B7F">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00663D7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580</w:t>
            </w:r>
          </w:p>
        </w:tc>
        <w:tc>
          <w:tcPr>
            <w:tcW w:w="2028" w:type="dxa"/>
            <w:vMerge w:val="continue"/>
            <w:tcBorders>
              <w:top w:val="nil"/>
              <w:left w:val="single" w:color="auto" w:sz="4" w:space="0"/>
              <w:bottom w:val="single" w:color="000000" w:sz="4" w:space="0"/>
              <w:right w:val="single" w:color="auto" w:sz="4" w:space="0"/>
            </w:tcBorders>
            <w:vAlign w:val="center"/>
          </w:tcPr>
          <w:p w14:paraId="6D5177E4">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971485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排污许可执行报告检查智能体建设-能力构建与流程编排-MCP服务开发与接入</w:t>
            </w:r>
          </w:p>
        </w:tc>
        <w:tc>
          <w:tcPr>
            <w:tcW w:w="3928" w:type="dxa"/>
            <w:tcBorders>
              <w:top w:val="nil"/>
              <w:left w:val="nil"/>
              <w:bottom w:val="single" w:color="auto" w:sz="4" w:space="0"/>
              <w:right w:val="single" w:color="auto" w:sz="4" w:space="0"/>
            </w:tcBorders>
            <w:vAlign w:val="center"/>
          </w:tcPr>
          <w:p w14:paraId="39F1D44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开发与接入MCP服务，实现多能力协同、流程自动化与系统集成，提升智能化应用的灵活性与效率。</w:t>
            </w:r>
          </w:p>
        </w:tc>
      </w:tr>
      <w:tr w14:paraId="791F6452">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7EBC3E5B">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581</w:t>
            </w:r>
          </w:p>
        </w:tc>
        <w:tc>
          <w:tcPr>
            <w:tcW w:w="2028" w:type="dxa"/>
            <w:vMerge w:val="continue"/>
            <w:tcBorders>
              <w:top w:val="nil"/>
              <w:left w:val="single" w:color="auto" w:sz="4" w:space="0"/>
              <w:bottom w:val="single" w:color="000000" w:sz="4" w:space="0"/>
              <w:right w:val="single" w:color="auto" w:sz="4" w:space="0"/>
            </w:tcBorders>
            <w:vAlign w:val="center"/>
          </w:tcPr>
          <w:p w14:paraId="16B1243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24C829A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排污许可执行报告检查智能体建设-上下文与多轮对话管理-上下文建模与状态管理</w:t>
            </w:r>
          </w:p>
        </w:tc>
        <w:tc>
          <w:tcPr>
            <w:tcW w:w="3928" w:type="dxa"/>
            <w:tcBorders>
              <w:top w:val="nil"/>
              <w:left w:val="nil"/>
              <w:bottom w:val="single" w:color="auto" w:sz="4" w:space="0"/>
              <w:right w:val="single" w:color="auto" w:sz="4" w:space="0"/>
            </w:tcBorders>
            <w:vAlign w:val="center"/>
          </w:tcPr>
          <w:p w14:paraId="2DF3B2CE">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该智能体内内置特定的上下文知识，采用的是单轮固定对话，利用工作流编排每一步任务进行问答推理。</w:t>
            </w:r>
          </w:p>
        </w:tc>
      </w:tr>
      <w:tr w14:paraId="43411B2E">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445895A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582</w:t>
            </w:r>
          </w:p>
        </w:tc>
        <w:tc>
          <w:tcPr>
            <w:tcW w:w="2028" w:type="dxa"/>
            <w:vMerge w:val="continue"/>
            <w:tcBorders>
              <w:top w:val="nil"/>
              <w:left w:val="single" w:color="auto" w:sz="4" w:space="0"/>
              <w:bottom w:val="single" w:color="000000" w:sz="4" w:space="0"/>
              <w:right w:val="single" w:color="auto" w:sz="4" w:space="0"/>
            </w:tcBorders>
            <w:vAlign w:val="center"/>
          </w:tcPr>
          <w:p w14:paraId="1572D94E">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207357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排污许可执行报告检查智能体建设-上下文与多轮对话管理-用户画像与长期记忆机制</w:t>
            </w:r>
          </w:p>
        </w:tc>
        <w:tc>
          <w:tcPr>
            <w:tcW w:w="3928" w:type="dxa"/>
            <w:tcBorders>
              <w:top w:val="nil"/>
              <w:left w:val="nil"/>
              <w:bottom w:val="single" w:color="auto" w:sz="4" w:space="0"/>
              <w:right w:val="single" w:color="auto" w:sz="4" w:space="0"/>
            </w:tcBorders>
            <w:vAlign w:val="center"/>
          </w:tcPr>
          <w:p w14:paraId="1999FB0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基于用户行为构建动态画像，结合长期记忆实现个性化交互与偏好记忆，提升服务精准度与用户体验。</w:t>
            </w:r>
          </w:p>
        </w:tc>
      </w:tr>
      <w:tr w14:paraId="3DB4E3E9">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3BC9E69">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583</w:t>
            </w:r>
          </w:p>
        </w:tc>
        <w:tc>
          <w:tcPr>
            <w:tcW w:w="2028" w:type="dxa"/>
            <w:vMerge w:val="continue"/>
            <w:tcBorders>
              <w:top w:val="nil"/>
              <w:left w:val="single" w:color="auto" w:sz="4" w:space="0"/>
              <w:bottom w:val="single" w:color="000000" w:sz="4" w:space="0"/>
              <w:right w:val="single" w:color="auto" w:sz="4" w:space="0"/>
            </w:tcBorders>
            <w:vAlign w:val="center"/>
          </w:tcPr>
          <w:p w14:paraId="6615EECB">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7276DAF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排污许可执行报告检查智能体建设-上下文与多轮对话管理-多会话并行与多用户管理</w:t>
            </w:r>
          </w:p>
        </w:tc>
        <w:tc>
          <w:tcPr>
            <w:tcW w:w="3928" w:type="dxa"/>
            <w:tcBorders>
              <w:top w:val="nil"/>
              <w:left w:val="nil"/>
              <w:bottom w:val="single" w:color="auto" w:sz="4" w:space="0"/>
              <w:right w:val="single" w:color="auto" w:sz="4" w:space="0"/>
            </w:tcBorders>
            <w:vAlign w:val="center"/>
          </w:tcPr>
          <w:p w14:paraId="54BBA4FA">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支持多个用户同时与系统进行独立会话，通过会话隔离、上下文管理和用户身份识别，确保各会话状态互不干扰。实现资源高效调度与并发处理，提升系统响应速度与服务能力，保障多用户场景下的稳定性与个性化体验。</w:t>
            </w:r>
          </w:p>
        </w:tc>
      </w:tr>
      <w:tr w14:paraId="55A4E423">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F983A5C">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584</w:t>
            </w:r>
          </w:p>
        </w:tc>
        <w:tc>
          <w:tcPr>
            <w:tcW w:w="2028" w:type="dxa"/>
            <w:vMerge w:val="continue"/>
            <w:tcBorders>
              <w:top w:val="nil"/>
              <w:left w:val="single" w:color="auto" w:sz="4" w:space="0"/>
              <w:bottom w:val="single" w:color="000000" w:sz="4" w:space="0"/>
              <w:right w:val="single" w:color="auto" w:sz="4" w:space="0"/>
            </w:tcBorders>
            <w:vAlign w:val="center"/>
          </w:tcPr>
          <w:p w14:paraId="6E03B7A8">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FA998E0">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排污许可执行报告检查智能体建设-智能体评估与部署-方案设计</w:t>
            </w:r>
          </w:p>
        </w:tc>
        <w:tc>
          <w:tcPr>
            <w:tcW w:w="3928" w:type="dxa"/>
            <w:tcBorders>
              <w:top w:val="nil"/>
              <w:left w:val="nil"/>
              <w:bottom w:val="single" w:color="auto" w:sz="4" w:space="0"/>
              <w:right w:val="single" w:color="auto" w:sz="4" w:space="0"/>
            </w:tcBorders>
            <w:vAlign w:val="center"/>
          </w:tcPr>
          <w:p w14:paraId="485A922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设计涵盖准确性、响应速度、用户体验等维度的评估体系，通过离线测试与在线灰度验证评估智能体性能。结合容器化部署与自动化运维，实现快速迭代与弹性扩展，确保智能体在多场景下的稳定性、安全性与高效运行。</w:t>
            </w:r>
          </w:p>
        </w:tc>
      </w:tr>
      <w:tr w14:paraId="6261858C">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1D0FEF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585</w:t>
            </w:r>
          </w:p>
        </w:tc>
        <w:tc>
          <w:tcPr>
            <w:tcW w:w="2028" w:type="dxa"/>
            <w:vMerge w:val="continue"/>
            <w:tcBorders>
              <w:top w:val="nil"/>
              <w:left w:val="single" w:color="auto" w:sz="4" w:space="0"/>
              <w:bottom w:val="single" w:color="000000" w:sz="4" w:space="0"/>
              <w:right w:val="single" w:color="auto" w:sz="4" w:space="0"/>
            </w:tcBorders>
            <w:vAlign w:val="center"/>
          </w:tcPr>
          <w:p w14:paraId="39D2F572">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6D1EDF77">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排污许可执行报告检查智能体建设-智能体评估与部署-可用性评测</w:t>
            </w:r>
          </w:p>
        </w:tc>
        <w:tc>
          <w:tcPr>
            <w:tcW w:w="3928" w:type="dxa"/>
            <w:tcBorders>
              <w:top w:val="nil"/>
              <w:left w:val="nil"/>
              <w:bottom w:val="single" w:color="auto" w:sz="4" w:space="0"/>
              <w:right w:val="single" w:color="auto" w:sz="4" w:space="0"/>
            </w:tcBorders>
            <w:vAlign w:val="center"/>
          </w:tcPr>
          <w:p w14:paraId="546FDC41">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通过多场景压力测试、响应延迟、容错能力与服务连续性评估智能体的可用性，确保其在高并发、复杂交互下稳定运行。结合用户满意度与任务完成率，全面衡量系统可靠性与用户体验，保障生产环境持续高效服务。</w:t>
            </w:r>
          </w:p>
        </w:tc>
      </w:tr>
      <w:tr w14:paraId="463328C7">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524D4731">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586</w:t>
            </w:r>
          </w:p>
        </w:tc>
        <w:tc>
          <w:tcPr>
            <w:tcW w:w="2028" w:type="dxa"/>
            <w:vMerge w:val="continue"/>
            <w:tcBorders>
              <w:top w:val="nil"/>
              <w:left w:val="single" w:color="auto" w:sz="4" w:space="0"/>
              <w:bottom w:val="single" w:color="000000" w:sz="4" w:space="0"/>
              <w:right w:val="single" w:color="auto" w:sz="4" w:space="0"/>
            </w:tcBorders>
            <w:vAlign w:val="center"/>
          </w:tcPr>
          <w:p w14:paraId="79B0FBE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15BC328C">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排污许可执行报告检查智能体建设-智能体评估与部署-安全性评测</w:t>
            </w:r>
          </w:p>
        </w:tc>
        <w:tc>
          <w:tcPr>
            <w:tcW w:w="3928" w:type="dxa"/>
            <w:tcBorders>
              <w:top w:val="nil"/>
              <w:left w:val="nil"/>
              <w:bottom w:val="single" w:color="auto" w:sz="4" w:space="0"/>
              <w:right w:val="single" w:color="auto" w:sz="4" w:space="0"/>
            </w:tcBorders>
            <w:vAlign w:val="center"/>
          </w:tcPr>
          <w:p w14:paraId="6FEBDABB">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评估智能体在数据传输、用户隐私、权限控制和对抗攻击等方面的安全防护能力，检测潜在漏洞与风险。确保符合安全合规要求，防止信息泄露与恶意利用，保障系统在部署运行中的数据安全与用户信任。</w:t>
            </w:r>
          </w:p>
        </w:tc>
      </w:tr>
      <w:tr w14:paraId="1628BC54">
        <w:tblPrEx>
          <w:tblCellMar>
            <w:top w:w="0" w:type="dxa"/>
            <w:left w:w="108" w:type="dxa"/>
            <w:bottom w:w="0" w:type="dxa"/>
            <w:right w:w="108" w:type="dxa"/>
          </w:tblCellMar>
        </w:tblPrEx>
        <w:trPr>
          <w:trHeight w:val="765" w:hRule="atLeast"/>
        </w:trPr>
        <w:tc>
          <w:tcPr>
            <w:tcW w:w="704" w:type="dxa"/>
            <w:tcBorders>
              <w:top w:val="nil"/>
              <w:left w:val="single" w:color="auto" w:sz="4" w:space="0"/>
              <w:bottom w:val="single" w:color="auto" w:sz="4" w:space="0"/>
              <w:right w:val="single" w:color="auto" w:sz="4" w:space="0"/>
            </w:tcBorders>
            <w:noWrap/>
            <w:vAlign w:val="center"/>
          </w:tcPr>
          <w:p w14:paraId="33B0230D">
            <w:pPr>
              <w:widowControl/>
              <w:spacing w:line="240" w:lineRule="auto"/>
              <w:ind w:firstLine="0" w:firstLineChars="0"/>
              <w:jc w:val="center"/>
              <w:rPr>
                <w:rFonts w:hint="eastAsia" w:cs="宋体"/>
                <w:bCs w:val="0"/>
                <w:color w:val="000000"/>
                <w:kern w:val="0"/>
                <w:sz w:val="20"/>
                <w:szCs w:val="20"/>
              </w:rPr>
            </w:pPr>
            <w:r>
              <w:rPr>
                <w:rFonts w:hint="eastAsia" w:cs="宋体"/>
                <w:bCs w:val="0"/>
                <w:color w:val="000000"/>
                <w:kern w:val="0"/>
                <w:sz w:val="20"/>
                <w:szCs w:val="20"/>
              </w:rPr>
              <w:t>587</w:t>
            </w:r>
          </w:p>
        </w:tc>
        <w:tc>
          <w:tcPr>
            <w:tcW w:w="2028" w:type="dxa"/>
            <w:vMerge w:val="continue"/>
            <w:tcBorders>
              <w:top w:val="nil"/>
              <w:left w:val="single" w:color="auto" w:sz="4" w:space="0"/>
              <w:bottom w:val="single" w:color="000000" w:sz="4" w:space="0"/>
              <w:right w:val="single" w:color="auto" w:sz="4" w:space="0"/>
            </w:tcBorders>
            <w:vAlign w:val="center"/>
          </w:tcPr>
          <w:p w14:paraId="073D6B83">
            <w:pPr>
              <w:widowControl/>
              <w:spacing w:line="240" w:lineRule="auto"/>
              <w:ind w:firstLine="0" w:firstLineChars="0"/>
              <w:rPr>
                <w:rFonts w:hint="eastAsia" w:cs="宋体"/>
                <w:bCs w:val="0"/>
                <w:color w:val="000000"/>
                <w:kern w:val="0"/>
                <w:sz w:val="20"/>
                <w:szCs w:val="20"/>
              </w:rPr>
            </w:pPr>
          </w:p>
        </w:tc>
        <w:tc>
          <w:tcPr>
            <w:tcW w:w="1642" w:type="dxa"/>
            <w:tcBorders>
              <w:top w:val="nil"/>
              <w:left w:val="nil"/>
              <w:bottom w:val="single" w:color="auto" w:sz="4" w:space="0"/>
              <w:right w:val="single" w:color="auto" w:sz="4" w:space="0"/>
            </w:tcBorders>
            <w:vAlign w:val="center"/>
          </w:tcPr>
          <w:p w14:paraId="5A52467F">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排污许可执行报告检查智能体建设-智能体评估与部署-智能体部署</w:t>
            </w:r>
          </w:p>
        </w:tc>
        <w:tc>
          <w:tcPr>
            <w:tcW w:w="3928" w:type="dxa"/>
            <w:tcBorders>
              <w:top w:val="nil"/>
              <w:left w:val="nil"/>
              <w:bottom w:val="single" w:color="auto" w:sz="4" w:space="0"/>
              <w:right w:val="single" w:color="auto" w:sz="4" w:space="0"/>
            </w:tcBorders>
            <w:vAlign w:val="center"/>
          </w:tcPr>
          <w:p w14:paraId="21676209">
            <w:pPr>
              <w:widowControl/>
              <w:spacing w:line="240" w:lineRule="auto"/>
              <w:ind w:firstLine="0" w:firstLineChars="0"/>
              <w:rPr>
                <w:rFonts w:hint="eastAsia" w:cs="宋体"/>
                <w:bCs w:val="0"/>
                <w:color w:val="000000"/>
                <w:kern w:val="0"/>
                <w:sz w:val="20"/>
                <w:szCs w:val="20"/>
              </w:rPr>
            </w:pPr>
            <w:r>
              <w:rPr>
                <w:rFonts w:hint="eastAsia" w:cs="宋体"/>
                <w:bCs w:val="0"/>
                <w:color w:val="000000"/>
                <w:kern w:val="0"/>
                <w:sz w:val="20"/>
                <w:szCs w:val="20"/>
              </w:rPr>
              <w:t>采用容器化（如Docker）与编排技术（如Kubernetes）实现智能体的自动化部署与弹性伸缩。支持灰度发布、版本管理和监控告警，确保部署过程高效可控，提升系统可维护性与服务可用性，适应多环境、多终端的业务需求。</w:t>
            </w:r>
          </w:p>
        </w:tc>
      </w:tr>
    </w:tbl>
    <w:p w14:paraId="33CD99D0">
      <w:pPr>
        <w:ind w:firstLine="0" w:firstLineChars="0"/>
        <w:rPr>
          <w:rFonts w:hint="eastAsia"/>
        </w:rPr>
      </w:pPr>
    </w:p>
    <w:p w14:paraId="71929C59">
      <w:pPr>
        <w:pStyle w:val="2"/>
        <w:ind w:firstLine="643"/>
        <w:rPr>
          <w:rFonts w:hint="eastAsia"/>
        </w:rPr>
      </w:pPr>
      <w:bookmarkStart w:id="25" w:name="_Toc63785502"/>
      <w:r>
        <w:rPr>
          <w:rFonts w:hint="eastAsia"/>
        </w:rPr>
        <w:t>电子政务云资源需求</w:t>
      </w:r>
      <w:bookmarkEnd w:id="25"/>
    </w:p>
    <w:p w14:paraId="2084EFBB">
      <w:pPr>
        <w:rPr>
          <w:rFonts w:hint="eastAsia"/>
        </w:rPr>
      </w:pPr>
      <w:r>
        <w:rPr>
          <w:rFonts w:hint="eastAsia" w:cs="宋体"/>
        </w:rPr>
        <w:t>电子政务云资源按实际批复为准。</w:t>
      </w:r>
    </w:p>
    <w:p w14:paraId="26ED93E7">
      <w:pPr>
        <w:pStyle w:val="2"/>
        <w:ind w:firstLine="643"/>
        <w:rPr>
          <w:rFonts w:hint="eastAsia"/>
        </w:rPr>
      </w:pPr>
      <w:bookmarkStart w:id="26" w:name="_Toc63785503"/>
      <w:r>
        <w:rPr>
          <w:rFonts w:hint="eastAsia"/>
        </w:rPr>
        <w:t>其他工作要求</w:t>
      </w:r>
      <w:bookmarkEnd w:id="26"/>
    </w:p>
    <w:p w14:paraId="034FDCE3">
      <w:pPr>
        <w:pStyle w:val="3"/>
        <w:ind w:firstLine="602"/>
        <w:rPr>
          <w:rFonts w:hint="eastAsia"/>
        </w:rPr>
      </w:pPr>
      <w:bookmarkStart w:id="27" w:name="_Toc63785505"/>
      <w:r>
        <w:rPr>
          <w:rFonts w:hint="eastAsia"/>
        </w:rPr>
        <w:t>售后服务要求</w:t>
      </w:r>
      <w:bookmarkEnd w:id="27"/>
    </w:p>
    <w:p w14:paraId="29D9AD62">
      <w:pPr>
        <w:rPr>
          <w:rFonts w:hint="eastAsia"/>
        </w:rPr>
      </w:pPr>
      <w:r>
        <w:rPr>
          <w:rFonts w:hint="eastAsia"/>
        </w:rPr>
        <w:t>本项目从系统验收通过之日起至少1年内提供7*24小时免费技术支持和售后服务，1年后进入有偿维护期。</w:t>
      </w:r>
    </w:p>
    <w:p w14:paraId="1EDD55EF">
      <w:pPr>
        <w:rPr>
          <w:rFonts w:hint="eastAsia"/>
        </w:rPr>
      </w:pPr>
      <w:r>
        <w:rPr>
          <w:rFonts w:hint="eastAsia"/>
        </w:rPr>
        <w:t>在质量保证期内，供应商将按照售后服务的承诺提供保修和运行维护服务，如果厂商对信息系统中软件产品的保修期超过上述期限的，则按照厂商的规定进行免费保修。</w:t>
      </w:r>
    </w:p>
    <w:p w14:paraId="2C366753">
      <w:pPr>
        <w:rPr>
          <w:rFonts w:hint="eastAsia"/>
        </w:rPr>
      </w:pPr>
      <w:r>
        <w:rPr>
          <w:rFonts w:hint="eastAsia"/>
        </w:rPr>
        <w:t>在质量保证期内，供应商负责信息系统的运行维护工作，确保信息系统安全、稳定、可靠地运行。本项目涉及的运行维护工作范围为：</w:t>
      </w:r>
    </w:p>
    <w:p w14:paraId="3E26A927">
      <w:pPr>
        <w:rPr>
          <w:rFonts w:hint="eastAsia"/>
        </w:rPr>
      </w:pPr>
      <w:r>
        <w:rPr>
          <w:rFonts w:hint="eastAsia"/>
        </w:rPr>
        <w:t>（1）本项目采购范围的软件开发模块，包括生态环境遥感监测、智能化站房管理、环境监测数据智能质控、环境监测分析智脑、污染源智慧监管、监测机构异常分析、环境污染溯源分析、应急监测决策分析、环境监测任务管理、环境监测智能分析大模型、空气质量预报大模型、大气污染溯源大模型、监测机构分析大模型、应急监测决策分析大模型、污染源智能监管大模型。</w:t>
      </w:r>
    </w:p>
    <w:p w14:paraId="6C341A60">
      <w:pPr>
        <w:rPr>
          <w:rFonts w:hint="eastAsia"/>
        </w:rPr>
      </w:pPr>
      <w:r>
        <w:rPr>
          <w:rFonts w:hint="eastAsia"/>
        </w:rPr>
        <w:t>（2）本项目建设所产生的共享交换数据目录和接口的更新、维护。</w:t>
      </w:r>
    </w:p>
    <w:p w14:paraId="25E4D395">
      <w:pPr>
        <w:pStyle w:val="3"/>
        <w:ind w:firstLine="602"/>
        <w:rPr>
          <w:rFonts w:hint="eastAsia"/>
        </w:rPr>
      </w:pPr>
      <w:bookmarkStart w:id="28" w:name="_Toc63785506"/>
      <w:r>
        <w:rPr>
          <w:rFonts w:hint="eastAsia"/>
        </w:rPr>
        <w:t>应急响应要求</w:t>
      </w:r>
      <w:bookmarkEnd w:id="28"/>
    </w:p>
    <w:p w14:paraId="5695B499">
      <w:pPr>
        <w:rPr>
          <w:rFonts w:hint="eastAsia"/>
        </w:rPr>
      </w:pPr>
      <w:r>
        <w:rPr>
          <w:rFonts w:hint="eastAsia"/>
        </w:rPr>
        <w:t>供应商对系统故障应能够实时响应，若系统发生故障，接到通知后15分钟之内响应，专业工程师2小时内到达现场。特殊故障与采购人沟通协商后，按照协商的方式制定解决方案并进行处理。</w:t>
      </w:r>
    </w:p>
    <w:p w14:paraId="483E37A2">
      <w:pPr>
        <w:rPr>
          <w:rFonts w:hint="eastAsia"/>
        </w:rPr>
      </w:pPr>
      <w:r>
        <w:rPr>
          <w:rFonts w:hint="eastAsia"/>
        </w:rPr>
        <w:t>具体故障级别及对应的应急响应要求如下：</w:t>
      </w:r>
    </w:p>
    <w:p w14:paraId="15E92AD4">
      <w:pPr>
        <w:rPr>
          <w:rFonts w:hint="eastAsia"/>
        </w:rPr>
      </w:pPr>
      <w:r>
        <w:rPr>
          <w:rFonts w:hint="eastAsia"/>
        </w:rPr>
        <w:t>一级故障：在1小时内确诊，总故障解决时间不超过2小时。</w:t>
      </w:r>
    </w:p>
    <w:p w14:paraId="2D1CCCDA">
      <w:pPr>
        <w:rPr>
          <w:rFonts w:hint="eastAsia"/>
        </w:rPr>
      </w:pPr>
      <w:r>
        <w:rPr>
          <w:rFonts w:hint="eastAsia"/>
        </w:rPr>
        <w:t>二级故障：在2小时内确诊，并在4小时内由专家到达现场确诊并解决，总故障解决时间不超过8小时；</w:t>
      </w:r>
    </w:p>
    <w:p w14:paraId="44EB85C3">
      <w:pPr>
        <w:rPr>
          <w:rFonts w:hint="eastAsia"/>
        </w:rPr>
      </w:pPr>
      <w:r>
        <w:rPr>
          <w:rFonts w:hint="eastAsia"/>
        </w:rPr>
        <w:t>三、四级故障：在4小时内确诊故障，总故障解决时间不超过16小时。</w:t>
      </w:r>
    </w:p>
    <w:p w14:paraId="1A775705">
      <w:pPr>
        <w:rPr>
          <w:rFonts w:hint="eastAsia"/>
        </w:rPr>
      </w:pPr>
      <w:r>
        <w:rPr>
          <w:rFonts w:hint="eastAsia"/>
        </w:rPr>
        <w:t>依据故障时间及故障范围划分故障级别，故障级别分为四级，依次为Ⅰ级（紧急）、Ⅱ级（严重）、Ⅲ级（较大）和Ⅳ级（一般），分别定义如下：</w:t>
      </w:r>
    </w:p>
    <w:p w14:paraId="6F5211BC">
      <w:pPr>
        <w:rPr>
          <w:rFonts w:hint="eastAsia"/>
        </w:rPr>
      </w:pPr>
      <w:r>
        <w:rPr>
          <w:rFonts w:hint="eastAsia"/>
        </w:rPr>
        <w:t>Ⅰ级（紧急）故障为工作时间段（8:30——17:30）内大范围故障；</w:t>
      </w:r>
    </w:p>
    <w:p w14:paraId="3A7F5EF8">
      <w:pPr>
        <w:rPr>
          <w:rFonts w:hint="eastAsia"/>
        </w:rPr>
      </w:pPr>
      <w:r>
        <w:rPr>
          <w:rFonts w:hint="eastAsia"/>
        </w:rPr>
        <w:t>Ⅱ级（严重）故障为非工作时间段（17:30——次日8:30）内大范围故障；</w:t>
      </w:r>
    </w:p>
    <w:p w14:paraId="436B2BBB">
      <w:pPr>
        <w:rPr>
          <w:rFonts w:hint="eastAsia"/>
        </w:rPr>
      </w:pPr>
      <w:r>
        <w:rPr>
          <w:rFonts w:hint="eastAsia"/>
        </w:rPr>
        <w:t>Ⅲ级（较大）故障为工作时间段（8:30——17:30）内小范围故障；</w:t>
      </w:r>
    </w:p>
    <w:p w14:paraId="01798465">
      <w:pPr>
        <w:rPr>
          <w:rFonts w:hint="eastAsia"/>
        </w:rPr>
      </w:pPr>
      <w:r>
        <w:rPr>
          <w:rFonts w:hint="eastAsia"/>
        </w:rPr>
        <w:t>Ⅳ级（一般）故障为非工作时间段（17:30——次日8:30）内小范围故障。</w:t>
      </w:r>
    </w:p>
    <w:p w14:paraId="2DD8D9E7">
      <w:pPr>
        <w:pStyle w:val="3"/>
        <w:ind w:firstLine="602"/>
        <w:rPr>
          <w:rFonts w:hint="eastAsia"/>
        </w:rPr>
      </w:pPr>
      <w:bookmarkStart w:id="29" w:name="_Toc63785507"/>
      <w:r>
        <w:rPr>
          <w:rFonts w:hint="eastAsia"/>
        </w:rPr>
        <w:t>培训要求</w:t>
      </w:r>
      <w:bookmarkEnd w:id="29"/>
    </w:p>
    <w:p w14:paraId="732C4A22">
      <w:pPr>
        <w:rPr>
          <w:rFonts w:hint="eastAsia"/>
        </w:rPr>
      </w:pPr>
      <w:r>
        <w:rPr>
          <w:rFonts w:hint="eastAsia"/>
        </w:rPr>
        <w:t>对系统使用单位提供业务操作培训，应提供详细培训方案。</w:t>
      </w:r>
    </w:p>
    <w:p w14:paraId="0524F02E">
      <w:pPr>
        <w:rPr>
          <w:rFonts w:hint="eastAsia"/>
        </w:rPr>
      </w:pPr>
      <w:r>
        <w:rPr>
          <w:rFonts w:hint="eastAsia"/>
        </w:rPr>
        <w:t>(1)在12个月的质量保证期内，提供2次与项目相关的必要培训。</w:t>
      </w:r>
    </w:p>
    <w:p w14:paraId="751ECD47">
      <w:pPr>
        <w:rPr>
          <w:rFonts w:hint="eastAsia"/>
        </w:rPr>
      </w:pPr>
      <w:r>
        <w:rPr>
          <w:rFonts w:hint="eastAsia"/>
        </w:rPr>
        <w:t>(2)供应商需要开展分层次的人员培训工作，每次培训后应对参加培训人员进行测试，评估培训成果。培训应具有培训教材、培训环境和高水平的培训讲师。</w:t>
      </w:r>
    </w:p>
    <w:p w14:paraId="39B62251">
      <w:pPr>
        <w:rPr>
          <w:rFonts w:hint="eastAsia"/>
          <w:strike/>
          <w:szCs w:val="21"/>
        </w:rPr>
      </w:pPr>
      <w:r>
        <w:rPr>
          <w:rFonts w:hint="eastAsia"/>
        </w:rPr>
        <w:t>(3)供应商应提供一般用户的基础操作培训和部门信息管理员的日常应用维护的培训，确保用户对象能够掌握对应的操作技能。</w:t>
      </w:r>
    </w:p>
    <w:p w14:paraId="1B4F4B47">
      <w:pPr>
        <w:pStyle w:val="3"/>
        <w:ind w:firstLine="602"/>
        <w:rPr>
          <w:rFonts w:hint="eastAsia"/>
        </w:rPr>
      </w:pPr>
      <w:bookmarkStart w:id="30" w:name="_Toc63785509"/>
      <w:r>
        <w:rPr>
          <w:rFonts w:hint="eastAsia"/>
        </w:rPr>
        <w:t>进度要求</w:t>
      </w:r>
      <w:bookmarkEnd w:id="30"/>
    </w:p>
    <w:p w14:paraId="4C07B211">
      <w:pPr>
        <w:rPr>
          <w:rFonts w:hint="eastAsia"/>
        </w:rPr>
      </w:pPr>
      <w:r>
        <w:rPr>
          <w:rFonts w:hint="eastAsia"/>
        </w:rPr>
        <w:t>本项目建设周期为自合同签订之日起至2027年11月30日，主要划分为以下几个阶段：</w:t>
      </w:r>
    </w:p>
    <w:p w14:paraId="5E4716C2">
      <w:pPr>
        <w:rPr>
          <w:rFonts w:hint="eastAsia"/>
        </w:rPr>
      </w:pPr>
      <w:r>
        <w:rPr>
          <w:rFonts w:hint="eastAsia"/>
        </w:rPr>
        <w:t>（一）项目规划设计阶段</w:t>
      </w:r>
    </w:p>
    <w:p w14:paraId="6840EF7C">
      <w:pPr>
        <w:rPr>
          <w:rFonts w:hint="eastAsia"/>
        </w:rPr>
      </w:pPr>
      <w:r>
        <w:rPr>
          <w:rFonts w:hint="eastAsia"/>
        </w:rPr>
        <w:t>本阶段主要完成项目有关业务、系统和需求的调研，</w:t>
      </w:r>
      <w:r>
        <w:rPr>
          <w:rFonts w:hint="eastAsia" w:cs="宋体"/>
        </w:rPr>
        <w:t>制定通用类标准规范，</w:t>
      </w:r>
      <w:r>
        <w:rPr>
          <w:rFonts w:hint="eastAsia"/>
        </w:rPr>
        <w:t>形成总体设计方案，完成系统架构、</w:t>
      </w:r>
      <w:r>
        <w:rPr>
          <w:rFonts w:hint="eastAsia" w:cs="宋体"/>
        </w:rPr>
        <w:t>数据库、</w:t>
      </w:r>
      <w:r>
        <w:rPr>
          <w:rFonts w:hint="eastAsia"/>
        </w:rPr>
        <w:t>基础资源、功能等详细设计，并提供主体建设内容的部分系统原型。</w:t>
      </w:r>
    </w:p>
    <w:p w14:paraId="1E304E2D">
      <w:pPr>
        <w:rPr>
          <w:rFonts w:hint="eastAsia"/>
        </w:rPr>
      </w:pPr>
      <w:r>
        <w:rPr>
          <w:rFonts w:hint="eastAsia"/>
        </w:rPr>
        <w:t>本阶段周期为自合同签订之日起至202</w:t>
      </w:r>
      <w:r>
        <w:rPr>
          <w:rFonts w:hint="eastAsia"/>
          <w:lang w:val="en-US" w:eastAsia="zh-CN"/>
        </w:rPr>
        <w:t>6</w:t>
      </w:r>
      <w:r>
        <w:rPr>
          <w:rFonts w:hint="eastAsia"/>
        </w:rPr>
        <w:t>年9月30日。</w:t>
      </w:r>
    </w:p>
    <w:p w14:paraId="3E33DDED">
      <w:pPr>
        <w:rPr>
          <w:rFonts w:hint="eastAsia"/>
        </w:rPr>
      </w:pPr>
      <w:r>
        <w:rPr>
          <w:rFonts w:hint="eastAsia"/>
        </w:rPr>
        <w:t>（二）项目开发测试阶段</w:t>
      </w:r>
    </w:p>
    <w:p w14:paraId="66D5B52C">
      <w:pPr>
        <w:rPr>
          <w:rFonts w:hint="eastAsia"/>
        </w:rPr>
      </w:pPr>
      <w:r>
        <w:rPr>
          <w:rFonts w:hint="eastAsia"/>
        </w:rPr>
        <w:t>本阶段主要进行数据</w:t>
      </w:r>
      <w:r>
        <w:rPr>
          <w:rFonts w:hint="eastAsia" w:cs="宋体"/>
        </w:rPr>
        <w:t>汇集与加工</w:t>
      </w:r>
      <w:r>
        <w:rPr>
          <w:rFonts w:hint="eastAsia"/>
        </w:rPr>
        <w:t>、</w:t>
      </w:r>
      <w:r>
        <w:rPr>
          <w:rFonts w:hint="eastAsia" w:cs="宋体"/>
        </w:rPr>
        <w:t>技术体系搭建、</w:t>
      </w:r>
      <w:r>
        <w:rPr>
          <w:rFonts w:hint="eastAsia"/>
        </w:rPr>
        <w:t>资源申请和各模块的开发与测试工作，完成系统联调与部署，发布beta测试版本。</w:t>
      </w:r>
    </w:p>
    <w:p w14:paraId="2F943E4A">
      <w:pPr>
        <w:rPr>
          <w:rFonts w:hint="eastAsia"/>
        </w:rPr>
      </w:pPr>
      <w:r>
        <w:rPr>
          <w:rFonts w:hint="eastAsia"/>
        </w:rPr>
        <w:t>本阶段周期为202</w:t>
      </w:r>
      <w:r>
        <w:rPr>
          <w:rFonts w:hint="eastAsia"/>
          <w:lang w:val="en-US" w:eastAsia="zh-CN"/>
        </w:rPr>
        <w:t>6</w:t>
      </w:r>
      <w:bookmarkStart w:id="36" w:name="_GoBack"/>
      <w:bookmarkEnd w:id="36"/>
      <w:r>
        <w:rPr>
          <w:rFonts w:hint="eastAsia"/>
        </w:rPr>
        <w:t>年10月1日至2027年8月31日。</w:t>
      </w:r>
    </w:p>
    <w:p w14:paraId="65266689">
      <w:pPr>
        <w:rPr>
          <w:rFonts w:hint="eastAsia"/>
        </w:rPr>
      </w:pPr>
      <w:r>
        <w:rPr>
          <w:rFonts w:hint="eastAsia"/>
        </w:rPr>
        <w:t>（三）项目初步验收和试运行</w:t>
      </w:r>
    </w:p>
    <w:p w14:paraId="0D3884D1">
      <w:pPr>
        <w:rPr>
          <w:rFonts w:hint="eastAsia"/>
        </w:rPr>
      </w:pPr>
      <w:r>
        <w:rPr>
          <w:rFonts w:hint="eastAsia"/>
        </w:rPr>
        <w:t>本阶段主要包括项目初步验收和试运行，在前序开发测试工作全部完成后，对项目进行初步验收，核对系统功能开发的完成情况，并进行项目功能试运行，修正各模块联调中出现的问题，完成系统完善和功能迭代，直至发布正式运行版本。</w:t>
      </w:r>
    </w:p>
    <w:p w14:paraId="4C4C00BE">
      <w:pPr>
        <w:rPr>
          <w:rFonts w:hint="eastAsia"/>
        </w:rPr>
      </w:pPr>
      <w:r>
        <w:rPr>
          <w:rFonts w:hint="eastAsia"/>
        </w:rPr>
        <w:t>本阶段周期为2027年9月1日至2027年10月31日。</w:t>
      </w:r>
    </w:p>
    <w:p w14:paraId="1AC5696B">
      <w:pPr>
        <w:rPr>
          <w:rFonts w:hint="eastAsia"/>
        </w:rPr>
      </w:pPr>
      <w:r>
        <w:rPr>
          <w:rFonts w:hint="eastAsia"/>
        </w:rPr>
        <w:t>（四）项目验收阶段</w:t>
      </w:r>
    </w:p>
    <w:p w14:paraId="2269F308">
      <w:pPr>
        <w:rPr>
          <w:rFonts w:hint="eastAsia"/>
        </w:rPr>
      </w:pPr>
      <w:r>
        <w:rPr>
          <w:rFonts w:hint="eastAsia"/>
        </w:rPr>
        <w:t>本阶段主要实施项目最终验收并启动项目的正式运行，在项目约定的试运行时间结束后，根据项目运行情况和验收要求开展项目测评、功能优化和绩效评价等工作。</w:t>
      </w:r>
    </w:p>
    <w:p w14:paraId="559D467B">
      <w:pPr>
        <w:rPr>
          <w:rFonts w:hint="eastAsia"/>
        </w:rPr>
      </w:pPr>
      <w:r>
        <w:rPr>
          <w:rFonts w:hint="eastAsia"/>
        </w:rPr>
        <w:t>本阶段周期为2027年11月1日至2027年11月30日。</w:t>
      </w:r>
    </w:p>
    <w:p w14:paraId="0DA5CEF4">
      <w:pPr>
        <w:pStyle w:val="3"/>
        <w:ind w:firstLine="602"/>
        <w:rPr>
          <w:rFonts w:hint="eastAsia"/>
        </w:rPr>
      </w:pPr>
      <w:bookmarkStart w:id="31" w:name="_Toc63785510"/>
      <w:r>
        <w:rPr>
          <w:rFonts w:hint="eastAsia"/>
        </w:rPr>
        <w:t>项目团队及驻场人员要求</w:t>
      </w:r>
      <w:bookmarkEnd w:id="31"/>
    </w:p>
    <w:p w14:paraId="2D011A31">
      <w:pPr>
        <w:pStyle w:val="47"/>
        <w:numPr>
          <w:ilvl w:val="0"/>
          <w:numId w:val="5"/>
        </w:numPr>
        <w:ind w:firstLineChars="0"/>
        <w:rPr>
          <w:rFonts w:hint="eastAsia"/>
        </w:rPr>
      </w:pPr>
      <w:r>
        <w:rPr>
          <w:rFonts w:hint="eastAsia"/>
        </w:rPr>
        <w:t>投标人须具有稳定的在职技术保障力量，能够提供及时的技术支援或服务，应针对本项目提供不少于60人的项目服务团队（包括项目经理、产品经理、技术负责人、</w:t>
      </w:r>
      <w:r>
        <w:rPr>
          <w:rFonts w:hint="eastAsia" w:cs="宋体"/>
        </w:rPr>
        <w:t>安全工程师、</w:t>
      </w:r>
      <w:r>
        <w:rPr>
          <w:rFonts w:hint="eastAsia"/>
        </w:rPr>
        <w:t>研发</w:t>
      </w:r>
      <w:r>
        <w:t>工程师</w:t>
      </w:r>
      <w:r>
        <w:rPr>
          <w:rFonts w:hint="eastAsia"/>
        </w:rPr>
        <w:t>等），且驻场人员不少于10人，投标单位的相关服务人员需具备相应的服务能力，需提供相关证明。</w:t>
      </w:r>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6"/>
        <w:gridCol w:w="2735"/>
        <w:gridCol w:w="1060"/>
        <w:gridCol w:w="2306"/>
        <w:gridCol w:w="1371"/>
      </w:tblGrid>
      <w:tr w14:paraId="59181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jc w:val="center"/>
        </w:trPr>
        <w:tc>
          <w:tcPr>
            <w:tcW w:w="0" w:type="auto"/>
            <w:shd w:val="clear" w:color="auto" w:fill="D8D8D8" w:themeFill="background1" w:themeFillShade="D9"/>
            <w:noWrap/>
            <w:vAlign w:val="center"/>
          </w:tcPr>
          <w:p w14:paraId="1E56A271">
            <w:pPr>
              <w:pStyle w:val="140"/>
              <w:rPr>
                <w:b/>
                <w:bCs/>
              </w:rPr>
            </w:pPr>
            <w:r>
              <w:rPr>
                <w:b/>
                <w:bCs/>
              </w:rPr>
              <w:t>角色</w:t>
            </w:r>
          </w:p>
        </w:tc>
        <w:tc>
          <w:tcPr>
            <w:tcW w:w="0" w:type="auto"/>
            <w:shd w:val="clear" w:color="auto" w:fill="D8D8D8" w:themeFill="background1" w:themeFillShade="D9"/>
            <w:noWrap/>
            <w:vAlign w:val="center"/>
          </w:tcPr>
          <w:p w14:paraId="7CA29E51">
            <w:pPr>
              <w:pStyle w:val="140"/>
              <w:rPr>
                <w:b/>
                <w:bCs/>
              </w:rPr>
            </w:pPr>
            <w:r>
              <w:rPr>
                <w:b/>
                <w:bCs/>
              </w:rPr>
              <w:t>主要职责</w:t>
            </w:r>
          </w:p>
        </w:tc>
        <w:tc>
          <w:tcPr>
            <w:tcW w:w="0" w:type="auto"/>
            <w:shd w:val="clear" w:color="auto" w:fill="D8D8D8" w:themeFill="background1" w:themeFillShade="D9"/>
            <w:noWrap/>
            <w:vAlign w:val="center"/>
          </w:tcPr>
          <w:p w14:paraId="05A07E65">
            <w:pPr>
              <w:pStyle w:val="140"/>
              <w:rPr>
                <w:b/>
                <w:bCs/>
              </w:rPr>
            </w:pPr>
            <w:r>
              <w:rPr>
                <w:b/>
                <w:bCs/>
              </w:rPr>
              <w:t>人员数量</w:t>
            </w:r>
          </w:p>
        </w:tc>
        <w:tc>
          <w:tcPr>
            <w:tcW w:w="2306" w:type="dxa"/>
            <w:shd w:val="clear" w:color="auto" w:fill="D8D8D8" w:themeFill="background1" w:themeFillShade="D9"/>
            <w:vAlign w:val="center"/>
          </w:tcPr>
          <w:p w14:paraId="791D8AA1">
            <w:pPr>
              <w:pStyle w:val="140"/>
              <w:rPr>
                <w:b/>
                <w:bCs/>
              </w:rPr>
            </w:pPr>
            <w:r>
              <w:rPr>
                <w:b/>
                <w:bCs/>
              </w:rPr>
              <w:t>人员要求</w:t>
            </w:r>
          </w:p>
        </w:tc>
        <w:tc>
          <w:tcPr>
            <w:tcW w:w="1371" w:type="dxa"/>
            <w:shd w:val="clear" w:color="auto" w:fill="D8D8D8" w:themeFill="background1" w:themeFillShade="D9"/>
            <w:noWrap/>
            <w:vAlign w:val="center"/>
          </w:tcPr>
          <w:p w14:paraId="7D5C4D8D">
            <w:pPr>
              <w:pStyle w:val="140"/>
              <w:rPr>
                <w:b/>
                <w:bCs/>
              </w:rPr>
            </w:pPr>
            <w:r>
              <w:rPr>
                <w:b/>
                <w:bCs/>
              </w:rPr>
              <w:t>驻场要求</w:t>
            </w:r>
          </w:p>
        </w:tc>
      </w:tr>
      <w:tr w14:paraId="0723E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56" w:type="dxa"/>
            <w:noWrap/>
            <w:vAlign w:val="center"/>
          </w:tcPr>
          <w:p w14:paraId="0D729112">
            <w:pPr>
              <w:pStyle w:val="140"/>
              <w:jc w:val="left"/>
            </w:pPr>
            <w:r>
              <w:t>项目经理</w:t>
            </w:r>
          </w:p>
        </w:tc>
        <w:tc>
          <w:tcPr>
            <w:tcW w:w="2735" w:type="dxa"/>
            <w:vAlign w:val="center"/>
          </w:tcPr>
          <w:p w14:paraId="7F341E53">
            <w:pPr>
              <w:pStyle w:val="140"/>
              <w:jc w:val="left"/>
            </w:pPr>
            <w:r>
              <w:t>负责项目质量和进度控制</w:t>
            </w:r>
          </w:p>
        </w:tc>
        <w:tc>
          <w:tcPr>
            <w:tcW w:w="1060" w:type="dxa"/>
            <w:noWrap/>
            <w:vAlign w:val="center"/>
          </w:tcPr>
          <w:p w14:paraId="0D7C5E9A">
            <w:pPr>
              <w:pStyle w:val="140"/>
              <w:jc w:val="left"/>
            </w:pPr>
            <w:r>
              <w:t>1人</w:t>
            </w:r>
          </w:p>
        </w:tc>
        <w:tc>
          <w:tcPr>
            <w:tcW w:w="2306" w:type="dxa"/>
            <w:vAlign w:val="center"/>
          </w:tcPr>
          <w:p w14:paraId="7745E494">
            <w:pPr>
              <w:pStyle w:val="140"/>
              <w:jc w:val="left"/>
            </w:pPr>
            <w:r>
              <w:t>本科及以上学历。具备计算机技术与软件专业技术资格——信息系统项目管理师证书。类似项目5年以上经历。</w:t>
            </w:r>
          </w:p>
        </w:tc>
        <w:tc>
          <w:tcPr>
            <w:tcW w:w="1371" w:type="dxa"/>
            <w:noWrap/>
            <w:vAlign w:val="center"/>
          </w:tcPr>
          <w:p w14:paraId="4F5EE92B">
            <w:pPr>
              <w:pStyle w:val="140"/>
              <w:jc w:val="left"/>
            </w:pPr>
            <w:r>
              <w:t>驻场</w:t>
            </w:r>
          </w:p>
        </w:tc>
      </w:tr>
      <w:tr w14:paraId="55124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56" w:type="dxa"/>
            <w:noWrap/>
            <w:vAlign w:val="center"/>
          </w:tcPr>
          <w:p w14:paraId="06DE46C9">
            <w:pPr>
              <w:pStyle w:val="140"/>
              <w:jc w:val="left"/>
            </w:pPr>
            <w:r>
              <w:t>产品经理</w:t>
            </w:r>
          </w:p>
        </w:tc>
        <w:tc>
          <w:tcPr>
            <w:tcW w:w="2735" w:type="dxa"/>
            <w:vAlign w:val="center"/>
          </w:tcPr>
          <w:p w14:paraId="184E5255">
            <w:pPr>
              <w:pStyle w:val="140"/>
              <w:jc w:val="left"/>
            </w:pPr>
            <w:r>
              <w:t>负责项目需求评估与产品设计</w:t>
            </w:r>
          </w:p>
        </w:tc>
        <w:tc>
          <w:tcPr>
            <w:tcW w:w="1060" w:type="dxa"/>
            <w:noWrap/>
            <w:vAlign w:val="center"/>
          </w:tcPr>
          <w:p w14:paraId="0FB93B08">
            <w:pPr>
              <w:pStyle w:val="140"/>
              <w:jc w:val="left"/>
            </w:pPr>
            <w:r>
              <w:t>1人</w:t>
            </w:r>
          </w:p>
        </w:tc>
        <w:tc>
          <w:tcPr>
            <w:tcW w:w="2306" w:type="dxa"/>
            <w:vAlign w:val="center"/>
          </w:tcPr>
          <w:p w14:paraId="501A6591">
            <w:pPr>
              <w:pStyle w:val="140"/>
              <w:jc w:val="left"/>
            </w:pPr>
            <w:r>
              <w:t>本科及以上学历，具备计算机技术与软件专业技术资格——系统架构师证书。类似项目3年以上经历。</w:t>
            </w:r>
          </w:p>
        </w:tc>
        <w:tc>
          <w:tcPr>
            <w:tcW w:w="1371" w:type="dxa"/>
            <w:noWrap/>
            <w:vAlign w:val="center"/>
          </w:tcPr>
          <w:p w14:paraId="1FB74657">
            <w:pPr>
              <w:pStyle w:val="140"/>
              <w:jc w:val="left"/>
            </w:pPr>
            <w:r>
              <w:t>驻场</w:t>
            </w:r>
          </w:p>
        </w:tc>
      </w:tr>
      <w:tr w14:paraId="22190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56" w:type="dxa"/>
            <w:noWrap/>
            <w:vAlign w:val="center"/>
          </w:tcPr>
          <w:p w14:paraId="398F2250">
            <w:pPr>
              <w:pStyle w:val="140"/>
              <w:jc w:val="left"/>
            </w:pPr>
            <w:r>
              <w:t>技术负责人</w:t>
            </w:r>
          </w:p>
        </w:tc>
        <w:tc>
          <w:tcPr>
            <w:tcW w:w="2735" w:type="dxa"/>
            <w:vAlign w:val="center"/>
          </w:tcPr>
          <w:p w14:paraId="43242969">
            <w:pPr>
              <w:pStyle w:val="140"/>
              <w:jc w:val="left"/>
            </w:pPr>
            <w:r>
              <w:t>负责项目的技术选型、技术路线设计和实施指导</w:t>
            </w:r>
          </w:p>
        </w:tc>
        <w:tc>
          <w:tcPr>
            <w:tcW w:w="1060" w:type="dxa"/>
            <w:noWrap/>
            <w:vAlign w:val="center"/>
          </w:tcPr>
          <w:p w14:paraId="5D556C85">
            <w:pPr>
              <w:pStyle w:val="140"/>
              <w:jc w:val="left"/>
            </w:pPr>
            <w:r>
              <w:rPr>
                <w:rFonts w:cs="宋体"/>
              </w:rPr>
              <w:t>1人</w:t>
            </w:r>
          </w:p>
        </w:tc>
        <w:tc>
          <w:tcPr>
            <w:tcW w:w="2306" w:type="dxa"/>
            <w:vAlign w:val="center"/>
          </w:tcPr>
          <w:p w14:paraId="3131202E">
            <w:pPr>
              <w:pStyle w:val="140"/>
              <w:jc w:val="left"/>
            </w:pPr>
            <w:r>
              <w:t>本科及以上学历，具备人社部门颁发的人工智能类或大数据类的高级职称证书。类似项目3年以上经历。</w:t>
            </w:r>
          </w:p>
        </w:tc>
        <w:tc>
          <w:tcPr>
            <w:tcW w:w="1371" w:type="dxa"/>
            <w:noWrap/>
            <w:vAlign w:val="center"/>
          </w:tcPr>
          <w:p w14:paraId="44AC53D6">
            <w:pPr>
              <w:pStyle w:val="140"/>
              <w:jc w:val="left"/>
            </w:pPr>
            <w:r>
              <w:t>驻场</w:t>
            </w:r>
          </w:p>
        </w:tc>
      </w:tr>
      <w:tr w14:paraId="1AFFD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56" w:type="dxa"/>
            <w:noWrap/>
            <w:vAlign w:val="center"/>
          </w:tcPr>
          <w:p w14:paraId="35D6BC38">
            <w:pPr>
              <w:pStyle w:val="140"/>
              <w:jc w:val="left"/>
            </w:pPr>
            <w:r>
              <w:t>安全工程师</w:t>
            </w:r>
          </w:p>
        </w:tc>
        <w:tc>
          <w:tcPr>
            <w:tcW w:w="2735" w:type="dxa"/>
            <w:vAlign w:val="center"/>
          </w:tcPr>
          <w:p w14:paraId="09FF6F5D">
            <w:pPr>
              <w:pStyle w:val="140"/>
              <w:jc w:val="left"/>
            </w:pPr>
            <w:r>
              <w:t>负责软件和系统的安全性，预防和应对潜在的安全漏洞和攻击。</w:t>
            </w:r>
          </w:p>
        </w:tc>
        <w:tc>
          <w:tcPr>
            <w:tcW w:w="1060" w:type="dxa"/>
            <w:noWrap/>
            <w:vAlign w:val="center"/>
          </w:tcPr>
          <w:p w14:paraId="275FED0C">
            <w:pPr>
              <w:pStyle w:val="140"/>
              <w:jc w:val="left"/>
            </w:pPr>
            <w:r>
              <w:t>1人</w:t>
            </w:r>
          </w:p>
        </w:tc>
        <w:tc>
          <w:tcPr>
            <w:tcW w:w="2306" w:type="dxa"/>
            <w:vAlign w:val="center"/>
          </w:tcPr>
          <w:p w14:paraId="2615A9EC">
            <w:pPr>
              <w:pStyle w:val="140"/>
              <w:jc w:val="left"/>
            </w:pPr>
            <w:r>
              <w:t>本科及以上学历，具备注册信息安全工程师（CISE）证书。类似项目3年以上经历。</w:t>
            </w:r>
          </w:p>
        </w:tc>
        <w:tc>
          <w:tcPr>
            <w:tcW w:w="1371" w:type="dxa"/>
            <w:noWrap/>
            <w:vAlign w:val="center"/>
          </w:tcPr>
          <w:p w14:paraId="28247DEE">
            <w:pPr>
              <w:pStyle w:val="140"/>
              <w:jc w:val="left"/>
            </w:pPr>
            <w:r>
              <w:t>驻场</w:t>
            </w:r>
          </w:p>
        </w:tc>
      </w:tr>
      <w:tr w14:paraId="59B71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jc w:val="center"/>
        </w:trPr>
        <w:tc>
          <w:tcPr>
            <w:tcW w:w="1056" w:type="dxa"/>
            <w:noWrap/>
            <w:vAlign w:val="center"/>
          </w:tcPr>
          <w:p w14:paraId="6459D602">
            <w:pPr>
              <w:pStyle w:val="140"/>
              <w:jc w:val="left"/>
            </w:pPr>
            <w:r>
              <w:t>数据治理工程师</w:t>
            </w:r>
          </w:p>
        </w:tc>
        <w:tc>
          <w:tcPr>
            <w:tcW w:w="2735" w:type="dxa"/>
            <w:vAlign w:val="center"/>
          </w:tcPr>
          <w:p w14:paraId="6573FF8A">
            <w:pPr>
              <w:pStyle w:val="140"/>
              <w:jc w:val="left"/>
            </w:pPr>
            <w:r>
              <w:t>负责本项目涉及的数据治理工作，包括数据专题、知识图谱、数据集的处理等。</w:t>
            </w:r>
          </w:p>
        </w:tc>
        <w:tc>
          <w:tcPr>
            <w:tcW w:w="1060" w:type="dxa"/>
            <w:noWrap/>
            <w:vAlign w:val="center"/>
          </w:tcPr>
          <w:p w14:paraId="2E1F31CB">
            <w:pPr>
              <w:pStyle w:val="140"/>
              <w:jc w:val="left"/>
            </w:pPr>
            <w:r>
              <w:t>至少5人</w:t>
            </w:r>
          </w:p>
        </w:tc>
        <w:tc>
          <w:tcPr>
            <w:tcW w:w="2306" w:type="dxa"/>
            <w:vAlign w:val="center"/>
          </w:tcPr>
          <w:p w14:paraId="7DC5F85B">
            <w:pPr>
              <w:pStyle w:val="140"/>
              <w:jc w:val="left"/>
            </w:pPr>
            <w:r>
              <w:t>本科及以上学历，具备数据治理领域专业认证证书。数据治理工作经验3 年以上。</w:t>
            </w:r>
          </w:p>
        </w:tc>
        <w:tc>
          <w:tcPr>
            <w:tcW w:w="1371" w:type="dxa"/>
            <w:noWrap/>
            <w:vAlign w:val="center"/>
          </w:tcPr>
          <w:p w14:paraId="2ED5C36E">
            <w:pPr>
              <w:pStyle w:val="140"/>
              <w:jc w:val="left"/>
            </w:pPr>
            <w:r>
              <w:t>驻场不少于1人</w:t>
            </w:r>
          </w:p>
        </w:tc>
      </w:tr>
      <w:tr w14:paraId="7871B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56" w:type="dxa"/>
            <w:noWrap/>
            <w:vAlign w:val="center"/>
          </w:tcPr>
          <w:p w14:paraId="60DD218F">
            <w:pPr>
              <w:pStyle w:val="140"/>
              <w:jc w:val="left"/>
            </w:pPr>
            <w:r>
              <w:t>研发工程师</w:t>
            </w:r>
          </w:p>
        </w:tc>
        <w:tc>
          <w:tcPr>
            <w:tcW w:w="2735" w:type="dxa"/>
            <w:noWrap/>
            <w:vAlign w:val="center"/>
          </w:tcPr>
          <w:p w14:paraId="1E5D6203">
            <w:pPr>
              <w:pStyle w:val="140"/>
              <w:jc w:val="left"/>
            </w:pPr>
            <w:r>
              <w:t>负责项目具体开发与实施</w:t>
            </w:r>
          </w:p>
        </w:tc>
        <w:tc>
          <w:tcPr>
            <w:tcW w:w="1060" w:type="dxa"/>
            <w:noWrap/>
            <w:vAlign w:val="center"/>
          </w:tcPr>
          <w:p w14:paraId="7F85D89D">
            <w:pPr>
              <w:pStyle w:val="140"/>
              <w:jc w:val="left"/>
            </w:pPr>
            <w:r>
              <w:t>至少51人</w:t>
            </w:r>
          </w:p>
        </w:tc>
        <w:tc>
          <w:tcPr>
            <w:tcW w:w="2306" w:type="dxa"/>
            <w:vAlign w:val="center"/>
          </w:tcPr>
          <w:p w14:paraId="4CD402D5">
            <w:pPr>
              <w:pStyle w:val="140"/>
              <w:jc w:val="left"/>
            </w:pPr>
            <w:r>
              <w:t>本科及以上学历。团队成员具有计算机技术与软件专业技术资格——软件设计师</w:t>
            </w:r>
            <w:r>
              <w:rPr>
                <w:u w:val="single"/>
              </w:rPr>
              <w:t>、</w:t>
            </w:r>
            <w:r>
              <w:t>网络工程师、系统集成项目管理工程师等持证人员将优先考虑。</w:t>
            </w:r>
          </w:p>
        </w:tc>
        <w:tc>
          <w:tcPr>
            <w:tcW w:w="1371" w:type="dxa"/>
            <w:noWrap/>
            <w:vAlign w:val="center"/>
          </w:tcPr>
          <w:p w14:paraId="7C7D92B2">
            <w:pPr>
              <w:pStyle w:val="140"/>
              <w:jc w:val="left"/>
            </w:pPr>
            <w:r>
              <w:t>驻场不少于5人</w:t>
            </w:r>
          </w:p>
        </w:tc>
      </w:tr>
    </w:tbl>
    <w:p w14:paraId="3D955391">
      <w:pPr>
        <w:rPr>
          <w:rFonts w:hint="eastAsia"/>
        </w:rPr>
      </w:pPr>
    </w:p>
    <w:p w14:paraId="3E22B493">
      <w:pPr>
        <w:pStyle w:val="47"/>
        <w:numPr>
          <w:ilvl w:val="255"/>
          <w:numId w:val="0"/>
        </w:numPr>
        <w:ind w:left="480"/>
        <w:rPr>
          <w:rFonts w:hint="eastAsia"/>
        </w:rPr>
      </w:pPr>
      <w:r>
        <w:rPr>
          <w:rFonts w:hint="eastAsia"/>
        </w:rPr>
        <w:t>投标人应针对本项目提供不少于8人的质保期间支撑团队（其中技术经理1人，安全工程师1人，数据治理工程师1人，技术工程师不少于5人），且至少有1名技术工程师驻场服务；投标人的相关服务人员需具备相应的服务能力，需提供相关证明。</w:t>
      </w:r>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6"/>
        <w:gridCol w:w="1910"/>
        <w:gridCol w:w="1345"/>
        <w:gridCol w:w="2744"/>
        <w:gridCol w:w="1113"/>
      </w:tblGrid>
      <w:tr w14:paraId="50C67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416" w:type="dxa"/>
            <w:shd w:val="clear" w:color="auto" w:fill="D8D8D8" w:themeFill="background1" w:themeFillShade="D9"/>
            <w:noWrap/>
            <w:vAlign w:val="center"/>
          </w:tcPr>
          <w:p w14:paraId="1BE32303">
            <w:pPr>
              <w:pStyle w:val="140"/>
              <w:rPr>
                <w:b/>
                <w:bCs/>
              </w:rPr>
            </w:pPr>
            <w:r>
              <w:rPr>
                <w:b/>
                <w:bCs/>
              </w:rPr>
              <w:t>角色</w:t>
            </w:r>
          </w:p>
        </w:tc>
        <w:tc>
          <w:tcPr>
            <w:tcW w:w="1910" w:type="dxa"/>
            <w:shd w:val="clear" w:color="auto" w:fill="D8D8D8" w:themeFill="background1" w:themeFillShade="D9"/>
            <w:noWrap/>
            <w:vAlign w:val="center"/>
          </w:tcPr>
          <w:p w14:paraId="73C2D9D1">
            <w:pPr>
              <w:pStyle w:val="140"/>
              <w:rPr>
                <w:b/>
                <w:bCs/>
              </w:rPr>
            </w:pPr>
            <w:r>
              <w:rPr>
                <w:b/>
                <w:bCs/>
              </w:rPr>
              <w:t>主要职责</w:t>
            </w:r>
          </w:p>
        </w:tc>
        <w:tc>
          <w:tcPr>
            <w:tcW w:w="1345" w:type="dxa"/>
            <w:shd w:val="clear" w:color="auto" w:fill="D8D8D8" w:themeFill="background1" w:themeFillShade="D9"/>
            <w:noWrap/>
            <w:vAlign w:val="center"/>
          </w:tcPr>
          <w:p w14:paraId="152B1BD1">
            <w:pPr>
              <w:pStyle w:val="140"/>
              <w:rPr>
                <w:b/>
                <w:bCs/>
              </w:rPr>
            </w:pPr>
            <w:r>
              <w:rPr>
                <w:b/>
                <w:bCs/>
              </w:rPr>
              <w:t>人员数量</w:t>
            </w:r>
          </w:p>
        </w:tc>
        <w:tc>
          <w:tcPr>
            <w:tcW w:w="2744" w:type="dxa"/>
            <w:shd w:val="clear" w:color="auto" w:fill="D8D8D8" w:themeFill="background1" w:themeFillShade="D9"/>
            <w:vAlign w:val="center"/>
          </w:tcPr>
          <w:p w14:paraId="31D6E231">
            <w:pPr>
              <w:pStyle w:val="140"/>
              <w:rPr>
                <w:b/>
                <w:bCs/>
              </w:rPr>
            </w:pPr>
            <w:r>
              <w:rPr>
                <w:b/>
                <w:bCs/>
              </w:rPr>
              <w:t>人员要求</w:t>
            </w:r>
          </w:p>
        </w:tc>
        <w:tc>
          <w:tcPr>
            <w:tcW w:w="1113" w:type="dxa"/>
            <w:shd w:val="clear" w:color="auto" w:fill="D8D8D8" w:themeFill="background1" w:themeFillShade="D9"/>
            <w:noWrap/>
            <w:vAlign w:val="center"/>
          </w:tcPr>
          <w:p w14:paraId="1BB02D4C">
            <w:pPr>
              <w:pStyle w:val="140"/>
              <w:rPr>
                <w:b/>
                <w:bCs/>
              </w:rPr>
            </w:pPr>
            <w:r>
              <w:rPr>
                <w:b/>
                <w:bCs/>
              </w:rPr>
              <w:t>驻场要求</w:t>
            </w:r>
          </w:p>
        </w:tc>
      </w:tr>
      <w:tr w14:paraId="397E3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416" w:type="dxa"/>
            <w:noWrap/>
            <w:vAlign w:val="center"/>
          </w:tcPr>
          <w:p w14:paraId="690E7EEB">
            <w:pPr>
              <w:pStyle w:val="140"/>
              <w:jc w:val="left"/>
            </w:pPr>
            <w:r>
              <w:t>技术经理</w:t>
            </w:r>
          </w:p>
        </w:tc>
        <w:tc>
          <w:tcPr>
            <w:tcW w:w="1910" w:type="dxa"/>
            <w:vAlign w:val="center"/>
          </w:tcPr>
          <w:p w14:paraId="6C27F3AE">
            <w:pPr>
              <w:pStyle w:val="140"/>
              <w:jc w:val="left"/>
            </w:pPr>
            <w:r>
              <w:t>负责质保期间项目运维任务的制定和管控。</w:t>
            </w:r>
          </w:p>
        </w:tc>
        <w:tc>
          <w:tcPr>
            <w:tcW w:w="1345" w:type="dxa"/>
            <w:noWrap/>
            <w:vAlign w:val="center"/>
          </w:tcPr>
          <w:p w14:paraId="53BC5325">
            <w:pPr>
              <w:pStyle w:val="140"/>
              <w:jc w:val="left"/>
            </w:pPr>
            <w:r>
              <w:t>1人</w:t>
            </w:r>
          </w:p>
        </w:tc>
        <w:tc>
          <w:tcPr>
            <w:tcW w:w="2744" w:type="dxa"/>
            <w:vAlign w:val="center"/>
          </w:tcPr>
          <w:p w14:paraId="7ACE92DF">
            <w:pPr>
              <w:pStyle w:val="140"/>
              <w:jc w:val="left"/>
            </w:pPr>
            <w:r>
              <w:t>本科及以上学历，具备计算机技术与软件专业技术资格——信息系统项目管理师证书，类似项目 5 年以上经历。</w:t>
            </w:r>
          </w:p>
        </w:tc>
        <w:tc>
          <w:tcPr>
            <w:tcW w:w="1113" w:type="dxa"/>
            <w:noWrap/>
            <w:vAlign w:val="center"/>
          </w:tcPr>
          <w:p w14:paraId="61E56C72">
            <w:pPr>
              <w:pStyle w:val="140"/>
              <w:jc w:val="left"/>
            </w:pPr>
            <w:r>
              <w:t>驻场</w:t>
            </w:r>
          </w:p>
        </w:tc>
      </w:tr>
      <w:tr w14:paraId="436E3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6" w:hRule="atLeast"/>
          <w:jc w:val="center"/>
        </w:trPr>
        <w:tc>
          <w:tcPr>
            <w:tcW w:w="1416" w:type="dxa"/>
            <w:noWrap/>
            <w:vAlign w:val="center"/>
          </w:tcPr>
          <w:p w14:paraId="3B678A97">
            <w:pPr>
              <w:pStyle w:val="140"/>
              <w:jc w:val="left"/>
            </w:pPr>
            <w:r>
              <w:t>安全工程师</w:t>
            </w:r>
          </w:p>
        </w:tc>
        <w:tc>
          <w:tcPr>
            <w:tcW w:w="1910" w:type="dxa"/>
            <w:vAlign w:val="center"/>
          </w:tcPr>
          <w:p w14:paraId="0E3CA9BC">
            <w:pPr>
              <w:pStyle w:val="140"/>
              <w:jc w:val="left"/>
            </w:pPr>
            <w:r>
              <w:t>负责质保期间系统安全问题的应对和技术指导。</w:t>
            </w:r>
          </w:p>
        </w:tc>
        <w:tc>
          <w:tcPr>
            <w:tcW w:w="1345" w:type="dxa"/>
            <w:noWrap/>
            <w:vAlign w:val="center"/>
          </w:tcPr>
          <w:p w14:paraId="484853D5">
            <w:pPr>
              <w:pStyle w:val="140"/>
              <w:jc w:val="left"/>
            </w:pPr>
            <w:r>
              <w:t>1人</w:t>
            </w:r>
          </w:p>
        </w:tc>
        <w:tc>
          <w:tcPr>
            <w:tcW w:w="2744" w:type="dxa"/>
            <w:vAlign w:val="center"/>
          </w:tcPr>
          <w:p w14:paraId="19C4F79C">
            <w:pPr>
              <w:pStyle w:val="140"/>
              <w:jc w:val="left"/>
            </w:pPr>
            <w:r>
              <w:t>本科及以上学历，具备注册信息安全工程师（CISE）证书。类似项目3 年以上经历。</w:t>
            </w:r>
          </w:p>
        </w:tc>
        <w:tc>
          <w:tcPr>
            <w:tcW w:w="1113" w:type="dxa"/>
            <w:noWrap/>
            <w:vAlign w:val="center"/>
          </w:tcPr>
          <w:p w14:paraId="345BDE5C">
            <w:pPr>
              <w:pStyle w:val="140"/>
              <w:jc w:val="left"/>
            </w:pPr>
            <w:r>
              <w:t>不驻场</w:t>
            </w:r>
          </w:p>
        </w:tc>
      </w:tr>
      <w:tr w14:paraId="2C1F5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416" w:type="dxa"/>
            <w:noWrap/>
            <w:vAlign w:val="center"/>
          </w:tcPr>
          <w:p w14:paraId="77093783">
            <w:pPr>
              <w:pStyle w:val="140"/>
              <w:jc w:val="left"/>
            </w:pPr>
            <w:r>
              <w:t>数据治理工程师</w:t>
            </w:r>
          </w:p>
        </w:tc>
        <w:tc>
          <w:tcPr>
            <w:tcW w:w="1910" w:type="dxa"/>
            <w:vAlign w:val="center"/>
          </w:tcPr>
          <w:p w14:paraId="37A39081">
            <w:pPr>
              <w:pStyle w:val="140"/>
              <w:jc w:val="left"/>
            </w:pPr>
            <w:r>
              <w:t>负责运维期间的数据治理和保障工作。</w:t>
            </w:r>
          </w:p>
        </w:tc>
        <w:tc>
          <w:tcPr>
            <w:tcW w:w="1345" w:type="dxa"/>
            <w:noWrap/>
            <w:vAlign w:val="center"/>
          </w:tcPr>
          <w:p w14:paraId="18EB7EB4">
            <w:pPr>
              <w:pStyle w:val="140"/>
              <w:jc w:val="left"/>
            </w:pPr>
            <w:r>
              <w:t>1人</w:t>
            </w:r>
          </w:p>
        </w:tc>
        <w:tc>
          <w:tcPr>
            <w:tcW w:w="2744" w:type="dxa"/>
            <w:vAlign w:val="center"/>
          </w:tcPr>
          <w:p w14:paraId="1D689111">
            <w:pPr>
              <w:pStyle w:val="140"/>
              <w:jc w:val="left"/>
            </w:pPr>
            <w:r>
              <w:t>本科及以上学历，具备数据治理领域专业认证证书。数据治理工作经验3 年以上。</w:t>
            </w:r>
          </w:p>
        </w:tc>
        <w:tc>
          <w:tcPr>
            <w:tcW w:w="1113" w:type="dxa"/>
            <w:noWrap/>
            <w:vAlign w:val="center"/>
          </w:tcPr>
          <w:p w14:paraId="4F91EC34">
            <w:pPr>
              <w:pStyle w:val="140"/>
              <w:jc w:val="left"/>
            </w:pPr>
            <w:r>
              <w:t>驻场</w:t>
            </w:r>
          </w:p>
        </w:tc>
      </w:tr>
      <w:tr w14:paraId="39121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1416" w:type="dxa"/>
            <w:noWrap/>
            <w:vAlign w:val="center"/>
          </w:tcPr>
          <w:p w14:paraId="49112BA7">
            <w:pPr>
              <w:pStyle w:val="140"/>
              <w:jc w:val="left"/>
            </w:pPr>
            <w:r>
              <w:t>技术工程师</w:t>
            </w:r>
          </w:p>
        </w:tc>
        <w:tc>
          <w:tcPr>
            <w:tcW w:w="1910" w:type="dxa"/>
            <w:vAlign w:val="center"/>
          </w:tcPr>
          <w:p w14:paraId="32C471A5">
            <w:pPr>
              <w:pStyle w:val="140"/>
              <w:jc w:val="left"/>
            </w:pPr>
            <w:r>
              <w:t>负责项目具体运行维护和故障修复。</w:t>
            </w:r>
          </w:p>
        </w:tc>
        <w:tc>
          <w:tcPr>
            <w:tcW w:w="1345" w:type="dxa"/>
            <w:noWrap/>
            <w:vAlign w:val="center"/>
          </w:tcPr>
          <w:p w14:paraId="3548A7D3">
            <w:pPr>
              <w:pStyle w:val="140"/>
              <w:jc w:val="left"/>
            </w:pPr>
            <w:r>
              <w:t>至少5人</w:t>
            </w:r>
          </w:p>
        </w:tc>
        <w:tc>
          <w:tcPr>
            <w:tcW w:w="2744" w:type="dxa"/>
            <w:vAlign w:val="center"/>
          </w:tcPr>
          <w:p w14:paraId="3F5B1E2C">
            <w:pPr>
              <w:pStyle w:val="140"/>
              <w:jc w:val="left"/>
            </w:pPr>
            <w:r>
              <w:t>本科及以上学历</w:t>
            </w:r>
            <w:r>
              <w:rPr>
                <w:rFonts w:cs="宋体"/>
              </w:rPr>
              <w:t>，具备研发工作经历。</w:t>
            </w:r>
          </w:p>
        </w:tc>
        <w:tc>
          <w:tcPr>
            <w:tcW w:w="1113" w:type="dxa"/>
            <w:noWrap/>
            <w:vAlign w:val="center"/>
          </w:tcPr>
          <w:p w14:paraId="25A153A1">
            <w:pPr>
              <w:pStyle w:val="140"/>
              <w:jc w:val="left"/>
            </w:pPr>
            <w:r>
              <w:t>驻场不少于1人</w:t>
            </w:r>
          </w:p>
        </w:tc>
      </w:tr>
    </w:tbl>
    <w:p w14:paraId="055F1EAB">
      <w:pPr>
        <w:rPr>
          <w:rFonts w:hint="eastAsia"/>
        </w:rPr>
      </w:pPr>
    </w:p>
    <w:p w14:paraId="2D283F5E">
      <w:pPr>
        <w:pStyle w:val="3"/>
        <w:ind w:firstLine="602"/>
        <w:rPr>
          <w:rFonts w:hint="eastAsia"/>
        </w:rPr>
      </w:pPr>
      <w:bookmarkStart w:id="32" w:name="_Toc63785511"/>
      <w:r>
        <w:t>等级保护要求</w:t>
      </w:r>
      <w:bookmarkEnd w:id="32"/>
    </w:p>
    <w:p w14:paraId="7C13CA4B">
      <w:pPr>
        <w:rPr>
          <w:rFonts w:hint="eastAsia"/>
        </w:rPr>
      </w:pPr>
      <w:r>
        <w:rPr>
          <w:rFonts w:hint="eastAsia"/>
        </w:rPr>
        <w:t>按照安全保护等级二级标准进行安全防护建设，包括对系统的物理安全防护、网络设施的安全防护、数据方面的安全防护等，验收前需系统需通过安全测评。</w:t>
      </w:r>
    </w:p>
    <w:p w14:paraId="1E449496">
      <w:pPr>
        <w:pStyle w:val="3"/>
        <w:ind w:firstLine="602"/>
        <w:rPr>
          <w:rFonts w:hint="eastAsia"/>
        </w:rPr>
      </w:pPr>
      <w:r>
        <w:rPr>
          <w:rFonts w:hint="eastAsia"/>
        </w:rPr>
        <w:t>商业密码应用需求</w:t>
      </w:r>
    </w:p>
    <w:p w14:paraId="4805035A">
      <w:pPr>
        <w:rPr>
          <w:rFonts w:hint="eastAsia"/>
        </w:rPr>
      </w:pPr>
      <w:r>
        <w:rPr>
          <w:rFonts w:hint="eastAsia"/>
        </w:rPr>
        <w:t>参照商业密码应用第二级建设。基于电子政务云平台提供的安全认证网关、签名验签、数据库加密等密码服务以及系统的应用功能，需开发适配若干密码应用功能模块，以实现网络和通信、设备和计算、应用和数据等层面的各密码应用功能。</w:t>
      </w:r>
    </w:p>
    <w:p w14:paraId="035E6AC4">
      <w:pPr>
        <w:pStyle w:val="3"/>
        <w:ind w:firstLine="602"/>
        <w:rPr>
          <w:rFonts w:hint="eastAsia"/>
        </w:rPr>
      </w:pPr>
      <w:bookmarkStart w:id="33" w:name="_Toc63785512"/>
      <w:r>
        <w:rPr>
          <w:rFonts w:hint="eastAsia"/>
        </w:rPr>
        <w:t>技术文件要求</w:t>
      </w:r>
    </w:p>
    <w:bookmarkEnd w:id="33"/>
    <w:p w14:paraId="5832973A">
      <w:pPr>
        <w:pStyle w:val="46"/>
        <w:ind w:firstLine="480"/>
        <w:rPr>
          <w:rFonts w:hint="eastAsia"/>
          <w:sz w:val="24"/>
          <w:szCs w:val="24"/>
        </w:rPr>
      </w:pPr>
      <w:r>
        <w:rPr>
          <w:rFonts w:hint="eastAsia"/>
          <w:sz w:val="24"/>
          <w:szCs w:val="24"/>
        </w:rPr>
        <w:t>投标人提供的书面技术资料应能确保系统正常运行所需的管理、运营及维护有关的全套文件。技术文件应该全面、完整、详细。投标人提供的技术文件至少应包括：</w:t>
      </w:r>
    </w:p>
    <w:p w14:paraId="27E0647D">
      <w:pPr>
        <w:pStyle w:val="46"/>
        <w:ind w:firstLine="480"/>
        <w:rPr>
          <w:rFonts w:hint="eastAsia"/>
          <w:sz w:val="24"/>
          <w:szCs w:val="24"/>
        </w:rPr>
      </w:pPr>
      <w:r>
        <w:rPr>
          <w:rFonts w:hint="eastAsia"/>
          <w:sz w:val="24"/>
          <w:szCs w:val="24"/>
        </w:rPr>
        <w:t xml:space="preserve">－ 系统说明文件； </w:t>
      </w:r>
    </w:p>
    <w:p w14:paraId="667BCFC6">
      <w:pPr>
        <w:pStyle w:val="46"/>
        <w:ind w:firstLine="480"/>
        <w:rPr>
          <w:rFonts w:hint="eastAsia"/>
          <w:sz w:val="24"/>
          <w:szCs w:val="24"/>
        </w:rPr>
      </w:pPr>
      <w:r>
        <w:rPr>
          <w:rFonts w:hint="eastAsia"/>
          <w:sz w:val="24"/>
          <w:szCs w:val="24"/>
        </w:rPr>
        <w:t xml:space="preserve">－ 技术手册(安装、测试、操作、维护、故障排除等)； </w:t>
      </w:r>
    </w:p>
    <w:p w14:paraId="36DEB9E5">
      <w:pPr>
        <w:pStyle w:val="46"/>
        <w:ind w:firstLine="480"/>
        <w:rPr>
          <w:rFonts w:hint="eastAsia"/>
          <w:sz w:val="24"/>
          <w:szCs w:val="24"/>
        </w:rPr>
      </w:pPr>
      <w:r>
        <w:rPr>
          <w:rFonts w:hint="eastAsia"/>
          <w:sz w:val="24"/>
          <w:szCs w:val="24"/>
        </w:rPr>
        <w:t>－ 项目文档，应该包括：</w:t>
      </w:r>
    </w:p>
    <w:p w14:paraId="198E4D4D">
      <w:pPr>
        <w:ind w:left="360"/>
        <w:jc w:val="both"/>
        <w:rPr>
          <w:rFonts w:hint="eastAsia" w:cs="宋体"/>
          <w:bCs w:val="0"/>
        </w:rPr>
      </w:pPr>
      <w:r>
        <w:rPr>
          <w:rFonts w:hint="eastAsia" w:cs="宋体"/>
          <w:bCs w:val="0"/>
        </w:rPr>
        <w:t>(1)软件需求说明书</w:t>
      </w:r>
    </w:p>
    <w:p w14:paraId="033844EA">
      <w:pPr>
        <w:ind w:left="360"/>
        <w:jc w:val="both"/>
        <w:rPr>
          <w:rFonts w:hint="eastAsia" w:cs="宋体"/>
          <w:bCs w:val="0"/>
        </w:rPr>
      </w:pPr>
      <w:r>
        <w:rPr>
          <w:rFonts w:hint="eastAsia" w:cs="宋体"/>
          <w:bCs w:val="0"/>
        </w:rPr>
        <w:t>(2)</w:t>
      </w:r>
      <w:r>
        <w:rPr>
          <w:rFonts w:hint="eastAsia" w:cs="宋体"/>
          <w:bCs w:val="0"/>
        </w:rPr>
        <w:tab/>
      </w:r>
      <w:r>
        <w:rPr>
          <w:rFonts w:hint="eastAsia" w:cs="宋体"/>
          <w:bCs w:val="0"/>
        </w:rPr>
        <w:t>系统总体设计说明书</w:t>
      </w:r>
    </w:p>
    <w:p w14:paraId="20B8727E">
      <w:pPr>
        <w:ind w:left="360"/>
        <w:jc w:val="both"/>
        <w:rPr>
          <w:rFonts w:hint="eastAsia" w:cs="宋体"/>
          <w:bCs w:val="0"/>
        </w:rPr>
      </w:pPr>
      <w:r>
        <w:rPr>
          <w:rFonts w:hint="eastAsia" w:cs="宋体"/>
          <w:bCs w:val="0"/>
        </w:rPr>
        <w:t>(3)</w:t>
      </w:r>
      <w:r>
        <w:rPr>
          <w:rFonts w:hint="eastAsia" w:cs="宋体"/>
          <w:bCs w:val="0"/>
        </w:rPr>
        <w:tab/>
      </w:r>
      <w:r>
        <w:rPr>
          <w:rFonts w:hint="eastAsia" w:cs="宋体"/>
          <w:bCs w:val="0"/>
        </w:rPr>
        <w:t>应用软件功能清单</w:t>
      </w:r>
    </w:p>
    <w:p w14:paraId="5F0D0911">
      <w:pPr>
        <w:pStyle w:val="46"/>
        <w:ind w:firstLine="480"/>
        <w:rPr>
          <w:rFonts w:hint="eastAsia"/>
          <w:sz w:val="24"/>
          <w:szCs w:val="24"/>
        </w:rPr>
      </w:pPr>
      <w:r>
        <w:rPr>
          <w:rFonts w:hint="eastAsia"/>
          <w:sz w:val="24"/>
          <w:szCs w:val="24"/>
        </w:rPr>
        <w:t>提供全套技术文件纸介质3套以及电子文件1套。</w:t>
      </w:r>
    </w:p>
    <w:p w14:paraId="0BADCA01">
      <w:pPr>
        <w:pStyle w:val="2"/>
        <w:ind w:firstLine="643"/>
        <w:rPr>
          <w:rFonts w:hint="eastAsia"/>
        </w:rPr>
      </w:pPr>
      <w:r>
        <w:rPr>
          <w:rFonts w:hint="eastAsia"/>
        </w:rPr>
        <w:t>供应商管理要求</w:t>
      </w:r>
    </w:p>
    <w:p w14:paraId="252B42BC">
      <w:pPr>
        <w:rPr>
          <w:rFonts w:hint="eastAsia"/>
        </w:rPr>
      </w:pPr>
      <w:r>
        <w:rPr>
          <w:rFonts w:hint="eastAsia"/>
        </w:rPr>
        <w:t>1、在项目实施期间，中标人应严格执行国家、地方、行业有关本项目业务管理和安全作业的法律、法规和制度并按规定承担相应的费用。中标人因违反规定等原因造成的一切损失和责任由中标人自行承担。</w:t>
      </w:r>
    </w:p>
    <w:p w14:paraId="07ABECE2">
      <w:pPr>
        <w:rPr>
          <w:rFonts w:hint="eastAsia"/>
        </w:rPr>
      </w:pPr>
      <w:r>
        <w:rPr>
          <w:rFonts w:hint="eastAsia"/>
        </w:rPr>
        <w:t>2、中标人应具备优秀的项目管理能力和质量保障能力。</w:t>
      </w:r>
    </w:p>
    <w:p w14:paraId="69AB519F">
      <w:pPr>
        <w:rPr>
          <w:rFonts w:hint="eastAsia"/>
        </w:rPr>
      </w:pPr>
      <w:r>
        <w:rPr>
          <w:rFonts w:hint="eastAsia"/>
        </w:rPr>
        <w:t>3、中标人在投标书中承诺并经招标人认定的项目负责人及专业技术人员必须是本单位职工（在本单位缴纳社会保障金）和该项目实施现场的实际操作者，应具有类似本项目的实施经验，并应在软件应用调研、安装、试运行等期间常驻项目现场。未经采购人同意，中标人不得调换或撤离上述人员。如采购人认为有必要，可要求中标人对上述人员中的部分人员作出更好的调整。</w:t>
      </w:r>
    </w:p>
    <w:p w14:paraId="6C673174">
      <w:pPr>
        <w:rPr>
          <w:rFonts w:hint="eastAsia"/>
        </w:rPr>
      </w:pPr>
      <w:r>
        <w:rPr>
          <w:rFonts w:hint="eastAsia"/>
        </w:rPr>
        <w:t>4、中标人在项目实施期间，应按项目实际进度与环节落实所对应项目整体及各环节管理工作，按照规范做好项目实施期间相关管理与实施记录。</w:t>
      </w:r>
    </w:p>
    <w:p w14:paraId="4DE1102C">
      <w:pPr>
        <w:rPr>
          <w:rFonts w:hint="eastAsia"/>
        </w:rPr>
      </w:pPr>
      <w:r>
        <w:rPr>
          <w:rFonts w:hint="eastAsia"/>
        </w:rPr>
        <w:t>5、参与本项目的工作人员应严格遵循采购人的安全制度，保障采购人资料和设备的安全。中标方如需进入采购人机房工作，只能在采购人规定的工作区域内对项目涉及的设备进行操作，严禁触动与项目无关的任何设备（包括任何操作行为），如需跨区操作必须得到采购人项目联系人确认。</w:t>
      </w:r>
    </w:p>
    <w:p w14:paraId="4E364A84">
      <w:pPr>
        <w:rPr>
          <w:rFonts w:hint="eastAsia"/>
        </w:rPr>
      </w:pPr>
      <w:r>
        <w:rPr>
          <w:rFonts w:hint="eastAsia"/>
        </w:rPr>
        <w:t>6、中标人在项目实施期间必须遵守采购人的规章制度并提供实施人员名单。</w:t>
      </w:r>
    </w:p>
    <w:p w14:paraId="13D57E53">
      <w:pPr>
        <w:rPr>
          <w:rFonts w:hint="eastAsia"/>
        </w:rPr>
      </w:pPr>
      <w:r>
        <w:rPr>
          <w:rFonts w:hint="eastAsia"/>
        </w:rPr>
        <w:t>7、各投标人在投标文件中要结合本项目的特点和采购人上述的具体要求制定相应的管理措施，并在报价中列支相应的费用清单，投标人报价中未列支上述费用清单的，上述费用视为已包含在投标人的投标总报价中。</w:t>
      </w:r>
    </w:p>
    <w:p w14:paraId="005BFDDD">
      <w:pPr>
        <w:rPr>
          <w:rFonts w:hint="eastAsia"/>
        </w:rPr>
      </w:pPr>
      <w:r>
        <w:rPr>
          <w:rFonts w:hint="eastAsia"/>
        </w:rPr>
        <w:t>8、本项目软件开发及调试将纳入采购人的管理范围，中标人在此过程中须服从上述单位的管理协调。</w:t>
      </w:r>
    </w:p>
    <w:p w14:paraId="6426B43E">
      <w:pPr>
        <w:pStyle w:val="2"/>
        <w:rPr>
          <w:rFonts w:hint="eastAsia"/>
        </w:rPr>
      </w:pPr>
      <w:r>
        <w:rPr>
          <w:rFonts w:hint="eastAsia"/>
        </w:rPr>
        <w:t>关于转让和分包的规定</w:t>
      </w:r>
    </w:p>
    <w:p w14:paraId="3BDD87C4">
      <w:pPr>
        <w:rPr>
          <w:rFonts w:hint="eastAsia"/>
        </w:rPr>
      </w:pPr>
      <w:r>
        <w:rPr>
          <w:rFonts w:hint="eastAsia"/>
        </w:rPr>
        <w:t>本项目主体部分不允许转让和分包。</w:t>
      </w:r>
    </w:p>
    <w:p w14:paraId="4FC35E00">
      <w:pPr>
        <w:pStyle w:val="2"/>
        <w:rPr>
          <w:rFonts w:hint="eastAsia"/>
        </w:rPr>
      </w:pPr>
      <w:bookmarkStart w:id="34" w:name="_Toc63785514"/>
      <w:r>
        <w:rPr>
          <w:rFonts w:hint="eastAsia"/>
        </w:rPr>
        <w:t>其他要求</w:t>
      </w:r>
      <w:bookmarkEnd w:id="34"/>
    </w:p>
    <w:p w14:paraId="1210522E">
      <w:pPr>
        <w:numPr>
          <w:ilvl w:val="0"/>
          <w:numId w:val="6"/>
        </w:numPr>
        <w:rPr>
          <w:rFonts w:hint="eastAsia"/>
        </w:rPr>
      </w:pPr>
      <w:r>
        <w:rPr>
          <w:rFonts w:hint="eastAsia"/>
        </w:rPr>
        <w:t>投标人具有信息安全管理体系认证（ISO/IEC 27001或GB/T 22080）、ITSS信息技术服务标准符合性证书、DCMM数据管理能力成熟度等级证书的优先考虑。</w:t>
      </w:r>
    </w:p>
    <w:p w14:paraId="3872DFF3">
      <w:pPr>
        <w:numPr>
          <w:ilvl w:val="0"/>
          <w:numId w:val="6"/>
        </w:numPr>
        <w:rPr>
          <w:rFonts w:hint="eastAsia"/>
        </w:rPr>
      </w:pPr>
      <w:r>
        <w:rPr>
          <w:rFonts w:hint="eastAsia" w:ascii="Calibri" w:hAnsi="Calibri"/>
          <w:lang w:eastAsia="zh-CN"/>
        </w:rPr>
        <w:t>投标人</w:t>
      </w:r>
      <w:r>
        <w:rPr>
          <w:rFonts w:hint="eastAsia" w:ascii="Calibri" w:hAnsi="Calibri"/>
        </w:rPr>
        <w:t>具有生态环境信息化、视觉AI分析、大模型应用场景等相关软著或专利</w:t>
      </w:r>
      <w:r>
        <w:rPr>
          <w:rFonts w:hint="eastAsia" w:ascii="Calibri" w:hAnsi="Calibri"/>
          <w:lang w:eastAsia="zh-CN"/>
        </w:rPr>
        <w:t>的优先考虑。</w:t>
      </w:r>
    </w:p>
    <w:p w14:paraId="658A849B">
      <w:pPr>
        <w:numPr>
          <w:ilvl w:val="0"/>
          <w:numId w:val="6"/>
        </w:numPr>
        <w:rPr>
          <w:rFonts w:hint="eastAsia"/>
        </w:rPr>
      </w:pPr>
      <w:r>
        <w:rPr>
          <w:rFonts w:hint="eastAsia"/>
        </w:rPr>
        <w:t>投标人具有近三年类似项目业绩的优先考虑。</w:t>
      </w:r>
    </w:p>
    <w:p w14:paraId="347D8D91">
      <w:pPr>
        <w:pStyle w:val="2"/>
        <w:rPr>
          <w:rFonts w:hint="eastAsia"/>
        </w:rPr>
      </w:pPr>
      <w:bookmarkStart w:id="35" w:name="_Toc68798863"/>
      <w:r>
        <w:rPr>
          <w:rFonts w:hint="eastAsia"/>
        </w:rPr>
        <w:t>附录</w:t>
      </w:r>
      <w:bookmarkEnd w:id="35"/>
    </w:p>
    <w:p w14:paraId="3AB3988A">
      <w:pPr>
        <w:ind w:firstLine="482"/>
        <w:rPr>
          <w:rFonts w:hint="eastAsia"/>
          <w:b/>
        </w:rPr>
      </w:pPr>
      <w:r>
        <w:rPr>
          <w:rFonts w:hint="eastAsia"/>
          <w:b/>
        </w:rPr>
        <w:t>若项目建设过程中需符合相关技术标准或规范文件的要求，请将相关文件作为附件列出。</w:t>
      </w:r>
    </w:p>
    <w:p w14:paraId="4FACBAEF">
      <w:pPr>
        <w:spacing w:after="0"/>
        <w:ind w:firstLine="482"/>
        <w:jc w:val="both"/>
        <w:rPr>
          <w:rFonts w:hint="eastAsia"/>
          <w:bCs w:val="0"/>
        </w:rPr>
      </w:pPr>
      <w:r>
        <w:rPr>
          <w:rFonts w:hint="eastAsia"/>
          <w:b/>
          <w:bCs w:val="0"/>
        </w:rPr>
        <w:t>参考如下：</w:t>
      </w:r>
    </w:p>
    <w:p w14:paraId="308C32B3">
      <w:pPr>
        <w:spacing w:after="0"/>
        <w:ind w:firstLine="0" w:firstLineChars="0"/>
        <w:jc w:val="both"/>
        <w:rPr>
          <w:rFonts w:hint="eastAsia"/>
          <w:bCs w:val="0"/>
        </w:rPr>
      </w:pPr>
      <w:r>
        <w:rPr>
          <w:rFonts w:hint="eastAsia"/>
          <w:bCs w:val="0"/>
        </w:rPr>
        <w:t>1、</w:t>
      </w:r>
      <w:r>
        <w:rPr>
          <w:bCs w:val="0"/>
        </w:rPr>
        <w:t>《政务网络安全监测平台总体技术要求》</w:t>
      </w:r>
    </w:p>
    <w:p w14:paraId="0D81C8A2">
      <w:pPr>
        <w:spacing w:after="0"/>
        <w:ind w:firstLine="0" w:firstLineChars="0"/>
        <w:jc w:val="both"/>
        <w:rPr>
          <w:rFonts w:hint="eastAsia"/>
          <w:bCs w:val="0"/>
        </w:rPr>
      </w:pPr>
      <w:r>
        <w:rPr>
          <w:bCs w:val="0"/>
        </w:rPr>
        <w:object>
          <v:shape id="_x0000_i1025" o:spt="75" type="#_x0000_t75" style="height:54.5pt;width:77pt;" o:ole="t" filled="f" o:preferrelative="t" stroked="f" coordsize="21600,21600">
            <v:path/>
            <v:fill on="f" focussize="0,0"/>
            <v:stroke on="f" joinstyle="miter"/>
            <v:imagedata r:id="rId13" o:title=""/>
            <o:lock v:ext="edit" aspectratio="t"/>
            <w10:wrap type="none"/>
            <w10:anchorlock/>
          </v:shape>
          <o:OLEObject Type="Embed" ProgID="Package" ShapeID="_x0000_i1025" DrawAspect="Icon" ObjectID="_1468075725" r:id="rId12">
            <o:LockedField>false</o:LockedField>
          </o:OLEObject>
        </w:object>
      </w:r>
    </w:p>
    <w:p w14:paraId="46FAACE4">
      <w:pPr>
        <w:spacing w:after="0"/>
        <w:ind w:firstLine="0" w:firstLineChars="0"/>
        <w:rPr>
          <w:rFonts w:hint="eastAsia"/>
          <w:bCs w:val="0"/>
        </w:rPr>
      </w:pPr>
      <w:r>
        <w:rPr>
          <w:rFonts w:hint="eastAsia"/>
          <w:bCs w:val="0"/>
        </w:rPr>
        <w:t>2、《上海市电子政务外网建设和运行管理指南（试行）》</w:t>
      </w:r>
    </w:p>
    <w:p w14:paraId="19C78FF5">
      <w:pPr>
        <w:spacing w:after="0"/>
        <w:ind w:firstLine="0" w:firstLineChars="0"/>
        <w:rPr>
          <w:rFonts w:hint="eastAsia"/>
          <w:bCs w:val="0"/>
        </w:rPr>
      </w:pPr>
      <w:r>
        <w:rPr>
          <w:bCs w:val="0"/>
        </w:rPr>
        <w:object>
          <v:shape id="_x0000_i1026" o:spt="75" type="#_x0000_t75" style="height:54.5pt;width:77pt;" o:ole="t" filled="f" o:preferrelative="t" stroked="f" coordsize="21600,21600">
            <v:path/>
            <v:fill on="f" focussize="0,0"/>
            <v:stroke on="f" joinstyle="miter"/>
            <v:imagedata r:id="rId15" o:title=""/>
            <o:lock v:ext="edit" aspectratio="t"/>
            <w10:wrap type="none"/>
            <w10:anchorlock/>
          </v:shape>
          <o:OLEObject Type="Embed" ProgID="Package" ShapeID="_x0000_i1026" DrawAspect="Icon" ObjectID="_1468075726" r:id="rId14">
            <o:LockedField>false</o:LockedField>
          </o:OLEObject>
        </w:object>
      </w:r>
    </w:p>
    <w:p w14:paraId="17EA576A">
      <w:pPr>
        <w:spacing w:after="0"/>
        <w:ind w:firstLine="0" w:firstLineChars="0"/>
        <w:rPr>
          <w:rFonts w:hint="eastAsia"/>
          <w:b/>
        </w:rPr>
      </w:pPr>
      <w:r>
        <w:rPr>
          <w:rFonts w:hint="eastAsia"/>
          <w:bCs w:val="0"/>
        </w:rPr>
        <w:t>3、其他标准</w:t>
      </w:r>
    </w:p>
    <w:p w14:paraId="142833D5">
      <w:pPr>
        <w:pStyle w:val="46"/>
        <w:ind w:firstLine="420"/>
        <w:rPr>
          <w:rFonts w:hint="eastAsia"/>
        </w:rPr>
      </w:pPr>
    </w:p>
    <w:sectPr>
      <w:headerReference r:id="rId7" w:type="first"/>
      <w:footerReference r:id="rId10" w:type="first"/>
      <w:headerReference r:id="rId5" w:type="default"/>
      <w:footerReference r:id="rId8" w:type="default"/>
      <w:headerReference r:id="rId6" w:type="even"/>
      <w:footerReference r:id="rId9" w:type="even"/>
      <w:pgSz w:w="11906" w:h="16838"/>
      <w:pgMar w:top="1134" w:right="1797" w:bottom="1135" w:left="1797" w:header="340" w:footer="7" w:gutter="0"/>
      <w:pgNumType w:start="1"/>
      <w:cols w:space="720" w:num="1"/>
      <w:titlePg/>
      <w:docGrid w:type="linesAndChar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DejaVu Sans">
    <w:panose1 w:val="020B0603030804020204"/>
    <w:charset w:val="00"/>
    <w:family w:val="auto"/>
    <w:pitch w:val="default"/>
    <w:sig w:usb0="E7006EFF" w:usb1="D200FDFF" w:usb2="0A246029" w:usb3="0400200C" w:csb0="600001FF" w:csb1="DFFF0000"/>
  </w:font>
  <w:font w:name="Calibri">
    <w:altName w:val="DejaVu Sans"/>
    <w:panose1 w:val="020F0502020204030204"/>
    <w:charset w:val="00"/>
    <w:family w:val="swiss"/>
    <w:pitch w:val="default"/>
    <w:sig w:usb0="00000000" w:usb1="00000000" w:usb2="00000001" w:usb3="00000000" w:csb0="0000019F" w:csb1="00000000"/>
  </w:font>
  <w:font w:name="方正书宋_GBK">
    <w:panose1 w:val="02000000000000000000"/>
    <w:charset w:val="86"/>
    <w:family w:val="auto"/>
    <w:pitch w:val="default"/>
    <w:sig w:usb0="00000001" w:usb1="08000000" w:usb2="00000000" w:usb3="00000000" w:csb0="00040000" w:csb1="00000000"/>
  </w:font>
  <w:font w:name="方正黑体_GBK">
    <w:panose1 w:val="02000000000000000000"/>
    <w:charset w:val="86"/>
    <w:family w:val="auto"/>
    <w:pitch w:val="default"/>
    <w:sig w:usb0="00000001" w:usb1="0800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仿宋">
    <w:altName w:val="仿宋_GB2312"/>
    <w:panose1 w:val="02010609060101010101"/>
    <w:charset w:val="86"/>
    <w:family w:val="modern"/>
    <w:pitch w:val="default"/>
    <w:sig w:usb0="00000000" w:usb1="00000000" w:usb2="00000016" w:usb3="00000000" w:csb0="00040001" w:csb1="00000000"/>
  </w:font>
  <w:font w:name="等线">
    <w:altName w:val="Noto Sans CJK SC"/>
    <w:panose1 w:val="02010600030101010101"/>
    <w:charset w:val="86"/>
    <w:family w:val="auto"/>
    <w:pitch w:val="default"/>
    <w:sig w:usb0="00000000" w:usb1="00000000" w:usb2="00000016" w:usb3="00000000" w:csb0="0004000F" w:csb1="00000000"/>
  </w:font>
  <w:font w:name="Noto Sans CJK SC">
    <w:panose1 w:val="020B0500000000000000"/>
    <w:charset w:val="86"/>
    <w:family w:val="auto"/>
    <w:pitch w:val="default"/>
    <w:sig w:usb0="30000083" w:usb1="2BDF3C10" w:usb2="00000016" w:usb3="00000000" w:csb0="602E0107" w:csb1="00000000"/>
  </w:font>
  <w:font w:name="Calibri Light">
    <w:altName w:val="DejaVu Sans"/>
    <w:panose1 w:val="020F0302020204030204"/>
    <w:charset w:val="00"/>
    <w:family w:val="swiss"/>
    <w:pitch w:val="default"/>
    <w:sig w:usb0="00000000" w:usb1="00000000" w:usb2="00000009" w:usb3="00000000" w:csb0="000001FF" w:csb1="00000000"/>
  </w:font>
  <w:font w:name="Arial Unicode MS">
    <w:altName w:val="DejaVu Sans"/>
    <w:panose1 w:val="020B0604020202020204"/>
    <w:charset w:val="86"/>
    <w:family w:val="swiss"/>
    <w:pitch w:val="default"/>
    <w:sig w:usb0="00000000" w:usb1="00000000" w:usb2="0000003F" w:usb3="00000000" w:csb0="003F01FF" w:csb1="00000000"/>
  </w:font>
  <w:font w:name="Cambria">
    <w:altName w:val="Noto Sans Syriac Eastern"/>
    <w:panose1 w:val="02040503050406030204"/>
    <w:charset w:val="00"/>
    <w:family w:val="roman"/>
    <w:pitch w:val="default"/>
    <w:sig w:usb0="00000000" w:usb1="00000000" w:usb2="02000000" w:usb3="00000000" w:csb0="0000019F" w:csb1="00000000"/>
  </w:font>
  <w:font w:name="Noto Sans Syriac Eastern">
    <w:panose1 w:val="02040503050306020203"/>
    <w:charset w:val="86"/>
    <w:family w:val="auto"/>
    <w:pitch w:val="default"/>
    <w:sig w:usb0="00000000" w:usb1="00000000" w:usb2="00000080" w:usb3="00000000" w:csb0="203E0161" w:csb1="D7FF0000"/>
  </w:font>
  <w:font w:name="Microsoft YaHei UI">
    <w:altName w:val="文泉驿微米黑"/>
    <w:panose1 w:val="020B0503020204020204"/>
    <w:charset w:val="86"/>
    <w:family w:val="swiss"/>
    <w:pitch w:val="default"/>
    <w:sig w:usb0="00000000" w:usb1="00000000" w:usb2="00000016" w:usb3="00000000" w:csb0="0004001F" w:csb1="00000000"/>
  </w:font>
  <w:font w:name="文泉驿微米黑">
    <w:panose1 w:val="020B0606030804020204"/>
    <w:charset w:val="86"/>
    <w:family w:val="auto"/>
    <w:pitch w:val="default"/>
    <w:sig w:usb0="E10002EF" w:usb1="6BDFFCFB" w:usb2="00800036" w:usb3="00000000" w:csb0="603E019F" w:csb1="DFD70000"/>
  </w:font>
  <w:font w:name="等线 Light">
    <w:altName w:val="汉仪中圆B5"/>
    <w:panose1 w:val="02010600030101010101"/>
    <w:charset w:val="86"/>
    <w:family w:val="auto"/>
    <w:pitch w:val="default"/>
    <w:sig w:usb0="00000000" w:usb1="00000000" w:usb2="00000016" w:usb3="00000000" w:csb0="0004000F" w:csb1="00000000"/>
  </w:font>
  <w:font w:name="汉仪中圆B5">
    <w:panose1 w:val="02010600000101010101"/>
    <w:charset w:val="88"/>
    <w:family w:val="auto"/>
    <w:pitch w:val="default"/>
    <w:sig w:usb0="00000001" w:usb1="080E0800" w:usb2="00000002" w:usb3="00000000" w:csb0="00100000" w:csb1="00000000"/>
  </w:font>
  <w:font w:name="time">
    <w:altName w:val="思源宋体"/>
    <w:panose1 w:val="00000000000000000000"/>
    <w:charset w:val="00"/>
    <w:family w:val="roman"/>
    <w:pitch w:val="default"/>
    <w:sig w:usb0="00000000" w:usb1="00000000" w:usb2="00000000" w:usb3="00000000" w:csb0="00040001" w:csb1="00000000"/>
  </w:font>
  <w:font w:name="思源宋体">
    <w:panose1 w:val="02020400000000000000"/>
    <w:charset w:val="86"/>
    <w:family w:val="auto"/>
    <w:pitch w:val="default"/>
    <w:sig w:usb0="30000083" w:usb1="2BDF3C10" w:usb2="00000016" w:usb3="00000000" w:csb0="602E0107" w:csb1="00000000"/>
  </w:font>
  <w:font w:name="Microsoft Sans Serif">
    <w:altName w:val="Liberation Sans"/>
    <w:panose1 w:val="020B0604020202020204"/>
    <w:charset w:val="00"/>
    <w:family w:val="swiss"/>
    <w:pitch w:val="default"/>
    <w:sig w:usb0="00000000" w:usb1="00000000" w:usb2="00000029" w:usb3="00000000" w:csb0="000101FF" w:csb1="00000000"/>
  </w:font>
  <w:font w:name="Liberation Sans">
    <w:panose1 w:val="020B0604020202020204"/>
    <w:charset w:val="00"/>
    <w:family w:val="auto"/>
    <w:pitch w:val="default"/>
    <w:sig w:usb0="A00002AF" w:usb1="500078FB" w:usb2="00000000" w:usb3="00000000" w:csb0="6000009F" w:csb1="DFD70000"/>
  </w:font>
  <w:font w:name="楷体_GB2312">
    <w:panose1 w:val="02010609030101010101"/>
    <w:charset w:val="86"/>
    <w:family w:val="modern"/>
    <w:pitch w:val="default"/>
    <w:sig w:usb0="00000001" w:usb1="080E0000" w:usb2="00000000" w:usb3="00000000" w:csb0="00040000" w:csb1="00000000"/>
  </w:font>
  <w:font w:name="Tahoma">
    <w:altName w:val="noto sans thai"/>
    <w:panose1 w:val="020B0604030504040204"/>
    <w:charset w:val="00"/>
    <w:family w:val="swiss"/>
    <w:pitch w:val="default"/>
    <w:sig w:usb0="00000000" w:usb1="00000000" w:usb2="00000029" w:usb3="00000000" w:csb0="000101FF" w:csb1="00000000"/>
  </w:font>
  <w:font w:name="noto sans thai">
    <w:panose1 w:val="020B0502040504020204"/>
    <w:charset w:val="00"/>
    <w:family w:val="auto"/>
    <w:pitch w:val="default"/>
    <w:sig w:usb0="81000063" w:usb1="00002000" w:usb2="00000000" w:usb3="00000000" w:csb0="00010000" w:csb1="00000000"/>
  </w:font>
  <w:font w:name="Cambria Math">
    <w:altName w:val="DejaVu Math TeX Gyre"/>
    <w:panose1 w:val="02040503050406030204"/>
    <w:charset w:val="00"/>
    <w:family w:val="roman"/>
    <w:pitch w:val="default"/>
    <w:sig w:usb0="00000000" w:usb1="00000000" w:usb2="02000000" w:usb3="00000000" w:csb0="0000019F" w:csb1="00000000"/>
  </w:font>
  <w:font w:name="DejaVu Math TeX Gyre">
    <w:panose1 w:val="02000503000000000000"/>
    <w:charset w:val="00"/>
    <w:family w:val="auto"/>
    <w:pitch w:val="default"/>
    <w:sig w:usb0="A10000EF" w:usb1="4201F9EE" w:usb2="02000000" w:usb3="00000000" w:csb0="60000193" w:csb1="0DD40000"/>
  </w:font>
  <w:font w:name="GWZT-EN">
    <w:panose1 w:val="02020400000000000000"/>
    <w:charset w:val="86"/>
    <w:family w:val="auto"/>
    <w:pitch w:val="default"/>
    <w:sig w:usb0="A00002BF" w:usb1="38CF7CFA" w:usb2="00082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248663"/>
    </w:sdtPr>
    <w:sdtContent>
      <w:p w14:paraId="3E21F5BB">
        <w:pPr>
          <w:pStyle w:val="25"/>
          <w:ind w:firstLine="360"/>
        </w:pPr>
        <w:r>
          <w:fldChar w:fldCharType="begin"/>
        </w:r>
        <w:r>
          <w:instrText xml:space="preserve">PAGE   \* MERGEFORMAT</w:instrText>
        </w:r>
        <w:r>
          <w:fldChar w:fldCharType="separate"/>
        </w:r>
        <w:r>
          <w:rPr>
            <w:lang w:val="zh-CN"/>
          </w:rPr>
          <w:t>9</w:t>
        </w:r>
        <w:r>
          <w:fldChar w:fldCharType="end"/>
        </w:r>
      </w:p>
    </w:sdtContent>
  </w:sdt>
  <w:p w14:paraId="37DCE951">
    <w:pPr>
      <w:pStyle w:val="2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1A18C1">
    <w:pPr>
      <w:pStyle w:val="2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sdtPr>
    <w:sdtContent>
      <w:p w14:paraId="19776290">
        <w:pPr>
          <w:pStyle w:val="25"/>
          <w:ind w:firstLine="360"/>
        </w:pPr>
        <w:r>
          <w:fldChar w:fldCharType="begin"/>
        </w:r>
        <w:r>
          <w:instrText xml:space="preserve">PAGE   \* MERGEFORMAT</w:instrText>
        </w:r>
        <w:r>
          <w:fldChar w:fldCharType="separate"/>
        </w:r>
        <w:r>
          <w:rPr>
            <w:lang w:val="zh-CN"/>
          </w:rPr>
          <w:t>1</w:t>
        </w:r>
        <w:r>
          <w:fldChar w:fldCharType="end"/>
        </w:r>
      </w:p>
    </w:sdtContent>
  </w:sdt>
  <w:p w14:paraId="140CFF64">
    <w:pPr>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ind w:firstLine="480"/>
      </w:pPr>
      <w:r>
        <w:separator/>
      </w:r>
    </w:p>
  </w:footnote>
  <w:footnote w:type="continuationSeparator" w:id="1">
    <w:p>
      <w:pPr>
        <w:spacing w:before="0" w:after="0"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1A01DB">
    <w:pPr>
      <w:pStyle w:val="26"/>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9A3DFF">
    <w:pPr>
      <w:pStyle w:val="26"/>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85DDE">
    <w:pPr>
      <w:pStyle w:val="26"/>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FFB644D"/>
    <w:multiLevelType w:val="multilevel"/>
    <w:tmpl w:val="BFFB644D"/>
    <w:lvl w:ilvl="0" w:tentative="0">
      <w:start w:val="1"/>
      <w:numFmt w:val="chineseCounting"/>
      <w:pStyle w:val="2"/>
      <w:lvlText w:val="%1、"/>
      <w:lvlJc w:val="left"/>
      <w:pPr>
        <w:ind w:left="432" w:hanging="432"/>
      </w:pPr>
      <w:rPr>
        <w:rFonts w:hint="eastAsia"/>
      </w:rPr>
    </w:lvl>
    <w:lvl w:ilvl="1" w:tentative="0">
      <w:start w:val="1"/>
      <w:numFmt w:val="decimal"/>
      <w:pStyle w:val="3"/>
      <w:isLgl/>
      <w:suff w:val="nothing"/>
      <w:lvlText w:val="%1.%2、"/>
      <w:lvlJc w:val="left"/>
      <w:pPr>
        <w:tabs>
          <w:tab w:val="left" w:pos="0"/>
        </w:tabs>
        <w:ind w:left="482" w:hanging="567"/>
      </w:pPr>
      <w:rPr>
        <w:rFonts w:hint="eastAsia" w:ascii="宋体" w:hAnsi="宋体" w:eastAsia="宋体" w:cstheme="majorEastAsia"/>
      </w:rPr>
    </w:lvl>
    <w:lvl w:ilvl="2" w:tentative="0">
      <w:start w:val="1"/>
      <w:numFmt w:val="decimal"/>
      <w:pStyle w:val="4"/>
      <w:isLgl/>
      <w:suff w:val="nothing"/>
      <w:lvlText w:val="%1.%2.%3、"/>
      <w:lvlJc w:val="left"/>
      <w:pPr>
        <w:tabs>
          <w:tab w:val="left" w:pos="420"/>
        </w:tabs>
        <w:ind w:left="975" w:hanging="1066"/>
      </w:pPr>
      <w:rPr>
        <w:rFonts w:hint="eastAsia" w:ascii="宋体" w:hAnsi="宋体" w:eastAsia="宋体" w:cstheme="majorEastAsia"/>
      </w:rPr>
    </w:lvl>
    <w:lvl w:ilvl="3" w:tentative="0">
      <w:start w:val="1"/>
      <w:numFmt w:val="decimal"/>
      <w:pStyle w:val="5"/>
      <w:isLgl/>
      <w:suff w:val="nothing"/>
      <w:lvlText w:val="%1.%2.%3.%4、"/>
      <w:lvlJc w:val="left"/>
      <w:pPr>
        <w:tabs>
          <w:tab w:val="left" w:pos="0"/>
        </w:tabs>
        <w:ind w:left="864" w:hanging="864"/>
      </w:pPr>
      <w:rPr>
        <w:rFonts w:hint="eastAsia"/>
      </w:rPr>
    </w:lvl>
    <w:lvl w:ilvl="4" w:tentative="0">
      <w:start w:val="1"/>
      <w:numFmt w:val="decimal"/>
      <w:pStyle w:val="7"/>
      <w:lvlText w:val="%1.%2.%3.%4.%5."/>
      <w:lvlJc w:val="left"/>
      <w:pPr>
        <w:ind w:left="1008" w:hanging="1008"/>
      </w:pPr>
      <w:rPr>
        <w:rFonts w:hint="eastAsia"/>
      </w:rPr>
    </w:lvl>
    <w:lvl w:ilvl="5" w:tentative="0">
      <w:start w:val="1"/>
      <w:numFmt w:val="decimal"/>
      <w:pStyle w:val="8"/>
      <w:lvlText w:val="%1.%2.%3.%4.%5.%6."/>
      <w:lvlJc w:val="left"/>
      <w:pPr>
        <w:ind w:left="1151" w:hanging="1151"/>
      </w:pPr>
      <w:rPr>
        <w:rFonts w:hint="eastAsia"/>
      </w:rPr>
    </w:lvl>
    <w:lvl w:ilvl="6" w:tentative="0">
      <w:start w:val="1"/>
      <w:numFmt w:val="decimal"/>
      <w:pStyle w:val="9"/>
      <w:lvlText w:val="%1.%2.%3.%4.%5.%6.%7."/>
      <w:lvlJc w:val="left"/>
      <w:pPr>
        <w:ind w:left="1296" w:hanging="1296"/>
      </w:pPr>
      <w:rPr>
        <w:rFonts w:hint="eastAsia"/>
      </w:rPr>
    </w:lvl>
    <w:lvl w:ilvl="7" w:tentative="0">
      <w:start w:val="1"/>
      <w:numFmt w:val="decimal"/>
      <w:pStyle w:val="10"/>
      <w:lvlText w:val="%1.%2.%3.%4.%5.%6.%7.%8."/>
      <w:lvlJc w:val="left"/>
      <w:pPr>
        <w:ind w:left="1440" w:hanging="1440"/>
      </w:pPr>
      <w:rPr>
        <w:rFonts w:hint="eastAsia"/>
      </w:rPr>
    </w:lvl>
    <w:lvl w:ilvl="8" w:tentative="0">
      <w:start w:val="1"/>
      <w:numFmt w:val="decimal"/>
      <w:pStyle w:val="11"/>
      <w:lvlText w:val="%1.%2.%3.%4.%5.%6.%7.%8.%9."/>
      <w:lvlJc w:val="left"/>
      <w:pPr>
        <w:ind w:left="1583" w:hanging="1583"/>
      </w:pPr>
      <w:rPr>
        <w:rFonts w:hint="eastAsia"/>
      </w:rPr>
    </w:lvl>
  </w:abstractNum>
  <w:abstractNum w:abstractNumId="1">
    <w:nsid w:val="E7B99118"/>
    <w:multiLevelType w:val="singleLevel"/>
    <w:tmpl w:val="E7B99118"/>
    <w:lvl w:ilvl="0" w:tentative="0">
      <w:start w:val="1"/>
      <w:numFmt w:val="decimal"/>
      <w:suff w:val="nothing"/>
      <w:lvlText w:val="%1、"/>
      <w:lvlJc w:val="left"/>
    </w:lvl>
  </w:abstractNum>
  <w:abstractNum w:abstractNumId="2">
    <w:nsid w:val="EBFAB4D9"/>
    <w:multiLevelType w:val="singleLevel"/>
    <w:tmpl w:val="EBFAB4D9"/>
    <w:lvl w:ilvl="0" w:tentative="0">
      <w:start w:val="1"/>
      <w:numFmt w:val="decimal"/>
      <w:lvlText w:val="(%1)"/>
      <w:lvlJc w:val="left"/>
      <w:pPr>
        <w:tabs>
          <w:tab w:val="left" w:pos="420"/>
        </w:tabs>
        <w:ind w:left="845" w:hanging="425"/>
      </w:pPr>
      <w:rPr>
        <w:rFonts w:hint="default"/>
      </w:rPr>
    </w:lvl>
  </w:abstractNum>
  <w:abstractNum w:abstractNumId="3">
    <w:nsid w:val="252F2261"/>
    <w:multiLevelType w:val="multilevel"/>
    <w:tmpl w:val="252F2261"/>
    <w:lvl w:ilvl="0" w:tentative="0">
      <w:start w:val="1"/>
      <w:numFmt w:val="chineseCountingThousand"/>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
    <w:nsid w:val="3663341A"/>
    <w:multiLevelType w:val="multilevel"/>
    <w:tmpl w:val="3663341A"/>
    <w:lvl w:ilvl="0" w:tentative="0">
      <w:start w:val="1"/>
      <w:numFmt w:val="decimal"/>
      <w:lvlText w:val="%1）"/>
      <w:lvlJc w:val="left"/>
      <w:pPr>
        <w:ind w:left="840" w:hanging="360"/>
      </w:pPr>
      <w:rPr>
        <w:rFonts w:hint="default"/>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5">
    <w:nsid w:val="6350366A"/>
    <w:multiLevelType w:val="multilevel"/>
    <w:tmpl w:val="6350366A"/>
    <w:lvl w:ilvl="0" w:tentative="0">
      <w:start w:val="1"/>
      <w:numFmt w:val="none"/>
      <w:pStyle w:val="117"/>
      <w:lvlText w:val="%1●　"/>
      <w:lvlJc w:val="left"/>
      <w:pPr>
        <w:tabs>
          <w:tab w:val="left" w:pos="760"/>
        </w:tabs>
        <w:ind w:left="717" w:hanging="317"/>
      </w:pPr>
      <w:rPr>
        <w:rFonts w:hint="eastAsia" w:ascii="宋体" w:hAnsi="Times New Roman" w:eastAsia="宋体"/>
        <w:b w:val="0"/>
        <w:i w:val="0"/>
        <w:position w:val="4"/>
        <w:sz w:val="13"/>
      </w:rPr>
    </w:lvl>
    <w:lvl w:ilvl="1" w:tentative="0">
      <w:start w:val="1"/>
      <w:numFmt w:val="lowerLetter"/>
      <w:lvlText w:val="%2)"/>
      <w:lvlJc w:val="left"/>
      <w:pPr>
        <w:tabs>
          <w:tab w:val="left" w:pos="780"/>
        </w:tabs>
        <w:ind w:left="780" w:hanging="360"/>
      </w:pPr>
      <w:rPr>
        <w:rFonts w:hint="eastAsia"/>
      </w:rPr>
    </w:lvl>
    <w:lvl w:ilvl="2" w:tentative="0">
      <w:start w:val="1"/>
      <w:numFmt w:val="decimal"/>
      <w:lvlText w:val="%3)"/>
      <w:lvlJc w:val="left"/>
      <w:pPr>
        <w:tabs>
          <w:tab w:val="left" w:pos="1200"/>
        </w:tabs>
        <w:ind w:left="1200" w:hanging="360"/>
      </w:pPr>
      <w:rPr>
        <w:rFonts w:hint="eastAsia"/>
      </w:r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5"/>
  </w:num>
  <w:num w:numId="3">
    <w:abstractNumId w:val="3"/>
  </w:num>
  <w:num w:numId="4">
    <w:abstractNumId w:val="2"/>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M1OTMyYmVkNDBiZGZjOTJjNzg0ZTljMGM2NGM1NWEifQ=="/>
  </w:docVars>
  <w:rsids>
    <w:rsidRoot w:val="0073683C"/>
    <w:rsid w:val="0001064A"/>
    <w:rsid w:val="00027565"/>
    <w:rsid w:val="000323FF"/>
    <w:rsid w:val="0005205B"/>
    <w:rsid w:val="00092930"/>
    <w:rsid w:val="000A0AE1"/>
    <w:rsid w:val="000B304E"/>
    <w:rsid w:val="000B3E94"/>
    <w:rsid w:val="000F146E"/>
    <w:rsid w:val="000F3B1C"/>
    <w:rsid w:val="001055F6"/>
    <w:rsid w:val="00117D2B"/>
    <w:rsid w:val="001236E7"/>
    <w:rsid w:val="00126F29"/>
    <w:rsid w:val="00130373"/>
    <w:rsid w:val="001569B3"/>
    <w:rsid w:val="00157744"/>
    <w:rsid w:val="00262F3E"/>
    <w:rsid w:val="00267870"/>
    <w:rsid w:val="002F20B2"/>
    <w:rsid w:val="003569A0"/>
    <w:rsid w:val="00394F08"/>
    <w:rsid w:val="003A1B02"/>
    <w:rsid w:val="003C0409"/>
    <w:rsid w:val="003E090E"/>
    <w:rsid w:val="004122D7"/>
    <w:rsid w:val="004146C3"/>
    <w:rsid w:val="004214B0"/>
    <w:rsid w:val="004438E5"/>
    <w:rsid w:val="00443CD6"/>
    <w:rsid w:val="004476CF"/>
    <w:rsid w:val="00472A20"/>
    <w:rsid w:val="0048160E"/>
    <w:rsid w:val="004C6C67"/>
    <w:rsid w:val="005123B1"/>
    <w:rsid w:val="00514A38"/>
    <w:rsid w:val="005413F0"/>
    <w:rsid w:val="00583E28"/>
    <w:rsid w:val="0059487C"/>
    <w:rsid w:val="00631D01"/>
    <w:rsid w:val="006900BB"/>
    <w:rsid w:val="006A61C6"/>
    <w:rsid w:val="00711793"/>
    <w:rsid w:val="00735940"/>
    <w:rsid w:val="0073648B"/>
    <w:rsid w:val="0073683C"/>
    <w:rsid w:val="00741B0D"/>
    <w:rsid w:val="00761A93"/>
    <w:rsid w:val="00775D47"/>
    <w:rsid w:val="00791EEE"/>
    <w:rsid w:val="007A095B"/>
    <w:rsid w:val="007C2878"/>
    <w:rsid w:val="007E1788"/>
    <w:rsid w:val="007E64A7"/>
    <w:rsid w:val="00811016"/>
    <w:rsid w:val="008625AB"/>
    <w:rsid w:val="008628A1"/>
    <w:rsid w:val="008638F5"/>
    <w:rsid w:val="008B0A41"/>
    <w:rsid w:val="008E216B"/>
    <w:rsid w:val="0095370A"/>
    <w:rsid w:val="009848BC"/>
    <w:rsid w:val="00984ECE"/>
    <w:rsid w:val="009D74F3"/>
    <w:rsid w:val="009E46D4"/>
    <w:rsid w:val="009F042E"/>
    <w:rsid w:val="009F6E34"/>
    <w:rsid w:val="00A1097C"/>
    <w:rsid w:val="00A52377"/>
    <w:rsid w:val="00A827F2"/>
    <w:rsid w:val="00AA0CE7"/>
    <w:rsid w:val="00AB0CB6"/>
    <w:rsid w:val="00AC14AC"/>
    <w:rsid w:val="00B51EC1"/>
    <w:rsid w:val="00B74536"/>
    <w:rsid w:val="00B76C48"/>
    <w:rsid w:val="00BA5E36"/>
    <w:rsid w:val="00BD3849"/>
    <w:rsid w:val="00BF1BB0"/>
    <w:rsid w:val="00C3367F"/>
    <w:rsid w:val="00C60AE6"/>
    <w:rsid w:val="00C83250"/>
    <w:rsid w:val="00C8653B"/>
    <w:rsid w:val="00D16236"/>
    <w:rsid w:val="00D4315E"/>
    <w:rsid w:val="00D45583"/>
    <w:rsid w:val="00D66DEC"/>
    <w:rsid w:val="00DC135F"/>
    <w:rsid w:val="00DE7F1C"/>
    <w:rsid w:val="00E36E92"/>
    <w:rsid w:val="00E94E89"/>
    <w:rsid w:val="00F13B34"/>
    <w:rsid w:val="00F25427"/>
    <w:rsid w:val="00F37E6D"/>
    <w:rsid w:val="00F75F3E"/>
    <w:rsid w:val="00FF472A"/>
    <w:rsid w:val="07FF0E73"/>
    <w:rsid w:val="0BF75513"/>
    <w:rsid w:val="17EB63CA"/>
    <w:rsid w:val="2ADC9466"/>
    <w:rsid w:val="2FAB12AD"/>
    <w:rsid w:val="38EEEF3E"/>
    <w:rsid w:val="4FAFF049"/>
    <w:rsid w:val="55DD010E"/>
    <w:rsid w:val="55F776F0"/>
    <w:rsid w:val="57FFDFD7"/>
    <w:rsid w:val="59FE11AB"/>
    <w:rsid w:val="5BBBA8F3"/>
    <w:rsid w:val="5CF79676"/>
    <w:rsid w:val="5DDD5776"/>
    <w:rsid w:val="5FC71EB0"/>
    <w:rsid w:val="5FF7969B"/>
    <w:rsid w:val="645D785C"/>
    <w:rsid w:val="67BDA4C7"/>
    <w:rsid w:val="77F63201"/>
    <w:rsid w:val="7B59FF99"/>
    <w:rsid w:val="7BFD9305"/>
    <w:rsid w:val="7FAF990C"/>
    <w:rsid w:val="7FD7575A"/>
    <w:rsid w:val="7FF6B51F"/>
    <w:rsid w:val="7FFFC487"/>
    <w:rsid w:val="9DEF2B72"/>
    <w:rsid w:val="AED9DF08"/>
    <w:rsid w:val="AFFFD5DD"/>
    <w:rsid w:val="B73F45FC"/>
    <w:rsid w:val="BABB5AB7"/>
    <w:rsid w:val="BF19033C"/>
    <w:rsid w:val="BF9B96F3"/>
    <w:rsid w:val="BFFEE85C"/>
    <w:rsid w:val="CF5FBABE"/>
    <w:rsid w:val="DACF2A25"/>
    <w:rsid w:val="DE7F335A"/>
    <w:rsid w:val="DEF3AD4D"/>
    <w:rsid w:val="E5FD7947"/>
    <w:rsid w:val="EB9F220B"/>
    <w:rsid w:val="EE5FEB56"/>
    <w:rsid w:val="EFBE2CE0"/>
    <w:rsid w:val="F57F6199"/>
    <w:rsid w:val="F87B47A9"/>
    <w:rsid w:val="F8FDA2B0"/>
    <w:rsid w:val="FD7C5FA0"/>
    <w:rsid w:val="FDD71299"/>
    <w:rsid w:val="FE5F3D4B"/>
    <w:rsid w:val="FEF57277"/>
    <w:rsid w:val="FEFFA059"/>
    <w:rsid w:val="FFA6C237"/>
    <w:rsid w:val="FFDD9B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9" w:semiHidden="0" w:name="heading 7"/>
    <w:lsdException w:qFormat="1" w:uiPriority="9" w:semiHidden="0" w:name="heading 8"/>
    <w:lsdException w:qFormat="1" w:uiPriority="9"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iPriority="99" w:semiHidden="0" w:name="Normal Indent"/>
    <w:lsdException w:unhideWhenUsed="0" w:uiPriority="0"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99"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0" w:semiHidden="0" w:name="Body Text"/>
    <w:lsdException w:qFormat="1" w:unhideWhenUsed="0"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39" w:semiHidden="0" w:name="Table Grid"/>
    <w:lsdException w:uiPriority="0" w:name="Table Theme"/>
    <w:lsdException w:qFormat="1" w:uiPriority="99"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after="160" w:line="360" w:lineRule="auto"/>
      <w:ind w:firstLine="480" w:firstLineChars="200"/>
    </w:pPr>
    <w:rPr>
      <w:rFonts w:ascii="宋体" w:hAnsi="宋体" w:eastAsia="宋体" w:cs="Times New Roman"/>
      <w:bCs/>
      <w:kern w:val="2"/>
      <w:sz w:val="24"/>
      <w:szCs w:val="24"/>
      <w:lang w:val="en-US" w:eastAsia="zh-CN" w:bidi="ar-SA"/>
    </w:rPr>
  </w:style>
  <w:style w:type="paragraph" w:styleId="2">
    <w:name w:val="heading 1"/>
    <w:basedOn w:val="1"/>
    <w:next w:val="1"/>
    <w:link w:val="90"/>
    <w:qFormat/>
    <w:uiPriority w:val="0"/>
    <w:pPr>
      <w:keepNext/>
      <w:keepLines/>
      <w:numPr>
        <w:ilvl w:val="0"/>
        <w:numId w:val="1"/>
      </w:numPr>
      <w:spacing w:before="120" w:after="120"/>
      <w:ind w:firstLine="0" w:firstLineChars="0"/>
      <w:outlineLvl w:val="0"/>
    </w:pPr>
    <w:rPr>
      <w:rFonts w:eastAsia="黑体"/>
      <w:b/>
      <w:bCs w:val="0"/>
      <w:kern w:val="44"/>
      <w:sz w:val="32"/>
      <w:szCs w:val="28"/>
    </w:rPr>
  </w:style>
  <w:style w:type="paragraph" w:styleId="3">
    <w:name w:val="heading 2"/>
    <w:basedOn w:val="1"/>
    <w:next w:val="1"/>
    <w:link w:val="98"/>
    <w:qFormat/>
    <w:uiPriority w:val="0"/>
    <w:pPr>
      <w:keepNext/>
      <w:keepLines/>
      <w:numPr>
        <w:ilvl w:val="1"/>
        <w:numId w:val="1"/>
      </w:numPr>
      <w:spacing w:before="120" w:after="120"/>
      <w:outlineLvl w:val="1"/>
    </w:pPr>
    <w:rPr>
      <w:b/>
      <w:bCs w:val="0"/>
      <w:sz w:val="30"/>
      <w:szCs w:val="32"/>
    </w:rPr>
  </w:style>
  <w:style w:type="paragraph" w:styleId="4">
    <w:name w:val="heading 3"/>
    <w:basedOn w:val="1"/>
    <w:next w:val="1"/>
    <w:link w:val="49"/>
    <w:unhideWhenUsed/>
    <w:qFormat/>
    <w:uiPriority w:val="0"/>
    <w:pPr>
      <w:keepNext/>
      <w:keepLines/>
      <w:numPr>
        <w:ilvl w:val="2"/>
        <w:numId w:val="1"/>
      </w:numPr>
      <w:spacing w:before="260" w:after="260" w:line="416" w:lineRule="auto"/>
      <w:outlineLvl w:val="2"/>
    </w:pPr>
    <w:rPr>
      <w:b/>
      <w:bCs w:val="0"/>
      <w:sz w:val="28"/>
      <w:szCs w:val="32"/>
    </w:rPr>
  </w:style>
  <w:style w:type="paragraph" w:styleId="5">
    <w:name w:val="heading 4"/>
    <w:basedOn w:val="6"/>
    <w:next w:val="1"/>
    <w:link w:val="50"/>
    <w:unhideWhenUsed/>
    <w:qFormat/>
    <w:uiPriority w:val="0"/>
    <w:pPr>
      <w:keepNext/>
      <w:keepLines/>
      <w:numPr>
        <w:ilvl w:val="3"/>
        <w:numId w:val="1"/>
      </w:numPr>
      <w:spacing w:before="280" w:after="290" w:line="376" w:lineRule="auto"/>
      <w:ind w:firstLine="0" w:firstLineChars="0"/>
      <w:outlineLvl w:val="3"/>
    </w:pPr>
    <w:rPr>
      <w:rFonts w:ascii="Times New Roman" w:hAnsi="Times New Roman" w:cstheme="majorBidi"/>
      <w:szCs w:val="28"/>
    </w:rPr>
  </w:style>
  <w:style w:type="paragraph" w:styleId="7">
    <w:name w:val="heading 5"/>
    <w:basedOn w:val="6"/>
    <w:next w:val="1"/>
    <w:link w:val="51"/>
    <w:unhideWhenUsed/>
    <w:qFormat/>
    <w:uiPriority w:val="0"/>
    <w:pPr>
      <w:numPr>
        <w:ilvl w:val="4"/>
        <w:numId w:val="1"/>
      </w:numPr>
      <w:tabs>
        <w:tab w:val="left" w:pos="420"/>
      </w:tabs>
      <w:ind w:firstLine="0" w:firstLineChars="0"/>
      <w:outlineLvl w:val="4"/>
    </w:pPr>
    <w:rPr>
      <w:rFonts w:ascii="Times New Roman" w:hAnsi="Times New Roman" w:eastAsia="仿宋_GB2312" w:cstheme="minorBidi"/>
      <w:b w:val="0"/>
      <w:szCs w:val="22"/>
      <w14:ligatures w14:val="standardContextual"/>
    </w:rPr>
  </w:style>
  <w:style w:type="paragraph" w:styleId="8">
    <w:name w:val="heading 6"/>
    <w:basedOn w:val="1"/>
    <w:next w:val="1"/>
    <w:link w:val="52"/>
    <w:unhideWhenUsed/>
    <w:qFormat/>
    <w:uiPriority w:val="0"/>
    <w:pPr>
      <w:keepNext/>
      <w:keepLines/>
      <w:numPr>
        <w:ilvl w:val="5"/>
        <w:numId w:val="1"/>
      </w:numPr>
      <w:tabs>
        <w:tab w:val="left" w:pos="420"/>
      </w:tabs>
      <w:spacing w:before="50" w:beforeLines="50" w:after="50" w:afterLines="50"/>
      <w:ind w:firstLine="0" w:firstLineChars="0"/>
      <w:outlineLvl w:val="5"/>
    </w:pPr>
    <w:rPr>
      <w:rFonts w:ascii="黑体" w:hAnsi="黑体" w:eastAsia="黑体" w:cs="仿宋_GB2312"/>
      <w:color w:val="000000"/>
      <w:szCs w:val="28"/>
      <w:u w:color="000000"/>
    </w:rPr>
  </w:style>
  <w:style w:type="paragraph" w:styleId="9">
    <w:name w:val="heading 7"/>
    <w:basedOn w:val="1"/>
    <w:next w:val="1"/>
    <w:link w:val="53"/>
    <w:unhideWhenUsed/>
    <w:qFormat/>
    <w:uiPriority w:val="9"/>
    <w:pPr>
      <w:keepNext/>
      <w:keepLines/>
      <w:numPr>
        <w:ilvl w:val="6"/>
        <w:numId w:val="1"/>
      </w:numPr>
      <w:spacing w:before="240" w:after="64" w:line="317" w:lineRule="auto"/>
      <w:ind w:firstLine="0" w:firstLineChars="0"/>
      <w:outlineLvl w:val="6"/>
    </w:pPr>
    <w:rPr>
      <w:rFonts w:ascii="仿宋" w:hAnsi="仿宋" w:eastAsia="仿宋" w:cstheme="minorBidi"/>
      <w:szCs w:val="22"/>
    </w:rPr>
  </w:style>
  <w:style w:type="paragraph" w:styleId="10">
    <w:name w:val="heading 8"/>
    <w:basedOn w:val="1"/>
    <w:next w:val="1"/>
    <w:link w:val="54"/>
    <w:unhideWhenUsed/>
    <w:qFormat/>
    <w:uiPriority w:val="9"/>
    <w:pPr>
      <w:keepNext/>
      <w:keepLines/>
      <w:numPr>
        <w:ilvl w:val="7"/>
        <w:numId w:val="1"/>
      </w:numPr>
      <w:spacing w:before="240" w:after="64" w:line="317" w:lineRule="auto"/>
      <w:ind w:firstLine="0" w:firstLineChars="0"/>
      <w:outlineLvl w:val="7"/>
    </w:pPr>
    <w:rPr>
      <w:rFonts w:ascii="Arial" w:hAnsi="Arial" w:eastAsia="黑体" w:cstheme="minorBidi"/>
      <w:b/>
      <w:szCs w:val="22"/>
    </w:rPr>
  </w:style>
  <w:style w:type="paragraph" w:styleId="11">
    <w:name w:val="heading 9"/>
    <w:basedOn w:val="1"/>
    <w:next w:val="1"/>
    <w:link w:val="55"/>
    <w:unhideWhenUsed/>
    <w:qFormat/>
    <w:uiPriority w:val="9"/>
    <w:pPr>
      <w:keepNext/>
      <w:keepLines/>
      <w:numPr>
        <w:ilvl w:val="8"/>
        <w:numId w:val="1"/>
      </w:numPr>
      <w:spacing w:before="240" w:after="64" w:line="317" w:lineRule="auto"/>
      <w:ind w:firstLine="0" w:firstLineChars="0"/>
      <w:outlineLvl w:val="8"/>
    </w:pPr>
    <w:rPr>
      <w:rFonts w:ascii="Arial" w:hAnsi="Arial" w:eastAsia="黑体" w:cstheme="minorBidi"/>
      <w:b/>
      <w:sz w:val="21"/>
      <w:szCs w:val="22"/>
    </w:rPr>
  </w:style>
  <w:style w:type="character" w:default="1" w:styleId="39">
    <w:name w:val="Default Paragraph Font"/>
    <w:semiHidden/>
    <w:unhideWhenUsed/>
    <w:qFormat/>
    <w:uiPriority w:val="1"/>
  </w:style>
  <w:style w:type="table" w:default="1" w:styleId="37">
    <w:name w:val="Normal Table"/>
    <w:semiHidden/>
    <w:unhideWhenUsed/>
    <w:qFormat/>
    <w:uiPriority w:val="99"/>
    <w:tblPr>
      <w:tblCellMar>
        <w:top w:w="0" w:type="dxa"/>
        <w:left w:w="108" w:type="dxa"/>
        <w:bottom w:w="0" w:type="dxa"/>
        <w:right w:w="108" w:type="dxa"/>
      </w:tblCellMar>
    </w:tblPr>
  </w:style>
  <w:style w:type="paragraph" w:styleId="6">
    <w:name w:val="No Spacing"/>
    <w:semiHidden/>
    <w:unhideWhenUsed/>
    <w:qFormat/>
    <w:uiPriority w:val="99"/>
    <w:pPr>
      <w:widowControl w:val="0"/>
      <w:ind w:firstLine="482" w:firstLineChars="200"/>
      <w:jc w:val="both"/>
    </w:pPr>
    <w:rPr>
      <w:rFonts w:ascii="宋体" w:hAnsi="宋体" w:eastAsia="宋体" w:cs="Times New Roman"/>
      <w:b/>
      <w:kern w:val="2"/>
      <w:sz w:val="24"/>
      <w:szCs w:val="24"/>
      <w:lang w:val="en-US" w:eastAsia="zh-CN" w:bidi="ar-SA"/>
    </w:rPr>
  </w:style>
  <w:style w:type="paragraph" w:styleId="12">
    <w:name w:val="toc 7"/>
    <w:basedOn w:val="1"/>
    <w:next w:val="1"/>
    <w:unhideWhenUsed/>
    <w:qFormat/>
    <w:uiPriority w:val="39"/>
    <w:pPr>
      <w:ind w:left="2520" w:leftChars="1200"/>
    </w:pPr>
    <w:rPr>
      <w:rFonts w:ascii="等线" w:hAnsi="等线" w:eastAsia="等线"/>
      <w:bCs w:val="0"/>
      <w:szCs w:val="22"/>
    </w:rPr>
  </w:style>
  <w:style w:type="paragraph" w:styleId="13">
    <w:name w:val="Normal Indent"/>
    <w:basedOn w:val="1"/>
    <w:unhideWhenUsed/>
    <w:qFormat/>
    <w:uiPriority w:val="99"/>
    <w:pPr>
      <w:spacing w:line="240" w:lineRule="auto"/>
      <w:ind w:firstLine="420"/>
    </w:pPr>
    <w:rPr>
      <w:rFonts w:ascii="Calibri" w:hAnsi="Calibri"/>
      <w:bCs w:val="0"/>
      <w:sz w:val="21"/>
    </w:rPr>
  </w:style>
  <w:style w:type="paragraph" w:styleId="14">
    <w:name w:val="caption"/>
    <w:basedOn w:val="1"/>
    <w:next w:val="1"/>
    <w:link w:val="75"/>
    <w:qFormat/>
    <w:uiPriority w:val="0"/>
    <w:pPr>
      <w:spacing w:afterLines="50"/>
      <w:ind w:firstLine="200"/>
    </w:pPr>
    <w:rPr>
      <w:rFonts w:ascii="Arial" w:hAnsi="Arial" w:eastAsia="黑体"/>
      <w:bCs w:val="0"/>
      <w:sz w:val="20"/>
      <w:szCs w:val="20"/>
    </w:rPr>
  </w:style>
  <w:style w:type="paragraph" w:styleId="15">
    <w:name w:val="Document Map"/>
    <w:basedOn w:val="1"/>
    <w:link w:val="100"/>
    <w:qFormat/>
    <w:uiPriority w:val="0"/>
    <w:rPr>
      <w:rFonts w:hAnsi="Times New Roman"/>
      <w:bCs w:val="0"/>
      <w:sz w:val="18"/>
      <w:szCs w:val="18"/>
    </w:rPr>
  </w:style>
  <w:style w:type="paragraph" w:styleId="16">
    <w:name w:val="annotation text"/>
    <w:basedOn w:val="1"/>
    <w:link w:val="71"/>
    <w:qFormat/>
    <w:uiPriority w:val="99"/>
    <w:rPr>
      <w:rFonts w:ascii="Times New Roman" w:hAnsi="Times New Roman" w:eastAsia="仿宋"/>
      <w:bCs w:val="0"/>
      <w:sz w:val="28"/>
    </w:rPr>
  </w:style>
  <w:style w:type="paragraph" w:styleId="17">
    <w:name w:val="Body Text"/>
    <w:basedOn w:val="1"/>
    <w:link w:val="60"/>
    <w:unhideWhenUsed/>
    <w:qFormat/>
    <w:uiPriority w:val="0"/>
    <w:pPr>
      <w:spacing w:after="120" w:line="240" w:lineRule="auto"/>
      <w:ind w:firstLine="0" w:firstLineChars="0"/>
    </w:pPr>
    <w:rPr>
      <w:rFonts w:ascii="Times New Roman" w:hAnsi="Times New Roman"/>
      <w:bCs w:val="0"/>
      <w:sz w:val="21"/>
    </w:rPr>
  </w:style>
  <w:style w:type="paragraph" w:styleId="18">
    <w:name w:val="Body Text Indent"/>
    <w:basedOn w:val="1"/>
    <w:link w:val="56"/>
    <w:qFormat/>
    <w:uiPriority w:val="99"/>
    <w:pPr>
      <w:spacing w:after="120"/>
      <w:ind w:left="420" w:leftChars="200" w:firstLine="643"/>
    </w:pPr>
    <w:rPr>
      <w:rFonts w:ascii="仿宋" w:hAnsi="仿宋" w:eastAsia="仿宋" w:cstheme="minorBidi"/>
      <w:b/>
      <w:szCs w:val="22"/>
    </w:rPr>
  </w:style>
  <w:style w:type="paragraph" w:styleId="19">
    <w:name w:val="toc 5"/>
    <w:basedOn w:val="1"/>
    <w:next w:val="1"/>
    <w:unhideWhenUsed/>
    <w:qFormat/>
    <w:uiPriority w:val="39"/>
    <w:pPr>
      <w:ind w:left="1680" w:leftChars="800"/>
    </w:pPr>
    <w:rPr>
      <w:rFonts w:ascii="等线" w:hAnsi="等线" w:eastAsia="等线"/>
      <w:bCs w:val="0"/>
      <w:szCs w:val="22"/>
    </w:rPr>
  </w:style>
  <w:style w:type="paragraph" w:styleId="20">
    <w:name w:val="toc 3"/>
    <w:basedOn w:val="1"/>
    <w:next w:val="1"/>
    <w:qFormat/>
    <w:uiPriority w:val="39"/>
    <w:pPr>
      <w:tabs>
        <w:tab w:val="right" w:leader="dot" w:pos="8302"/>
      </w:tabs>
      <w:ind w:left="840" w:leftChars="400"/>
    </w:pPr>
    <w:rPr>
      <w:bCs w:val="0"/>
    </w:rPr>
  </w:style>
  <w:style w:type="paragraph" w:styleId="21">
    <w:name w:val="Plain Text"/>
    <w:basedOn w:val="1"/>
    <w:link w:val="83"/>
    <w:qFormat/>
    <w:uiPriority w:val="0"/>
    <w:pPr>
      <w:spacing w:line="240" w:lineRule="auto"/>
      <w:ind w:firstLine="0" w:firstLineChars="0"/>
    </w:pPr>
    <w:rPr>
      <w:rFonts w:hAnsi="Courier New"/>
      <w:bCs w:val="0"/>
      <w:sz w:val="21"/>
      <w:szCs w:val="20"/>
    </w:rPr>
  </w:style>
  <w:style w:type="paragraph" w:styleId="22">
    <w:name w:val="toc 8"/>
    <w:basedOn w:val="1"/>
    <w:next w:val="1"/>
    <w:unhideWhenUsed/>
    <w:qFormat/>
    <w:uiPriority w:val="39"/>
    <w:pPr>
      <w:ind w:left="2940" w:leftChars="1400"/>
    </w:pPr>
    <w:rPr>
      <w:rFonts w:ascii="等线" w:hAnsi="等线" w:eastAsia="等线"/>
      <w:bCs w:val="0"/>
      <w:szCs w:val="22"/>
    </w:rPr>
  </w:style>
  <w:style w:type="paragraph" w:styleId="23">
    <w:name w:val="Date"/>
    <w:basedOn w:val="1"/>
    <w:next w:val="1"/>
    <w:link w:val="72"/>
    <w:qFormat/>
    <w:uiPriority w:val="0"/>
    <w:pPr>
      <w:ind w:left="100" w:leftChars="2500"/>
    </w:pPr>
    <w:rPr>
      <w:rFonts w:ascii="Times New Roman" w:hAnsi="Times New Roman"/>
      <w:bCs w:val="0"/>
      <w:sz w:val="21"/>
    </w:rPr>
  </w:style>
  <w:style w:type="paragraph" w:styleId="24">
    <w:name w:val="Balloon Text"/>
    <w:basedOn w:val="1"/>
    <w:link w:val="105"/>
    <w:qFormat/>
    <w:uiPriority w:val="99"/>
    <w:rPr>
      <w:rFonts w:ascii="Times New Roman" w:hAnsi="Times New Roman"/>
      <w:bCs w:val="0"/>
      <w:sz w:val="18"/>
      <w:szCs w:val="18"/>
    </w:rPr>
  </w:style>
  <w:style w:type="paragraph" w:styleId="25">
    <w:name w:val="footer"/>
    <w:basedOn w:val="1"/>
    <w:link w:val="99"/>
    <w:qFormat/>
    <w:uiPriority w:val="99"/>
    <w:pPr>
      <w:tabs>
        <w:tab w:val="center" w:pos="4153"/>
        <w:tab w:val="right" w:pos="8306"/>
      </w:tabs>
      <w:snapToGrid w:val="0"/>
      <w:jc w:val="center"/>
    </w:pPr>
    <w:rPr>
      <w:rFonts w:ascii="Times New Roman" w:hAnsi="Times New Roman"/>
      <w:bCs w:val="0"/>
      <w:sz w:val="18"/>
      <w:szCs w:val="18"/>
    </w:rPr>
  </w:style>
  <w:style w:type="paragraph" w:styleId="26">
    <w:name w:val="header"/>
    <w:basedOn w:val="1"/>
    <w:link w:val="106"/>
    <w:qFormat/>
    <w:uiPriority w:val="99"/>
    <w:pPr>
      <w:pBdr>
        <w:bottom w:val="single" w:color="auto" w:sz="4" w:space="0"/>
      </w:pBdr>
      <w:tabs>
        <w:tab w:val="center" w:pos="4153"/>
        <w:tab w:val="right" w:pos="8306"/>
      </w:tabs>
      <w:snapToGrid w:val="0"/>
      <w:jc w:val="center"/>
    </w:pPr>
    <w:rPr>
      <w:rFonts w:ascii="Times New Roman" w:hAnsi="Times New Roman"/>
      <w:sz w:val="18"/>
      <w:szCs w:val="18"/>
    </w:rPr>
  </w:style>
  <w:style w:type="paragraph" w:styleId="27">
    <w:name w:val="toc 1"/>
    <w:basedOn w:val="1"/>
    <w:next w:val="1"/>
    <w:qFormat/>
    <w:uiPriority w:val="39"/>
    <w:rPr>
      <w:bCs w:val="0"/>
    </w:rPr>
  </w:style>
  <w:style w:type="paragraph" w:styleId="28">
    <w:name w:val="toc 4"/>
    <w:basedOn w:val="1"/>
    <w:next w:val="1"/>
    <w:unhideWhenUsed/>
    <w:qFormat/>
    <w:uiPriority w:val="39"/>
    <w:pPr>
      <w:ind w:left="1260" w:leftChars="600"/>
    </w:pPr>
    <w:rPr>
      <w:rFonts w:ascii="等线" w:hAnsi="等线" w:eastAsia="等线"/>
      <w:bCs w:val="0"/>
      <w:szCs w:val="22"/>
    </w:rPr>
  </w:style>
  <w:style w:type="paragraph" w:styleId="29">
    <w:name w:val="Subtitle"/>
    <w:basedOn w:val="1"/>
    <w:next w:val="1"/>
    <w:link w:val="97"/>
    <w:qFormat/>
    <w:uiPriority w:val="0"/>
    <w:pPr>
      <w:spacing w:before="240" w:after="60" w:line="312" w:lineRule="auto"/>
      <w:jc w:val="center"/>
      <w:outlineLvl w:val="1"/>
    </w:pPr>
    <w:rPr>
      <w:rFonts w:ascii="Calibri Light" w:hAnsi="Calibri Light"/>
      <w:b/>
      <w:kern w:val="28"/>
      <w:sz w:val="32"/>
      <w:szCs w:val="32"/>
    </w:rPr>
  </w:style>
  <w:style w:type="paragraph" w:styleId="30">
    <w:name w:val="toc 6"/>
    <w:basedOn w:val="1"/>
    <w:next w:val="1"/>
    <w:unhideWhenUsed/>
    <w:qFormat/>
    <w:uiPriority w:val="39"/>
    <w:pPr>
      <w:ind w:left="2100" w:leftChars="1000"/>
    </w:pPr>
    <w:rPr>
      <w:rFonts w:ascii="等线" w:hAnsi="等线" w:eastAsia="等线"/>
      <w:bCs w:val="0"/>
      <w:szCs w:val="22"/>
    </w:rPr>
  </w:style>
  <w:style w:type="paragraph" w:styleId="31">
    <w:name w:val="toc 2"/>
    <w:basedOn w:val="1"/>
    <w:next w:val="1"/>
    <w:qFormat/>
    <w:uiPriority w:val="39"/>
    <w:pPr>
      <w:tabs>
        <w:tab w:val="right" w:leader="dot" w:pos="8302"/>
      </w:tabs>
      <w:ind w:left="420" w:leftChars="200"/>
    </w:pPr>
    <w:rPr>
      <w:bCs w:val="0"/>
    </w:rPr>
  </w:style>
  <w:style w:type="paragraph" w:styleId="32">
    <w:name w:val="toc 9"/>
    <w:basedOn w:val="1"/>
    <w:next w:val="1"/>
    <w:unhideWhenUsed/>
    <w:qFormat/>
    <w:uiPriority w:val="39"/>
    <w:pPr>
      <w:ind w:left="3360" w:leftChars="1600"/>
    </w:pPr>
    <w:rPr>
      <w:rFonts w:ascii="等线" w:hAnsi="等线" w:eastAsia="等线"/>
      <w:bCs w:val="0"/>
      <w:szCs w:val="22"/>
    </w:rPr>
  </w:style>
  <w:style w:type="paragraph" w:styleId="33">
    <w:name w:val="Normal (Web)"/>
    <w:basedOn w:val="1"/>
    <w:qFormat/>
    <w:uiPriority w:val="99"/>
    <w:pPr>
      <w:widowControl/>
      <w:spacing w:before="100" w:after="100"/>
    </w:pPr>
    <w:rPr>
      <w:rFonts w:hint="eastAsia" w:ascii="Arial Unicode MS" w:hAnsi="Arial Unicode MS" w:eastAsia="Arial Unicode MS"/>
      <w:bCs w:val="0"/>
      <w:kern w:val="0"/>
    </w:rPr>
  </w:style>
  <w:style w:type="paragraph" w:styleId="34">
    <w:name w:val="Title"/>
    <w:basedOn w:val="1"/>
    <w:next w:val="1"/>
    <w:link w:val="104"/>
    <w:qFormat/>
    <w:uiPriority w:val="0"/>
    <w:pPr>
      <w:spacing w:before="240" w:after="60" w:line="960" w:lineRule="auto"/>
      <w:jc w:val="center"/>
    </w:pPr>
    <w:rPr>
      <w:rFonts w:ascii="Cambria" w:hAnsi="Cambria" w:eastAsia="黑体"/>
      <w:b/>
      <w:sz w:val="52"/>
      <w:szCs w:val="32"/>
    </w:rPr>
  </w:style>
  <w:style w:type="paragraph" w:styleId="35">
    <w:name w:val="annotation subject"/>
    <w:basedOn w:val="16"/>
    <w:next w:val="16"/>
    <w:link w:val="93"/>
    <w:qFormat/>
    <w:uiPriority w:val="99"/>
    <w:rPr>
      <w:b/>
      <w:bCs/>
      <w:sz w:val="21"/>
    </w:rPr>
  </w:style>
  <w:style w:type="paragraph" w:styleId="36">
    <w:name w:val="Body Text First Indent 2"/>
    <w:basedOn w:val="18"/>
    <w:next w:val="1"/>
    <w:link w:val="57"/>
    <w:unhideWhenUsed/>
    <w:qFormat/>
    <w:uiPriority w:val="99"/>
    <w:pPr>
      <w:ind w:left="0" w:leftChars="0" w:firstLine="560"/>
    </w:pPr>
    <w:rPr>
      <w:rFonts w:ascii="仿宋_GB2312" w:hAnsi="仿宋_GB2312" w:eastAsia="宋体"/>
      <w:szCs w:val="21"/>
    </w:rPr>
  </w:style>
  <w:style w:type="table" w:styleId="38">
    <w:name w:val="Table Grid"/>
    <w:basedOn w:val="37"/>
    <w:qFormat/>
    <w:uiPriority w:val="39"/>
    <w:pPr>
      <w:widowControl w:val="0"/>
      <w:jc w:val="both"/>
    </w:pPr>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0">
    <w:name w:val="Strong"/>
    <w:basedOn w:val="39"/>
    <w:qFormat/>
    <w:uiPriority w:val="22"/>
    <w:rPr>
      <w:b/>
    </w:rPr>
  </w:style>
  <w:style w:type="character" w:styleId="41">
    <w:name w:val="page number"/>
    <w:basedOn w:val="39"/>
    <w:qFormat/>
    <w:uiPriority w:val="0"/>
  </w:style>
  <w:style w:type="character" w:styleId="42">
    <w:name w:val="FollowedHyperlink"/>
    <w:unhideWhenUsed/>
    <w:qFormat/>
    <w:uiPriority w:val="99"/>
    <w:rPr>
      <w:color w:val="954F72"/>
      <w:u w:val="single"/>
    </w:rPr>
  </w:style>
  <w:style w:type="character" w:styleId="43">
    <w:name w:val="Hyperlink"/>
    <w:qFormat/>
    <w:uiPriority w:val="99"/>
    <w:rPr>
      <w:color w:val="0000FF"/>
      <w:u w:val="single"/>
    </w:rPr>
  </w:style>
  <w:style w:type="character" w:styleId="44">
    <w:name w:val="annotation reference"/>
    <w:qFormat/>
    <w:uiPriority w:val="99"/>
    <w:rPr>
      <w:sz w:val="21"/>
      <w:szCs w:val="21"/>
    </w:rPr>
  </w:style>
  <w:style w:type="paragraph" w:customStyle="1" w:styleId="45">
    <w:name w:val="正文缩进1"/>
    <w:basedOn w:val="1"/>
    <w:autoRedefine/>
    <w:qFormat/>
    <w:uiPriority w:val="0"/>
    <w:pPr>
      <w:spacing w:line="240" w:lineRule="auto"/>
      <w:ind w:firstLine="420"/>
    </w:pPr>
    <w:rPr>
      <w:rFonts w:ascii="Times New Roman" w:hAnsi="Times New Roman"/>
      <w:sz w:val="21"/>
      <w:szCs w:val="20"/>
    </w:rPr>
  </w:style>
  <w:style w:type="paragraph" w:customStyle="1" w:styleId="46">
    <w:name w:val="正文正文2"/>
    <w:basedOn w:val="1"/>
    <w:link w:val="91"/>
    <w:autoRedefine/>
    <w:qFormat/>
    <w:uiPriority w:val="0"/>
    <w:pPr>
      <w:ind w:firstLine="460"/>
    </w:pPr>
    <w:rPr>
      <w:sz w:val="21"/>
      <w:szCs w:val="21"/>
    </w:rPr>
  </w:style>
  <w:style w:type="paragraph" w:styleId="47">
    <w:name w:val="List Paragraph"/>
    <w:basedOn w:val="1"/>
    <w:link w:val="79"/>
    <w:unhideWhenUsed/>
    <w:qFormat/>
    <w:uiPriority w:val="99"/>
    <w:pPr>
      <w:ind w:firstLine="420"/>
    </w:pPr>
  </w:style>
  <w:style w:type="paragraph" w:customStyle="1" w:styleId="48">
    <w:name w:val="B-表正文"/>
    <w:qFormat/>
    <w:uiPriority w:val="0"/>
    <w:rPr>
      <w:rFonts w:ascii="Times New Roman" w:hAnsi="Times New Roman" w:eastAsia="仿宋" w:cstheme="minorBidi"/>
      <w:kern w:val="2"/>
      <w:sz w:val="21"/>
      <w:szCs w:val="24"/>
      <w:lang w:val="en-US" w:eastAsia="zh-CN" w:bidi="ar-SA"/>
    </w:rPr>
  </w:style>
  <w:style w:type="character" w:customStyle="1" w:styleId="49">
    <w:name w:val="标题 3 字符"/>
    <w:basedOn w:val="39"/>
    <w:link w:val="4"/>
    <w:semiHidden/>
    <w:qFormat/>
    <w:uiPriority w:val="9"/>
    <w:rPr>
      <w:rFonts w:ascii="宋体" w:hAnsi="宋体" w:eastAsia="宋体" w:cs="Times New Roman"/>
      <w:b/>
      <w:bCs/>
      <w:kern w:val="2"/>
      <w:sz w:val="28"/>
      <w:szCs w:val="32"/>
    </w:rPr>
  </w:style>
  <w:style w:type="character" w:customStyle="1" w:styleId="50">
    <w:name w:val="标题 4 字符"/>
    <w:basedOn w:val="39"/>
    <w:link w:val="5"/>
    <w:semiHidden/>
    <w:qFormat/>
    <w:uiPriority w:val="9"/>
    <w:rPr>
      <w:rFonts w:ascii="Times New Roman" w:hAnsi="Times New Roman" w:eastAsia="宋体" w:cstheme="majorBidi"/>
      <w:b/>
      <w:bCs/>
      <w:kern w:val="2"/>
      <w:sz w:val="24"/>
      <w:szCs w:val="28"/>
    </w:rPr>
  </w:style>
  <w:style w:type="character" w:customStyle="1" w:styleId="51">
    <w:name w:val="标题 5 字符"/>
    <w:basedOn w:val="39"/>
    <w:link w:val="7"/>
    <w:qFormat/>
    <w:uiPriority w:val="9"/>
    <w:rPr>
      <w:rFonts w:ascii="Times New Roman" w:hAnsi="Times New Roman" w:eastAsia="仿宋_GB2312"/>
      <w:kern w:val="2"/>
      <w:sz w:val="24"/>
      <w:szCs w:val="22"/>
      <w14:ligatures w14:val="standardContextual"/>
    </w:rPr>
  </w:style>
  <w:style w:type="character" w:customStyle="1" w:styleId="52">
    <w:name w:val="标题 6 字符"/>
    <w:basedOn w:val="39"/>
    <w:link w:val="8"/>
    <w:qFormat/>
    <w:uiPriority w:val="9"/>
    <w:rPr>
      <w:rFonts w:ascii="黑体" w:hAnsi="黑体" w:eastAsia="黑体" w:cs="仿宋_GB2312"/>
      <w:b/>
      <w:color w:val="000000"/>
      <w:kern w:val="2"/>
      <w:sz w:val="24"/>
      <w:szCs w:val="28"/>
      <w:u w:color="000000"/>
    </w:rPr>
  </w:style>
  <w:style w:type="character" w:customStyle="1" w:styleId="53">
    <w:name w:val="标题 7 字符"/>
    <w:basedOn w:val="39"/>
    <w:link w:val="9"/>
    <w:qFormat/>
    <w:uiPriority w:val="9"/>
    <w:rPr>
      <w:rFonts w:ascii="仿宋" w:hAnsi="仿宋" w:eastAsia="仿宋"/>
      <w:b/>
      <w:kern w:val="2"/>
      <w:sz w:val="24"/>
      <w:szCs w:val="22"/>
    </w:rPr>
  </w:style>
  <w:style w:type="character" w:customStyle="1" w:styleId="54">
    <w:name w:val="标题 8 字符"/>
    <w:basedOn w:val="39"/>
    <w:link w:val="10"/>
    <w:qFormat/>
    <w:uiPriority w:val="9"/>
    <w:rPr>
      <w:rFonts w:ascii="Arial" w:hAnsi="Arial" w:eastAsia="黑体"/>
      <w:kern w:val="2"/>
      <w:sz w:val="24"/>
      <w:szCs w:val="22"/>
    </w:rPr>
  </w:style>
  <w:style w:type="character" w:customStyle="1" w:styleId="55">
    <w:name w:val="标题 9 字符"/>
    <w:basedOn w:val="39"/>
    <w:link w:val="11"/>
    <w:qFormat/>
    <w:uiPriority w:val="9"/>
    <w:rPr>
      <w:rFonts w:ascii="Arial" w:hAnsi="Arial" w:eastAsia="黑体"/>
      <w:kern w:val="2"/>
      <w:sz w:val="21"/>
      <w:szCs w:val="22"/>
    </w:rPr>
  </w:style>
  <w:style w:type="character" w:customStyle="1" w:styleId="56">
    <w:name w:val="正文文本缩进 字符"/>
    <w:basedOn w:val="39"/>
    <w:link w:val="18"/>
    <w:qFormat/>
    <w:uiPriority w:val="99"/>
    <w:rPr>
      <w:rFonts w:ascii="仿宋" w:hAnsi="仿宋" w:eastAsia="仿宋"/>
      <w:kern w:val="2"/>
      <w:sz w:val="24"/>
      <w:szCs w:val="22"/>
    </w:rPr>
  </w:style>
  <w:style w:type="character" w:customStyle="1" w:styleId="57">
    <w:name w:val="正文文本首行缩进 2 字符"/>
    <w:basedOn w:val="56"/>
    <w:link w:val="36"/>
    <w:qFormat/>
    <w:uiPriority w:val="99"/>
    <w:rPr>
      <w:rFonts w:ascii="仿宋_GB2312" w:hAnsi="仿宋_GB2312" w:eastAsia="宋体"/>
      <w:kern w:val="2"/>
      <w:sz w:val="24"/>
      <w:szCs w:val="21"/>
    </w:rPr>
  </w:style>
  <w:style w:type="character" w:customStyle="1" w:styleId="58">
    <w:name w:val="文档结构图 字符"/>
    <w:basedOn w:val="39"/>
    <w:qFormat/>
    <w:uiPriority w:val="99"/>
    <w:rPr>
      <w:rFonts w:ascii="Microsoft YaHei UI" w:hAnsi="宋体" w:eastAsia="Microsoft YaHei UI" w:cs="Times New Roman"/>
      <w:bCs/>
      <w:kern w:val="2"/>
      <w:sz w:val="18"/>
      <w:szCs w:val="18"/>
    </w:rPr>
  </w:style>
  <w:style w:type="character" w:customStyle="1" w:styleId="59">
    <w:name w:val="批注文字 字符"/>
    <w:basedOn w:val="39"/>
    <w:qFormat/>
    <w:uiPriority w:val="99"/>
    <w:rPr>
      <w:rFonts w:ascii="宋体" w:hAnsi="宋体" w:eastAsia="宋体" w:cs="Times New Roman"/>
      <w:bCs/>
      <w:kern w:val="2"/>
      <w:sz w:val="24"/>
      <w:szCs w:val="24"/>
    </w:rPr>
  </w:style>
  <w:style w:type="character" w:customStyle="1" w:styleId="60">
    <w:name w:val="正文文本 字符"/>
    <w:basedOn w:val="39"/>
    <w:link w:val="17"/>
    <w:qFormat/>
    <w:uiPriority w:val="0"/>
    <w:rPr>
      <w:rFonts w:ascii="Times New Roman" w:hAnsi="Times New Roman" w:eastAsia="宋体" w:cs="Times New Roman"/>
      <w:kern w:val="2"/>
      <w:sz w:val="21"/>
      <w:szCs w:val="24"/>
    </w:rPr>
  </w:style>
  <w:style w:type="character" w:customStyle="1" w:styleId="61">
    <w:name w:val="纯文本 字符"/>
    <w:basedOn w:val="39"/>
    <w:qFormat/>
    <w:uiPriority w:val="0"/>
    <w:rPr>
      <w:rFonts w:hAnsi="Courier New" w:cs="Courier New" w:asciiTheme="minorEastAsia"/>
      <w:bCs/>
      <w:kern w:val="2"/>
      <w:sz w:val="24"/>
      <w:szCs w:val="24"/>
    </w:rPr>
  </w:style>
  <w:style w:type="character" w:customStyle="1" w:styleId="62">
    <w:name w:val="日期 字符"/>
    <w:basedOn w:val="39"/>
    <w:qFormat/>
    <w:uiPriority w:val="99"/>
    <w:rPr>
      <w:rFonts w:ascii="宋体" w:hAnsi="宋体" w:eastAsia="宋体" w:cs="Times New Roman"/>
      <w:bCs/>
      <w:kern w:val="2"/>
      <w:sz w:val="24"/>
      <w:szCs w:val="24"/>
    </w:rPr>
  </w:style>
  <w:style w:type="character" w:customStyle="1" w:styleId="63">
    <w:name w:val="批注框文本 字符"/>
    <w:basedOn w:val="39"/>
    <w:qFormat/>
    <w:uiPriority w:val="99"/>
    <w:rPr>
      <w:rFonts w:ascii="宋体" w:hAnsi="宋体" w:eastAsia="宋体" w:cs="Times New Roman"/>
      <w:bCs/>
      <w:kern w:val="2"/>
      <w:sz w:val="18"/>
      <w:szCs w:val="18"/>
    </w:rPr>
  </w:style>
  <w:style w:type="character" w:customStyle="1" w:styleId="64">
    <w:name w:val="页脚 字符"/>
    <w:basedOn w:val="39"/>
    <w:qFormat/>
    <w:uiPriority w:val="99"/>
    <w:rPr>
      <w:rFonts w:ascii="宋体" w:hAnsi="宋体" w:eastAsia="宋体" w:cs="Times New Roman"/>
      <w:bCs/>
      <w:kern w:val="2"/>
      <w:sz w:val="18"/>
      <w:szCs w:val="18"/>
    </w:rPr>
  </w:style>
  <w:style w:type="character" w:customStyle="1" w:styleId="65">
    <w:name w:val="副标题 字符"/>
    <w:basedOn w:val="39"/>
    <w:qFormat/>
    <w:uiPriority w:val="11"/>
    <w:rPr>
      <w:b/>
      <w:bCs/>
      <w:kern w:val="28"/>
      <w:sz w:val="32"/>
      <w:szCs w:val="32"/>
    </w:rPr>
  </w:style>
  <w:style w:type="character" w:customStyle="1" w:styleId="66">
    <w:name w:val="标题 字符"/>
    <w:basedOn w:val="39"/>
    <w:qFormat/>
    <w:uiPriority w:val="10"/>
    <w:rPr>
      <w:rFonts w:asciiTheme="majorHAnsi" w:hAnsiTheme="majorHAnsi" w:eastAsiaTheme="majorEastAsia" w:cstheme="majorBidi"/>
      <w:b/>
      <w:bCs/>
      <w:kern w:val="2"/>
      <w:sz w:val="32"/>
      <w:szCs w:val="32"/>
    </w:rPr>
  </w:style>
  <w:style w:type="character" w:customStyle="1" w:styleId="67">
    <w:name w:val="批注主题 字符"/>
    <w:basedOn w:val="59"/>
    <w:qFormat/>
    <w:uiPriority w:val="99"/>
    <w:rPr>
      <w:rFonts w:ascii="宋体" w:hAnsi="宋体" w:eastAsia="宋体" w:cs="Times New Roman"/>
      <w:b/>
      <w:kern w:val="2"/>
      <w:sz w:val="24"/>
      <w:szCs w:val="24"/>
    </w:rPr>
  </w:style>
  <w:style w:type="character" w:customStyle="1" w:styleId="68">
    <w:name w:val="标题 3 字符1"/>
    <w:qFormat/>
    <w:uiPriority w:val="0"/>
    <w:rPr>
      <w:rFonts w:ascii="宋体" w:hAnsi="宋体"/>
      <w:b/>
      <w:bCs/>
      <w:kern w:val="2"/>
      <w:sz w:val="28"/>
      <w:szCs w:val="28"/>
    </w:rPr>
  </w:style>
  <w:style w:type="character" w:customStyle="1" w:styleId="69">
    <w:name w:val="首行缩进正文 Char"/>
    <w:link w:val="70"/>
    <w:qFormat/>
    <w:uiPriority w:val="0"/>
    <w:rPr>
      <w:kern w:val="2"/>
      <w:sz w:val="24"/>
    </w:rPr>
  </w:style>
  <w:style w:type="paragraph" w:customStyle="1" w:styleId="70">
    <w:name w:val="首行缩进正文"/>
    <w:basedOn w:val="1"/>
    <w:link w:val="69"/>
    <w:qFormat/>
    <w:uiPriority w:val="0"/>
    <w:pPr>
      <w:widowControl/>
      <w:adjustRightInd w:val="0"/>
      <w:snapToGrid w:val="0"/>
      <w:spacing w:afterLines="50" w:line="276" w:lineRule="auto"/>
      <w:ind w:firstLine="420" w:firstLineChars="0"/>
    </w:pPr>
    <w:rPr>
      <w:rFonts w:asciiTheme="minorHAnsi" w:hAnsiTheme="minorHAnsi" w:eastAsiaTheme="minorEastAsia" w:cstheme="minorBidi"/>
      <w:bCs w:val="0"/>
      <w:szCs w:val="20"/>
    </w:rPr>
  </w:style>
  <w:style w:type="character" w:customStyle="1" w:styleId="71">
    <w:name w:val="批注文字 字符1"/>
    <w:link w:val="16"/>
    <w:qFormat/>
    <w:uiPriority w:val="99"/>
    <w:rPr>
      <w:rFonts w:ascii="Times New Roman" w:hAnsi="Times New Roman" w:eastAsia="仿宋" w:cs="Times New Roman"/>
      <w:kern w:val="2"/>
      <w:sz w:val="28"/>
      <w:szCs w:val="24"/>
    </w:rPr>
  </w:style>
  <w:style w:type="character" w:customStyle="1" w:styleId="72">
    <w:name w:val="日期 字符1"/>
    <w:link w:val="23"/>
    <w:qFormat/>
    <w:uiPriority w:val="0"/>
    <w:rPr>
      <w:rFonts w:ascii="Times New Roman" w:hAnsi="Times New Roman" w:eastAsia="宋体" w:cs="Times New Roman"/>
      <w:kern w:val="2"/>
      <w:sz w:val="21"/>
      <w:szCs w:val="24"/>
    </w:rPr>
  </w:style>
  <w:style w:type="character" w:customStyle="1" w:styleId="73">
    <w:name w:val="未处理的提及1"/>
    <w:unhideWhenUsed/>
    <w:qFormat/>
    <w:uiPriority w:val="99"/>
    <w:rPr>
      <w:color w:val="605E5C"/>
      <w:shd w:val="clear" w:color="auto" w:fill="E1DFDD"/>
    </w:rPr>
  </w:style>
  <w:style w:type="character" w:customStyle="1" w:styleId="74">
    <w:name w:val="标题 1 字符"/>
    <w:qFormat/>
    <w:uiPriority w:val="9"/>
    <w:rPr>
      <w:rFonts w:ascii="宋体" w:hAnsi="宋体"/>
      <w:b/>
      <w:bCs/>
      <w:kern w:val="44"/>
      <w:sz w:val="44"/>
      <w:szCs w:val="44"/>
    </w:rPr>
  </w:style>
  <w:style w:type="character" w:customStyle="1" w:styleId="75">
    <w:name w:val="题注 字符"/>
    <w:link w:val="14"/>
    <w:qFormat/>
    <w:locked/>
    <w:uiPriority w:val="0"/>
    <w:rPr>
      <w:rFonts w:ascii="Arial" w:hAnsi="Arial" w:eastAsia="黑体" w:cs="Times New Roman"/>
      <w:kern w:val="2"/>
    </w:rPr>
  </w:style>
  <w:style w:type="character" w:customStyle="1" w:styleId="76">
    <w:name w:val="标题 2 字符"/>
    <w:semiHidden/>
    <w:qFormat/>
    <w:uiPriority w:val="9"/>
    <w:rPr>
      <w:rFonts w:ascii="等线 Light" w:hAnsi="等线 Light" w:eastAsia="等线 Light" w:cs="Times New Roman"/>
      <w:b/>
      <w:bCs/>
      <w:kern w:val="2"/>
      <w:sz w:val="32"/>
      <w:szCs w:val="32"/>
    </w:rPr>
  </w:style>
  <w:style w:type="character" w:customStyle="1" w:styleId="77">
    <w:name w:val="列表段落 字符"/>
    <w:qFormat/>
    <w:uiPriority w:val="34"/>
    <w:rPr>
      <w:kern w:val="2"/>
      <w:sz w:val="21"/>
      <w:szCs w:val="22"/>
    </w:rPr>
  </w:style>
  <w:style w:type="character" w:customStyle="1" w:styleId="78">
    <w:name w:val="标题 4 字符1"/>
    <w:qFormat/>
    <w:uiPriority w:val="0"/>
    <w:rPr>
      <w:rFonts w:ascii="宋体" w:hAnsi="宋体"/>
      <w:b/>
      <w:bCs/>
      <w:kern w:val="2"/>
      <w:sz w:val="30"/>
      <w:szCs w:val="30"/>
    </w:rPr>
  </w:style>
  <w:style w:type="character" w:customStyle="1" w:styleId="79">
    <w:name w:val="列表段落 字符1"/>
    <w:link w:val="47"/>
    <w:qFormat/>
    <w:uiPriority w:val="99"/>
    <w:rPr>
      <w:rFonts w:ascii="宋体" w:hAnsi="宋体" w:eastAsia="宋体" w:cs="Times New Roman"/>
      <w:bCs/>
      <w:kern w:val="2"/>
      <w:sz w:val="24"/>
      <w:szCs w:val="24"/>
    </w:rPr>
  </w:style>
  <w:style w:type="character" w:customStyle="1" w:styleId="80">
    <w:name w:val="font21"/>
    <w:qFormat/>
    <w:uiPriority w:val="0"/>
    <w:rPr>
      <w:rFonts w:ascii="Calibri" w:hAnsi="Calibri" w:cs="Calibri"/>
      <w:color w:val="000000"/>
      <w:sz w:val="21"/>
      <w:szCs w:val="21"/>
      <w:u w:val="none"/>
    </w:rPr>
  </w:style>
  <w:style w:type="character" w:customStyle="1" w:styleId="81">
    <w:name w:val="*正文 Char"/>
    <w:link w:val="82"/>
    <w:qFormat/>
    <w:uiPriority w:val="0"/>
    <w:rPr>
      <w:rFonts w:ascii="time" w:hAnsi="time"/>
      <w:sz w:val="24"/>
      <w:szCs w:val="24"/>
      <w:lang w:bidi="en-US"/>
    </w:rPr>
  </w:style>
  <w:style w:type="paragraph" w:customStyle="1" w:styleId="82">
    <w:name w:val="*正文"/>
    <w:basedOn w:val="1"/>
    <w:link w:val="81"/>
    <w:qFormat/>
    <w:uiPriority w:val="0"/>
    <w:pPr>
      <w:widowControl/>
      <w:ind w:firstLine="200"/>
      <w:contextualSpacing/>
    </w:pPr>
    <w:rPr>
      <w:rFonts w:ascii="time" w:hAnsi="time" w:eastAsiaTheme="minorEastAsia" w:cstheme="minorBidi"/>
      <w:bCs w:val="0"/>
      <w:kern w:val="0"/>
      <w:lang w:bidi="en-US"/>
    </w:rPr>
  </w:style>
  <w:style w:type="character" w:customStyle="1" w:styleId="83">
    <w:name w:val="纯文本 字符1"/>
    <w:link w:val="21"/>
    <w:qFormat/>
    <w:locked/>
    <w:uiPriority w:val="0"/>
    <w:rPr>
      <w:rFonts w:ascii="宋体" w:hAnsi="Courier New" w:eastAsia="宋体" w:cs="Times New Roman"/>
      <w:kern w:val="2"/>
      <w:sz w:val="21"/>
    </w:rPr>
  </w:style>
  <w:style w:type="character" w:customStyle="1" w:styleId="84">
    <w:name w:val="my正文 Char"/>
    <w:link w:val="85"/>
    <w:qFormat/>
    <w:uiPriority w:val="0"/>
    <w:rPr>
      <w:kern w:val="2"/>
      <w:sz w:val="21"/>
      <w:szCs w:val="24"/>
    </w:rPr>
  </w:style>
  <w:style w:type="paragraph" w:customStyle="1" w:styleId="85">
    <w:name w:val="my正文"/>
    <w:basedOn w:val="1"/>
    <w:link w:val="84"/>
    <w:qFormat/>
    <w:uiPriority w:val="0"/>
    <w:pPr>
      <w:spacing w:line="240" w:lineRule="auto"/>
      <w:ind w:firstLine="0" w:firstLineChars="0"/>
    </w:pPr>
    <w:rPr>
      <w:rFonts w:asciiTheme="minorHAnsi" w:hAnsiTheme="minorHAnsi" w:eastAsiaTheme="minorEastAsia" w:cstheme="minorBidi"/>
      <w:bCs w:val="0"/>
      <w:sz w:val="21"/>
    </w:rPr>
  </w:style>
  <w:style w:type="character" w:customStyle="1" w:styleId="86">
    <w:name w:val="正文2 字符"/>
    <w:link w:val="87"/>
    <w:qFormat/>
    <w:uiPriority w:val="0"/>
    <w:rPr>
      <w:kern w:val="2"/>
      <w:sz w:val="21"/>
      <w:szCs w:val="24"/>
    </w:rPr>
  </w:style>
  <w:style w:type="paragraph" w:customStyle="1" w:styleId="87">
    <w:name w:val="正文2"/>
    <w:basedOn w:val="1"/>
    <w:link w:val="86"/>
    <w:qFormat/>
    <w:uiPriority w:val="0"/>
    <w:pPr>
      <w:ind w:firstLine="420"/>
    </w:pPr>
    <w:rPr>
      <w:rFonts w:asciiTheme="minorHAnsi" w:hAnsiTheme="minorHAnsi" w:eastAsiaTheme="minorEastAsia" w:cstheme="minorBidi"/>
      <w:bCs w:val="0"/>
      <w:sz w:val="21"/>
    </w:rPr>
  </w:style>
  <w:style w:type="character" w:customStyle="1" w:styleId="88">
    <w:name w:val="font41"/>
    <w:qFormat/>
    <w:uiPriority w:val="0"/>
    <w:rPr>
      <w:rFonts w:hint="eastAsia" w:ascii="宋体" w:hAnsi="宋体" w:eastAsia="宋体" w:cs="宋体"/>
      <w:color w:val="000000"/>
      <w:sz w:val="21"/>
      <w:szCs w:val="21"/>
      <w:u w:val="none"/>
    </w:rPr>
  </w:style>
  <w:style w:type="character" w:customStyle="1" w:styleId="89">
    <w:name w:val="副标题 Char1"/>
    <w:qFormat/>
    <w:uiPriority w:val="0"/>
    <w:rPr>
      <w:rFonts w:ascii="Calibri Light" w:hAnsi="Calibri Light" w:cs="Times New Roman"/>
      <w:b/>
      <w:bCs/>
      <w:kern w:val="28"/>
      <w:sz w:val="32"/>
      <w:szCs w:val="32"/>
    </w:rPr>
  </w:style>
  <w:style w:type="character" w:customStyle="1" w:styleId="90">
    <w:name w:val="标题 1 字符1"/>
    <w:link w:val="2"/>
    <w:qFormat/>
    <w:uiPriority w:val="0"/>
    <w:rPr>
      <w:rFonts w:ascii="宋体" w:hAnsi="宋体" w:eastAsia="黑体" w:cs="Times New Roman"/>
      <w:b/>
      <w:kern w:val="44"/>
      <w:sz w:val="32"/>
      <w:szCs w:val="28"/>
    </w:rPr>
  </w:style>
  <w:style w:type="character" w:customStyle="1" w:styleId="91">
    <w:name w:val="正文正文2 Char"/>
    <w:link w:val="46"/>
    <w:qFormat/>
    <w:uiPriority w:val="0"/>
    <w:rPr>
      <w:rFonts w:ascii="宋体" w:hAnsi="宋体" w:eastAsia="宋体" w:cs="Times New Roman"/>
      <w:bCs/>
      <w:kern w:val="2"/>
      <w:sz w:val="21"/>
      <w:szCs w:val="21"/>
    </w:rPr>
  </w:style>
  <w:style w:type="character" w:customStyle="1" w:styleId="92">
    <w:name w:val="标题 3 字符2"/>
    <w:qFormat/>
    <w:uiPriority w:val="0"/>
    <w:rPr>
      <w:rFonts w:ascii="宋体" w:hAnsi="宋体"/>
      <w:b/>
      <w:bCs/>
      <w:kern w:val="2"/>
      <w:sz w:val="28"/>
      <w:szCs w:val="28"/>
    </w:rPr>
  </w:style>
  <w:style w:type="character" w:customStyle="1" w:styleId="93">
    <w:name w:val="批注主题 字符1"/>
    <w:link w:val="35"/>
    <w:qFormat/>
    <w:uiPriority w:val="99"/>
    <w:rPr>
      <w:rFonts w:ascii="Times New Roman" w:hAnsi="Times New Roman" w:eastAsia="仿宋" w:cs="Times New Roman"/>
      <w:b/>
      <w:bCs/>
      <w:kern w:val="2"/>
      <w:sz w:val="21"/>
      <w:szCs w:val="24"/>
    </w:rPr>
  </w:style>
  <w:style w:type="character" w:customStyle="1" w:styleId="94">
    <w:name w:val="页眉 字符"/>
    <w:qFormat/>
    <w:uiPriority w:val="99"/>
    <w:rPr>
      <w:rFonts w:ascii="宋体" w:hAnsi="宋体"/>
      <w:kern w:val="2"/>
      <w:sz w:val="18"/>
      <w:szCs w:val="18"/>
    </w:rPr>
  </w:style>
  <w:style w:type="character" w:customStyle="1" w:styleId="95">
    <w:name w:val="正文文本缩进 字符1"/>
    <w:qFormat/>
    <w:uiPriority w:val="0"/>
    <w:rPr>
      <w:kern w:val="2"/>
      <w:sz w:val="21"/>
    </w:rPr>
  </w:style>
  <w:style w:type="character" w:customStyle="1" w:styleId="96">
    <w:name w:val="标题 5 字符1"/>
    <w:qFormat/>
    <w:uiPriority w:val="0"/>
    <w:rPr>
      <w:rFonts w:ascii="宋体" w:hAnsi="宋体"/>
      <w:b/>
      <w:bCs/>
      <w:kern w:val="2"/>
      <w:sz w:val="24"/>
      <w:szCs w:val="28"/>
    </w:rPr>
  </w:style>
  <w:style w:type="character" w:customStyle="1" w:styleId="97">
    <w:name w:val="副标题 字符1"/>
    <w:link w:val="29"/>
    <w:qFormat/>
    <w:uiPriority w:val="0"/>
    <w:rPr>
      <w:rFonts w:ascii="Calibri Light" w:hAnsi="Calibri Light" w:eastAsia="宋体" w:cs="Times New Roman"/>
      <w:b/>
      <w:bCs/>
      <w:kern w:val="28"/>
      <w:sz w:val="32"/>
      <w:szCs w:val="32"/>
    </w:rPr>
  </w:style>
  <w:style w:type="character" w:customStyle="1" w:styleId="98">
    <w:name w:val="标题 2 字符1"/>
    <w:link w:val="3"/>
    <w:qFormat/>
    <w:uiPriority w:val="0"/>
    <w:rPr>
      <w:rFonts w:ascii="宋体" w:hAnsi="宋体" w:eastAsia="宋体" w:cs="Times New Roman"/>
      <w:b/>
      <w:kern w:val="2"/>
      <w:sz w:val="30"/>
      <w:szCs w:val="32"/>
    </w:rPr>
  </w:style>
  <w:style w:type="character" w:customStyle="1" w:styleId="99">
    <w:name w:val="页脚 字符1"/>
    <w:link w:val="25"/>
    <w:qFormat/>
    <w:uiPriority w:val="99"/>
    <w:rPr>
      <w:rFonts w:ascii="Times New Roman" w:hAnsi="Times New Roman" w:eastAsia="宋体" w:cs="Times New Roman"/>
      <w:kern w:val="2"/>
      <w:sz w:val="18"/>
      <w:szCs w:val="18"/>
    </w:rPr>
  </w:style>
  <w:style w:type="character" w:customStyle="1" w:styleId="100">
    <w:name w:val="文档结构图 字符1"/>
    <w:link w:val="15"/>
    <w:qFormat/>
    <w:uiPriority w:val="0"/>
    <w:rPr>
      <w:rFonts w:ascii="宋体" w:hAnsi="Times New Roman" w:eastAsia="宋体" w:cs="Times New Roman"/>
      <w:kern w:val="2"/>
      <w:sz w:val="18"/>
      <w:szCs w:val="18"/>
    </w:rPr>
  </w:style>
  <w:style w:type="character" w:customStyle="1" w:styleId="101">
    <w:name w:val="font31"/>
    <w:qFormat/>
    <w:uiPriority w:val="0"/>
    <w:rPr>
      <w:rFonts w:hint="eastAsia" w:ascii="宋体" w:hAnsi="宋体" w:eastAsia="宋体" w:cs="宋体"/>
      <w:color w:val="000000"/>
      <w:sz w:val="21"/>
      <w:szCs w:val="21"/>
      <w:u w:val="none"/>
    </w:rPr>
  </w:style>
  <w:style w:type="character" w:customStyle="1" w:styleId="102">
    <w:name w:val="标准正文 Char"/>
    <w:link w:val="103"/>
    <w:qFormat/>
    <w:uiPriority w:val="0"/>
    <w:rPr>
      <w:rFonts w:ascii="Arial" w:hAnsi="Arial"/>
      <w:kern w:val="2"/>
      <w:sz w:val="24"/>
    </w:rPr>
  </w:style>
  <w:style w:type="paragraph" w:customStyle="1" w:styleId="103">
    <w:name w:val="标准正文"/>
    <w:basedOn w:val="18"/>
    <w:link w:val="102"/>
    <w:qFormat/>
    <w:uiPriority w:val="0"/>
    <w:pPr>
      <w:spacing w:before="60" w:after="60"/>
      <w:ind w:left="0" w:leftChars="0" w:firstLine="482" w:firstLineChars="0"/>
    </w:pPr>
    <w:rPr>
      <w:rFonts w:ascii="Arial" w:hAnsi="Arial" w:eastAsiaTheme="minorEastAsia"/>
      <w:b w:val="0"/>
      <w:bCs w:val="0"/>
      <w:szCs w:val="20"/>
    </w:rPr>
  </w:style>
  <w:style w:type="character" w:customStyle="1" w:styleId="104">
    <w:name w:val="标题 字符1"/>
    <w:link w:val="34"/>
    <w:qFormat/>
    <w:uiPriority w:val="0"/>
    <w:rPr>
      <w:rFonts w:ascii="Cambria" w:hAnsi="Cambria" w:eastAsia="黑体" w:cs="Times New Roman"/>
      <w:b/>
      <w:bCs/>
      <w:kern w:val="2"/>
      <w:sz w:val="52"/>
      <w:szCs w:val="32"/>
    </w:rPr>
  </w:style>
  <w:style w:type="character" w:customStyle="1" w:styleId="105">
    <w:name w:val="批注框文本 字符1"/>
    <w:link w:val="24"/>
    <w:qFormat/>
    <w:uiPriority w:val="99"/>
    <w:rPr>
      <w:rFonts w:ascii="Times New Roman" w:hAnsi="Times New Roman" w:eastAsia="宋体" w:cs="Times New Roman"/>
      <w:kern w:val="2"/>
      <w:sz w:val="18"/>
      <w:szCs w:val="18"/>
    </w:rPr>
  </w:style>
  <w:style w:type="character" w:customStyle="1" w:styleId="106">
    <w:name w:val="页眉 字符1"/>
    <w:link w:val="26"/>
    <w:qFormat/>
    <w:uiPriority w:val="99"/>
    <w:rPr>
      <w:rFonts w:ascii="Times New Roman" w:hAnsi="Times New Roman" w:eastAsia="宋体" w:cs="Times New Roman"/>
      <w:bCs/>
      <w:kern w:val="2"/>
      <w:sz w:val="18"/>
      <w:szCs w:val="18"/>
    </w:rPr>
  </w:style>
  <w:style w:type="character" w:customStyle="1" w:styleId="107">
    <w:name w:val="标题 6 字符1"/>
    <w:qFormat/>
    <w:uiPriority w:val="0"/>
    <w:rPr>
      <w:rFonts w:ascii="Cambria" w:hAnsi="Cambria"/>
      <w:b/>
      <w:bCs/>
      <w:kern w:val="2"/>
      <w:sz w:val="24"/>
      <w:szCs w:val="24"/>
    </w:rPr>
  </w:style>
  <w:style w:type="paragraph" w:customStyle="1" w:styleId="108">
    <w:name w:val="xl72"/>
    <w:basedOn w:val="1"/>
    <w:qFormat/>
    <w:uiPriority w:val="0"/>
    <w:pPr>
      <w:widowControl/>
      <w:spacing w:before="100" w:beforeAutospacing="1" w:after="100" w:afterAutospacing="1" w:line="240" w:lineRule="auto"/>
      <w:ind w:firstLine="0" w:firstLineChars="0"/>
      <w:jc w:val="center"/>
    </w:pPr>
    <w:rPr>
      <w:rFonts w:cs="宋体"/>
      <w:bCs w:val="0"/>
      <w:kern w:val="0"/>
    </w:rPr>
  </w:style>
  <w:style w:type="paragraph" w:customStyle="1" w:styleId="109">
    <w:name w:val="正文（深信服）"/>
    <w:qFormat/>
    <w:uiPriority w:val="0"/>
    <w:pPr>
      <w:spacing w:line="360" w:lineRule="auto"/>
      <w:ind w:firstLine="420"/>
    </w:pPr>
    <w:rPr>
      <w:rFonts w:ascii="Arial" w:hAnsi="Arial" w:eastAsia="宋体" w:cs="Times New Roman"/>
      <w:sz w:val="24"/>
      <w:szCs w:val="21"/>
      <w:shd w:val="clear" w:color="auto" w:fill="FFFFFF"/>
      <w:lang w:val="en-US" w:eastAsia="zh-CN" w:bidi="ar-SA"/>
    </w:rPr>
  </w:style>
  <w:style w:type="paragraph" w:customStyle="1" w:styleId="110">
    <w:name w:val="xl70"/>
    <w:basedOn w:val="1"/>
    <w:qFormat/>
    <w:uiPriority w:val="0"/>
    <w:pPr>
      <w:widowControl/>
      <w:pBdr>
        <w:bottom w:val="single" w:color="auto" w:sz="4" w:space="0"/>
        <w:right w:val="single" w:color="auto" w:sz="4" w:space="0"/>
      </w:pBdr>
      <w:spacing w:before="100" w:beforeAutospacing="1" w:after="100" w:afterAutospacing="1" w:line="240" w:lineRule="auto"/>
      <w:ind w:firstLine="0" w:firstLineChars="0"/>
      <w:jc w:val="right"/>
      <w:textAlignment w:val="center"/>
    </w:pPr>
    <w:rPr>
      <w:rFonts w:ascii="Microsoft Sans Serif" w:hAnsi="Microsoft Sans Serif" w:cs="Microsoft Sans Serif"/>
      <w:bCs w:val="0"/>
      <w:kern w:val="0"/>
      <w:sz w:val="18"/>
      <w:szCs w:val="18"/>
    </w:rPr>
  </w:style>
  <w:style w:type="paragraph" w:customStyle="1" w:styleId="111">
    <w:name w:val="_Style 2"/>
    <w:basedOn w:val="2"/>
    <w:next w:val="1"/>
    <w:qFormat/>
    <w:uiPriority w:val="39"/>
    <w:pPr>
      <w:widowControl/>
      <w:numPr>
        <w:numId w:val="0"/>
      </w:numPr>
      <w:spacing w:before="480" w:after="0" w:line="276" w:lineRule="auto"/>
      <w:outlineLvl w:val="9"/>
    </w:pPr>
    <w:rPr>
      <w:rFonts w:ascii="Cambria" w:hAnsi="Cambria" w:eastAsia="宋体"/>
      <w:bCs/>
      <w:color w:val="365F91"/>
      <w:kern w:val="0"/>
      <w:sz w:val="28"/>
    </w:rPr>
  </w:style>
  <w:style w:type="paragraph" w:customStyle="1" w:styleId="112">
    <w:name w:val="xl68"/>
    <w:basedOn w:val="1"/>
    <w:qFormat/>
    <w:uiPriority w:val="0"/>
    <w:pPr>
      <w:widowControl/>
      <w:pBdr>
        <w:bottom w:val="single" w:color="auto" w:sz="4" w:space="0"/>
        <w:right w:val="single" w:color="auto" w:sz="4" w:space="0"/>
      </w:pBdr>
      <w:spacing w:before="100" w:beforeAutospacing="1" w:after="100" w:afterAutospacing="1" w:line="240" w:lineRule="auto"/>
      <w:ind w:firstLine="0" w:firstLineChars="0"/>
      <w:textAlignment w:val="center"/>
    </w:pPr>
    <w:rPr>
      <w:rFonts w:ascii="Microsoft Sans Serif" w:hAnsi="Microsoft Sans Serif" w:cs="Microsoft Sans Serif"/>
      <w:bCs w:val="0"/>
      <w:kern w:val="0"/>
      <w:sz w:val="18"/>
      <w:szCs w:val="18"/>
    </w:rPr>
  </w:style>
  <w:style w:type="paragraph" w:customStyle="1" w:styleId="113">
    <w:name w:val="前言、引言标题"/>
    <w:next w:val="1"/>
    <w:qFormat/>
    <w:uiPriority w:val="99"/>
    <w:pPr>
      <w:shd w:val="clear" w:color="FFFFFF" w:fill="FFFFFF"/>
      <w:tabs>
        <w:tab w:val="left" w:pos="425"/>
      </w:tabs>
      <w:spacing w:before="640" w:after="560"/>
      <w:jc w:val="center"/>
      <w:outlineLvl w:val="0"/>
    </w:pPr>
    <w:rPr>
      <w:rFonts w:ascii="黑体" w:hAnsi="Times New Roman" w:eastAsia="黑体" w:cs="Times New Roman"/>
      <w:sz w:val="32"/>
      <w:lang w:val="en-US" w:eastAsia="zh-CN" w:bidi="ar-SA"/>
    </w:rPr>
  </w:style>
  <w:style w:type="paragraph" w:customStyle="1" w:styleId="114">
    <w:name w:val="Indent Normal"/>
    <w:basedOn w:val="1"/>
    <w:qFormat/>
    <w:uiPriority w:val="0"/>
    <w:pPr>
      <w:ind w:firstLine="150" w:firstLineChars="150"/>
    </w:pPr>
    <w:rPr>
      <w:bCs w:val="0"/>
    </w:rPr>
  </w:style>
  <w:style w:type="paragraph" w:customStyle="1" w:styleId="115">
    <w:name w:val="msonormal"/>
    <w:basedOn w:val="1"/>
    <w:qFormat/>
    <w:uiPriority w:val="0"/>
    <w:pPr>
      <w:widowControl/>
      <w:spacing w:before="100" w:beforeAutospacing="1" w:after="100" w:afterAutospacing="1" w:line="240" w:lineRule="auto"/>
      <w:ind w:firstLine="0" w:firstLineChars="0"/>
    </w:pPr>
    <w:rPr>
      <w:rFonts w:cs="宋体"/>
      <w:bCs w:val="0"/>
      <w:kern w:val="0"/>
    </w:rPr>
  </w:style>
  <w:style w:type="paragraph" w:customStyle="1" w:styleId="116">
    <w:name w:val="正文 缩进2字符"/>
    <w:basedOn w:val="1"/>
    <w:qFormat/>
    <w:uiPriority w:val="0"/>
    <w:pPr>
      <w:spacing w:afterLines="50" w:line="240" w:lineRule="auto"/>
      <w:ind w:firstLine="0" w:firstLineChars="0"/>
    </w:pPr>
    <w:rPr>
      <w:rFonts w:ascii="Times New Roman" w:hAnsi="Times New Roman" w:cs="宋体"/>
      <w:bCs w:val="0"/>
      <w:sz w:val="21"/>
      <w:szCs w:val="20"/>
    </w:rPr>
  </w:style>
  <w:style w:type="paragraph" w:customStyle="1" w:styleId="117">
    <w:name w:val="列项●（二级）"/>
    <w:qFormat/>
    <w:uiPriority w:val="0"/>
    <w:pPr>
      <w:numPr>
        <w:ilvl w:val="0"/>
        <w:numId w:val="2"/>
      </w:numPr>
      <w:tabs>
        <w:tab w:val="left" w:pos="840"/>
      </w:tabs>
      <w:ind w:left="600" w:leftChars="400" w:hanging="200" w:hangingChars="200"/>
      <w:jc w:val="both"/>
    </w:pPr>
    <w:rPr>
      <w:rFonts w:ascii="宋体" w:hAnsi="Times New Roman" w:eastAsia="宋体" w:cs="Times New Roman"/>
      <w:sz w:val="21"/>
      <w:lang w:val="en-US" w:eastAsia="zh-CN" w:bidi="ar-SA"/>
    </w:rPr>
  </w:style>
  <w:style w:type="paragraph" w:customStyle="1" w:styleId="118">
    <w:name w:val="助手文本"/>
    <w:basedOn w:val="1"/>
    <w:qFormat/>
    <w:uiPriority w:val="0"/>
    <w:pPr>
      <w:autoSpaceDE w:val="0"/>
      <w:autoSpaceDN w:val="0"/>
      <w:adjustRightInd w:val="0"/>
      <w:spacing w:beforeLines="50" w:afterLines="50"/>
      <w:ind w:left="14" w:firstLine="434"/>
      <w:textAlignment w:val="baseline"/>
    </w:pPr>
    <w:rPr>
      <w:rFonts w:ascii="楷体_GB2312" w:eastAsia="楷体_GB2312"/>
      <w:bCs w:val="0"/>
      <w:kern w:val="0"/>
      <w:szCs w:val="20"/>
      <w:u w:val="single"/>
    </w:rPr>
  </w:style>
  <w:style w:type="paragraph" w:customStyle="1" w:styleId="119">
    <w:name w:val="xl67"/>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Microsoft Sans Serif" w:hAnsi="Microsoft Sans Serif" w:cs="Microsoft Sans Serif"/>
      <w:b/>
      <w:kern w:val="0"/>
      <w:sz w:val="18"/>
      <w:szCs w:val="18"/>
    </w:rPr>
  </w:style>
  <w:style w:type="paragraph" w:customStyle="1" w:styleId="120">
    <w:name w:val="段"/>
    <w:qFormat/>
    <w:uiPriority w:val="0"/>
    <w:pPr>
      <w:autoSpaceDE w:val="0"/>
      <w:autoSpaceDN w:val="0"/>
      <w:ind w:firstLine="200" w:firstLineChars="200"/>
      <w:jc w:val="both"/>
    </w:pPr>
    <w:rPr>
      <w:rFonts w:ascii="宋体" w:hAnsi="Times New Roman" w:eastAsia="宋体" w:cs="Calibri"/>
      <w:sz w:val="21"/>
      <w:lang w:val="en-US" w:eastAsia="zh-CN" w:bidi="ar-SA"/>
    </w:rPr>
  </w:style>
  <w:style w:type="paragraph" w:customStyle="1" w:styleId="121">
    <w:name w:val="xl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cs="宋体"/>
      <w:bCs w:val="0"/>
      <w:kern w:val="0"/>
    </w:rPr>
  </w:style>
  <w:style w:type="paragraph" w:customStyle="1" w:styleId="122">
    <w:name w:val="Char Char Char Char Char Char1 Char"/>
    <w:basedOn w:val="1"/>
    <w:qFormat/>
    <w:uiPriority w:val="0"/>
    <w:pPr>
      <w:widowControl/>
      <w:spacing w:line="240" w:lineRule="exact"/>
    </w:pPr>
    <w:rPr>
      <w:bCs w:val="0"/>
    </w:rPr>
  </w:style>
  <w:style w:type="paragraph" w:customStyle="1" w:styleId="123">
    <w:name w:val="PM_Body"/>
    <w:basedOn w:val="1"/>
    <w:qFormat/>
    <w:locked/>
    <w:uiPriority w:val="0"/>
    <w:rPr>
      <w:bCs w:val="0"/>
      <w:szCs w:val="21"/>
    </w:rPr>
  </w:style>
  <w:style w:type="paragraph" w:customStyle="1" w:styleId="124">
    <w:name w:val="Char Char1"/>
    <w:basedOn w:val="1"/>
    <w:qFormat/>
    <w:uiPriority w:val="0"/>
    <w:pPr>
      <w:widowControl/>
      <w:spacing w:before="120" w:after="120"/>
    </w:pPr>
    <w:rPr>
      <w:rFonts w:ascii="Times New Roman" w:hAnsi="Times New Roman" w:cs="宋体"/>
      <w:bCs w:val="0"/>
    </w:rPr>
  </w:style>
  <w:style w:type="paragraph" w:customStyle="1" w:styleId="125">
    <w:name w:val="xl71"/>
    <w:basedOn w:val="1"/>
    <w:qFormat/>
    <w:uiPriority w:val="0"/>
    <w:pPr>
      <w:widowControl/>
      <w:spacing w:before="100" w:beforeAutospacing="1" w:after="100" w:afterAutospacing="1" w:line="240" w:lineRule="auto"/>
      <w:ind w:firstLine="0" w:firstLineChars="0"/>
      <w:jc w:val="right"/>
      <w:textAlignment w:val="center"/>
    </w:pPr>
    <w:rPr>
      <w:rFonts w:ascii="Microsoft Sans Serif" w:hAnsi="Microsoft Sans Serif" w:cs="Microsoft Sans Serif"/>
      <w:bCs w:val="0"/>
      <w:kern w:val="0"/>
      <w:sz w:val="18"/>
      <w:szCs w:val="18"/>
    </w:rPr>
  </w:style>
  <w:style w:type="paragraph" w:customStyle="1" w:styleId="126">
    <w:name w:val="修订1"/>
    <w:unhideWhenUsed/>
    <w:qFormat/>
    <w:uiPriority w:val="99"/>
    <w:rPr>
      <w:rFonts w:ascii="宋体" w:hAnsi="宋体" w:eastAsia="宋体" w:cs="Times New Roman"/>
      <w:kern w:val="2"/>
      <w:sz w:val="24"/>
      <w:szCs w:val="24"/>
      <w:lang w:val="en-US" w:eastAsia="zh-CN" w:bidi="ar-SA"/>
    </w:rPr>
  </w:style>
  <w:style w:type="paragraph" w:customStyle="1" w:styleId="127">
    <w:name w:val="列出段落2"/>
    <w:basedOn w:val="1"/>
    <w:qFormat/>
    <w:uiPriority w:val="0"/>
    <w:pPr>
      <w:spacing w:line="240" w:lineRule="auto"/>
      <w:ind w:firstLine="420"/>
    </w:pPr>
    <w:rPr>
      <w:rFonts w:ascii="等线" w:hAnsi="等线" w:eastAsia="等线" w:cs="等线"/>
      <w:bCs w:val="0"/>
      <w:sz w:val="21"/>
      <w:szCs w:val="21"/>
    </w:rPr>
  </w:style>
  <w:style w:type="paragraph" w:customStyle="1" w:styleId="128">
    <w:name w:val="xl69"/>
    <w:basedOn w:val="1"/>
    <w:qFormat/>
    <w:uiPriority w:val="0"/>
    <w:pPr>
      <w:widowControl/>
      <w:pBdr>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Microsoft Sans Serif" w:hAnsi="Microsoft Sans Serif" w:cs="Microsoft Sans Serif"/>
      <w:bCs w:val="0"/>
      <w:kern w:val="0"/>
      <w:sz w:val="18"/>
      <w:szCs w:val="18"/>
    </w:rPr>
  </w:style>
  <w:style w:type="paragraph" w:customStyle="1" w:styleId="129">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Microsoft Sans Serif" w:hAnsi="Microsoft Sans Serif" w:cs="Microsoft Sans Serif"/>
      <w:b/>
      <w:kern w:val="0"/>
      <w:sz w:val="18"/>
      <w:szCs w:val="18"/>
    </w:rPr>
  </w:style>
  <w:style w:type="paragraph" w:customStyle="1" w:styleId="130">
    <w:name w:val="文档正文文本（中安网脉）"/>
    <w:basedOn w:val="1"/>
    <w:qFormat/>
    <w:uiPriority w:val="0"/>
    <w:pPr>
      <w:ind w:firstLine="200"/>
    </w:pPr>
    <w:rPr>
      <w:rFonts w:ascii="Times New Roman" w:hAnsi="Times New Roman" w:eastAsia="仿宋_GB2312"/>
      <w:bCs w:val="0"/>
      <w:color w:val="000000"/>
      <w:szCs w:val="28"/>
    </w:rPr>
  </w:style>
  <w:style w:type="paragraph" w:customStyle="1" w:styleId="131">
    <w:name w:val="xl65"/>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textAlignment w:val="center"/>
    </w:pPr>
    <w:rPr>
      <w:rFonts w:ascii="Microsoft Sans Serif" w:hAnsi="Microsoft Sans Serif" w:cs="Microsoft Sans Serif"/>
      <w:bCs w:val="0"/>
      <w:kern w:val="0"/>
      <w:sz w:val="18"/>
      <w:szCs w:val="18"/>
    </w:rPr>
  </w:style>
  <w:style w:type="paragraph" w:customStyle="1" w:styleId="132">
    <w:name w:val="正文样式"/>
    <w:unhideWhenUsed/>
    <w:qFormat/>
    <w:uiPriority w:val="0"/>
    <w:pPr>
      <w:widowControl w:val="0"/>
      <w:adjustRightInd w:val="0"/>
      <w:snapToGrid w:val="0"/>
      <w:spacing w:line="360" w:lineRule="auto"/>
      <w:ind w:firstLine="200" w:firstLineChars="200"/>
      <w:jc w:val="both"/>
    </w:pPr>
    <w:rPr>
      <w:rFonts w:ascii="Times New Roman" w:hAnsi="Times New Roman" w:eastAsia="宋体" w:cs="Times New Roman"/>
      <w:bCs/>
      <w:snapToGrid w:val="0"/>
      <w:sz w:val="24"/>
      <w:szCs w:val="44"/>
      <w:lang w:val="en-US" w:eastAsia="zh-CN" w:bidi="ar-SA"/>
    </w:rPr>
  </w:style>
  <w:style w:type="paragraph" w:customStyle="1" w:styleId="133">
    <w:name w:val="样式 行距: 1.5 倍行距 首行缩进:  2 字符"/>
    <w:basedOn w:val="1"/>
    <w:qFormat/>
    <w:uiPriority w:val="0"/>
    <w:pPr>
      <w:ind w:firstLine="560"/>
    </w:pPr>
    <w:rPr>
      <w:rFonts w:ascii="仿宋" w:hAnsi="仿宋" w:eastAsia="仿宋" w:cs="宋体"/>
      <w:bCs w:val="0"/>
      <w:sz w:val="28"/>
      <w:szCs w:val="20"/>
    </w:rPr>
  </w:style>
  <w:style w:type="paragraph" w:customStyle="1" w:styleId="134">
    <w:name w:val="TOC 标题1"/>
    <w:basedOn w:val="2"/>
    <w:next w:val="1"/>
    <w:qFormat/>
    <w:uiPriority w:val="39"/>
    <w:pPr>
      <w:widowControl/>
      <w:numPr>
        <w:numId w:val="0"/>
      </w:numPr>
      <w:spacing w:before="480" w:after="0" w:line="276" w:lineRule="auto"/>
      <w:outlineLvl w:val="9"/>
    </w:pPr>
    <w:rPr>
      <w:rFonts w:ascii="Cambria" w:hAnsi="Cambria" w:eastAsia="宋体"/>
      <w:bCs/>
      <w:color w:val="365F91"/>
      <w:kern w:val="0"/>
      <w:sz w:val="28"/>
    </w:rPr>
  </w:style>
  <w:style w:type="table" w:customStyle="1" w:styleId="135">
    <w:name w:val="!我的表格1"/>
    <w:basedOn w:val="37"/>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
    <w:name w:val="网格型1"/>
    <w:basedOn w:val="37"/>
    <w:unhideWhenUsed/>
    <w:qFormat/>
    <w:uiPriority w:val="5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7">
    <w:name w:val="标题 1 Char"/>
    <w:qFormat/>
    <w:uiPriority w:val="0"/>
    <w:rPr>
      <w:rFonts w:ascii="宋体" w:hAnsi="宋体" w:eastAsia="黑体"/>
      <w:b/>
      <w:bCs/>
      <w:kern w:val="44"/>
      <w:sz w:val="32"/>
      <w:szCs w:val="28"/>
    </w:rPr>
  </w:style>
  <w:style w:type="character" w:customStyle="1" w:styleId="138">
    <w:name w:val="纯文本 Char2"/>
    <w:qFormat/>
    <w:uiPriority w:val="0"/>
    <w:rPr>
      <w:rFonts w:ascii="宋体" w:hAnsi="宋体" w:eastAsia="宋体" w:cs="Times New Roman"/>
      <w:color w:val="000000"/>
      <w:kern w:val="0"/>
      <w:sz w:val="24"/>
      <w:szCs w:val="24"/>
    </w:rPr>
  </w:style>
  <w:style w:type="paragraph" w:customStyle="1" w:styleId="139">
    <w:name w:val="列出段落1"/>
    <w:basedOn w:val="1"/>
    <w:qFormat/>
    <w:uiPriority w:val="34"/>
    <w:pPr>
      <w:spacing w:line="240" w:lineRule="auto"/>
      <w:ind w:firstLine="420"/>
    </w:pPr>
    <w:rPr>
      <w:rFonts w:ascii="Calibri" w:hAnsi="Calibri"/>
      <w:bCs w:val="0"/>
      <w:sz w:val="21"/>
      <w:szCs w:val="22"/>
    </w:rPr>
  </w:style>
  <w:style w:type="paragraph" w:customStyle="1" w:styleId="140">
    <w:name w:val="表格"/>
    <w:basedOn w:val="1"/>
    <w:qFormat/>
    <w:uiPriority w:val="0"/>
    <w:pPr>
      <w:spacing w:line="240" w:lineRule="auto"/>
      <w:ind w:firstLine="0" w:firstLineChars="0"/>
      <w:jc w:val="center"/>
    </w:pPr>
    <w:rPr>
      <w:rFonts w:hint="eastAsia"/>
      <w:bCs w:val="0"/>
      <w:sz w:val="21"/>
    </w:rPr>
  </w:style>
  <w:style w:type="paragraph" w:customStyle="1" w:styleId="141">
    <w:name w:val="14、“第一章”一级标题"/>
    <w:basedOn w:val="140"/>
    <w:qFormat/>
    <w:uiPriority w:val="0"/>
    <w:pPr>
      <w:tabs>
        <w:tab w:val="left" w:pos="0"/>
      </w:tabs>
      <w:wordWrap w:val="0"/>
      <w:topLinePunct/>
      <w:spacing w:beforeLines="50" w:afterLines="50"/>
      <w:ind w:left="723"/>
      <w:outlineLvl w:val="0"/>
    </w:pPr>
    <w:rPr>
      <w:rFonts w:hint="default" w:eastAsia="仿宋" w:cstheme="minorBidi"/>
      <w:b/>
      <w:snapToGrid w:val="0"/>
      <w:sz w:val="36"/>
      <w:szCs w:val="22"/>
    </w:rPr>
  </w:style>
  <w:style w:type="paragraph" w:customStyle="1" w:styleId="142">
    <w:name w:val="修订2"/>
    <w:hidden/>
    <w:unhideWhenUsed/>
    <w:qFormat/>
    <w:uiPriority w:val="99"/>
    <w:rPr>
      <w:rFonts w:ascii="仿宋" w:hAnsi="仿宋" w:eastAsia="仿宋" w:cstheme="minorBidi"/>
      <w:kern w:val="2"/>
      <w:sz w:val="24"/>
      <w:szCs w:val="22"/>
      <w:lang w:val="en-US" w:eastAsia="zh-CN" w:bidi="ar-SA"/>
    </w:rPr>
  </w:style>
  <w:style w:type="paragraph" w:customStyle="1" w:styleId="143">
    <w:name w:val="font5"/>
    <w:basedOn w:val="1"/>
    <w:qFormat/>
    <w:uiPriority w:val="0"/>
    <w:pPr>
      <w:widowControl/>
      <w:spacing w:before="100" w:beforeAutospacing="1" w:after="100" w:afterAutospacing="1" w:line="240" w:lineRule="auto"/>
      <w:ind w:firstLine="0" w:firstLineChars="0"/>
    </w:pPr>
    <w:rPr>
      <w:rFonts w:cs="宋体"/>
      <w:bCs w:val="0"/>
      <w:color w:val="000000"/>
      <w:kern w:val="0"/>
      <w:sz w:val="20"/>
      <w:szCs w:val="20"/>
    </w:rPr>
  </w:style>
  <w:style w:type="paragraph" w:customStyle="1" w:styleId="144">
    <w:name w:val="font6"/>
    <w:basedOn w:val="1"/>
    <w:qFormat/>
    <w:uiPriority w:val="0"/>
    <w:pPr>
      <w:widowControl/>
      <w:spacing w:before="100" w:beforeAutospacing="1" w:after="100" w:afterAutospacing="1" w:line="240" w:lineRule="auto"/>
      <w:ind w:firstLine="0" w:firstLineChars="0"/>
    </w:pPr>
    <w:rPr>
      <w:rFonts w:ascii="等线" w:hAnsi="等线" w:eastAsia="等线" w:cs="宋体"/>
      <w:bCs w:val="0"/>
      <w:color w:val="000000"/>
      <w:kern w:val="0"/>
      <w:sz w:val="20"/>
      <w:szCs w:val="20"/>
    </w:rPr>
  </w:style>
  <w:style w:type="paragraph" w:customStyle="1" w:styleId="145">
    <w:name w:val="font7"/>
    <w:basedOn w:val="1"/>
    <w:qFormat/>
    <w:uiPriority w:val="0"/>
    <w:pPr>
      <w:widowControl/>
      <w:spacing w:before="100" w:beforeAutospacing="1" w:after="100" w:afterAutospacing="1" w:line="240" w:lineRule="auto"/>
      <w:ind w:firstLine="0" w:firstLineChars="0"/>
    </w:pPr>
    <w:rPr>
      <w:rFonts w:ascii="等线" w:hAnsi="等线" w:eastAsia="等线" w:cs="宋体"/>
      <w:b/>
      <w:kern w:val="0"/>
      <w:sz w:val="18"/>
      <w:szCs w:val="18"/>
    </w:rPr>
  </w:style>
  <w:style w:type="paragraph" w:customStyle="1" w:styleId="146">
    <w:name w:val="xl74"/>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cs="宋体"/>
      <w:bCs w:val="0"/>
      <w:kern w:val="0"/>
      <w:sz w:val="20"/>
      <w:szCs w:val="20"/>
    </w:rPr>
  </w:style>
  <w:style w:type="paragraph" w:customStyle="1" w:styleId="147">
    <w:name w:val="Revision"/>
    <w:hidden/>
    <w:unhideWhenUsed/>
    <w:qFormat/>
    <w:uiPriority w:val="99"/>
    <w:rPr>
      <w:rFonts w:ascii="宋体" w:hAnsi="宋体" w:eastAsia="宋体" w:cs="Times New Roman"/>
      <w:bCs/>
      <w:kern w:val="2"/>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numbering" Target="numbering.xml"/><Relationship Id="rId15" Type="http://schemas.openxmlformats.org/officeDocument/2006/relationships/image" Target="media/image2.emf"/><Relationship Id="rId14" Type="http://schemas.openxmlformats.org/officeDocument/2006/relationships/oleObject" Target="embeddings/oleObject2.bin"/><Relationship Id="rId13" Type="http://schemas.openxmlformats.org/officeDocument/2006/relationships/image" Target="media/image1.emf"/><Relationship Id="rId12" Type="http://schemas.openxmlformats.org/officeDocument/2006/relationships/oleObject" Target="embeddings/oleObject1.bin"/><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7EC26561-811A-4E2F-8F23-BD0D99FAED51}">
  <ds:schemaRefs/>
</ds:datastoreItem>
</file>

<file path=docProps/app.xml><?xml version="1.0" encoding="utf-8"?>
<Properties xmlns="http://schemas.openxmlformats.org/officeDocument/2006/extended-properties" xmlns:vt="http://schemas.openxmlformats.org/officeDocument/2006/docPropsVTypes">
  <Template>Normal</Template>
  <Pages>148</Pages>
  <Words>17569</Words>
  <Characters>100144</Characters>
  <Lines>834</Lines>
  <Paragraphs>234</Paragraphs>
  <TotalTime>15</TotalTime>
  <ScaleCrop>false</ScaleCrop>
  <LinksUpToDate>false</LinksUpToDate>
  <CharactersWithSpaces>117479</CharactersWithSpaces>
  <Application>WPS Office_12.8.2.21176_F1E327BC-269C-435d-A152-05C5408002CA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2026-02-13T19:18:00Z</dcterms:created>
  <dc:creator>user</dc:creator>
  <cp:lastModifiedBy>张姝雅</cp:lastModifiedBy>
  <cp:lastPrinted>2026-02-14T17:09:00Z</cp:lastPrinted>
  <dcterms:modified xsi:type="dcterms:W3CDTF">2026-02-24T14:17:04Z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2052-12.8.2.21176</vt:lpwstr>
  </property>
  <property fmtid="{D5CDD505-2E9C-101B-9397-08002B2CF9AE}" pid="3" name="ICV">
    <vt:lpwstr>7C30B835A44CCB80CF419D6954D99B1D_43</vt:lpwstr>
  </property>
</Properties>
</file>