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38CFEA">
      <w:pPr>
        <w:spacing w:line="360" w:lineRule="auto"/>
        <w:jc w:val="center"/>
        <w:rPr>
          <w:rFonts w:hint="eastAsia" w:ascii="黑体" w:hAnsi="黑体" w:eastAsia="黑体"/>
          <w:sz w:val="28"/>
        </w:rPr>
      </w:pPr>
      <w:bookmarkStart w:id="0" w:name="OLE_LINK4"/>
      <w:r>
        <w:rPr>
          <w:rFonts w:hint="eastAsia" w:ascii="黑体" w:hAnsi="黑体" w:eastAsia="黑体"/>
          <w:sz w:val="28"/>
        </w:rPr>
        <w:t>上海城市更新专项规划</w:t>
      </w:r>
    </w:p>
    <w:bookmarkEnd w:id="0"/>
    <w:p w14:paraId="228D2125">
      <w:pPr>
        <w:spacing w:line="360" w:lineRule="auto"/>
        <w:jc w:val="center"/>
        <w:rPr>
          <w:rFonts w:hint="eastAsia" w:ascii="黑体" w:hAnsi="黑体" w:eastAsia="黑体"/>
          <w:sz w:val="28"/>
        </w:rPr>
      </w:pPr>
      <w:r>
        <w:rPr>
          <w:rFonts w:ascii="黑体" w:hAnsi="黑体" w:eastAsia="黑体"/>
          <w:sz w:val="28"/>
        </w:rPr>
        <w:t>采购需求</w:t>
      </w:r>
    </w:p>
    <w:p w14:paraId="1B3D59D1">
      <w:pPr>
        <w:spacing w:line="360" w:lineRule="auto"/>
        <w:ind w:firstLine="420" w:firstLineChars="200"/>
        <w:rPr>
          <w:rFonts w:hint="eastAsia" w:ascii="宋体" w:hAnsi="宋体"/>
        </w:rPr>
      </w:pPr>
    </w:p>
    <w:p w14:paraId="1BAB6472">
      <w:pPr>
        <w:spacing w:line="360" w:lineRule="auto"/>
        <w:rPr>
          <w:rFonts w:hint="eastAsia" w:ascii="宋体" w:hAnsi="宋体"/>
          <w:b/>
          <w:bCs/>
        </w:rPr>
      </w:pPr>
      <w:r>
        <w:rPr>
          <w:rFonts w:hint="eastAsia" w:ascii="宋体" w:hAnsi="宋体"/>
          <w:b/>
          <w:bCs/>
        </w:rPr>
        <w:t>工作背景</w:t>
      </w:r>
    </w:p>
    <w:p w14:paraId="193921C3">
      <w:pPr>
        <w:spacing w:line="360" w:lineRule="auto"/>
        <w:ind w:firstLine="420" w:firstLineChars="200"/>
        <w:rPr>
          <w:rFonts w:hint="eastAsia" w:ascii="宋体" w:hAnsi="宋体"/>
        </w:rPr>
      </w:pPr>
      <w:r>
        <w:rPr>
          <w:rFonts w:hint="eastAsia" w:ascii="宋体" w:hAnsi="宋体"/>
        </w:rPr>
        <w:t>2025年5月，中办、国办印发了《关于持续推进城市更新行动的意见》，要求各城市制定城市更新专项规划，建立完善“专项规划—片区策划—项目实施方案”的规划实施体系。8月《中共中央 国务院关于推动城市高质量发展的意见》明确要求“科学制定实施城市更新专项规划”。住建部近期也陆续下发《城市更新规划编制导则》《城市更新规划编制工作手册》等文件，组织城市更新专题培训，进一步明确城市更新专项规划的具体要求。</w:t>
      </w:r>
    </w:p>
    <w:p w14:paraId="3FD10018">
      <w:pPr>
        <w:spacing w:line="360" w:lineRule="auto"/>
        <w:ind w:firstLine="420" w:firstLineChars="200"/>
        <w:rPr>
          <w:rFonts w:hint="eastAsia" w:ascii="宋体" w:hAnsi="宋体"/>
        </w:rPr>
      </w:pPr>
      <w:r>
        <w:rPr>
          <w:rFonts w:hint="eastAsia" w:ascii="宋体" w:hAnsi="宋体"/>
        </w:rPr>
        <w:t>本次规划范围为上海市城镇开发边界内的建成空间。</w:t>
      </w:r>
    </w:p>
    <w:p w14:paraId="4FFD72C8">
      <w:pPr>
        <w:spacing w:line="360" w:lineRule="auto"/>
        <w:ind w:firstLine="420" w:firstLineChars="200"/>
        <w:rPr>
          <w:rFonts w:hint="eastAsia" w:ascii="宋体" w:hAnsi="宋体"/>
        </w:rPr>
      </w:pPr>
    </w:p>
    <w:p w14:paraId="4929493C">
      <w:pPr>
        <w:spacing w:line="360" w:lineRule="auto"/>
        <w:rPr>
          <w:rFonts w:hint="eastAsia" w:ascii="宋体" w:hAnsi="宋体"/>
          <w:b/>
          <w:bCs/>
        </w:rPr>
      </w:pPr>
      <w:r>
        <w:rPr>
          <w:rFonts w:hint="eastAsia" w:ascii="宋体" w:hAnsi="宋体"/>
          <w:b/>
          <w:bCs/>
        </w:rPr>
        <w:t>工作内容及要求</w:t>
      </w:r>
    </w:p>
    <w:p w14:paraId="6170FE18">
      <w:pPr>
        <w:spacing w:line="360" w:lineRule="auto"/>
        <w:ind w:firstLine="420" w:firstLineChars="200"/>
        <w:rPr>
          <w:rFonts w:hint="eastAsia" w:ascii="宋体" w:hAnsi="宋体"/>
          <w:b w:val="0"/>
          <w:bCs w:val="0"/>
        </w:rPr>
      </w:pPr>
      <w:r>
        <w:rPr>
          <w:rFonts w:hint="eastAsia" w:ascii="宋体" w:hAnsi="宋体"/>
        </w:rPr>
        <w:t>上海市城市更新专项规划是以推动城区存量空间优化为核心的综合性专项规划，是统筹全市城市更新工作的纲领性文件。通过专项规划编制，一是做好更新任务的上下衔接，构建城市更新实施体系。上接国民经济和社会发展规划、2035城市总规等，下接片区策划、项目实施方案，强化城市体检和城市更新一体化推进，逐步完善以需求为导向、以项目为牵引的城市更新实施体制机制。二是明确重点任务，划定更新片区。根据城市更新“十五五”规划、市区相关重点工作计划等，明确全市城市更新重点任务及空间落位，确定未来五年重点启动和推进的更新片区。三是指导片区策划，谋划一批实施性强的更新项目。引导各类政府</w:t>
      </w:r>
      <w:r>
        <w:rPr>
          <w:rFonts w:hint="eastAsia" w:ascii="宋体" w:hAnsi="宋体"/>
          <w:b w:val="0"/>
          <w:bCs w:val="0"/>
        </w:rPr>
        <w:t>投入、市场资金等在片区形成组合效应，加大各项资源、政策在片区内的集聚，切实推动一批更新项目加快启动和实施。</w:t>
      </w:r>
    </w:p>
    <w:p w14:paraId="0692C4BB">
      <w:pPr>
        <w:spacing w:line="360" w:lineRule="auto"/>
        <w:ind w:firstLine="420" w:firstLineChars="200"/>
        <w:rPr>
          <w:rFonts w:hint="eastAsia" w:ascii="宋体" w:hAnsi="宋体"/>
          <w:b w:val="0"/>
          <w:bCs w:val="0"/>
        </w:rPr>
      </w:pPr>
      <w:r>
        <w:rPr>
          <w:rFonts w:hint="eastAsia" w:ascii="宋体" w:hAnsi="宋体"/>
        </w:rPr>
        <w:t>上海市城市更新专项规划是指导全市城市更新实施的专项规划，专业条线多、技术门槛高、编制难度大。全国范围内城市更新专项规划尚处于探索阶段，上海也是首次编制城市更新专项规划，自身经验和参考案例都相对缺乏，需要开展大量创新性探索工作，整体技术难度</w:t>
      </w:r>
      <w:r>
        <w:rPr>
          <w:rFonts w:hint="eastAsia" w:ascii="宋体" w:hAnsi="宋体"/>
          <w:lang w:eastAsia="zh-CN"/>
        </w:rPr>
        <w:t>较</w:t>
      </w:r>
      <w:r>
        <w:rPr>
          <w:rFonts w:hint="eastAsia" w:ascii="宋体" w:hAnsi="宋体"/>
        </w:rPr>
        <w:t>高。</w:t>
      </w:r>
    </w:p>
    <w:p w14:paraId="4FEB4FD3">
      <w:pPr>
        <w:spacing w:line="360" w:lineRule="auto"/>
        <w:ind w:firstLine="420" w:firstLineChars="200"/>
        <w:rPr>
          <w:rFonts w:hint="eastAsia" w:ascii="宋体" w:hAnsi="宋体"/>
          <w:b w:val="0"/>
          <w:bCs w:val="0"/>
        </w:rPr>
      </w:pPr>
      <w:r>
        <w:rPr>
          <w:rFonts w:hint="eastAsia" w:ascii="宋体" w:hAnsi="宋体"/>
          <w:b w:val="0"/>
          <w:bCs w:val="0"/>
        </w:rPr>
        <w:t>本次工作主要包括以下内容：</w:t>
      </w:r>
    </w:p>
    <w:p w14:paraId="36C754A0">
      <w:pPr>
        <w:spacing w:line="360" w:lineRule="auto"/>
        <w:ind w:firstLine="420" w:firstLineChars="200"/>
        <w:rPr>
          <w:rFonts w:hint="eastAsia" w:ascii="宋体" w:hAnsi="宋体"/>
          <w:b w:val="0"/>
          <w:bCs w:val="0"/>
        </w:rPr>
      </w:pPr>
      <w:r>
        <w:rPr>
          <w:rFonts w:hint="eastAsia" w:ascii="宋体" w:hAnsi="宋体"/>
          <w:b w:val="0"/>
          <w:bCs w:val="0"/>
        </w:rPr>
        <w:t>一是开展城市体检。坚持规划引领、体检先行，一体化推进城市体检和城市更新。需基于既有城市体检工作进行开展，该部分内容聚焦城市更新，更新问题、需求和资源的颗粒度较细，需深度了解上海体检工作。</w:t>
      </w:r>
    </w:p>
    <w:p w14:paraId="7C39BA1B">
      <w:pPr>
        <w:spacing w:line="360" w:lineRule="auto"/>
        <w:ind w:firstLine="420" w:firstLineChars="200"/>
        <w:rPr>
          <w:rFonts w:hint="eastAsia" w:ascii="宋体" w:hAnsi="宋体" w:eastAsia="宋体"/>
          <w:b w:val="0"/>
          <w:bCs w:val="0"/>
          <w:lang w:val="en-US" w:eastAsia="zh-CN"/>
        </w:rPr>
      </w:pPr>
      <w:r>
        <w:rPr>
          <w:rFonts w:hint="eastAsia" w:ascii="宋体" w:hAnsi="宋体"/>
          <w:b w:val="0"/>
          <w:bCs w:val="0"/>
        </w:rPr>
        <w:t>1）开展更新问题评估，确定更新对象，</w:t>
      </w:r>
      <w:r>
        <w:rPr>
          <w:rFonts w:hint="eastAsia"/>
          <w:b w:val="0"/>
          <w:bCs w:val="0"/>
        </w:rPr>
        <w:t>重点对城市问题进行系统分析和有效识别，深入查找群众急难愁盼问题和影响城市竞争力、承载力、可持续发展的短板弱项，</w:t>
      </w:r>
      <w:r>
        <w:rPr>
          <w:rFonts w:hint="eastAsia" w:ascii="宋体" w:hAnsi="宋体"/>
          <w:b w:val="0"/>
          <w:bCs w:val="0"/>
        </w:rPr>
        <w:t>提出问题清单、整治建议清单并形成“问题地图”。</w:t>
      </w:r>
    </w:p>
    <w:p w14:paraId="03513E48">
      <w:pPr>
        <w:spacing w:line="360" w:lineRule="auto"/>
        <w:ind w:firstLine="420" w:firstLineChars="200"/>
        <w:rPr>
          <w:rFonts w:hint="eastAsia" w:ascii="宋体" w:hAnsi="宋体"/>
          <w:b w:val="0"/>
          <w:bCs w:val="0"/>
        </w:rPr>
      </w:pPr>
      <w:r>
        <w:rPr>
          <w:rFonts w:hint="eastAsia" w:ascii="宋体" w:hAnsi="宋体"/>
          <w:b w:val="0"/>
          <w:bCs w:val="0"/>
        </w:rPr>
        <w:t>2）开展更新需求调查，</w:t>
      </w:r>
      <w:r>
        <w:rPr>
          <w:rFonts w:hint="eastAsia"/>
          <w:b w:val="0"/>
          <w:bCs w:val="0"/>
        </w:rPr>
        <w:t>调查市民需求、主体更新意愿、部门工作要求、更新总体谋划等各方面内容，</w:t>
      </w:r>
      <w:r>
        <w:rPr>
          <w:rFonts w:hint="eastAsia" w:ascii="宋体" w:hAnsi="宋体"/>
          <w:b w:val="0"/>
          <w:bCs w:val="0"/>
        </w:rPr>
        <w:t>提出更新需求清单并形成“需求地图”。</w:t>
      </w:r>
    </w:p>
    <w:p w14:paraId="11622101">
      <w:pPr>
        <w:spacing w:line="360" w:lineRule="auto"/>
        <w:ind w:firstLine="420" w:firstLineChars="200"/>
        <w:rPr>
          <w:rFonts w:hint="eastAsia" w:ascii="宋体" w:hAnsi="宋体"/>
          <w:b w:val="0"/>
          <w:bCs w:val="0"/>
        </w:rPr>
      </w:pPr>
      <w:r>
        <w:rPr>
          <w:rFonts w:hint="eastAsia" w:ascii="宋体" w:hAnsi="宋体"/>
          <w:b w:val="0"/>
          <w:bCs w:val="0"/>
        </w:rPr>
        <w:t>3）充分摸底更新潜力，基于现状调查成果，结合低效闲置、需要提升的空间潜力资源，形成“资源地图”。</w:t>
      </w:r>
    </w:p>
    <w:p w14:paraId="04CA5482">
      <w:pPr>
        <w:spacing w:line="360" w:lineRule="auto"/>
        <w:ind w:firstLine="420" w:firstLineChars="200"/>
        <w:rPr>
          <w:rFonts w:hint="default" w:ascii="仿宋_GB2312" w:hAnsi="仿宋_GB2312" w:eastAsia="宋体" w:cs="仿宋_GB2312"/>
          <w:b w:val="0"/>
          <w:bCs w:val="0"/>
          <w:szCs w:val="32"/>
          <w:lang w:val="en-US" w:eastAsia="zh-CN"/>
        </w:rPr>
      </w:pPr>
      <w:r>
        <w:rPr>
          <w:rFonts w:hint="eastAsia"/>
          <w:b w:val="0"/>
          <w:bCs w:val="0"/>
        </w:rPr>
        <w:t>二是明确目标指标。落实国民经济和社会发展规划和“上海2035”总规，制定更新规划总体目标，确定面向2035年的总体更新目标；重点围绕2030年，</w:t>
      </w:r>
      <w:r>
        <w:rPr>
          <w:rFonts w:hint="eastAsia" w:ascii="仿宋_GB2312" w:hAnsi="仿宋_GB2312" w:cs="仿宋_GB2312"/>
          <w:b w:val="0"/>
          <w:bCs w:val="0"/>
          <w:szCs w:val="32"/>
        </w:rPr>
        <w:t>制定未来五年城市更新总体目标，及可量化考核、可空间落位的城市更新的各项工作目标。</w:t>
      </w:r>
    </w:p>
    <w:p w14:paraId="1EF789DE">
      <w:pPr>
        <w:spacing w:line="360" w:lineRule="auto"/>
        <w:ind w:firstLine="420" w:firstLineChars="200"/>
        <w:rPr>
          <w:b w:val="0"/>
          <w:bCs w:val="0"/>
        </w:rPr>
      </w:pPr>
      <w:r>
        <w:rPr>
          <w:rFonts w:hint="eastAsia"/>
          <w:b w:val="0"/>
          <w:bCs w:val="0"/>
        </w:rPr>
        <w:t>三是确定更新重点任务。落实国家城市更新行动要求，按照城市更新“十五五”规划提出的“8+3”任务体系。开展既有居住建筑改造利用、城镇老旧小区整治改造、完整社区建设、城中村改造、商务楼宇和商业设施更新、产业用地提质增效、城市功能完善、城市基础设施改造、城市生态系统修复、城市历史文化保护传承等10个领域的更新潜力评估，根据各领域重点和更新需求，结合更新潜力资源识别，提出</w:t>
      </w:r>
      <w:r>
        <w:rPr>
          <w:b w:val="0"/>
          <w:bCs w:val="0"/>
        </w:rPr>
        <w:t>更新策略和思路</w:t>
      </w:r>
      <w:r>
        <w:rPr>
          <w:rFonts w:hint="eastAsia"/>
          <w:b w:val="0"/>
          <w:bCs w:val="0"/>
        </w:rPr>
        <w:t>，制定更新重点任务，并在空间中进行落位。</w:t>
      </w:r>
    </w:p>
    <w:p w14:paraId="5B004113">
      <w:pPr>
        <w:numPr>
          <w:ilvl w:val="0"/>
          <w:numId w:val="1"/>
        </w:numPr>
        <w:spacing w:line="360" w:lineRule="auto"/>
        <w:ind w:firstLine="420" w:firstLineChars="200"/>
        <w:rPr>
          <w:rFonts w:hint="eastAsia" w:ascii="宋体" w:hAnsi="宋体"/>
          <w:b w:val="0"/>
          <w:bCs w:val="0"/>
        </w:rPr>
      </w:pPr>
      <w:r>
        <w:rPr>
          <w:rFonts w:hint="eastAsia"/>
          <w:b w:val="0"/>
          <w:bCs w:val="0"/>
        </w:rPr>
        <w:t>既有居住建筑改造利用，更新内容包含全市C、D级危险房屋、小梁薄板房屋、不成套职工住宅，及</w:t>
      </w:r>
      <w:r>
        <w:rPr>
          <w:rFonts w:hint="eastAsia" w:ascii="宋体" w:hAnsi="宋体"/>
          <w:b w:val="0"/>
          <w:bCs w:val="0"/>
        </w:rPr>
        <w:t>不成套里弄、公寓及花园住宅等。</w:t>
      </w:r>
    </w:p>
    <w:p w14:paraId="24D9D7C9">
      <w:pPr>
        <w:numPr>
          <w:ilvl w:val="0"/>
          <w:numId w:val="1"/>
        </w:numPr>
        <w:spacing w:line="360" w:lineRule="auto"/>
        <w:ind w:firstLine="420" w:firstLineChars="200"/>
        <w:rPr>
          <w:b w:val="0"/>
          <w:bCs w:val="0"/>
        </w:rPr>
      </w:pPr>
      <w:r>
        <w:rPr>
          <w:rFonts w:hint="eastAsia" w:ascii="宋体" w:hAnsi="宋体"/>
          <w:b w:val="0"/>
          <w:bCs w:val="0"/>
        </w:rPr>
        <w:t>城镇老旧小区整治改造，更新内容包含</w:t>
      </w:r>
      <w:r>
        <w:rPr>
          <w:rFonts w:hint="eastAsia"/>
          <w:b w:val="0"/>
          <w:bCs w:val="0"/>
        </w:rPr>
        <w:t>全市2000年前老旧小区及2000-2005年建成的小区；</w:t>
      </w:r>
    </w:p>
    <w:p w14:paraId="6D39FD3B">
      <w:pPr>
        <w:numPr>
          <w:ilvl w:val="0"/>
          <w:numId w:val="1"/>
        </w:numPr>
        <w:spacing w:line="360" w:lineRule="auto"/>
        <w:ind w:firstLine="420" w:firstLineChars="200"/>
        <w:rPr>
          <w:b w:val="0"/>
          <w:bCs w:val="0"/>
        </w:rPr>
      </w:pPr>
      <w:r>
        <w:rPr>
          <w:rFonts w:hint="eastAsia"/>
          <w:b w:val="0"/>
          <w:bCs w:val="0"/>
        </w:rPr>
        <w:t>完整社区建设，结合全市完整社区、15分钟社区生活圈和嵌入式公共服务设施，推进社区级公共服务设施建设；</w:t>
      </w:r>
    </w:p>
    <w:p w14:paraId="07A04840">
      <w:pPr>
        <w:numPr>
          <w:ilvl w:val="0"/>
          <w:numId w:val="1"/>
        </w:numPr>
        <w:spacing w:line="360" w:lineRule="auto"/>
        <w:ind w:firstLine="420" w:firstLineChars="200"/>
        <w:rPr>
          <w:b w:val="0"/>
          <w:bCs w:val="0"/>
        </w:rPr>
      </w:pPr>
      <w:r>
        <w:rPr>
          <w:rFonts w:hint="eastAsia"/>
          <w:b w:val="0"/>
          <w:bCs w:val="0"/>
        </w:rPr>
        <w:t>城中村改造，评估城中村更新潜力，摸底城中村空间资源，确定城中村改造的规模、数量和空间分布。</w:t>
      </w:r>
    </w:p>
    <w:p w14:paraId="251865BE">
      <w:pPr>
        <w:numPr>
          <w:ilvl w:val="0"/>
          <w:numId w:val="1"/>
        </w:numPr>
        <w:spacing w:line="360" w:lineRule="auto"/>
        <w:ind w:firstLine="420" w:firstLineChars="200"/>
        <w:rPr>
          <w:b w:val="0"/>
          <w:bCs w:val="0"/>
        </w:rPr>
      </w:pPr>
      <w:r>
        <w:rPr>
          <w:rFonts w:hint="eastAsia"/>
          <w:b w:val="0"/>
          <w:bCs w:val="0"/>
        </w:rPr>
        <w:t>商务楼宇和商业设施更新，更新内容包括全市商务楼宇、商务区、商业设施、商圈及商业街区。</w:t>
      </w:r>
    </w:p>
    <w:p w14:paraId="71BE2492">
      <w:pPr>
        <w:numPr>
          <w:ilvl w:val="0"/>
          <w:numId w:val="1"/>
        </w:numPr>
        <w:spacing w:line="360" w:lineRule="auto"/>
        <w:ind w:firstLine="420" w:firstLineChars="200"/>
        <w:rPr>
          <w:b w:val="0"/>
          <w:bCs w:val="0"/>
        </w:rPr>
      </w:pPr>
      <w:r>
        <w:rPr>
          <w:rFonts w:hint="eastAsia"/>
          <w:b w:val="0"/>
          <w:bCs w:val="0"/>
        </w:rPr>
        <w:t>产业空间提质增效，更新内容包含全市C、D类低效产业用地及零星工业用地；</w:t>
      </w:r>
    </w:p>
    <w:p w14:paraId="0ED9E390">
      <w:pPr>
        <w:numPr>
          <w:ilvl w:val="0"/>
          <w:numId w:val="1"/>
        </w:numPr>
        <w:spacing w:line="360" w:lineRule="auto"/>
        <w:ind w:firstLine="420" w:firstLineChars="200"/>
        <w:rPr>
          <w:b w:val="0"/>
          <w:bCs w:val="0"/>
        </w:rPr>
      </w:pPr>
      <w:r>
        <w:rPr>
          <w:rFonts w:hint="eastAsia"/>
          <w:b w:val="0"/>
          <w:bCs w:val="0"/>
        </w:rPr>
        <w:t>城市功能完善，更新内容包含</w:t>
      </w:r>
      <w:r>
        <w:rPr>
          <w:rFonts w:ascii="宋体" w:hAnsi="宋体"/>
          <w:b w:val="0"/>
          <w:bCs w:val="0"/>
        </w:rPr>
        <w:t>教育、医疗、养老、文化、体育等</w:t>
      </w:r>
      <w:r>
        <w:rPr>
          <w:rFonts w:hint="eastAsia" w:ascii="宋体" w:hAnsi="宋体"/>
          <w:b w:val="0"/>
          <w:bCs w:val="0"/>
        </w:rPr>
        <w:t>区级以上</w:t>
      </w:r>
      <w:r>
        <w:rPr>
          <w:rFonts w:ascii="宋体" w:hAnsi="宋体"/>
          <w:b w:val="0"/>
          <w:bCs w:val="0"/>
        </w:rPr>
        <w:t>设施，</w:t>
      </w:r>
      <w:r>
        <w:rPr>
          <w:rFonts w:hint="eastAsia"/>
          <w:b w:val="0"/>
          <w:bCs w:val="0"/>
        </w:rPr>
        <w:t>、“一老一小”空间、城市公共空间、</w:t>
      </w:r>
      <w:r>
        <w:rPr>
          <w:rFonts w:hint="eastAsia" w:ascii="宋体" w:hAnsi="宋体"/>
          <w:b w:val="0"/>
          <w:bCs w:val="0"/>
        </w:rPr>
        <w:t>人防、应急避难场所</w:t>
      </w:r>
      <w:r>
        <w:rPr>
          <w:rFonts w:hint="eastAsia"/>
          <w:b w:val="0"/>
          <w:bCs w:val="0"/>
        </w:rPr>
        <w:t>和“平急两用”公共基础设施等更新。</w:t>
      </w:r>
    </w:p>
    <w:p w14:paraId="50A27BE9">
      <w:pPr>
        <w:numPr>
          <w:ilvl w:val="0"/>
          <w:numId w:val="1"/>
        </w:numPr>
        <w:spacing w:line="360" w:lineRule="auto"/>
        <w:ind w:firstLine="420" w:firstLineChars="200"/>
        <w:rPr>
          <w:b w:val="0"/>
          <w:bCs w:val="0"/>
        </w:rPr>
      </w:pPr>
      <w:r>
        <w:rPr>
          <w:rFonts w:hint="eastAsia"/>
        </w:rPr>
        <w:t>城市基础设施改造，更新内容包含城市老旧燃气、供排水、污水等地下管网和综合管廊，老旧燃气、供排水、污水、防洪排涝等市政基础设施以及骨干道路、公交场站、轨道站点、停车设施及老旧车站周边街区等交通基础设施。</w:t>
      </w:r>
      <w:r>
        <w:rPr>
          <w:rFonts w:hint="eastAsia"/>
          <w:b w:val="0"/>
          <w:bCs w:val="0"/>
        </w:rPr>
        <w:t>。</w:t>
      </w:r>
    </w:p>
    <w:p w14:paraId="4F904C15">
      <w:pPr>
        <w:numPr>
          <w:ilvl w:val="0"/>
          <w:numId w:val="1"/>
        </w:numPr>
        <w:spacing w:line="360" w:lineRule="auto"/>
        <w:ind w:firstLine="420" w:firstLineChars="200"/>
        <w:rPr>
          <w:b w:val="0"/>
          <w:bCs w:val="0"/>
        </w:rPr>
      </w:pPr>
      <w:r>
        <w:rPr>
          <w:rFonts w:hint="eastAsia"/>
          <w:b w:val="0"/>
          <w:bCs w:val="0"/>
        </w:rPr>
        <w:t>城市生态系统修复，更新内容包含城市主要生态廊道、公园绿地更新提质、海绵城市建设等；</w:t>
      </w:r>
    </w:p>
    <w:p w14:paraId="7C98E48C">
      <w:pPr>
        <w:numPr>
          <w:ilvl w:val="0"/>
          <w:numId w:val="1"/>
        </w:numPr>
        <w:spacing w:line="360" w:lineRule="auto"/>
        <w:ind w:firstLine="420" w:firstLineChars="200"/>
        <w:rPr>
          <w:b w:val="0"/>
          <w:bCs w:val="0"/>
        </w:rPr>
      </w:pPr>
      <w:r>
        <w:rPr>
          <w:rFonts w:hint="eastAsia"/>
          <w:b w:val="0"/>
          <w:bCs w:val="0"/>
        </w:rPr>
        <w:t>城市历史文化保护传承，包含全市各类历史文化资源的保护与传承利用。</w:t>
      </w:r>
    </w:p>
    <w:p w14:paraId="1084D01D">
      <w:pPr>
        <w:spacing w:line="360" w:lineRule="auto"/>
        <w:ind w:firstLine="420" w:firstLineChars="200"/>
        <w:rPr>
          <w:rFonts w:hint="eastAsia" w:ascii="宋体" w:hAnsi="宋体"/>
        </w:rPr>
      </w:pPr>
      <w:r>
        <w:rPr>
          <w:rFonts w:hint="eastAsia" w:ascii="宋体" w:hAnsi="宋体"/>
        </w:rPr>
        <w:t>四是片区划定与指引。</w:t>
      </w:r>
      <w:r>
        <w:rPr>
          <w:rFonts w:hint="eastAsia" w:ascii="仿宋_GB2312" w:hAnsi="仿宋_GB2312" w:cs="仿宋_GB2312"/>
          <w:szCs w:val="32"/>
        </w:rPr>
        <w:t>在城市体检、城市更新单元、“两旧一村”改造、商办楼宇更新提升、低效产业用地处置等工作基础上，以区为主、市级统筹，判断更新问题、更新需求、更新资源相对集聚的区域，综合考虑更新诉求和更新意愿，在市级层面统筹划定城市更新片区，并确定片区实施和动态调整机制。</w:t>
      </w:r>
      <w:r>
        <w:rPr>
          <w:rFonts w:hint="eastAsia"/>
        </w:rPr>
        <w:t>根据片区基本条件、项目轻重缓急、更新主体诉求等原则</w:t>
      </w:r>
      <w:r>
        <w:rPr>
          <w:rFonts w:hint="eastAsia"/>
          <w:b/>
          <w:bCs/>
        </w:rPr>
        <w:t>，</w:t>
      </w:r>
      <w:r>
        <w:rPr>
          <w:rFonts w:hint="eastAsia"/>
        </w:rPr>
        <w:t>有序安排各更新片区启动时序。</w:t>
      </w:r>
      <w:r>
        <w:rPr>
          <w:rFonts w:hint="eastAsia" w:ascii="仿宋_GB2312" w:hAnsi="仿宋_GB2312" w:cs="仿宋_GB2312"/>
          <w:szCs w:val="32"/>
        </w:rPr>
        <w:t>结合更新片区的主导功能，分类型提出更新指引，并对先行片区细化更新目标、更新规模、更新方式、更新内容、底线要求、重点项目及实施时序等指引要求。</w:t>
      </w:r>
    </w:p>
    <w:p w14:paraId="5230A8BF">
      <w:pPr>
        <w:spacing w:line="360" w:lineRule="auto"/>
        <w:ind w:firstLine="420" w:firstLineChars="200"/>
        <w:rPr>
          <w:rFonts w:hint="eastAsia" w:ascii="宋体" w:hAnsi="宋体"/>
        </w:rPr>
      </w:pPr>
      <w:r>
        <w:rPr>
          <w:rFonts w:hint="eastAsia" w:ascii="宋体" w:hAnsi="宋体"/>
        </w:rPr>
        <w:t>五是完善城市更新项目库。</w:t>
      </w:r>
      <w:r>
        <w:rPr>
          <w:rFonts w:hint="eastAsia"/>
        </w:rPr>
        <w:t>以城市体检建议项目为基础，</w:t>
      </w:r>
      <w:r>
        <w:rPr>
          <w:rFonts w:hint="eastAsia" w:ascii="宋体" w:hAnsi="宋体"/>
        </w:rPr>
        <w:t>结合城市更新10项重点任务和更新片区，梳理城市更新项目，形成项目计划表并纳入项目库</w:t>
      </w:r>
      <w:r>
        <w:rPr>
          <w:rFonts w:hint="eastAsia"/>
        </w:rPr>
        <w:t>，确定项目名称、类型、规模、资金来源和时序安排等。明确项目入库、出库的管理规则，加强项目库动态管理。</w:t>
      </w:r>
    </w:p>
    <w:p w14:paraId="2FC69AC7">
      <w:pPr>
        <w:spacing w:line="360" w:lineRule="auto"/>
        <w:rPr>
          <w:rFonts w:hint="eastAsia" w:ascii="宋体" w:hAnsi="宋体"/>
          <w:b/>
          <w:bCs/>
        </w:rPr>
      </w:pPr>
      <w:r>
        <w:rPr>
          <w:rFonts w:hint="eastAsia" w:ascii="宋体" w:hAnsi="宋体"/>
          <w:b/>
          <w:bCs/>
        </w:rPr>
        <w:t>成果要求</w:t>
      </w:r>
    </w:p>
    <w:p w14:paraId="712C93A4">
      <w:pPr>
        <w:spacing w:line="360" w:lineRule="auto"/>
        <w:ind w:firstLine="420" w:firstLineChars="200"/>
        <w:rPr>
          <w:rFonts w:hint="eastAsia" w:ascii="宋体" w:hAnsi="宋体"/>
        </w:rPr>
      </w:pPr>
      <w:r>
        <w:rPr>
          <w:rFonts w:hint="eastAsia" w:ascii="宋体" w:hAnsi="宋体"/>
        </w:rPr>
        <w:t>形成《上海市城市更新专项规划》法定成果，包含规划文本、规划图表和附件。</w:t>
      </w:r>
    </w:p>
    <w:p w14:paraId="5628E221">
      <w:pPr>
        <w:spacing w:line="360" w:lineRule="auto"/>
        <w:ind w:firstLine="420" w:firstLineChars="200"/>
        <w:rPr>
          <w:rFonts w:hint="eastAsia" w:ascii="宋体" w:hAnsi="宋体"/>
        </w:rPr>
      </w:pPr>
      <w:r>
        <w:rPr>
          <w:rFonts w:hint="eastAsia" w:ascii="宋体" w:hAnsi="宋体"/>
        </w:rPr>
        <w:t>成果形式包括打印的纸质文本和电子文件，电子文件应包括PDF文件和可编辑的WORD格式文件等。</w:t>
      </w:r>
    </w:p>
    <w:p w14:paraId="7977E706">
      <w:pPr>
        <w:spacing w:line="360" w:lineRule="auto"/>
        <w:rPr>
          <w:rFonts w:hint="eastAsia" w:ascii="宋体" w:hAnsi="宋体"/>
          <w:b/>
          <w:bCs/>
        </w:rPr>
      </w:pPr>
      <w:r>
        <w:rPr>
          <w:rFonts w:hint="eastAsia" w:ascii="宋体" w:hAnsi="宋体"/>
          <w:b/>
          <w:bCs/>
        </w:rPr>
        <w:t>工作进度安排</w:t>
      </w:r>
    </w:p>
    <w:p w14:paraId="07E6C59F">
      <w:pPr>
        <w:spacing w:line="360" w:lineRule="auto"/>
        <w:ind w:firstLine="420" w:firstLineChars="200"/>
        <w:rPr>
          <w:rFonts w:hint="eastAsia" w:ascii="宋体" w:hAnsi="宋体"/>
        </w:rPr>
      </w:pPr>
      <w:r>
        <w:rPr>
          <w:rFonts w:hint="eastAsia" w:ascii="宋体" w:hAnsi="宋体"/>
        </w:rPr>
        <w:t>第一阶段：前期研究阶段</w:t>
      </w:r>
    </w:p>
    <w:p w14:paraId="3B3822BA">
      <w:pPr>
        <w:spacing w:line="360" w:lineRule="auto"/>
        <w:ind w:firstLine="420" w:firstLineChars="200"/>
        <w:rPr>
          <w:rFonts w:hint="eastAsia" w:ascii="宋体" w:hAnsi="宋体"/>
        </w:rPr>
      </w:pPr>
      <w:r>
        <w:rPr>
          <w:rFonts w:hint="eastAsia" w:ascii="宋体" w:hAnsi="宋体"/>
        </w:rPr>
        <w:t>签订合同后1-2个月，确定本次工作的技术路线。召集相关委办局收集指标数据和相关资料，赴委办局和各区开展座谈调研，对数据资料进行整理和统计分析。</w:t>
      </w:r>
    </w:p>
    <w:p w14:paraId="73991BB9">
      <w:pPr>
        <w:spacing w:line="360" w:lineRule="auto"/>
        <w:ind w:firstLine="420" w:firstLineChars="200"/>
        <w:rPr>
          <w:rFonts w:hint="eastAsia" w:ascii="宋体" w:hAnsi="宋体"/>
        </w:rPr>
      </w:pPr>
      <w:r>
        <w:rPr>
          <w:rFonts w:hint="eastAsia" w:ascii="宋体" w:hAnsi="宋体"/>
        </w:rPr>
        <w:t>第二阶段：成果编制阶段</w:t>
      </w:r>
    </w:p>
    <w:p w14:paraId="5AEB95C4">
      <w:pPr>
        <w:spacing w:line="360" w:lineRule="auto"/>
        <w:ind w:firstLine="420" w:firstLineChars="200"/>
        <w:rPr>
          <w:rFonts w:hint="eastAsia" w:ascii="宋体" w:hAnsi="宋体"/>
        </w:rPr>
      </w:pPr>
      <w:r>
        <w:rPr>
          <w:rFonts w:hint="eastAsia" w:ascii="宋体" w:hAnsi="宋体"/>
        </w:rPr>
        <w:t>签订合同后3-4个月，开展规划研究和编制，形成初步成果。</w:t>
      </w:r>
    </w:p>
    <w:p w14:paraId="53C98676">
      <w:pPr>
        <w:spacing w:line="360" w:lineRule="auto"/>
        <w:ind w:firstLine="420" w:firstLineChars="200"/>
        <w:rPr>
          <w:rFonts w:hint="eastAsia" w:ascii="宋体" w:hAnsi="宋体"/>
        </w:rPr>
      </w:pPr>
      <w:r>
        <w:rPr>
          <w:rFonts w:hint="eastAsia" w:ascii="宋体" w:hAnsi="宋体"/>
        </w:rPr>
        <w:t>2026年底，修改完善形成中期成果，征求市级相关部门、各区、公众等多方意见，组织专家论证。</w:t>
      </w:r>
    </w:p>
    <w:p w14:paraId="75383940">
      <w:pPr>
        <w:spacing w:line="360" w:lineRule="auto"/>
        <w:ind w:firstLine="420" w:firstLineChars="200"/>
        <w:rPr>
          <w:rFonts w:hint="eastAsia" w:ascii="宋体" w:hAnsi="宋体"/>
        </w:rPr>
      </w:pPr>
      <w:r>
        <w:rPr>
          <w:rFonts w:hint="eastAsia" w:ascii="宋体" w:hAnsi="宋体"/>
        </w:rPr>
        <w:t>第三阶段：成果验收阶段</w:t>
      </w:r>
    </w:p>
    <w:p w14:paraId="08F94B08">
      <w:pPr>
        <w:spacing w:line="360" w:lineRule="auto"/>
        <w:ind w:firstLine="420" w:firstLineChars="200"/>
        <w:rPr>
          <w:rFonts w:hint="eastAsia" w:ascii="宋体" w:hAnsi="宋体"/>
          <w:b/>
          <w:bCs/>
        </w:rPr>
      </w:pPr>
      <w:r>
        <w:rPr>
          <w:rFonts w:hint="eastAsia" w:ascii="宋体" w:hAnsi="宋体"/>
        </w:rPr>
        <w:t>签订合同后一年内，形成最终成果，完成成果验收。</w:t>
      </w:r>
    </w:p>
    <w:p w14:paraId="6C2E6963">
      <w:pPr>
        <w:spacing w:line="360" w:lineRule="auto"/>
        <w:rPr>
          <w:rFonts w:hint="eastAsia" w:ascii="宋体" w:hAnsi="宋体"/>
          <w:b/>
          <w:bCs/>
        </w:rPr>
      </w:pPr>
    </w:p>
    <w:p w14:paraId="4B8DF52C">
      <w:pPr>
        <w:spacing w:line="360" w:lineRule="auto"/>
        <w:rPr>
          <w:rFonts w:hint="eastAsia" w:ascii="宋体" w:hAnsi="宋体"/>
          <w:b/>
          <w:bCs/>
        </w:rPr>
      </w:pPr>
      <w:r>
        <w:rPr>
          <w:rFonts w:hint="eastAsia" w:ascii="宋体" w:hAnsi="宋体"/>
          <w:b/>
          <w:bCs/>
        </w:rPr>
        <w:t>项目组人员要求</w:t>
      </w:r>
    </w:p>
    <w:p w14:paraId="20037CB7">
      <w:pPr>
        <w:spacing w:line="360" w:lineRule="auto"/>
        <w:ind w:firstLine="420" w:firstLineChars="200"/>
        <w:rPr>
          <w:rFonts w:hint="eastAsia" w:ascii="宋体" w:hAnsi="宋体"/>
        </w:rPr>
      </w:pPr>
      <w:r>
        <w:rPr>
          <w:rFonts w:hint="eastAsia" w:ascii="宋体" w:hAnsi="宋体"/>
        </w:rPr>
        <w:t>1、项目组人员数量和专业组成结构等方面应满足本项目服务需求，供应商负责本项目的服务团队人数（不包含项目经理）不少于</w:t>
      </w:r>
      <w:r>
        <w:rPr>
          <w:rFonts w:hint="eastAsia" w:ascii="宋体" w:hAnsi="宋体"/>
          <w:lang w:val="en-US" w:eastAsia="zh-CN"/>
        </w:rPr>
        <w:t>10</w:t>
      </w:r>
      <w:r>
        <w:rPr>
          <w:rFonts w:hint="eastAsia" w:ascii="宋体" w:hAnsi="宋体"/>
        </w:rPr>
        <w:t>人</w:t>
      </w:r>
      <w:r>
        <w:rPr>
          <w:rFonts w:hint="eastAsia" w:ascii="宋体" w:hAnsi="宋体"/>
          <w:lang w:eastAsia="zh-CN"/>
        </w:rPr>
        <w:t>的优先考虑；团队人员具有博</w:t>
      </w:r>
      <w:r>
        <w:rPr>
          <w:rFonts w:hint="eastAsia" w:ascii="宋体" w:hAnsi="宋体"/>
        </w:rPr>
        <w:t>士</w:t>
      </w:r>
      <w:r>
        <w:rPr>
          <w:rFonts w:hint="eastAsia" w:ascii="宋体" w:hAnsi="宋体"/>
          <w:lang w:eastAsia="zh-CN"/>
        </w:rPr>
        <w:t>及</w:t>
      </w:r>
      <w:r>
        <w:rPr>
          <w:rFonts w:hint="eastAsia" w:ascii="宋体" w:hAnsi="宋体"/>
        </w:rPr>
        <w:t>以上学历</w:t>
      </w:r>
      <w:r>
        <w:rPr>
          <w:rFonts w:hint="eastAsia" w:ascii="宋体" w:hAnsi="宋体"/>
          <w:lang w:eastAsia="zh-CN"/>
        </w:rPr>
        <w:t>的优先考虑</w:t>
      </w:r>
      <w:r>
        <w:rPr>
          <w:rFonts w:hint="eastAsia" w:ascii="宋体" w:hAnsi="宋体"/>
        </w:rPr>
        <w:t>；团队人员具有城乡规划、市政、交通</w:t>
      </w:r>
      <w:r>
        <w:rPr>
          <w:rFonts w:hint="eastAsia" w:ascii="宋体" w:hAnsi="宋体"/>
          <w:lang w:eastAsia="zh-CN"/>
        </w:rPr>
        <w:t>相关专业类别正</w:t>
      </w:r>
      <w:r>
        <w:rPr>
          <w:rFonts w:hint="eastAsia" w:ascii="宋体" w:hAnsi="宋体"/>
        </w:rPr>
        <w:t>高级</w:t>
      </w:r>
      <w:r>
        <w:rPr>
          <w:rFonts w:hint="eastAsia" w:ascii="宋体" w:hAnsi="宋体"/>
          <w:lang w:val="en-US" w:eastAsia="zh-CN"/>
        </w:rPr>
        <w:t>/教授级工程师</w:t>
      </w:r>
      <w:r>
        <w:rPr>
          <w:rFonts w:hint="eastAsia" w:ascii="宋体" w:hAnsi="宋体"/>
        </w:rPr>
        <w:t>职称证书的优先考虑。在服务期限内，项目组人员应保持相对稳定，以保证服务工作的正常进行。</w:t>
      </w:r>
    </w:p>
    <w:p w14:paraId="40D44941">
      <w:pPr>
        <w:spacing w:line="360" w:lineRule="auto"/>
        <w:ind w:firstLine="420" w:firstLineChars="200"/>
        <w:rPr>
          <w:rFonts w:hint="eastAsia" w:ascii="宋体" w:hAnsi="宋体"/>
        </w:rPr>
      </w:pPr>
      <w:r>
        <w:rPr>
          <w:rFonts w:hint="eastAsia" w:ascii="宋体" w:hAnsi="宋体"/>
        </w:rPr>
        <w:t>2、项目经理需从事城乡规划、城市更新相关技术工作</w:t>
      </w:r>
      <w:r>
        <w:rPr>
          <w:rFonts w:hint="eastAsia" w:ascii="宋体" w:hAnsi="宋体"/>
          <w:lang w:eastAsia="zh-CN"/>
        </w:rPr>
        <w:t>十</w:t>
      </w:r>
      <w:r>
        <w:rPr>
          <w:rFonts w:hint="eastAsia" w:ascii="宋体" w:hAnsi="宋体"/>
        </w:rPr>
        <w:t>年及以上，具有城</w:t>
      </w:r>
      <w:r>
        <w:rPr>
          <w:rFonts w:hint="eastAsia" w:ascii="宋体" w:hAnsi="宋体"/>
          <w:lang w:eastAsia="zh-CN"/>
        </w:rPr>
        <w:t>乡</w:t>
      </w:r>
      <w:r>
        <w:rPr>
          <w:rFonts w:hint="eastAsia" w:ascii="宋体" w:hAnsi="宋体"/>
        </w:rPr>
        <w:t>规划专业</w:t>
      </w:r>
      <w:r>
        <w:rPr>
          <w:rFonts w:hint="eastAsia" w:ascii="宋体" w:hAnsi="宋体"/>
          <w:lang w:eastAsia="zh-CN"/>
        </w:rPr>
        <w:t>的</w:t>
      </w:r>
      <w:r>
        <w:rPr>
          <w:rFonts w:hint="eastAsia" w:ascii="宋体" w:hAnsi="宋体"/>
        </w:rPr>
        <w:t>正高级/教授级工程师职称的优先。</w:t>
      </w:r>
    </w:p>
    <w:p w14:paraId="2B0B151C">
      <w:pPr>
        <w:spacing w:line="360" w:lineRule="auto"/>
        <w:ind w:firstLine="420" w:firstLineChars="200"/>
        <w:rPr>
          <w:rFonts w:hint="eastAsia" w:ascii="宋体" w:hAnsi="宋体"/>
        </w:rPr>
      </w:pPr>
      <w:bookmarkStart w:id="1" w:name="_GoBack"/>
      <w:bookmarkEnd w:id="1"/>
    </w:p>
    <w:p w14:paraId="6335AC7C">
      <w:pPr>
        <w:spacing w:line="360" w:lineRule="auto"/>
        <w:rPr>
          <w:rFonts w:hint="eastAsia" w:ascii="宋体" w:hAnsi="宋体"/>
          <w:b/>
          <w:bCs/>
        </w:rPr>
      </w:pPr>
      <w:r>
        <w:rPr>
          <w:rFonts w:hint="eastAsia" w:ascii="宋体" w:hAnsi="宋体"/>
          <w:b/>
          <w:bCs/>
        </w:rPr>
        <w:t>其他要求</w:t>
      </w:r>
    </w:p>
    <w:p w14:paraId="1D26FEAB">
      <w:pPr>
        <w:spacing w:line="360" w:lineRule="auto"/>
        <w:ind w:firstLine="420" w:firstLineChars="200"/>
        <w:rPr>
          <w:rFonts w:hint="eastAsia" w:ascii="宋体" w:hAnsi="宋体"/>
        </w:rPr>
      </w:pPr>
      <w:r>
        <w:rPr>
          <w:rFonts w:hint="eastAsia" w:ascii="宋体" w:hAnsi="宋体"/>
        </w:rPr>
        <w:t>本项目接受联合体投标。</w:t>
      </w:r>
    </w:p>
    <w:p w14:paraId="7C04B5FE">
      <w:pPr>
        <w:spacing w:line="360" w:lineRule="auto"/>
        <w:ind w:firstLine="420" w:firstLineChars="200"/>
        <w:rPr>
          <w:rFonts w:hint="eastAsia" w:ascii="宋体" w:hAnsi="宋体"/>
        </w:rPr>
      </w:pPr>
      <w:r>
        <w:rPr>
          <w:rFonts w:hint="eastAsia" w:ascii="宋体" w:hAnsi="宋体"/>
        </w:rPr>
        <w:t>投标人应按照委托方要求，负责项目进行过程中阶段性成果及最终成果的打印。打印、专家评审等费用包含于投标总价中。</w:t>
      </w:r>
    </w:p>
    <w:p w14:paraId="733CDFA3">
      <w:pPr>
        <w:spacing w:line="360" w:lineRule="auto"/>
        <w:ind w:firstLine="420" w:firstLineChars="200"/>
        <w:rPr>
          <w:rFonts w:hint="eastAsia" w:ascii="宋体" w:hAnsi="宋体"/>
        </w:rPr>
      </w:pPr>
    </w:p>
    <w:p w14:paraId="0CEAE23D">
      <w:pPr>
        <w:spacing w:line="360" w:lineRule="auto"/>
        <w:rPr>
          <w:rFonts w:hint="eastAsia" w:ascii="宋体" w:hAnsi="宋体"/>
          <w:b/>
          <w:bCs/>
        </w:rPr>
      </w:pPr>
      <w:r>
        <w:rPr>
          <w:rFonts w:hint="eastAsia" w:ascii="宋体" w:hAnsi="宋体"/>
          <w:b/>
          <w:bCs/>
          <w:lang w:eastAsia="zh-CN"/>
        </w:rPr>
        <w:t>关于</w:t>
      </w:r>
      <w:r>
        <w:rPr>
          <w:rFonts w:hint="eastAsia" w:ascii="宋体" w:hAnsi="宋体"/>
          <w:b/>
          <w:bCs/>
        </w:rPr>
        <w:t>分包</w:t>
      </w:r>
    </w:p>
    <w:p w14:paraId="1005E278">
      <w:pPr>
        <w:spacing w:line="360" w:lineRule="auto"/>
        <w:ind w:firstLine="420" w:firstLineChars="200"/>
        <w:rPr>
          <w:rFonts w:hint="eastAsia" w:ascii="宋体" w:hAnsi="宋体"/>
          <w:b/>
          <w:bCs/>
        </w:rPr>
      </w:pPr>
      <w:r>
        <w:rPr>
          <w:rFonts w:hint="eastAsia" w:ascii="宋体" w:hAnsi="宋体"/>
          <w:b/>
          <w:bCs/>
        </w:rPr>
        <w:t>本项目主体不得分包；项目非主体部分可以分包。</w:t>
      </w:r>
    </w:p>
    <w:p w14:paraId="7B942F32">
      <w:pPr>
        <w:spacing w:line="360" w:lineRule="auto"/>
        <w:ind w:firstLine="0" w:firstLineChars="0"/>
        <w:rPr>
          <w:rFonts w:hint="eastAsia" w:ascii="宋体" w:hAnsi="宋体" w:eastAsia="宋体"/>
          <w:b/>
          <w:bCs/>
          <w:lang w:eastAsia="zh-CN"/>
        </w:rPr>
      </w:pPr>
      <w:r>
        <w:rPr>
          <w:rFonts w:hint="eastAsia" w:ascii="宋体" w:hAnsi="宋体"/>
          <w:b/>
          <w:bCs/>
          <w:lang w:eastAsia="zh-CN"/>
        </w:rPr>
        <w:t>允许分包部分</w:t>
      </w:r>
    </w:p>
    <w:p w14:paraId="131732AC">
      <w:pPr>
        <w:spacing w:line="360" w:lineRule="auto"/>
        <w:ind w:firstLine="420" w:firstLineChars="200"/>
        <w:rPr>
          <w:rFonts w:hint="eastAsia" w:ascii="宋体" w:hAnsi="宋体" w:eastAsia="宋体"/>
          <w:b/>
          <w:bCs/>
          <w:lang w:eastAsia="zh-CN"/>
        </w:rPr>
      </w:pPr>
      <w:r>
        <w:rPr>
          <w:rFonts w:hint="eastAsia" w:ascii="宋体" w:hAnsi="宋体"/>
          <w:b/>
          <w:bCs/>
        </w:rPr>
        <w:t>本项目包括前期研究、成果编制及成果验收阶段，其中允许分包部分仅涉及前期专题性研究内容。</w:t>
      </w:r>
    </w:p>
    <w:p w14:paraId="38553348">
      <w:pPr>
        <w:spacing w:line="360" w:lineRule="auto"/>
        <w:ind w:firstLine="420" w:firstLineChars="200"/>
        <w:rPr>
          <w:rFonts w:hint="eastAsia" w:ascii="宋体" w:hAnsi="宋体"/>
          <w:b w:val="0"/>
          <w:bCs w:val="0"/>
        </w:rPr>
      </w:pPr>
      <w:r>
        <w:rPr>
          <w:rFonts w:hint="eastAsia" w:ascii="宋体" w:hAnsi="宋体"/>
          <w:b/>
          <w:bCs/>
        </w:rPr>
        <w:t>城市体检</w:t>
      </w:r>
      <w:r>
        <w:rPr>
          <w:rFonts w:hint="eastAsia" w:ascii="宋体" w:hAnsi="宋体"/>
        </w:rPr>
        <w:t>部分，</w:t>
      </w:r>
      <w:r>
        <w:rPr>
          <w:rFonts w:hint="eastAsia" w:ascii="宋体" w:hAnsi="宋体"/>
          <w:b w:val="0"/>
          <w:bCs w:val="0"/>
        </w:rPr>
        <w:t>允许针对城市体检开展专项技术咨询，涵盖全市城市体检指标、更新问题地图、需求地图等内容，支撑规划成果编制。</w:t>
      </w:r>
    </w:p>
    <w:p w14:paraId="0F908590">
      <w:pPr>
        <w:spacing w:line="360" w:lineRule="auto"/>
        <w:ind w:firstLine="420" w:firstLineChars="200"/>
        <w:rPr>
          <w:rFonts w:hint="eastAsia" w:ascii="宋体" w:hAnsi="宋体"/>
          <w:b w:val="0"/>
          <w:bCs w:val="0"/>
        </w:rPr>
      </w:pPr>
      <w:r>
        <w:rPr>
          <w:rFonts w:hint="eastAsia" w:ascii="宋体" w:hAnsi="宋体"/>
          <w:b/>
          <w:bCs/>
        </w:rPr>
        <w:t>既有居住建筑改造</w:t>
      </w:r>
      <w:r>
        <w:rPr>
          <w:rFonts w:hint="eastAsia" w:ascii="宋体" w:hAnsi="宋体"/>
        </w:rPr>
        <w:t>部分，</w:t>
      </w:r>
      <w:r>
        <w:rPr>
          <w:rFonts w:hint="eastAsia" w:ascii="宋体" w:hAnsi="宋体"/>
          <w:b w:val="0"/>
          <w:bCs w:val="0"/>
        </w:rPr>
        <w:t>允许针对既有居住建筑更新开展专题性研究，涵盖资源调查、更新策略、更新任务等内容，支撑规划成果编制。</w:t>
      </w:r>
    </w:p>
    <w:p w14:paraId="68DDA3E6">
      <w:pPr>
        <w:spacing w:line="360" w:lineRule="auto"/>
        <w:ind w:firstLine="420" w:firstLineChars="200"/>
        <w:rPr>
          <w:rFonts w:hint="eastAsia" w:ascii="宋体" w:hAnsi="宋体"/>
          <w:b w:val="0"/>
          <w:bCs w:val="0"/>
        </w:rPr>
      </w:pPr>
      <w:r>
        <w:rPr>
          <w:rFonts w:hint="eastAsia" w:ascii="宋体" w:hAnsi="宋体"/>
          <w:b/>
          <w:bCs/>
        </w:rPr>
        <w:t>城中村改造</w:t>
      </w:r>
      <w:r>
        <w:rPr>
          <w:rFonts w:hint="eastAsia" w:ascii="宋体" w:hAnsi="宋体"/>
        </w:rPr>
        <w:t>部分，</w:t>
      </w:r>
      <w:r>
        <w:rPr>
          <w:rFonts w:hint="eastAsia" w:ascii="宋体" w:hAnsi="宋体"/>
          <w:b w:val="0"/>
          <w:bCs w:val="0"/>
        </w:rPr>
        <w:t>允许针对城中村改造开展专题性研究，涵盖资源调查、更新策略、更新任务等内容，支撑规划成果编制。</w:t>
      </w:r>
    </w:p>
    <w:p w14:paraId="31490543">
      <w:pPr>
        <w:spacing w:line="360" w:lineRule="auto"/>
        <w:ind w:firstLine="420" w:firstLineChars="200"/>
        <w:rPr>
          <w:rFonts w:hint="eastAsia" w:ascii="宋体" w:hAnsi="宋体"/>
          <w:b w:val="0"/>
          <w:bCs w:val="0"/>
        </w:rPr>
      </w:pPr>
      <w:r>
        <w:rPr>
          <w:rFonts w:hint="eastAsia" w:ascii="宋体" w:hAnsi="宋体"/>
          <w:b/>
          <w:bCs/>
        </w:rPr>
        <w:t>商务楼宇更新</w:t>
      </w:r>
      <w:r>
        <w:rPr>
          <w:rFonts w:hint="eastAsia" w:ascii="宋体" w:hAnsi="宋体"/>
        </w:rPr>
        <w:t>部分，</w:t>
      </w:r>
      <w:r>
        <w:rPr>
          <w:rFonts w:hint="eastAsia" w:ascii="宋体" w:hAnsi="宋体"/>
          <w:b w:val="0"/>
          <w:bCs w:val="0"/>
        </w:rPr>
        <w:t>允许针对商务楼宇更新开展专题性研究，涵盖资源调查、更新策略、更新任务等内容，支撑规划成果编制。</w:t>
      </w:r>
    </w:p>
    <w:p w14:paraId="62B1243E">
      <w:pPr>
        <w:spacing w:line="360" w:lineRule="auto"/>
        <w:ind w:firstLine="420" w:firstLineChars="200"/>
        <w:rPr>
          <w:rFonts w:ascii="宋体" w:hAnsi="宋体"/>
          <w:b w:val="0"/>
          <w:bCs w:val="0"/>
        </w:rPr>
      </w:pPr>
      <w:r>
        <w:rPr>
          <w:rFonts w:hint="eastAsia" w:ascii="宋体" w:hAnsi="宋体"/>
        </w:rPr>
        <w:t>城市功能完善中的</w:t>
      </w:r>
      <w:r>
        <w:rPr>
          <w:rFonts w:hint="eastAsia" w:ascii="宋体" w:hAnsi="宋体"/>
          <w:b/>
          <w:bCs/>
        </w:rPr>
        <w:t>公共设施改造</w:t>
      </w:r>
      <w:r>
        <w:rPr>
          <w:rFonts w:hint="eastAsia" w:ascii="宋体" w:hAnsi="宋体"/>
        </w:rPr>
        <w:t>部分，</w:t>
      </w:r>
      <w:r>
        <w:rPr>
          <w:rFonts w:hint="eastAsia" w:ascii="宋体" w:hAnsi="宋体"/>
          <w:b w:val="0"/>
          <w:bCs w:val="0"/>
        </w:rPr>
        <w:t>允许针对公共设施更新开展专题性研究，涵盖资源调查、更新策略、更新任务等内容，支撑规划成果编制。</w:t>
      </w:r>
    </w:p>
    <w:p w14:paraId="42368D0A">
      <w:pPr>
        <w:spacing w:line="360" w:lineRule="auto"/>
        <w:ind w:firstLine="420" w:firstLineChars="200"/>
        <w:rPr>
          <w:rFonts w:hint="eastAsia" w:ascii="宋体" w:hAnsi="宋体"/>
          <w:b w:val="0"/>
          <w:bCs w:val="0"/>
        </w:rPr>
      </w:pPr>
      <w:r>
        <w:rPr>
          <w:rFonts w:hint="eastAsia" w:ascii="宋体" w:hAnsi="宋体"/>
        </w:rPr>
        <w:t>城市功能完善中的</w:t>
      </w:r>
      <w:r>
        <w:rPr>
          <w:rFonts w:hint="eastAsia" w:ascii="宋体" w:hAnsi="宋体"/>
          <w:b/>
          <w:bCs/>
        </w:rPr>
        <w:t>人防、应急避难场所</w:t>
      </w:r>
      <w:r>
        <w:rPr>
          <w:rFonts w:hint="eastAsia" w:ascii="宋体" w:hAnsi="宋体"/>
          <w:b w:val="0"/>
          <w:bCs w:val="0"/>
        </w:rPr>
        <w:t>部分，允许针对人防、应急避难场更新开展专题性研究，涵盖资源调查、更新策略、更新任务等内容，支撑规划成果编制。</w:t>
      </w:r>
    </w:p>
    <w:p w14:paraId="4E11C053">
      <w:pPr>
        <w:spacing w:line="360" w:lineRule="auto"/>
        <w:ind w:firstLine="420" w:firstLineChars="200"/>
        <w:rPr>
          <w:rFonts w:ascii="宋体" w:hAnsi="宋体"/>
          <w:b w:val="0"/>
          <w:bCs w:val="0"/>
        </w:rPr>
      </w:pPr>
      <w:r>
        <w:rPr>
          <w:rFonts w:hint="eastAsia"/>
        </w:rPr>
        <w:t>城市基础设施改造中的</w:t>
      </w:r>
      <w:r>
        <w:rPr>
          <w:rFonts w:hint="eastAsia" w:ascii="宋体" w:hAnsi="宋体"/>
          <w:b/>
          <w:bCs/>
        </w:rPr>
        <w:t>水务、综合管廊等</w:t>
      </w:r>
      <w:r>
        <w:rPr>
          <w:rFonts w:hint="eastAsia" w:ascii="宋体" w:hAnsi="宋体"/>
        </w:rPr>
        <w:t>市政类内容，</w:t>
      </w:r>
      <w:r>
        <w:rPr>
          <w:rFonts w:hint="eastAsia"/>
          <w:b w:val="0"/>
          <w:bCs w:val="0"/>
        </w:rPr>
        <w:t>允许</w:t>
      </w:r>
      <w:r>
        <w:rPr>
          <w:rFonts w:hint="eastAsia" w:ascii="宋体" w:hAnsi="宋体"/>
          <w:b w:val="0"/>
          <w:bCs w:val="0"/>
        </w:rPr>
        <w:t>针对水务、综合管廊更新开展专题性研究，涵盖资源调查、更新策略、更新任务等内容，支撑规划成果编制。</w:t>
      </w:r>
    </w:p>
    <w:p w14:paraId="2466172E">
      <w:pPr>
        <w:spacing w:line="360" w:lineRule="auto"/>
        <w:ind w:firstLine="420" w:firstLineChars="200"/>
        <w:rPr>
          <w:rFonts w:ascii="宋体" w:hAnsi="宋体"/>
          <w:b w:val="0"/>
          <w:bCs w:val="0"/>
        </w:rPr>
      </w:pPr>
      <w:r>
        <w:rPr>
          <w:rFonts w:hint="eastAsia"/>
        </w:rPr>
        <w:t>城市基础设施改造中的</w:t>
      </w:r>
      <w:r>
        <w:rPr>
          <w:rFonts w:hint="eastAsia" w:ascii="宋体" w:hAnsi="宋体"/>
          <w:b/>
          <w:bCs/>
        </w:rPr>
        <w:t>燃气</w:t>
      </w:r>
      <w:r>
        <w:rPr>
          <w:rFonts w:hint="eastAsia" w:ascii="宋体" w:hAnsi="宋体"/>
        </w:rPr>
        <w:t>内容，</w:t>
      </w:r>
      <w:r>
        <w:rPr>
          <w:rFonts w:hint="eastAsia"/>
          <w:b w:val="0"/>
          <w:bCs w:val="0"/>
        </w:rPr>
        <w:t>允许</w:t>
      </w:r>
      <w:r>
        <w:rPr>
          <w:rFonts w:hint="eastAsia" w:ascii="宋体" w:hAnsi="宋体"/>
          <w:b w:val="0"/>
          <w:bCs w:val="0"/>
        </w:rPr>
        <w:t>针对燃气设施更新开展专题性研究，涵盖资源调查、更新策略、更新任务等内容，支撑规划成果编制。</w:t>
      </w:r>
    </w:p>
    <w:p w14:paraId="2A9CAE92">
      <w:pPr>
        <w:spacing w:line="360" w:lineRule="auto"/>
        <w:ind w:firstLine="420" w:firstLineChars="200"/>
        <w:rPr>
          <w:rFonts w:hint="eastAsia" w:ascii="宋体" w:hAnsi="宋体"/>
        </w:rPr>
      </w:pPr>
      <w:r>
        <w:rPr>
          <w:rFonts w:hint="eastAsia"/>
        </w:rPr>
        <w:t>城市基础设施改造中的</w:t>
      </w:r>
      <w:r>
        <w:rPr>
          <w:rFonts w:hint="eastAsia" w:ascii="宋体" w:hAnsi="宋体"/>
          <w:b/>
          <w:bCs/>
        </w:rPr>
        <w:t>轨道交通综合开发等</w:t>
      </w:r>
      <w:r>
        <w:rPr>
          <w:rFonts w:hint="eastAsia" w:ascii="宋体" w:hAnsi="宋体"/>
        </w:rPr>
        <w:t>内容，</w:t>
      </w:r>
      <w:r>
        <w:rPr>
          <w:rFonts w:hint="eastAsia"/>
          <w:b w:val="0"/>
          <w:bCs w:val="0"/>
        </w:rPr>
        <w:t>允许</w:t>
      </w:r>
      <w:r>
        <w:rPr>
          <w:rFonts w:hint="eastAsia" w:ascii="宋体" w:hAnsi="宋体"/>
          <w:b w:val="0"/>
          <w:bCs w:val="0"/>
        </w:rPr>
        <w:t>针对轨道交通站点周边地区更新开展专题性研究，涵盖资源调查、更新策略、更新任务等内容，支撑规划成果编制。</w:t>
      </w:r>
    </w:p>
    <w:p w14:paraId="36FA3A3F">
      <w:pPr>
        <w:spacing w:line="360" w:lineRule="auto"/>
        <w:ind w:firstLine="420" w:firstLineChars="200"/>
        <w:rPr>
          <w:rFonts w:hint="eastAsia" w:ascii="宋体" w:hAnsi="宋体"/>
          <w:b/>
          <w:bCs/>
        </w:rPr>
      </w:pPr>
      <w:r>
        <w:rPr>
          <w:rFonts w:ascii="宋体" w:hAnsi="宋体"/>
          <w:b/>
          <w:bCs/>
        </w:rPr>
        <w:t>历史文化保护传承</w:t>
      </w:r>
      <w:r>
        <w:rPr>
          <w:rFonts w:hint="eastAsia" w:ascii="宋体" w:hAnsi="宋体"/>
          <w:b/>
          <w:bCs/>
        </w:rPr>
        <w:t>部分</w:t>
      </w:r>
      <w:r>
        <w:rPr>
          <w:rFonts w:hint="eastAsia" w:ascii="宋体" w:hAnsi="宋体"/>
        </w:rPr>
        <w:t>，</w:t>
      </w:r>
      <w:r>
        <w:rPr>
          <w:rFonts w:hint="eastAsia" w:ascii="宋体" w:hAnsi="宋体"/>
          <w:b w:val="0"/>
          <w:bCs w:val="0"/>
        </w:rPr>
        <w:t>允许针对历史文化资源保护和更新利用开展专题性研究，涵盖历史文化资源调查、保护更新策略、保护更新任务等，支撑规划成果编制。</w:t>
      </w:r>
    </w:p>
    <w:p w14:paraId="7F0DE751">
      <w:pPr>
        <w:spacing w:line="360" w:lineRule="auto"/>
        <w:ind w:firstLine="420" w:firstLineChars="200"/>
        <w:rPr>
          <w:rFonts w:hint="eastAsia" w:ascii="宋体" w:hAnsi="宋体"/>
          <w:b/>
          <w:bCs/>
        </w:rPr>
      </w:pPr>
    </w:p>
    <w:p w14:paraId="17886594">
      <w:pPr>
        <w:spacing w:line="360" w:lineRule="auto"/>
        <w:rPr>
          <w:rFonts w:hint="eastAsia" w:ascii="宋体" w:hAnsi="宋体"/>
          <w:b/>
          <w:bCs/>
          <w:sz w:val="24"/>
          <w:szCs w:val="28"/>
          <w:highlight w:val="cy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国标宋体"/>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国标宋体">
    <w:panose1 w:val="02000500000000000000"/>
    <w:charset w:val="86"/>
    <w:family w:val="auto"/>
    <w:pitch w:val="default"/>
    <w:sig w:usb0="00000001" w:usb1="28000000" w:usb2="00000000" w:usb3="00000000" w:csb0="00060007" w:csb1="00000000"/>
  </w:font>
  <w:font w:name="Calibri Light">
    <w:altName w:val="Times New Roman"/>
    <w:panose1 w:val="020F0302020204030204"/>
    <w:charset w:val="00"/>
    <w:family w:val="swiss"/>
    <w:pitch w:val="default"/>
    <w:sig w:usb0="00000000" w:usb1="00000000" w:usb2="00000009" w:usb3="00000000" w:csb0="000001FF" w:csb1="00000000"/>
  </w:font>
  <w:font w:name="Arial Unicode MS">
    <w:altName w:val="Times New Roman"/>
    <w:panose1 w:val="020B0604020202020204"/>
    <w:charset w:val="86"/>
    <w:family w:val="swiss"/>
    <w:pitch w:val="default"/>
    <w:sig w:usb0="00000000" w:usb1="00000000" w:usb2="0000007F" w:usb3="00000000" w:csb0="003F01FF"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E241E6"/>
    <w:multiLevelType w:val="singleLevel"/>
    <w:tmpl w:val="A6E241E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NhYmEzMTNhMjdkYThkNDYyOTNhN2M4MTNhMDJiODcifQ=="/>
  </w:docVars>
  <w:rsids>
    <w:rsidRoot w:val="00C01B9E"/>
    <w:rsid w:val="00026937"/>
    <w:rsid w:val="00092F87"/>
    <w:rsid w:val="000A3551"/>
    <w:rsid w:val="000C1527"/>
    <w:rsid w:val="000E5641"/>
    <w:rsid w:val="00102B78"/>
    <w:rsid w:val="001052CE"/>
    <w:rsid w:val="00132D7C"/>
    <w:rsid w:val="001B6E23"/>
    <w:rsid w:val="001C1BB7"/>
    <w:rsid w:val="001F25FD"/>
    <w:rsid w:val="001F33A4"/>
    <w:rsid w:val="002139E0"/>
    <w:rsid w:val="00214367"/>
    <w:rsid w:val="0023049F"/>
    <w:rsid w:val="00273A46"/>
    <w:rsid w:val="002849F3"/>
    <w:rsid w:val="0029058F"/>
    <w:rsid w:val="002B0691"/>
    <w:rsid w:val="00316DBB"/>
    <w:rsid w:val="00334EE4"/>
    <w:rsid w:val="003526E0"/>
    <w:rsid w:val="00383E0F"/>
    <w:rsid w:val="00397C46"/>
    <w:rsid w:val="003C18E3"/>
    <w:rsid w:val="003D3F91"/>
    <w:rsid w:val="00434FB4"/>
    <w:rsid w:val="00456A78"/>
    <w:rsid w:val="00456E05"/>
    <w:rsid w:val="004A0DD3"/>
    <w:rsid w:val="004B4231"/>
    <w:rsid w:val="004C0AD7"/>
    <w:rsid w:val="004E2E1E"/>
    <w:rsid w:val="004F7039"/>
    <w:rsid w:val="00525937"/>
    <w:rsid w:val="00525D1C"/>
    <w:rsid w:val="00526C09"/>
    <w:rsid w:val="005672F6"/>
    <w:rsid w:val="00600A9A"/>
    <w:rsid w:val="006743DC"/>
    <w:rsid w:val="00695395"/>
    <w:rsid w:val="006B0CDF"/>
    <w:rsid w:val="00700D74"/>
    <w:rsid w:val="0071235C"/>
    <w:rsid w:val="00766CD7"/>
    <w:rsid w:val="00775936"/>
    <w:rsid w:val="007D4734"/>
    <w:rsid w:val="00816CC7"/>
    <w:rsid w:val="00834E89"/>
    <w:rsid w:val="008473A3"/>
    <w:rsid w:val="00855B01"/>
    <w:rsid w:val="00897418"/>
    <w:rsid w:val="008A62D8"/>
    <w:rsid w:val="008E1447"/>
    <w:rsid w:val="008E3221"/>
    <w:rsid w:val="008E3E98"/>
    <w:rsid w:val="008F5426"/>
    <w:rsid w:val="00900BBD"/>
    <w:rsid w:val="00981467"/>
    <w:rsid w:val="00A11960"/>
    <w:rsid w:val="00A40B81"/>
    <w:rsid w:val="00A435D3"/>
    <w:rsid w:val="00A4455C"/>
    <w:rsid w:val="00A5062E"/>
    <w:rsid w:val="00A7041C"/>
    <w:rsid w:val="00A756DA"/>
    <w:rsid w:val="00A9170E"/>
    <w:rsid w:val="00AA3E41"/>
    <w:rsid w:val="00AB0FB9"/>
    <w:rsid w:val="00AB3DFF"/>
    <w:rsid w:val="00AC5F85"/>
    <w:rsid w:val="00AD656F"/>
    <w:rsid w:val="00B07480"/>
    <w:rsid w:val="00B40DD7"/>
    <w:rsid w:val="00B50264"/>
    <w:rsid w:val="00C01B9E"/>
    <w:rsid w:val="00C0227C"/>
    <w:rsid w:val="00C04404"/>
    <w:rsid w:val="00C652EC"/>
    <w:rsid w:val="00C71894"/>
    <w:rsid w:val="00C80C97"/>
    <w:rsid w:val="00C83F90"/>
    <w:rsid w:val="00CA210B"/>
    <w:rsid w:val="00CC4074"/>
    <w:rsid w:val="00CC5CD6"/>
    <w:rsid w:val="00CD055F"/>
    <w:rsid w:val="00CE1BEC"/>
    <w:rsid w:val="00D1004F"/>
    <w:rsid w:val="00D1583E"/>
    <w:rsid w:val="00D35E76"/>
    <w:rsid w:val="00D543E3"/>
    <w:rsid w:val="00D620DC"/>
    <w:rsid w:val="00D92D2A"/>
    <w:rsid w:val="00DA53E3"/>
    <w:rsid w:val="00DA57CD"/>
    <w:rsid w:val="00DD56C6"/>
    <w:rsid w:val="00DE075B"/>
    <w:rsid w:val="00DE6D54"/>
    <w:rsid w:val="00E13623"/>
    <w:rsid w:val="00E21233"/>
    <w:rsid w:val="00E31759"/>
    <w:rsid w:val="00E51284"/>
    <w:rsid w:val="00E51C4C"/>
    <w:rsid w:val="00E51E17"/>
    <w:rsid w:val="00E544FC"/>
    <w:rsid w:val="00E57981"/>
    <w:rsid w:val="00E60E3A"/>
    <w:rsid w:val="00E81239"/>
    <w:rsid w:val="00EF2BAC"/>
    <w:rsid w:val="00EF397D"/>
    <w:rsid w:val="00F07A08"/>
    <w:rsid w:val="00F1028C"/>
    <w:rsid w:val="00F13383"/>
    <w:rsid w:val="00F43E49"/>
    <w:rsid w:val="00F6444C"/>
    <w:rsid w:val="00F87088"/>
    <w:rsid w:val="00FD0FB4"/>
    <w:rsid w:val="03A21108"/>
    <w:rsid w:val="084D1E82"/>
    <w:rsid w:val="1A2B3676"/>
    <w:rsid w:val="1EBFA39C"/>
    <w:rsid w:val="2B784EC5"/>
    <w:rsid w:val="2FE3C9D0"/>
    <w:rsid w:val="34F3CA5D"/>
    <w:rsid w:val="3F53F7E4"/>
    <w:rsid w:val="3FF7191F"/>
    <w:rsid w:val="5EDF9EFC"/>
    <w:rsid w:val="6A7E0B45"/>
    <w:rsid w:val="776F64B0"/>
    <w:rsid w:val="7ADB6915"/>
    <w:rsid w:val="7BFF3750"/>
    <w:rsid w:val="7F7FB1AA"/>
    <w:rsid w:val="8C7518FF"/>
    <w:rsid w:val="A7DF99EE"/>
    <w:rsid w:val="A7F25FF2"/>
    <w:rsid w:val="B2CD60F3"/>
    <w:rsid w:val="B4FE1611"/>
    <w:rsid w:val="BEFA2793"/>
    <w:rsid w:val="D9DB8D89"/>
    <w:rsid w:val="E9E6F8D4"/>
    <w:rsid w:val="F77F7885"/>
    <w:rsid w:val="FFFF4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2"/>
    <w:basedOn w:val="1"/>
    <w:next w:val="1"/>
    <w:link w:val="16"/>
    <w:qFormat/>
    <w:uiPriority w:val="0"/>
    <w:pPr>
      <w:keepNext/>
      <w:keepLines/>
      <w:spacing w:before="120" w:line="360" w:lineRule="auto"/>
      <w:ind w:firstLine="693"/>
      <w:outlineLvl w:val="1"/>
    </w:pPr>
    <w:rPr>
      <w:rFonts w:ascii="Calibri Light" w:hAnsi="Calibri Light"/>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pPr>
      <w:jc w:val="left"/>
    </w:pPr>
  </w:style>
  <w:style w:type="paragraph" w:styleId="4">
    <w:name w:val="Plain Text"/>
    <w:basedOn w:val="1"/>
    <w:link w:val="15"/>
    <w:qFormat/>
    <w:uiPriority w:val="99"/>
    <w:rPr>
      <w:rFonts w:ascii="宋体" w:hAnsi="Courier New" w:cs="Times New Roman"/>
      <w:szCs w:val="21"/>
    </w:rPr>
  </w:style>
  <w:style w:type="paragraph" w:styleId="5">
    <w:name w:val="Balloon Text"/>
    <w:basedOn w:val="1"/>
    <w:link w:val="18"/>
    <w:semiHidden/>
    <w:unhideWhenUsed/>
    <w:qFormat/>
    <w:uiPriority w:val="99"/>
    <w:rPr>
      <w:sz w:val="18"/>
      <w:szCs w:val="18"/>
    </w:rPr>
  </w:style>
  <w:style w:type="paragraph" w:styleId="6">
    <w:name w:val="footer"/>
    <w:basedOn w:val="1"/>
    <w:link w:val="14"/>
    <w:qFormat/>
    <w:uiPriority w:val="99"/>
    <w:pPr>
      <w:tabs>
        <w:tab w:val="center" w:pos="4153"/>
        <w:tab w:val="right" w:pos="8306"/>
      </w:tabs>
      <w:snapToGrid w:val="0"/>
      <w:jc w:val="left"/>
    </w:pPr>
    <w:rPr>
      <w:sz w:val="18"/>
      <w:szCs w:val="18"/>
    </w:rPr>
  </w:style>
  <w:style w:type="paragraph" w:styleId="7">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20"/>
    <w:semiHidden/>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semiHidden/>
    <w:unhideWhenUsed/>
    <w:qFormat/>
    <w:uiPriority w:val="99"/>
    <w:rPr>
      <w:sz w:val="21"/>
      <w:szCs w:val="21"/>
    </w:rPr>
  </w:style>
  <w:style w:type="character" w:customStyle="1" w:styleId="13">
    <w:name w:val="页眉 字符"/>
    <w:basedOn w:val="11"/>
    <w:link w:val="7"/>
    <w:qFormat/>
    <w:uiPriority w:val="99"/>
    <w:rPr>
      <w:sz w:val="18"/>
      <w:szCs w:val="18"/>
    </w:rPr>
  </w:style>
  <w:style w:type="character" w:customStyle="1" w:styleId="14">
    <w:name w:val="页脚 字符"/>
    <w:basedOn w:val="11"/>
    <w:link w:val="6"/>
    <w:qFormat/>
    <w:uiPriority w:val="99"/>
    <w:rPr>
      <w:sz w:val="18"/>
      <w:szCs w:val="18"/>
    </w:rPr>
  </w:style>
  <w:style w:type="character" w:customStyle="1" w:styleId="15">
    <w:name w:val="纯文本 字符"/>
    <w:basedOn w:val="11"/>
    <w:link w:val="4"/>
    <w:qFormat/>
    <w:uiPriority w:val="99"/>
    <w:rPr>
      <w:rFonts w:ascii="宋体" w:hAnsi="Courier New" w:eastAsia="宋体" w:cs="Times New Roman"/>
      <w:szCs w:val="21"/>
    </w:rPr>
  </w:style>
  <w:style w:type="character" w:customStyle="1" w:styleId="16">
    <w:name w:val="标题 2 字符"/>
    <w:basedOn w:val="11"/>
    <w:link w:val="2"/>
    <w:qFormat/>
    <w:uiPriority w:val="0"/>
    <w:rPr>
      <w:rFonts w:ascii="Calibri Light" w:hAnsi="Calibri Light" w:eastAsia="宋体" w:cs="宋体"/>
      <w:b/>
      <w:bCs/>
      <w:sz w:val="32"/>
      <w:szCs w:val="32"/>
    </w:rPr>
  </w:style>
  <w:style w:type="paragraph" w:customStyle="1" w:styleId="17">
    <w:name w:val="样式-正文"/>
    <w:qFormat/>
    <w:uiPriority w:val="0"/>
    <w:pPr>
      <w:keepNext/>
      <w:widowControl w:val="0"/>
      <w:spacing w:line="560" w:lineRule="exact"/>
      <w:ind w:firstLine="200"/>
      <w:jc w:val="both"/>
    </w:pPr>
    <w:rPr>
      <w:rFonts w:ascii="Arial Unicode MS" w:hAnsi="Times New Roman" w:eastAsia="Arial Unicode MS" w:cs="Arial Unicode MS"/>
      <w:color w:val="000000"/>
      <w:sz w:val="30"/>
      <w:szCs w:val="30"/>
      <w:u w:color="000000"/>
      <w:lang w:val="en-US" w:eastAsia="zh-CN" w:bidi="ar-SA"/>
    </w:rPr>
  </w:style>
  <w:style w:type="character" w:customStyle="1" w:styleId="18">
    <w:name w:val="批注框文本 字符"/>
    <w:basedOn w:val="11"/>
    <w:link w:val="5"/>
    <w:semiHidden/>
    <w:qFormat/>
    <w:uiPriority w:val="99"/>
    <w:rPr>
      <w:kern w:val="2"/>
      <w:sz w:val="18"/>
      <w:szCs w:val="18"/>
    </w:rPr>
  </w:style>
  <w:style w:type="character" w:customStyle="1" w:styleId="19">
    <w:name w:val="批注文字 字符"/>
    <w:basedOn w:val="11"/>
    <w:link w:val="3"/>
    <w:semiHidden/>
    <w:qFormat/>
    <w:uiPriority w:val="99"/>
    <w:rPr>
      <w:kern w:val="2"/>
      <w:sz w:val="21"/>
      <w:szCs w:val="22"/>
    </w:rPr>
  </w:style>
  <w:style w:type="character" w:customStyle="1" w:styleId="20">
    <w:name w:val="批注主题 字符"/>
    <w:basedOn w:val="19"/>
    <w:link w:val="8"/>
    <w:qFormat/>
    <w:uiPriority w:val="0"/>
    <w:rPr>
      <w:kern w:val="2"/>
      <w:sz w:val="21"/>
      <w:szCs w:val="22"/>
    </w:rPr>
  </w:style>
  <w:style w:type="paragraph" w:customStyle="1" w:styleId="21">
    <w:name w:val="修订1"/>
    <w:hidden/>
    <w:unhideWhenUsed/>
    <w:qFormat/>
    <w:uiPriority w:val="99"/>
    <w:rPr>
      <w:rFonts w:ascii="Calibri" w:hAnsi="Calibri" w:eastAsia="宋体" w:cs="宋体"/>
      <w:kern w:val="2"/>
      <w:sz w:val="21"/>
      <w:szCs w:val="22"/>
      <w:lang w:val="en-US" w:eastAsia="zh-CN" w:bidi="ar-SA"/>
    </w:rPr>
  </w:style>
  <w:style w:type="paragraph" w:customStyle="1" w:styleId="22">
    <w:name w:val="修订2"/>
    <w:hidden/>
    <w:unhideWhenUsed/>
    <w:qFormat/>
    <w:uiPriority w:val="99"/>
    <w:rPr>
      <w:rFonts w:ascii="Calibri" w:hAnsi="Calibri" w:eastAsia="宋体" w:cs="宋体"/>
      <w:kern w:val="2"/>
      <w:sz w:val="21"/>
      <w:szCs w:val="22"/>
      <w:lang w:val="en-US" w:eastAsia="zh-CN" w:bidi="ar-SA"/>
    </w:rPr>
  </w:style>
  <w:style w:type="paragraph" w:customStyle="1" w:styleId="23">
    <w:name w:val="修订3"/>
    <w:hidden/>
    <w:unhideWhenUsed/>
    <w:qFormat/>
    <w:uiPriority w:val="99"/>
    <w:rPr>
      <w:rFonts w:ascii="Calibri" w:hAnsi="Calibri" w:eastAsia="宋体" w:cs="宋体"/>
      <w:kern w:val="2"/>
      <w:sz w:val="21"/>
      <w:szCs w:val="22"/>
      <w:lang w:val="en-US" w:eastAsia="zh-CN" w:bidi="ar-SA"/>
    </w:rPr>
  </w:style>
  <w:style w:type="paragraph" w:customStyle="1" w:styleId="24">
    <w:name w:val="Revision"/>
    <w:hidden/>
    <w:unhideWhenUsed/>
    <w:qFormat/>
    <w:uiPriority w:val="99"/>
    <w:rPr>
      <w:rFonts w:ascii="Calibri" w:hAnsi="Calibri"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786</Words>
  <Characters>4482</Characters>
  <Lines>37</Lines>
  <Paragraphs>10</Paragraphs>
  <TotalTime>22</TotalTime>
  <ScaleCrop>false</ScaleCrop>
  <LinksUpToDate>false</LinksUpToDate>
  <CharactersWithSpaces>5258</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2026-07-23T18:05:00Z</dcterms:created>
  <dc:creator>Administrator</dc:creator>
  <cp:lastModifiedBy>王婉婷</cp:lastModifiedBy>
  <dcterms:modified xsi:type="dcterms:W3CDTF">2026-07-30T08:58:34Z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730221A1358B44106063606AACE1B99F_43</vt:lpwstr>
  </property>
  <property fmtid="{D5CDD505-2E9C-101B-9397-08002B2CF9AE}" pid="3" name="KSOProductBuildVer">
    <vt:lpwstr>2052-12.8.2.21176</vt:lpwstr>
  </property>
  <property fmtid="{D5CDD505-2E9C-101B-9397-08002B2CF9AE}" pid="4" name="KSOTemplateDocerSaveRecord">
    <vt:lpwstr>eyJoZGlkIjoiNDI1NGQ4MDY4NjMxYWVlMzc3ODM2NDE0MmU1ODUxYzYiLCJ1c2VySWQiOiI0MzA5MTgxMjAifQ==</vt:lpwstr>
  </property>
</Properties>
</file>