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BB058">
      <w:pPr>
        <w:ind w:firstLine="0" w:firstLineChars="0"/>
        <w:jc w:val="center"/>
        <w:rPr>
          <w:rFonts w:hint="eastAsia" w:ascii="黑体" w:hAnsi="黑体" w:eastAsia="黑体"/>
          <w:sz w:val="52"/>
          <w:szCs w:val="52"/>
        </w:rPr>
      </w:pPr>
    </w:p>
    <w:p w14:paraId="1A42AE0F">
      <w:pPr>
        <w:ind w:firstLine="0" w:firstLineChars="0"/>
        <w:jc w:val="center"/>
        <w:rPr>
          <w:rFonts w:hint="eastAsia" w:ascii="黑体" w:hAnsi="黑体" w:eastAsia="黑体"/>
          <w:sz w:val="52"/>
          <w:szCs w:val="52"/>
        </w:rPr>
      </w:pPr>
    </w:p>
    <w:p w14:paraId="597E679B">
      <w:pPr>
        <w:ind w:firstLine="0" w:firstLineChars="0"/>
        <w:jc w:val="center"/>
        <w:rPr>
          <w:rFonts w:hint="eastAsia" w:ascii="黑体" w:hAnsi="黑体" w:eastAsia="黑体"/>
          <w:sz w:val="52"/>
          <w:szCs w:val="52"/>
        </w:rPr>
      </w:pPr>
    </w:p>
    <w:p w14:paraId="4F7B544D">
      <w:pPr>
        <w:ind w:firstLine="0" w:firstLineChars="0"/>
        <w:jc w:val="center"/>
        <w:rPr>
          <w:rFonts w:hint="eastAsia" w:ascii="黑体" w:hAnsi="黑体" w:eastAsia="黑体"/>
          <w:sz w:val="52"/>
          <w:szCs w:val="52"/>
        </w:rPr>
      </w:pPr>
    </w:p>
    <w:p w14:paraId="4431F4E0">
      <w:pPr>
        <w:ind w:firstLine="0" w:firstLineChars="0"/>
        <w:jc w:val="center"/>
        <w:rPr>
          <w:rFonts w:hint="eastAsia" w:ascii="黑体" w:hAnsi="黑体" w:eastAsia="黑体"/>
          <w:sz w:val="52"/>
          <w:szCs w:val="52"/>
        </w:rPr>
      </w:pPr>
    </w:p>
    <w:p w14:paraId="5C6D9FF7">
      <w:pPr>
        <w:ind w:firstLine="0" w:firstLineChars="0"/>
        <w:jc w:val="center"/>
        <w:rPr>
          <w:rFonts w:hint="eastAsia" w:ascii="黑体" w:hAnsi="黑体" w:eastAsia="黑体"/>
          <w:sz w:val="52"/>
          <w:szCs w:val="52"/>
        </w:rPr>
      </w:pPr>
    </w:p>
    <w:p w14:paraId="4504AB19">
      <w:pPr>
        <w:ind w:firstLine="0" w:firstLineChars="0"/>
        <w:jc w:val="center"/>
        <w:rPr>
          <w:rFonts w:hint="eastAsia" w:ascii="黑体" w:hAnsi="黑体" w:eastAsia="黑体"/>
          <w:sz w:val="72"/>
          <w:szCs w:val="72"/>
        </w:rPr>
      </w:pPr>
      <w:r>
        <w:rPr>
          <w:rFonts w:hint="eastAsia" w:ascii="黑体" w:hAnsi="黑体" w:eastAsia="黑体"/>
          <w:sz w:val="52"/>
          <w:szCs w:val="52"/>
        </w:rPr>
        <w:t>临港新片区一网统管融合建设项目采购需求</w:t>
      </w:r>
    </w:p>
    <w:p w14:paraId="3B39DFA2">
      <w:pPr>
        <w:ind w:firstLine="0" w:firstLineChars="0"/>
        <w:jc w:val="center"/>
        <w:rPr>
          <w:rFonts w:hint="eastAsia" w:ascii="黑体" w:hAnsi="黑体" w:eastAsia="黑体"/>
          <w:sz w:val="48"/>
          <w:szCs w:val="48"/>
        </w:rPr>
      </w:pPr>
    </w:p>
    <w:p w14:paraId="1BDB2CDB">
      <w:pPr>
        <w:ind w:firstLine="0" w:firstLineChars="0"/>
        <w:jc w:val="center"/>
        <w:rPr>
          <w:rFonts w:hint="eastAsia" w:ascii="黑体" w:hAnsi="黑体" w:eastAsia="黑体"/>
          <w:sz w:val="52"/>
          <w:szCs w:val="52"/>
        </w:rPr>
      </w:pPr>
    </w:p>
    <w:p w14:paraId="3B4C1CEB">
      <w:pPr>
        <w:ind w:firstLine="1040"/>
        <w:rPr>
          <w:rFonts w:hint="eastAsia" w:ascii="黑体" w:hAnsi="黑体" w:eastAsia="黑体"/>
          <w:sz w:val="52"/>
          <w:szCs w:val="52"/>
        </w:rPr>
      </w:pPr>
    </w:p>
    <w:p w14:paraId="55A1A23F">
      <w:pPr>
        <w:rPr>
          <w:rFonts w:hint="eastAsia"/>
        </w:rPr>
      </w:pPr>
    </w:p>
    <w:p w14:paraId="2D0AA602">
      <w:pPr>
        <w:rPr>
          <w:rFonts w:hint="eastAsia"/>
        </w:rPr>
      </w:pPr>
    </w:p>
    <w:p w14:paraId="19376E53">
      <w:pPr>
        <w:rPr>
          <w:rFonts w:hint="eastAsia"/>
        </w:rPr>
      </w:pPr>
    </w:p>
    <w:p w14:paraId="59B6D65D">
      <w:pPr>
        <w:rPr>
          <w:rFonts w:hint="eastAsia"/>
        </w:rPr>
      </w:pPr>
    </w:p>
    <w:p w14:paraId="4C471E21">
      <w:pPr>
        <w:rPr>
          <w:rFonts w:hint="eastAsia"/>
        </w:rPr>
      </w:pPr>
    </w:p>
    <w:p w14:paraId="3DF6694F">
      <w:pPr>
        <w:ind w:firstLine="1040"/>
        <w:rPr>
          <w:rFonts w:hint="eastAsia" w:ascii="黑体" w:hAnsi="黑体" w:eastAsia="黑体"/>
          <w:sz w:val="52"/>
          <w:szCs w:val="52"/>
        </w:rPr>
      </w:pPr>
    </w:p>
    <w:p w14:paraId="46EE7A8B">
      <w:pPr>
        <w:jc w:val="center"/>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1134" w:right="1797" w:bottom="1135" w:left="1797" w:header="340" w:footer="7" w:gutter="0"/>
          <w:pgNumType w:start="1"/>
          <w:cols w:space="720" w:num="1"/>
          <w:titlePg/>
          <w:docGrid w:type="linesAndChars" w:linePitch="326" w:charSpace="0"/>
        </w:sectPr>
      </w:pPr>
    </w:p>
    <w:p w14:paraId="2A936495">
      <w:pPr>
        <w:pStyle w:val="2"/>
        <w:rPr>
          <w:rFonts w:hint="eastAsia"/>
        </w:rPr>
      </w:pPr>
      <w:bookmarkStart w:id="0" w:name="_Toc63785461"/>
      <w:r>
        <w:rPr>
          <w:rFonts w:hint="eastAsia"/>
        </w:rPr>
        <w:t>项目概况</w:t>
      </w:r>
      <w:bookmarkEnd w:id="0"/>
    </w:p>
    <w:p w14:paraId="750F9F21">
      <w:pPr>
        <w:pStyle w:val="3"/>
        <w:ind w:left="0"/>
        <w:rPr>
          <w:rFonts w:hint="eastAsia"/>
        </w:rPr>
      </w:pPr>
      <w:r>
        <w:rPr>
          <w:rFonts w:hint="eastAsia"/>
        </w:rPr>
        <w:t>项目背景和现状</w:t>
      </w:r>
    </w:p>
    <w:p w14:paraId="67EE5CAA">
      <w:pPr>
        <w:spacing w:line="560" w:lineRule="exact"/>
        <w:rPr>
          <w:rFonts w:hint="eastAsia"/>
        </w:rPr>
      </w:pPr>
      <w:r>
        <w:rPr>
          <w:rFonts w:hint="eastAsia"/>
        </w:rPr>
        <w:t>临港新片区“一网统管”建设是国家推进城市治理现代化和数字化转型的重要实践，依托上海“一网统管”总体框架，结合新片区特殊定位而设立。作为自贸试验区，临港新片区承担制度创新使命，需应对快速城市化、国际化营商环境等挑战，传统管理模式难以满足需求。临港新片区自2019年揭牌以来，各业务部门结合自身实际管理需求，建设了一批数字化业务系统，其中</w:t>
      </w:r>
      <w:r>
        <w:rPr>
          <w:rFonts w:hint="eastAsia"/>
          <w:lang w:eastAsia="zh-CN"/>
        </w:rPr>
        <w:t>与</w:t>
      </w:r>
      <w:r>
        <w:rPr>
          <w:rFonts w:hint="eastAsia"/>
        </w:rPr>
        <w:t>城市运行管理相关的有22个。为进一步加强数据归集、场景融合，拟通过整合委内与城市运行管理相关业务系统的数据和应用场景，同时对部分业务系统进行功能提升，来提升“一网统管”平台的整体性和实战性，最终实现“一屏观天下、一网管全城”的目标。</w:t>
      </w:r>
    </w:p>
    <w:p w14:paraId="2CCA0BAC">
      <w:pPr>
        <w:spacing w:line="560" w:lineRule="exact"/>
        <w:rPr>
          <w:rFonts w:hint="eastAsia"/>
        </w:rPr>
      </w:pPr>
      <w:r>
        <w:rPr>
          <w:rFonts w:hint="eastAsia"/>
        </w:rPr>
        <w:t>2025年1月，临港新片区管委会城市运行联动指挥中心正式投入使用，融合了值班值守、应急指挥、市民热线等职能，统筹开展管委会层面城市运行管理相关工作。2025年5月，为进一步建立健全统一指挥、专常兼备、反应灵敏、上下联动的特殊功能区应急指挥体系，提升城市运行和突发事件应急处置、联动指挥能力，立足“管镇高度融合”机制优势和平战结合基本定位，管委会制定了《临港新片区完善应急指挥体系工作方案》。</w:t>
      </w:r>
    </w:p>
    <w:p w14:paraId="4B6FC1DE">
      <w:pPr>
        <w:spacing w:line="560" w:lineRule="exact"/>
        <w:rPr>
          <w:rFonts w:hint="eastAsia"/>
        </w:rPr>
      </w:pPr>
      <w:r>
        <w:rPr>
          <w:rFonts w:hint="eastAsia"/>
        </w:rPr>
        <w:t>本项目整合委内与城市运行管理相关业务系统，将新片区各管理层级、相关市场运营主体等与城市治理相关的数字化系统“统起来”，通过临港新片区城市运行联动指挥中心将统起来的数字化系统“管起来”，实现从“散”到“整”、从“单兵作战”到“联合作战”的转变。</w:t>
      </w:r>
    </w:p>
    <w:p w14:paraId="11890B69">
      <w:pPr>
        <w:pStyle w:val="3"/>
        <w:ind w:left="0"/>
        <w:rPr>
          <w:rFonts w:hint="eastAsia"/>
        </w:rPr>
      </w:pPr>
      <w:r>
        <w:rPr>
          <w:rFonts w:hint="eastAsia"/>
        </w:rPr>
        <w:t>建设期限</w:t>
      </w:r>
    </w:p>
    <w:p w14:paraId="740A8DF0">
      <w:pPr>
        <w:spacing w:line="560" w:lineRule="exact"/>
        <w:rPr>
          <w:rFonts w:hint="eastAsia"/>
        </w:rPr>
      </w:pPr>
      <w:r>
        <w:rPr>
          <w:rFonts w:hint="eastAsia"/>
        </w:rPr>
        <w:t>自合同签订之日起</w:t>
      </w:r>
      <w:r>
        <w:rPr>
          <w:rFonts w:hint="eastAsia"/>
          <w:lang w:val="en-US" w:eastAsia="zh-CN"/>
        </w:rPr>
        <w:t>12个月内</w:t>
      </w:r>
      <w:r>
        <w:rPr>
          <w:rFonts w:hint="eastAsia"/>
        </w:rPr>
        <w:t>（含试运行</w:t>
      </w:r>
      <w:r>
        <w:rPr>
          <w:rFonts w:hint="eastAsia"/>
          <w:lang w:val="en-US" w:eastAsia="zh-CN"/>
        </w:rPr>
        <w:t>3</w:t>
      </w:r>
      <w:r>
        <w:rPr>
          <w:rFonts w:hint="eastAsia"/>
        </w:rPr>
        <w:t>个月）</w:t>
      </w:r>
    </w:p>
    <w:p w14:paraId="24817DD6">
      <w:pPr>
        <w:pStyle w:val="3"/>
        <w:ind w:left="0"/>
        <w:rPr>
          <w:rFonts w:hint="eastAsia"/>
        </w:rPr>
      </w:pPr>
      <w:r>
        <w:rPr>
          <w:rFonts w:hint="eastAsia"/>
        </w:rPr>
        <w:t>建设地点</w:t>
      </w:r>
    </w:p>
    <w:p w14:paraId="1062D579">
      <w:pPr>
        <w:spacing w:line="560" w:lineRule="exact"/>
        <w:rPr>
          <w:rFonts w:hint="default" w:eastAsia="宋体"/>
          <w:lang w:val="en-US" w:eastAsia="zh-CN"/>
        </w:rPr>
      </w:pPr>
      <w:r>
        <w:rPr>
          <w:rFonts w:hint="eastAsia"/>
        </w:rPr>
        <w:t>建设地点：</w:t>
      </w:r>
      <w:r>
        <w:rPr>
          <w:rFonts w:hint="eastAsia"/>
          <w:lang w:val="en-US" w:eastAsia="zh-CN"/>
        </w:rPr>
        <w:t>浦东新区申港大道200号</w:t>
      </w:r>
    </w:p>
    <w:p w14:paraId="75090490">
      <w:pPr>
        <w:pStyle w:val="3"/>
        <w:ind w:left="0"/>
        <w:rPr>
          <w:rFonts w:hint="eastAsia"/>
        </w:rPr>
      </w:pPr>
      <w:r>
        <w:rPr>
          <w:rFonts w:hint="eastAsia"/>
        </w:rPr>
        <w:t>预算金额</w:t>
      </w:r>
    </w:p>
    <w:p w14:paraId="56831C2D">
      <w:pPr>
        <w:spacing w:line="560" w:lineRule="exact"/>
        <w:rPr>
          <w:rFonts w:hint="eastAsia"/>
        </w:rPr>
      </w:pPr>
      <w:r>
        <w:rPr>
          <w:rFonts w:hint="eastAsia"/>
        </w:rPr>
        <w:t>预算金额：1,006.7</w:t>
      </w:r>
      <w:r>
        <w:rPr>
          <w:rFonts w:hint="eastAsia"/>
          <w:lang w:val="en-US" w:eastAsia="zh-CN"/>
        </w:rPr>
        <w:t>01</w:t>
      </w:r>
      <w:r>
        <w:rPr>
          <w:rFonts w:hint="eastAsia"/>
        </w:rPr>
        <w:t>万元</w:t>
      </w:r>
    </w:p>
    <w:p w14:paraId="1E9E2FAD">
      <w:pPr>
        <w:pStyle w:val="3"/>
        <w:ind w:left="0"/>
        <w:rPr>
          <w:rFonts w:hint="eastAsia"/>
        </w:rPr>
      </w:pPr>
      <w:r>
        <w:rPr>
          <w:rFonts w:hint="eastAsia"/>
        </w:rPr>
        <w:t>采购金额</w:t>
      </w:r>
    </w:p>
    <w:p w14:paraId="651C8ABE">
      <w:pPr>
        <w:widowControl/>
        <w:jc w:val="left"/>
        <w:rPr>
          <w:rFonts w:hint="eastAsia"/>
        </w:rPr>
      </w:pPr>
      <w:r>
        <w:rPr>
          <w:rFonts w:hint="eastAsia"/>
        </w:rPr>
        <w:t>采购金额（最高限价）：1,006.7万元</w:t>
      </w:r>
    </w:p>
    <w:p w14:paraId="13E1F881">
      <w:pPr>
        <w:pStyle w:val="3"/>
        <w:ind w:left="0"/>
        <w:rPr>
          <w:rFonts w:hint="eastAsia"/>
        </w:rPr>
      </w:pPr>
      <w:r>
        <w:rPr>
          <w:rFonts w:hint="eastAsia"/>
        </w:rPr>
        <w:t>组织形式</w:t>
      </w:r>
    </w:p>
    <w:p w14:paraId="6028C76E">
      <w:pPr>
        <w:rPr>
          <w:rFonts w:hint="eastAsia"/>
        </w:rPr>
      </w:pPr>
      <w:r>
        <w:rPr>
          <w:rFonts w:hint="eastAsia"/>
        </w:rPr>
        <w:t>组织形式：集中采购</w:t>
      </w:r>
    </w:p>
    <w:p w14:paraId="3A47BC64">
      <w:pPr>
        <w:pStyle w:val="3"/>
        <w:ind w:left="0"/>
        <w:rPr>
          <w:rFonts w:hint="eastAsia"/>
        </w:rPr>
      </w:pPr>
      <w:r>
        <w:rPr>
          <w:rFonts w:hint="eastAsia"/>
        </w:rPr>
        <w:t>采购方式</w:t>
      </w:r>
    </w:p>
    <w:p w14:paraId="06B49DCB">
      <w:pPr>
        <w:rPr>
          <w:rFonts w:hint="eastAsia"/>
        </w:rPr>
      </w:pPr>
      <w:r>
        <w:rPr>
          <w:rFonts w:hint="eastAsia"/>
        </w:rPr>
        <w:t>采购方式：公开招标</w:t>
      </w:r>
    </w:p>
    <w:p w14:paraId="58DA3E93">
      <w:pPr>
        <w:pStyle w:val="3"/>
        <w:ind w:left="0"/>
        <w:rPr>
          <w:rFonts w:hint="eastAsia"/>
        </w:rPr>
      </w:pPr>
      <w:r>
        <w:rPr>
          <w:rFonts w:hint="eastAsia"/>
        </w:rPr>
        <w:t>是否接受联合体投标</w:t>
      </w:r>
    </w:p>
    <w:p w14:paraId="28005EB8">
      <w:pPr>
        <w:rPr>
          <w:rFonts w:hint="eastAsia"/>
        </w:rPr>
      </w:pPr>
      <w:r>
        <w:rPr>
          <w:rFonts w:hint="eastAsia"/>
        </w:rPr>
        <w:t>是否接受联合体投标：否</w:t>
      </w:r>
    </w:p>
    <w:p w14:paraId="137032C5">
      <w:pPr>
        <w:pStyle w:val="3"/>
        <w:ind w:left="0"/>
        <w:rPr>
          <w:rFonts w:hint="eastAsia"/>
        </w:rPr>
      </w:pPr>
      <w:r>
        <w:rPr>
          <w:rFonts w:hint="eastAsia"/>
        </w:rPr>
        <w:t>是否按</w:t>
      </w:r>
      <w:r>
        <w:rPr>
          <w:rFonts w:hint="eastAsia"/>
          <w:lang w:eastAsia="zh-CN"/>
        </w:rPr>
        <w:t>XC</w:t>
      </w:r>
      <w:r>
        <w:rPr>
          <w:rFonts w:hint="eastAsia"/>
        </w:rPr>
        <w:t>要求建设</w:t>
      </w:r>
    </w:p>
    <w:p w14:paraId="1EB09445">
      <w:pPr>
        <w:rPr>
          <w:rFonts w:hint="eastAsia"/>
        </w:rPr>
      </w:pPr>
      <w:r>
        <w:t>是否按</w:t>
      </w:r>
      <w:r>
        <w:rPr>
          <w:rFonts w:hint="eastAsia"/>
          <w:lang w:eastAsia="zh-CN"/>
        </w:rPr>
        <w:t>XC</w:t>
      </w:r>
      <w:r>
        <w:t>要求建设：是</w:t>
      </w:r>
    </w:p>
    <w:p w14:paraId="52746B73">
      <w:pPr>
        <w:pStyle w:val="2"/>
        <w:rPr>
          <w:rFonts w:hint="eastAsia"/>
        </w:rPr>
      </w:pPr>
      <w:bookmarkStart w:id="1" w:name="_Toc47537134"/>
      <w:bookmarkEnd w:id="1"/>
      <w:bookmarkStart w:id="2" w:name="_Toc47531634"/>
      <w:bookmarkEnd w:id="2"/>
      <w:bookmarkStart w:id="3" w:name="_Toc47532891"/>
      <w:bookmarkEnd w:id="3"/>
      <w:bookmarkStart w:id="4" w:name="_Toc47536644"/>
      <w:bookmarkEnd w:id="4"/>
      <w:bookmarkStart w:id="5" w:name="_Toc47536272"/>
      <w:bookmarkEnd w:id="5"/>
      <w:bookmarkStart w:id="6" w:name="_Toc47539070"/>
      <w:bookmarkEnd w:id="6"/>
      <w:bookmarkStart w:id="7" w:name="_Toc47532255"/>
      <w:bookmarkEnd w:id="7"/>
      <w:bookmarkStart w:id="8" w:name="_Toc47533256"/>
      <w:bookmarkEnd w:id="8"/>
      <w:bookmarkStart w:id="9" w:name="_Toc63785463"/>
      <w:bookmarkStart w:id="10" w:name="_Toc48223882"/>
      <w:r>
        <w:rPr>
          <w:rFonts w:hint="eastAsia"/>
        </w:rPr>
        <w:t>建设目标</w:t>
      </w:r>
      <w:bookmarkEnd w:id="9"/>
      <w:bookmarkEnd w:id="10"/>
    </w:p>
    <w:p w14:paraId="66051973">
      <w:pPr>
        <w:rPr>
          <w:rFonts w:hint="eastAsia"/>
        </w:rPr>
      </w:pPr>
      <w:r>
        <w:rPr>
          <w:rFonts w:hint="eastAsia"/>
        </w:rPr>
        <w:t>结合临港新片区城市运行联动指挥中心（城运中心）建设及临港新片区完善应急指挥体系工作方案要求，本项目通过整合委内与城市运行管理相关的业务系统，按照数据和应用场景维度，打造“一网统管”融合平台，进一步提升融合平台的整体性和实战性，实现一屏展示、一屏调度、一屏通信、一屏指挥，提升跨层级、跨区域、跨部门协同联动能力，为实现临港新片区“一网统管”协同联动和高效指挥提供数字化支撑。</w:t>
      </w:r>
    </w:p>
    <w:p w14:paraId="6CAE39F9">
      <w:pPr>
        <w:rPr>
          <w:rFonts w:hint="eastAsia"/>
        </w:rPr>
      </w:pPr>
      <w:r>
        <w:rPr>
          <w:rFonts w:hint="eastAsia"/>
        </w:rPr>
        <w:t>本项目具体目标包括：</w:t>
      </w:r>
    </w:p>
    <w:p w14:paraId="72F3068E">
      <w:pPr>
        <w:rPr>
          <w:rFonts w:hint="eastAsia"/>
        </w:rPr>
      </w:pPr>
      <w:r>
        <w:rPr>
          <w:rFonts w:hint="eastAsia"/>
        </w:rPr>
        <w:t>（一）</w:t>
      </w:r>
      <w:r>
        <w:rPr>
          <w:rFonts w:hint="eastAsia"/>
        </w:rPr>
        <w:tab/>
      </w:r>
      <w:r>
        <w:rPr>
          <w:rFonts w:hint="eastAsia"/>
        </w:rPr>
        <w:t>实现</w:t>
      </w:r>
      <w:r>
        <w:rPr>
          <w:rFonts w:hint="eastAsia"/>
          <w:lang w:eastAsia="zh-CN"/>
        </w:rPr>
        <w:t>“一网统管”</w:t>
      </w:r>
      <w:r>
        <w:rPr>
          <w:rFonts w:hint="eastAsia"/>
        </w:rPr>
        <w:t>相关数据接入，整合临港新片区各类城运事件信息，统一管理城运工具箱，支撑常态防控、联动指挥、自然灾害、重大活动及节假日、安全生产等五个场景，提升协同联动和高效指挥能力。</w:t>
      </w:r>
    </w:p>
    <w:p w14:paraId="704F7496">
      <w:pPr>
        <w:rPr>
          <w:rFonts w:hint="eastAsia"/>
        </w:rPr>
      </w:pPr>
      <w:r>
        <w:rPr>
          <w:rFonts w:hint="eastAsia"/>
        </w:rPr>
        <w:t>（二）</w:t>
      </w:r>
      <w:r>
        <w:rPr>
          <w:rFonts w:hint="eastAsia"/>
        </w:rPr>
        <w:tab/>
      </w:r>
      <w:r>
        <w:rPr>
          <w:rFonts w:hint="eastAsia"/>
        </w:rPr>
        <w:t>整合临港新片区各类视频监控资源并实现与市城运中心视觉中枢平台级联，扩展视频资源的管理规模达到5万路，接入范围覆盖至新建小区和城市公园、景区等，新增600路并发视频的共享服务能力。</w:t>
      </w:r>
    </w:p>
    <w:p w14:paraId="30756F5E">
      <w:pPr>
        <w:rPr>
          <w:rFonts w:hint="eastAsia"/>
        </w:rPr>
      </w:pPr>
      <w:r>
        <w:rPr>
          <w:rFonts w:hint="eastAsia"/>
        </w:rPr>
        <w:t>（三）</w:t>
      </w:r>
      <w:r>
        <w:rPr>
          <w:rFonts w:hint="eastAsia"/>
        </w:rPr>
        <w:tab/>
      </w:r>
      <w:r>
        <w:rPr>
          <w:rFonts w:hint="eastAsia"/>
        </w:rPr>
        <w:t>进一步提升安全生产和应急物资管理的数字化支撑水平，满足安全生产重点工作、专项行动以及日常业务管理等要求，拓展相应的移动端轻应用，进一步提升安全生产和应急物资管理的精细化水平。</w:t>
      </w:r>
    </w:p>
    <w:p w14:paraId="317285C5">
      <w:pPr>
        <w:spacing w:after="120"/>
        <w:ind w:firstLine="482"/>
        <w:rPr>
          <w:rFonts w:hint="eastAsia"/>
        </w:rPr>
      </w:pPr>
      <w:r>
        <w:rPr>
          <w:rFonts w:hint="eastAsia"/>
          <w:b/>
          <w:bCs/>
        </w:rPr>
        <w:t>本项目的应用指标需求如下：</w:t>
      </w:r>
    </w:p>
    <w:tbl>
      <w:tblPr>
        <w:tblStyle w:val="35"/>
        <w:tblW w:w="91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7"/>
        <w:gridCol w:w="1139"/>
        <w:gridCol w:w="1139"/>
        <w:gridCol w:w="1516"/>
        <w:gridCol w:w="2579"/>
        <w:gridCol w:w="2001"/>
      </w:tblGrid>
      <w:tr w14:paraId="47975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737" w:type="dxa"/>
            <w:tcBorders>
              <w:tl2br w:val="nil"/>
              <w:tr2bl w:val="nil"/>
            </w:tcBorders>
            <w:vAlign w:val="center"/>
          </w:tcPr>
          <w:p w14:paraId="603648A3">
            <w:pPr>
              <w:widowControl/>
              <w:snapToGrid w:val="0"/>
              <w:spacing w:line="240" w:lineRule="auto"/>
              <w:ind w:firstLine="0" w:firstLineChars="0"/>
              <w:jc w:val="center"/>
              <w:rPr>
                <w:rFonts w:hint="eastAsia" w:cs="宋体"/>
                <w:b/>
                <w:color w:val="000000"/>
                <w:kern w:val="0"/>
                <w:sz w:val="21"/>
                <w:szCs w:val="21"/>
              </w:rPr>
            </w:pPr>
            <w:r>
              <w:rPr>
                <w:rFonts w:cs="宋体"/>
                <w:b/>
                <w:bCs/>
                <w:color w:val="000000"/>
                <w:kern w:val="0"/>
                <w:sz w:val="21"/>
                <w:szCs w:val="21"/>
              </w:rPr>
              <w:t>序号</w:t>
            </w:r>
          </w:p>
        </w:tc>
        <w:tc>
          <w:tcPr>
            <w:tcW w:w="1139" w:type="dxa"/>
            <w:tcBorders>
              <w:tl2br w:val="nil"/>
              <w:tr2bl w:val="nil"/>
            </w:tcBorders>
            <w:vAlign w:val="center"/>
          </w:tcPr>
          <w:p w14:paraId="7C7533DF">
            <w:pPr>
              <w:widowControl/>
              <w:snapToGrid w:val="0"/>
              <w:spacing w:line="240" w:lineRule="auto"/>
              <w:ind w:firstLine="0" w:firstLineChars="0"/>
              <w:jc w:val="center"/>
              <w:rPr>
                <w:rFonts w:hint="eastAsia" w:cs="宋体"/>
                <w:b/>
                <w:color w:val="000000"/>
                <w:kern w:val="0"/>
                <w:sz w:val="21"/>
                <w:szCs w:val="21"/>
              </w:rPr>
            </w:pPr>
            <w:r>
              <w:rPr>
                <w:rFonts w:cs="宋体"/>
                <w:b/>
                <w:bCs/>
                <w:color w:val="000000"/>
                <w:kern w:val="0"/>
                <w:sz w:val="21"/>
                <w:szCs w:val="21"/>
              </w:rPr>
              <w:t>一级指标</w:t>
            </w:r>
          </w:p>
        </w:tc>
        <w:tc>
          <w:tcPr>
            <w:tcW w:w="1139" w:type="dxa"/>
            <w:tcBorders>
              <w:tl2br w:val="nil"/>
              <w:tr2bl w:val="nil"/>
            </w:tcBorders>
            <w:vAlign w:val="center"/>
          </w:tcPr>
          <w:p w14:paraId="389D5245">
            <w:pPr>
              <w:widowControl/>
              <w:snapToGrid w:val="0"/>
              <w:spacing w:line="240" w:lineRule="auto"/>
              <w:ind w:firstLine="0" w:firstLineChars="0"/>
              <w:jc w:val="center"/>
              <w:rPr>
                <w:rFonts w:hint="eastAsia" w:cs="宋体"/>
                <w:b/>
                <w:color w:val="000000"/>
                <w:kern w:val="0"/>
                <w:sz w:val="21"/>
                <w:szCs w:val="21"/>
              </w:rPr>
            </w:pPr>
            <w:r>
              <w:rPr>
                <w:rFonts w:cs="宋体"/>
                <w:b/>
                <w:bCs/>
                <w:color w:val="000000"/>
                <w:kern w:val="0"/>
                <w:sz w:val="21"/>
                <w:szCs w:val="21"/>
              </w:rPr>
              <w:t>二级指标</w:t>
            </w:r>
          </w:p>
        </w:tc>
        <w:tc>
          <w:tcPr>
            <w:tcW w:w="1516" w:type="dxa"/>
            <w:tcBorders>
              <w:tl2br w:val="nil"/>
              <w:tr2bl w:val="nil"/>
            </w:tcBorders>
            <w:vAlign w:val="center"/>
          </w:tcPr>
          <w:p w14:paraId="7EB02319">
            <w:pPr>
              <w:widowControl/>
              <w:snapToGrid w:val="0"/>
              <w:spacing w:line="240" w:lineRule="auto"/>
              <w:ind w:firstLine="0" w:firstLineChars="0"/>
              <w:jc w:val="center"/>
              <w:rPr>
                <w:rFonts w:hint="eastAsia" w:cs="宋体"/>
                <w:b/>
                <w:color w:val="000000"/>
                <w:kern w:val="0"/>
                <w:sz w:val="21"/>
                <w:szCs w:val="21"/>
              </w:rPr>
            </w:pPr>
            <w:r>
              <w:rPr>
                <w:rFonts w:cs="宋体"/>
                <w:b/>
                <w:bCs/>
                <w:color w:val="000000"/>
                <w:kern w:val="0"/>
                <w:sz w:val="21"/>
                <w:szCs w:val="21"/>
              </w:rPr>
              <w:t>三级指标</w:t>
            </w:r>
          </w:p>
        </w:tc>
        <w:tc>
          <w:tcPr>
            <w:tcW w:w="2579" w:type="dxa"/>
            <w:tcBorders>
              <w:tl2br w:val="nil"/>
              <w:tr2bl w:val="nil"/>
            </w:tcBorders>
            <w:vAlign w:val="center"/>
          </w:tcPr>
          <w:p w14:paraId="6D6D36A3">
            <w:pPr>
              <w:widowControl/>
              <w:snapToGrid w:val="0"/>
              <w:spacing w:line="240" w:lineRule="auto"/>
              <w:ind w:firstLine="0" w:firstLineChars="0"/>
              <w:jc w:val="center"/>
              <w:rPr>
                <w:rFonts w:hint="eastAsia" w:cs="宋体"/>
                <w:b/>
                <w:color w:val="000000"/>
                <w:kern w:val="0"/>
                <w:sz w:val="21"/>
                <w:szCs w:val="21"/>
              </w:rPr>
            </w:pPr>
            <w:r>
              <w:rPr>
                <w:rFonts w:cs="宋体"/>
                <w:b/>
                <w:bCs/>
                <w:color w:val="000000"/>
                <w:kern w:val="0"/>
                <w:sz w:val="21"/>
                <w:szCs w:val="21"/>
              </w:rPr>
              <w:t>四级指标</w:t>
            </w:r>
          </w:p>
        </w:tc>
        <w:tc>
          <w:tcPr>
            <w:tcW w:w="2001" w:type="dxa"/>
            <w:tcBorders>
              <w:tl2br w:val="nil"/>
              <w:tr2bl w:val="nil"/>
            </w:tcBorders>
            <w:vAlign w:val="center"/>
          </w:tcPr>
          <w:p w14:paraId="2EC9A566">
            <w:pPr>
              <w:widowControl/>
              <w:snapToGrid w:val="0"/>
              <w:spacing w:line="240" w:lineRule="auto"/>
              <w:ind w:firstLine="0" w:firstLineChars="0"/>
              <w:jc w:val="center"/>
              <w:rPr>
                <w:rFonts w:hint="eastAsia" w:cs="宋体"/>
                <w:b/>
                <w:bCs/>
                <w:color w:val="000000"/>
                <w:kern w:val="0"/>
                <w:sz w:val="21"/>
                <w:szCs w:val="21"/>
              </w:rPr>
            </w:pPr>
            <w:r>
              <w:rPr>
                <w:rFonts w:hint="eastAsia" w:cs="宋体"/>
                <w:b/>
                <w:bCs/>
                <w:color w:val="000000"/>
                <w:kern w:val="0"/>
                <w:sz w:val="21"/>
                <w:szCs w:val="21"/>
              </w:rPr>
              <w:t>指标值</w:t>
            </w:r>
          </w:p>
        </w:tc>
      </w:tr>
      <w:tr w14:paraId="6C2C8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6F85DD3F">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w:t>
            </w:r>
          </w:p>
        </w:tc>
        <w:tc>
          <w:tcPr>
            <w:tcW w:w="1139" w:type="dxa"/>
            <w:vMerge w:val="restart"/>
            <w:tcBorders>
              <w:tl2br w:val="nil"/>
              <w:tr2bl w:val="nil"/>
            </w:tcBorders>
            <w:vAlign w:val="center"/>
          </w:tcPr>
          <w:p w14:paraId="7740199C">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通用指标</w:t>
            </w:r>
          </w:p>
        </w:tc>
        <w:tc>
          <w:tcPr>
            <w:tcW w:w="1139" w:type="dxa"/>
            <w:vMerge w:val="restart"/>
            <w:tcBorders>
              <w:tl2br w:val="nil"/>
              <w:tr2bl w:val="nil"/>
            </w:tcBorders>
            <w:vAlign w:val="center"/>
          </w:tcPr>
          <w:p w14:paraId="5F29E72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产出指标</w:t>
            </w:r>
          </w:p>
        </w:tc>
        <w:tc>
          <w:tcPr>
            <w:tcW w:w="1516" w:type="dxa"/>
            <w:vMerge w:val="restart"/>
            <w:tcBorders>
              <w:tl2br w:val="nil"/>
              <w:tr2bl w:val="nil"/>
            </w:tcBorders>
            <w:vAlign w:val="center"/>
          </w:tcPr>
          <w:p w14:paraId="65D11A0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产出数量</w:t>
            </w:r>
          </w:p>
        </w:tc>
        <w:tc>
          <w:tcPr>
            <w:tcW w:w="2579" w:type="dxa"/>
            <w:tcBorders>
              <w:tl2br w:val="nil"/>
              <w:tr2bl w:val="nil"/>
            </w:tcBorders>
            <w:vAlign w:val="center"/>
          </w:tcPr>
          <w:p w14:paraId="547238A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软件开发完成率</w:t>
            </w:r>
          </w:p>
        </w:tc>
        <w:tc>
          <w:tcPr>
            <w:tcW w:w="2001" w:type="dxa"/>
            <w:tcBorders>
              <w:tl2br w:val="nil"/>
              <w:tr2bl w:val="nil"/>
            </w:tcBorders>
            <w:vAlign w:val="center"/>
          </w:tcPr>
          <w:p w14:paraId="64CD6492">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100%</w:t>
            </w:r>
          </w:p>
        </w:tc>
      </w:tr>
      <w:tr w14:paraId="2B421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3DF0DC6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w:t>
            </w:r>
          </w:p>
        </w:tc>
        <w:tc>
          <w:tcPr>
            <w:tcW w:w="1139" w:type="dxa"/>
            <w:vMerge w:val="continue"/>
            <w:tcBorders>
              <w:tl2br w:val="nil"/>
              <w:tr2bl w:val="nil"/>
            </w:tcBorders>
            <w:vAlign w:val="center"/>
          </w:tcPr>
          <w:p w14:paraId="4C5EF36F">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63D8759F">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1FBE9355">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252AA1F3">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软件产品购置完成率</w:t>
            </w:r>
          </w:p>
        </w:tc>
        <w:tc>
          <w:tcPr>
            <w:tcW w:w="2001" w:type="dxa"/>
            <w:tcBorders>
              <w:tl2br w:val="nil"/>
              <w:tr2bl w:val="nil"/>
            </w:tcBorders>
            <w:vAlign w:val="center"/>
          </w:tcPr>
          <w:p w14:paraId="7B794315">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100%</w:t>
            </w:r>
          </w:p>
        </w:tc>
      </w:tr>
      <w:tr w14:paraId="5E5A8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747CCA7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3</w:t>
            </w:r>
          </w:p>
        </w:tc>
        <w:tc>
          <w:tcPr>
            <w:tcW w:w="1139" w:type="dxa"/>
            <w:vMerge w:val="continue"/>
            <w:tcBorders>
              <w:tl2br w:val="nil"/>
              <w:tr2bl w:val="nil"/>
            </w:tcBorders>
            <w:vAlign w:val="center"/>
          </w:tcPr>
          <w:p w14:paraId="2D28E88B">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2C110B78">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324B6E46">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7E562E5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硬件设备购置完成率</w:t>
            </w:r>
          </w:p>
        </w:tc>
        <w:tc>
          <w:tcPr>
            <w:tcW w:w="2001" w:type="dxa"/>
            <w:tcBorders>
              <w:tl2br w:val="nil"/>
              <w:tr2bl w:val="nil"/>
            </w:tcBorders>
            <w:vAlign w:val="center"/>
          </w:tcPr>
          <w:p w14:paraId="21F48EF0">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100%</w:t>
            </w:r>
          </w:p>
        </w:tc>
      </w:tr>
      <w:tr w14:paraId="06A2B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56EB9D5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4</w:t>
            </w:r>
          </w:p>
        </w:tc>
        <w:tc>
          <w:tcPr>
            <w:tcW w:w="1139" w:type="dxa"/>
            <w:vMerge w:val="continue"/>
            <w:tcBorders>
              <w:tl2br w:val="nil"/>
              <w:tr2bl w:val="nil"/>
            </w:tcBorders>
            <w:vAlign w:val="center"/>
          </w:tcPr>
          <w:p w14:paraId="24FDA780">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0969C7A7">
            <w:pPr>
              <w:widowControl/>
              <w:snapToGrid w:val="0"/>
              <w:spacing w:line="240" w:lineRule="auto"/>
              <w:ind w:firstLine="0" w:firstLineChars="0"/>
              <w:jc w:val="center"/>
              <w:rPr>
                <w:rFonts w:hint="eastAsia" w:cs="宋体"/>
                <w:color w:val="000000"/>
                <w:kern w:val="0"/>
                <w:sz w:val="21"/>
                <w:szCs w:val="21"/>
              </w:rPr>
            </w:pPr>
          </w:p>
        </w:tc>
        <w:tc>
          <w:tcPr>
            <w:tcW w:w="1516" w:type="dxa"/>
            <w:vMerge w:val="restart"/>
            <w:tcBorders>
              <w:tl2br w:val="nil"/>
              <w:tr2bl w:val="nil"/>
            </w:tcBorders>
            <w:vAlign w:val="center"/>
          </w:tcPr>
          <w:p w14:paraId="6D31F148">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产出质量</w:t>
            </w:r>
          </w:p>
        </w:tc>
        <w:tc>
          <w:tcPr>
            <w:tcW w:w="2579" w:type="dxa"/>
            <w:tcBorders>
              <w:tl2br w:val="nil"/>
              <w:tr2bl w:val="nil"/>
            </w:tcBorders>
            <w:vAlign w:val="center"/>
          </w:tcPr>
          <w:p w14:paraId="12154F2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一次性验收合格率</w:t>
            </w:r>
          </w:p>
        </w:tc>
        <w:tc>
          <w:tcPr>
            <w:tcW w:w="2001" w:type="dxa"/>
            <w:tcBorders>
              <w:tl2br w:val="nil"/>
              <w:tr2bl w:val="nil"/>
            </w:tcBorders>
            <w:vAlign w:val="center"/>
          </w:tcPr>
          <w:p w14:paraId="0845F7FC">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100%</w:t>
            </w:r>
          </w:p>
        </w:tc>
      </w:tr>
      <w:tr w14:paraId="6A988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3F7B223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5</w:t>
            </w:r>
          </w:p>
        </w:tc>
        <w:tc>
          <w:tcPr>
            <w:tcW w:w="1139" w:type="dxa"/>
            <w:vMerge w:val="continue"/>
            <w:tcBorders>
              <w:tl2br w:val="nil"/>
              <w:tr2bl w:val="nil"/>
            </w:tcBorders>
            <w:vAlign w:val="center"/>
          </w:tcPr>
          <w:p w14:paraId="1F2EB67A">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1310E26B">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23EF480E">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6D4C7A37">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数据安全事件发生次数</w:t>
            </w:r>
          </w:p>
        </w:tc>
        <w:tc>
          <w:tcPr>
            <w:tcW w:w="2001" w:type="dxa"/>
            <w:tcBorders>
              <w:tl2br w:val="nil"/>
              <w:tr2bl w:val="nil"/>
            </w:tcBorders>
            <w:vAlign w:val="center"/>
          </w:tcPr>
          <w:p w14:paraId="7E46A0AA">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0</w:t>
            </w:r>
          </w:p>
        </w:tc>
      </w:tr>
      <w:tr w14:paraId="47E21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3576875F">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6</w:t>
            </w:r>
          </w:p>
        </w:tc>
        <w:tc>
          <w:tcPr>
            <w:tcW w:w="1139" w:type="dxa"/>
            <w:vMerge w:val="continue"/>
            <w:tcBorders>
              <w:tl2br w:val="nil"/>
              <w:tr2bl w:val="nil"/>
            </w:tcBorders>
            <w:vAlign w:val="center"/>
          </w:tcPr>
          <w:p w14:paraId="0540389F">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28C052C9">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389F7B34">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79EA5ED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系统可靠性</w:t>
            </w:r>
          </w:p>
        </w:tc>
        <w:tc>
          <w:tcPr>
            <w:tcW w:w="2001" w:type="dxa"/>
            <w:tcBorders>
              <w:tl2br w:val="nil"/>
              <w:tr2bl w:val="nil"/>
            </w:tcBorders>
            <w:vAlign w:val="center"/>
          </w:tcPr>
          <w:p w14:paraId="2E16036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99.90%</w:t>
            </w:r>
          </w:p>
        </w:tc>
      </w:tr>
      <w:tr w14:paraId="7C5F5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15C1B4B1">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7</w:t>
            </w:r>
          </w:p>
        </w:tc>
        <w:tc>
          <w:tcPr>
            <w:tcW w:w="1139" w:type="dxa"/>
            <w:vMerge w:val="continue"/>
            <w:tcBorders>
              <w:tl2br w:val="nil"/>
              <w:tr2bl w:val="nil"/>
            </w:tcBorders>
            <w:vAlign w:val="center"/>
          </w:tcPr>
          <w:p w14:paraId="03A64F3C">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39A6A897">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54173E64">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3A421283">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软件测试达标</w:t>
            </w:r>
          </w:p>
        </w:tc>
        <w:tc>
          <w:tcPr>
            <w:tcW w:w="2001" w:type="dxa"/>
            <w:tcBorders>
              <w:tl2br w:val="nil"/>
              <w:tr2bl w:val="nil"/>
            </w:tcBorders>
            <w:vAlign w:val="center"/>
          </w:tcPr>
          <w:p w14:paraId="34700B10">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通过</w:t>
            </w:r>
          </w:p>
        </w:tc>
      </w:tr>
      <w:tr w14:paraId="63635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745DD230">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8</w:t>
            </w:r>
          </w:p>
        </w:tc>
        <w:tc>
          <w:tcPr>
            <w:tcW w:w="1139" w:type="dxa"/>
            <w:vMerge w:val="continue"/>
            <w:tcBorders>
              <w:tl2br w:val="nil"/>
              <w:tr2bl w:val="nil"/>
            </w:tcBorders>
            <w:vAlign w:val="center"/>
          </w:tcPr>
          <w:p w14:paraId="05337485">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63E147F1">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79672067">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66468B4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密码测试达标</w:t>
            </w:r>
          </w:p>
        </w:tc>
        <w:tc>
          <w:tcPr>
            <w:tcW w:w="2001" w:type="dxa"/>
            <w:tcBorders>
              <w:tl2br w:val="nil"/>
              <w:tr2bl w:val="nil"/>
            </w:tcBorders>
            <w:vAlign w:val="center"/>
          </w:tcPr>
          <w:p w14:paraId="77F6FECF">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通过</w:t>
            </w:r>
          </w:p>
        </w:tc>
      </w:tr>
      <w:tr w14:paraId="4CC55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50B54E77">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9</w:t>
            </w:r>
          </w:p>
        </w:tc>
        <w:tc>
          <w:tcPr>
            <w:tcW w:w="1139" w:type="dxa"/>
            <w:vMerge w:val="continue"/>
            <w:tcBorders>
              <w:tl2br w:val="nil"/>
              <w:tr2bl w:val="nil"/>
            </w:tcBorders>
            <w:vAlign w:val="center"/>
          </w:tcPr>
          <w:p w14:paraId="7AD644F4">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241E3BA0">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5DD4ECCA">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634F1342">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安全测试达标</w:t>
            </w:r>
          </w:p>
        </w:tc>
        <w:tc>
          <w:tcPr>
            <w:tcW w:w="2001" w:type="dxa"/>
            <w:tcBorders>
              <w:tl2br w:val="nil"/>
              <w:tr2bl w:val="nil"/>
            </w:tcBorders>
            <w:vAlign w:val="center"/>
          </w:tcPr>
          <w:p w14:paraId="3C4F4F23">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通过</w:t>
            </w:r>
          </w:p>
        </w:tc>
      </w:tr>
      <w:tr w14:paraId="0C4D7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0EB799E9">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w:t>
            </w:r>
          </w:p>
        </w:tc>
        <w:tc>
          <w:tcPr>
            <w:tcW w:w="1139" w:type="dxa"/>
            <w:vMerge w:val="continue"/>
            <w:tcBorders>
              <w:tl2br w:val="nil"/>
              <w:tr2bl w:val="nil"/>
            </w:tcBorders>
            <w:vAlign w:val="center"/>
          </w:tcPr>
          <w:p w14:paraId="6B8E7BA1">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651486FD">
            <w:pPr>
              <w:widowControl/>
              <w:snapToGrid w:val="0"/>
              <w:spacing w:line="240" w:lineRule="auto"/>
              <w:ind w:firstLine="0" w:firstLineChars="0"/>
              <w:jc w:val="center"/>
              <w:rPr>
                <w:rFonts w:hint="eastAsia" w:cs="宋体"/>
                <w:color w:val="000000"/>
                <w:kern w:val="0"/>
                <w:sz w:val="21"/>
                <w:szCs w:val="21"/>
              </w:rPr>
            </w:pPr>
          </w:p>
        </w:tc>
        <w:tc>
          <w:tcPr>
            <w:tcW w:w="1516" w:type="dxa"/>
            <w:tcBorders>
              <w:tl2br w:val="nil"/>
              <w:tr2bl w:val="nil"/>
            </w:tcBorders>
            <w:vAlign w:val="center"/>
          </w:tcPr>
          <w:p w14:paraId="7E4D84BB">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产出时效</w:t>
            </w:r>
          </w:p>
        </w:tc>
        <w:tc>
          <w:tcPr>
            <w:tcW w:w="2579" w:type="dxa"/>
            <w:tcBorders>
              <w:tl2br w:val="nil"/>
              <w:tr2bl w:val="nil"/>
            </w:tcBorders>
            <w:vAlign w:val="center"/>
          </w:tcPr>
          <w:p w14:paraId="6F9F38F7">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项目建设周期</w:t>
            </w:r>
          </w:p>
        </w:tc>
        <w:tc>
          <w:tcPr>
            <w:tcW w:w="2001" w:type="dxa"/>
            <w:tcBorders>
              <w:tl2br w:val="nil"/>
              <w:tr2bl w:val="nil"/>
            </w:tcBorders>
            <w:vAlign w:val="center"/>
          </w:tcPr>
          <w:p w14:paraId="10248972">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12个月</w:t>
            </w:r>
          </w:p>
        </w:tc>
      </w:tr>
      <w:tr w14:paraId="0DCCD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532FFB45">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11</w:t>
            </w:r>
          </w:p>
        </w:tc>
        <w:tc>
          <w:tcPr>
            <w:tcW w:w="1139" w:type="dxa"/>
            <w:vMerge w:val="continue"/>
            <w:tcBorders>
              <w:tl2br w:val="nil"/>
              <w:tr2bl w:val="nil"/>
            </w:tcBorders>
            <w:vAlign w:val="center"/>
          </w:tcPr>
          <w:p w14:paraId="6AB23013">
            <w:pPr>
              <w:widowControl/>
              <w:snapToGrid w:val="0"/>
              <w:spacing w:line="240" w:lineRule="auto"/>
              <w:ind w:firstLine="0" w:firstLineChars="0"/>
              <w:jc w:val="center"/>
              <w:rPr>
                <w:rFonts w:hint="eastAsia" w:cs="宋体"/>
                <w:color w:val="000000"/>
                <w:kern w:val="0"/>
                <w:sz w:val="21"/>
                <w:szCs w:val="21"/>
              </w:rPr>
            </w:pPr>
          </w:p>
        </w:tc>
        <w:tc>
          <w:tcPr>
            <w:tcW w:w="1139" w:type="dxa"/>
            <w:vMerge w:val="restart"/>
            <w:tcBorders>
              <w:tl2br w:val="nil"/>
              <w:tr2bl w:val="nil"/>
            </w:tcBorders>
            <w:vAlign w:val="center"/>
          </w:tcPr>
          <w:p w14:paraId="5BA499E9">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共性平台</w:t>
            </w:r>
          </w:p>
        </w:tc>
        <w:tc>
          <w:tcPr>
            <w:tcW w:w="1516" w:type="dxa"/>
            <w:tcBorders>
              <w:tl2br w:val="nil"/>
              <w:tr2bl w:val="nil"/>
            </w:tcBorders>
            <w:vAlign w:val="center"/>
          </w:tcPr>
          <w:p w14:paraId="763D727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平台整合能力</w:t>
            </w:r>
          </w:p>
        </w:tc>
        <w:tc>
          <w:tcPr>
            <w:tcW w:w="2579" w:type="dxa"/>
            <w:tcBorders>
              <w:tl2br w:val="nil"/>
              <w:tr2bl w:val="nil"/>
            </w:tcBorders>
            <w:vAlign w:val="center"/>
          </w:tcPr>
          <w:p w14:paraId="1736DFE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集约化程度</w:t>
            </w:r>
          </w:p>
        </w:tc>
        <w:tc>
          <w:tcPr>
            <w:tcW w:w="2001" w:type="dxa"/>
            <w:tcBorders>
              <w:tl2br w:val="nil"/>
              <w:tr2bl w:val="nil"/>
            </w:tcBorders>
            <w:vAlign w:val="center"/>
          </w:tcPr>
          <w:p w14:paraId="60368EC2">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w:t>
            </w:r>
          </w:p>
        </w:tc>
      </w:tr>
      <w:tr w14:paraId="150EC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3A7AA920">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12</w:t>
            </w:r>
          </w:p>
        </w:tc>
        <w:tc>
          <w:tcPr>
            <w:tcW w:w="1139" w:type="dxa"/>
            <w:vMerge w:val="continue"/>
            <w:tcBorders>
              <w:tl2br w:val="nil"/>
              <w:tr2bl w:val="nil"/>
            </w:tcBorders>
            <w:vAlign w:val="center"/>
          </w:tcPr>
          <w:p w14:paraId="0ED3B465">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6BE31D2E">
            <w:pPr>
              <w:widowControl/>
              <w:snapToGrid w:val="0"/>
              <w:spacing w:line="240" w:lineRule="auto"/>
              <w:ind w:firstLine="0" w:firstLineChars="0"/>
              <w:jc w:val="center"/>
              <w:rPr>
                <w:rFonts w:hint="eastAsia" w:cs="宋体"/>
                <w:color w:val="000000"/>
                <w:kern w:val="0"/>
                <w:sz w:val="21"/>
                <w:szCs w:val="21"/>
              </w:rPr>
            </w:pPr>
          </w:p>
        </w:tc>
        <w:tc>
          <w:tcPr>
            <w:tcW w:w="1516" w:type="dxa"/>
            <w:tcBorders>
              <w:tl2br w:val="nil"/>
              <w:tr2bl w:val="nil"/>
            </w:tcBorders>
            <w:vAlign w:val="center"/>
          </w:tcPr>
          <w:p w14:paraId="1302282C">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数据质量水平</w:t>
            </w:r>
          </w:p>
        </w:tc>
        <w:tc>
          <w:tcPr>
            <w:tcW w:w="2579" w:type="dxa"/>
            <w:tcBorders>
              <w:tl2br w:val="nil"/>
              <w:tr2bl w:val="nil"/>
            </w:tcBorders>
            <w:vAlign w:val="center"/>
          </w:tcPr>
          <w:p w14:paraId="2921DAF5">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核心数据缺失率</w:t>
            </w:r>
          </w:p>
        </w:tc>
        <w:tc>
          <w:tcPr>
            <w:tcW w:w="2001" w:type="dxa"/>
            <w:tcBorders>
              <w:tl2br w:val="nil"/>
              <w:tr2bl w:val="nil"/>
            </w:tcBorders>
            <w:vAlign w:val="center"/>
          </w:tcPr>
          <w:p w14:paraId="25CEB1E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w:t>
            </w:r>
          </w:p>
        </w:tc>
      </w:tr>
      <w:tr w14:paraId="2EF73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7D3125A5">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13</w:t>
            </w:r>
          </w:p>
        </w:tc>
        <w:tc>
          <w:tcPr>
            <w:tcW w:w="1139" w:type="dxa"/>
            <w:vMerge w:val="continue"/>
            <w:tcBorders>
              <w:tl2br w:val="nil"/>
              <w:tr2bl w:val="nil"/>
            </w:tcBorders>
            <w:vAlign w:val="center"/>
          </w:tcPr>
          <w:p w14:paraId="1C938DFA">
            <w:pPr>
              <w:widowControl/>
              <w:snapToGrid w:val="0"/>
              <w:spacing w:line="240" w:lineRule="auto"/>
              <w:ind w:firstLine="0" w:firstLineChars="0"/>
              <w:jc w:val="center"/>
              <w:rPr>
                <w:rFonts w:hint="eastAsia" w:cs="宋体"/>
                <w:color w:val="000000"/>
                <w:kern w:val="0"/>
                <w:sz w:val="21"/>
                <w:szCs w:val="21"/>
              </w:rPr>
            </w:pPr>
          </w:p>
        </w:tc>
        <w:tc>
          <w:tcPr>
            <w:tcW w:w="1139" w:type="dxa"/>
            <w:vMerge w:val="restart"/>
            <w:tcBorders>
              <w:tl2br w:val="nil"/>
              <w:tr2bl w:val="nil"/>
            </w:tcBorders>
            <w:vAlign w:val="center"/>
          </w:tcPr>
          <w:p w14:paraId="52BDFA5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应用系统</w:t>
            </w:r>
          </w:p>
        </w:tc>
        <w:tc>
          <w:tcPr>
            <w:tcW w:w="1516" w:type="dxa"/>
            <w:tcBorders>
              <w:tl2br w:val="nil"/>
              <w:tr2bl w:val="nil"/>
            </w:tcBorders>
            <w:vAlign w:val="center"/>
          </w:tcPr>
          <w:p w14:paraId="2C16FD8F">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数据服务与数据治理水平</w:t>
            </w:r>
          </w:p>
        </w:tc>
        <w:tc>
          <w:tcPr>
            <w:tcW w:w="2579" w:type="dxa"/>
            <w:tcBorders>
              <w:tl2br w:val="nil"/>
              <w:tr2bl w:val="nil"/>
            </w:tcBorders>
            <w:vAlign w:val="center"/>
          </w:tcPr>
          <w:p w14:paraId="2392DC0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数据源覆盖度</w:t>
            </w:r>
          </w:p>
        </w:tc>
        <w:tc>
          <w:tcPr>
            <w:tcW w:w="2001" w:type="dxa"/>
            <w:tcBorders>
              <w:tl2br w:val="nil"/>
              <w:tr2bl w:val="nil"/>
            </w:tcBorders>
            <w:vAlign w:val="center"/>
          </w:tcPr>
          <w:p w14:paraId="070BBF3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≥90%</w:t>
            </w:r>
          </w:p>
        </w:tc>
      </w:tr>
      <w:tr w14:paraId="58785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7969B6B7">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14</w:t>
            </w:r>
          </w:p>
        </w:tc>
        <w:tc>
          <w:tcPr>
            <w:tcW w:w="1139" w:type="dxa"/>
            <w:vMerge w:val="continue"/>
            <w:tcBorders>
              <w:tl2br w:val="nil"/>
              <w:tr2bl w:val="nil"/>
            </w:tcBorders>
            <w:vAlign w:val="center"/>
          </w:tcPr>
          <w:p w14:paraId="09F8EF04">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0FE60DB4">
            <w:pPr>
              <w:widowControl/>
              <w:snapToGrid w:val="0"/>
              <w:spacing w:line="240" w:lineRule="auto"/>
              <w:ind w:firstLine="0" w:firstLineChars="0"/>
              <w:jc w:val="center"/>
              <w:rPr>
                <w:rFonts w:hint="eastAsia" w:cs="宋体"/>
                <w:color w:val="000000"/>
                <w:kern w:val="0"/>
                <w:sz w:val="21"/>
                <w:szCs w:val="21"/>
              </w:rPr>
            </w:pPr>
          </w:p>
        </w:tc>
        <w:tc>
          <w:tcPr>
            <w:tcW w:w="1516" w:type="dxa"/>
            <w:tcBorders>
              <w:tl2br w:val="nil"/>
              <w:tr2bl w:val="nil"/>
            </w:tcBorders>
            <w:vAlign w:val="center"/>
          </w:tcPr>
          <w:p w14:paraId="08373B3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数据服务与数据治理水平</w:t>
            </w:r>
          </w:p>
        </w:tc>
        <w:tc>
          <w:tcPr>
            <w:tcW w:w="2579" w:type="dxa"/>
            <w:tcBorders>
              <w:tl2br w:val="nil"/>
              <w:tr2bl w:val="nil"/>
            </w:tcBorders>
            <w:vAlign w:val="center"/>
          </w:tcPr>
          <w:p w14:paraId="3470DEA3">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采集数据量</w:t>
            </w:r>
          </w:p>
        </w:tc>
        <w:tc>
          <w:tcPr>
            <w:tcW w:w="2001" w:type="dxa"/>
            <w:tcBorders>
              <w:tl2br w:val="nil"/>
              <w:tr2bl w:val="nil"/>
            </w:tcBorders>
            <w:vAlign w:val="center"/>
          </w:tcPr>
          <w:p w14:paraId="15A97D95">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≥5万条</w:t>
            </w:r>
          </w:p>
        </w:tc>
      </w:tr>
      <w:tr w14:paraId="0E40FE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6A38C94C">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15</w:t>
            </w:r>
          </w:p>
        </w:tc>
        <w:tc>
          <w:tcPr>
            <w:tcW w:w="1139" w:type="dxa"/>
            <w:vMerge w:val="continue"/>
            <w:tcBorders>
              <w:tl2br w:val="nil"/>
              <w:tr2bl w:val="nil"/>
            </w:tcBorders>
            <w:vAlign w:val="center"/>
          </w:tcPr>
          <w:p w14:paraId="00518DB2">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18ADCC50">
            <w:pPr>
              <w:widowControl/>
              <w:snapToGrid w:val="0"/>
              <w:spacing w:line="240" w:lineRule="auto"/>
              <w:ind w:firstLine="0" w:firstLineChars="0"/>
              <w:jc w:val="center"/>
              <w:rPr>
                <w:rFonts w:hint="eastAsia" w:cs="宋体"/>
                <w:color w:val="000000"/>
                <w:kern w:val="0"/>
                <w:sz w:val="21"/>
                <w:szCs w:val="21"/>
              </w:rPr>
            </w:pPr>
          </w:p>
        </w:tc>
        <w:tc>
          <w:tcPr>
            <w:tcW w:w="1516" w:type="dxa"/>
            <w:tcBorders>
              <w:tl2br w:val="nil"/>
              <w:tr2bl w:val="nil"/>
            </w:tcBorders>
            <w:vAlign w:val="center"/>
          </w:tcPr>
          <w:p w14:paraId="79D67074">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用户使用情况</w:t>
            </w:r>
          </w:p>
        </w:tc>
        <w:tc>
          <w:tcPr>
            <w:tcW w:w="2579" w:type="dxa"/>
            <w:tcBorders>
              <w:tl2br w:val="nil"/>
              <w:tr2bl w:val="nil"/>
            </w:tcBorders>
            <w:vAlign w:val="center"/>
          </w:tcPr>
          <w:p w14:paraId="0F3AE1BD">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系统用户量</w:t>
            </w:r>
          </w:p>
        </w:tc>
        <w:tc>
          <w:tcPr>
            <w:tcW w:w="2001" w:type="dxa"/>
            <w:tcBorders>
              <w:tl2br w:val="nil"/>
              <w:tr2bl w:val="nil"/>
            </w:tcBorders>
            <w:vAlign w:val="center"/>
          </w:tcPr>
          <w:p w14:paraId="15F5B407">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≥200个</w:t>
            </w:r>
          </w:p>
        </w:tc>
      </w:tr>
      <w:tr w14:paraId="4808A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37432CAB">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16</w:t>
            </w:r>
          </w:p>
        </w:tc>
        <w:tc>
          <w:tcPr>
            <w:tcW w:w="1139" w:type="dxa"/>
            <w:vMerge w:val="continue"/>
            <w:tcBorders>
              <w:tl2br w:val="nil"/>
              <w:tr2bl w:val="nil"/>
            </w:tcBorders>
            <w:vAlign w:val="center"/>
          </w:tcPr>
          <w:p w14:paraId="3F2483FF">
            <w:pPr>
              <w:widowControl/>
              <w:snapToGrid w:val="0"/>
              <w:spacing w:line="240" w:lineRule="auto"/>
              <w:ind w:firstLine="0" w:firstLineChars="0"/>
              <w:jc w:val="center"/>
              <w:rPr>
                <w:rFonts w:hint="eastAsia" w:cs="宋体"/>
                <w:color w:val="000000"/>
                <w:kern w:val="0"/>
                <w:sz w:val="21"/>
                <w:szCs w:val="21"/>
              </w:rPr>
            </w:pPr>
          </w:p>
        </w:tc>
        <w:tc>
          <w:tcPr>
            <w:tcW w:w="1139" w:type="dxa"/>
            <w:vMerge w:val="restart"/>
            <w:tcBorders>
              <w:tl2br w:val="nil"/>
              <w:tr2bl w:val="nil"/>
            </w:tcBorders>
            <w:vAlign w:val="center"/>
          </w:tcPr>
          <w:p w14:paraId="2994B241">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安全体系</w:t>
            </w:r>
          </w:p>
        </w:tc>
        <w:tc>
          <w:tcPr>
            <w:tcW w:w="1516" w:type="dxa"/>
            <w:vMerge w:val="restart"/>
            <w:tcBorders>
              <w:tl2br w:val="nil"/>
              <w:tr2bl w:val="nil"/>
            </w:tcBorders>
            <w:vAlign w:val="center"/>
          </w:tcPr>
          <w:p w14:paraId="6678D408">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安全建设水平</w:t>
            </w:r>
          </w:p>
        </w:tc>
        <w:tc>
          <w:tcPr>
            <w:tcW w:w="2579" w:type="dxa"/>
            <w:tcBorders>
              <w:tl2br w:val="nil"/>
              <w:tr2bl w:val="nil"/>
            </w:tcBorders>
            <w:vAlign w:val="center"/>
          </w:tcPr>
          <w:p w14:paraId="490F5F62">
            <w:pPr>
              <w:widowControl/>
              <w:snapToGrid w:val="0"/>
              <w:spacing w:line="240" w:lineRule="auto"/>
              <w:ind w:firstLine="0" w:firstLineChars="0"/>
              <w:jc w:val="center"/>
              <w:rPr>
                <w:rFonts w:hint="eastAsia" w:cs="宋体"/>
                <w:color w:val="000000"/>
                <w:kern w:val="0"/>
                <w:sz w:val="21"/>
                <w:szCs w:val="21"/>
              </w:rPr>
            </w:pPr>
            <w:r>
              <w:rPr>
                <w:rFonts w:cs="宋体"/>
                <w:color w:val="000000"/>
                <w:kern w:val="0"/>
                <w:sz w:val="21"/>
                <w:szCs w:val="21"/>
              </w:rPr>
              <w:t>网络安全措施</w:t>
            </w:r>
          </w:p>
        </w:tc>
        <w:tc>
          <w:tcPr>
            <w:tcW w:w="2001" w:type="dxa"/>
            <w:tcBorders>
              <w:tl2br w:val="nil"/>
              <w:tr2bl w:val="nil"/>
            </w:tcBorders>
            <w:vAlign w:val="center"/>
          </w:tcPr>
          <w:p w14:paraId="716D55E3">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有网络安全措施</w:t>
            </w:r>
          </w:p>
        </w:tc>
      </w:tr>
      <w:tr w14:paraId="68967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59AE833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17</w:t>
            </w:r>
          </w:p>
        </w:tc>
        <w:tc>
          <w:tcPr>
            <w:tcW w:w="1139" w:type="dxa"/>
            <w:vMerge w:val="continue"/>
            <w:tcBorders>
              <w:tl2br w:val="nil"/>
              <w:tr2bl w:val="nil"/>
            </w:tcBorders>
            <w:vAlign w:val="center"/>
          </w:tcPr>
          <w:p w14:paraId="268FAC16">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1E227721">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2711AF2B">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505F9071">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安全产品购置完成率</w:t>
            </w:r>
          </w:p>
        </w:tc>
        <w:tc>
          <w:tcPr>
            <w:tcW w:w="2001" w:type="dxa"/>
            <w:tcBorders>
              <w:tl2br w:val="nil"/>
              <w:tr2bl w:val="nil"/>
            </w:tcBorders>
            <w:vAlign w:val="center"/>
          </w:tcPr>
          <w:p w14:paraId="51ECB90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100%</w:t>
            </w:r>
          </w:p>
        </w:tc>
      </w:tr>
      <w:tr w14:paraId="0A64D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5033827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18</w:t>
            </w:r>
          </w:p>
        </w:tc>
        <w:tc>
          <w:tcPr>
            <w:tcW w:w="1139" w:type="dxa"/>
            <w:vMerge w:val="restart"/>
            <w:tcBorders>
              <w:tl2br w:val="nil"/>
              <w:tr2bl w:val="nil"/>
            </w:tcBorders>
            <w:vAlign w:val="center"/>
          </w:tcPr>
          <w:p w14:paraId="3D823B71">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业务指标</w:t>
            </w:r>
          </w:p>
        </w:tc>
        <w:tc>
          <w:tcPr>
            <w:tcW w:w="1139" w:type="dxa"/>
            <w:vMerge w:val="restart"/>
            <w:tcBorders>
              <w:tl2br w:val="nil"/>
              <w:tr2bl w:val="nil"/>
            </w:tcBorders>
            <w:vAlign w:val="center"/>
          </w:tcPr>
          <w:p w14:paraId="745D4BD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产出指标</w:t>
            </w:r>
          </w:p>
        </w:tc>
        <w:tc>
          <w:tcPr>
            <w:tcW w:w="1516" w:type="dxa"/>
            <w:vMerge w:val="restart"/>
            <w:tcBorders>
              <w:tl2br w:val="nil"/>
              <w:tr2bl w:val="nil"/>
            </w:tcBorders>
            <w:vAlign w:val="center"/>
          </w:tcPr>
          <w:p w14:paraId="7B5BD68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产出数量</w:t>
            </w:r>
          </w:p>
        </w:tc>
        <w:tc>
          <w:tcPr>
            <w:tcW w:w="2579" w:type="dxa"/>
            <w:tcBorders>
              <w:tl2br w:val="nil"/>
              <w:tr2bl w:val="nil"/>
            </w:tcBorders>
            <w:vAlign w:val="center"/>
          </w:tcPr>
          <w:p w14:paraId="4C83772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大屏应用场景</w:t>
            </w:r>
          </w:p>
        </w:tc>
        <w:tc>
          <w:tcPr>
            <w:tcW w:w="2001" w:type="dxa"/>
            <w:tcBorders>
              <w:tl2br w:val="nil"/>
              <w:tr2bl w:val="nil"/>
            </w:tcBorders>
            <w:vAlign w:val="center"/>
          </w:tcPr>
          <w:p w14:paraId="7DE378A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≥5个</w:t>
            </w:r>
          </w:p>
        </w:tc>
      </w:tr>
      <w:tr w14:paraId="369CC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36657F2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19</w:t>
            </w:r>
          </w:p>
        </w:tc>
        <w:tc>
          <w:tcPr>
            <w:tcW w:w="1139" w:type="dxa"/>
            <w:vMerge w:val="continue"/>
            <w:tcBorders>
              <w:tl2br w:val="nil"/>
              <w:tr2bl w:val="nil"/>
            </w:tcBorders>
            <w:vAlign w:val="center"/>
          </w:tcPr>
          <w:p w14:paraId="6E0A3CCD">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20D39793">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7EEEC4D4">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0F59691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城运工具箱工具数量</w:t>
            </w:r>
          </w:p>
        </w:tc>
        <w:tc>
          <w:tcPr>
            <w:tcW w:w="2001" w:type="dxa"/>
            <w:tcBorders>
              <w:tl2br w:val="nil"/>
              <w:tr2bl w:val="nil"/>
            </w:tcBorders>
            <w:vAlign w:val="center"/>
          </w:tcPr>
          <w:p w14:paraId="077D082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≥7个</w:t>
            </w:r>
          </w:p>
        </w:tc>
      </w:tr>
      <w:tr w14:paraId="2D65D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7BBD0EC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20</w:t>
            </w:r>
          </w:p>
        </w:tc>
        <w:tc>
          <w:tcPr>
            <w:tcW w:w="1139" w:type="dxa"/>
            <w:vMerge w:val="continue"/>
            <w:tcBorders>
              <w:tl2br w:val="nil"/>
              <w:tr2bl w:val="nil"/>
            </w:tcBorders>
            <w:vAlign w:val="center"/>
          </w:tcPr>
          <w:p w14:paraId="14FD23F5">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113182D0">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26C4CDE7">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52C5757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新增数据接入数量</w:t>
            </w:r>
          </w:p>
        </w:tc>
        <w:tc>
          <w:tcPr>
            <w:tcW w:w="2001" w:type="dxa"/>
            <w:tcBorders>
              <w:tl2br w:val="nil"/>
              <w:tr2bl w:val="nil"/>
            </w:tcBorders>
            <w:vAlign w:val="center"/>
          </w:tcPr>
          <w:p w14:paraId="644ECB61">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≥200项</w:t>
            </w:r>
          </w:p>
        </w:tc>
      </w:tr>
      <w:tr w14:paraId="14DB3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6F1D6155">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21</w:t>
            </w:r>
          </w:p>
        </w:tc>
        <w:tc>
          <w:tcPr>
            <w:tcW w:w="1139" w:type="dxa"/>
            <w:vMerge w:val="continue"/>
            <w:tcBorders>
              <w:tl2br w:val="nil"/>
              <w:tr2bl w:val="nil"/>
            </w:tcBorders>
            <w:vAlign w:val="center"/>
          </w:tcPr>
          <w:p w14:paraId="7A3C0E5B">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512F447A">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12B05122">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2F3F42D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新增接入视频数量</w:t>
            </w:r>
          </w:p>
        </w:tc>
        <w:tc>
          <w:tcPr>
            <w:tcW w:w="2001" w:type="dxa"/>
            <w:tcBorders>
              <w:tl2br w:val="nil"/>
              <w:tr2bl w:val="nil"/>
            </w:tcBorders>
            <w:vAlign w:val="center"/>
          </w:tcPr>
          <w:p w14:paraId="53AB86D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≥10000路</w:t>
            </w:r>
          </w:p>
        </w:tc>
      </w:tr>
      <w:tr w14:paraId="3846F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00AE63B9">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22</w:t>
            </w:r>
          </w:p>
        </w:tc>
        <w:tc>
          <w:tcPr>
            <w:tcW w:w="1139" w:type="dxa"/>
            <w:vMerge w:val="continue"/>
            <w:tcBorders>
              <w:tl2br w:val="nil"/>
              <w:tr2bl w:val="nil"/>
            </w:tcBorders>
            <w:vAlign w:val="center"/>
          </w:tcPr>
          <w:p w14:paraId="7106ED5C">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14375172">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6A2307E8">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5B2D1AE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新增视频转发能力</w:t>
            </w:r>
          </w:p>
        </w:tc>
        <w:tc>
          <w:tcPr>
            <w:tcW w:w="2001" w:type="dxa"/>
            <w:tcBorders>
              <w:tl2br w:val="nil"/>
              <w:tr2bl w:val="nil"/>
            </w:tcBorders>
            <w:vAlign w:val="center"/>
          </w:tcPr>
          <w:p w14:paraId="40971FCC">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≥600路</w:t>
            </w:r>
          </w:p>
        </w:tc>
      </w:tr>
      <w:tr w14:paraId="4394E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019D446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23</w:t>
            </w:r>
          </w:p>
        </w:tc>
        <w:tc>
          <w:tcPr>
            <w:tcW w:w="1139" w:type="dxa"/>
            <w:vMerge w:val="continue"/>
            <w:tcBorders>
              <w:tl2br w:val="nil"/>
              <w:tr2bl w:val="nil"/>
            </w:tcBorders>
            <w:vAlign w:val="center"/>
          </w:tcPr>
          <w:p w14:paraId="73610E05">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02228569">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7401D89A">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29D311B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新增危化企业数据接入</w:t>
            </w:r>
          </w:p>
        </w:tc>
        <w:tc>
          <w:tcPr>
            <w:tcW w:w="2001" w:type="dxa"/>
            <w:tcBorders>
              <w:tl2br w:val="nil"/>
              <w:tr2bl w:val="nil"/>
            </w:tcBorders>
            <w:vAlign w:val="center"/>
          </w:tcPr>
          <w:p w14:paraId="3B97017B">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≥12家</w:t>
            </w:r>
          </w:p>
        </w:tc>
      </w:tr>
      <w:tr w14:paraId="370AA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63A846DC">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24</w:t>
            </w:r>
          </w:p>
        </w:tc>
        <w:tc>
          <w:tcPr>
            <w:tcW w:w="1139" w:type="dxa"/>
            <w:vMerge w:val="continue"/>
            <w:tcBorders>
              <w:tl2br w:val="nil"/>
              <w:tr2bl w:val="nil"/>
            </w:tcBorders>
            <w:vAlign w:val="center"/>
          </w:tcPr>
          <w:p w14:paraId="0B351682">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416D3AED">
            <w:pPr>
              <w:widowControl/>
              <w:snapToGrid w:val="0"/>
              <w:spacing w:line="240" w:lineRule="auto"/>
              <w:ind w:firstLine="0" w:firstLineChars="0"/>
              <w:jc w:val="center"/>
              <w:rPr>
                <w:rFonts w:hint="eastAsia" w:cs="宋体"/>
                <w:color w:val="000000"/>
                <w:kern w:val="0"/>
                <w:sz w:val="21"/>
                <w:szCs w:val="21"/>
              </w:rPr>
            </w:pPr>
          </w:p>
        </w:tc>
        <w:tc>
          <w:tcPr>
            <w:tcW w:w="1516" w:type="dxa"/>
            <w:vMerge w:val="restart"/>
            <w:tcBorders>
              <w:tl2br w:val="nil"/>
              <w:tr2bl w:val="nil"/>
            </w:tcBorders>
            <w:vAlign w:val="center"/>
          </w:tcPr>
          <w:p w14:paraId="5DEB46C9">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产出质量</w:t>
            </w:r>
          </w:p>
        </w:tc>
        <w:tc>
          <w:tcPr>
            <w:tcW w:w="2579" w:type="dxa"/>
            <w:tcBorders>
              <w:tl2br w:val="nil"/>
              <w:tr2bl w:val="nil"/>
            </w:tcBorders>
            <w:vAlign w:val="center"/>
          </w:tcPr>
          <w:p w14:paraId="0314420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支持的最大并发用户数</w:t>
            </w:r>
          </w:p>
        </w:tc>
        <w:tc>
          <w:tcPr>
            <w:tcW w:w="2001" w:type="dxa"/>
            <w:tcBorders>
              <w:tl2br w:val="nil"/>
              <w:tr2bl w:val="nil"/>
            </w:tcBorders>
            <w:vAlign w:val="center"/>
          </w:tcPr>
          <w:p w14:paraId="3501C73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≥50个</w:t>
            </w:r>
          </w:p>
        </w:tc>
      </w:tr>
      <w:tr w14:paraId="3C23A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0C30596E">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25</w:t>
            </w:r>
          </w:p>
        </w:tc>
        <w:tc>
          <w:tcPr>
            <w:tcW w:w="1139" w:type="dxa"/>
            <w:vMerge w:val="continue"/>
            <w:tcBorders>
              <w:tl2br w:val="nil"/>
              <w:tr2bl w:val="nil"/>
            </w:tcBorders>
            <w:vAlign w:val="center"/>
          </w:tcPr>
          <w:p w14:paraId="02654AB8">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65924CE2">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26C141F4">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5DD76E82">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页面响应时间（90%操作）</w:t>
            </w:r>
          </w:p>
        </w:tc>
        <w:tc>
          <w:tcPr>
            <w:tcW w:w="2001" w:type="dxa"/>
            <w:tcBorders>
              <w:tl2br w:val="nil"/>
              <w:tr2bl w:val="nil"/>
            </w:tcBorders>
            <w:vAlign w:val="center"/>
          </w:tcPr>
          <w:p w14:paraId="58B4D443">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≤3秒</w:t>
            </w:r>
          </w:p>
        </w:tc>
      </w:tr>
      <w:tr w14:paraId="3A874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12E9C734">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26</w:t>
            </w:r>
          </w:p>
        </w:tc>
        <w:tc>
          <w:tcPr>
            <w:tcW w:w="1139" w:type="dxa"/>
            <w:vMerge w:val="continue"/>
            <w:tcBorders>
              <w:tl2br w:val="nil"/>
              <w:tr2bl w:val="nil"/>
            </w:tcBorders>
            <w:vAlign w:val="center"/>
          </w:tcPr>
          <w:p w14:paraId="4A983D39">
            <w:pPr>
              <w:widowControl/>
              <w:snapToGrid w:val="0"/>
              <w:spacing w:line="240" w:lineRule="auto"/>
              <w:ind w:firstLine="0" w:firstLineChars="0"/>
              <w:jc w:val="center"/>
              <w:rPr>
                <w:rFonts w:hint="eastAsia" w:cs="宋体"/>
                <w:color w:val="000000"/>
                <w:kern w:val="0"/>
                <w:sz w:val="21"/>
                <w:szCs w:val="21"/>
              </w:rPr>
            </w:pPr>
          </w:p>
        </w:tc>
        <w:tc>
          <w:tcPr>
            <w:tcW w:w="1139" w:type="dxa"/>
            <w:vMerge w:val="restart"/>
            <w:tcBorders>
              <w:tl2br w:val="nil"/>
              <w:tr2bl w:val="nil"/>
            </w:tcBorders>
            <w:vAlign w:val="center"/>
          </w:tcPr>
          <w:p w14:paraId="06E1886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效益指标</w:t>
            </w:r>
          </w:p>
        </w:tc>
        <w:tc>
          <w:tcPr>
            <w:tcW w:w="1516" w:type="dxa"/>
            <w:vMerge w:val="restart"/>
            <w:tcBorders>
              <w:tl2br w:val="nil"/>
              <w:tr2bl w:val="nil"/>
            </w:tcBorders>
            <w:vAlign w:val="center"/>
          </w:tcPr>
          <w:p w14:paraId="694ACB8B">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社会效益</w:t>
            </w:r>
          </w:p>
        </w:tc>
        <w:tc>
          <w:tcPr>
            <w:tcW w:w="2579" w:type="dxa"/>
            <w:tcBorders>
              <w:tl2br w:val="nil"/>
              <w:tr2bl w:val="nil"/>
            </w:tcBorders>
            <w:vAlign w:val="center"/>
          </w:tcPr>
          <w:p w14:paraId="1B2B66D8">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应用服务月使用量</w:t>
            </w:r>
          </w:p>
        </w:tc>
        <w:tc>
          <w:tcPr>
            <w:tcW w:w="2001" w:type="dxa"/>
            <w:tcBorders>
              <w:tl2br w:val="nil"/>
              <w:tr2bl w:val="nil"/>
            </w:tcBorders>
            <w:vAlign w:val="center"/>
          </w:tcPr>
          <w:p w14:paraId="62F51336">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≥3000次/月</w:t>
            </w:r>
          </w:p>
        </w:tc>
      </w:tr>
      <w:tr w14:paraId="0F014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6EA99000">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27</w:t>
            </w:r>
          </w:p>
        </w:tc>
        <w:tc>
          <w:tcPr>
            <w:tcW w:w="1139" w:type="dxa"/>
            <w:vMerge w:val="continue"/>
            <w:tcBorders>
              <w:tl2br w:val="nil"/>
              <w:tr2bl w:val="nil"/>
            </w:tcBorders>
            <w:vAlign w:val="center"/>
          </w:tcPr>
          <w:p w14:paraId="18F61C59">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6F98A377">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21ED3FE2">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03DB9C44">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视频服务月调阅量</w:t>
            </w:r>
          </w:p>
        </w:tc>
        <w:tc>
          <w:tcPr>
            <w:tcW w:w="2001" w:type="dxa"/>
            <w:tcBorders>
              <w:tl2br w:val="nil"/>
              <w:tr2bl w:val="nil"/>
            </w:tcBorders>
            <w:vAlign w:val="center"/>
          </w:tcPr>
          <w:p w14:paraId="329D61B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≥1.2万/月</w:t>
            </w:r>
          </w:p>
        </w:tc>
      </w:tr>
      <w:tr w14:paraId="79DC6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dxa"/>
            <w:tcBorders>
              <w:tl2br w:val="nil"/>
              <w:tr2bl w:val="nil"/>
            </w:tcBorders>
            <w:vAlign w:val="center"/>
          </w:tcPr>
          <w:p w14:paraId="1AC14DC9">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28</w:t>
            </w:r>
          </w:p>
        </w:tc>
        <w:tc>
          <w:tcPr>
            <w:tcW w:w="1139" w:type="dxa"/>
            <w:vMerge w:val="continue"/>
            <w:tcBorders>
              <w:tl2br w:val="nil"/>
              <w:tr2bl w:val="nil"/>
            </w:tcBorders>
            <w:vAlign w:val="center"/>
          </w:tcPr>
          <w:p w14:paraId="4CFA7EC9">
            <w:pPr>
              <w:widowControl/>
              <w:snapToGrid w:val="0"/>
              <w:spacing w:line="240" w:lineRule="auto"/>
              <w:ind w:firstLine="0" w:firstLineChars="0"/>
              <w:jc w:val="center"/>
              <w:rPr>
                <w:rFonts w:hint="eastAsia" w:cs="宋体"/>
                <w:color w:val="000000"/>
                <w:kern w:val="0"/>
                <w:sz w:val="21"/>
                <w:szCs w:val="21"/>
              </w:rPr>
            </w:pPr>
          </w:p>
        </w:tc>
        <w:tc>
          <w:tcPr>
            <w:tcW w:w="1139" w:type="dxa"/>
            <w:vMerge w:val="continue"/>
            <w:tcBorders>
              <w:tl2br w:val="nil"/>
              <w:tr2bl w:val="nil"/>
            </w:tcBorders>
            <w:vAlign w:val="center"/>
          </w:tcPr>
          <w:p w14:paraId="5A2EE06D">
            <w:pPr>
              <w:widowControl/>
              <w:snapToGrid w:val="0"/>
              <w:spacing w:line="240" w:lineRule="auto"/>
              <w:ind w:firstLine="0" w:firstLineChars="0"/>
              <w:jc w:val="center"/>
              <w:rPr>
                <w:rFonts w:hint="eastAsia" w:cs="宋体"/>
                <w:color w:val="000000"/>
                <w:kern w:val="0"/>
                <w:sz w:val="21"/>
                <w:szCs w:val="21"/>
              </w:rPr>
            </w:pPr>
          </w:p>
        </w:tc>
        <w:tc>
          <w:tcPr>
            <w:tcW w:w="1516" w:type="dxa"/>
            <w:vMerge w:val="continue"/>
            <w:tcBorders>
              <w:tl2br w:val="nil"/>
              <w:tr2bl w:val="nil"/>
            </w:tcBorders>
            <w:vAlign w:val="center"/>
          </w:tcPr>
          <w:p w14:paraId="0BC25BA5">
            <w:pPr>
              <w:widowControl/>
              <w:snapToGrid w:val="0"/>
              <w:spacing w:line="240" w:lineRule="auto"/>
              <w:ind w:firstLine="0" w:firstLineChars="0"/>
              <w:jc w:val="center"/>
              <w:rPr>
                <w:rFonts w:hint="eastAsia" w:cs="宋体"/>
                <w:color w:val="000000"/>
                <w:kern w:val="0"/>
                <w:sz w:val="21"/>
                <w:szCs w:val="21"/>
              </w:rPr>
            </w:pPr>
          </w:p>
        </w:tc>
        <w:tc>
          <w:tcPr>
            <w:tcW w:w="2579" w:type="dxa"/>
            <w:tcBorders>
              <w:tl2br w:val="nil"/>
              <w:tr2bl w:val="nil"/>
            </w:tcBorders>
            <w:vAlign w:val="center"/>
          </w:tcPr>
          <w:p w14:paraId="27BB02F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用户满意度</w:t>
            </w:r>
          </w:p>
        </w:tc>
        <w:tc>
          <w:tcPr>
            <w:tcW w:w="2001" w:type="dxa"/>
            <w:tcBorders>
              <w:tl2br w:val="nil"/>
              <w:tr2bl w:val="nil"/>
            </w:tcBorders>
            <w:vAlign w:val="center"/>
          </w:tcPr>
          <w:p w14:paraId="1EF5242D">
            <w:pPr>
              <w:widowControl/>
              <w:snapToGrid w:val="0"/>
              <w:spacing w:line="240" w:lineRule="auto"/>
              <w:ind w:firstLine="0" w:firstLineChars="0"/>
              <w:jc w:val="center"/>
              <w:rPr>
                <w:rFonts w:hint="eastAsia" w:cs="宋体"/>
                <w:color w:val="000000"/>
                <w:kern w:val="0"/>
                <w:sz w:val="21"/>
                <w:szCs w:val="21"/>
              </w:rPr>
            </w:pPr>
            <w:r>
              <w:rPr>
                <w:rFonts w:hint="eastAsia" w:cs="宋体"/>
                <w:color w:val="000000"/>
                <w:kern w:val="0"/>
                <w:sz w:val="21"/>
                <w:szCs w:val="21"/>
              </w:rPr>
              <w:t>≥90%</w:t>
            </w:r>
          </w:p>
        </w:tc>
      </w:tr>
    </w:tbl>
    <w:p w14:paraId="4F6BCC1E">
      <w:pPr>
        <w:ind w:firstLine="482"/>
        <w:rPr>
          <w:rFonts w:hint="eastAsia"/>
          <w:b/>
          <w:bCs/>
        </w:rPr>
      </w:pPr>
      <w:bookmarkStart w:id="11" w:name="_Toc47537166"/>
      <w:bookmarkEnd w:id="11"/>
      <w:bookmarkStart w:id="12" w:name="_Toc47539102"/>
      <w:bookmarkEnd w:id="12"/>
      <w:bookmarkStart w:id="13" w:name="_Toc47536676"/>
      <w:bookmarkEnd w:id="13"/>
      <w:bookmarkStart w:id="14" w:name="_Toc47533288"/>
      <w:bookmarkEnd w:id="14"/>
      <w:bookmarkStart w:id="15" w:name="_Toc47532923"/>
      <w:bookmarkEnd w:id="15"/>
      <w:bookmarkStart w:id="16" w:name="_Toc47536304"/>
      <w:bookmarkEnd w:id="16"/>
      <w:r>
        <w:rPr>
          <w:rFonts w:hint="eastAsia"/>
          <w:b/>
          <w:bCs/>
        </w:rPr>
        <w:t>本项目的系统性能指标需求如下：</w:t>
      </w:r>
    </w:p>
    <w:p w14:paraId="5B51CC5C">
      <w:pPr>
        <w:rPr>
          <w:rFonts w:hint="eastAsia"/>
        </w:rPr>
      </w:pPr>
      <w:r>
        <w:rPr>
          <w:rFonts w:hint="eastAsia"/>
        </w:rPr>
        <w:t>支持的最大并发用户数≥50；</w:t>
      </w:r>
      <w:r>
        <w:rPr>
          <w:rFonts w:hint="eastAsia"/>
          <w:lang w:eastAsia="zh-CN"/>
        </w:rPr>
        <w:t>登录</w:t>
      </w:r>
      <w:r>
        <w:rPr>
          <w:rFonts w:hint="eastAsia"/>
        </w:rPr>
        <w:t>时间≤5秒；一般查询和写入操作响应时间（90%的操作页面）≤5秒；搜索类操作响应时间≤10秒；报表统计类操作响应时间≤15秒；响应时间较长的操作页面应显示进度条。</w:t>
      </w:r>
    </w:p>
    <w:p w14:paraId="213741E7">
      <w:pPr>
        <w:ind w:firstLine="482"/>
        <w:rPr>
          <w:rFonts w:hint="eastAsia"/>
          <w:b/>
          <w:bCs/>
        </w:rPr>
      </w:pPr>
      <w:r>
        <w:rPr>
          <w:rFonts w:hint="eastAsia"/>
          <w:b/>
          <w:bCs/>
        </w:rPr>
        <w:t>本项目的视频平台性能指标需求如下：</w:t>
      </w:r>
    </w:p>
    <w:p w14:paraId="14E4BF11">
      <w:pPr>
        <w:rPr>
          <w:rFonts w:hint="eastAsia"/>
        </w:rPr>
      </w:pPr>
      <w:r>
        <w:rPr>
          <w:rFonts w:hint="eastAsia"/>
        </w:rPr>
        <w:t>平台管理能力≥50000路视频；新增视频转发能力≥600路；支持兼容多种协议，包括GB/T28181 协议、Onvif协议</w:t>
      </w:r>
      <w:r>
        <w:rPr>
          <w:rFonts w:hint="eastAsia"/>
          <w:lang w:val="en-US" w:eastAsia="zh-CN"/>
        </w:rPr>
        <w:t>等</w:t>
      </w:r>
      <w:r>
        <w:rPr>
          <w:rFonts w:hint="eastAsia"/>
        </w:rPr>
        <w:t>。</w:t>
      </w:r>
    </w:p>
    <w:p w14:paraId="2922185C">
      <w:pPr>
        <w:pStyle w:val="2"/>
        <w:rPr>
          <w:rFonts w:hint="eastAsia"/>
        </w:rPr>
      </w:pPr>
      <w:r>
        <w:rPr>
          <w:rFonts w:hint="eastAsia"/>
        </w:rPr>
        <w:t>项目建设内容</w:t>
      </w:r>
    </w:p>
    <w:p w14:paraId="067B95D3">
      <w:pPr>
        <w:pStyle w:val="3"/>
        <w:rPr>
          <w:rFonts w:hint="eastAsia"/>
        </w:rPr>
      </w:pPr>
      <w:r>
        <w:rPr>
          <w:rFonts w:hint="eastAsia"/>
        </w:rPr>
        <w:t>项目建设内容</w:t>
      </w:r>
    </w:p>
    <w:p w14:paraId="65BA3CB9">
      <w:pPr>
        <w:rPr>
          <w:rFonts w:hint="eastAsia"/>
        </w:rPr>
      </w:pPr>
      <w:r>
        <w:rPr>
          <w:rFonts w:hint="eastAsia"/>
          <w:lang w:val="en-US" w:eastAsia="zh-CN"/>
        </w:rPr>
        <w:t>主要</w:t>
      </w:r>
      <w:r>
        <w:rPr>
          <w:rFonts w:hint="eastAsia"/>
        </w:rPr>
        <w:t>建设内容如下：</w:t>
      </w:r>
    </w:p>
    <w:p w14:paraId="085639CA">
      <w:pPr>
        <w:rPr>
          <w:rFonts w:hint="eastAsia"/>
        </w:rPr>
      </w:pPr>
      <w:r>
        <w:rPr>
          <w:rFonts w:hint="eastAsia"/>
        </w:rPr>
        <w:t>（一）依托城运中心打造全新联动指挥融合大屏，形成常态防控、联动指挥、自然灾害、重大活动及节假日、安全生产等五个融合应用场景，进一步优化数据接入管理，依托公共数据平台整合与城市运行管理相关的数据并新建城运数据归集轻应用，新建城运工具箱，完善事件中枢及物联感知子系统等相关功能。</w:t>
      </w:r>
    </w:p>
    <w:p w14:paraId="6EF3C23D">
      <w:pPr>
        <w:rPr>
          <w:rFonts w:hint="eastAsia"/>
        </w:rPr>
      </w:pPr>
      <w:r>
        <w:rPr>
          <w:rFonts w:hint="eastAsia"/>
        </w:rPr>
        <w:t>（二）建设临港视觉中枢平台，作为临港新片区面向各部门提供视频服务的中心枢纽，整合临港新片区各类视频监控资源并实现与市城运中心视觉中枢平台级联。依托视觉中枢平台，继续扩展视频接入范围和规模，提升视频共享服务能力，强化视频接入、视频共享等环节的安全保障能力。</w:t>
      </w:r>
    </w:p>
    <w:p w14:paraId="186F7F6B">
      <w:pPr>
        <w:rPr>
          <w:rFonts w:hint="eastAsia"/>
        </w:rPr>
      </w:pPr>
      <w:r>
        <w:rPr>
          <w:rFonts w:hint="eastAsia"/>
        </w:rPr>
        <w:t>（三）进一步升级安全生产管理功能，与12家危化装箱企业系统进行数据对接，实现危险货物出入库动态管理，新增安全生产治本攻坚专项排查、九小场所风险排查等数字化支撑并拓展移动轻应用功能。</w:t>
      </w:r>
    </w:p>
    <w:p w14:paraId="35EA98A5">
      <w:pPr>
        <w:rPr>
          <w:rFonts w:hint="eastAsia"/>
        </w:rPr>
      </w:pPr>
      <w:r>
        <w:rPr>
          <w:rFonts w:hint="eastAsia"/>
        </w:rPr>
        <w:t>（四）进一步升级应急物资管理功能，优化审批流程和出入口流程，新增临期物资管理和应急避难场所等功能，并依托随申办政务云实现移动轻应用。</w:t>
      </w:r>
    </w:p>
    <w:p w14:paraId="73047AB2">
      <w:pPr>
        <w:pStyle w:val="3"/>
        <w:rPr>
          <w:rFonts w:hint="eastAsia"/>
        </w:rPr>
      </w:pPr>
      <w:r>
        <w:rPr>
          <w:rFonts w:hint="eastAsia"/>
        </w:rPr>
        <w:t>总体架构图</w:t>
      </w:r>
    </w:p>
    <w:p w14:paraId="44A0AF4F">
      <w:pPr>
        <w:ind w:firstLine="0" w:firstLineChars="0"/>
        <w:rPr>
          <w:rFonts w:hint="eastAsia"/>
        </w:rPr>
      </w:pPr>
      <w:r>
        <w:rPr>
          <w:rFonts w:hint="eastAsia" w:ascii="楷体" w:hAnsi="楷体" w:eastAsia="楷体"/>
          <w:color w:val="FF0000"/>
        </w:rPr>
        <w:drawing>
          <wp:inline distT="0" distB="0" distL="0" distR="0">
            <wp:extent cx="5279390" cy="5401310"/>
            <wp:effectExtent l="0" t="0" r="3810" b="0"/>
            <wp:docPr id="2489392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939232"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9390" cy="5401310"/>
                    </a:xfrm>
                    <a:prstGeom prst="rect">
                      <a:avLst/>
                    </a:prstGeom>
                    <a:noFill/>
                  </pic:spPr>
                </pic:pic>
              </a:graphicData>
            </a:graphic>
          </wp:inline>
        </w:drawing>
      </w:r>
    </w:p>
    <w:p w14:paraId="3770AA4F">
      <w:pPr>
        <w:pStyle w:val="3"/>
        <w:rPr>
          <w:rFonts w:hint="eastAsia"/>
        </w:rPr>
      </w:pPr>
      <w:r>
        <w:rPr>
          <w:rFonts w:hint="eastAsia"/>
        </w:rPr>
        <w:t>软件开发清单</w:t>
      </w:r>
    </w:p>
    <w:p w14:paraId="0DAED675">
      <w:pPr>
        <w:rPr>
          <w:rFonts w:hint="eastAsia"/>
          <w:b/>
        </w:rPr>
      </w:pPr>
      <w:r>
        <w:rPr>
          <w:rFonts w:hint="eastAsia"/>
        </w:rPr>
        <w:t>见附表一：软件开发清单</w:t>
      </w:r>
    </w:p>
    <w:p w14:paraId="3CACE70A">
      <w:pPr>
        <w:pStyle w:val="3"/>
        <w:rPr>
          <w:rFonts w:hint="eastAsia"/>
        </w:rPr>
      </w:pPr>
      <w:r>
        <w:rPr>
          <w:rFonts w:hint="eastAsia"/>
        </w:rPr>
        <w:t>硬件购置清单</w:t>
      </w:r>
    </w:p>
    <w:p w14:paraId="6EAF4302">
      <w:pPr>
        <w:rPr>
          <w:rFonts w:hint="eastAsia"/>
          <w:b/>
        </w:rPr>
      </w:pPr>
      <w:r>
        <w:rPr>
          <w:rFonts w:hint="eastAsia"/>
        </w:rPr>
        <w:t>见附表二：硬件购置清单</w:t>
      </w:r>
    </w:p>
    <w:p w14:paraId="66D295F6">
      <w:pPr>
        <w:pStyle w:val="3"/>
        <w:rPr>
          <w:rFonts w:hint="eastAsia"/>
        </w:rPr>
      </w:pPr>
      <w:r>
        <w:rPr>
          <w:rFonts w:hint="eastAsia"/>
        </w:rPr>
        <w:t>产品软件购置清单</w:t>
      </w:r>
    </w:p>
    <w:p w14:paraId="057DDBC0">
      <w:pPr>
        <w:rPr>
          <w:rFonts w:hint="eastAsia"/>
        </w:rPr>
      </w:pPr>
      <w:r>
        <w:rPr>
          <w:rFonts w:hint="eastAsia"/>
        </w:rPr>
        <w:t>见附表三：产品软件购置清单</w:t>
      </w:r>
    </w:p>
    <w:p w14:paraId="5D14F20C">
      <w:pPr>
        <w:pStyle w:val="3"/>
        <w:rPr>
          <w:rFonts w:hint="eastAsia"/>
        </w:rPr>
      </w:pPr>
      <w:r>
        <w:rPr>
          <w:rFonts w:hint="eastAsia"/>
        </w:rPr>
        <w:t>安全产品购置清单</w:t>
      </w:r>
    </w:p>
    <w:p w14:paraId="22CA56AE">
      <w:pPr>
        <w:rPr>
          <w:rFonts w:hint="eastAsia"/>
        </w:rPr>
      </w:pPr>
      <w:r>
        <w:rPr>
          <w:rFonts w:hint="eastAsia"/>
        </w:rPr>
        <w:t>见附表四：安全产品购置清单</w:t>
      </w:r>
    </w:p>
    <w:p w14:paraId="5596B7A3">
      <w:pPr>
        <w:pStyle w:val="3"/>
        <w:rPr>
          <w:rFonts w:hint="eastAsia"/>
        </w:rPr>
      </w:pPr>
      <w:bookmarkStart w:id="17" w:name="_Toc2984"/>
      <w:bookmarkStart w:id="18" w:name="_Toc4227"/>
      <w:r>
        <w:rPr>
          <w:rFonts w:hint="eastAsia"/>
        </w:rPr>
        <w:t>租赁服务</w:t>
      </w:r>
      <w:bookmarkEnd w:id="17"/>
      <w:bookmarkEnd w:id="18"/>
      <w:r>
        <w:rPr>
          <w:rFonts w:hint="eastAsia"/>
        </w:rPr>
        <w:t>购置清单</w:t>
      </w:r>
    </w:p>
    <w:p w14:paraId="00DE0D68">
      <w:pPr>
        <w:rPr>
          <w:rFonts w:hint="eastAsia"/>
        </w:rPr>
      </w:pPr>
      <w:r>
        <w:rPr>
          <w:rFonts w:hint="eastAsia"/>
        </w:rPr>
        <w:t>见附表五：租赁服务购置清单</w:t>
      </w:r>
    </w:p>
    <w:p w14:paraId="1B5A3F6A">
      <w:pPr>
        <w:pStyle w:val="2"/>
        <w:rPr>
          <w:rFonts w:hint="eastAsia"/>
        </w:rPr>
      </w:pPr>
      <w:r>
        <w:rPr>
          <w:rFonts w:hint="eastAsia"/>
        </w:rPr>
        <w:t>低代码建设要求</w:t>
      </w:r>
    </w:p>
    <w:p w14:paraId="3F299339">
      <w:pPr>
        <w:rPr>
          <w:rFonts w:hint="eastAsia"/>
        </w:rPr>
      </w:pPr>
      <w:r>
        <w:rPr>
          <w:rFonts w:hint="eastAsia"/>
          <w:lang w:val="en-US" w:eastAsia="zh-CN"/>
        </w:rPr>
        <w:t>如</w:t>
      </w:r>
      <w:r>
        <w:rPr>
          <w:rFonts w:hint="eastAsia"/>
        </w:rPr>
        <w:t>供应商使用自有低代码平台或第三方低代码平台（以下统称“</w:t>
      </w:r>
      <w:r>
        <w:rPr>
          <w:rFonts w:hint="eastAsia"/>
          <w:lang w:val="en-US" w:eastAsia="zh-CN"/>
        </w:rPr>
        <w:t>低代码</w:t>
      </w:r>
      <w:r>
        <w:rPr>
          <w:rFonts w:hint="eastAsia"/>
        </w:rPr>
        <w:t>平台”）构建</w:t>
      </w:r>
      <w:r>
        <w:rPr>
          <w:rFonts w:hint="eastAsia"/>
          <w:lang w:val="en-US" w:eastAsia="zh-CN"/>
        </w:rPr>
        <w:t>相关应用功能</w:t>
      </w:r>
      <w:r>
        <w:rPr>
          <w:rFonts w:hint="eastAsia"/>
        </w:rPr>
        <w:t>，快速响应业务流程变化和定制化需求</w:t>
      </w:r>
      <w:r>
        <w:rPr>
          <w:rFonts w:hint="eastAsia"/>
          <w:lang w:eastAsia="zh-CN"/>
        </w:rPr>
        <w:t>，</w:t>
      </w:r>
      <w:r>
        <w:rPr>
          <w:rFonts w:hint="eastAsia"/>
          <w:lang w:val="en-US" w:eastAsia="zh-CN"/>
        </w:rPr>
        <w:t>应满足如下要求：</w:t>
      </w:r>
    </w:p>
    <w:p w14:paraId="0EE33F5C">
      <w:pPr>
        <w:rPr>
          <w:rFonts w:hint="eastAsia"/>
        </w:rPr>
      </w:pPr>
      <w:r>
        <w:rPr>
          <w:rFonts w:hint="eastAsia"/>
        </w:rPr>
        <w:t>1、基本要求：</w:t>
      </w:r>
    </w:p>
    <w:p w14:paraId="2AA7E127">
      <w:pPr>
        <w:rPr>
          <w:rFonts w:hint="eastAsia"/>
        </w:rPr>
      </w:pPr>
      <w:r>
        <w:rPr>
          <w:rFonts w:hint="eastAsia"/>
        </w:rPr>
        <w:t>（1）</w:t>
      </w:r>
      <w:r>
        <w:rPr>
          <w:rFonts w:hint="eastAsia"/>
          <w:lang w:eastAsia="zh-CN"/>
        </w:rPr>
        <w:t>低代码平台</w:t>
      </w:r>
      <w:r>
        <w:rPr>
          <w:rFonts w:hint="eastAsia"/>
        </w:rPr>
        <w:t>能够支持以可视化的方式基于数据模型创建功能模块和业务流程，支持通过“拖、拉、拽”或配置化等方式，快速构建和修改表单、流程、报表、图表及核心业务功能；支持构建可复用的业务组件库和业务模板，提升同类功能的开发效率，保障用户体验的一致性；在业务需求发生变化时，大部分功能调整能通过平台配置方式完成，避免或减少底层代码的修改；</w:t>
      </w:r>
    </w:p>
    <w:p w14:paraId="68FE3F35">
      <w:pPr>
        <w:rPr>
          <w:rFonts w:hint="eastAsia"/>
        </w:rPr>
      </w:pPr>
      <w:r>
        <w:rPr>
          <w:rFonts w:hint="eastAsia"/>
        </w:rPr>
        <w:t>（2）</w:t>
      </w:r>
      <w:r>
        <w:rPr>
          <w:rFonts w:hint="eastAsia"/>
          <w:lang w:eastAsia="zh-CN"/>
        </w:rPr>
        <w:t>低代码平台</w:t>
      </w:r>
      <w:r>
        <w:rPr>
          <w:rFonts w:hint="eastAsia"/>
        </w:rPr>
        <w:t>能够支持部署在上海电子政务云xc环境中，支持使用主流国产数据库，支持容器化部署，支持高可用和弹性伸缩方案；</w:t>
      </w:r>
    </w:p>
    <w:p w14:paraId="0167525B">
      <w:pPr>
        <w:rPr>
          <w:rFonts w:hint="eastAsia"/>
        </w:rPr>
      </w:pPr>
      <w:r>
        <w:rPr>
          <w:rFonts w:hint="eastAsia"/>
        </w:rPr>
        <w:t>（3）</w:t>
      </w:r>
      <w:r>
        <w:rPr>
          <w:rFonts w:hint="eastAsia"/>
          <w:lang w:eastAsia="zh-CN"/>
        </w:rPr>
        <w:t>低代码平台</w:t>
      </w:r>
      <w:r>
        <w:rPr>
          <w:rFonts w:hint="eastAsia"/>
        </w:rPr>
        <w:t>能够支持使用java和javascript等语言通过自定义脚本、代码函数等方式进行功能增强和二次开发；支持与第三方统一身份认证集成，支持CAS，OAuth2等协议；</w:t>
      </w:r>
    </w:p>
    <w:p w14:paraId="11C5D748">
      <w:pPr>
        <w:rPr>
          <w:rFonts w:hint="eastAsia"/>
        </w:rPr>
      </w:pPr>
      <w:r>
        <w:rPr>
          <w:rFonts w:hint="eastAsia"/>
        </w:rPr>
        <w:t>（4）如使用第三方平台，供应商应选择具备《软件著作权证书》或《软件产品证书》</w:t>
      </w:r>
      <w:r>
        <w:rPr>
          <w:rFonts w:hint="eastAsia"/>
          <w:lang w:eastAsia="zh-CN"/>
        </w:rPr>
        <w:t>等</w:t>
      </w:r>
      <w:r>
        <w:rPr>
          <w:rFonts w:hint="eastAsia"/>
        </w:rPr>
        <w:t>保三级备案证明、第三方安全测评报告及</w:t>
      </w:r>
      <w:r>
        <w:rPr>
          <w:rFonts w:hint="eastAsia"/>
          <w:lang w:eastAsia="zh-CN"/>
        </w:rPr>
        <w:t>XC</w:t>
      </w:r>
      <w:r>
        <w:rPr>
          <w:rFonts w:hint="eastAsia"/>
        </w:rPr>
        <w:t>认证相关证书（如</w:t>
      </w:r>
      <w:r>
        <w:rPr>
          <w:rFonts w:hint="eastAsia"/>
          <w:lang w:eastAsia="zh-CN"/>
        </w:rPr>
        <w:t>XC</w:t>
      </w:r>
      <w:r>
        <w:rPr>
          <w:rFonts w:hint="eastAsia"/>
        </w:rPr>
        <w:t>软件产品证书、</w:t>
      </w:r>
      <w:r>
        <w:rPr>
          <w:rFonts w:hint="eastAsia"/>
          <w:lang w:eastAsia="zh-CN"/>
        </w:rPr>
        <w:t>XC</w:t>
      </w:r>
      <w:r>
        <w:rPr>
          <w:rFonts w:hint="eastAsia"/>
        </w:rPr>
        <w:t>产品适配证书等）的平台产品；</w:t>
      </w:r>
    </w:p>
    <w:p w14:paraId="24837D3A">
      <w:pPr>
        <w:rPr>
          <w:rFonts w:hint="eastAsia"/>
        </w:rPr>
      </w:pPr>
      <w:r>
        <w:rPr>
          <w:rFonts w:hint="eastAsia"/>
        </w:rPr>
        <w:t>（5）供应商应提供</w:t>
      </w:r>
      <w:r>
        <w:rPr>
          <w:rFonts w:hint="eastAsia"/>
          <w:lang w:eastAsia="zh-CN"/>
        </w:rPr>
        <w:t>低代码平台</w:t>
      </w:r>
      <w:r>
        <w:rPr>
          <w:rFonts w:hint="eastAsia"/>
        </w:rPr>
        <w:t>完整的产品文档、开发手册和培训材料；供应商应提供</w:t>
      </w:r>
      <w:r>
        <w:rPr>
          <w:rFonts w:hint="eastAsia"/>
          <w:lang w:eastAsia="zh-CN"/>
        </w:rPr>
        <w:t>低代码平台</w:t>
      </w:r>
      <w:r>
        <w:rPr>
          <w:rFonts w:hint="eastAsia"/>
        </w:rPr>
        <w:t>的7x24小时热线技术支持及5*8小时开发现场技术支持，明确技术支持联系方式及开发现场技术支持人员；</w:t>
      </w:r>
    </w:p>
    <w:p w14:paraId="368447A5">
      <w:pPr>
        <w:rPr>
          <w:rFonts w:hint="eastAsia"/>
        </w:rPr>
      </w:pPr>
      <w:r>
        <w:rPr>
          <w:rFonts w:hint="eastAsia"/>
        </w:rPr>
        <w:t>（6）供应商应提供</w:t>
      </w:r>
      <w:r>
        <w:rPr>
          <w:rFonts w:hint="eastAsia"/>
          <w:lang w:eastAsia="zh-CN"/>
        </w:rPr>
        <w:t>低代码平台</w:t>
      </w:r>
      <w:r>
        <w:rPr>
          <w:rFonts w:hint="eastAsia"/>
        </w:rPr>
        <w:t>的正式许可，并承诺许可有效时间至少持续至本项目免维期结束；</w:t>
      </w:r>
    </w:p>
    <w:p w14:paraId="791E374D">
      <w:pPr>
        <w:rPr>
          <w:rFonts w:hint="eastAsia"/>
        </w:rPr>
      </w:pPr>
      <w:r>
        <w:rPr>
          <w:rFonts w:hint="eastAsia"/>
        </w:rPr>
        <w:t>（7）供应商应承诺对</w:t>
      </w:r>
      <w:r>
        <w:rPr>
          <w:rFonts w:hint="eastAsia"/>
          <w:lang w:eastAsia="zh-CN"/>
        </w:rPr>
        <w:t>低代码平台</w:t>
      </w:r>
      <w:r>
        <w:rPr>
          <w:rFonts w:hint="eastAsia"/>
        </w:rPr>
        <w:t>版本的技术支持至少持续至2030年12月31日，如升级版本，需支持向下兼容；</w:t>
      </w:r>
    </w:p>
    <w:p w14:paraId="0A4D59DE">
      <w:pPr>
        <w:rPr>
          <w:rFonts w:hint="eastAsia"/>
        </w:rPr>
      </w:pPr>
      <w:r>
        <w:rPr>
          <w:rFonts w:hint="eastAsia"/>
        </w:rPr>
        <w:t>（8）供应商应承诺</w:t>
      </w:r>
      <w:r>
        <w:rPr>
          <w:rFonts w:hint="eastAsia"/>
          <w:lang w:eastAsia="zh-CN"/>
        </w:rPr>
        <w:t>低代码平台</w:t>
      </w:r>
      <w:r>
        <w:rPr>
          <w:rFonts w:hint="eastAsia"/>
        </w:rPr>
        <w:t>未留有任何后门，并根据采购方安全管理要求及时响应并修补安全漏洞；</w:t>
      </w:r>
    </w:p>
    <w:p w14:paraId="792F4FC7">
      <w:pPr>
        <w:rPr>
          <w:rFonts w:hint="eastAsia"/>
        </w:rPr>
      </w:pPr>
      <w:r>
        <w:rPr>
          <w:rFonts w:hint="eastAsia"/>
          <w:lang w:eastAsia="zh-CN"/>
        </w:rPr>
        <w:t>（9）</w:t>
      </w:r>
      <w:r>
        <w:rPr>
          <w:rFonts w:hint="eastAsia"/>
        </w:rPr>
        <w:t>供应商应承诺根据本项目要求提供系统集成所需接口，如根据当前登录用户获取用户已被授权的菜单数据等。</w:t>
      </w:r>
    </w:p>
    <w:p w14:paraId="3D8987D4">
      <w:pPr>
        <w:rPr>
          <w:rFonts w:hint="eastAsia"/>
        </w:rPr>
      </w:pPr>
      <w:r>
        <w:rPr>
          <w:rFonts w:hint="eastAsia"/>
        </w:rPr>
        <w:t>2、扩展要求</w:t>
      </w:r>
    </w:p>
    <w:p w14:paraId="775F1B8E">
      <w:pPr>
        <w:rPr>
          <w:rFonts w:hint="eastAsia"/>
        </w:rPr>
      </w:pPr>
      <w:r>
        <w:rPr>
          <w:rFonts w:hint="eastAsia"/>
        </w:rPr>
        <w:t>（1）</w:t>
      </w:r>
      <w:r>
        <w:rPr>
          <w:rFonts w:hint="eastAsia"/>
          <w:lang w:eastAsia="zh-CN"/>
        </w:rPr>
        <w:t>低代码平台</w:t>
      </w:r>
      <w:r>
        <w:rPr>
          <w:rFonts w:hint="eastAsia"/>
        </w:rPr>
        <w:t>能够提供平台本身的源代码或能够导出开发的应用程序的源代码（非配置文件），源代码应具有较好的可读性；</w:t>
      </w:r>
    </w:p>
    <w:p w14:paraId="54C86F6F">
      <w:pPr>
        <w:rPr>
          <w:rFonts w:hint="eastAsia"/>
        </w:rPr>
      </w:pPr>
      <w:r>
        <w:rPr>
          <w:rFonts w:hint="eastAsia"/>
        </w:rPr>
        <w:t>（2）</w:t>
      </w:r>
      <w:r>
        <w:rPr>
          <w:rFonts w:hint="eastAsia"/>
          <w:lang w:eastAsia="zh-CN"/>
        </w:rPr>
        <w:t>低代码平台</w:t>
      </w:r>
      <w:r>
        <w:rPr>
          <w:rFonts w:hint="eastAsia"/>
        </w:rPr>
        <w:t>支持通过自然语言交互功能，快速生成和配置数据模型、业务表单及工作流程。</w:t>
      </w:r>
    </w:p>
    <w:p w14:paraId="208FB45B">
      <w:pPr>
        <w:pStyle w:val="2"/>
        <w:rPr>
          <w:rFonts w:hint="eastAsia"/>
        </w:rPr>
      </w:pPr>
      <w:bookmarkStart w:id="19" w:name="_Toc63785503"/>
      <w:r>
        <w:rPr>
          <w:rFonts w:hint="eastAsia"/>
        </w:rPr>
        <w:t>其他工作要求</w:t>
      </w:r>
      <w:bookmarkEnd w:id="19"/>
    </w:p>
    <w:p w14:paraId="6496143A">
      <w:pPr>
        <w:pStyle w:val="3"/>
        <w:rPr>
          <w:rFonts w:hint="eastAsia"/>
        </w:rPr>
      </w:pPr>
      <w:bookmarkStart w:id="20" w:name="_Toc63785504"/>
      <w:bookmarkEnd w:id="20"/>
      <w:bookmarkStart w:id="21" w:name="_Toc63585480"/>
      <w:bookmarkEnd w:id="21"/>
      <w:bookmarkStart w:id="22" w:name="_Toc62219358"/>
      <w:bookmarkEnd w:id="22"/>
      <w:bookmarkStart w:id="23" w:name="_Toc63762370"/>
      <w:bookmarkEnd w:id="23"/>
      <w:bookmarkStart w:id="24" w:name="_Toc63785439"/>
      <w:bookmarkEnd w:id="24"/>
      <w:bookmarkStart w:id="25" w:name="_Toc61968111"/>
      <w:bookmarkEnd w:id="25"/>
      <w:bookmarkStart w:id="26" w:name="_Toc63151871"/>
      <w:bookmarkEnd w:id="26"/>
      <w:bookmarkStart w:id="27" w:name="_Toc62209488"/>
      <w:bookmarkEnd w:id="27"/>
      <w:bookmarkStart w:id="28" w:name="_Toc63785505"/>
      <w:r>
        <w:rPr>
          <w:rFonts w:hint="eastAsia"/>
        </w:rPr>
        <w:t>售后服务要求</w:t>
      </w:r>
      <w:bookmarkEnd w:id="28"/>
    </w:p>
    <w:p w14:paraId="655B3EFD">
      <w:pPr>
        <w:pStyle w:val="107"/>
        <w:snapToGrid w:val="0"/>
        <w:spacing w:line="360" w:lineRule="auto"/>
        <w:ind w:firstLine="480"/>
        <w:rPr>
          <w:rFonts w:hint="eastAsia" w:ascii="宋体" w:hAnsi="宋体"/>
          <w:sz w:val="24"/>
          <w:szCs w:val="24"/>
        </w:rPr>
      </w:pPr>
      <w:r>
        <w:rPr>
          <w:rFonts w:hint="eastAsia" w:ascii="宋体" w:hAnsi="宋体"/>
          <w:sz w:val="24"/>
          <w:szCs w:val="24"/>
        </w:rPr>
        <w:t>本项目从系统验收通过之日起1年内提供</w:t>
      </w:r>
      <w:r>
        <w:rPr>
          <w:rFonts w:ascii="宋体" w:hAnsi="宋体"/>
          <w:sz w:val="24"/>
          <w:szCs w:val="24"/>
        </w:rPr>
        <w:t>7*24小时免费技术支持</w:t>
      </w:r>
      <w:r>
        <w:rPr>
          <w:rFonts w:hint="eastAsia" w:ascii="宋体" w:hAnsi="宋体"/>
          <w:sz w:val="24"/>
          <w:szCs w:val="24"/>
        </w:rPr>
        <w:t>和售后服务，1年后进入有偿维护期。</w:t>
      </w:r>
    </w:p>
    <w:p w14:paraId="19DF6629">
      <w:pPr>
        <w:pStyle w:val="107"/>
        <w:snapToGrid w:val="0"/>
        <w:spacing w:line="360" w:lineRule="auto"/>
        <w:ind w:firstLine="480"/>
        <w:rPr>
          <w:rFonts w:hint="eastAsia" w:ascii="宋体" w:hAnsi="宋体"/>
          <w:sz w:val="24"/>
          <w:szCs w:val="24"/>
        </w:rPr>
      </w:pPr>
      <w:r>
        <w:rPr>
          <w:rFonts w:hint="eastAsia" w:ascii="宋体" w:hAnsi="宋体"/>
          <w:sz w:val="24"/>
          <w:szCs w:val="24"/>
        </w:rPr>
        <w:t>在质量保证期内，供应商将按照售后服务的承诺提供保修和运行维护服务，针对以下超过1年保修期的软、硬件设备，按照厂商的规定进行免费保修。</w:t>
      </w:r>
    </w:p>
    <w:tbl>
      <w:tblPr>
        <w:tblStyle w:val="35"/>
        <w:tblW w:w="4866" w:type="pct"/>
        <w:tblInd w:w="0" w:type="dxa"/>
        <w:tblLayout w:type="autofit"/>
        <w:tblCellMar>
          <w:top w:w="0" w:type="dxa"/>
          <w:left w:w="108" w:type="dxa"/>
          <w:bottom w:w="0" w:type="dxa"/>
          <w:right w:w="108" w:type="dxa"/>
        </w:tblCellMar>
      </w:tblPr>
      <w:tblGrid>
        <w:gridCol w:w="990"/>
        <w:gridCol w:w="2923"/>
        <w:gridCol w:w="784"/>
        <w:gridCol w:w="1913"/>
        <w:gridCol w:w="1689"/>
      </w:tblGrid>
      <w:tr w14:paraId="42221B73">
        <w:tblPrEx>
          <w:tblCellMar>
            <w:top w:w="0" w:type="dxa"/>
            <w:left w:w="108" w:type="dxa"/>
            <w:bottom w:w="0" w:type="dxa"/>
            <w:right w:w="108" w:type="dxa"/>
          </w:tblCellMar>
        </w:tblPrEx>
        <w:trPr>
          <w:trHeight w:val="272" w:hRule="atLeast"/>
          <w:tblHeader/>
        </w:trPr>
        <w:tc>
          <w:tcPr>
            <w:tcW w:w="596" w:type="pct"/>
            <w:tcBorders>
              <w:top w:val="single" w:color="000000" w:sz="4" w:space="0"/>
              <w:left w:val="single" w:color="000000" w:sz="4" w:space="0"/>
              <w:bottom w:val="single" w:color="000000" w:sz="4" w:space="0"/>
              <w:right w:val="single" w:color="000000" w:sz="4" w:space="0"/>
            </w:tcBorders>
            <w:noWrap/>
            <w:vAlign w:val="center"/>
          </w:tcPr>
          <w:p w14:paraId="32D64273">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序号</w:t>
            </w:r>
          </w:p>
        </w:tc>
        <w:tc>
          <w:tcPr>
            <w:tcW w:w="1760" w:type="pct"/>
            <w:tcBorders>
              <w:top w:val="single" w:color="000000" w:sz="4" w:space="0"/>
              <w:left w:val="single" w:color="000000" w:sz="4" w:space="0"/>
              <w:bottom w:val="single" w:color="000000" w:sz="4" w:space="0"/>
              <w:right w:val="single" w:color="000000" w:sz="4" w:space="0"/>
            </w:tcBorders>
            <w:vAlign w:val="center"/>
          </w:tcPr>
          <w:p w14:paraId="5986FAB5">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产品名称</w:t>
            </w:r>
          </w:p>
        </w:tc>
        <w:tc>
          <w:tcPr>
            <w:tcW w:w="472" w:type="pct"/>
            <w:tcBorders>
              <w:top w:val="single" w:color="000000" w:sz="4" w:space="0"/>
              <w:left w:val="single" w:color="000000" w:sz="4" w:space="0"/>
              <w:bottom w:val="single" w:color="000000" w:sz="4" w:space="0"/>
              <w:right w:val="single" w:color="000000" w:sz="4" w:space="0"/>
            </w:tcBorders>
            <w:vAlign w:val="center"/>
          </w:tcPr>
          <w:p w14:paraId="2B14D304">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数量</w:t>
            </w:r>
          </w:p>
        </w:tc>
        <w:tc>
          <w:tcPr>
            <w:tcW w:w="1152" w:type="pct"/>
            <w:tcBorders>
              <w:top w:val="single" w:color="000000" w:sz="4" w:space="0"/>
              <w:left w:val="single" w:color="000000" w:sz="4" w:space="0"/>
              <w:bottom w:val="single" w:color="000000" w:sz="4" w:space="0"/>
              <w:right w:val="single" w:color="000000" w:sz="4" w:space="0"/>
            </w:tcBorders>
            <w:vAlign w:val="center"/>
          </w:tcPr>
          <w:p w14:paraId="2D3CFDF1">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单位</w:t>
            </w:r>
          </w:p>
        </w:tc>
        <w:tc>
          <w:tcPr>
            <w:tcW w:w="1017" w:type="pct"/>
            <w:tcBorders>
              <w:top w:val="single" w:color="000000" w:sz="4" w:space="0"/>
              <w:left w:val="single" w:color="000000" w:sz="4" w:space="0"/>
              <w:bottom w:val="single" w:color="000000" w:sz="4" w:space="0"/>
              <w:right w:val="single" w:color="000000" w:sz="4" w:space="0"/>
            </w:tcBorders>
            <w:vAlign w:val="center"/>
          </w:tcPr>
          <w:p w14:paraId="68426878">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保修年限</w:t>
            </w:r>
          </w:p>
        </w:tc>
      </w:tr>
      <w:tr w14:paraId="4755CB06">
        <w:tblPrEx>
          <w:tblCellMar>
            <w:top w:w="0" w:type="dxa"/>
            <w:left w:w="108" w:type="dxa"/>
            <w:bottom w:w="0" w:type="dxa"/>
            <w:right w:w="108" w:type="dxa"/>
          </w:tblCellMar>
        </w:tblPrEx>
        <w:trPr>
          <w:trHeight w:val="301" w:hRule="atLeast"/>
        </w:trPr>
        <w:tc>
          <w:tcPr>
            <w:tcW w:w="596" w:type="pct"/>
            <w:tcBorders>
              <w:top w:val="single" w:color="000000" w:sz="4" w:space="0"/>
              <w:left w:val="single" w:color="000000" w:sz="4" w:space="0"/>
              <w:bottom w:val="single" w:color="000000" w:sz="4" w:space="0"/>
              <w:right w:val="single" w:color="000000" w:sz="4" w:space="0"/>
            </w:tcBorders>
            <w:noWrap/>
            <w:vAlign w:val="center"/>
          </w:tcPr>
          <w:p w14:paraId="6337E6EB">
            <w:pPr>
              <w:widowControl/>
              <w:snapToGrid w:val="0"/>
              <w:spacing w:line="240" w:lineRule="auto"/>
              <w:ind w:firstLine="0" w:firstLineChars="0"/>
              <w:jc w:val="center"/>
              <w:rPr>
                <w:rFonts w:hint="eastAsia" w:cs="宋体"/>
                <w:color w:val="000000"/>
                <w:kern w:val="0"/>
              </w:rPr>
            </w:pPr>
            <w:r>
              <w:rPr>
                <w:rFonts w:hint="eastAsia" w:cs="宋体"/>
                <w:color w:val="000000"/>
                <w:kern w:val="0"/>
              </w:rPr>
              <w:t>1</w:t>
            </w:r>
          </w:p>
        </w:tc>
        <w:tc>
          <w:tcPr>
            <w:tcW w:w="1760" w:type="pct"/>
            <w:tcBorders>
              <w:top w:val="single" w:color="000000" w:sz="4" w:space="0"/>
              <w:left w:val="single" w:color="000000" w:sz="4" w:space="0"/>
              <w:bottom w:val="single" w:color="000000" w:sz="4" w:space="0"/>
              <w:right w:val="single" w:color="000000" w:sz="4" w:space="0"/>
            </w:tcBorders>
            <w:vAlign w:val="center"/>
          </w:tcPr>
          <w:p w14:paraId="6D929BBC">
            <w:pPr>
              <w:widowControl/>
              <w:snapToGrid w:val="0"/>
              <w:spacing w:line="240" w:lineRule="auto"/>
              <w:ind w:firstLine="0" w:firstLineChars="0"/>
              <w:jc w:val="center"/>
              <w:rPr>
                <w:rFonts w:hint="eastAsia" w:cs="宋体"/>
                <w:color w:val="000000"/>
                <w:kern w:val="0"/>
              </w:rPr>
            </w:pPr>
            <w:r>
              <w:rPr>
                <w:rFonts w:hint="eastAsia" w:cs="宋体"/>
                <w:color w:val="000000"/>
                <w:kern w:val="0"/>
              </w:rPr>
              <w:t>服务器</w:t>
            </w:r>
          </w:p>
        </w:tc>
        <w:tc>
          <w:tcPr>
            <w:tcW w:w="472" w:type="pct"/>
            <w:tcBorders>
              <w:top w:val="single" w:color="000000" w:sz="4" w:space="0"/>
              <w:left w:val="single" w:color="000000" w:sz="4" w:space="0"/>
              <w:bottom w:val="single" w:color="000000" w:sz="4" w:space="0"/>
              <w:right w:val="single" w:color="000000" w:sz="4" w:space="0"/>
            </w:tcBorders>
            <w:vAlign w:val="center"/>
          </w:tcPr>
          <w:p w14:paraId="30E7CA60">
            <w:pPr>
              <w:widowControl/>
              <w:snapToGrid w:val="0"/>
              <w:spacing w:line="240" w:lineRule="auto"/>
              <w:ind w:firstLine="0" w:firstLineChars="0"/>
              <w:jc w:val="center"/>
              <w:rPr>
                <w:rFonts w:hint="eastAsia" w:cs="宋体"/>
                <w:color w:val="000000"/>
                <w:kern w:val="0"/>
              </w:rPr>
            </w:pPr>
            <w:r>
              <w:rPr>
                <w:rFonts w:hint="eastAsia" w:cs="宋体"/>
                <w:color w:val="000000"/>
                <w:kern w:val="0"/>
              </w:rPr>
              <w:t>3</w:t>
            </w:r>
          </w:p>
        </w:tc>
        <w:tc>
          <w:tcPr>
            <w:tcW w:w="1152" w:type="pct"/>
            <w:tcBorders>
              <w:top w:val="single" w:color="000000" w:sz="4" w:space="0"/>
              <w:left w:val="single" w:color="000000" w:sz="4" w:space="0"/>
              <w:bottom w:val="single" w:color="000000" w:sz="4" w:space="0"/>
              <w:right w:val="single" w:color="000000" w:sz="4" w:space="0"/>
            </w:tcBorders>
            <w:vAlign w:val="center"/>
          </w:tcPr>
          <w:p w14:paraId="556571C2">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c>
          <w:tcPr>
            <w:tcW w:w="1017" w:type="pct"/>
            <w:tcBorders>
              <w:top w:val="single" w:color="000000" w:sz="4" w:space="0"/>
              <w:left w:val="single" w:color="000000" w:sz="4" w:space="0"/>
              <w:bottom w:val="single" w:color="000000" w:sz="4" w:space="0"/>
              <w:right w:val="single" w:color="000000" w:sz="4" w:space="0"/>
            </w:tcBorders>
            <w:vAlign w:val="center"/>
          </w:tcPr>
          <w:p w14:paraId="59A7F1AD">
            <w:pPr>
              <w:widowControl/>
              <w:snapToGrid w:val="0"/>
              <w:spacing w:line="240" w:lineRule="auto"/>
              <w:ind w:firstLine="0" w:firstLineChars="0"/>
              <w:jc w:val="center"/>
              <w:rPr>
                <w:rFonts w:hint="eastAsia" w:cs="宋体"/>
                <w:color w:val="000000"/>
                <w:kern w:val="0"/>
              </w:rPr>
            </w:pPr>
            <w:r>
              <w:rPr>
                <w:rFonts w:hint="eastAsia" w:cs="宋体"/>
                <w:color w:val="000000"/>
                <w:kern w:val="0"/>
              </w:rPr>
              <w:t>3年</w:t>
            </w:r>
          </w:p>
        </w:tc>
      </w:tr>
      <w:tr w14:paraId="09E98F80">
        <w:tblPrEx>
          <w:tblCellMar>
            <w:top w:w="0" w:type="dxa"/>
            <w:left w:w="108" w:type="dxa"/>
            <w:bottom w:w="0" w:type="dxa"/>
            <w:right w:w="108" w:type="dxa"/>
          </w:tblCellMar>
        </w:tblPrEx>
        <w:trPr>
          <w:trHeight w:val="272" w:hRule="atLeast"/>
        </w:trPr>
        <w:tc>
          <w:tcPr>
            <w:tcW w:w="596" w:type="pct"/>
            <w:tcBorders>
              <w:top w:val="single" w:color="000000" w:sz="4" w:space="0"/>
              <w:left w:val="single" w:color="000000" w:sz="4" w:space="0"/>
              <w:bottom w:val="single" w:color="000000" w:sz="4" w:space="0"/>
              <w:right w:val="single" w:color="000000" w:sz="4" w:space="0"/>
            </w:tcBorders>
            <w:noWrap/>
            <w:vAlign w:val="center"/>
          </w:tcPr>
          <w:p w14:paraId="16BA2AE1">
            <w:pPr>
              <w:widowControl/>
              <w:snapToGrid w:val="0"/>
              <w:spacing w:line="240" w:lineRule="auto"/>
              <w:ind w:firstLine="0" w:firstLineChars="0"/>
              <w:jc w:val="center"/>
              <w:rPr>
                <w:rFonts w:hint="eastAsia" w:cs="宋体"/>
                <w:color w:val="000000"/>
                <w:kern w:val="0"/>
              </w:rPr>
            </w:pPr>
            <w:r>
              <w:rPr>
                <w:rFonts w:hint="eastAsia" w:cs="宋体"/>
                <w:color w:val="000000"/>
                <w:kern w:val="0"/>
              </w:rPr>
              <w:t>2</w:t>
            </w:r>
          </w:p>
        </w:tc>
        <w:tc>
          <w:tcPr>
            <w:tcW w:w="1760" w:type="pct"/>
            <w:tcBorders>
              <w:top w:val="single" w:color="000000" w:sz="4" w:space="0"/>
              <w:left w:val="single" w:color="000000" w:sz="4" w:space="0"/>
              <w:bottom w:val="single" w:color="000000" w:sz="4" w:space="0"/>
              <w:right w:val="single" w:color="000000" w:sz="4" w:space="0"/>
            </w:tcBorders>
            <w:vAlign w:val="center"/>
          </w:tcPr>
          <w:p w14:paraId="57C686D0">
            <w:pPr>
              <w:widowControl/>
              <w:snapToGrid w:val="0"/>
              <w:spacing w:line="240" w:lineRule="auto"/>
              <w:ind w:firstLine="0" w:firstLineChars="0"/>
              <w:jc w:val="center"/>
              <w:rPr>
                <w:rFonts w:hint="eastAsia" w:cs="宋体"/>
                <w:color w:val="000000"/>
                <w:kern w:val="0"/>
              </w:rPr>
            </w:pPr>
            <w:r>
              <w:rPr>
                <w:rFonts w:hint="eastAsia" w:cs="宋体"/>
                <w:color w:val="000000"/>
                <w:kern w:val="0"/>
              </w:rPr>
              <w:t>4K双目热成像高清摄像机</w:t>
            </w:r>
          </w:p>
        </w:tc>
        <w:tc>
          <w:tcPr>
            <w:tcW w:w="472" w:type="pct"/>
            <w:tcBorders>
              <w:top w:val="single" w:color="000000" w:sz="4" w:space="0"/>
              <w:left w:val="single" w:color="000000" w:sz="4" w:space="0"/>
              <w:bottom w:val="single" w:color="000000" w:sz="4" w:space="0"/>
              <w:right w:val="single" w:color="000000" w:sz="4" w:space="0"/>
            </w:tcBorders>
            <w:vAlign w:val="center"/>
          </w:tcPr>
          <w:p w14:paraId="06C0FF38">
            <w:pPr>
              <w:widowControl/>
              <w:snapToGrid w:val="0"/>
              <w:spacing w:line="240" w:lineRule="auto"/>
              <w:ind w:firstLine="0" w:firstLineChars="0"/>
              <w:jc w:val="center"/>
              <w:rPr>
                <w:rFonts w:hint="eastAsia" w:cs="宋体"/>
                <w:color w:val="000000"/>
                <w:kern w:val="0"/>
              </w:rPr>
            </w:pPr>
            <w:r>
              <w:rPr>
                <w:rFonts w:hint="eastAsia" w:cs="宋体"/>
                <w:color w:val="000000"/>
                <w:kern w:val="0"/>
              </w:rPr>
              <w:t>9</w:t>
            </w:r>
          </w:p>
        </w:tc>
        <w:tc>
          <w:tcPr>
            <w:tcW w:w="1152" w:type="pct"/>
            <w:tcBorders>
              <w:top w:val="single" w:color="000000" w:sz="4" w:space="0"/>
              <w:left w:val="single" w:color="000000" w:sz="4" w:space="0"/>
              <w:bottom w:val="single" w:color="000000" w:sz="4" w:space="0"/>
              <w:right w:val="single" w:color="000000" w:sz="4" w:space="0"/>
            </w:tcBorders>
            <w:vAlign w:val="center"/>
          </w:tcPr>
          <w:p w14:paraId="7A02EE33">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c>
          <w:tcPr>
            <w:tcW w:w="1017" w:type="pct"/>
            <w:tcBorders>
              <w:top w:val="single" w:color="000000" w:sz="4" w:space="0"/>
              <w:left w:val="single" w:color="000000" w:sz="4" w:space="0"/>
              <w:bottom w:val="single" w:color="000000" w:sz="4" w:space="0"/>
              <w:right w:val="single" w:color="000000" w:sz="4" w:space="0"/>
            </w:tcBorders>
            <w:vAlign w:val="center"/>
          </w:tcPr>
          <w:p w14:paraId="03165D96">
            <w:pPr>
              <w:widowControl/>
              <w:snapToGrid w:val="0"/>
              <w:spacing w:line="240" w:lineRule="auto"/>
              <w:ind w:firstLine="0" w:firstLineChars="0"/>
              <w:jc w:val="center"/>
              <w:rPr>
                <w:rFonts w:hint="eastAsia" w:cs="宋体"/>
                <w:color w:val="000000"/>
                <w:kern w:val="0"/>
              </w:rPr>
            </w:pPr>
            <w:r>
              <w:rPr>
                <w:rFonts w:hint="eastAsia" w:cs="宋体"/>
                <w:color w:val="000000"/>
                <w:kern w:val="0"/>
              </w:rPr>
              <w:t>3年</w:t>
            </w:r>
          </w:p>
        </w:tc>
      </w:tr>
      <w:tr w14:paraId="24E889A9">
        <w:tblPrEx>
          <w:tblCellMar>
            <w:top w:w="0" w:type="dxa"/>
            <w:left w:w="108" w:type="dxa"/>
            <w:bottom w:w="0" w:type="dxa"/>
            <w:right w:w="108" w:type="dxa"/>
          </w:tblCellMar>
        </w:tblPrEx>
        <w:trPr>
          <w:trHeight w:val="272" w:hRule="atLeast"/>
        </w:trPr>
        <w:tc>
          <w:tcPr>
            <w:tcW w:w="596" w:type="pct"/>
            <w:tcBorders>
              <w:top w:val="single" w:color="000000" w:sz="4" w:space="0"/>
              <w:left w:val="single" w:color="000000" w:sz="4" w:space="0"/>
              <w:bottom w:val="single" w:color="000000" w:sz="4" w:space="0"/>
              <w:right w:val="single" w:color="000000" w:sz="4" w:space="0"/>
            </w:tcBorders>
            <w:noWrap/>
            <w:vAlign w:val="center"/>
          </w:tcPr>
          <w:p w14:paraId="5A931B42">
            <w:pPr>
              <w:widowControl/>
              <w:snapToGrid w:val="0"/>
              <w:spacing w:line="240" w:lineRule="auto"/>
              <w:ind w:firstLine="0" w:firstLineChars="0"/>
              <w:jc w:val="center"/>
              <w:rPr>
                <w:rFonts w:hint="eastAsia" w:cs="宋体"/>
                <w:color w:val="000000"/>
                <w:kern w:val="0"/>
              </w:rPr>
            </w:pPr>
            <w:r>
              <w:rPr>
                <w:rFonts w:hint="eastAsia" w:cs="宋体"/>
                <w:color w:val="000000"/>
                <w:kern w:val="0"/>
              </w:rPr>
              <w:t>3</w:t>
            </w:r>
          </w:p>
        </w:tc>
        <w:tc>
          <w:tcPr>
            <w:tcW w:w="1760" w:type="pct"/>
            <w:tcBorders>
              <w:top w:val="single" w:color="000000" w:sz="4" w:space="0"/>
              <w:left w:val="single" w:color="000000" w:sz="4" w:space="0"/>
              <w:bottom w:val="single" w:color="000000" w:sz="4" w:space="0"/>
              <w:right w:val="single" w:color="000000" w:sz="4" w:space="0"/>
            </w:tcBorders>
            <w:vAlign w:val="center"/>
          </w:tcPr>
          <w:p w14:paraId="7A013CDA">
            <w:pPr>
              <w:widowControl/>
              <w:snapToGrid w:val="0"/>
              <w:spacing w:line="240" w:lineRule="auto"/>
              <w:ind w:firstLine="0" w:firstLineChars="0"/>
              <w:jc w:val="center"/>
              <w:rPr>
                <w:rFonts w:hint="eastAsia" w:cs="宋体"/>
                <w:color w:val="000000"/>
                <w:kern w:val="0"/>
              </w:rPr>
            </w:pPr>
            <w:r>
              <w:rPr>
                <w:rFonts w:hint="eastAsia" w:cs="宋体"/>
                <w:color w:val="000000"/>
                <w:kern w:val="0"/>
              </w:rPr>
              <w:t>8K双目热成像高清摄像机</w:t>
            </w:r>
          </w:p>
        </w:tc>
        <w:tc>
          <w:tcPr>
            <w:tcW w:w="472" w:type="pct"/>
            <w:tcBorders>
              <w:top w:val="single" w:color="000000" w:sz="4" w:space="0"/>
              <w:left w:val="single" w:color="000000" w:sz="4" w:space="0"/>
              <w:bottom w:val="single" w:color="000000" w:sz="4" w:space="0"/>
              <w:right w:val="single" w:color="000000" w:sz="4" w:space="0"/>
            </w:tcBorders>
            <w:vAlign w:val="center"/>
          </w:tcPr>
          <w:p w14:paraId="79365A2D">
            <w:pPr>
              <w:widowControl/>
              <w:snapToGrid w:val="0"/>
              <w:spacing w:line="240" w:lineRule="auto"/>
              <w:ind w:firstLine="0" w:firstLineChars="0"/>
              <w:jc w:val="center"/>
              <w:rPr>
                <w:rFonts w:hint="eastAsia" w:cs="宋体"/>
                <w:color w:val="000000"/>
                <w:kern w:val="0"/>
              </w:rPr>
            </w:pPr>
            <w:r>
              <w:rPr>
                <w:rFonts w:hint="eastAsia" w:cs="宋体"/>
                <w:color w:val="000000"/>
                <w:kern w:val="0"/>
              </w:rPr>
              <w:t>4</w:t>
            </w:r>
          </w:p>
        </w:tc>
        <w:tc>
          <w:tcPr>
            <w:tcW w:w="1152" w:type="pct"/>
            <w:tcBorders>
              <w:top w:val="single" w:color="000000" w:sz="4" w:space="0"/>
              <w:left w:val="single" w:color="000000" w:sz="4" w:space="0"/>
              <w:bottom w:val="single" w:color="000000" w:sz="4" w:space="0"/>
              <w:right w:val="single" w:color="000000" w:sz="4" w:space="0"/>
            </w:tcBorders>
            <w:vAlign w:val="center"/>
          </w:tcPr>
          <w:p w14:paraId="09B12D4A">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c>
          <w:tcPr>
            <w:tcW w:w="1017" w:type="pct"/>
            <w:tcBorders>
              <w:top w:val="single" w:color="000000" w:sz="4" w:space="0"/>
              <w:left w:val="single" w:color="000000" w:sz="4" w:space="0"/>
              <w:bottom w:val="single" w:color="000000" w:sz="4" w:space="0"/>
              <w:right w:val="single" w:color="000000" w:sz="4" w:space="0"/>
            </w:tcBorders>
            <w:vAlign w:val="center"/>
          </w:tcPr>
          <w:p w14:paraId="1ADAE30D">
            <w:pPr>
              <w:widowControl/>
              <w:snapToGrid w:val="0"/>
              <w:spacing w:line="240" w:lineRule="auto"/>
              <w:ind w:firstLine="0" w:firstLineChars="0"/>
              <w:jc w:val="center"/>
              <w:rPr>
                <w:rFonts w:hint="eastAsia" w:cs="宋体"/>
                <w:color w:val="000000"/>
                <w:kern w:val="0"/>
              </w:rPr>
            </w:pPr>
            <w:r>
              <w:rPr>
                <w:rFonts w:hint="eastAsia" w:cs="宋体"/>
                <w:color w:val="000000"/>
                <w:kern w:val="0"/>
              </w:rPr>
              <w:t>3年</w:t>
            </w:r>
          </w:p>
        </w:tc>
      </w:tr>
      <w:tr w14:paraId="03461B3F">
        <w:tblPrEx>
          <w:tblCellMar>
            <w:top w:w="0" w:type="dxa"/>
            <w:left w:w="108" w:type="dxa"/>
            <w:bottom w:w="0" w:type="dxa"/>
            <w:right w:w="108" w:type="dxa"/>
          </w:tblCellMar>
        </w:tblPrEx>
        <w:trPr>
          <w:trHeight w:val="272" w:hRule="atLeast"/>
        </w:trPr>
        <w:tc>
          <w:tcPr>
            <w:tcW w:w="596" w:type="pct"/>
            <w:tcBorders>
              <w:top w:val="single" w:color="000000" w:sz="4" w:space="0"/>
              <w:left w:val="single" w:color="000000" w:sz="4" w:space="0"/>
              <w:bottom w:val="single" w:color="000000" w:sz="4" w:space="0"/>
              <w:right w:val="single" w:color="000000" w:sz="4" w:space="0"/>
            </w:tcBorders>
            <w:noWrap/>
            <w:vAlign w:val="center"/>
          </w:tcPr>
          <w:p w14:paraId="6E5EDDD7">
            <w:pPr>
              <w:widowControl/>
              <w:snapToGrid w:val="0"/>
              <w:spacing w:line="240" w:lineRule="auto"/>
              <w:ind w:firstLine="0" w:firstLineChars="0"/>
              <w:jc w:val="center"/>
              <w:rPr>
                <w:rFonts w:hint="eastAsia" w:cs="宋体"/>
                <w:color w:val="000000"/>
                <w:kern w:val="0"/>
              </w:rPr>
            </w:pPr>
            <w:r>
              <w:rPr>
                <w:rFonts w:hint="eastAsia" w:cs="宋体"/>
                <w:color w:val="000000"/>
                <w:kern w:val="0"/>
              </w:rPr>
              <w:t>4</w:t>
            </w:r>
          </w:p>
        </w:tc>
        <w:tc>
          <w:tcPr>
            <w:tcW w:w="1760" w:type="pct"/>
            <w:tcBorders>
              <w:top w:val="single" w:color="000000" w:sz="4" w:space="0"/>
              <w:left w:val="single" w:color="000000" w:sz="4" w:space="0"/>
              <w:bottom w:val="single" w:color="000000" w:sz="4" w:space="0"/>
              <w:right w:val="single" w:color="000000" w:sz="4" w:space="0"/>
            </w:tcBorders>
            <w:vAlign w:val="center"/>
          </w:tcPr>
          <w:p w14:paraId="51F6B3C5">
            <w:pPr>
              <w:widowControl/>
              <w:snapToGrid w:val="0"/>
              <w:spacing w:line="240" w:lineRule="auto"/>
              <w:ind w:firstLine="0" w:firstLineChars="0"/>
              <w:jc w:val="center"/>
              <w:rPr>
                <w:rFonts w:hint="eastAsia" w:cs="宋体"/>
                <w:color w:val="000000"/>
                <w:kern w:val="0"/>
              </w:rPr>
            </w:pPr>
            <w:r>
              <w:rPr>
                <w:rFonts w:hint="eastAsia" w:cs="宋体"/>
                <w:color w:val="000000"/>
                <w:kern w:val="0"/>
              </w:rPr>
              <w:t>楼顶立杆及安装支架</w:t>
            </w:r>
          </w:p>
        </w:tc>
        <w:tc>
          <w:tcPr>
            <w:tcW w:w="472" w:type="pct"/>
            <w:tcBorders>
              <w:top w:val="single" w:color="000000" w:sz="4" w:space="0"/>
              <w:left w:val="single" w:color="000000" w:sz="4" w:space="0"/>
              <w:bottom w:val="single" w:color="000000" w:sz="4" w:space="0"/>
              <w:right w:val="single" w:color="000000" w:sz="4" w:space="0"/>
            </w:tcBorders>
            <w:vAlign w:val="center"/>
          </w:tcPr>
          <w:p w14:paraId="0A114E02">
            <w:pPr>
              <w:widowControl/>
              <w:snapToGrid w:val="0"/>
              <w:spacing w:line="240" w:lineRule="auto"/>
              <w:ind w:firstLine="0" w:firstLineChars="0"/>
              <w:jc w:val="center"/>
              <w:rPr>
                <w:rFonts w:hint="eastAsia" w:cs="宋体"/>
                <w:color w:val="000000"/>
                <w:kern w:val="0"/>
              </w:rPr>
            </w:pPr>
            <w:r>
              <w:rPr>
                <w:rFonts w:hint="eastAsia" w:cs="宋体"/>
                <w:color w:val="000000"/>
                <w:kern w:val="0"/>
              </w:rPr>
              <w:t>4</w:t>
            </w:r>
          </w:p>
        </w:tc>
        <w:tc>
          <w:tcPr>
            <w:tcW w:w="1152" w:type="pct"/>
            <w:tcBorders>
              <w:top w:val="single" w:color="000000" w:sz="4" w:space="0"/>
              <w:left w:val="single" w:color="000000" w:sz="4" w:space="0"/>
              <w:bottom w:val="single" w:color="000000" w:sz="4" w:space="0"/>
              <w:right w:val="single" w:color="000000" w:sz="4" w:space="0"/>
            </w:tcBorders>
            <w:vAlign w:val="center"/>
          </w:tcPr>
          <w:p w14:paraId="497F1E70">
            <w:pPr>
              <w:widowControl/>
              <w:snapToGrid w:val="0"/>
              <w:spacing w:line="240" w:lineRule="auto"/>
              <w:ind w:firstLine="0" w:firstLineChars="0"/>
              <w:jc w:val="center"/>
              <w:rPr>
                <w:rFonts w:hint="eastAsia" w:cs="宋体"/>
                <w:color w:val="000000"/>
                <w:kern w:val="0"/>
              </w:rPr>
            </w:pPr>
            <w:r>
              <w:rPr>
                <w:rFonts w:hint="eastAsia" w:cs="宋体"/>
                <w:color w:val="000000"/>
                <w:kern w:val="0"/>
              </w:rPr>
              <w:t>项</w:t>
            </w:r>
          </w:p>
        </w:tc>
        <w:tc>
          <w:tcPr>
            <w:tcW w:w="1017" w:type="pct"/>
            <w:tcBorders>
              <w:top w:val="single" w:color="000000" w:sz="4" w:space="0"/>
              <w:left w:val="single" w:color="000000" w:sz="4" w:space="0"/>
              <w:bottom w:val="single" w:color="000000" w:sz="4" w:space="0"/>
              <w:right w:val="single" w:color="000000" w:sz="4" w:space="0"/>
            </w:tcBorders>
            <w:vAlign w:val="center"/>
          </w:tcPr>
          <w:p w14:paraId="6B04F557">
            <w:pPr>
              <w:widowControl/>
              <w:snapToGrid w:val="0"/>
              <w:spacing w:line="240" w:lineRule="auto"/>
              <w:ind w:firstLine="0" w:firstLineChars="0"/>
              <w:jc w:val="center"/>
              <w:rPr>
                <w:rFonts w:hint="eastAsia" w:cs="宋体"/>
                <w:color w:val="000000"/>
                <w:kern w:val="0"/>
              </w:rPr>
            </w:pPr>
            <w:r>
              <w:rPr>
                <w:rFonts w:hint="eastAsia" w:cs="宋体"/>
                <w:color w:val="000000"/>
                <w:kern w:val="0"/>
              </w:rPr>
              <w:t>3年</w:t>
            </w:r>
          </w:p>
        </w:tc>
      </w:tr>
      <w:tr w14:paraId="1F554561">
        <w:tblPrEx>
          <w:tblCellMar>
            <w:top w:w="0" w:type="dxa"/>
            <w:left w:w="108" w:type="dxa"/>
            <w:bottom w:w="0" w:type="dxa"/>
            <w:right w:w="108" w:type="dxa"/>
          </w:tblCellMar>
        </w:tblPrEx>
        <w:trPr>
          <w:trHeight w:val="272" w:hRule="atLeast"/>
        </w:trPr>
        <w:tc>
          <w:tcPr>
            <w:tcW w:w="596" w:type="pct"/>
            <w:tcBorders>
              <w:top w:val="single" w:color="000000" w:sz="4" w:space="0"/>
              <w:left w:val="single" w:color="000000" w:sz="4" w:space="0"/>
              <w:bottom w:val="single" w:color="000000" w:sz="4" w:space="0"/>
              <w:right w:val="single" w:color="000000" w:sz="4" w:space="0"/>
            </w:tcBorders>
            <w:noWrap/>
            <w:vAlign w:val="center"/>
          </w:tcPr>
          <w:p w14:paraId="0C8A0AC2">
            <w:pPr>
              <w:widowControl/>
              <w:snapToGrid w:val="0"/>
              <w:spacing w:line="240" w:lineRule="auto"/>
              <w:ind w:firstLine="0" w:firstLineChars="0"/>
              <w:jc w:val="center"/>
              <w:rPr>
                <w:rFonts w:hint="eastAsia" w:cs="宋体"/>
                <w:color w:val="000000"/>
                <w:kern w:val="0"/>
              </w:rPr>
            </w:pPr>
            <w:r>
              <w:rPr>
                <w:rFonts w:hint="eastAsia" w:cs="宋体"/>
                <w:color w:val="000000"/>
                <w:kern w:val="0"/>
              </w:rPr>
              <w:t>5</w:t>
            </w:r>
          </w:p>
        </w:tc>
        <w:tc>
          <w:tcPr>
            <w:tcW w:w="1760" w:type="pct"/>
            <w:tcBorders>
              <w:top w:val="single" w:color="000000" w:sz="4" w:space="0"/>
              <w:left w:val="single" w:color="000000" w:sz="4" w:space="0"/>
              <w:bottom w:val="single" w:color="000000" w:sz="4" w:space="0"/>
              <w:right w:val="single" w:color="000000" w:sz="4" w:space="0"/>
            </w:tcBorders>
            <w:vAlign w:val="center"/>
          </w:tcPr>
          <w:p w14:paraId="626F2AED">
            <w:pPr>
              <w:widowControl/>
              <w:snapToGrid w:val="0"/>
              <w:spacing w:line="240" w:lineRule="auto"/>
              <w:ind w:firstLine="0" w:firstLineChars="0"/>
              <w:jc w:val="center"/>
              <w:rPr>
                <w:rFonts w:hint="eastAsia" w:cs="宋体"/>
                <w:color w:val="000000"/>
                <w:kern w:val="0"/>
              </w:rPr>
            </w:pPr>
            <w:r>
              <w:rPr>
                <w:rFonts w:hint="eastAsia" w:cs="宋体"/>
                <w:color w:val="000000"/>
                <w:kern w:val="0"/>
              </w:rPr>
              <w:t>道路积水监测设备</w:t>
            </w:r>
          </w:p>
        </w:tc>
        <w:tc>
          <w:tcPr>
            <w:tcW w:w="472" w:type="pct"/>
            <w:tcBorders>
              <w:top w:val="single" w:color="000000" w:sz="4" w:space="0"/>
              <w:left w:val="single" w:color="000000" w:sz="4" w:space="0"/>
              <w:bottom w:val="single" w:color="000000" w:sz="4" w:space="0"/>
              <w:right w:val="single" w:color="000000" w:sz="4" w:space="0"/>
            </w:tcBorders>
            <w:vAlign w:val="center"/>
          </w:tcPr>
          <w:p w14:paraId="31FCC48D">
            <w:pPr>
              <w:widowControl/>
              <w:snapToGrid w:val="0"/>
              <w:spacing w:line="240" w:lineRule="auto"/>
              <w:ind w:firstLine="0" w:firstLineChars="0"/>
              <w:jc w:val="center"/>
              <w:rPr>
                <w:rFonts w:hint="eastAsia" w:cs="宋体"/>
                <w:color w:val="000000"/>
                <w:kern w:val="0"/>
              </w:rPr>
            </w:pPr>
            <w:r>
              <w:rPr>
                <w:rFonts w:hint="eastAsia" w:cs="宋体"/>
                <w:color w:val="000000"/>
                <w:kern w:val="0"/>
              </w:rPr>
              <w:t>23</w:t>
            </w:r>
          </w:p>
        </w:tc>
        <w:tc>
          <w:tcPr>
            <w:tcW w:w="1152" w:type="pct"/>
            <w:tcBorders>
              <w:top w:val="single" w:color="000000" w:sz="4" w:space="0"/>
              <w:left w:val="single" w:color="000000" w:sz="4" w:space="0"/>
              <w:bottom w:val="single" w:color="000000" w:sz="4" w:space="0"/>
              <w:right w:val="single" w:color="000000" w:sz="4" w:space="0"/>
            </w:tcBorders>
            <w:vAlign w:val="center"/>
          </w:tcPr>
          <w:p w14:paraId="6A5396C4">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c>
          <w:tcPr>
            <w:tcW w:w="1017" w:type="pct"/>
            <w:tcBorders>
              <w:top w:val="single" w:color="000000" w:sz="4" w:space="0"/>
              <w:left w:val="single" w:color="000000" w:sz="4" w:space="0"/>
              <w:bottom w:val="single" w:color="000000" w:sz="4" w:space="0"/>
              <w:right w:val="single" w:color="000000" w:sz="4" w:space="0"/>
            </w:tcBorders>
            <w:vAlign w:val="center"/>
          </w:tcPr>
          <w:p w14:paraId="30274820">
            <w:pPr>
              <w:widowControl/>
              <w:snapToGrid w:val="0"/>
              <w:spacing w:line="240" w:lineRule="auto"/>
              <w:ind w:firstLine="0" w:firstLineChars="0"/>
              <w:jc w:val="center"/>
              <w:rPr>
                <w:rFonts w:hint="eastAsia" w:cs="宋体"/>
                <w:color w:val="000000"/>
                <w:kern w:val="0"/>
              </w:rPr>
            </w:pPr>
            <w:r>
              <w:rPr>
                <w:rFonts w:hint="eastAsia" w:cs="宋体"/>
                <w:color w:val="000000"/>
                <w:kern w:val="0"/>
              </w:rPr>
              <w:t>3年</w:t>
            </w:r>
          </w:p>
        </w:tc>
      </w:tr>
    </w:tbl>
    <w:p w14:paraId="55CB4699">
      <w:pPr>
        <w:pStyle w:val="107"/>
        <w:snapToGrid w:val="0"/>
        <w:spacing w:before="120" w:line="360" w:lineRule="auto"/>
        <w:ind w:firstLine="480"/>
        <w:rPr>
          <w:rFonts w:hint="eastAsia" w:ascii="宋体" w:hAnsi="宋体"/>
          <w:sz w:val="24"/>
          <w:szCs w:val="24"/>
        </w:rPr>
      </w:pPr>
      <w:r>
        <w:rPr>
          <w:rFonts w:hint="eastAsia" w:ascii="宋体" w:hAnsi="宋体"/>
          <w:sz w:val="24"/>
          <w:szCs w:val="24"/>
        </w:rPr>
        <w:t>在质量保证期内，供应商负责信息系统的运行维护工作，确保信息系统安全、稳定、可靠地运行。本项目涉及的运行维护工作范围为：系统定期巡检、系统安全补丁升级、系统和应用漏洞修复、Bug修复、功能优化。</w:t>
      </w:r>
    </w:p>
    <w:p w14:paraId="134D93A8">
      <w:pPr>
        <w:pStyle w:val="3"/>
        <w:rPr>
          <w:rFonts w:hint="eastAsia"/>
        </w:rPr>
      </w:pPr>
      <w:bookmarkStart w:id="29" w:name="_Toc63785506"/>
      <w:r>
        <w:rPr>
          <w:rFonts w:hint="eastAsia"/>
        </w:rPr>
        <w:t>应急响应要求</w:t>
      </w:r>
      <w:bookmarkEnd w:id="29"/>
    </w:p>
    <w:p w14:paraId="66D4F391">
      <w:pPr>
        <w:rPr>
          <w:rFonts w:hint="eastAsia"/>
        </w:rPr>
      </w:pPr>
      <w:r>
        <w:rPr>
          <w:rFonts w:hint="eastAsia"/>
        </w:rPr>
        <w:t>供应商对系统故障应能够实时响应，若系统发生故障，接到通知后30分钟之内响应，专业工程师2小时内到达现场。特殊故障与采购人沟通协商后，按照协商的方式制定解决方案并进行处理。</w:t>
      </w:r>
    </w:p>
    <w:p w14:paraId="09E1C464">
      <w:pPr>
        <w:rPr>
          <w:rFonts w:hint="eastAsia"/>
        </w:rPr>
      </w:pPr>
      <w:r>
        <w:rPr>
          <w:rFonts w:hint="eastAsia"/>
        </w:rPr>
        <w:t>具体故障级别及对应的应急响应要求如下：</w:t>
      </w:r>
    </w:p>
    <w:p w14:paraId="0276BF6F">
      <w:pPr>
        <w:rPr>
          <w:rFonts w:hint="eastAsia"/>
        </w:rPr>
      </w:pPr>
      <w:r>
        <w:rPr>
          <w:rFonts w:hint="eastAsia"/>
        </w:rPr>
        <w:t>一级故障：在1小时内确诊，总故障解决时间不超过4小时。</w:t>
      </w:r>
    </w:p>
    <w:p w14:paraId="3A640A02">
      <w:pPr>
        <w:rPr>
          <w:rFonts w:hint="eastAsia"/>
        </w:rPr>
      </w:pPr>
      <w:r>
        <w:rPr>
          <w:rFonts w:hint="eastAsia"/>
        </w:rPr>
        <w:t>二级故障：在2小时内确诊，并在4小时内由专家到达现场确诊并解决，总故障解决时间不超过8小时；</w:t>
      </w:r>
    </w:p>
    <w:p w14:paraId="08486D18">
      <w:pPr>
        <w:rPr>
          <w:rFonts w:hint="eastAsia"/>
        </w:rPr>
      </w:pPr>
      <w:r>
        <w:rPr>
          <w:rFonts w:hint="eastAsia"/>
        </w:rPr>
        <w:t>三、四级故障：在4小时内确诊故障，总故障解决时间不超过16小时。</w:t>
      </w:r>
    </w:p>
    <w:p w14:paraId="5261EC75">
      <w:pPr>
        <w:rPr>
          <w:rFonts w:hint="eastAsia"/>
        </w:rPr>
      </w:pPr>
      <w:r>
        <w:rPr>
          <w:rFonts w:hint="eastAsia"/>
        </w:rPr>
        <w:t>依据故障时间及故障范围划分故障级别，故障级别分为四级，依次为Ⅰ级（紧急）、Ⅱ级（严重）、Ⅲ级（较大）和Ⅳ级（一般），分别定义如下：</w:t>
      </w:r>
    </w:p>
    <w:p w14:paraId="0AED73BE">
      <w:pPr>
        <w:rPr>
          <w:rFonts w:hint="eastAsia"/>
        </w:rPr>
      </w:pPr>
      <w:r>
        <w:rPr>
          <w:rFonts w:hint="eastAsia"/>
        </w:rPr>
        <w:t>Ⅰ级（紧急）故障为工作时间段（8:30——17:30）内大范围故障；</w:t>
      </w:r>
    </w:p>
    <w:p w14:paraId="51D6D163">
      <w:pPr>
        <w:rPr>
          <w:rFonts w:hint="eastAsia"/>
        </w:rPr>
      </w:pPr>
      <w:r>
        <w:rPr>
          <w:rFonts w:hint="eastAsia"/>
        </w:rPr>
        <w:t>Ⅱ级（严重）故障为非工作时间段（17:30——次日8:30）内大范围故障；</w:t>
      </w:r>
    </w:p>
    <w:p w14:paraId="29C9C9BB">
      <w:pPr>
        <w:rPr>
          <w:rFonts w:hint="eastAsia"/>
        </w:rPr>
      </w:pPr>
      <w:r>
        <w:rPr>
          <w:rFonts w:hint="eastAsia"/>
        </w:rPr>
        <w:t>Ⅲ级（较大）故障为工作时间段（8:30——17:30）内小范围故障；</w:t>
      </w:r>
    </w:p>
    <w:p w14:paraId="28C4A522">
      <w:pPr>
        <w:rPr>
          <w:rFonts w:hint="eastAsia"/>
        </w:rPr>
      </w:pPr>
      <w:r>
        <w:rPr>
          <w:rFonts w:hint="eastAsia"/>
        </w:rPr>
        <w:t>Ⅳ级（一般）故障为非工作时间段（17:30——次日8:30）内小范围故障；</w:t>
      </w:r>
    </w:p>
    <w:p w14:paraId="7069281F">
      <w:pPr>
        <w:pStyle w:val="3"/>
        <w:rPr>
          <w:rFonts w:hint="eastAsia"/>
        </w:rPr>
      </w:pPr>
      <w:r>
        <w:rPr>
          <w:rFonts w:hint="eastAsia"/>
        </w:rPr>
        <w:t>网络与数据安全</w:t>
      </w:r>
    </w:p>
    <w:p w14:paraId="07566672">
      <w:pPr>
        <w:rPr>
          <w:rFonts w:hint="eastAsia"/>
        </w:rPr>
      </w:pPr>
      <w:r>
        <w:rPr>
          <w:rFonts w:hint="eastAsia"/>
        </w:rPr>
        <w:t>(1)供应商应在项目深化设计阶段，应开展安全需求调研和数据分类分级工作，制定网络和数据安全设计方案，制定总体安全技术架构，明确边界防护、访问控制、权限管理、系统安全配置、身份鉴别、入侵防范等系统安全防护措施，制定差异化的数据安全防护手段，确保数据全生命周期安全。</w:t>
      </w:r>
    </w:p>
    <w:p w14:paraId="0CA9169C">
      <w:pPr>
        <w:rPr>
          <w:rFonts w:hint="eastAsia"/>
        </w:rPr>
      </w:pPr>
      <w:r>
        <w:rPr>
          <w:rFonts w:hint="eastAsia"/>
        </w:rPr>
        <w:t>(2)供应商应配合采购人开展相关安全制度和规范的制定，并根据项目实际，制定项目实施过程安全管理方案。</w:t>
      </w:r>
    </w:p>
    <w:p w14:paraId="5CD48077">
      <w:pPr>
        <w:rPr>
          <w:rFonts w:hint="eastAsia"/>
        </w:rPr>
      </w:pPr>
      <w:r>
        <w:rPr>
          <w:rFonts w:hint="eastAsia"/>
        </w:rPr>
        <w:t>(3)供应商应确保所提供的软件产品和定制开发内容所涉及的供应链满足采购人的管理要求，提供供应链物料清单，落实供应链安全控制措施，包括代码安全检测和质量评估、漏洞扫描、第三方组件评估等工作，并于系统上线前，完成信息化资产的梳理。</w:t>
      </w:r>
    </w:p>
    <w:p w14:paraId="04DC9983">
      <w:pPr>
        <w:rPr>
          <w:rFonts w:hint="eastAsia"/>
        </w:rPr>
      </w:pPr>
      <w:r>
        <w:rPr>
          <w:rFonts w:hint="eastAsia"/>
        </w:rPr>
        <w:t>(4)供应商应在项目实施过程中，推动安全开发控制工作的实施，按照安全设计方案和采购人安全开发要求，落实安全开发规范，确保代码质量和安全性。供应商应确保系统开发及生产环境安全，落实安全管理策略及安全配置。</w:t>
      </w:r>
    </w:p>
    <w:p w14:paraId="26A9F672">
      <w:pPr>
        <w:rPr>
          <w:rFonts w:hint="eastAsia"/>
        </w:rPr>
      </w:pPr>
      <w:r>
        <w:rPr>
          <w:rFonts w:hint="eastAsia"/>
        </w:rPr>
        <w:t>(5)供应商应在项目实施过程中，按照数据差异化安全防护策略，根据系统需要采取数据加密、数据访问控制、日志记录、流转监测等防护能力及相关管理流程，切实保障数据安全。</w:t>
      </w:r>
    </w:p>
    <w:p w14:paraId="50D461C8">
      <w:pPr>
        <w:rPr>
          <w:rFonts w:hint="eastAsia"/>
        </w:rPr>
      </w:pPr>
      <w:r>
        <w:rPr>
          <w:rFonts w:hint="eastAsia"/>
        </w:rPr>
        <w:t>(6)供应商应按照采购人场地及人员安全管理制度，加强人员管理，配合采购人落实人员背调、入离场、终端管理、网络限制、数据权限最小化等管控措施。</w:t>
      </w:r>
    </w:p>
    <w:p w14:paraId="487ADD6E">
      <w:pPr>
        <w:rPr>
          <w:rFonts w:hint="eastAsia"/>
        </w:rPr>
      </w:pPr>
      <w:r>
        <w:rPr>
          <w:rFonts w:hint="eastAsia"/>
        </w:rPr>
        <w:t>(7)供应商应于系统上线部署前对系统运行环境、应用软件等开展安全自查，并于项目</w:t>
      </w:r>
      <w:r>
        <w:rPr>
          <w:rFonts w:hint="eastAsia"/>
          <w:lang w:eastAsia="zh-CN"/>
        </w:rPr>
        <w:t>功能验收</w:t>
      </w:r>
      <w:r>
        <w:rPr>
          <w:rFonts w:hint="eastAsia"/>
        </w:rPr>
        <w:t>及系统试运行阶段，配合采购人开展安测、密测、等保、密评、数据安全风险评估等系列安全测试、评估工作，针对发现的问题及时完成整改，确保系统上线安全。</w:t>
      </w:r>
    </w:p>
    <w:p w14:paraId="5EDA4CC0">
      <w:pPr>
        <w:rPr>
          <w:rFonts w:hint="eastAsia"/>
        </w:rPr>
      </w:pPr>
      <w:r>
        <w:rPr>
          <w:rFonts w:hint="eastAsia"/>
        </w:rPr>
        <w:t>(8)供应商应在系统免维期内承担系统安全运维管理责任，落实安全管理保障措施，包括但不限于制度修订、风险排查、应急响应、漏洞修复、重保等工作。</w:t>
      </w:r>
    </w:p>
    <w:p w14:paraId="02388557">
      <w:pPr>
        <w:pStyle w:val="3"/>
        <w:rPr>
          <w:rFonts w:hint="eastAsia"/>
        </w:rPr>
      </w:pPr>
      <w:bookmarkStart w:id="30" w:name="_Toc63785508"/>
      <w:r>
        <w:rPr>
          <w:rFonts w:hint="eastAsia"/>
        </w:rPr>
        <w:t>验收要求</w:t>
      </w:r>
      <w:bookmarkEnd w:id="30"/>
    </w:p>
    <w:p w14:paraId="157F4192">
      <w:pPr>
        <w:rPr>
          <w:rFonts w:hint="eastAsia"/>
          <w:szCs w:val="21"/>
        </w:rPr>
      </w:pPr>
      <w:r>
        <w:rPr>
          <w:rFonts w:hint="eastAsia"/>
          <w:szCs w:val="21"/>
        </w:rPr>
        <w:t>本项目按下述方式开展验收。</w:t>
      </w:r>
    </w:p>
    <w:p w14:paraId="5CC9B8BB">
      <w:pPr>
        <w:rPr>
          <w:rFonts w:hint="eastAsia"/>
          <w:szCs w:val="21"/>
        </w:rPr>
      </w:pPr>
      <w:r>
        <w:rPr>
          <w:rFonts w:hint="eastAsia"/>
          <w:szCs w:val="21"/>
        </w:rPr>
        <w:t>（</w:t>
      </w:r>
      <w:r>
        <w:rPr>
          <w:szCs w:val="21"/>
        </w:rPr>
        <w:t>1）验收分</w:t>
      </w:r>
      <w:r>
        <w:rPr>
          <w:rFonts w:hint="eastAsia"/>
          <w:szCs w:val="21"/>
          <w:lang w:val="en-US" w:eastAsia="zh-CN"/>
        </w:rPr>
        <w:t>功能验收</w:t>
      </w:r>
      <w:r>
        <w:rPr>
          <w:szCs w:val="21"/>
        </w:rPr>
        <w:t>和</w:t>
      </w:r>
      <w:r>
        <w:rPr>
          <w:rFonts w:hint="eastAsia"/>
          <w:szCs w:val="21"/>
          <w:lang w:val="en-US" w:eastAsia="zh-CN"/>
        </w:rPr>
        <w:t>竣工验收</w:t>
      </w:r>
      <w:r>
        <w:rPr>
          <w:szCs w:val="21"/>
        </w:rPr>
        <w:t>。</w:t>
      </w:r>
    </w:p>
    <w:p w14:paraId="50CC8BA8">
      <w:pPr>
        <w:rPr>
          <w:rFonts w:hint="eastAsia"/>
          <w:szCs w:val="21"/>
        </w:rPr>
      </w:pPr>
      <w:r>
        <w:rPr>
          <w:rFonts w:hint="eastAsia"/>
          <w:szCs w:val="21"/>
        </w:rPr>
        <w:t>（</w:t>
      </w:r>
      <w:r>
        <w:rPr>
          <w:szCs w:val="21"/>
        </w:rPr>
        <w:t>2）</w:t>
      </w:r>
      <w:r>
        <w:rPr>
          <w:rFonts w:hint="eastAsia"/>
          <w:szCs w:val="21"/>
          <w:lang w:val="en-US" w:eastAsia="zh-CN"/>
        </w:rPr>
        <w:t>功能验收</w:t>
      </w:r>
      <w:r>
        <w:rPr>
          <w:szCs w:val="21"/>
        </w:rPr>
        <w:t>前，供应商须完成软件开发、软硬件安装和信息系统的调试等，并对本项目进行功能和运行检测，确保所有信息系统功能模块能够正常运行且已达到本项目约定的各类标准要求。供应商应以书面形式向招标方递交</w:t>
      </w:r>
      <w:r>
        <w:rPr>
          <w:rFonts w:hint="eastAsia"/>
          <w:szCs w:val="21"/>
          <w:lang w:eastAsia="zh-CN"/>
        </w:rPr>
        <w:t>功能验收</w:t>
      </w:r>
      <w:r>
        <w:rPr>
          <w:szCs w:val="21"/>
        </w:rPr>
        <w:t>通知书。招标方应当在接到通知后的5个工作日内确定</w:t>
      </w:r>
      <w:r>
        <w:rPr>
          <w:rFonts w:hint="eastAsia"/>
          <w:szCs w:val="21"/>
          <w:lang w:val="en-US" w:eastAsia="zh-CN"/>
        </w:rPr>
        <w:t>功能验收</w:t>
      </w:r>
      <w:r>
        <w:rPr>
          <w:szCs w:val="21"/>
        </w:rPr>
        <w:t>的具体日期，由双方按照本项目的约定完成本项目的</w:t>
      </w:r>
      <w:r>
        <w:rPr>
          <w:rFonts w:hint="eastAsia"/>
          <w:szCs w:val="21"/>
          <w:lang w:val="en-US" w:eastAsia="zh-CN"/>
        </w:rPr>
        <w:t>功能验收</w:t>
      </w:r>
      <w:r>
        <w:rPr>
          <w:szCs w:val="21"/>
        </w:rPr>
        <w:t>。招标方有权委托第三方检测机构进行验收，对此供应商应当配合。</w:t>
      </w:r>
    </w:p>
    <w:p w14:paraId="047C3326">
      <w:pPr>
        <w:rPr>
          <w:rFonts w:hint="eastAsia"/>
          <w:szCs w:val="21"/>
        </w:rPr>
      </w:pPr>
      <w:r>
        <w:rPr>
          <w:rFonts w:hint="eastAsia"/>
          <w:szCs w:val="21"/>
        </w:rPr>
        <w:t>（</w:t>
      </w:r>
      <w:r>
        <w:rPr>
          <w:szCs w:val="21"/>
        </w:rPr>
        <w:t>3）</w:t>
      </w:r>
      <w:r>
        <w:rPr>
          <w:rFonts w:hint="eastAsia"/>
          <w:szCs w:val="21"/>
          <w:lang w:val="en-US" w:eastAsia="zh-CN"/>
        </w:rPr>
        <w:t>功能验收</w:t>
      </w:r>
      <w:r>
        <w:rPr>
          <w:szCs w:val="21"/>
        </w:rPr>
        <w:t>时，供应商须提供软件文档包括《用户需求说明书》、《系统概要设计说明书》、《系统详细设计说明书》、</w:t>
      </w:r>
      <w:r>
        <w:rPr>
          <w:rFonts w:hint="eastAsia"/>
          <w:szCs w:val="21"/>
        </w:rPr>
        <w:t>《三方功能需求确认单》、</w:t>
      </w:r>
      <w:r>
        <w:rPr>
          <w:szCs w:val="21"/>
        </w:rPr>
        <w:t>《测试报告》、《用户使用手册》、《系统部署文档》等）及可安装的程序运行文件。所交付的文档与文件应当是可供自然人阅读的书面和电子文档。软件文档及可安装的程序运行文件验收通过后，视为</w:t>
      </w:r>
      <w:r>
        <w:rPr>
          <w:rFonts w:hint="eastAsia"/>
          <w:szCs w:val="21"/>
          <w:lang w:val="en-US" w:eastAsia="zh-CN"/>
        </w:rPr>
        <w:t>功能验收</w:t>
      </w:r>
      <w:r>
        <w:rPr>
          <w:szCs w:val="21"/>
        </w:rPr>
        <w:t>通过。如有缺陷，招标方应向供应商出具书面报告，陈述需要改进的缺陷。供应商应立即严格依照招标方的书面报告中的要求改进缺陷，并再次进行</w:t>
      </w:r>
      <w:r>
        <w:rPr>
          <w:rFonts w:hint="eastAsia"/>
          <w:szCs w:val="21"/>
          <w:lang w:val="en-US" w:eastAsia="zh-CN"/>
        </w:rPr>
        <w:t>功能验收</w:t>
      </w:r>
      <w:r>
        <w:rPr>
          <w:szCs w:val="21"/>
        </w:rPr>
        <w:t>。</w:t>
      </w:r>
    </w:p>
    <w:p w14:paraId="22D1F0A8">
      <w:pPr>
        <w:rPr>
          <w:rFonts w:hint="eastAsia"/>
          <w:szCs w:val="21"/>
        </w:rPr>
      </w:pPr>
      <w:r>
        <w:rPr>
          <w:rFonts w:hint="eastAsia"/>
          <w:szCs w:val="21"/>
        </w:rPr>
        <w:t>（</w:t>
      </w:r>
      <w:r>
        <w:rPr>
          <w:szCs w:val="21"/>
        </w:rPr>
        <w:t>4）自</w:t>
      </w:r>
      <w:r>
        <w:rPr>
          <w:rFonts w:hint="eastAsia"/>
          <w:szCs w:val="21"/>
          <w:lang w:val="en-US" w:eastAsia="zh-CN"/>
        </w:rPr>
        <w:t>功能验收</w:t>
      </w:r>
      <w:r>
        <w:rPr>
          <w:szCs w:val="21"/>
        </w:rPr>
        <w:t>通过之日起，招标方享有供应商免费提供的</w:t>
      </w:r>
      <w:r>
        <w:rPr>
          <w:rFonts w:hint="eastAsia"/>
          <w:szCs w:val="21"/>
          <w:lang w:val="en-US" w:eastAsia="zh-CN"/>
        </w:rPr>
        <w:t>9</w:t>
      </w:r>
      <w:r>
        <w:rPr>
          <w:rFonts w:hint="eastAsia"/>
          <w:szCs w:val="21"/>
        </w:rPr>
        <w:t>0</w:t>
      </w:r>
      <w:r>
        <w:rPr>
          <w:szCs w:val="21"/>
        </w:rPr>
        <w:t>天的信息系统试运行现场驻场服务期。该期间内，供应商应当按照招标方的要求提供现场技术支持服务，解决信息系统试运行期间可能出现的各类问题，或进一步提高与完善信息系统运行水平。</w:t>
      </w:r>
    </w:p>
    <w:p w14:paraId="25AC0CB9">
      <w:pPr>
        <w:rPr>
          <w:rFonts w:hint="eastAsia"/>
          <w:szCs w:val="21"/>
        </w:rPr>
      </w:pPr>
      <w:r>
        <w:rPr>
          <w:rFonts w:hint="eastAsia"/>
          <w:szCs w:val="21"/>
        </w:rPr>
        <w:t>（</w:t>
      </w:r>
      <w:r>
        <w:rPr>
          <w:szCs w:val="21"/>
        </w:rPr>
        <w:t>5）</w:t>
      </w:r>
      <w:r>
        <w:rPr>
          <w:rFonts w:hint="eastAsia"/>
          <w:szCs w:val="21"/>
          <w:lang w:val="en-US" w:eastAsia="zh-CN"/>
        </w:rPr>
        <w:t>功能验收</w:t>
      </w:r>
      <w:r>
        <w:rPr>
          <w:szCs w:val="21"/>
        </w:rPr>
        <w:t>通过且信息系统试运行期已经达到本项目约定的时间，经供应商确认信息系统具备正常运行条件，且信息系统通过</w:t>
      </w:r>
      <w:r>
        <w:rPr>
          <w:rFonts w:hint="eastAsia"/>
          <w:szCs w:val="21"/>
          <w:lang w:val="en-US" w:eastAsia="zh-CN"/>
        </w:rPr>
        <w:t>第三方测试、测评</w:t>
      </w:r>
      <w:r>
        <w:rPr>
          <w:szCs w:val="21"/>
        </w:rPr>
        <w:t>，供应商应以书面形式通知招标方信息系统已准备就绪等待</w:t>
      </w:r>
      <w:r>
        <w:rPr>
          <w:rFonts w:hint="eastAsia"/>
          <w:szCs w:val="21"/>
          <w:lang w:val="en-US" w:eastAsia="zh-CN"/>
        </w:rPr>
        <w:t>竣工验收</w:t>
      </w:r>
      <w:r>
        <w:rPr>
          <w:szCs w:val="21"/>
        </w:rPr>
        <w:t>。招标方在收到</w:t>
      </w:r>
      <w:r>
        <w:rPr>
          <w:rFonts w:hint="eastAsia"/>
          <w:szCs w:val="21"/>
          <w:lang w:val="en-US" w:eastAsia="zh-CN"/>
        </w:rPr>
        <w:t>竣工验收</w:t>
      </w:r>
      <w:r>
        <w:rPr>
          <w:szCs w:val="21"/>
        </w:rPr>
        <w:t>通知后的</w:t>
      </w:r>
      <w:r>
        <w:rPr>
          <w:rFonts w:hint="eastAsia"/>
          <w:szCs w:val="21"/>
        </w:rPr>
        <w:t>30</w:t>
      </w:r>
      <w:r>
        <w:rPr>
          <w:szCs w:val="21"/>
        </w:rPr>
        <w:t>个工作日内发起组织专家验收会。</w:t>
      </w:r>
    </w:p>
    <w:p w14:paraId="5A2EE45C">
      <w:pPr>
        <w:rPr>
          <w:rFonts w:hint="eastAsia"/>
          <w:szCs w:val="21"/>
        </w:rPr>
      </w:pPr>
      <w:r>
        <w:rPr>
          <w:rFonts w:hint="eastAsia"/>
          <w:szCs w:val="21"/>
        </w:rPr>
        <w:t>（6</w:t>
      </w:r>
      <w:r>
        <w:rPr>
          <w:szCs w:val="21"/>
        </w:rPr>
        <w:t>）如果属于供应商原因致使本项目未能通过</w:t>
      </w:r>
      <w:r>
        <w:rPr>
          <w:rFonts w:hint="eastAsia"/>
          <w:szCs w:val="21"/>
          <w:lang w:val="en-US" w:eastAsia="zh-CN"/>
        </w:rPr>
        <w:t>竣工验收</w:t>
      </w:r>
      <w:r>
        <w:rPr>
          <w:szCs w:val="21"/>
        </w:rPr>
        <w:t>，供应商应当排除缺陷，直至本项目完全符合验收标准，由上述情形而产生的相关费用应由供应商自行承担。</w:t>
      </w:r>
    </w:p>
    <w:p w14:paraId="0054ECE9">
      <w:pPr>
        <w:rPr>
          <w:rFonts w:hint="eastAsia"/>
          <w:szCs w:val="21"/>
        </w:rPr>
      </w:pPr>
      <w:r>
        <w:rPr>
          <w:rFonts w:hint="eastAsia"/>
          <w:szCs w:val="21"/>
        </w:rPr>
        <w:t>（7</w:t>
      </w:r>
      <w:r>
        <w:rPr>
          <w:szCs w:val="21"/>
        </w:rPr>
        <w:t>）如果由于招标方原因导致本项目在</w:t>
      </w:r>
      <w:r>
        <w:rPr>
          <w:rFonts w:hint="eastAsia"/>
          <w:szCs w:val="21"/>
          <w:lang w:val="en-US" w:eastAsia="zh-CN"/>
        </w:rPr>
        <w:t>竣工验收</w:t>
      </w:r>
      <w:r>
        <w:rPr>
          <w:szCs w:val="21"/>
        </w:rPr>
        <w:t>通过前出现故障或问题，供应商应及时配合排除该方面的故障或问题。</w:t>
      </w:r>
    </w:p>
    <w:p w14:paraId="569C263B">
      <w:pPr>
        <w:rPr>
          <w:rFonts w:hint="eastAsia"/>
          <w:szCs w:val="21"/>
        </w:rPr>
      </w:pPr>
      <w:r>
        <w:rPr>
          <w:rFonts w:hint="eastAsia"/>
          <w:szCs w:val="21"/>
        </w:rPr>
        <w:t>（8</w:t>
      </w:r>
      <w:r>
        <w:rPr>
          <w:szCs w:val="21"/>
        </w:rPr>
        <w:t>）如本项目连续3次验收未通过（含</w:t>
      </w:r>
      <w:r>
        <w:rPr>
          <w:rFonts w:hint="eastAsia"/>
          <w:szCs w:val="21"/>
          <w:lang w:val="en-US" w:eastAsia="zh-CN"/>
        </w:rPr>
        <w:t>功能验收</w:t>
      </w:r>
      <w:r>
        <w:rPr>
          <w:szCs w:val="21"/>
        </w:rPr>
        <w:t>未通过或</w:t>
      </w:r>
      <w:r>
        <w:rPr>
          <w:rFonts w:hint="eastAsia"/>
          <w:szCs w:val="21"/>
          <w:lang w:val="en-US" w:eastAsia="zh-CN"/>
        </w:rPr>
        <w:t>竣工验收</w:t>
      </w:r>
      <w:r>
        <w:rPr>
          <w:szCs w:val="21"/>
        </w:rPr>
        <w:t>未通过），招标方有权解除项目，并有权依照本项目约定的违约条款追究供应商的违约责任。</w:t>
      </w:r>
    </w:p>
    <w:p w14:paraId="71466ADB">
      <w:pPr>
        <w:pStyle w:val="3"/>
        <w:rPr>
          <w:rFonts w:hint="eastAsia"/>
        </w:rPr>
      </w:pPr>
      <w:bookmarkStart w:id="31" w:name="_Toc63785507"/>
      <w:bookmarkStart w:id="32" w:name="_Toc63785509"/>
      <w:r>
        <w:rPr>
          <w:rFonts w:hint="eastAsia"/>
        </w:rPr>
        <w:t>培训要求</w:t>
      </w:r>
      <w:bookmarkEnd w:id="31"/>
    </w:p>
    <w:p w14:paraId="5D81F9B9">
      <w:pPr>
        <w:rPr>
          <w:rFonts w:hint="eastAsia"/>
        </w:rPr>
      </w:pPr>
      <w:r>
        <w:rPr>
          <w:rFonts w:hint="eastAsia"/>
        </w:rPr>
        <w:t>对系统使用单位提供业务操作培训，应提供详细培训方案。</w:t>
      </w:r>
    </w:p>
    <w:p w14:paraId="0DA9C59A">
      <w:pPr>
        <w:rPr>
          <w:rFonts w:hint="eastAsia"/>
        </w:rPr>
      </w:pPr>
      <w:r>
        <w:rPr>
          <w:rFonts w:hint="eastAsia"/>
        </w:rPr>
        <w:t>(1)在12个月的质量保证期内，提供2次与项目相关的必要培训。</w:t>
      </w:r>
    </w:p>
    <w:p w14:paraId="6655ED39">
      <w:pPr>
        <w:rPr>
          <w:rFonts w:hint="eastAsia"/>
        </w:rPr>
      </w:pPr>
      <w:r>
        <w:rPr>
          <w:rFonts w:hint="eastAsia"/>
        </w:rPr>
        <w:t>(2)供应商需要开展分层次的人员培训工作，每次培训后应对参加培训人员进行测试，评估培训成果。培训应具有培训教材、培训环境和高水平的培训讲师。</w:t>
      </w:r>
    </w:p>
    <w:p w14:paraId="2A2BF401">
      <w:pPr>
        <w:rPr>
          <w:rFonts w:hint="eastAsia"/>
        </w:rPr>
      </w:pPr>
      <w:r>
        <w:rPr>
          <w:rFonts w:hint="eastAsia"/>
        </w:rPr>
        <w:t>(3)供应商应提供一般用户的基础操作培训和部门信息管理员的日常应用维护的培训，确保用户对象能够掌握对应的操作技能。</w:t>
      </w:r>
    </w:p>
    <w:p w14:paraId="73CCD8AC">
      <w:pPr>
        <w:pStyle w:val="3"/>
        <w:rPr>
          <w:rFonts w:hint="eastAsia"/>
        </w:rPr>
      </w:pPr>
      <w:r>
        <w:rPr>
          <w:rFonts w:hint="eastAsia"/>
        </w:rPr>
        <w:t>进度要求</w:t>
      </w:r>
      <w:bookmarkEnd w:id="32"/>
    </w:p>
    <w:p w14:paraId="40F0910A">
      <w:pPr>
        <w:rPr>
          <w:rFonts w:hint="eastAsia"/>
        </w:rPr>
      </w:pPr>
      <w:r>
        <w:rPr>
          <w:rFonts w:hint="eastAsia"/>
        </w:rPr>
        <w:t>投标人应根据建设内容，分阶段制定合理的时间进度，并且应根据招标方要求进行调整和细化。</w:t>
      </w:r>
    </w:p>
    <w:p w14:paraId="6830006C">
      <w:pPr>
        <w:rPr>
          <w:rFonts w:hint="eastAsia"/>
        </w:rPr>
      </w:pPr>
      <w:r>
        <w:rPr>
          <w:rFonts w:hint="eastAsia"/>
        </w:rPr>
        <w:t>总建设周期为</w:t>
      </w:r>
      <w:r>
        <w:rPr>
          <w:rFonts w:hint="eastAsia"/>
          <w:lang w:val="en-US" w:eastAsia="zh-CN"/>
        </w:rPr>
        <w:t>12</w:t>
      </w:r>
      <w:r>
        <w:rPr>
          <w:rFonts w:hint="eastAsia"/>
        </w:rPr>
        <w:t>个月，分为4个阶段。</w:t>
      </w:r>
    </w:p>
    <w:p w14:paraId="78FDF252">
      <w:pPr>
        <w:rPr>
          <w:rFonts w:hint="eastAsia"/>
        </w:rPr>
      </w:pPr>
      <w:r>
        <w:rPr>
          <w:rFonts w:hint="eastAsia"/>
        </w:rPr>
        <w:t>第一阶段为2个月，完成项目规划设计。</w:t>
      </w:r>
    </w:p>
    <w:p w14:paraId="4E6F0246">
      <w:pPr>
        <w:rPr>
          <w:rFonts w:hint="eastAsia"/>
        </w:rPr>
      </w:pPr>
      <w:r>
        <w:rPr>
          <w:rFonts w:hint="eastAsia"/>
        </w:rPr>
        <w:t>第二阶段为</w:t>
      </w:r>
      <w:r>
        <w:rPr>
          <w:rFonts w:hint="eastAsia"/>
          <w:lang w:val="en-US" w:eastAsia="zh-CN"/>
        </w:rPr>
        <w:t>6</w:t>
      </w:r>
      <w:r>
        <w:rPr>
          <w:rFonts w:hint="eastAsia"/>
        </w:rPr>
        <w:t>个月，完成项目开发测试。</w:t>
      </w:r>
    </w:p>
    <w:p w14:paraId="14995677">
      <w:pPr>
        <w:rPr>
          <w:rFonts w:hint="eastAsia"/>
        </w:rPr>
      </w:pPr>
      <w:r>
        <w:rPr>
          <w:rFonts w:hint="eastAsia"/>
        </w:rPr>
        <w:t>第三阶段为</w:t>
      </w:r>
      <w:r>
        <w:rPr>
          <w:rFonts w:hint="eastAsia"/>
          <w:lang w:val="en-US" w:eastAsia="zh-CN"/>
        </w:rPr>
        <w:t>3</w:t>
      </w:r>
      <w:r>
        <w:rPr>
          <w:rFonts w:hint="eastAsia"/>
        </w:rPr>
        <w:t>个月，完成项目试运行和迭代开发。</w:t>
      </w:r>
    </w:p>
    <w:p w14:paraId="2D883033">
      <w:pPr>
        <w:rPr>
          <w:rFonts w:hint="eastAsia"/>
        </w:rPr>
      </w:pPr>
      <w:r>
        <w:rPr>
          <w:rFonts w:hint="eastAsia"/>
        </w:rPr>
        <w:t>第四阶段为1个月，完成项目验收。</w:t>
      </w:r>
    </w:p>
    <w:p w14:paraId="1A316B40">
      <w:pPr>
        <w:pStyle w:val="3"/>
        <w:rPr>
          <w:rFonts w:hint="eastAsia"/>
        </w:rPr>
      </w:pPr>
      <w:bookmarkStart w:id="33" w:name="_Toc63785510"/>
      <w:r>
        <w:rPr>
          <w:rFonts w:hint="eastAsia"/>
        </w:rPr>
        <w:t>项目团队及驻场人员要求</w:t>
      </w:r>
      <w:bookmarkEnd w:id="33"/>
    </w:p>
    <w:p w14:paraId="078C9030">
      <w:pPr>
        <w:rPr>
          <w:rFonts w:hint="eastAsia"/>
        </w:rPr>
      </w:pPr>
      <w:r>
        <w:t>1）投标人须具有稳定的在职技术保障力量，能够提供及时的技术支援或服务，应针对本项目提供不少于</w:t>
      </w:r>
      <w:r>
        <w:rPr>
          <w:rFonts w:hint="eastAsia"/>
          <w:lang w:val="en-US" w:eastAsia="zh-CN"/>
        </w:rPr>
        <w:t>30</w:t>
      </w:r>
      <w:r>
        <w:t>人的项目服务团队（包括项目经理、产品经理、技术负责人、研发等），投标单位的相关服务人员</w:t>
      </w:r>
      <w:r>
        <w:rPr>
          <w:rFonts w:hint="eastAsia"/>
          <w:lang w:eastAsia="zh-CN"/>
        </w:rPr>
        <w:t>须具备</w:t>
      </w:r>
      <w:r>
        <w:t>相应的服务能力，需提供相关证明。</w:t>
      </w:r>
    </w:p>
    <w:tbl>
      <w:tblPr>
        <w:tblStyle w:val="35"/>
        <w:tblW w:w="8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0"/>
        <w:gridCol w:w="1880"/>
        <w:gridCol w:w="1260"/>
        <w:gridCol w:w="2709"/>
        <w:gridCol w:w="1258"/>
      </w:tblGrid>
      <w:tr w14:paraId="28DA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60" w:type="dxa"/>
            <w:noWrap/>
            <w:vAlign w:val="center"/>
          </w:tcPr>
          <w:p w14:paraId="60F0DFD4">
            <w:pPr>
              <w:widowControl/>
              <w:snapToGrid w:val="0"/>
              <w:spacing w:line="240" w:lineRule="auto"/>
              <w:ind w:firstLine="0" w:firstLineChars="0"/>
              <w:jc w:val="center"/>
              <w:rPr>
                <w:rFonts w:hint="eastAsia"/>
                <w:b/>
              </w:rPr>
            </w:pPr>
            <w:r>
              <w:rPr>
                <w:rFonts w:hint="eastAsia"/>
                <w:b/>
              </w:rPr>
              <w:t>角色</w:t>
            </w:r>
          </w:p>
        </w:tc>
        <w:tc>
          <w:tcPr>
            <w:tcW w:w="1880" w:type="dxa"/>
            <w:noWrap/>
            <w:vAlign w:val="center"/>
          </w:tcPr>
          <w:p w14:paraId="4883A013">
            <w:pPr>
              <w:widowControl/>
              <w:snapToGrid w:val="0"/>
              <w:spacing w:line="240" w:lineRule="auto"/>
              <w:ind w:firstLine="0" w:firstLineChars="0"/>
              <w:jc w:val="center"/>
              <w:rPr>
                <w:rFonts w:hint="eastAsia"/>
                <w:b/>
              </w:rPr>
            </w:pPr>
            <w:r>
              <w:rPr>
                <w:rFonts w:hint="eastAsia"/>
                <w:b/>
              </w:rPr>
              <w:t>主要职责</w:t>
            </w:r>
          </w:p>
        </w:tc>
        <w:tc>
          <w:tcPr>
            <w:tcW w:w="1260" w:type="dxa"/>
            <w:noWrap/>
            <w:vAlign w:val="center"/>
          </w:tcPr>
          <w:p w14:paraId="0255F6EB">
            <w:pPr>
              <w:widowControl/>
              <w:snapToGrid w:val="0"/>
              <w:spacing w:line="240" w:lineRule="auto"/>
              <w:ind w:firstLine="0" w:firstLineChars="0"/>
              <w:jc w:val="center"/>
              <w:rPr>
                <w:rFonts w:hint="eastAsia"/>
                <w:b/>
              </w:rPr>
            </w:pPr>
            <w:r>
              <w:rPr>
                <w:rFonts w:hint="eastAsia"/>
                <w:b/>
              </w:rPr>
              <w:t>人员数量</w:t>
            </w:r>
          </w:p>
        </w:tc>
        <w:tc>
          <w:tcPr>
            <w:tcW w:w="2709" w:type="dxa"/>
            <w:vAlign w:val="center"/>
          </w:tcPr>
          <w:p w14:paraId="168CFD01">
            <w:pPr>
              <w:widowControl/>
              <w:snapToGrid w:val="0"/>
              <w:spacing w:line="240" w:lineRule="auto"/>
              <w:ind w:firstLine="0" w:firstLineChars="0"/>
              <w:jc w:val="center"/>
              <w:rPr>
                <w:rFonts w:hint="eastAsia"/>
                <w:b/>
              </w:rPr>
            </w:pPr>
            <w:r>
              <w:rPr>
                <w:rFonts w:hint="eastAsia"/>
                <w:b/>
              </w:rPr>
              <w:t>人员要求</w:t>
            </w:r>
          </w:p>
        </w:tc>
        <w:tc>
          <w:tcPr>
            <w:tcW w:w="1258" w:type="dxa"/>
            <w:noWrap/>
            <w:vAlign w:val="center"/>
          </w:tcPr>
          <w:p w14:paraId="328C2528">
            <w:pPr>
              <w:widowControl/>
              <w:snapToGrid w:val="0"/>
              <w:spacing w:line="240" w:lineRule="auto"/>
              <w:ind w:firstLine="0" w:firstLineChars="0"/>
              <w:jc w:val="center"/>
              <w:rPr>
                <w:rFonts w:hint="eastAsia"/>
                <w:b/>
              </w:rPr>
            </w:pPr>
            <w:r>
              <w:rPr>
                <w:rFonts w:hint="eastAsia"/>
                <w:b/>
              </w:rPr>
              <w:t>驻场要求</w:t>
            </w:r>
          </w:p>
        </w:tc>
      </w:tr>
      <w:tr w14:paraId="760B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noWrap/>
            <w:vAlign w:val="center"/>
          </w:tcPr>
          <w:p w14:paraId="0EC5BB3F">
            <w:pPr>
              <w:widowControl/>
              <w:snapToGrid w:val="0"/>
              <w:spacing w:line="240" w:lineRule="auto"/>
              <w:ind w:firstLine="0" w:firstLineChars="0"/>
              <w:jc w:val="center"/>
              <w:rPr>
                <w:rFonts w:hint="eastAsia"/>
              </w:rPr>
            </w:pPr>
            <w:r>
              <w:rPr>
                <w:rFonts w:hint="eastAsia"/>
              </w:rPr>
              <w:t>项目经理</w:t>
            </w:r>
          </w:p>
        </w:tc>
        <w:tc>
          <w:tcPr>
            <w:tcW w:w="1880" w:type="dxa"/>
            <w:vAlign w:val="center"/>
          </w:tcPr>
          <w:p w14:paraId="000AF690">
            <w:pPr>
              <w:widowControl/>
              <w:snapToGrid w:val="0"/>
              <w:spacing w:line="240" w:lineRule="auto"/>
              <w:ind w:firstLine="0" w:firstLineChars="0"/>
              <w:jc w:val="left"/>
              <w:rPr>
                <w:rFonts w:hint="eastAsia"/>
              </w:rPr>
            </w:pPr>
            <w:r>
              <w:rPr>
                <w:rFonts w:hint="eastAsia"/>
              </w:rPr>
              <w:t>负责项目质量和进度控制</w:t>
            </w:r>
          </w:p>
        </w:tc>
        <w:tc>
          <w:tcPr>
            <w:tcW w:w="1260" w:type="dxa"/>
            <w:noWrap/>
            <w:vAlign w:val="center"/>
          </w:tcPr>
          <w:p w14:paraId="0F0C98ED">
            <w:pPr>
              <w:widowControl/>
              <w:snapToGrid w:val="0"/>
              <w:spacing w:line="240" w:lineRule="auto"/>
              <w:ind w:firstLine="0" w:firstLineChars="0"/>
              <w:jc w:val="center"/>
              <w:rPr>
                <w:rFonts w:hint="eastAsia"/>
              </w:rPr>
            </w:pPr>
            <w:r>
              <w:rPr>
                <w:rFonts w:hint="eastAsia"/>
              </w:rPr>
              <w:t>1人</w:t>
            </w:r>
          </w:p>
        </w:tc>
        <w:tc>
          <w:tcPr>
            <w:tcW w:w="2709" w:type="dxa"/>
            <w:vAlign w:val="center"/>
          </w:tcPr>
          <w:p w14:paraId="329961C6">
            <w:pPr>
              <w:widowControl/>
              <w:snapToGrid w:val="0"/>
              <w:spacing w:line="240" w:lineRule="auto"/>
              <w:ind w:firstLine="0" w:firstLineChars="0"/>
              <w:jc w:val="left"/>
              <w:rPr>
                <w:rFonts w:hint="eastAsia" w:eastAsia="宋体"/>
                <w:lang w:eastAsia="zh-CN"/>
              </w:rPr>
            </w:pPr>
            <w:r>
              <w:rPr>
                <w:rFonts w:hint="eastAsia" w:cs="宋体"/>
                <w:spacing w:val="-8"/>
              </w:rPr>
              <w:t>具有计算机相关专业</w:t>
            </w:r>
            <w:r>
              <w:rPr>
                <w:rFonts w:hint="eastAsia" w:cs="宋体"/>
                <w:spacing w:val="-8"/>
                <w:lang w:eastAsia="zh-CN"/>
              </w:rPr>
              <w:t>，</w:t>
            </w:r>
            <w:r>
              <w:rPr>
                <w:rFonts w:hint="eastAsia" w:cs="宋体"/>
                <w:spacing w:val="-8"/>
              </w:rPr>
              <w:t>硕士及以上学历，且具备信息系统项目管理师证书</w:t>
            </w:r>
          </w:p>
        </w:tc>
        <w:tc>
          <w:tcPr>
            <w:tcW w:w="1258" w:type="dxa"/>
            <w:noWrap/>
            <w:vAlign w:val="center"/>
          </w:tcPr>
          <w:p w14:paraId="19B6913A">
            <w:pPr>
              <w:widowControl/>
              <w:snapToGrid w:val="0"/>
              <w:spacing w:line="240" w:lineRule="auto"/>
              <w:ind w:firstLine="0" w:firstLineChars="0"/>
              <w:jc w:val="left"/>
              <w:rPr>
                <w:rFonts w:hint="eastAsia"/>
              </w:rPr>
            </w:pPr>
            <w:r>
              <w:rPr>
                <w:rFonts w:hint="eastAsia"/>
              </w:rPr>
              <w:t>驻场</w:t>
            </w:r>
          </w:p>
        </w:tc>
      </w:tr>
      <w:tr w14:paraId="3CA4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noWrap/>
            <w:vAlign w:val="center"/>
          </w:tcPr>
          <w:p w14:paraId="12C6CB17">
            <w:pPr>
              <w:widowControl/>
              <w:snapToGrid w:val="0"/>
              <w:spacing w:line="240" w:lineRule="auto"/>
              <w:ind w:firstLine="0" w:firstLineChars="0"/>
              <w:jc w:val="center"/>
              <w:rPr>
                <w:rFonts w:hint="eastAsia"/>
              </w:rPr>
            </w:pPr>
            <w:r>
              <w:rPr>
                <w:rFonts w:hint="eastAsia"/>
              </w:rPr>
              <w:t>产品经理</w:t>
            </w:r>
          </w:p>
        </w:tc>
        <w:tc>
          <w:tcPr>
            <w:tcW w:w="1880" w:type="dxa"/>
            <w:vAlign w:val="center"/>
          </w:tcPr>
          <w:p w14:paraId="64C75017">
            <w:pPr>
              <w:widowControl/>
              <w:snapToGrid w:val="0"/>
              <w:spacing w:line="240" w:lineRule="auto"/>
              <w:ind w:firstLine="0" w:firstLineChars="0"/>
              <w:jc w:val="left"/>
              <w:rPr>
                <w:rFonts w:hint="eastAsia"/>
              </w:rPr>
            </w:pPr>
            <w:r>
              <w:rPr>
                <w:rFonts w:hint="eastAsia"/>
              </w:rPr>
              <w:t>负责项目需求评估与产品设计</w:t>
            </w:r>
          </w:p>
        </w:tc>
        <w:tc>
          <w:tcPr>
            <w:tcW w:w="1260" w:type="dxa"/>
            <w:noWrap/>
            <w:vAlign w:val="center"/>
          </w:tcPr>
          <w:p w14:paraId="5237B5DA">
            <w:pPr>
              <w:widowControl/>
              <w:snapToGrid w:val="0"/>
              <w:spacing w:line="240" w:lineRule="auto"/>
              <w:ind w:firstLine="0" w:firstLineChars="0"/>
              <w:jc w:val="center"/>
              <w:rPr>
                <w:rFonts w:hint="eastAsia"/>
              </w:rPr>
            </w:pPr>
            <w:r>
              <w:rPr>
                <w:rFonts w:hint="eastAsia"/>
              </w:rPr>
              <w:t>2人</w:t>
            </w:r>
          </w:p>
        </w:tc>
        <w:tc>
          <w:tcPr>
            <w:tcW w:w="2709" w:type="dxa"/>
            <w:vAlign w:val="center"/>
          </w:tcPr>
          <w:p w14:paraId="1A1901FE">
            <w:pPr>
              <w:widowControl/>
              <w:snapToGrid w:val="0"/>
              <w:spacing w:line="240" w:lineRule="auto"/>
              <w:ind w:firstLine="0" w:firstLineChars="0"/>
              <w:jc w:val="left"/>
              <w:rPr>
                <w:rFonts w:hint="eastAsia"/>
              </w:rPr>
            </w:pPr>
            <w:r>
              <w:rPr>
                <w:rFonts w:hint="eastAsia"/>
              </w:rPr>
              <w:t>全日制本科及以上学历</w:t>
            </w:r>
          </w:p>
        </w:tc>
        <w:tc>
          <w:tcPr>
            <w:tcW w:w="1258" w:type="dxa"/>
            <w:noWrap/>
            <w:vAlign w:val="center"/>
          </w:tcPr>
          <w:p w14:paraId="36095436">
            <w:pPr>
              <w:widowControl/>
              <w:snapToGrid w:val="0"/>
              <w:spacing w:line="240" w:lineRule="auto"/>
              <w:ind w:firstLine="0" w:firstLineChars="0"/>
              <w:jc w:val="left"/>
              <w:rPr>
                <w:rFonts w:hint="eastAsia"/>
              </w:rPr>
            </w:pPr>
            <w:r>
              <w:rPr>
                <w:rFonts w:hint="eastAsia"/>
              </w:rPr>
              <w:t>驻场</w:t>
            </w:r>
          </w:p>
        </w:tc>
      </w:tr>
      <w:tr w14:paraId="557D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noWrap/>
            <w:vAlign w:val="center"/>
          </w:tcPr>
          <w:p w14:paraId="271ACAB6">
            <w:pPr>
              <w:widowControl/>
              <w:snapToGrid w:val="0"/>
              <w:spacing w:line="240" w:lineRule="auto"/>
              <w:ind w:firstLine="0" w:firstLineChars="0"/>
              <w:jc w:val="center"/>
              <w:rPr>
                <w:rFonts w:hint="eastAsia"/>
              </w:rPr>
            </w:pPr>
            <w:r>
              <w:rPr>
                <w:rFonts w:hint="eastAsia"/>
              </w:rPr>
              <w:t>技术负责人</w:t>
            </w:r>
          </w:p>
        </w:tc>
        <w:tc>
          <w:tcPr>
            <w:tcW w:w="1880" w:type="dxa"/>
            <w:noWrap/>
            <w:vAlign w:val="center"/>
          </w:tcPr>
          <w:p w14:paraId="755B2D2B">
            <w:pPr>
              <w:widowControl/>
              <w:snapToGrid w:val="0"/>
              <w:spacing w:line="240" w:lineRule="auto"/>
              <w:ind w:firstLine="0" w:firstLineChars="0"/>
              <w:jc w:val="left"/>
              <w:rPr>
                <w:rFonts w:hint="eastAsia"/>
              </w:rPr>
            </w:pPr>
            <w:r>
              <w:rPr>
                <w:rFonts w:hint="eastAsia"/>
              </w:rPr>
              <w:t>负责项目具体开发、设计与实施</w:t>
            </w:r>
          </w:p>
        </w:tc>
        <w:tc>
          <w:tcPr>
            <w:tcW w:w="1260" w:type="dxa"/>
            <w:noWrap/>
            <w:vAlign w:val="center"/>
          </w:tcPr>
          <w:p w14:paraId="284B74AC">
            <w:pPr>
              <w:widowControl/>
              <w:snapToGrid w:val="0"/>
              <w:spacing w:line="240" w:lineRule="auto"/>
              <w:ind w:firstLine="0" w:firstLineChars="0"/>
              <w:jc w:val="center"/>
              <w:rPr>
                <w:rFonts w:hint="eastAsia"/>
              </w:rPr>
            </w:pPr>
            <w:r>
              <w:rPr>
                <w:rFonts w:hint="eastAsia"/>
              </w:rPr>
              <w:t>2人</w:t>
            </w:r>
          </w:p>
        </w:tc>
        <w:tc>
          <w:tcPr>
            <w:tcW w:w="2709" w:type="dxa"/>
            <w:vAlign w:val="center"/>
          </w:tcPr>
          <w:p w14:paraId="3BB4652B">
            <w:pPr>
              <w:widowControl/>
              <w:snapToGrid w:val="0"/>
              <w:spacing w:line="240" w:lineRule="auto"/>
              <w:ind w:firstLine="0" w:firstLineChars="0"/>
              <w:jc w:val="left"/>
              <w:rPr>
                <w:rFonts w:hint="eastAsia"/>
              </w:rPr>
            </w:pPr>
            <w:r>
              <w:rPr>
                <w:rFonts w:hint="eastAsia"/>
              </w:rPr>
              <w:t>全日制本科及以上学历，</w:t>
            </w:r>
            <w:r>
              <w:rPr>
                <w:rFonts w:hint="eastAsia" w:cs="宋体"/>
                <w:spacing w:val="-8"/>
              </w:rPr>
              <w:t>具备</w:t>
            </w:r>
            <w:r>
              <w:rPr>
                <w:rFonts w:hint="eastAsia" w:cs="宋体"/>
                <w:spacing w:val="-8"/>
                <w:lang w:val="en-US" w:eastAsia="zh-CN"/>
              </w:rPr>
              <w:t>中级或以上相关职称</w:t>
            </w:r>
            <w:r>
              <w:rPr>
                <w:rFonts w:hint="eastAsia" w:cs="宋体"/>
                <w:spacing w:val="-8"/>
              </w:rPr>
              <w:t>证书</w:t>
            </w:r>
          </w:p>
        </w:tc>
        <w:tc>
          <w:tcPr>
            <w:tcW w:w="1258" w:type="dxa"/>
            <w:noWrap/>
            <w:vAlign w:val="center"/>
          </w:tcPr>
          <w:p w14:paraId="6AAC645B">
            <w:pPr>
              <w:widowControl/>
              <w:snapToGrid w:val="0"/>
              <w:spacing w:line="240" w:lineRule="auto"/>
              <w:ind w:firstLine="0" w:firstLineChars="0"/>
              <w:jc w:val="left"/>
              <w:rPr>
                <w:rFonts w:hint="eastAsia"/>
              </w:rPr>
            </w:pPr>
            <w:r>
              <w:rPr>
                <w:rFonts w:hint="eastAsia"/>
                <w:lang w:val="en-US" w:eastAsia="zh-CN"/>
              </w:rPr>
              <w:t>按需</w:t>
            </w:r>
            <w:r>
              <w:rPr>
                <w:rFonts w:hint="eastAsia"/>
              </w:rPr>
              <w:t>驻场</w:t>
            </w:r>
          </w:p>
        </w:tc>
      </w:tr>
      <w:tr w14:paraId="4132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noWrap/>
            <w:vAlign w:val="center"/>
          </w:tcPr>
          <w:p w14:paraId="16987488">
            <w:pPr>
              <w:widowControl/>
              <w:snapToGrid w:val="0"/>
              <w:spacing w:line="240" w:lineRule="auto"/>
              <w:ind w:firstLine="0" w:firstLineChars="0"/>
              <w:jc w:val="center"/>
              <w:rPr>
                <w:rFonts w:hint="eastAsia"/>
              </w:rPr>
            </w:pPr>
            <w:r>
              <w:rPr>
                <w:rFonts w:hint="eastAsia"/>
              </w:rPr>
              <w:t>研发人员</w:t>
            </w:r>
          </w:p>
        </w:tc>
        <w:tc>
          <w:tcPr>
            <w:tcW w:w="1880" w:type="dxa"/>
            <w:noWrap/>
            <w:vAlign w:val="center"/>
          </w:tcPr>
          <w:p w14:paraId="21F08CB5">
            <w:pPr>
              <w:widowControl/>
              <w:snapToGrid w:val="0"/>
              <w:spacing w:line="240" w:lineRule="auto"/>
              <w:ind w:firstLine="0" w:firstLineChars="0"/>
              <w:jc w:val="left"/>
              <w:rPr>
                <w:rFonts w:hint="eastAsia"/>
              </w:rPr>
            </w:pPr>
            <w:r>
              <w:rPr>
                <w:rFonts w:hint="eastAsia"/>
              </w:rPr>
              <w:t>负责项目具体开发与实施</w:t>
            </w:r>
          </w:p>
        </w:tc>
        <w:tc>
          <w:tcPr>
            <w:tcW w:w="1260" w:type="dxa"/>
            <w:noWrap/>
            <w:vAlign w:val="center"/>
          </w:tcPr>
          <w:p w14:paraId="42DA89CE">
            <w:pPr>
              <w:widowControl/>
              <w:snapToGrid w:val="0"/>
              <w:spacing w:line="240" w:lineRule="auto"/>
              <w:ind w:firstLine="0" w:firstLineChars="0"/>
              <w:jc w:val="center"/>
              <w:rPr>
                <w:rFonts w:hint="eastAsia"/>
              </w:rPr>
            </w:pPr>
            <w:r>
              <w:rPr>
                <w:rFonts w:hint="eastAsia"/>
              </w:rPr>
              <w:t>2</w:t>
            </w:r>
            <w:r>
              <w:rPr>
                <w:rFonts w:hint="eastAsia"/>
                <w:lang w:val="en-US" w:eastAsia="zh-CN"/>
              </w:rPr>
              <w:t>0</w:t>
            </w:r>
            <w:r>
              <w:rPr>
                <w:rFonts w:hint="eastAsia"/>
              </w:rPr>
              <w:t>人</w:t>
            </w:r>
          </w:p>
        </w:tc>
        <w:tc>
          <w:tcPr>
            <w:tcW w:w="2709" w:type="dxa"/>
            <w:vAlign w:val="center"/>
          </w:tcPr>
          <w:p w14:paraId="429AD2C5">
            <w:pPr>
              <w:widowControl/>
              <w:snapToGrid w:val="0"/>
              <w:spacing w:line="240" w:lineRule="auto"/>
              <w:ind w:firstLine="0" w:firstLineChars="0"/>
              <w:jc w:val="left"/>
              <w:rPr>
                <w:rFonts w:hint="eastAsia"/>
              </w:rPr>
            </w:pPr>
            <w:r>
              <w:rPr>
                <w:rFonts w:hint="eastAsia"/>
              </w:rPr>
              <w:t>全日制本科及以上学历</w:t>
            </w:r>
          </w:p>
        </w:tc>
        <w:tc>
          <w:tcPr>
            <w:tcW w:w="1258" w:type="dxa"/>
            <w:noWrap/>
            <w:vAlign w:val="center"/>
          </w:tcPr>
          <w:p w14:paraId="2E71B887">
            <w:pPr>
              <w:widowControl/>
              <w:snapToGrid w:val="0"/>
              <w:spacing w:line="240" w:lineRule="auto"/>
              <w:ind w:firstLine="0" w:firstLineChars="0"/>
              <w:jc w:val="left"/>
              <w:rPr>
                <w:rFonts w:hint="eastAsia"/>
              </w:rPr>
            </w:pPr>
            <w:r>
              <w:rPr>
                <w:rFonts w:hint="eastAsia"/>
                <w:lang w:val="en-US" w:eastAsia="zh-CN"/>
              </w:rPr>
              <w:t>按需</w:t>
            </w:r>
            <w:r>
              <w:rPr>
                <w:rFonts w:hint="eastAsia"/>
              </w:rPr>
              <w:t>驻场</w:t>
            </w:r>
          </w:p>
        </w:tc>
      </w:tr>
      <w:tr w14:paraId="39FD3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noWrap/>
            <w:vAlign w:val="center"/>
          </w:tcPr>
          <w:p w14:paraId="391C6CA6">
            <w:pPr>
              <w:widowControl/>
              <w:snapToGrid w:val="0"/>
              <w:spacing w:line="240" w:lineRule="auto"/>
              <w:ind w:firstLine="0" w:firstLineChars="0"/>
              <w:jc w:val="center"/>
              <w:rPr>
                <w:rFonts w:hint="eastAsia"/>
              </w:rPr>
            </w:pPr>
            <w:r>
              <w:rPr>
                <w:rFonts w:hint="eastAsia"/>
              </w:rPr>
              <w:t>系统集成人员</w:t>
            </w:r>
          </w:p>
        </w:tc>
        <w:tc>
          <w:tcPr>
            <w:tcW w:w="1880" w:type="dxa"/>
            <w:noWrap/>
            <w:vAlign w:val="center"/>
          </w:tcPr>
          <w:p w14:paraId="0A296C7A">
            <w:pPr>
              <w:widowControl/>
              <w:snapToGrid w:val="0"/>
              <w:spacing w:line="240" w:lineRule="auto"/>
              <w:ind w:firstLine="0" w:firstLineChars="0"/>
              <w:jc w:val="left"/>
              <w:rPr>
                <w:rFonts w:hint="eastAsia"/>
              </w:rPr>
            </w:pPr>
            <w:r>
              <w:rPr>
                <w:rFonts w:hint="eastAsia"/>
              </w:rPr>
              <w:t>负责项目软硬件集成实施</w:t>
            </w:r>
          </w:p>
        </w:tc>
        <w:tc>
          <w:tcPr>
            <w:tcW w:w="1260" w:type="dxa"/>
            <w:noWrap/>
            <w:vAlign w:val="center"/>
          </w:tcPr>
          <w:p w14:paraId="0A1E166A">
            <w:pPr>
              <w:widowControl/>
              <w:snapToGrid w:val="0"/>
              <w:spacing w:line="240" w:lineRule="auto"/>
              <w:ind w:firstLine="0" w:firstLineChars="0"/>
              <w:jc w:val="center"/>
              <w:rPr>
                <w:rFonts w:hint="eastAsia"/>
              </w:rPr>
            </w:pPr>
            <w:r>
              <w:rPr>
                <w:rFonts w:hint="eastAsia"/>
                <w:lang w:val="en-US" w:eastAsia="zh-CN"/>
              </w:rPr>
              <w:t>5</w:t>
            </w:r>
            <w:r>
              <w:rPr>
                <w:rFonts w:hint="eastAsia"/>
              </w:rPr>
              <w:t>人</w:t>
            </w:r>
          </w:p>
        </w:tc>
        <w:tc>
          <w:tcPr>
            <w:tcW w:w="2709" w:type="dxa"/>
            <w:vAlign w:val="center"/>
          </w:tcPr>
          <w:p w14:paraId="4BBBB584">
            <w:pPr>
              <w:widowControl/>
              <w:snapToGrid w:val="0"/>
              <w:spacing w:line="240" w:lineRule="auto"/>
              <w:ind w:firstLine="0" w:firstLineChars="0"/>
              <w:jc w:val="left"/>
              <w:rPr>
                <w:rFonts w:hint="eastAsia"/>
              </w:rPr>
            </w:pPr>
            <w:r>
              <w:rPr>
                <w:rFonts w:hint="eastAsia"/>
              </w:rPr>
              <w:t>全日制本科及以上学历</w:t>
            </w:r>
          </w:p>
        </w:tc>
        <w:tc>
          <w:tcPr>
            <w:tcW w:w="1258" w:type="dxa"/>
            <w:noWrap/>
            <w:vAlign w:val="center"/>
          </w:tcPr>
          <w:p w14:paraId="34C0E7E3">
            <w:pPr>
              <w:widowControl/>
              <w:snapToGrid w:val="0"/>
              <w:spacing w:line="240" w:lineRule="auto"/>
              <w:ind w:firstLine="0" w:firstLineChars="0"/>
              <w:jc w:val="left"/>
              <w:rPr>
                <w:rFonts w:hint="eastAsia"/>
              </w:rPr>
            </w:pPr>
            <w:r>
              <w:rPr>
                <w:rFonts w:hint="eastAsia"/>
                <w:lang w:val="en-US" w:eastAsia="zh-CN"/>
              </w:rPr>
              <w:t>按需</w:t>
            </w:r>
            <w:r>
              <w:rPr>
                <w:rFonts w:hint="eastAsia"/>
              </w:rPr>
              <w:t>驻场</w:t>
            </w:r>
          </w:p>
        </w:tc>
      </w:tr>
    </w:tbl>
    <w:p w14:paraId="6EECC53C">
      <w:pPr>
        <w:rPr>
          <w:rFonts w:hint="eastAsia"/>
        </w:rPr>
      </w:pPr>
      <w:r>
        <w:rPr>
          <w:rFonts w:hint="eastAsia"/>
        </w:rPr>
        <w:t>项目经理：应当具有《信息系统项目管理师》(高级)资质证书，具有</w:t>
      </w:r>
      <w:r>
        <w:rPr>
          <w:rFonts w:hint="eastAsia"/>
          <w:lang w:val="en-US" w:eastAsia="zh-CN"/>
        </w:rPr>
        <w:t>5年以上</w:t>
      </w:r>
      <w:r>
        <w:rPr>
          <w:rFonts w:hint="eastAsia"/>
        </w:rPr>
        <w:t>类似的信息化项目建设经验且在项目建设过程中担任项目经理。</w:t>
      </w:r>
    </w:p>
    <w:p w14:paraId="037FF1FB">
      <w:pPr>
        <w:rPr>
          <w:rFonts w:hint="eastAsia"/>
        </w:rPr>
      </w:pPr>
      <w:r>
        <w:rPr>
          <w:rFonts w:hint="eastAsia"/>
        </w:rPr>
        <w:t>项目团队人员：应当具备全日制本科及以上学历，具有信息系统项目设计、开发、测试、运维其中一个方向1年以上经验。</w:t>
      </w:r>
    </w:p>
    <w:p w14:paraId="298752CC">
      <w:pPr>
        <w:rPr>
          <w:rFonts w:hint="eastAsia"/>
        </w:rPr>
      </w:pPr>
      <w:r>
        <w:t>2）投标人应针对本项目提供不少于</w:t>
      </w:r>
      <w:r>
        <w:rPr>
          <w:rFonts w:hint="eastAsia"/>
        </w:rPr>
        <w:t>5</w:t>
      </w:r>
      <w:r>
        <w:t>人的质保期间支撑团队（其中技术经理</w:t>
      </w:r>
      <w:r>
        <w:rPr>
          <w:rFonts w:hint="eastAsia"/>
        </w:rPr>
        <w:t>1</w:t>
      </w:r>
      <w:r>
        <w:t>人，产品经理</w:t>
      </w:r>
      <w:r>
        <w:rPr>
          <w:rFonts w:hint="eastAsia"/>
        </w:rPr>
        <w:t>2</w:t>
      </w:r>
      <w:r>
        <w:t>人，技术工程师不少于</w:t>
      </w:r>
      <w:r>
        <w:rPr>
          <w:rFonts w:hint="eastAsia"/>
        </w:rPr>
        <w:t>2</w:t>
      </w:r>
      <w:r>
        <w:t>人）；投标人的相关服务人员</w:t>
      </w:r>
      <w:r>
        <w:rPr>
          <w:rFonts w:hint="eastAsia"/>
          <w:lang w:eastAsia="zh-CN"/>
        </w:rPr>
        <w:t>须具备</w:t>
      </w:r>
      <w:r>
        <w:t>相应的服务能力，需提供相关证明（最近一个季度依法缴纳社保费的证明）。</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2701"/>
        <w:gridCol w:w="1181"/>
        <w:gridCol w:w="1740"/>
        <w:gridCol w:w="1348"/>
      </w:tblGrid>
      <w:tr w14:paraId="1665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58" w:type="dxa"/>
            <w:noWrap/>
            <w:vAlign w:val="center"/>
          </w:tcPr>
          <w:p w14:paraId="39190401">
            <w:pPr>
              <w:widowControl/>
              <w:spacing w:line="240" w:lineRule="auto"/>
              <w:ind w:firstLine="0" w:firstLineChars="0"/>
              <w:jc w:val="center"/>
              <w:rPr>
                <w:rFonts w:hint="eastAsia"/>
                <w:b/>
              </w:rPr>
            </w:pPr>
            <w:r>
              <w:rPr>
                <w:rFonts w:hint="eastAsia"/>
                <w:b/>
              </w:rPr>
              <w:t>角色</w:t>
            </w:r>
          </w:p>
        </w:tc>
        <w:tc>
          <w:tcPr>
            <w:tcW w:w="2701" w:type="dxa"/>
            <w:noWrap/>
            <w:vAlign w:val="center"/>
          </w:tcPr>
          <w:p w14:paraId="4584EAE2">
            <w:pPr>
              <w:widowControl/>
              <w:spacing w:line="240" w:lineRule="auto"/>
              <w:ind w:firstLine="0" w:firstLineChars="0"/>
              <w:jc w:val="center"/>
              <w:rPr>
                <w:rFonts w:hint="eastAsia"/>
                <w:b/>
              </w:rPr>
            </w:pPr>
            <w:r>
              <w:rPr>
                <w:rFonts w:hint="eastAsia"/>
                <w:b/>
              </w:rPr>
              <w:t>主要职责</w:t>
            </w:r>
          </w:p>
        </w:tc>
        <w:tc>
          <w:tcPr>
            <w:tcW w:w="1181" w:type="dxa"/>
            <w:noWrap/>
            <w:vAlign w:val="center"/>
          </w:tcPr>
          <w:p w14:paraId="33B2C1DB">
            <w:pPr>
              <w:widowControl/>
              <w:spacing w:line="240" w:lineRule="auto"/>
              <w:ind w:firstLine="0" w:firstLineChars="0"/>
              <w:jc w:val="center"/>
              <w:rPr>
                <w:rFonts w:hint="eastAsia"/>
                <w:b/>
              </w:rPr>
            </w:pPr>
            <w:r>
              <w:rPr>
                <w:rFonts w:hint="eastAsia"/>
                <w:b/>
              </w:rPr>
              <w:t>人员数量</w:t>
            </w:r>
          </w:p>
        </w:tc>
        <w:tc>
          <w:tcPr>
            <w:tcW w:w="1740" w:type="dxa"/>
            <w:vAlign w:val="center"/>
          </w:tcPr>
          <w:p w14:paraId="6B064FCF">
            <w:pPr>
              <w:widowControl/>
              <w:spacing w:line="240" w:lineRule="auto"/>
              <w:ind w:firstLine="0" w:firstLineChars="0"/>
              <w:jc w:val="center"/>
              <w:rPr>
                <w:rFonts w:hint="eastAsia"/>
                <w:b/>
              </w:rPr>
            </w:pPr>
            <w:r>
              <w:rPr>
                <w:rFonts w:hint="eastAsia"/>
                <w:b/>
              </w:rPr>
              <w:t>人员要求</w:t>
            </w:r>
          </w:p>
        </w:tc>
        <w:tc>
          <w:tcPr>
            <w:tcW w:w="1348" w:type="dxa"/>
            <w:noWrap/>
            <w:vAlign w:val="center"/>
          </w:tcPr>
          <w:p w14:paraId="5E52848C">
            <w:pPr>
              <w:widowControl/>
              <w:spacing w:line="240" w:lineRule="auto"/>
              <w:ind w:firstLine="0" w:firstLineChars="0"/>
              <w:jc w:val="center"/>
              <w:rPr>
                <w:rFonts w:hint="eastAsia"/>
                <w:b/>
              </w:rPr>
            </w:pPr>
            <w:r>
              <w:rPr>
                <w:rFonts w:hint="eastAsia"/>
                <w:b/>
              </w:rPr>
              <w:t>驻场要求</w:t>
            </w:r>
          </w:p>
        </w:tc>
      </w:tr>
      <w:tr w14:paraId="40CF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58" w:type="dxa"/>
            <w:noWrap/>
            <w:vAlign w:val="center"/>
          </w:tcPr>
          <w:p w14:paraId="68461217">
            <w:pPr>
              <w:widowControl/>
              <w:spacing w:line="240" w:lineRule="auto"/>
              <w:ind w:firstLine="0" w:firstLineChars="0"/>
              <w:jc w:val="center"/>
              <w:rPr>
                <w:rFonts w:hint="eastAsia"/>
              </w:rPr>
            </w:pPr>
            <w:r>
              <w:rPr>
                <w:rFonts w:hint="eastAsia"/>
              </w:rPr>
              <w:t>项目经理</w:t>
            </w:r>
          </w:p>
        </w:tc>
        <w:tc>
          <w:tcPr>
            <w:tcW w:w="2701" w:type="dxa"/>
            <w:vAlign w:val="center"/>
          </w:tcPr>
          <w:p w14:paraId="722607C7">
            <w:pPr>
              <w:widowControl/>
              <w:spacing w:line="240" w:lineRule="auto"/>
              <w:ind w:firstLine="0" w:firstLineChars="0"/>
              <w:jc w:val="left"/>
              <w:rPr>
                <w:rFonts w:hint="eastAsia"/>
              </w:rPr>
            </w:pPr>
            <w:r>
              <w:rPr>
                <w:rFonts w:hint="eastAsia"/>
              </w:rPr>
              <w:t>负责项目质量和进度控制</w:t>
            </w:r>
          </w:p>
        </w:tc>
        <w:tc>
          <w:tcPr>
            <w:tcW w:w="1181" w:type="dxa"/>
            <w:noWrap/>
            <w:vAlign w:val="center"/>
          </w:tcPr>
          <w:p w14:paraId="38A760A5">
            <w:pPr>
              <w:widowControl/>
              <w:spacing w:line="240" w:lineRule="auto"/>
              <w:ind w:firstLine="0" w:firstLineChars="0"/>
              <w:jc w:val="center"/>
              <w:rPr>
                <w:rFonts w:hint="eastAsia"/>
              </w:rPr>
            </w:pPr>
            <w:r>
              <w:rPr>
                <w:rFonts w:hint="eastAsia"/>
              </w:rPr>
              <w:t>1人</w:t>
            </w:r>
          </w:p>
        </w:tc>
        <w:tc>
          <w:tcPr>
            <w:tcW w:w="1740" w:type="dxa"/>
            <w:vAlign w:val="center"/>
          </w:tcPr>
          <w:p w14:paraId="09E3B4F3">
            <w:pPr>
              <w:widowControl/>
              <w:spacing w:line="240" w:lineRule="auto"/>
              <w:ind w:firstLine="0" w:firstLineChars="0"/>
              <w:jc w:val="center"/>
              <w:rPr>
                <w:rFonts w:hint="eastAsia"/>
              </w:rPr>
            </w:pPr>
            <w:r>
              <w:rPr>
                <w:rFonts w:hint="eastAsia"/>
              </w:rPr>
              <w:t>全日制本科及以上学历</w:t>
            </w:r>
          </w:p>
        </w:tc>
        <w:tc>
          <w:tcPr>
            <w:tcW w:w="1348" w:type="dxa"/>
            <w:noWrap/>
            <w:vAlign w:val="center"/>
          </w:tcPr>
          <w:p w14:paraId="70BA9372">
            <w:pPr>
              <w:widowControl/>
              <w:spacing w:line="240" w:lineRule="auto"/>
              <w:ind w:firstLine="0" w:firstLineChars="0"/>
              <w:jc w:val="center"/>
              <w:rPr>
                <w:rFonts w:hint="eastAsia"/>
              </w:rPr>
            </w:pPr>
            <w:r>
              <w:rPr>
                <w:rFonts w:hint="eastAsia"/>
              </w:rPr>
              <w:t>驻场</w:t>
            </w:r>
          </w:p>
        </w:tc>
      </w:tr>
      <w:tr w14:paraId="7B49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58" w:type="dxa"/>
            <w:noWrap/>
            <w:vAlign w:val="center"/>
          </w:tcPr>
          <w:p w14:paraId="172B14E0">
            <w:pPr>
              <w:widowControl/>
              <w:spacing w:line="240" w:lineRule="auto"/>
              <w:ind w:firstLine="0" w:firstLineChars="0"/>
              <w:jc w:val="center"/>
              <w:rPr>
                <w:rFonts w:hint="eastAsia"/>
              </w:rPr>
            </w:pPr>
            <w:r>
              <w:rPr>
                <w:rFonts w:hint="eastAsia"/>
              </w:rPr>
              <w:t>产品经理</w:t>
            </w:r>
          </w:p>
        </w:tc>
        <w:tc>
          <w:tcPr>
            <w:tcW w:w="2701" w:type="dxa"/>
            <w:vAlign w:val="center"/>
          </w:tcPr>
          <w:p w14:paraId="6EB2F04C">
            <w:pPr>
              <w:widowControl/>
              <w:spacing w:line="240" w:lineRule="auto"/>
              <w:ind w:firstLine="0" w:firstLineChars="0"/>
              <w:jc w:val="left"/>
              <w:rPr>
                <w:rFonts w:hint="eastAsia"/>
              </w:rPr>
            </w:pPr>
            <w:r>
              <w:rPr>
                <w:rFonts w:hint="eastAsia"/>
              </w:rPr>
              <w:t>负责项目需求评估与产品设计</w:t>
            </w:r>
          </w:p>
        </w:tc>
        <w:tc>
          <w:tcPr>
            <w:tcW w:w="1181" w:type="dxa"/>
            <w:noWrap/>
            <w:vAlign w:val="center"/>
          </w:tcPr>
          <w:p w14:paraId="7FF44024">
            <w:pPr>
              <w:widowControl/>
              <w:spacing w:line="240" w:lineRule="auto"/>
              <w:ind w:firstLine="0" w:firstLineChars="0"/>
              <w:jc w:val="center"/>
              <w:rPr>
                <w:rFonts w:hint="eastAsia"/>
              </w:rPr>
            </w:pPr>
            <w:r>
              <w:rPr>
                <w:rFonts w:hint="eastAsia"/>
              </w:rPr>
              <w:t>2人</w:t>
            </w:r>
          </w:p>
        </w:tc>
        <w:tc>
          <w:tcPr>
            <w:tcW w:w="1740" w:type="dxa"/>
            <w:vAlign w:val="center"/>
          </w:tcPr>
          <w:p w14:paraId="18DD8EEF">
            <w:pPr>
              <w:widowControl/>
              <w:spacing w:line="240" w:lineRule="auto"/>
              <w:ind w:firstLine="0" w:firstLineChars="0"/>
              <w:jc w:val="center"/>
              <w:rPr>
                <w:rFonts w:hint="eastAsia"/>
              </w:rPr>
            </w:pPr>
            <w:r>
              <w:rPr>
                <w:rFonts w:hint="eastAsia"/>
              </w:rPr>
              <w:t>全日制本科生及以上学历</w:t>
            </w:r>
          </w:p>
        </w:tc>
        <w:tc>
          <w:tcPr>
            <w:tcW w:w="1348" w:type="dxa"/>
            <w:noWrap/>
            <w:vAlign w:val="center"/>
          </w:tcPr>
          <w:p w14:paraId="5D291AB0">
            <w:pPr>
              <w:widowControl/>
              <w:spacing w:line="240" w:lineRule="auto"/>
              <w:ind w:firstLine="0" w:firstLineChars="0"/>
              <w:jc w:val="center"/>
              <w:rPr>
                <w:rFonts w:hint="eastAsia"/>
              </w:rPr>
            </w:pPr>
            <w:r>
              <w:rPr>
                <w:rFonts w:hint="eastAsia"/>
              </w:rPr>
              <w:t>驻场</w:t>
            </w:r>
          </w:p>
        </w:tc>
      </w:tr>
      <w:tr w14:paraId="675C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58" w:type="dxa"/>
            <w:noWrap/>
            <w:vAlign w:val="center"/>
          </w:tcPr>
          <w:p w14:paraId="54FB8CE0">
            <w:pPr>
              <w:widowControl/>
              <w:spacing w:line="240" w:lineRule="auto"/>
              <w:ind w:firstLine="0" w:firstLineChars="0"/>
              <w:jc w:val="center"/>
              <w:rPr>
                <w:rFonts w:hint="eastAsia"/>
              </w:rPr>
            </w:pPr>
            <w:r>
              <w:rPr>
                <w:rFonts w:hint="eastAsia"/>
              </w:rPr>
              <w:t>技术工程师</w:t>
            </w:r>
          </w:p>
        </w:tc>
        <w:tc>
          <w:tcPr>
            <w:tcW w:w="2701" w:type="dxa"/>
            <w:noWrap/>
            <w:vAlign w:val="center"/>
          </w:tcPr>
          <w:p w14:paraId="17808AD3">
            <w:pPr>
              <w:widowControl/>
              <w:spacing w:line="240" w:lineRule="auto"/>
              <w:ind w:firstLine="0" w:firstLineChars="0"/>
              <w:jc w:val="left"/>
              <w:rPr>
                <w:rFonts w:hint="eastAsia"/>
              </w:rPr>
            </w:pPr>
            <w:r>
              <w:rPr>
                <w:rFonts w:hint="eastAsia"/>
              </w:rPr>
              <w:t>负责项目运行维护</w:t>
            </w:r>
          </w:p>
        </w:tc>
        <w:tc>
          <w:tcPr>
            <w:tcW w:w="1181" w:type="dxa"/>
            <w:noWrap/>
            <w:vAlign w:val="center"/>
          </w:tcPr>
          <w:p w14:paraId="5696E024">
            <w:pPr>
              <w:widowControl/>
              <w:spacing w:line="240" w:lineRule="auto"/>
              <w:ind w:firstLine="0" w:firstLineChars="0"/>
              <w:jc w:val="center"/>
              <w:rPr>
                <w:rFonts w:hint="eastAsia"/>
              </w:rPr>
            </w:pPr>
            <w:r>
              <w:rPr>
                <w:rFonts w:hint="eastAsia"/>
              </w:rPr>
              <w:t>2人</w:t>
            </w:r>
          </w:p>
        </w:tc>
        <w:tc>
          <w:tcPr>
            <w:tcW w:w="1740" w:type="dxa"/>
            <w:vAlign w:val="center"/>
          </w:tcPr>
          <w:p w14:paraId="2B06AE5F">
            <w:pPr>
              <w:widowControl/>
              <w:spacing w:line="240" w:lineRule="auto"/>
              <w:ind w:firstLine="0" w:firstLineChars="0"/>
              <w:jc w:val="center"/>
              <w:rPr>
                <w:rFonts w:hint="eastAsia"/>
              </w:rPr>
            </w:pPr>
            <w:r>
              <w:rPr>
                <w:rFonts w:hint="eastAsia"/>
              </w:rPr>
              <w:t>全日制本科生及以上学历</w:t>
            </w:r>
          </w:p>
        </w:tc>
        <w:tc>
          <w:tcPr>
            <w:tcW w:w="1348" w:type="dxa"/>
            <w:noWrap/>
            <w:vAlign w:val="center"/>
          </w:tcPr>
          <w:p w14:paraId="797888F2">
            <w:pPr>
              <w:widowControl/>
              <w:spacing w:line="240" w:lineRule="auto"/>
              <w:ind w:firstLine="0" w:firstLineChars="0"/>
              <w:jc w:val="center"/>
              <w:rPr>
                <w:rFonts w:hint="eastAsia"/>
              </w:rPr>
            </w:pPr>
            <w:r>
              <w:rPr>
                <w:rFonts w:hint="eastAsia"/>
              </w:rPr>
              <w:t>驻场</w:t>
            </w:r>
          </w:p>
        </w:tc>
      </w:tr>
    </w:tbl>
    <w:p w14:paraId="1806DC5D">
      <w:pPr>
        <w:pStyle w:val="3"/>
        <w:rPr>
          <w:rFonts w:hint="eastAsia"/>
        </w:rPr>
      </w:pPr>
      <w:bookmarkStart w:id="34" w:name="_Toc63785511"/>
      <w:r>
        <w:t>等级保护要求</w:t>
      </w:r>
      <w:bookmarkEnd w:id="34"/>
    </w:p>
    <w:p w14:paraId="7F440C22">
      <w:pPr>
        <w:rPr>
          <w:rFonts w:hint="eastAsia" w:ascii="仿宋_GB2312" w:eastAsia="仿宋_GB2312" w:cs="仿宋_GB2312"/>
          <w:color w:val="000000"/>
          <w:kern w:val="0"/>
          <w:sz w:val="28"/>
          <w:szCs w:val="28"/>
        </w:rPr>
      </w:pPr>
      <w:r>
        <w:t>本项目等级保护要求：参照等保</w:t>
      </w:r>
      <w:r>
        <w:rPr>
          <w:rFonts w:hint="eastAsia"/>
        </w:rPr>
        <w:t>三</w:t>
      </w:r>
      <w:r>
        <w:t>级要求建设。</w:t>
      </w:r>
    </w:p>
    <w:p w14:paraId="2C821852">
      <w:pPr>
        <w:pStyle w:val="3"/>
        <w:rPr>
          <w:rFonts w:hint="eastAsia"/>
        </w:rPr>
      </w:pPr>
      <w:r>
        <w:rPr>
          <w:rFonts w:hint="eastAsia"/>
        </w:rPr>
        <w:t>商用密码应用需求</w:t>
      </w:r>
    </w:p>
    <w:p w14:paraId="67ECD61A">
      <w:pPr>
        <w:rPr>
          <w:rFonts w:hint="eastAsia"/>
        </w:rPr>
      </w:pPr>
      <w:bookmarkStart w:id="35" w:name="_Toc63785512"/>
      <w:r>
        <w:rPr>
          <w:rFonts w:hint="eastAsia"/>
        </w:rPr>
        <w:t>满足商业密码应用建设要求，并通过商业密码应用安全测评。</w:t>
      </w:r>
    </w:p>
    <w:p w14:paraId="19BBD465">
      <w:pPr>
        <w:pStyle w:val="3"/>
        <w:rPr>
          <w:rFonts w:hint="eastAsia"/>
        </w:rPr>
      </w:pPr>
      <w:r>
        <w:rPr>
          <w:rFonts w:hint="eastAsia"/>
        </w:rPr>
        <w:t>技术文件要求</w:t>
      </w:r>
    </w:p>
    <w:p w14:paraId="4DCC99B4">
      <w:pPr>
        <w:rPr>
          <w:rFonts w:hint="eastAsia"/>
        </w:rPr>
      </w:pPr>
      <w:r>
        <w:rPr>
          <w:rFonts w:hint="eastAsia"/>
        </w:rPr>
        <w:t>投标人提供的书面技术资料应能确保系统正常运行所需的管理、运营及维护有关的全套文件。技术文件应该全面、完整、详细。投标人提供的技术文件至少应包括：</w:t>
      </w:r>
    </w:p>
    <w:p w14:paraId="6ED60968">
      <w:pPr>
        <w:rPr>
          <w:rFonts w:hint="eastAsia"/>
        </w:rPr>
      </w:pPr>
      <w:r>
        <w:rPr>
          <w:rFonts w:hint="eastAsia"/>
        </w:rPr>
        <w:t>－</w:t>
      </w:r>
      <w:r>
        <w:t xml:space="preserve"> 系统说明文件； </w:t>
      </w:r>
    </w:p>
    <w:p w14:paraId="734FAB65">
      <w:pPr>
        <w:rPr>
          <w:rFonts w:hint="eastAsia"/>
        </w:rPr>
      </w:pPr>
      <w:r>
        <w:rPr>
          <w:rFonts w:hint="eastAsia"/>
        </w:rPr>
        <w:t>－</w:t>
      </w:r>
      <w:r>
        <w:t xml:space="preserve"> 技术手册(安装、测试、操作、维护、故障排除等)； </w:t>
      </w:r>
    </w:p>
    <w:p w14:paraId="4A27F82B">
      <w:pPr>
        <w:rPr>
          <w:rFonts w:hint="eastAsia"/>
        </w:rPr>
      </w:pPr>
      <w:r>
        <w:rPr>
          <w:rFonts w:hint="eastAsia"/>
        </w:rPr>
        <w:t>－</w:t>
      </w:r>
      <w:r>
        <w:t xml:space="preserve"> 项目文档，应该包括：</w:t>
      </w:r>
    </w:p>
    <w:p w14:paraId="3F7167DB">
      <w:pPr>
        <w:ind w:left="360"/>
        <w:rPr>
          <w:rFonts w:hint="eastAsia"/>
        </w:rPr>
      </w:pPr>
      <w:r>
        <w:t>(1)软件需求说明书</w:t>
      </w:r>
    </w:p>
    <w:p w14:paraId="0AE82682">
      <w:pPr>
        <w:ind w:left="360"/>
        <w:rPr>
          <w:rFonts w:hint="eastAsia"/>
        </w:rPr>
      </w:pPr>
      <w:r>
        <w:t>(2)</w:t>
      </w:r>
      <w:r>
        <w:tab/>
      </w:r>
      <w:r>
        <w:t>系统总体设计说明书</w:t>
      </w:r>
    </w:p>
    <w:p w14:paraId="458372C1">
      <w:pPr>
        <w:ind w:left="360"/>
        <w:rPr>
          <w:rFonts w:hint="eastAsia"/>
        </w:rPr>
      </w:pPr>
      <w:r>
        <w:t>(3)</w:t>
      </w:r>
      <w:r>
        <w:tab/>
      </w:r>
      <w:r>
        <w:t>应用软件功能清单</w:t>
      </w:r>
    </w:p>
    <w:p w14:paraId="1EB86519">
      <w:pPr>
        <w:rPr>
          <w:rFonts w:hint="eastAsia"/>
        </w:rPr>
      </w:pPr>
      <w:r>
        <w:rPr>
          <w:rFonts w:hint="eastAsia"/>
        </w:rPr>
        <w:t>提供全套技术文件纸介质</w:t>
      </w:r>
      <w:r>
        <w:t>3套以及电子文件1套。</w:t>
      </w:r>
    </w:p>
    <w:p w14:paraId="2FB65A59">
      <w:pPr>
        <w:pStyle w:val="2"/>
        <w:rPr>
          <w:rFonts w:hint="eastAsia"/>
        </w:rPr>
      </w:pPr>
      <w:r>
        <w:rPr>
          <w:rFonts w:hint="eastAsia"/>
        </w:rPr>
        <w:t>供应商资质要求</w:t>
      </w:r>
    </w:p>
    <w:p w14:paraId="45651A79">
      <w:pPr>
        <w:rPr>
          <w:rFonts w:hint="eastAsia"/>
        </w:rPr>
      </w:pPr>
      <w:r>
        <w:t>1、符合《中华人民共和国政府采购法》第二十二条规定的供应商。</w:t>
      </w:r>
    </w:p>
    <w:p w14:paraId="390654E5">
      <w:pPr>
        <w:rPr>
          <w:rFonts w:hint="eastAsia"/>
        </w:rPr>
      </w:pPr>
      <w:r>
        <w:t>2、根据《上海市政府采购供应商登记及诚信管理办法》已登记入库的供应商。</w:t>
      </w:r>
    </w:p>
    <w:p w14:paraId="403F4D66">
      <w:pPr>
        <w:rPr>
          <w:rFonts w:hint="eastAsia"/>
        </w:rPr>
      </w:pPr>
      <w:r>
        <w:t>3、其他资格要求：</w:t>
      </w:r>
    </w:p>
    <w:p w14:paraId="44BEC9FF">
      <w:pPr>
        <w:rPr>
          <w:rFonts w:hint="eastAsia"/>
        </w:rPr>
      </w:pPr>
      <w:r>
        <w:t>3.</w:t>
      </w:r>
      <w:r>
        <w:rPr>
          <w:rFonts w:hint="eastAsia"/>
        </w:rPr>
        <w:t>1</w:t>
      </w:r>
      <w:r>
        <w:t>本项目面向大、中、小、微型等各类供应商采购。</w:t>
      </w:r>
    </w:p>
    <w:p w14:paraId="43A8C5F4">
      <w:pPr>
        <w:rPr>
          <w:rFonts w:hint="eastAsia"/>
        </w:rPr>
      </w:pPr>
      <w:r>
        <w:t>3.</w:t>
      </w:r>
      <w:r>
        <w:rPr>
          <w:rFonts w:hint="eastAsia"/>
        </w:rPr>
        <w:t>2</w:t>
      </w:r>
      <w:r>
        <w:t>未被列入“信用中国”网站(www.creditchina.gov.cn)失信被执行人名单、重大税收违法案件当事人名单和中国政府采购网(www.ccgp.gov.cn)政府采购严重违法失信行为记录名单。</w:t>
      </w:r>
    </w:p>
    <w:p w14:paraId="036A69CC">
      <w:pPr>
        <w:pStyle w:val="2"/>
        <w:rPr>
          <w:rFonts w:hint="eastAsia"/>
        </w:rPr>
      </w:pPr>
      <w:r>
        <w:rPr>
          <w:rFonts w:hint="eastAsia"/>
        </w:rPr>
        <w:t>供应商管理要求</w:t>
      </w:r>
      <w:bookmarkEnd w:id="35"/>
    </w:p>
    <w:p w14:paraId="7512B6F6">
      <w:pPr>
        <w:pStyle w:val="81"/>
        <w:ind w:firstLine="480"/>
        <w:rPr>
          <w:rFonts w:hint="eastAsia"/>
          <w:sz w:val="24"/>
          <w:szCs w:val="24"/>
        </w:rPr>
      </w:pPr>
      <w:r>
        <w:rPr>
          <w:rFonts w:hint="eastAsia"/>
          <w:sz w:val="24"/>
          <w:szCs w:val="24"/>
        </w:rPr>
        <w:t>1、在项目实施期间，中标人应严格执行国家、地方、行业有关本项目业务管理和安全作业的法律、法规和制度并按规定承担相应的费用。中标人因违反规定等原因造成的一切损失和责任由中标人自行承担。</w:t>
      </w:r>
    </w:p>
    <w:p w14:paraId="713097E2">
      <w:pPr>
        <w:pStyle w:val="81"/>
        <w:ind w:firstLine="480"/>
        <w:rPr>
          <w:rFonts w:hint="eastAsia"/>
          <w:sz w:val="24"/>
          <w:szCs w:val="24"/>
        </w:rPr>
      </w:pPr>
      <w:r>
        <w:rPr>
          <w:rFonts w:hint="eastAsia"/>
          <w:sz w:val="24"/>
          <w:szCs w:val="24"/>
        </w:rPr>
        <w:t>2、中标人在投标书中承诺并经招标人认定的项目负责人及专业技术人员必须是本单位职工（在本单位缴纳社会保障金）和该项目实施现场的实际操作者，应具有类似本项目的实施经验，并应在软件应用调研、安装、试运行等期间常驻项目现场。未经采购人同意，中标人不得调换或撤离上述人员。如采购人认为有必要，可要求中标人对上述人员中的部分人员作出更好的调整。</w:t>
      </w:r>
    </w:p>
    <w:p w14:paraId="7528D58E">
      <w:pPr>
        <w:pStyle w:val="81"/>
        <w:ind w:firstLine="480"/>
        <w:rPr>
          <w:rFonts w:hint="eastAsia"/>
          <w:sz w:val="24"/>
          <w:szCs w:val="24"/>
        </w:rPr>
      </w:pPr>
      <w:r>
        <w:rPr>
          <w:rFonts w:hint="eastAsia"/>
          <w:sz w:val="24"/>
          <w:szCs w:val="24"/>
        </w:rPr>
        <w:t>3、中标人在项目实施期间，应按项目实际进度与环节落实所对应项目整体及各环节管理工作，按照规范做好项目实施期间相关管理与实施记录。</w:t>
      </w:r>
    </w:p>
    <w:p w14:paraId="53E76165">
      <w:pPr>
        <w:pStyle w:val="81"/>
        <w:ind w:firstLine="480"/>
        <w:rPr>
          <w:rFonts w:hint="eastAsia"/>
          <w:sz w:val="24"/>
          <w:szCs w:val="24"/>
        </w:rPr>
      </w:pPr>
      <w:r>
        <w:rPr>
          <w:rFonts w:hint="eastAsia"/>
          <w:sz w:val="24"/>
          <w:szCs w:val="24"/>
        </w:rPr>
        <w:t>4、参与本项目的工作人员应严格遵循采购人的安全制度，保障采购人资料和设备的安全。中标方如需进入采购人机房工作，只能在采购人规定的工作区域内对项目涉及的设备进行操作，严禁触动与项目无关的任何设备（包括任何操作行为），如需跨区操作必须得到采购人项目联系人确认。</w:t>
      </w:r>
    </w:p>
    <w:p w14:paraId="20E3A964">
      <w:pPr>
        <w:pStyle w:val="81"/>
        <w:ind w:firstLine="480"/>
        <w:rPr>
          <w:rFonts w:hint="eastAsia"/>
          <w:sz w:val="24"/>
          <w:szCs w:val="24"/>
        </w:rPr>
      </w:pPr>
      <w:r>
        <w:rPr>
          <w:rFonts w:hint="eastAsia"/>
          <w:sz w:val="24"/>
          <w:szCs w:val="24"/>
        </w:rPr>
        <w:t>5、中标人在项目实施期间必须遵守采购人的规章制度并提供实施人员名单。</w:t>
      </w:r>
    </w:p>
    <w:p w14:paraId="42CDAC57">
      <w:pPr>
        <w:pStyle w:val="81"/>
        <w:ind w:firstLine="480"/>
        <w:rPr>
          <w:rFonts w:hint="eastAsia"/>
          <w:sz w:val="24"/>
          <w:szCs w:val="24"/>
        </w:rPr>
      </w:pPr>
      <w:r>
        <w:rPr>
          <w:rFonts w:hint="eastAsia"/>
          <w:sz w:val="24"/>
          <w:szCs w:val="24"/>
        </w:rPr>
        <w:t>6、各投标人在投标文件中要结合本项目的特点和采购人上述的具体要求制定相应的管理措施，并在报价中列支相应的费用清单，投标人报价中未列支上述费用清单的，上述费用视为已包含在投标人的投标总报价中。</w:t>
      </w:r>
    </w:p>
    <w:p w14:paraId="6FB2E553">
      <w:pPr>
        <w:pStyle w:val="81"/>
        <w:ind w:firstLine="480"/>
        <w:rPr>
          <w:rFonts w:hint="eastAsia"/>
        </w:rPr>
      </w:pPr>
      <w:r>
        <w:rPr>
          <w:rFonts w:hint="eastAsia"/>
          <w:sz w:val="24"/>
          <w:szCs w:val="24"/>
        </w:rPr>
        <w:t>7、本项目软件开发及调试将纳入采购人的管理范围，中标人在此过程中须服从上述单位的管理协调。</w:t>
      </w:r>
    </w:p>
    <w:p w14:paraId="7DB04A5E">
      <w:pPr>
        <w:pStyle w:val="2"/>
        <w:rPr>
          <w:rFonts w:hint="eastAsia"/>
        </w:rPr>
      </w:pPr>
      <w:bookmarkStart w:id="36" w:name="_Toc63785513"/>
      <w:r>
        <w:rPr>
          <w:rFonts w:hint="eastAsia"/>
        </w:rPr>
        <w:t>关于转让和分包的规定</w:t>
      </w:r>
    </w:p>
    <w:p w14:paraId="6A590CC5">
      <w:pPr>
        <w:pStyle w:val="81"/>
        <w:ind w:firstLine="480"/>
        <w:rPr>
          <w:rFonts w:hint="eastAsia"/>
        </w:rPr>
      </w:pPr>
      <w:r>
        <w:rPr>
          <w:rFonts w:hint="eastAsia"/>
          <w:sz w:val="24"/>
          <w:szCs w:val="24"/>
        </w:rPr>
        <w:t>本项目不得转让不得分包。</w:t>
      </w:r>
    </w:p>
    <w:p w14:paraId="4FC661E1">
      <w:pPr>
        <w:pStyle w:val="2"/>
        <w:rPr>
          <w:rFonts w:hint="eastAsia"/>
        </w:rPr>
      </w:pPr>
      <w:r>
        <w:rPr>
          <w:rFonts w:hint="eastAsia"/>
        </w:rPr>
        <w:t>知识产权及保密要求</w:t>
      </w:r>
      <w:bookmarkEnd w:id="36"/>
    </w:p>
    <w:p w14:paraId="5DCA2FC9">
      <w:pPr>
        <w:ind w:firstLine="482"/>
        <w:rPr>
          <w:rFonts w:hint="eastAsia"/>
          <w:b/>
        </w:rPr>
      </w:pPr>
      <w:r>
        <w:rPr>
          <w:b/>
        </w:rPr>
        <w:t>1、中标人数据、文件、资料知识产权</w:t>
      </w:r>
    </w:p>
    <w:p w14:paraId="286734BA">
      <w:pPr>
        <w:rPr>
          <w:rFonts w:hint="eastAsia"/>
        </w:rPr>
      </w:pPr>
      <w:r>
        <w:rPr>
          <w:rFonts w:hint="eastAsia"/>
        </w:rPr>
        <w:t>中标人保证其所提供的服务和交付的成果以及在履行本项目义务中使用到的所有数据、文件、信息不会引起任何第三方在专利权、著作权、商标权等知识产权方面向采购人或采购人的关联方及合作方（包括但不限于采购人的主管单位和采购人的合作单位等）发出侵权指控或提出索赔。若有，中标人应负责与第三方解决纠纷，若因此导致采购人损失的，采购人有权要求中标人赔偿采购人因此遭受的全部损失，包括但不限于直接损失、间接损失、诉讼费／仲裁费、律师费、公证费、鉴定费等。</w:t>
      </w:r>
    </w:p>
    <w:p w14:paraId="218C7319">
      <w:pPr>
        <w:rPr>
          <w:rFonts w:hint="eastAsia"/>
        </w:rPr>
      </w:pPr>
      <w:r>
        <w:rPr>
          <w:rFonts w:hint="eastAsia"/>
        </w:rPr>
        <w:t>中标人因履行本项目而产生的所有成果的知识产权等权利均归采购人所有，中标人应配合采购人进行相关权利登记或申请。未经采购人书面同意，中标人不得以任何形式使用或许可他人使用本项目成果的相关内容，不得擅自对外公开发表或向任何第三方透露。</w:t>
      </w:r>
    </w:p>
    <w:p w14:paraId="58AB601B">
      <w:pPr>
        <w:rPr>
          <w:rFonts w:hint="eastAsia"/>
        </w:rPr>
      </w:pPr>
      <w:r>
        <w:rPr>
          <w:rFonts w:hint="eastAsia"/>
        </w:rPr>
        <w:t>在不影响上述条款规定的由采购人取得所有成果的知识产权的前提下，双方因履行本项目而被授权接触或使用对方之知识产权（包括但不限于商标、专利、著作权等），和/或任何其他相关资料、数据等涉及的任何权利，均不视为向另一方转让上述权利或在本项目范围外授权许可另一方使用上述权利，上述权利仍应属于提供方，并仅可使用于本项目，被授权接触或使用方未经提供方书面同意，不得擅自挪作他用。</w:t>
      </w:r>
    </w:p>
    <w:p w14:paraId="06EA4BEB">
      <w:pPr>
        <w:ind w:firstLine="482"/>
        <w:rPr>
          <w:rFonts w:hint="eastAsia"/>
          <w:b/>
        </w:rPr>
      </w:pPr>
      <w:r>
        <w:rPr>
          <w:b/>
        </w:rPr>
        <w:t>2、项目保密要求</w:t>
      </w:r>
    </w:p>
    <w:p w14:paraId="02CE96D0">
      <w:pPr>
        <w:rPr>
          <w:rFonts w:hint="eastAsia"/>
        </w:rPr>
      </w:pPr>
      <w:r>
        <w:rPr>
          <w:rFonts w:hint="eastAsia"/>
        </w:rPr>
        <w:t>中标人因履行本项目而知悉的所有数据、信息和资料（包括但不限于账号信息、图表、文字、计算过程、任何形式的文件、访谈记录、现场实测数据、采购人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仲裁费、调查费、公证费等。</w:t>
      </w:r>
    </w:p>
    <w:p w14:paraId="2882E628">
      <w:pPr>
        <w:rPr>
          <w:rFonts w:hint="eastAsia"/>
        </w:rPr>
      </w:pPr>
      <w:r>
        <w:rPr>
          <w:rFonts w:hint="eastAsia"/>
        </w:rPr>
        <w:t>中标人应采取必要的有效措施保证其参与本项目的人员（包括中标人聘用的人员、借调的人员、实习的人员）无论是在职或离职后，以及中标人的合作方无论是合作中或合作终止后，都能够履行本项目约定的保密义务。若中标人人员或中标人合作方违反保密规定，中标人应承担连带责任。</w:t>
      </w:r>
    </w:p>
    <w:p w14:paraId="0BE837D8">
      <w:pPr>
        <w:rPr>
          <w:rFonts w:hint="eastAsia"/>
        </w:rPr>
      </w:pPr>
      <w:r>
        <w:rPr>
          <w:rFonts w:hint="eastAsia"/>
        </w:rPr>
        <w:t>中标人（含中标人参与本项目的人员以及其合作方）未经采购人书面许可，不得以任何形式自行使用或以任何方式向第三方披露、转让、授权、出售与本项目有关的技术成果、计算机软件、源代码、策划文档、技术诀窍、秘密信息、技术资料和其他文件。</w:t>
      </w:r>
    </w:p>
    <w:p w14:paraId="15AFAEBD">
      <w:pPr>
        <w:rPr>
          <w:rFonts w:hint="eastAsia"/>
        </w:rPr>
      </w:pPr>
      <w:r>
        <w:rPr>
          <w:rFonts w:hint="eastAsia"/>
        </w:rPr>
        <w:t>以上内容的保密期限自中标人知悉保密信息起始至保密信息被合法公开之日止。</w:t>
      </w:r>
    </w:p>
    <w:p w14:paraId="70738D76">
      <w:pPr>
        <w:ind w:firstLine="482"/>
        <w:rPr>
          <w:rFonts w:hint="eastAsia"/>
          <w:b/>
        </w:rPr>
      </w:pPr>
      <w:r>
        <w:rPr>
          <w:b/>
        </w:rPr>
        <w:t>3、临时账号等使用要求</w:t>
      </w:r>
    </w:p>
    <w:p w14:paraId="662705F2">
      <w:pPr>
        <w:rPr>
          <w:rFonts w:hint="eastAsia"/>
        </w:rPr>
      </w:pPr>
      <w:r>
        <w:rPr>
          <w:rFonts w:hint="eastAsia"/>
        </w:rPr>
        <w:t>中标人对采购人</w:t>
      </w:r>
      <w:r>
        <w:rPr>
          <w:rFonts w:hint="eastAsia"/>
          <w:lang w:eastAsia="zh-CN"/>
        </w:rPr>
        <w:t>提供</w:t>
      </w:r>
      <w:r>
        <w:rPr>
          <w:rFonts w:hint="eastAsia"/>
        </w:rPr>
        <w:t>的临时使用账号要保密，不得公开，对组件开发的账号密码需进行加密，避免信息安全的泄露。未经采购人的同意不得利用采购人的网络及平台进行短信、彩信、微信发送</w:t>
      </w:r>
      <w:r>
        <w:t>,造成的一切后果由中标人负责。</w:t>
      </w:r>
    </w:p>
    <w:p w14:paraId="1F99C326">
      <w:pPr>
        <w:pStyle w:val="2"/>
        <w:rPr>
          <w:rFonts w:hint="eastAsia"/>
        </w:rPr>
      </w:pPr>
      <w:bookmarkStart w:id="37" w:name="_Toc65170093"/>
      <w:r>
        <w:t>项目的变更、解除和终止</w:t>
      </w:r>
    </w:p>
    <w:p w14:paraId="7C70B572">
      <w:pPr>
        <w:rPr>
          <w:rFonts w:hint="eastAsia"/>
        </w:rPr>
      </w:pPr>
      <w:r>
        <w:rPr>
          <w:rFonts w:hint="eastAsia"/>
        </w:rPr>
        <w:t>如果中标人丧失履约能力、发生资不抵债或进入破产程序，采购人可在任何时候以书面形式通知中标人终止本项目的执行而不给予中标人补偿。该终止本项目将不损害或影响采购人已经采取或将要采取任何行动或补救措施的权利。</w:t>
      </w:r>
    </w:p>
    <w:p w14:paraId="66B848DC">
      <w:pPr>
        <w:rPr>
          <w:rFonts w:hint="eastAsia"/>
        </w:rPr>
      </w:pPr>
      <w:r>
        <w:rPr>
          <w:rFonts w:hint="eastAsia"/>
        </w:rPr>
        <w:t>如遇国家、行业管理部门等机构的有关标准和规定调整的，导致本项目内容须做相应调整时，双方应按照公平、合理的原则共同协商修改本项目对应的合同的相关条款。</w:t>
      </w:r>
    </w:p>
    <w:p w14:paraId="567C1463">
      <w:pPr>
        <w:pStyle w:val="2"/>
        <w:rPr>
          <w:rFonts w:hint="eastAsia"/>
        </w:rPr>
      </w:pPr>
      <w:r>
        <w:rPr>
          <w:rFonts w:hint="eastAsia"/>
        </w:rPr>
        <w:t>违约责任</w:t>
      </w:r>
      <w:bookmarkEnd w:id="37"/>
    </w:p>
    <w:p w14:paraId="0A3C5A6D">
      <w:pPr>
        <w:rPr>
          <w:rFonts w:hint="eastAsia"/>
        </w:rPr>
      </w:pPr>
      <w:r>
        <w:t>1、如中标人未按约定的时间或服务标准完成建设工作，采购人可要求中标人在规定的时间内采取补救措施。中标人还应向采购人支付本项目费用总额30%的违约金，违约金不足以弥补采购人损失的，采购人有权要求中标人赔偿超过部分。</w:t>
      </w:r>
    </w:p>
    <w:p w14:paraId="46B4A8E0">
      <w:pPr>
        <w:rPr>
          <w:rFonts w:hint="eastAsia"/>
        </w:rPr>
      </w:pPr>
      <w:r>
        <w:t>2、因中标人违反保密义务或知识产权约定的，采购人有权要求中标人支付本项目费用总额30%的违约金，违约金不足以弥补采购人损失的，采购人有权要求中标人赔偿超过部分。若中标人违反保密义务，采购人还有权立即单方解除合同而不承担任何违约责任。</w:t>
      </w:r>
    </w:p>
    <w:p w14:paraId="7DBA043B">
      <w:pPr>
        <w:rPr>
          <w:rFonts w:hint="eastAsia"/>
        </w:rPr>
      </w:pPr>
      <w:r>
        <w:t>3、中标人有其他违反本项目合同约定的行为，中标人应当支付本项目总价款金额的20%作为违约金，违约金不足以弥补采购人损失的，采购人有权要求中标人赔偿超过部分。</w:t>
      </w:r>
    </w:p>
    <w:p w14:paraId="2DBDCA74">
      <w:pPr>
        <w:rPr>
          <w:rFonts w:hint="eastAsia"/>
        </w:rPr>
      </w:pPr>
      <w:r>
        <w:t>4、中标人有下列情形之一，采购人有权解除合同：</w:t>
      </w:r>
    </w:p>
    <w:p w14:paraId="5E48E9DF">
      <w:pPr>
        <w:rPr>
          <w:rFonts w:hint="eastAsia"/>
        </w:rPr>
      </w:pPr>
      <w:r>
        <w:rPr>
          <w:rFonts w:hint="eastAsia"/>
        </w:rPr>
        <w:t>（1</w:t>
      </w:r>
      <w:r>
        <w:t>）因中标人服务质量问题导致采购人无法实现目的；</w:t>
      </w:r>
    </w:p>
    <w:p w14:paraId="6019B412">
      <w:pPr>
        <w:rPr>
          <w:rFonts w:hint="eastAsia"/>
        </w:rPr>
      </w:pPr>
      <w:r>
        <w:rPr>
          <w:rFonts w:hint="eastAsia"/>
        </w:rPr>
        <w:t>（2</w:t>
      </w:r>
      <w:r>
        <w:t>）擅自转让或者分包其应履行的义务的；</w:t>
      </w:r>
    </w:p>
    <w:p w14:paraId="529072F8">
      <w:pPr>
        <w:rPr>
          <w:rFonts w:hint="eastAsia"/>
        </w:rPr>
      </w:pPr>
      <w:r>
        <w:rPr>
          <w:rFonts w:hint="eastAsia"/>
        </w:rPr>
        <w:t>（3</w:t>
      </w:r>
      <w:r>
        <w:t>）违反或者未履行本项目合同约定的其他相关义务，且在采购人要求的合理时间内未能纠正的。</w:t>
      </w:r>
    </w:p>
    <w:p w14:paraId="4CCE8888">
      <w:pPr>
        <w:pStyle w:val="2"/>
        <w:numPr>
          <w:ilvl w:val="0"/>
          <w:numId w:val="0"/>
        </w:numPr>
        <w:ind w:left="425" w:hanging="425"/>
        <w:rPr>
          <w:rFonts w:hint="eastAsia"/>
        </w:rPr>
      </w:pPr>
      <w:r>
        <w:rPr>
          <w:rFonts w:hint="eastAsia"/>
        </w:rPr>
        <w:t>附表一：软件开发清单</w:t>
      </w:r>
    </w:p>
    <w:tbl>
      <w:tblPr>
        <w:tblStyle w:val="35"/>
        <w:tblW w:w="498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760"/>
        <w:gridCol w:w="770"/>
        <w:gridCol w:w="729"/>
        <w:gridCol w:w="5589"/>
      </w:tblGrid>
      <w:tr w14:paraId="64A3F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blHeader/>
        </w:trPr>
        <w:tc>
          <w:tcPr>
            <w:tcW w:w="381" w:type="pct"/>
            <w:tcBorders>
              <w:tl2br w:val="nil"/>
              <w:tr2bl w:val="nil"/>
            </w:tcBorders>
            <w:vAlign w:val="center"/>
          </w:tcPr>
          <w:p w14:paraId="70EDD987">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序号</w:t>
            </w:r>
          </w:p>
        </w:tc>
        <w:tc>
          <w:tcPr>
            <w:tcW w:w="447" w:type="pct"/>
            <w:tcBorders>
              <w:tl2br w:val="nil"/>
              <w:tr2bl w:val="nil"/>
            </w:tcBorders>
            <w:vAlign w:val="center"/>
          </w:tcPr>
          <w:p w14:paraId="67232871">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模块名称</w:t>
            </w:r>
          </w:p>
        </w:tc>
        <w:tc>
          <w:tcPr>
            <w:tcW w:w="453" w:type="pct"/>
            <w:tcBorders>
              <w:tl2br w:val="nil"/>
              <w:tr2bl w:val="nil"/>
            </w:tcBorders>
            <w:vAlign w:val="center"/>
          </w:tcPr>
          <w:p w14:paraId="60DE0EDD">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功能名称</w:t>
            </w:r>
          </w:p>
        </w:tc>
        <w:tc>
          <w:tcPr>
            <w:tcW w:w="429" w:type="pct"/>
            <w:tcBorders>
              <w:tl2br w:val="nil"/>
              <w:tr2bl w:val="nil"/>
            </w:tcBorders>
            <w:vAlign w:val="center"/>
          </w:tcPr>
          <w:p w14:paraId="453DA442">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子功能</w:t>
            </w:r>
          </w:p>
        </w:tc>
        <w:tc>
          <w:tcPr>
            <w:tcW w:w="3289" w:type="pct"/>
            <w:tcBorders>
              <w:tl2br w:val="nil"/>
              <w:tr2bl w:val="nil"/>
            </w:tcBorders>
            <w:vAlign w:val="center"/>
          </w:tcPr>
          <w:p w14:paraId="69F38588">
            <w:pPr>
              <w:widowControl/>
              <w:spacing w:line="240" w:lineRule="auto"/>
              <w:ind w:right="808" w:rightChars="337" w:firstLine="482"/>
              <w:textAlignment w:val="center"/>
              <w:rPr>
                <w:rFonts w:hint="eastAsia" w:cs="宋体"/>
                <w:b/>
                <w:bCs/>
                <w:color w:val="000000"/>
              </w:rPr>
            </w:pPr>
            <w:r>
              <w:rPr>
                <w:rFonts w:hint="eastAsia" w:cs="宋体"/>
                <w:b/>
                <w:bCs/>
                <w:color w:val="000000"/>
                <w:kern w:val="0"/>
                <w:lang w:bidi="ar"/>
              </w:rPr>
              <w:t>功能描述</w:t>
            </w:r>
          </w:p>
        </w:tc>
      </w:tr>
      <w:tr w14:paraId="6D7E0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2" w:hRule="atLeast"/>
        </w:trPr>
        <w:tc>
          <w:tcPr>
            <w:tcW w:w="381" w:type="pct"/>
            <w:tcBorders>
              <w:tl2br w:val="nil"/>
              <w:tr2bl w:val="nil"/>
            </w:tcBorders>
            <w:vAlign w:val="center"/>
          </w:tcPr>
          <w:p w14:paraId="6A22864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w:t>
            </w:r>
          </w:p>
        </w:tc>
        <w:tc>
          <w:tcPr>
            <w:tcW w:w="447" w:type="pct"/>
            <w:vMerge w:val="restart"/>
            <w:tcBorders>
              <w:tl2br w:val="nil"/>
              <w:tr2bl w:val="nil"/>
            </w:tcBorders>
            <w:vAlign w:val="center"/>
          </w:tcPr>
          <w:p w14:paraId="718839B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联动指挥融合大屏</w:t>
            </w:r>
          </w:p>
        </w:tc>
        <w:tc>
          <w:tcPr>
            <w:tcW w:w="453" w:type="pct"/>
            <w:tcBorders>
              <w:tl2br w:val="nil"/>
              <w:tr2bl w:val="nil"/>
            </w:tcBorders>
            <w:vAlign w:val="center"/>
          </w:tcPr>
          <w:p w14:paraId="7E30587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综合首页屏（常态屏）</w:t>
            </w:r>
          </w:p>
        </w:tc>
        <w:tc>
          <w:tcPr>
            <w:tcW w:w="429" w:type="pct"/>
            <w:tcBorders>
              <w:tl2br w:val="nil"/>
              <w:tr2bl w:val="nil"/>
            </w:tcBorders>
            <w:vAlign w:val="center"/>
          </w:tcPr>
          <w:p w14:paraId="03519943">
            <w:pPr>
              <w:spacing w:line="240" w:lineRule="auto"/>
              <w:jc w:val="center"/>
              <w:rPr>
                <w:rFonts w:hint="eastAsia" w:cs="宋体"/>
                <w:color w:val="000000"/>
              </w:rPr>
            </w:pPr>
          </w:p>
        </w:tc>
        <w:tc>
          <w:tcPr>
            <w:tcW w:w="3289" w:type="pct"/>
            <w:tcBorders>
              <w:tl2br w:val="nil"/>
              <w:tr2bl w:val="nil"/>
            </w:tcBorders>
            <w:vAlign w:val="center"/>
          </w:tcPr>
          <w:p w14:paraId="2AA1DF08">
            <w:pPr>
              <w:widowControl/>
              <w:spacing w:line="240" w:lineRule="auto"/>
              <w:ind w:firstLine="0" w:firstLineChars="0"/>
              <w:textAlignment w:val="center"/>
              <w:rPr>
                <w:rFonts w:hint="eastAsia" w:cs="宋体"/>
                <w:color w:val="000000"/>
              </w:rPr>
            </w:pPr>
            <w:r>
              <w:rPr>
                <w:rFonts w:hint="eastAsia" w:cs="宋体"/>
                <w:color w:val="000000"/>
                <w:kern w:val="0"/>
                <w:lang w:bidi="ar"/>
              </w:rPr>
              <w:t>1、基本情况</w:t>
            </w:r>
            <w:r>
              <w:rPr>
                <w:rFonts w:hint="eastAsia" w:cs="宋体"/>
                <w:color w:val="000000"/>
                <w:kern w:val="0"/>
                <w:lang w:bidi="ar"/>
              </w:rPr>
              <w:br w:type="textWrapping"/>
            </w:r>
            <w:r>
              <w:rPr>
                <w:rFonts w:hint="eastAsia" w:cs="宋体"/>
                <w:color w:val="000000"/>
                <w:kern w:val="0"/>
                <w:lang w:bidi="ar"/>
              </w:rPr>
              <w:t>1）基本情况：展示城区关键性统计数据，展示整体情况</w:t>
            </w:r>
            <w:r>
              <w:rPr>
                <w:rFonts w:hint="eastAsia" w:cs="宋体"/>
                <w:color w:val="000000"/>
                <w:kern w:val="0"/>
                <w:lang w:bidi="ar"/>
              </w:rPr>
              <w:br w:type="textWrapping"/>
            </w:r>
            <w:r>
              <w:rPr>
                <w:rFonts w:hint="eastAsia" w:cs="宋体"/>
                <w:color w:val="000000"/>
                <w:kern w:val="0"/>
                <w:lang w:bidi="ar"/>
              </w:rPr>
              <w:t>2、城市治理</w:t>
            </w:r>
            <w:r>
              <w:rPr>
                <w:rFonts w:hint="eastAsia" w:cs="宋体"/>
                <w:color w:val="000000"/>
                <w:kern w:val="0"/>
                <w:lang w:bidi="ar"/>
              </w:rPr>
              <w:br w:type="textWrapping"/>
            </w:r>
            <w:r>
              <w:rPr>
                <w:rFonts w:hint="eastAsia" w:cs="宋体"/>
                <w:color w:val="000000"/>
                <w:kern w:val="0"/>
                <w:lang w:bidi="ar"/>
              </w:rPr>
              <w:t>1）客流实时数据：展示当前总体客流数据及拥挤情况</w:t>
            </w:r>
            <w:r>
              <w:rPr>
                <w:rFonts w:hint="eastAsia" w:cs="宋体"/>
                <w:color w:val="000000"/>
                <w:kern w:val="0"/>
                <w:lang w:bidi="ar"/>
              </w:rPr>
              <w:br w:type="textWrapping"/>
            </w:r>
            <w:r>
              <w:rPr>
                <w:rFonts w:hint="eastAsia" w:cs="宋体"/>
                <w:color w:val="000000"/>
                <w:kern w:val="0"/>
                <w:lang w:bidi="ar"/>
              </w:rPr>
              <w:t>2）整体评价：展示当前的拥挤指数分析及变化趋势情况</w:t>
            </w:r>
            <w:r>
              <w:rPr>
                <w:rFonts w:hint="eastAsia" w:cs="宋体"/>
                <w:color w:val="000000"/>
                <w:kern w:val="0"/>
                <w:lang w:bidi="ar"/>
              </w:rPr>
              <w:br w:type="textWrapping"/>
            </w:r>
            <w:r>
              <w:rPr>
                <w:rFonts w:hint="eastAsia" w:cs="宋体"/>
                <w:color w:val="000000"/>
                <w:kern w:val="0"/>
                <w:lang w:bidi="ar"/>
              </w:rPr>
              <w:t>3）交通运行总览：展示当前交通运行的总体统计数据</w:t>
            </w:r>
            <w:r>
              <w:rPr>
                <w:rFonts w:hint="eastAsia" w:cs="宋体"/>
                <w:color w:val="000000"/>
                <w:kern w:val="0"/>
                <w:lang w:bidi="ar"/>
              </w:rPr>
              <w:br w:type="textWrapping"/>
            </w:r>
            <w:r>
              <w:rPr>
                <w:rFonts w:hint="eastAsia" w:cs="宋体"/>
                <w:color w:val="000000"/>
                <w:kern w:val="0"/>
                <w:lang w:bidi="ar"/>
              </w:rPr>
              <w:t>4）人车通行压力：统计分析各路段的人车通行压力按照压力程度排名</w:t>
            </w:r>
            <w:r>
              <w:rPr>
                <w:rFonts w:hint="eastAsia" w:cs="宋体"/>
                <w:color w:val="000000"/>
                <w:kern w:val="0"/>
                <w:lang w:bidi="ar"/>
              </w:rPr>
              <w:br w:type="textWrapping"/>
            </w:r>
            <w:r>
              <w:rPr>
                <w:rFonts w:hint="eastAsia" w:cs="宋体"/>
                <w:color w:val="000000"/>
                <w:kern w:val="0"/>
                <w:lang w:bidi="ar"/>
              </w:rPr>
              <w:t>5）能源生产：展示关键性的能源、生产相关数据</w:t>
            </w:r>
            <w:r>
              <w:rPr>
                <w:rFonts w:hint="eastAsia" w:cs="宋体"/>
                <w:color w:val="000000"/>
                <w:kern w:val="0"/>
                <w:lang w:bidi="ar"/>
              </w:rPr>
              <w:br w:type="textWrapping"/>
            </w:r>
            <w:r>
              <w:rPr>
                <w:rFonts w:hint="eastAsia" w:cs="宋体"/>
                <w:color w:val="000000"/>
                <w:kern w:val="0"/>
                <w:lang w:bidi="ar"/>
              </w:rPr>
              <w:t>6）安全建设：展示城区针对于安全相关的建设情况</w:t>
            </w:r>
            <w:r>
              <w:rPr>
                <w:rFonts w:hint="eastAsia" w:cs="宋体"/>
                <w:color w:val="000000"/>
                <w:kern w:val="0"/>
                <w:lang w:bidi="ar"/>
              </w:rPr>
              <w:br w:type="textWrapping"/>
            </w:r>
            <w:r>
              <w:rPr>
                <w:rFonts w:hint="eastAsia" w:cs="宋体"/>
                <w:color w:val="000000"/>
                <w:kern w:val="0"/>
                <w:lang w:bidi="ar"/>
              </w:rPr>
              <w:t>7）热点</w:t>
            </w:r>
            <w:r>
              <w:rPr>
                <w:rFonts w:hint="eastAsia" w:cs="宋体"/>
                <w:color w:val="000000"/>
                <w:kern w:val="0"/>
                <w:lang w:eastAsia="zh-CN" w:bidi="ar"/>
              </w:rPr>
              <w:t>舆Q</w:t>
            </w:r>
            <w:r>
              <w:rPr>
                <w:rFonts w:hint="eastAsia" w:cs="宋体"/>
                <w:color w:val="000000"/>
                <w:kern w:val="0"/>
                <w:lang w:bidi="ar"/>
              </w:rPr>
              <w:t>：今日临港地区相关热点</w:t>
            </w:r>
            <w:r>
              <w:rPr>
                <w:rFonts w:hint="eastAsia" w:cs="宋体"/>
                <w:color w:val="000000"/>
                <w:kern w:val="0"/>
                <w:lang w:eastAsia="zh-CN" w:bidi="ar"/>
              </w:rPr>
              <w:t>舆Q</w:t>
            </w:r>
            <w:r>
              <w:rPr>
                <w:rFonts w:hint="eastAsia" w:cs="宋体"/>
                <w:color w:val="000000"/>
                <w:kern w:val="0"/>
                <w:lang w:bidi="ar"/>
              </w:rPr>
              <w:t>词云</w:t>
            </w:r>
            <w:r>
              <w:rPr>
                <w:rFonts w:hint="eastAsia" w:cs="宋体"/>
                <w:color w:val="000000"/>
                <w:kern w:val="0"/>
                <w:lang w:bidi="ar"/>
              </w:rPr>
              <w:br w:type="textWrapping"/>
            </w:r>
            <w:r>
              <w:rPr>
                <w:rFonts w:hint="eastAsia" w:cs="宋体"/>
                <w:color w:val="000000"/>
                <w:kern w:val="0"/>
                <w:lang w:bidi="ar"/>
              </w:rPr>
              <w:t>3、社区治理</w:t>
            </w:r>
            <w:r>
              <w:rPr>
                <w:rFonts w:hint="eastAsia" w:cs="宋体"/>
                <w:color w:val="000000"/>
                <w:kern w:val="0"/>
                <w:lang w:bidi="ar"/>
              </w:rPr>
              <w:br w:type="textWrapping"/>
            </w:r>
            <w:r>
              <w:rPr>
                <w:rFonts w:hint="eastAsia" w:cs="宋体"/>
                <w:color w:val="000000"/>
                <w:kern w:val="0"/>
                <w:lang w:bidi="ar"/>
              </w:rPr>
              <w:t>1）建设总览：展示接入设备、数据量、各类型设备等接入信息</w:t>
            </w:r>
            <w:r>
              <w:rPr>
                <w:rFonts w:hint="eastAsia" w:cs="宋体"/>
                <w:color w:val="000000"/>
                <w:kern w:val="0"/>
                <w:lang w:bidi="ar"/>
              </w:rPr>
              <w:br w:type="textWrapping"/>
            </w:r>
            <w:r>
              <w:rPr>
                <w:rFonts w:hint="eastAsia" w:cs="宋体"/>
                <w:color w:val="000000"/>
                <w:kern w:val="0"/>
                <w:lang w:bidi="ar"/>
              </w:rPr>
              <w:t>2）社区安全：可选择展示某社区的安全设备建设情况</w:t>
            </w:r>
            <w:r>
              <w:rPr>
                <w:rFonts w:hint="eastAsia" w:cs="宋体"/>
                <w:color w:val="000000"/>
                <w:kern w:val="0"/>
                <w:lang w:bidi="ar"/>
              </w:rPr>
              <w:br w:type="textWrapping"/>
            </w:r>
            <w:r>
              <w:rPr>
                <w:rFonts w:hint="eastAsia" w:cs="宋体"/>
                <w:color w:val="000000"/>
                <w:kern w:val="0"/>
                <w:lang w:bidi="ar"/>
              </w:rPr>
              <w:t>3）电梯运行：电梯当前运行、报警状态</w:t>
            </w:r>
            <w:r>
              <w:rPr>
                <w:rFonts w:hint="eastAsia" w:cs="宋体"/>
                <w:color w:val="000000"/>
                <w:kern w:val="0"/>
                <w:lang w:bidi="ar"/>
              </w:rPr>
              <w:br w:type="textWrapping"/>
            </w:r>
            <w:r>
              <w:rPr>
                <w:rFonts w:hint="eastAsia" w:cs="宋体"/>
                <w:color w:val="000000"/>
                <w:kern w:val="0"/>
                <w:lang w:bidi="ar"/>
              </w:rPr>
              <w:t>4）问题数据：电梯相关问题事件统计数据</w:t>
            </w:r>
            <w:r>
              <w:rPr>
                <w:rFonts w:hint="eastAsia" w:cs="宋体"/>
                <w:color w:val="000000"/>
                <w:kern w:val="0"/>
                <w:lang w:bidi="ar"/>
              </w:rPr>
              <w:br w:type="textWrapping"/>
            </w:r>
            <w:r>
              <w:rPr>
                <w:rFonts w:hint="eastAsia" w:cs="宋体"/>
                <w:color w:val="000000"/>
                <w:kern w:val="0"/>
                <w:lang w:bidi="ar"/>
              </w:rPr>
              <w:t>5）重点区域视频：展示重点区域视频监控，可点击切换不同区域展示</w:t>
            </w:r>
            <w:r>
              <w:rPr>
                <w:rFonts w:hint="eastAsia" w:cs="宋体"/>
                <w:color w:val="000000"/>
                <w:kern w:val="0"/>
                <w:lang w:bidi="ar"/>
              </w:rPr>
              <w:br w:type="textWrapping"/>
            </w:r>
            <w:r>
              <w:rPr>
                <w:rFonts w:hint="eastAsia" w:cs="宋体"/>
                <w:color w:val="000000"/>
                <w:kern w:val="0"/>
                <w:lang w:bidi="ar"/>
              </w:rPr>
              <w:t>6）气象概况：调用气象局相关数据，展示今明两天气象数据、气象预警数据</w:t>
            </w:r>
            <w:r>
              <w:rPr>
                <w:rFonts w:hint="eastAsia" w:cs="宋体"/>
                <w:color w:val="000000"/>
                <w:kern w:val="0"/>
                <w:lang w:bidi="ar"/>
              </w:rPr>
              <w:br w:type="textWrapping"/>
            </w:r>
            <w:r>
              <w:rPr>
                <w:rFonts w:hint="eastAsia" w:cs="宋体"/>
                <w:color w:val="000000"/>
                <w:kern w:val="0"/>
                <w:lang w:bidi="ar"/>
              </w:rPr>
              <w:t>7）气象详情：显示当日风速、污染、降雨等相关关键数据</w:t>
            </w:r>
            <w:r>
              <w:rPr>
                <w:rFonts w:hint="eastAsia" w:cs="宋体"/>
                <w:color w:val="000000"/>
                <w:kern w:val="0"/>
                <w:lang w:bidi="ar"/>
              </w:rPr>
              <w:br w:type="textWrapping"/>
            </w:r>
            <w:r>
              <w:rPr>
                <w:rFonts w:hint="eastAsia" w:cs="宋体"/>
                <w:color w:val="000000"/>
                <w:kern w:val="0"/>
                <w:lang w:bidi="ar"/>
              </w:rPr>
              <w:t>4、事件总览：</w:t>
            </w:r>
            <w:r>
              <w:rPr>
                <w:rFonts w:hint="eastAsia" w:cs="宋体"/>
                <w:color w:val="000000"/>
                <w:kern w:val="0"/>
                <w:lang w:bidi="ar"/>
              </w:rPr>
              <w:br w:type="textWrapping"/>
            </w:r>
            <w:r>
              <w:rPr>
                <w:rFonts w:hint="eastAsia" w:cs="宋体"/>
                <w:color w:val="000000"/>
                <w:kern w:val="0"/>
                <w:lang w:bidi="ar"/>
              </w:rPr>
              <w:t>1）重点数据：对总体事件重点指标进行分析统计</w:t>
            </w:r>
            <w:r>
              <w:rPr>
                <w:rFonts w:hint="eastAsia" w:cs="宋体"/>
                <w:color w:val="000000"/>
                <w:kern w:val="0"/>
                <w:lang w:bidi="ar"/>
              </w:rPr>
              <w:br w:type="textWrapping"/>
            </w:r>
            <w:r>
              <w:rPr>
                <w:rFonts w:hint="eastAsia" w:cs="宋体"/>
                <w:color w:val="000000"/>
                <w:kern w:val="0"/>
                <w:lang w:bidi="ar"/>
              </w:rPr>
              <w:t>2）分项统计：针对于不同类别的事件进行分项统计，支持进行时间筛选</w:t>
            </w:r>
            <w:r>
              <w:rPr>
                <w:rFonts w:hint="eastAsia" w:cs="宋体"/>
                <w:color w:val="000000"/>
                <w:kern w:val="0"/>
                <w:lang w:bidi="ar"/>
              </w:rPr>
              <w:br w:type="textWrapping"/>
            </w:r>
            <w:r>
              <w:rPr>
                <w:rFonts w:hint="eastAsia" w:cs="宋体"/>
                <w:color w:val="000000"/>
                <w:kern w:val="0"/>
                <w:lang w:bidi="ar"/>
              </w:rPr>
              <w:t>3）事件热力图：展示全城的事件热力图，可直观的通过颜色了解到事件密度与空间关系</w:t>
            </w:r>
            <w:r>
              <w:rPr>
                <w:rFonts w:hint="eastAsia" w:cs="宋体"/>
                <w:color w:val="000000"/>
                <w:kern w:val="0"/>
                <w:lang w:bidi="ar"/>
              </w:rPr>
              <w:br w:type="textWrapping"/>
            </w:r>
            <w:r>
              <w:rPr>
                <w:rFonts w:hint="eastAsia" w:cs="宋体"/>
                <w:color w:val="000000"/>
                <w:kern w:val="0"/>
                <w:lang w:bidi="ar"/>
              </w:rPr>
              <w:t>5、城运工具箱：</w:t>
            </w:r>
            <w:r>
              <w:rPr>
                <w:rFonts w:hint="eastAsia" w:cs="宋体"/>
                <w:color w:val="000000"/>
                <w:kern w:val="0"/>
                <w:lang w:bidi="ar"/>
              </w:rPr>
              <w:br w:type="textWrapping"/>
            </w:r>
            <w:r>
              <w:rPr>
                <w:rFonts w:hint="eastAsia" w:cs="宋体"/>
                <w:color w:val="000000"/>
                <w:kern w:val="0"/>
                <w:lang w:bidi="ar"/>
              </w:rPr>
              <w:t>1）工具统计：按工具类型统计各类别的接入情况</w:t>
            </w:r>
            <w:r>
              <w:rPr>
                <w:rFonts w:hint="eastAsia" w:cs="宋体"/>
                <w:color w:val="000000"/>
                <w:kern w:val="0"/>
                <w:lang w:bidi="ar"/>
              </w:rPr>
              <w:br w:type="textWrapping"/>
            </w:r>
            <w:r>
              <w:rPr>
                <w:rFonts w:hint="eastAsia" w:cs="宋体"/>
                <w:color w:val="000000"/>
                <w:kern w:val="0"/>
                <w:lang w:bidi="ar"/>
              </w:rPr>
              <w:t>2）实物调用：按时间分析各实物调用占比、次数、调用最多部门数据，展示部门调用情况实时记录</w:t>
            </w:r>
          </w:p>
        </w:tc>
      </w:tr>
      <w:tr w14:paraId="4B8EB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0" w:hRule="atLeast"/>
        </w:trPr>
        <w:tc>
          <w:tcPr>
            <w:tcW w:w="381" w:type="pct"/>
            <w:tcBorders>
              <w:tl2br w:val="nil"/>
              <w:tr2bl w:val="nil"/>
            </w:tcBorders>
            <w:vAlign w:val="center"/>
          </w:tcPr>
          <w:p w14:paraId="6241E90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w:t>
            </w:r>
          </w:p>
        </w:tc>
        <w:tc>
          <w:tcPr>
            <w:tcW w:w="447" w:type="pct"/>
            <w:vMerge w:val="continue"/>
            <w:tcBorders>
              <w:tl2br w:val="nil"/>
              <w:tr2bl w:val="nil"/>
            </w:tcBorders>
            <w:vAlign w:val="center"/>
          </w:tcPr>
          <w:p w14:paraId="1091BDB0">
            <w:pPr>
              <w:spacing w:line="240" w:lineRule="auto"/>
              <w:jc w:val="left"/>
              <w:rPr>
                <w:rFonts w:hint="eastAsia" w:cs="宋体"/>
                <w:color w:val="000000"/>
              </w:rPr>
            </w:pPr>
          </w:p>
        </w:tc>
        <w:tc>
          <w:tcPr>
            <w:tcW w:w="453" w:type="pct"/>
            <w:tcBorders>
              <w:tl2br w:val="nil"/>
              <w:tr2bl w:val="nil"/>
            </w:tcBorders>
            <w:vAlign w:val="center"/>
          </w:tcPr>
          <w:p w14:paraId="7D57499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联动指挥屏</w:t>
            </w:r>
          </w:p>
        </w:tc>
        <w:tc>
          <w:tcPr>
            <w:tcW w:w="429" w:type="pct"/>
            <w:tcBorders>
              <w:tl2br w:val="nil"/>
              <w:tr2bl w:val="nil"/>
            </w:tcBorders>
            <w:vAlign w:val="center"/>
          </w:tcPr>
          <w:p w14:paraId="479FD6B8">
            <w:pPr>
              <w:spacing w:line="240" w:lineRule="auto"/>
              <w:jc w:val="left"/>
              <w:rPr>
                <w:rFonts w:hint="eastAsia" w:cs="宋体"/>
                <w:color w:val="000000"/>
              </w:rPr>
            </w:pPr>
          </w:p>
        </w:tc>
        <w:tc>
          <w:tcPr>
            <w:tcW w:w="3289" w:type="pct"/>
            <w:tcBorders>
              <w:tl2br w:val="nil"/>
              <w:tr2bl w:val="nil"/>
            </w:tcBorders>
            <w:vAlign w:val="center"/>
          </w:tcPr>
          <w:p w14:paraId="61499D54">
            <w:pPr>
              <w:widowControl/>
              <w:spacing w:line="240" w:lineRule="auto"/>
              <w:ind w:firstLine="0" w:firstLineChars="0"/>
              <w:textAlignment w:val="center"/>
              <w:rPr>
                <w:rFonts w:hint="eastAsia" w:cs="宋体"/>
                <w:color w:val="000000"/>
              </w:rPr>
            </w:pPr>
            <w:r>
              <w:rPr>
                <w:rFonts w:hint="eastAsia" w:cs="宋体"/>
                <w:color w:val="000000"/>
                <w:kern w:val="0"/>
                <w:lang w:bidi="ar"/>
              </w:rPr>
              <w:t>1、综合预警监测：</w:t>
            </w:r>
            <w:r>
              <w:rPr>
                <w:rFonts w:hint="eastAsia" w:cs="宋体"/>
                <w:color w:val="000000"/>
                <w:kern w:val="0"/>
                <w:lang w:bidi="ar"/>
              </w:rPr>
              <w:br w:type="textWrapping"/>
            </w:r>
            <w:r>
              <w:rPr>
                <w:rFonts w:hint="eastAsia" w:cs="宋体"/>
                <w:color w:val="000000"/>
                <w:kern w:val="0"/>
                <w:lang w:bidi="ar"/>
              </w:rPr>
              <w:t>1）预警统计：统计多类型预警信息总数及子项，展示</w:t>
            </w:r>
            <w:r>
              <w:rPr>
                <w:rFonts w:hint="eastAsia" w:cs="宋体"/>
                <w:color w:val="000000"/>
                <w:kern w:val="0"/>
                <w:lang w:eastAsia="zh-CN" w:bidi="ar"/>
              </w:rPr>
              <w:t>舆Q</w:t>
            </w:r>
            <w:r>
              <w:rPr>
                <w:rFonts w:hint="eastAsia" w:cs="宋体"/>
                <w:color w:val="000000"/>
                <w:kern w:val="0"/>
                <w:lang w:bidi="ar"/>
              </w:rPr>
              <w:t>监测词云</w:t>
            </w:r>
            <w:r>
              <w:rPr>
                <w:rFonts w:hint="eastAsia" w:cs="宋体"/>
                <w:color w:val="000000"/>
                <w:kern w:val="0"/>
                <w:lang w:bidi="ar"/>
              </w:rPr>
              <w:br w:type="textWrapping"/>
            </w:r>
            <w:r>
              <w:rPr>
                <w:rFonts w:hint="eastAsia" w:cs="宋体"/>
                <w:color w:val="000000"/>
                <w:kern w:val="0"/>
                <w:lang w:bidi="ar"/>
              </w:rPr>
              <w:t>2）预警详情：以图表的形式展示某类型预警的详情信息，展示详细分析项</w:t>
            </w:r>
            <w:r>
              <w:rPr>
                <w:rFonts w:hint="eastAsia" w:cs="宋体"/>
                <w:color w:val="000000"/>
                <w:kern w:val="0"/>
                <w:lang w:bidi="ar"/>
              </w:rPr>
              <w:br w:type="textWrapping"/>
            </w:r>
            <w:r>
              <w:rPr>
                <w:rFonts w:hint="eastAsia" w:cs="宋体"/>
                <w:color w:val="000000"/>
                <w:kern w:val="0"/>
                <w:lang w:bidi="ar"/>
              </w:rPr>
              <w:t>2、应急资源态势：</w:t>
            </w:r>
            <w:r>
              <w:rPr>
                <w:rFonts w:hint="eastAsia" w:cs="宋体"/>
                <w:color w:val="000000"/>
                <w:kern w:val="0"/>
                <w:lang w:bidi="ar"/>
              </w:rPr>
              <w:br w:type="textWrapping"/>
            </w:r>
            <w:r>
              <w:rPr>
                <w:rFonts w:hint="eastAsia" w:cs="宋体"/>
                <w:color w:val="000000"/>
                <w:kern w:val="0"/>
                <w:lang w:bidi="ar"/>
              </w:rPr>
              <w:t>1）人员力量：展示值班及负责人相关信息，可点击查看详情</w:t>
            </w:r>
            <w:r>
              <w:rPr>
                <w:rFonts w:hint="eastAsia" w:cs="宋体"/>
                <w:color w:val="000000"/>
                <w:kern w:val="0"/>
                <w:lang w:bidi="ar"/>
              </w:rPr>
              <w:br w:type="textWrapping"/>
            </w:r>
            <w:r>
              <w:rPr>
                <w:rFonts w:hint="eastAsia" w:cs="宋体"/>
                <w:color w:val="000000"/>
                <w:kern w:val="0"/>
                <w:lang w:bidi="ar"/>
              </w:rPr>
              <w:t>2）监测设备：展示预警监测设备的统计数据，可点击查看详情</w:t>
            </w:r>
            <w:r>
              <w:rPr>
                <w:rFonts w:hint="eastAsia" w:cs="宋体"/>
                <w:color w:val="000000"/>
                <w:kern w:val="0"/>
                <w:lang w:bidi="ar"/>
              </w:rPr>
              <w:br w:type="textWrapping"/>
            </w:r>
            <w:r>
              <w:rPr>
                <w:rFonts w:hint="eastAsia" w:cs="宋体"/>
                <w:color w:val="000000"/>
                <w:kern w:val="0"/>
                <w:lang w:bidi="ar"/>
              </w:rPr>
              <w:t>3）应急设备：统计各区域可调用应急设备数据，可点击查看详情</w:t>
            </w:r>
            <w:r>
              <w:rPr>
                <w:rFonts w:hint="eastAsia" w:cs="宋体"/>
                <w:color w:val="000000"/>
                <w:kern w:val="0"/>
                <w:lang w:bidi="ar"/>
              </w:rPr>
              <w:br w:type="textWrapping"/>
            </w:r>
            <w:r>
              <w:rPr>
                <w:rFonts w:hint="eastAsia" w:cs="宋体"/>
                <w:color w:val="000000"/>
                <w:kern w:val="0"/>
                <w:lang w:bidi="ar"/>
              </w:rPr>
              <w:t>3、区域运行态势：</w:t>
            </w:r>
            <w:r>
              <w:rPr>
                <w:rFonts w:hint="eastAsia" w:cs="宋体"/>
                <w:color w:val="000000"/>
                <w:kern w:val="0"/>
                <w:lang w:bidi="ar"/>
              </w:rPr>
              <w:br w:type="textWrapping"/>
            </w:r>
            <w:r>
              <w:rPr>
                <w:rFonts w:hint="eastAsia" w:cs="宋体"/>
                <w:color w:val="000000"/>
                <w:kern w:val="0"/>
                <w:lang w:bidi="ar"/>
              </w:rPr>
              <w:t>1）人流情况：当前各区域实时人流统计情况，并按重点区域进行分类统计</w:t>
            </w:r>
            <w:r>
              <w:rPr>
                <w:rFonts w:hint="eastAsia" w:cs="宋体"/>
                <w:color w:val="000000"/>
                <w:kern w:val="0"/>
                <w:lang w:bidi="ar"/>
              </w:rPr>
              <w:br w:type="textWrapping"/>
            </w:r>
            <w:r>
              <w:rPr>
                <w:rFonts w:hint="eastAsia" w:cs="宋体"/>
                <w:color w:val="000000"/>
                <w:kern w:val="0"/>
                <w:lang w:bidi="ar"/>
              </w:rPr>
              <w:t>2）车流情况：当前各区域实时车流及拥堵情况，地铁进出站，公交车等公共交通工具运行状态</w:t>
            </w:r>
            <w:r>
              <w:rPr>
                <w:rFonts w:hint="eastAsia" w:cs="宋体"/>
                <w:color w:val="000000"/>
                <w:kern w:val="0"/>
                <w:lang w:bidi="ar"/>
              </w:rPr>
              <w:br w:type="textWrapping"/>
            </w:r>
            <w:r>
              <w:rPr>
                <w:rFonts w:hint="eastAsia" w:cs="宋体"/>
                <w:color w:val="000000"/>
                <w:kern w:val="0"/>
                <w:lang w:bidi="ar"/>
              </w:rPr>
              <w:t>4、重点区域视频：展示重点区域视频监控，可点击切换不同区域展示</w:t>
            </w:r>
            <w:r>
              <w:rPr>
                <w:rFonts w:hint="eastAsia" w:cs="宋体"/>
                <w:color w:val="000000"/>
                <w:kern w:val="0"/>
                <w:lang w:bidi="ar"/>
              </w:rPr>
              <w:br w:type="textWrapping"/>
            </w:r>
            <w:r>
              <w:rPr>
                <w:rFonts w:hint="eastAsia" w:cs="宋体"/>
                <w:color w:val="000000"/>
                <w:kern w:val="0"/>
                <w:lang w:bidi="ar"/>
              </w:rPr>
              <w:t>5、综合事件中枢：</w:t>
            </w:r>
            <w:r>
              <w:rPr>
                <w:rFonts w:hint="eastAsia" w:cs="宋体"/>
                <w:color w:val="000000"/>
                <w:kern w:val="0"/>
                <w:lang w:bidi="ar"/>
              </w:rPr>
              <w:br w:type="textWrapping"/>
            </w:r>
            <w:r>
              <w:rPr>
                <w:rFonts w:hint="eastAsia" w:cs="宋体"/>
                <w:color w:val="000000"/>
                <w:kern w:val="0"/>
                <w:lang w:bidi="ar"/>
              </w:rPr>
              <w:t>1）事件分类统计：按照数据来源区分统计当前的各类事件</w:t>
            </w:r>
            <w:r>
              <w:rPr>
                <w:rFonts w:hint="eastAsia" w:cs="宋体"/>
                <w:color w:val="000000"/>
                <w:kern w:val="0"/>
                <w:lang w:bidi="ar"/>
              </w:rPr>
              <w:br w:type="textWrapping"/>
            </w:r>
            <w:r>
              <w:rPr>
                <w:rFonts w:hint="eastAsia" w:cs="宋体"/>
                <w:color w:val="000000"/>
                <w:kern w:val="0"/>
                <w:lang w:bidi="ar"/>
              </w:rPr>
              <w:t>2）事件趋势图：在时间维度上展示事件的趋势情况</w:t>
            </w:r>
            <w:r>
              <w:rPr>
                <w:rFonts w:hint="eastAsia" w:cs="宋体"/>
                <w:color w:val="000000"/>
                <w:kern w:val="0"/>
                <w:lang w:bidi="ar"/>
              </w:rPr>
              <w:br w:type="textWrapping"/>
            </w:r>
            <w:r>
              <w:rPr>
                <w:rFonts w:hint="eastAsia" w:cs="宋体"/>
                <w:color w:val="000000"/>
                <w:kern w:val="0"/>
                <w:lang w:bidi="ar"/>
              </w:rPr>
              <w:t>3）事件列表：展示当前各类事件列表，可点击查看事件详情</w:t>
            </w:r>
            <w:r>
              <w:rPr>
                <w:rFonts w:hint="eastAsia" w:cs="宋体"/>
                <w:color w:val="000000"/>
                <w:kern w:val="0"/>
                <w:lang w:bidi="ar"/>
              </w:rPr>
              <w:br w:type="textWrapping"/>
            </w:r>
            <w:r>
              <w:rPr>
                <w:rFonts w:hint="eastAsia" w:cs="宋体"/>
                <w:color w:val="000000"/>
                <w:kern w:val="0"/>
                <w:lang w:bidi="ar"/>
              </w:rPr>
              <w:t>6、指挥决策中枢：</w:t>
            </w:r>
            <w:r>
              <w:rPr>
                <w:rFonts w:hint="eastAsia" w:cs="宋体"/>
                <w:color w:val="000000"/>
                <w:kern w:val="0"/>
                <w:lang w:bidi="ar"/>
              </w:rPr>
              <w:br w:type="textWrapping"/>
            </w:r>
            <w:r>
              <w:rPr>
                <w:rFonts w:hint="eastAsia" w:cs="宋体"/>
                <w:color w:val="000000"/>
                <w:kern w:val="0"/>
                <w:lang w:bidi="ar"/>
              </w:rPr>
              <w:t>1）历史事件：统计分析事件数据帮助进行决策</w:t>
            </w:r>
            <w:r>
              <w:rPr>
                <w:rFonts w:hint="eastAsia" w:cs="宋体"/>
                <w:color w:val="000000"/>
                <w:kern w:val="0"/>
                <w:lang w:bidi="ar"/>
              </w:rPr>
              <w:br w:type="textWrapping"/>
            </w:r>
            <w:r>
              <w:rPr>
                <w:rFonts w:hint="eastAsia" w:cs="宋体"/>
                <w:color w:val="000000"/>
                <w:kern w:val="0"/>
                <w:lang w:bidi="ar"/>
              </w:rPr>
              <w:t>2）相关预案：可综合搜索事件的预案，可点击查看详情</w:t>
            </w:r>
            <w:r>
              <w:rPr>
                <w:rFonts w:hint="eastAsia" w:cs="宋体"/>
                <w:color w:val="000000"/>
                <w:kern w:val="0"/>
                <w:lang w:bidi="ar"/>
              </w:rPr>
              <w:br w:type="textWrapping"/>
            </w:r>
            <w:r>
              <w:rPr>
                <w:rFonts w:hint="eastAsia" w:cs="宋体"/>
                <w:color w:val="000000"/>
                <w:kern w:val="0"/>
                <w:lang w:bidi="ar"/>
              </w:rPr>
              <w:t>3）监测设备：展示监测设备的感知数据可辅助进行决策</w:t>
            </w:r>
          </w:p>
        </w:tc>
      </w:tr>
      <w:tr w14:paraId="3FD0D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00" w:hRule="atLeast"/>
        </w:trPr>
        <w:tc>
          <w:tcPr>
            <w:tcW w:w="381" w:type="pct"/>
            <w:tcBorders>
              <w:tl2br w:val="nil"/>
              <w:tr2bl w:val="nil"/>
            </w:tcBorders>
            <w:vAlign w:val="center"/>
          </w:tcPr>
          <w:p w14:paraId="3D7099F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w:t>
            </w:r>
          </w:p>
        </w:tc>
        <w:tc>
          <w:tcPr>
            <w:tcW w:w="447" w:type="pct"/>
            <w:vMerge w:val="continue"/>
            <w:tcBorders>
              <w:tl2br w:val="nil"/>
              <w:tr2bl w:val="nil"/>
            </w:tcBorders>
            <w:vAlign w:val="center"/>
          </w:tcPr>
          <w:p w14:paraId="033D9E50">
            <w:pPr>
              <w:spacing w:line="240" w:lineRule="auto"/>
              <w:jc w:val="left"/>
              <w:rPr>
                <w:rFonts w:hint="eastAsia" w:cs="宋体"/>
                <w:color w:val="000000"/>
              </w:rPr>
            </w:pPr>
          </w:p>
        </w:tc>
        <w:tc>
          <w:tcPr>
            <w:tcW w:w="453" w:type="pct"/>
            <w:vMerge w:val="restart"/>
            <w:tcBorders>
              <w:tl2br w:val="nil"/>
              <w:tr2bl w:val="nil"/>
            </w:tcBorders>
            <w:vAlign w:val="center"/>
          </w:tcPr>
          <w:p w14:paraId="70197E0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自然灾害应用场景</w:t>
            </w:r>
          </w:p>
        </w:tc>
        <w:tc>
          <w:tcPr>
            <w:tcW w:w="429" w:type="pct"/>
            <w:tcBorders>
              <w:tl2br w:val="nil"/>
              <w:tr2bl w:val="nil"/>
            </w:tcBorders>
            <w:vAlign w:val="center"/>
          </w:tcPr>
          <w:p w14:paraId="41114F88">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天气态势分析</w:t>
            </w:r>
          </w:p>
        </w:tc>
        <w:tc>
          <w:tcPr>
            <w:tcW w:w="3289" w:type="pct"/>
            <w:tcBorders>
              <w:tl2br w:val="nil"/>
              <w:tr2bl w:val="nil"/>
            </w:tcBorders>
            <w:vAlign w:val="center"/>
          </w:tcPr>
          <w:p w14:paraId="27FC8FB3">
            <w:pPr>
              <w:widowControl/>
              <w:spacing w:line="240" w:lineRule="auto"/>
              <w:ind w:firstLine="0" w:firstLineChars="0"/>
              <w:textAlignment w:val="center"/>
              <w:rPr>
                <w:rFonts w:hint="eastAsia" w:cs="宋体"/>
                <w:color w:val="000000"/>
              </w:rPr>
            </w:pPr>
            <w:r>
              <w:rPr>
                <w:rFonts w:hint="eastAsia" w:cs="宋体"/>
                <w:color w:val="000000"/>
                <w:kern w:val="0"/>
                <w:lang w:bidi="ar"/>
              </w:rPr>
              <w:t>1、天气态势分析</w:t>
            </w:r>
            <w:r>
              <w:rPr>
                <w:rFonts w:hint="eastAsia" w:cs="宋体"/>
                <w:color w:val="000000"/>
                <w:kern w:val="0"/>
                <w:lang w:bidi="ar"/>
              </w:rPr>
              <w:br w:type="textWrapping"/>
            </w:r>
            <w:r>
              <w:rPr>
                <w:rFonts w:hint="eastAsia" w:cs="宋体"/>
                <w:color w:val="000000"/>
                <w:kern w:val="0"/>
                <w:lang w:bidi="ar"/>
              </w:rPr>
              <w:t>1）实时视频实景：接入重点区域监控摄像头，实时展示视频监控内容，同时在视频界面上标注温度、风向风力以及能见度等气象要素信息。</w:t>
            </w:r>
            <w:r>
              <w:rPr>
                <w:rFonts w:hint="eastAsia" w:cs="宋体"/>
                <w:color w:val="000000"/>
                <w:kern w:val="0"/>
                <w:lang w:bidi="ar"/>
              </w:rPr>
              <w:br w:type="textWrapping"/>
            </w:r>
            <w:r>
              <w:rPr>
                <w:rFonts w:hint="eastAsia" w:cs="宋体"/>
                <w:color w:val="000000"/>
                <w:kern w:val="0"/>
                <w:lang w:bidi="ar"/>
              </w:rPr>
              <w:t>2）南汇新城镇72小时逐3小时预报：展示未来72小时逐3小时南汇新城镇温度、风力以及降水等气象要素的预报信息。</w:t>
            </w:r>
            <w:r>
              <w:rPr>
                <w:rFonts w:hint="eastAsia" w:cs="宋体"/>
                <w:color w:val="000000"/>
                <w:kern w:val="0"/>
                <w:lang w:bidi="ar"/>
              </w:rPr>
              <w:br w:type="textWrapping"/>
            </w:r>
            <w:r>
              <w:rPr>
                <w:rFonts w:hint="eastAsia" w:cs="宋体"/>
                <w:color w:val="000000"/>
                <w:kern w:val="0"/>
                <w:lang w:bidi="ar"/>
              </w:rPr>
              <w:t>3）站点排名：根据当前降雨、大风、气温三要素，按照最近一段时间（1h、3h、6h、12h）进行排名，排名结果联动到地图高亮显示，同步显示时段。</w:t>
            </w:r>
            <w:r>
              <w:rPr>
                <w:rFonts w:hint="eastAsia" w:cs="宋体"/>
                <w:color w:val="000000"/>
                <w:kern w:val="0"/>
                <w:lang w:bidi="ar"/>
              </w:rPr>
              <w:br w:type="textWrapping"/>
            </w:r>
            <w:r>
              <w:rPr>
                <w:rFonts w:hint="eastAsia" w:cs="宋体"/>
                <w:color w:val="000000"/>
                <w:kern w:val="0"/>
                <w:lang w:bidi="ar"/>
              </w:rPr>
              <w:t>4）台风列表台风路径：显示历史台风，当前台风显示内容包括编号、英文名和中文名，选中后联动到地图上显示台风路径；历史台风联动到地图上显示历史台风路径、强度、风圈等。</w:t>
            </w:r>
            <w:r>
              <w:rPr>
                <w:rFonts w:hint="eastAsia" w:cs="宋体"/>
                <w:color w:val="000000"/>
                <w:kern w:val="0"/>
                <w:lang w:bidi="ar"/>
              </w:rPr>
              <w:br w:type="textWrapping"/>
            </w:r>
            <w:r>
              <w:rPr>
                <w:rFonts w:hint="eastAsia" w:cs="宋体"/>
                <w:color w:val="000000"/>
                <w:kern w:val="0"/>
                <w:lang w:bidi="ar"/>
              </w:rPr>
              <w:t>5）台风快讯：显示台风快讯信息、台风专报信息及对应服务内容。</w:t>
            </w:r>
            <w:r>
              <w:rPr>
                <w:rFonts w:hint="eastAsia" w:cs="宋体"/>
                <w:color w:val="000000"/>
                <w:kern w:val="0"/>
                <w:lang w:bidi="ar"/>
              </w:rPr>
              <w:br w:type="textWrapping"/>
            </w:r>
            <w:r>
              <w:rPr>
                <w:rFonts w:hint="eastAsia" w:cs="宋体"/>
                <w:color w:val="000000"/>
                <w:kern w:val="0"/>
                <w:lang w:bidi="ar"/>
              </w:rPr>
              <w:t>6）实现对历史天气数据的查询和导出。</w:t>
            </w:r>
            <w:r>
              <w:rPr>
                <w:rFonts w:hint="eastAsia" w:cs="宋体"/>
                <w:color w:val="000000"/>
                <w:kern w:val="0"/>
                <w:lang w:bidi="ar"/>
              </w:rPr>
              <w:br w:type="textWrapping"/>
            </w:r>
            <w:r>
              <w:rPr>
                <w:rFonts w:hint="eastAsia" w:cs="宋体"/>
                <w:color w:val="000000"/>
                <w:kern w:val="0"/>
                <w:lang w:bidi="ar"/>
              </w:rPr>
              <w:t>2、集成数据地图展示：包括1）自动站监测数据要素分布图、2）雷达图层、3）卫星云图图层、4）台风路径绘制、5）综合风险专题图层、6）大风风险专题图层、7）降水风险专题图层、8）场景信息、9）预警信号、10）基于位置、场景的气象数据联动</w:t>
            </w:r>
          </w:p>
        </w:tc>
      </w:tr>
      <w:tr w14:paraId="370F02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trPr>
        <w:tc>
          <w:tcPr>
            <w:tcW w:w="381" w:type="pct"/>
            <w:tcBorders>
              <w:tl2br w:val="nil"/>
              <w:tr2bl w:val="nil"/>
            </w:tcBorders>
            <w:vAlign w:val="center"/>
          </w:tcPr>
          <w:p w14:paraId="0A185DD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w:t>
            </w:r>
          </w:p>
        </w:tc>
        <w:tc>
          <w:tcPr>
            <w:tcW w:w="447" w:type="pct"/>
            <w:vMerge w:val="continue"/>
            <w:tcBorders>
              <w:tl2br w:val="nil"/>
              <w:tr2bl w:val="nil"/>
            </w:tcBorders>
            <w:vAlign w:val="center"/>
          </w:tcPr>
          <w:p w14:paraId="2330EEA7">
            <w:pPr>
              <w:spacing w:line="240" w:lineRule="auto"/>
              <w:jc w:val="left"/>
              <w:rPr>
                <w:rFonts w:hint="eastAsia" w:cs="宋体"/>
                <w:color w:val="000000"/>
              </w:rPr>
            </w:pPr>
          </w:p>
        </w:tc>
        <w:tc>
          <w:tcPr>
            <w:tcW w:w="453" w:type="pct"/>
            <w:vMerge w:val="continue"/>
            <w:tcBorders>
              <w:tl2br w:val="nil"/>
              <w:tr2bl w:val="nil"/>
            </w:tcBorders>
            <w:vAlign w:val="center"/>
          </w:tcPr>
          <w:p w14:paraId="08E6E6E0">
            <w:pPr>
              <w:spacing w:line="240" w:lineRule="auto"/>
              <w:jc w:val="left"/>
              <w:rPr>
                <w:rFonts w:hint="eastAsia" w:cs="宋体"/>
                <w:color w:val="000000"/>
              </w:rPr>
            </w:pPr>
          </w:p>
        </w:tc>
        <w:tc>
          <w:tcPr>
            <w:tcW w:w="429" w:type="pct"/>
            <w:tcBorders>
              <w:tl2br w:val="nil"/>
              <w:tr2bl w:val="nil"/>
            </w:tcBorders>
            <w:vAlign w:val="center"/>
          </w:tcPr>
          <w:p w14:paraId="0BBB8064">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暴雨内涝影响评估</w:t>
            </w:r>
          </w:p>
        </w:tc>
        <w:tc>
          <w:tcPr>
            <w:tcW w:w="3289" w:type="pct"/>
            <w:tcBorders>
              <w:tl2br w:val="nil"/>
              <w:tr2bl w:val="nil"/>
            </w:tcBorders>
            <w:vAlign w:val="center"/>
          </w:tcPr>
          <w:p w14:paraId="2D234985">
            <w:pPr>
              <w:widowControl/>
              <w:spacing w:line="240" w:lineRule="auto"/>
              <w:ind w:firstLine="0" w:firstLineChars="0"/>
              <w:textAlignment w:val="center"/>
              <w:rPr>
                <w:rFonts w:hint="eastAsia" w:cs="宋体"/>
                <w:color w:val="000000"/>
              </w:rPr>
            </w:pPr>
            <w:r>
              <w:rPr>
                <w:rFonts w:hint="eastAsia" w:cs="宋体"/>
                <w:color w:val="000000"/>
                <w:kern w:val="0"/>
                <w:lang w:bidi="ar"/>
              </w:rPr>
              <w:t>3、暴雨内涝影响评估</w:t>
            </w:r>
            <w:r>
              <w:rPr>
                <w:rFonts w:hint="eastAsia" w:cs="宋体"/>
                <w:color w:val="000000"/>
                <w:kern w:val="0"/>
                <w:lang w:bidi="ar"/>
              </w:rPr>
              <w:br w:type="textWrapping"/>
            </w:r>
            <w:r>
              <w:rPr>
                <w:rFonts w:hint="eastAsia" w:cs="宋体"/>
                <w:color w:val="000000"/>
                <w:kern w:val="0"/>
                <w:lang w:bidi="ar"/>
              </w:rPr>
              <w:t>1）实时水位：展示南汇新城镇的实时水位数据，通过设置水位报警阈值，对南汇新城镇内各水位监测点位进行实时监控。</w:t>
            </w:r>
            <w:r>
              <w:rPr>
                <w:rFonts w:hint="eastAsia" w:cs="宋体"/>
                <w:color w:val="000000"/>
                <w:kern w:val="0"/>
                <w:lang w:bidi="ar"/>
              </w:rPr>
              <w:br w:type="textWrapping"/>
            </w:r>
            <w:r>
              <w:rPr>
                <w:rFonts w:hint="eastAsia" w:cs="宋体"/>
                <w:color w:val="000000"/>
                <w:kern w:val="0"/>
                <w:lang w:bidi="ar"/>
              </w:rPr>
              <w:t>2）降水实况：通过选择不同的时段（1小时，6小时，12小时，24小时）以南汇新城镇内的观测站点为单位对时段内累计降水进行分量级统计，展示各降水量级的点位数量分布情况；同时进行累计雨量排名；并筛选时段内累积最大雨量值出现的街道和雨量值。接入展示25个雨水泵站相关数据。</w:t>
            </w:r>
            <w:r>
              <w:rPr>
                <w:rFonts w:hint="eastAsia" w:cs="宋体"/>
                <w:color w:val="000000"/>
                <w:kern w:val="0"/>
                <w:lang w:bidi="ar"/>
              </w:rPr>
              <w:br w:type="textWrapping"/>
            </w:r>
            <w:r>
              <w:rPr>
                <w:rFonts w:hint="eastAsia" w:cs="宋体"/>
                <w:color w:val="000000"/>
                <w:kern w:val="0"/>
                <w:lang w:bidi="ar"/>
              </w:rPr>
              <w:t>3）暴雨预警：基于气象局发布的暴雨预警信息，以列表的形式进行展示，点击可查看预警详情。</w:t>
            </w:r>
            <w:r>
              <w:rPr>
                <w:rFonts w:hint="eastAsia" w:cs="宋体"/>
                <w:color w:val="000000"/>
                <w:kern w:val="0"/>
                <w:lang w:bidi="ar"/>
              </w:rPr>
              <w:br w:type="textWrapping"/>
            </w:r>
            <w:r>
              <w:rPr>
                <w:rFonts w:hint="eastAsia" w:cs="宋体"/>
                <w:color w:val="000000"/>
                <w:kern w:val="0"/>
                <w:lang w:bidi="ar"/>
              </w:rPr>
              <w:t>4）积涝风险：制定暴雨内涝各风险等级的阈值指标，展示南汇新城镇各点位的暴雨内涝风险等级。</w:t>
            </w:r>
            <w:r>
              <w:rPr>
                <w:rFonts w:hint="eastAsia" w:cs="宋体"/>
                <w:color w:val="000000"/>
                <w:kern w:val="0"/>
                <w:lang w:bidi="ar"/>
              </w:rPr>
              <w:br w:type="textWrapping"/>
            </w:r>
            <w:r>
              <w:rPr>
                <w:rFonts w:hint="eastAsia" w:cs="宋体"/>
                <w:color w:val="000000"/>
                <w:kern w:val="0"/>
                <w:lang w:bidi="ar"/>
              </w:rPr>
              <w:t>5）气象灾情：接入气象灾情数据，进行实时统计，统计当前发生在南汇新城镇的气象灾情数据；若当前未发生气象灾情，则统计过去1年，每月所发生的气象灾情数据。</w:t>
            </w:r>
            <w:r>
              <w:rPr>
                <w:rFonts w:hint="eastAsia" w:cs="宋体"/>
                <w:color w:val="000000"/>
                <w:kern w:val="0"/>
                <w:lang w:bidi="ar"/>
              </w:rPr>
              <w:br w:type="textWrapping"/>
            </w:r>
            <w:r>
              <w:rPr>
                <w:rFonts w:hint="eastAsia" w:cs="宋体"/>
                <w:color w:val="000000"/>
                <w:kern w:val="0"/>
                <w:lang w:bidi="ar"/>
              </w:rPr>
              <w:t>6）灾情详情：展示南汇新城镇实时发生的气象灾情信息，包括报警时间、报警电话、灾害类型、灾情描述等。</w:t>
            </w:r>
            <w:r>
              <w:rPr>
                <w:rFonts w:hint="eastAsia" w:cs="宋体"/>
                <w:color w:val="000000"/>
                <w:kern w:val="0"/>
                <w:lang w:bidi="ar"/>
              </w:rPr>
              <w:br w:type="textWrapping"/>
            </w:r>
            <w:r>
              <w:rPr>
                <w:rFonts w:hint="eastAsia" w:cs="宋体"/>
                <w:color w:val="000000"/>
                <w:kern w:val="0"/>
                <w:lang w:bidi="ar"/>
              </w:rPr>
              <w:t>7）积水监测：展示积水点监测数据，通过设置报警阈值，对南汇新城镇内各积水点进行实时监测。</w:t>
            </w:r>
            <w:r>
              <w:rPr>
                <w:rFonts w:hint="eastAsia" w:cs="宋体"/>
                <w:color w:val="000000"/>
                <w:kern w:val="0"/>
                <w:lang w:bidi="ar"/>
              </w:rPr>
              <w:br w:type="textWrapping"/>
            </w:r>
            <w:r>
              <w:rPr>
                <w:rFonts w:hint="eastAsia" w:cs="宋体"/>
                <w:color w:val="000000"/>
                <w:kern w:val="0"/>
                <w:lang w:bidi="ar"/>
              </w:rPr>
              <w:t>8）隐患点风险：展示暴雨内涝隐患点数据及暴雨内涝风险等级，进行列表排名显示。</w:t>
            </w:r>
            <w:r>
              <w:rPr>
                <w:rFonts w:hint="eastAsia" w:cs="宋体"/>
                <w:color w:val="000000"/>
                <w:kern w:val="0"/>
                <w:lang w:bidi="ar"/>
              </w:rPr>
              <w:br w:type="textWrapping"/>
            </w:r>
            <w:r>
              <w:rPr>
                <w:rFonts w:hint="eastAsia" w:cs="宋体"/>
                <w:color w:val="000000"/>
                <w:kern w:val="0"/>
                <w:lang w:bidi="ar"/>
              </w:rPr>
              <w:t>9）暴雨内涝专题图层：包括内涝风险专题图、隐患点专题图、个例库建立、暴雨历史个例回溯</w:t>
            </w:r>
          </w:p>
        </w:tc>
      </w:tr>
      <w:tr w14:paraId="39508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trPr>
        <w:tc>
          <w:tcPr>
            <w:tcW w:w="381" w:type="pct"/>
            <w:tcBorders>
              <w:tl2br w:val="nil"/>
              <w:tr2bl w:val="nil"/>
            </w:tcBorders>
            <w:vAlign w:val="center"/>
          </w:tcPr>
          <w:p w14:paraId="6AB33DA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w:t>
            </w:r>
          </w:p>
        </w:tc>
        <w:tc>
          <w:tcPr>
            <w:tcW w:w="447" w:type="pct"/>
            <w:vMerge w:val="continue"/>
            <w:tcBorders>
              <w:tl2br w:val="nil"/>
              <w:tr2bl w:val="nil"/>
            </w:tcBorders>
            <w:vAlign w:val="center"/>
          </w:tcPr>
          <w:p w14:paraId="399D7D1C">
            <w:pPr>
              <w:spacing w:line="240" w:lineRule="auto"/>
              <w:jc w:val="left"/>
              <w:rPr>
                <w:rFonts w:hint="eastAsia" w:cs="宋体"/>
                <w:color w:val="000000"/>
              </w:rPr>
            </w:pPr>
          </w:p>
        </w:tc>
        <w:tc>
          <w:tcPr>
            <w:tcW w:w="453" w:type="pct"/>
            <w:vMerge w:val="continue"/>
            <w:tcBorders>
              <w:tl2br w:val="nil"/>
              <w:tr2bl w:val="nil"/>
            </w:tcBorders>
            <w:vAlign w:val="center"/>
          </w:tcPr>
          <w:p w14:paraId="17C4025A">
            <w:pPr>
              <w:spacing w:line="240" w:lineRule="auto"/>
              <w:jc w:val="left"/>
              <w:rPr>
                <w:rFonts w:hint="eastAsia" w:cs="宋体"/>
                <w:color w:val="000000"/>
              </w:rPr>
            </w:pPr>
          </w:p>
        </w:tc>
        <w:tc>
          <w:tcPr>
            <w:tcW w:w="429" w:type="pct"/>
            <w:tcBorders>
              <w:tl2br w:val="nil"/>
              <w:tr2bl w:val="nil"/>
            </w:tcBorders>
            <w:vAlign w:val="center"/>
          </w:tcPr>
          <w:p w14:paraId="266DA82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事件分析及数据融合</w:t>
            </w:r>
          </w:p>
        </w:tc>
        <w:tc>
          <w:tcPr>
            <w:tcW w:w="3289" w:type="pct"/>
            <w:tcBorders>
              <w:tl2br w:val="nil"/>
              <w:tr2bl w:val="nil"/>
            </w:tcBorders>
            <w:vAlign w:val="center"/>
          </w:tcPr>
          <w:p w14:paraId="756A7AEF">
            <w:pPr>
              <w:widowControl/>
              <w:spacing w:line="240" w:lineRule="auto"/>
              <w:ind w:firstLine="0" w:firstLineChars="0"/>
              <w:textAlignment w:val="center"/>
              <w:rPr>
                <w:rFonts w:hint="eastAsia" w:cs="宋体"/>
                <w:color w:val="000000"/>
              </w:rPr>
            </w:pPr>
            <w:r>
              <w:rPr>
                <w:rFonts w:hint="eastAsia" w:cs="宋体"/>
                <w:color w:val="000000"/>
                <w:kern w:val="0"/>
                <w:lang w:bidi="ar"/>
              </w:rPr>
              <w:t>4、综合事件中枢：</w:t>
            </w:r>
            <w:r>
              <w:rPr>
                <w:rFonts w:hint="eastAsia" w:cs="宋体"/>
                <w:color w:val="000000"/>
                <w:kern w:val="0"/>
                <w:lang w:bidi="ar"/>
              </w:rPr>
              <w:br w:type="textWrapping"/>
            </w:r>
            <w:r>
              <w:rPr>
                <w:rFonts w:hint="eastAsia" w:cs="宋体"/>
                <w:color w:val="000000"/>
                <w:kern w:val="0"/>
                <w:lang w:bidi="ar"/>
              </w:rPr>
              <w:t>1）事件分类统计：按照数据来源区分统计当前自然灾害（防汛防台）的各类事件</w:t>
            </w:r>
            <w:r>
              <w:rPr>
                <w:rFonts w:hint="eastAsia" w:cs="宋体"/>
                <w:color w:val="000000"/>
                <w:kern w:val="0"/>
                <w:lang w:bidi="ar"/>
              </w:rPr>
              <w:br w:type="textWrapping"/>
            </w:r>
            <w:r>
              <w:rPr>
                <w:rFonts w:hint="eastAsia" w:cs="宋体"/>
                <w:color w:val="000000"/>
                <w:kern w:val="0"/>
                <w:lang w:bidi="ar"/>
              </w:rPr>
              <w:t>2）事件趋势图：在时间维度上展示自然灾害（防汛防台）防汛防台事件的趋势情况</w:t>
            </w:r>
            <w:r>
              <w:rPr>
                <w:rFonts w:hint="eastAsia" w:cs="宋体"/>
                <w:color w:val="000000"/>
                <w:kern w:val="0"/>
                <w:lang w:bidi="ar"/>
              </w:rPr>
              <w:br w:type="textWrapping"/>
            </w:r>
            <w:r>
              <w:rPr>
                <w:rFonts w:hint="eastAsia" w:cs="宋体"/>
                <w:color w:val="000000"/>
                <w:kern w:val="0"/>
                <w:lang w:bidi="ar"/>
              </w:rPr>
              <w:t>3）事件列表：展示当前各类自然灾害（防汛防台）防汛防台事件列表，可点击查看事件详情</w:t>
            </w:r>
            <w:r>
              <w:rPr>
                <w:rFonts w:hint="eastAsia" w:cs="宋体"/>
                <w:color w:val="000000"/>
                <w:kern w:val="0"/>
                <w:lang w:bidi="ar"/>
              </w:rPr>
              <w:br w:type="textWrapping"/>
            </w:r>
            <w:r>
              <w:rPr>
                <w:rFonts w:hint="eastAsia" w:cs="宋体"/>
                <w:color w:val="000000"/>
                <w:kern w:val="0"/>
                <w:lang w:bidi="ar"/>
              </w:rPr>
              <w:t>4）应急预案：展示相关应急预案信息。</w:t>
            </w:r>
            <w:r>
              <w:rPr>
                <w:rFonts w:hint="eastAsia" w:cs="宋体"/>
                <w:color w:val="000000"/>
                <w:kern w:val="0"/>
                <w:lang w:bidi="ar"/>
              </w:rPr>
              <w:br w:type="textWrapping"/>
            </w:r>
            <w:r>
              <w:rPr>
                <w:rFonts w:hint="eastAsia" w:cs="宋体"/>
                <w:color w:val="000000"/>
                <w:kern w:val="0"/>
                <w:lang w:bidi="ar"/>
              </w:rPr>
              <w:t>5、整合排水监管系统的部分数据要素（如人员、车、泵站、积水点、液位计、流量计、排水口、雨水口等）及城市安全防汛防台板块的部分内容。</w:t>
            </w:r>
          </w:p>
        </w:tc>
      </w:tr>
      <w:tr w14:paraId="53E49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trPr>
        <w:tc>
          <w:tcPr>
            <w:tcW w:w="381" w:type="pct"/>
            <w:tcBorders>
              <w:tl2br w:val="nil"/>
              <w:tr2bl w:val="nil"/>
            </w:tcBorders>
            <w:vAlign w:val="center"/>
          </w:tcPr>
          <w:p w14:paraId="5EA7E664">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w:t>
            </w:r>
          </w:p>
        </w:tc>
        <w:tc>
          <w:tcPr>
            <w:tcW w:w="447" w:type="pct"/>
            <w:vMerge w:val="continue"/>
            <w:tcBorders>
              <w:tl2br w:val="nil"/>
              <w:tr2bl w:val="nil"/>
            </w:tcBorders>
            <w:vAlign w:val="center"/>
          </w:tcPr>
          <w:p w14:paraId="31EF784C">
            <w:pPr>
              <w:spacing w:line="240" w:lineRule="auto"/>
              <w:jc w:val="left"/>
              <w:rPr>
                <w:rFonts w:hint="eastAsia" w:cs="宋体"/>
                <w:color w:val="000000"/>
              </w:rPr>
            </w:pPr>
          </w:p>
        </w:tc>
        <w:tc>
          <w:tcPr>
            <w:tcW w:w="453" w:type="pct"/>
            <w:tcBorders>
              <w:tl2br w:val="nil"/>
              <w:tr2bl w:val="nil"/>
            </w:tcBorders>
            <w:vAlign w:val="center"/>
          </w:tcPr>
          <w:p w14:paraId="3503ABE9">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重大活动及节假日应用场景</w:t>
            </w:r>
          </w:p>
        </w:tc>
        <w:tc>
          <w:tcPr>
            <w:tcW w:w="429" w:type="pct"/>
            <w:tcBorders>
              <w:tl2br w:val="nil"/>
              <w:tr2bl w:val="nil"/>
            </w:tcBorders>
            <w:vAlign w:val="center"/>
          </w:tcPr>
          <w:p w14:paraId="4874000E">
            <w:pPr>
              <w:spacing w:line="240" w:lineRule="auto"/>
              <w:jc w:val="left"/>
              <w:rPr>
                <w:rFonts w:hint="eastAsia" w:cs="宋体"/>
                <w:color w:val="000000"/>
              </w:rPr>
            </w:pPr>
          </w:p>
        </w:tc>
        <w:tc>
          <w:tcPr>
            <w:tcW w:w="3289" w:type="pct"/>
            <w:tcBorders>
              <w:tl2br w:val="nil"/>
              <w:tr2bl w:val="nil"/>
            </w:tcBorders>
            <w:vAlign w:val="center"/>
          </w:tcPr>
          <w:p w14:paraId="19F1E744">
            <w:pPr>
              <w:widowControl/>
              <w:spacing w:line="240" w:lineRule="auto"/>
              <w:ind w:firstLine="0" w:firstLineChars="0"/>
              <w:textAlignment w:val="center"/>
              <w:rPr>
                <w:rFonts w:hint="eastAsia" w:cs="宋体"/>
                <w:color w:val="000000"/>
              </w:rPr>
            </w:pPr>
            <w:r>
              <w:rPr>
                <w:rFonts w:hint="eastAsia" w:cs="宋体"/>
                <w:color w:val="000000"/>
                <w:kern w:val="0"/>
                <w:lang w:bidi="ar"/>
              </w:rPr>
              <w:t>1、实时客流情况：</w:t>
            </w:r>
            <w:r>
              <w:rPr>
                <w:rFonts w:hint="eastAsia" w:cs="宋体"/>
                <w:color w:val="000000"/>
                <w:kern w:val="0"/>
                <w:lang w:bidi="ar"/>
              </w:rPr>
              <w:br w:type="textWrapping"/>
            </w:r>
            <w:r>
              <w:rPr>
                <w:rFonts w:hint="eastAsia" w:cs="宋体"/>
                <w:color w:val="000000"/>
                <w:kern w:val="0"/>
                <w:lang w:bidi="ar"/>
              </w:rPr>
              <w:t>1）实时客流：统计分析整体客流情况，展示关键数据及相关趋势图</w:t>
            </w:r>
            <w:r>
              <w:rPr>
                <w:rFonts w:hint="eastAsia" w:cs="宋体"/>
                <w:color w:val="000000"/>
                <w:kern w:val="0"/>
                <w:lang w:bidi="ar"/>
              </w:rPr>
              <w:br w:type="textWrapping"/>
            </w:r>
            <w:r>
              <w:rPr>
                <w:rFonts w:hint="eastAsia" w:cs="宋体"/>
                <w:color w:val="000000"/>
                <w:kern w:val="0"/>
                <w:lang w:bidi="ar"/>
              </w:rPr>
              <w:t>2）分区客流：统计分析分区客流情况，展示关键数据及相关柱状图</w:t>
            </w:r>
            <w:r>
              <w:rPr>
                <w:rFonts w:hint="eastAsia" w:cs="宋体"/>
                <w:color w:val="000000"/>
                <w:kern w:val="0"/>
                <w:lang w:bidi="ar"/>
              </w:rPr>
              <w:br w:type="textWrapping"/>
            </w:r>
            <w:r>
              <w:rPr>
                <w:rFonts w:hint="eastAsia" w:cs="宋体"/>
                <w:color w:val="000000"/>
                <w:kern w:val="0"/>
                <w:lang w:bidi="ar"/>
              </w:rPr>
              <w:t>2、交通运行状况：</w:t>
            </w:r>
            <w:r>
              <w:rPr>
                <w:rFonts w:hint="eastAsia" w:cs="宋体"/>
                <w:color w:val="000000"/>
                <w:kern w:val="0"/>
                <w:lang w:bidi="ar"/>
              </w:rPr>
              <w:br w:type="textWrapping"/>
            </w:r>
            <w:r>
              <w:rPr>
                <w:rFonts w:hint="eastAsia" w:cs="宋体"/>
                <w:color w:val="000000"/>
                <w:kern w:val="0"/>
                <w:lang w:bidi="ar"/>
              </w:rPr>
              <w:t>1）通行压力趋势：分析展示通行压力趋势图表、路段交通压力排名</w:t>
            </w:r>
            <w:r>
              <w:rPr>
                <w:rFonts w:hint="eastAsia" w:cs="宋体"/>
                <w:color w:val="000000"/>
                <w:kern w:val="0"/>
                <w:lang w:bidi="ar"/>
              </w:rPr>
              <w:br w:type="textWrapping"/>
            </w:r>
            <w:r>
              <w:rPr>
                <w:rFonts w:hint="eastAsia" w:cs="宋体"/>
                <w:color w:val="000000"/>
                <w:kern w:val="0"/>
                <w:lang w:bidi="ar"/>
              </w:rPr>
              <w:t>2）分区压力情况：关键区域的通行压力及分析预测数据</w:t>
            </w:r>
            <w:r>
              <w:rPr>
                <w:rFonts w:hint="eastAsia" w:cs="宋体"/>
                <w:color w:val="000000"/>
                <w:kern w:val="0"/>
                <w:lang w:bidi="ar"/>
              </w:rPr>
              <w:br w:type="textWrapping"/>
            </w:r>
            <w:r>
              <w:rPr>
                <w:rFonts w:hint="eastAsia" w:cs="宋体"/>
                <w:color w:val="000000"/>
                <w:kern w:val="0"/>
                <w:lang w:bidi="ar"/>
              </w:rPr>
              <w:t>3、客流预测数据：</w:t>
            </w:r>
            <w:r>
              <w:rPr>
                <w:rFonts w:hint="eastAsia" w:cs="宋体"/>
                <w:color w:val="000000"/>
                <w:kern w:val="0"/>
                <w:lang w:bidi="ar"/>
              </w:rPr>
              <w:br w:type="textWrapping"/>
            </w:r>
            <w:r>
              <w:rPr>
                <w:rFonts w:hint="eastAsia" w:cs="宋体"/>
                <w:color w:val="000000"/>
                <w:kern w:val="0"/>
                <w:lang w:bidi="ar"/>
              </w:rPr>
              <w:t>1）关键预测指数：展示关键的客流综合预测统计数据</w:t>
            </w:r>
            <w:r>
              <w:rPr>
                <w:rFonts w:hint="eastAsia" w:cs="宋体"/>
                <w:color w:val="000000"/>
                <w:kern w:val="0"/>
                <w:lang w:bidi="ar"/>
              </w:rPr>
              <w:br w:type="textWrapping"/>
            </w:r>
            <w:r>
              <w:rPr>
                <w:rFonts w:hint="eastAsia" w:cs="宋体"/>
                <w:color w:val="000000"/>
                <w:kern w:val="0"/>
                <w:lang w:bidi="ar"/>
              </w:rPr>
              <w:t>2）分区预测情况：分区域展示重点地区的客流预测情况</w:t>
            </w:r>
            <w:r>
              <w:rPr>
                <w:rFonts w:hint="eastAsia" w:cs="宋体"/>
                <w:color w:val="000000"/>
                <w:kern w:val="0"/>
                <w:lang w:bidi="ar"/>
              </w:rPr>
              <w:br w:type="textWrapping"/>
            </w:r>
            <w:r>
              <w:rPr>
                <w:rFonts w:hint="eastAsia" w:cs="宋体"/>
                <w:color w:val="000000"/>
                <w:kern w:val="0"/>
                <w:lang w:bidi="ar"/>
              </w:rPr>
              <w:t>3）预测趋势图：按时间展示未来客流趋势情况</w:t>
            </w:r>
            <w:r>
              <w:rPr>
                <w:rFonts w:hint="eastAsia" w:cs="宋体"/>
                <w:color w:val="000000"/>
                <w:kern w:val="0"/>
                <w:lang w:bidi="ar"/>
              </w:rPr>
              <w:br w:type="textWrapping"/>
            </w:r>
            <w:r>
              <w:rPr>
                <w:rFonts w:hint="eastAsia" w:cs="宋体"/>
                <w:color w:val="000000"/>
                <w:kern w:val="0"/>
                <w:lang w:bidi="ar"/>
              </w:rPr>
              <w:t>4、关键客流数据：</w:t>
            </w:r>
            <w:r>
              <w:rPr>
                <w:rFonts w:hint="eastAsia" w:cs="宋体"/>
                <w:color w:val="000000"/>
                <w:kern w:val="0"/>
                <w:lang w:bidi="ar"/>
              </w:rPr>
              <w:br w:type="textWrapping"/>
            </w:r>
            <w:r>
              <w:rPr>
                <w:rFonts w:hint="eastAsia" w:cs="宋体"/>
                <w:color w:val="000000"/>
                <w:kern w:val="0"/>
                <w:lang w:bidi="ar"/>
              </w:rPr>
              <w:t>1）客流预测指数：根据现有客流数据的关键预测指标数据</w:t>
            </w:r>
            <w:r>
              <w:rPr>
                <w:rFonts w:hint="eastAsia" w:cs="宋体"/>
                <w:color w:val="000000"/>
                <w:kern w:val="0"/>
                <w:lang w:bidi="ar"/>
              </w:rPr>
              <w:br w:type="textWrapping"/>
            </w:r>
            <w:r>
              <w:rPr>
                <w:rFonts w:hint="eastAsia" w:cs="宋体"/>
                <w:color w:val="000000"/>
                <w:kern w:val="0"/>
                <w:lang w:bidi="ar"/>
              </w:rPr>
              <w:t>2）地铁承载情况：临港新片区重要地铁的客流关键数据及趋势情况</w:t>
            </w:r>
            <w:r>
              <w:rPr>
                <w:rFonts w:hint="eastAsia" w:cs="宋体"/>
                <w:color w:val="000000"/>
                <w:kern w:val="0"/>
                <w:lang w:bidi="ar"/>
              </w:rPr>
              <w:br w:type="textWrapping"/>
            </w:r>
            <w:r>
              <w:rPr>
                <w:rFonts w:hint="eastAsia" w:cs="宋体"/>
                <w:color w:val="000000"/>
                <w:kern w:val="0"/>
                <w:lang w:bidi="ar"/>
              </w:rPr>
              <w:t>3）关键区域客流密度：分区列表展示人员密度情况及其它关键指标</w:t>
            </w:r>
            <w:r>
              <w:rPr>
                <w:rFonts w:hint="eastAsia" w:cs="宋体"/>
                <w:color w:val="000000"/>
                <w:kern w:val="0"/>
                <w:lang w:bidi="ar"/>
              </w:rPr>
              <w:br w:type="textWrapping"/>
            </w:r>
            <w:r>
              <w:rPr>
                <w:rFonts w:hint="eastAsia" w:cs="宋体"/>
                <w:color w:val="000000"/>
                <w:kern w:val="0"/>
                <w:lang w:bidi="ar"/>
              </w:rPr>
              <w:t>4）城区停车情况：各个停车区域的停车情况及剩余泊位情况</w:t>
            </w:r>
            <w:r>
              <w:rPr>
                <w:rFonts w:hint="eastAsia" w:cs="宋体"/>
                <w:color w:val="000000"/>
                <w:kern w:val="0"/>
                <w:lang w:bidi="ar"/>
              </w:rPr>
              <w:br w:type="textWrapping"/>
            </w:r>
            <w:r>
              <w:rPr>
                <w:rFonts w:hint="eastAsia" w:cs="宋体"/>
                <w:color w:val="000000"/>
                <w:kern w:val="0"/>
                <w:lang w:bidi="ar"/>
              </w:rPr>
              <w:t>5、告警与视频：</w:t>
            </w:r>
            <w:r>
              <w:rPr>
                <w:rFonts w:hint="eastAsia" w:cs="宋体"/>
                <w:color w:val="000000"/>
                <w:kern w:val="0"/>
                <w:lang w:bidi="ar"/>
              </w:rPr>
              <w:br w:type="textWrapping"/>
            </w:r>
            <w:r>
              <w:rPr>
                <w:rFonts w:hint="eastAsia" w:cs="宋体"/>
                <w:color w:val="000000"/>
                <w:kern w:val="0"/>
                <w:lang w:bidi="ar"/>
              </w:rPr>
              <w:t>1）重要事件告警：展示当前各类交通相关事件列表，可点击查看事件详情</w:t>
            </w:r>
            <w:r>
              <w:rPr>
                <w:rFonts w:hint="eastAsia" w:cs="宋体"/>
                <w:color w:val="000000"/>
                <w:kern w:val="0"/>
                <w:lang w:bidi="ar"/>
              </w:rPr>
              <w:br w:type="textWrapping"/>
            </w:r>
            <w:r>
              <w:rPr>
                <w:rFonts w:hint="eastAsia" w:cs="宋体"/>
                <w:color w:val="000000"/>
                <w:kern w:val="0"/>
                <w:lang w:bidi="ar"/>
              </w:rPr>
              <w:t>2）重点区域视频：展示重点区域视频监控，可点击切换不同区域展示</w:t>
            </w:r>
          </w:p>
        </w:tc>
      </w:tr>
      <w:tr w14:paraId="7198A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2" w:hRule="atLeast"/>
        </w:trPr>
        <w:tc>
          <w:tcPr>
            <w:tcW w:w="381" w:type="pct"/>
            <w:tcBorders>
              <w:tl2br w:val="nil"/>
              <w:tr2bl w:val="nil"/>
            </w:tcBorders>
            <w:vAlign w:val="center"/>
          </w:tcPr>
          <w:p w14:paraId="3DC2FB52">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w:t>
            </w:r>
          </w:p>
        </w:tc>
        <w:tc>
          <w:tcPr>
            <w:tcW w:w="447" w:type="pct"/>
            <w:vMerge w:val="continue"/>
            <w:tcBorders>
              <w:tl2br w:val="nil"/>
              <w:tr2bl w:val="nil"/>
            </w:tcBorders>
            <w:vAlign w:val="center"/>
          </w:tcPr>
          <w:p w14:paraId="62AC80C2">
            <w:pPr>
              <w:spacing w:line="240" w:lineRule="auto"/>
              <w:jc w:val="left"/>
              <w:rPr>
                <w:rFonts w:hint="eastAsia" w:cs="宋体"/>
                <w:color w:val="000000"/>
              </w:rPr>
            </w:pPr>
          </w:p>
        </w:tc>
        <w:tc>
          <w:tcPr>
            <w:tcW w:w="453" w:type="pct"/>
            <w:tcBorders>
              <w:tl2br w:val="nil"/>
              <w:tr2bl w:val="nil"/>
            </w:tcBorders>
            <w:vAlign w:val="center"/>
          </w:tcPr>
          <w:p w14:paraId="5E22A49A">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安全生产应用场景</w:t>
            </w:r>
          </w:p>
        </w:tc>
        <w:tc>
          <w:tcPr>
            <w:tcW w:w="429" w:type="pct"/>
            <w:tcBorders>
              <w:tl2br w:val="nil"/>
              <w:tr2bl w:val="nil"/>
            </w:tcBorders>
            <w:vAlign w:val="center"/>
          </w:tcPr>
          <w:p w14:paraId="095417A7">
            <w:pPr>
              <w:spacing w:line="240" w:lineRule="auto"/>
              <w:jc w:val="left"/>
              <w:rPr>
                <w:rFonts w:hint="eastAsia" w:cs="宋体"/>
                <w:color w:val="000000"/>
              </w:rPr>
            </w:pPr>
          </w:p>
        </w:tc>
        <w:tc>
          <w:tcPr>
            <w:tcW w:w="3289" w:type="pct"/>
            <w:tcBorders>
              <w:tl2br w:val="nil"/>
              <w:tr2bl w:val="nil"/>
            </w:tcBorders>
            <w:vAlign w:val="center"/>
          </w:tcPr>
          <w:p w14:paraId="49EDA74C">
            <w:pPr>
              <w:widowControl/>
              <w:spacing w:line="240" w:lineRule="auto"/>
              <w:ind w:firstLine="0" w:firstLineChars="0"/>
              <w:textAlignment w:val="center"/>
              <w:rPr>
                <w:rFonts w:hint="eastAsia" w:cs="宋体"/>
                <w:color w:val="000000"/>
              </w:rPr>
            </w:pPr>
            <w:r>
              <w:rPr>
                <w:rFonts w:hint="eastAsia" w:cs="宋体"/>
                <w:color w:val="000000"/>
                <w:kern w:val="0"/>
                <w:lang w:bidi="ar"/>
              </w:rPr>
              <w:t>1、实时态势感知：</w:t>
            </w:r>
            <w:r>
              <w:rPr>
                <w:rFonts w:hint="eastAsia" w:cs="宋体"/>
                <w:color w:val="000000"/>
                <w:kern w:val="0"/>
                <w:lang w:bidi="ar"/>
              </w:rPr>
              <w:br w:type="textWrapping"/>
            </w:r>
            <w:r>
              <w:rPr>
                <w:rFonts w:hint="eastAsia" w:cs="宋体"/>
                <w:color w:val="000000"/>
                <w:kern w:val="0"/>
                <w:lang w:bidi="ar"/>
              </w:rPr>
              <w:t>1）企业概览：统计当前辖区内的企业类型分布（如化工、制造、能源等）及整体安全评级。</w:t>
            </w:r>
            <w:r>
              <w:rPr>
                <w:rFonts w:hint="eastAsia" w:cs="宋体"/>
                <w:color w:val="000000"/>
                <w:kern w:val="0"/>
                <w:lang w:bidi="ar"/>
              </w:rPr>
              <w:br w:type="textWrapping"/>
            </w:r>
            <w:r>
              <w:rPr>
                <w:rFonts w:hint="eastAsia" w:cs="宋体"/>
                <w:color w:val="000000"/>
                <w:kern w:val="0"/>
                <w:lang w:bidi="ar"/>
              </w:rPr>
              <w:t>2）巡查整治：分析企业巡查任务完成情况、隐患整改率及重点问题分布。</w:t>
            </w:r>
            <w:r>
              <w:rPr>
                <w:rFonts w:hint="eastAsia" w:cs="宋体"/>
                <w:color w:val="000000"/>
                <w:kern w:val="0"/>
                <w:lang w:bidi="ar"/>
              </w:rPr>
              <w:br w:type="textWrapping"/>
            </w:r>
            <w:r>
              <w:rPr>
                <w:rFonts w:hint="eastAsia" w:cs="宋体"/>
                <w:color w:val="000000"/>
                <w:kern w:val="0"/>
                <w:lang w:bidi="ar"/>
              </w:rPr>
              <w:t>3）重点区域视频：实时监控关键区域动态，强化现场态势感知。</w:t>
            </w:r>
            <w:r>
              <w:rPr>
                <w:rFonts w:hint="eastAsia" w:cs="宋体"/>
                <w:color w:val="000000"/>
                <w:kern w:val="0"/>
                <w:lang w:bidi="ar"/>
              </w:rPr>
              <w:br w:type="textWrapping"/>
            </w:r>
            <w:r>
              <w:rPr>
                <w:rFonts w:hint="eastAsia" w:cs="宋体"/>
                <w:color w:val="000000"/>
                <w:kern w:val="0"/>
                <w:lang w:bidi="ar"/>
              </w:rPr>
              <w:t>2、应急资源态势：</w:t>
            </w:r>
            <w:r>
              <w:rPr>
                <w:rFonts w:hint="eastAsia" w:cs="宋体"/>
                <w:color w:val="000000"/>
                <w:kern w:val="0"/>
                <w:lang w:bidi="ar"/>
              </w:rPr>
              <w:br w:type="textWrapping"/>
            </w:r>
            <w:r>
              <w:rPr>
                <w:rFonts w:hint="eastAsia" w:cs="宋体"/>
                <w:color w:val="000000"/>
                <w:kern w:val="0"/>
                <w:lang w:bidi="ar"/>
              </w:rPr>
              <w:t>1）人员力量：展示值班人员、负责人及应急队伍实时状态及联系方式。</w:t>
            </w:r>
            <w:r>
              <w:rPr>
                <w:rFonts w:hint="eastAsia" w:cs="宋体"/>
                <w:color w:val="000000"/>
                <w:kern w:val="0"/>
                <w:lang w:bidi="ar"/>
              </w:rPr>
              <w:br w:type="textWrapping"/>
            </w:r>
            <w:r>
              <w:rPr>
                <w:rFonts w:hint="eastAsia" w:cs="宋体"/>
                <w:color w:val="000000"/>
                <w:kern w:val="0"/>
                <w:lang w:bidi="ar"/>
              </w:rPr>
              <w:t>2）监测设备：统计监测设备（如摄像头、传感器）的运行状态与分类占比。</w:t>
            </w:r>
            <w:r>
              <w:rPr>
                <w:rFonts w:hint="eastAsia" w:cs="宋体"/>
                <w:color w:val="000000"/>
                <w:kern w:val="0"/>
                <w:lang w:bidi="ar"/>
              </w:rPr>
              <w:br w:type="textWrapping"/>
            </w:r>
            <w:r>
              <w:rPr>
                <w:rFonts w:hint="eastAsia" w:cs="宋体"/>
                <w:color w:val="000000"/>
                <w:kern w:val="0"/>
                <w:lang w:bidi="ar"/>
              </w:rPr>
              <w:t>3）应急设备：统计可调用的应急设备（如消防车、发电机、救援物资）数量及位置</w:t>
            </w:r>
            <w:r>
              <w:rPr>
                <w:rFonts w:hint="eastAsia" w:cs="宋体"/>
                <w:color w:val="000000"/>
                <w:kern w:val="0"/>
                <w:lang w:bidi="ar"/>
              </w:rPr>
              <w:br w:type="textWrapping"/>
            </w:r>
            <w:r>
              <w:rPr>
                <w:rFonts w:hint="eastAsia" w:cs="宋体"/>
                <w:color w:val="000000"/>
                <w:kern w:val="0"/>
                <w:lang w:bidi="ar"/>
              </w:rPr>
              <w:t>3、综合事件中枢：</w:t>
            </w:r>
            <w:r>
              <w:rPr>
                <w:rFonts w:hint="eastAsia" w:cs="宋体"/>
                <w:color w:val="000000"/>
                <w:kern w:val="0"/>
                <w:lang w:bidi="ar"/>
              </w:rPr>
              <w:br w:type="textWrapping"/>
            </w:r>
            <w:r>
              <w:rPr>
                <w:rFonts w:hint="eastAsia" w:cs="宋体"/>
                <w:color w:val="000000"/>
                <w:kern w:val="0"/>
                <w:lang w:bidi="ar"/>
              </w:rPr>
              <w:t>1）事件分类统计：按照数据来源区分统计各类事件</w:t>
            </w:r>
            <w:r>
              <w:rPr>
                <w:rFonts w:hint="eastAsia" w:cs="宋体"/>
                <w:color w:val="000000"/>
                <w:kern w:val="0"/>
                <w:lang w:bidi="ar"/>
              </w:rPr>
              <w:br w:type="textWrapping"/>
            </w:r>
            <w:r>
              <w:rPr>
                <w:rFonts w:hint="eastAsia" w:cs="宋体"/>
                <w:color w:val="000000"/>
                <w:kern w:val="0"/>
                <w:lang w:bidi="ar"/>
              </w:rPr>
              <w:t>2）事件趋势图：在时间维度上展示事件的趋势情况</w:t>
            </w:r>
            <w:r>
              <w:rPr>
                <w:rFonts w:hint="eastAsia" w:cs="宋体"/>
                <w:color w:val="000000"/>
                <w:kern w:val="0"/>
                <w:lang w:bidi="ar"/>
              </w:rPr>
              <w:br w:type="textWrapping"/>
            </w:r>
            <w:r>
              <w:rPr>
                <w:rFonts w:hint="eastAsia" w:cs="宋体"/>
                <w:color w:val="000000"/>
                <w:kern w:val="0"/>
                <w:lang w:bidi="ar"/>
              </w:rPr>
              <w:t>3）事件列表：展示当前各类事件列表，可点击查看事件详情</w:t>
            </w:r>
            <w:r>
              <w:rPr>
                <w:rFonts w:hint="eastAsia" w:cs="宋体"/>
                <w:color w:val="000000"/>
                <w:kern w:val="0"/>
                <w:lang w:bidi="ar"/>
              </w:rPr>
              <w:br w:type="textWrapping"/>
            </w:r>
            <w:r>
              <w:rPr>
                <w:rFonts w:hint="eastAsia" w:cs="宋体"/>
                <w:color w:val="000000"/>
                <w:kern w:val="0"/>
                <w:lang w:bidi="ar"/>
              </w:rPr>
              <w:t>4、指挥决策中枢：</w:t>
            </w:r>
            <w:r>
              <w:rPr>
                <w:rFonts w:hint="eastAsia" w:cs="宋体"/>
                <w:color w:val="000000"/>
                <w:kern w:val="0"/>
                <w:lang w:bidi="ar"/>
              </w:rPr>
              <w:br w:type="textWrapping"/>
            </w:r>
            <w:r>
              <w:rPr>
                <w:rFonts w:hint="eastAsia" w:cs="宋体"/>
                <w:color w:val="000000"/>
                <w:kern w:val="0"/>
                <w:lang w:bidi="ar"/>
              </w:rPr>
              <w:t>1）历史事件：统计分析历史事件数据帮助进行决策</w:t>
            </w:r>
            <w:r>
              <w:rPr>
                <w:rFonts w:hint="eastAsia" w:cs="宋体"/>
                <w:color w:val="000000"/>
                <w:kern w:val="0"/>
                <w:lang w:bidi="ar"/>
              </w:rPr>
              <w:br w:type="textWrapping"/>
            </w:r>
            <w:r>
              <w:rPr>
                <w:rFonts w:hint="eastAsia" w:cs="宋体"/>
                <w:color w:val="000000"/>
                <w:kern w:val="0"/>
                <w:lang w:bidi="ar"/>
              </w:rPr>
              <w:t>2）历史事件记录：展示历史事件的相关记录及处理情况等</w:t>
            </w:r>
            <w:r>
              <w:rPr>
                <w:rFonts w:hint="eastAsia" w:cs="宋体"/>
                <w:color w:val="000000"/>
                <w:kern w:val="0"/>
                <w:lang w:bidi="ar"/>
              </w:rPr>
              <w:br w:type="textWrapping"/>
            </w:r>
            <w:r>
              <w:rPr>
                <w:rFonts w:hint="eastAsia" w:cs="宋体"/>
                <w:color w:val="000000"/>
                <w:kern w:val="0"/>
                <w:lang w:bidi="ar"/>
              </w:rPr>
              <w:t>3）相关预案：可综合搜索相关事件的预案，可点击查看详情</w:t>
            </w:r>
            <w:r>
              <w:rPr>
                <w:rFonts w:hint="eastAsia" w:cs="宋体"/>
                <w:color w:val="000000"/>
                <w:kern w:val="0"/>
                <w:lang w:bidi="ar"/>
              </w:rPr>
              <w:br w:type="textWrapping"/>
            </w:r>
            <w:r>
              <w:rPr>
                <w:rFonts w:hint="eastAsia" w:cs="宋体"/>
                <w:color w:val="000000"/>
                <w:kern w:val="0"/>
                <w:lang w:bidi="ar"/>
              </w:rPr>
              <w:t>4）监测设备：展示监测设备的感知数据可辅助进行决策</w:t>
            </w:r>
          </w:p>
        </w:tc>
      </w:tr>
      <w:tr w14:paraId="2EC03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40" w:hRule="atLeast"/>
        </w:trPr>
        <w:tc>
          <w:tcPr>
            <w:tcW w:w="381" w:type="pct"/>
            <w:tcBorders>
              <w:tl2br w:val="nil"/>
              <w:tr2bl w:val="nil"/>
            </w:tcBorders>
            <w:vAlign w:val="center"/>
          </w:tcPr>
          <w:p w14:paraId="4C540AE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w:t>
            </w:r>
          </w:p>
        </w:tc>
        <w:tc>
          <w:tcPr>
            <w:tcW w:w="447" w:type="pct"/>
            <w:vMerge w:val="continue"/>
            <w:tcBorders>
              <w:tl2br w:val="nil"/>
              <w:tr2bl w:val="nil"/>
            </w:tcBorders>
            <w:vAlign w:val="center"/>
          </w:tcPr>
          <w:p w14:paraId="39878649">
            <w:pPr>
              <w:spacing w:line="240" w:lineRule="auto"/>
              <w:jc w:val="left"/>
              <w:rPr>
                <w:rFonts w:hint="eastAsia" w:cs="宋体"/>
                <w:color w:val="000000"/>
              </w:rPr>
            </w:pPr>
          </w:p>
        </w:tc>
        <w:tc>
          <w:tcPr>
            <w:tcW w:w="453" w:type="pct"/>
            <w:tcBorders>
              <w:tl2br w:val="nil"/>
              <w:tr2bl w:val="nil"/>
            </w:tcBorders>
            <w:vAlign w:val="center"/>
          </w:tcPr>
          <w:p w14:paraId="52A54D0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数据地图集成</w:t>
            </w:r>
          </w:p>
        </w:tc>
        <w:tc>
          <w:tcPr>
            <w:tcW w:w="429" w:type="pct"/>
            <w:tcBorders>
              <w:tl2br w:val="nil"/>
              <w:tr2bl w:val="nil"/>
            </w:tcBorders>
            <w:vAlign w:val="center"/>
          </w:tcPr>
          <w:p w14:paraId="0DBC7DD6">
            <w:pPr>
              <w:spacing w:line="240" w:lineRule="auto"/>
              <w:jc w:val="left"/>
              <w:rPr>
                <w:rFonts w:hint="eastAsia" w:cs="宋体"/>
                <w:color w:val="000000"/>
              </w:rPr>
            </w:pPr>
          </w:p>
        </w:tc>
        <w:tc>
          <w:tcPr>
            <w:tcW w:w="3289" w:type="pct"/>
            <w:tcBorders>
              <w:tl2br w:val="nil"/>
              <w:tr2bl w:val="nil"/>
            </w:tcBorders>
            <w:vAlign w:val="center"/>
          </w:tcPr>
          <w:p w14:paraId="6341D4FD">
            <w:pPr>
              <w:widowControl/>
              <w:spacing w:line="240" w:lineRule="auto"/>
              <w:ind w:firstLine="0" w:firstLineChars="0"/>
              <w:textAlignment w:val="center"/>
              <w:rPr>
                <w:rFonts w:hint="eastAsia" w:cs="宋体"/>
                <w:color w:val="000000"/>
              </w:rPr>
            </w:pPr>
            <w:r>
              <w:rPr>
                <w:rFonts w:hint="eastAsia" w:cs="宋体"/>
                <w:color w:val="000000"/>
                <w:kern w:val="0"/>
                <w:lang w:bidi="ar"/>
              </w:rPr>
              <w:t>1、对接市级“一张图”及临港数字孪生平台：对接市级“一张图”，实现二三维地图、卫星影像图、航拍影像图、白模、精模等底图和行政区划、道路、桥梁、隧道、河流等基础地理数据的展示；对接临港数字孪生平台，实现已有南汇新城镇三维建模和正射影像数据展示。</w:t>
            </w:r>
            <w:r>
              <w:rPr>
                <w:rFonts w:hint="eastAsia" w:cs="宋体"/>
                <w:color w:val="000000"/>
                <w:kern w:val="0"/>
                <w:lang w:bidi="ar"/>
              </w:rPr>
              <w:br w:type="textWrapping"/>
            </w:r>
            <w:r>
              <w:rPr>
                <w:rFonts w:hint="eastAsia" w:cs="宋体"/>
                <w:color w:val="000000"/>
                <w:kern w:val="0"/>
                <w:lang w:bidi="ar"/>
              </w:rPr>
              <w:t>2、视频监控集成：对接视频汇聚平台，实现视频设备地图撒点和实时视频画面基于地图的展示；实现地图框选范围内视频设备，批量加载范围内视频监控画面</w:t>
            </w:r>
            <w:r>
              <w:rPr>
                <w:rFonts w:hint="eastAsia" w:cs="宋体"/>
                <w:color w:val="000000"/>
                <w:kern w:val="0"/>
                <w:lang w:bidi="ar"/>
              </w:rPr>
              <w:br w:type="textWrapping"/>
            </w:r>
            <w:r>
              <w:rPr>
                <w:rFonts w:hint="eastAsia" w:cs="宋体"/>
                <w:color w:val="000000"/>
                <w:kern w:val="0"/>
                <w:lang w:bidi="ar"/>
              </w:rPr>
              <w:t>3、感知设备集成：对接物联感知平台，实现感知设备地图撒点和感知数据基于地图的展示</w:t>
            </w:r>
            <w:r>
              <w:rPr>
                <w:rFonts w:hint="eastAsia" w:cs="宋体"/>
                <w:color w:val="000000"/>
                <w:kern w:val="0"/>
                <w:lang w:bidi="ar"/>
              </w:rPr>
              <w:br w:type="textWrapping"/>
            </w:r>
            <w:r>
              <w:rPr>
                <w:rFonts w:hint="eastAsia" w:cs="宋体"/>
                <w:color w:val="000000"/>
                <w:kern w:val="0"/>
                <w:lang w:bidi="ar"/>
              </w:rPr>
              <w:t>4、无人机集成：对接无人机平台，展示无人机轨迹、航线及无人机位置点，并可查看无人机详情及视频；可查看无人机库点位、详情及监控视频；可查看无人机统计数量、使用情况、设备状态；</w:t>
            </w:r>
            <w:r>
              <w:rPr>
                <w:rFonts w:hint="eastAsia" w:cs="宋体"/>
                <w:color w:val="000000"/>
                <w:kern w:val="0"/>
                <w:lang w:bidi="ar"/>
              </w:rPr>
              <w:br w:type="textWrapping"/>
            </w:r>
            <w:r>
              <w:rPr>
                <w:rFonts w:hint="eastAsia" w:cs="宋体"/>
                <w:color w:val="000000"/>
                <w:kern w:val="0"/>
                <w:lang w:bidi="ar"/>
              </w:rPr>
              <w:t>5、应急指挥车集成：接入应急指挥车数据，在地图上显示实时位置并可查看详情</w:t>
            </w:r>
            <w:r>
              <w:rPr>
                <w:rFonts w:hint="eastAsia" w:cs="宋体"/>
                <w:color w:val="000000"/>
                <w:kern w:val="0"/>
                <w:lang w:bidi="ar"/>
              </w:rPr>
              <w:br w:type="textWrapping"/>
            </w:r>
            <w:r>
              <w:rPr>
                <w:rFonts w:hint="eastAsia" w:cs="宋体"/>
                <w:color w:val="000000"/>
                <w:kern w:val="0"/>
                <w:lang w:bidi="ar"/>
              </w:rPr>
              <w:t>6、智能网联车集成：接入智能网联车平台数据，在地图上显示实时位置并可查看详情</w:t>
            </w:r>
            <w:r>
              <w:rPr>
                <w:rFonts w:hint="eastAsia" w:cs="宋体"/>
                <w:color w:val="000000"/>
                <w:kern w:val="0"/>
                <w:lang w:bidi="ar"/>
              </w:rPr>
              <w:br w:type="textWrapping"/>
            </w:r>
            <w:r>
              <w:rPr>
                <w:rFonts w:hint="eastAsia" w:cs="宋体"/>
                <w:color w:val="000000"/>
                <w:kern w:val="0"/>
                <w:lang w:bidi="ar"/>
              </w:rPr>
              <w:t>7、交通热力图集成：接入交通热力图数据，在地图上以不同颜色展示交通热力情况；支持以时间轴方式动态展示交通热力、人流热力的情况。</w:t>
            </w:r>
            <w:r>
              <w:rPr>
                <w:rFonts w:hint="eastAsia" w:cs="宋体"/>
                <w:color w:val="000000"/>
                <w:kern w:val="0"/>
                <w:lang w:bidi="ar"/>
              </w:rPr>
              <w:br w:type="textWrapping"/>
            </w:r>
            <w:r>
              <w:rPr>
                <w:rFonts w:hint="eastAsia" w:cs="宋体"/>
                <w:color w:val="000000"/>
                <w:kern w:val="0"/>
                <w:lang w:bidi="ar"/>
              </w:rPr>
              <w:t>8、区块网格数据集成：接入区块网格数据，展现区块网格并可查看详情</w:t>
            </w:r>
            <w:r>
              <w:rPr>
                <w:rFonts w:hint="eastAsia" w:cs="宋体"/>
                <w:color w:val="000000"/>
                <w:kern w:val="0"/>
                <w:lang w:bidi="ar"/>
              </w:rPr>
              <w:br w:type="textWrapping"/>
            </w:r>
            <w:r>
              <w:rPr>
                <w:rFonts w:hint="eastAsia" w:cs="宋体"/>
                <w:color w:val="000000"/>
                <w:kern w:val="0"/>
                <w:lang w:bidi="ar"/>
              </w:rPr>
              <w:t>9、单兵设备（含执法记录仪）集成：接入单兵设备，在地图上显示实时位置及详情；支持点击进行远程通信（对话、视频），可通过圈选的方式对范围内设备进行批量通信</w:t>
            </w:r>
            <w:r>
              <w:rPr>
                <w:rFonts w:hint="eastAsia" w:cs="宋体"/>
                <w:color w:val="000000"/>
                <w:kern w:val="0"/>
                <w:lang w:bidi="ar"/>
              </w:rPr>
              <w:br w:type="textWrapping"/>
            </w:r>
            <w:r>
              <w:rPr>
                <w:rFonts w:hint="eastAsia" w:cs="宋体"/>
                <w:color w:val="000000"/>
                <w:kern w:val="0"/>
                <w:lang w:bidi="ar"/>
              </w:rPr>
              <w:t>10、事件数据集成：接入事件数据，地图撒点方式展示事件发生位置分布，可查看事件详情。</w:t>
            </w:r>
            <w:r>
              <w:rPr>
                <w:rFonts w:hint="eastAsia" w:cs="宋体"/>
                <w:color w:val="000000"/>
                <w:kern w:val="0"/>
                <w:lang w:bidi="ar"/>
              </w:rPr>
              <w:br w:type="textWrapping"/>
            </w:r>
            <w:r>
              <w:rPr>
                <w:rFonts w:hint="eastAsia" w:cs="宋体"/>
                <w:color w:val="000000"/>
                <w:kern w:val="0"/>
                <w:lang w:bidi="ar"/>
              </w:rPr>
              <w:t>11、其他设施信息集成展示：</w:t>
            </w:r>
            <w:r>
              <w:rPr>
                <w:rFonts w:hint="eastAsia" w:cs="宋体"/>
                <w:color w:val="000000"/>
                <w:kern w:val="0"/>
                <w:lang w:bidi="ar"/>
              </w:rPr>
              <w:br w:type="textWrapping"/>
            </w:r>
            <w:r>
              <w:rPr>
                <w:rFonts w:hint="eastAsia" w:cs="宋体"/>
                <w:color w:val="000000"/>
                <w:kern w:val="0"/>
                <w:lang w:bidi="ar"/>
              </w:rPr>
              <w:t>1）微型消防站集成：展示微型消防站的点位信息，可点击查看详情</w:t>
            </w:r>
            <w:r>
              <w:rPr>
                <w:rFonts w:hint="eastAsia" w:cs="宋体"/>
                <w:color w:val="000000"/>
                <w:kern w:val="0"/>
                <w:lang w:bidi="ar"/>
              </w:rPr>
              <w:br w:type="textWrapping"/>
            </w:r>
            <w:r>
              <w:rPr>
                <w:rFonts w:hint="eastAsia" w:cs="宋体"/>
                <w:color w:val="000000"/>
                <w:kern w:val="0"/>
                <w:lang w:bidi="ar"/>
              </w:rPr>
              <w:t>2）非机动车充电桩集成：展示非机动车充电桩及烟感设备的点位信息，可点击查看详情</w:t>
            </w:r>
            <w:r>
              <w:rPr>
                <w:rFonts w:hint="eastAsia" w:cs="宋体"/>
                <w:color w:val="000000"/>
                <w:kern w:val="0"/>
                <w:lang w:bidi="ar"/>
              </w:rPr>
              <w:br w:type="textWrapping"/>
            </w:r>
            <w:r>
              <w:rPr>
                <w:rFonts w:hint="eastAsia" w:cs="宋体"/>
                <w:color w:val="000000"/>
                <w:kern w:val="0"/>
                <w:lang w:bidi="ar"/>
              </w:rPr>
              <w:t>3）智慧电梯集成：展示智慧电梯的点位数据，可点击查看详情</w:t>
            </w:r>
            <w:r>
              <w:rPr>
                <w:rFonts w:hint="eastAsia" w:cs="宋体"/>
                <w:color w:val="000000"/>
                <w:kern w:val="0"/>
                <w:lang w:bidi="ar"/>
              </w:rPr>
              <w:br w:type="textWrapping"/>
            </w:r>
            <w:r>
              <w:rPr>
                <w:rFonts w:hint="eastAsia" w:cs="宋体"/>
                <w:color w:val="000000"/>
                <w:kern w:val="0"/>
                <w:lang w:bidi="ar"/>
              </w:rPr>
              <w:t>4）交通关键节点集成：展示关键交通节点撒点，可点击查看通行详情</w:t>
            </w:r>
            <w:r>
              <w:rPr>
                <w:rFonts w:hint="eastAsia" w:cs="宋体"/>
                <w:color w:val="000000"/>
                <w:kern w:val="0"/>
                <w:lang w:bidi="ar"/>
              </w:rPr>
              <w:br w:type="textWrapping"/>
            </w:r>
            <w:r>
              <w:rPr>
                <w:rFonts w:hint="eastAsia" w:cs="宋体"/>
                <w:color w:val="000000"/>
                <w:kern w:val="0"/>
                <w:lang w:bidi="ar"/>
              </w:rPr>
              <w:t>5）停车场集成：展示各类型停车场位置及详细数据</w:t>
            </w:r>
            <w:r>
              <w:rPr>
                <w:rFonts w:hint="eastAsia" w:cs="宋体"/>
                <w:color w:val="000000"/>
                <w:kern w:val="0"/>
                <w:lang w:bidi="ar"/>
              </w:rPr>
              <w:br w:type="textWrapping"/>
            </w:r>
            <w:r>
              <w:rPr>
                <w:rFonts w:hint="eastAsia" w:cs="宋体"/>
                <w:color w:val="000000"/>
                <w:kern w:val="0"/>
                <w:lang w:bidi="ar"/>
              </w:rPr>
              <w:t>6）发电站点集成：展示各类型发电站点点位，可点击查看详情</w:t>
            </w:r>
            <w:r>
              <w:rPr>
                <w:rFonts w:hint="eastAsia" w:cs="宋体"/>
                <w:color w:val="000000"/>
                <w:kern w:val="0"/>
                <w:lang w:bidi="ar"/>
              </w:rPr>
              <w:br w:type="textWrapping"/>
            </w:r>
            <w:r>
              <w:rPr>
                <w:rFonts w:hint="eastAsia" w:cs="宋体"/>
                <w:color w:val="000000"/>
                <w:kern w:val="0"/>
                <w:lang w:bidi="ar"/>
              </w:rPr>
              <w:t>7）典型用电企业集成：展示典型用电企业点位，可点击查看详情</w:t>
            </w:r>
            <w:r>
              <w:rPr>
                <w:rFonts w:hint="eastAsia" w:cs="宋体"/>
                <w:color w:val="000000"/>
                <w:kern w:val="0"/>
                <w:lang w:bidi="ar"/>
              </w:rPr>
              <w:br w:type="textWrapping"/>
            </w:r>
            <w:r>
              <w:rPr>
                <w:rFonts w:hint="eastAsia" w:cs="宋体"/>
                <w:color w:val="000000"/>
                <w:kern w:val="0"/>
                <w:lang w:bidi="ar"/>
              </w:rPr>
              <w:t>8）景点景区集成：展示各景点撒点，点击可查看该景点的描述及当日客流情况</w:t>
            </w:r>
            <w:r>
              <w:rPr>
                <w:rFonts w:hint="eastAsia" w:cs="宋体"/>
                <w:color w:val="000000"/>
                <w:kern w:val="0"/>
                <w:lang w:bidi="ar"/>
              </w:rPr>
              <w:br w:type="textWrapping"/>
            </w:r>
            <w:r>
              <w:rPr>
                <w:rFonts w:hint="eastAsia" w:cs="宋体"/>
                <w:color w:val="000000"/>
                <w:kern w:val="0"/>
                <w:lang w:bidi="ar"/>
              </w:rPr>
              <w:t>9）交通站点集成：展示游客关键交通站点撒点及通行情况</w:t>
            </w:r>
            <w:r>
              <w:rPr>
                <w:rFonts w:hint="eastAsia" w:cs="宋体"/>
                <w:color w:val="000000"/>
                <w:kern w:val="0"/>
                <w:lang w:bidi="ar"/>
              </w:rPr>
              <w:br w:type="textWrapping"/>
            </w:r>
            <w:r>
              <w:rPr>
                <w:rFonts w:hint="eastAsia" w:cs="宋体"/>
                <w:color w:val="000000"/>
                <w:kern w:val="0"/>
                <w:lang w:bidi="ar"/>
              </w:rPr>
              <w:t>10）供排水集成：展示供排水线路及相关情况</w:t>
            </w:r>
            <w:r>
              <w:rPr>
                <w:rFonts w:hint="eastAsia" w:cs="宋体"/>
                <w:color w:val="000000"/>
                <w:kern w:val="0"/>
                <w:lang w:bidi="ar"/>
              </w:rPr>
              <w:br w:type="textWrapping"/>
            </w:r>
            <w:r>
              <w:rPr>
                <w:rFonts w:hint="eastAsia" w:cs="宋体"/>
                <w:color w:val="000000"/>
                <w:kern w:val="0"/>
                <w:lang w:bidi="ar"/>
              </w:rPr>
              <w:t>11）燃气集成：展示燃气线路及相关情况</w:t>
            </w:r>
            <w:r>
              <w:rPr>
                <w:rFonts w:hint="eastAsia" w:cs="宋体"/>
                <w:color w:val="000000"/>
                <w:kern w:val="0"/>
                <w:lang w:bidi="ar"/>
              </w:rPr>
              <w:br w:type="textWrapping"/>
            </w:r>
            <w:r>
              <w:rPr>
                <w:rFonts w:hint="eastAsia" w:cs="宋体"/>
                <w:color w:val="000000"/>
                <w:kern w:val="0"/>
                <w:lang w:bidi="ar"/>
              </w:rPr>
              <w:t>12）电力集成：展示电力线路及相关情况</w:t>
            </w:r>
            <w:r>
              <w:rPr>
                <w:rFonts w:hint="eastAsia" w:cs="宋体"/>
                <w:color w:val="000000"/>
                <w:kern w:val="0"/>
                <w:lang w:bidi="ar"/>
              </w:rPr>
              <w:br w:type="textWrapping"/>
            </w:r>
            <w:r>
              <w:rPr>
                <w:rFonts w:hint="eastAsia" w:cs="宋体"/>
                <w:color w:val="000000"/>
                <w:kern w:val="0"/>
                <w:lang w:bidi="ar"/>
              </w:rPr>
              <w:t>13）综合管廊集成：展示综合管廊线路及相关情况</w:t>
            </w:r>
            <w:r>
              <w:rPr>
                <w:rFonts w:hint="eastAsia" w:cs="宋体"/>
                <w:color w:val="000000"/>
                <w:kern w:val="0"/>
                <w:lang w:bidi="ar"/>
              </w:rPr>
              <w:br w:type="textWrapping"/>
            </w:r>
            <w:r>
              <w:rPr>
                <w:rFonts w:hint="eastAsia" w:cs="宋体"/>
                <w:color w:val="000000"/>
                <w:kern w:val="0"/>
                <w:lang w:bidi="ar"/>
              </w:rPr>
              <w:t>14）雨水监控集成：地图展示相关点位位置，可点击查看详情</w:t>
            </w:r>
            <w:r>
              <w:rPr>
                <w:rFonts w:hint="eastAsia" w:cs="宋体"/>
                <w:color w:val="000000"/>
                <w:kern w:val="0"/>
                <w:lang w:bidi="ar"/>
              </w:rPr>
              <w:br w:type="textWrapping"/>
            </w:r>
            <w:r>
              <w:rPr>
                <w:rFonts w:hint="eastAsia" w:cs="宋体"/>
                <w:color w:val="000000"/>
                <w:kern w:val="0"/>
                <w:lang w:bidi="ar"/>
              </w:rPr>
              <w:t>15）污水监控集成：地图展示相关点位位置，可点击查看详情</w:t>
            </w:r>
            <w:r>
              <w:rPr>
                <w:rFonts w:hint="eastAsia" w:cs="宋体"/>
                <w:color w:val="000000"/>
                <w:kern w:val="0"/>
                <w:lang w:bidi="ar"/>
              </w:rPr>
              <w:br w:type="textWrapping"/>
            </w:r>
            <w:r>
              <w:rPr>
                <w:rFonts w:hint="eastAsia" w:cs="宋体"/>
                <w:color w:val="000000"/>
                <w:kern w:val="0"/>
                <w:lang w:bidi="ar"/>
              </w:rPr>
              <w:t>16）排水监控集成：地图展示相关点位位置，可点击查看详情</w:t>
            </w:r>
            <w:r>
              <w:rPr>
                <w:rFonts w:hint="eastAsia" w:cs="宋体"/>
                <w:color w:val="000000"/>
                <w:kern w:val="0"/>
                <w:lang w:bidi="ar"/>
              </w:rPr>
              <w:br w:type="textWrapping"/>
            </w:r>
            <w:r>
              <w:rPr>
                <w:rFonts w:hint="eastAsia" w:cs="宋体"/>
                <w:color w:val="000000"/>
                <w:kern w:val="0"/>
                <w:lang w:bidi="ar"/>
              </w:rPr>
              <w:t>17）积水监控集成：地图展示相关点位位置，可点击查看详情</w:t>
            </w:r>
            <w:r>
              <w:rPr>
                <w:rFonts w:hint="eastAsia" w:cs="宋体"/>
                <w:color w:val="000000"/>
                <w:kern w:val="0"/>
                <w:lang w:bidi="ar"/>
              </w:rPr>
              <w:br w:type="textWrapping"/>
            </w:r>
            <w:r>
              <w:rPr>
                <w:rFonts w:hint="eastAsia" w:cs="宋体"/>
                <w:color w:val="000000"/>
                <w:kern w:val="0"/>
                <w:lang w:bidi="ar"/>
              </w:rPr>
              <w:t>18）水位潮汐集成：地图展示相关点位位置，可点击查看详情</w:t>
            </w:r>
            <w:r>
              <w:rPr>
                <w:rFonts w:hint="eastAsia" w:cs="宋体"/>
                <w:color w:val="000000"/>
                <w:kern w:val="0"/>
                <w:lang w:bidi="ar"/>
              </w:rPr>
              <w:br w:type="textWrapping"/>
            </w:r>
            <w:r>
              <w:rPr>
                <w:rFonts w:hint="eastAsia" w:cs="宋体"/>
                <w:color w:val="000000"/>
                <w:kern w:val="0"/>
                <w:lang w:bidi="ar"/>
              </w:rPr>
              <w:t>19）应急资源集成：地图展示应急场所、应急仓库、应急队伍等相关点位位置，可点击查看详情</w:t>
            </w:r>
          </w:p>
        </w:tc>
      </w:tr>
      <w:tr w14:paraId="7FEFF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8" w:hRule="atLeast"/>
        </w:trPr>
        <w:tc>
          <w:tcPr>
            <w:tcW w:w="381" w:type="pct"/>
            <w:tcBorders>
              <w:tl2br w:val="nil"/>
              <w:tr2bl w:val="nil"/>
            </w:tcBorders>
            <w:vAlign w:val="center"/>
          </w:tcPr>
          <w:p w14:paraId="6DD675D4">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w:t>
            </w:r>
          </w:p>
        </w:tc>
        <w:tc>
          <w:tcPr>
            <w:tcW w:w="447" w:type="pct"/>
            <w:vMerge w:val="restart"/>
            <w:tcBorders>
              <w:tl2br w:val="nil"/>
              <w:tr2bl w:val="nil"/>
            </w:tcBorders>
            <w:vAlign w:val="center"/>
          </w:tcPr>
          <w:p w14:paraId="6A6CE07D">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数据接入与处理</w:t>
            </w:r>
          </w:p>
        </w:tc>
        <w:tc>
          <w:tcPr>
            <w:tcW w:w="453" w:type="pct"/>
            <w:tcBorders>
              <w:tl2br w:val="nil"/>
              <w:tr2bl w:val="nil"/>
            </w:tcBorders>
            <w:vAlign w:val="center"/>
          </w:tcPr>
          <w:p w14:paraId="485E304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依托公共数据平台接入数据</w:t>
            </w:r>
          </w:p>
        </w:tc>
        <w:tc>
          <w:tcPr>
            <w:tcW w:w="429" w:type="pct"/>
            <w:tcBorders>
              <w:tl2br w:val="nil"/>
              <w:tr2bl w:val="nil"/>
            </w:tcBorders>
            <w:vAlign w:val="center"/>
          </w:tcPr>
          <w:p w14:paraId="0CA8F059">
            <w:pPr>
              <w:spacing w:line="240" w:lineRule="auto"/>
              <w:jc w:val="left"/>
              <w:rPr>
                <w:rFonts w:hint="eastAsia" w:cs="宋体"/>
                <w:color w:val="000000"/>
              </w:rPr>
            </w:pPr>
          </w:p>
        </w:tc>
        <w:tc>
          <w:tcPr>
            <w:tcW w:w="3289" w:type="pct"/>
            <w:tcBorders>
              <w:tl2br w:val="nil"/>
              <w:tr2bl w:val="nil"/>
            </w:tcBorders>
            <w:vAlign w:val="center"/>
          </w:tcPr>
          <w:p w14:paraId="7595AB70">
            <w:pPr>
              <w:widowControl/>
              <w:spacing w:line="240" w:lineRule="auto"/>
              <w:ind w:firstLine="0" w:firstLineChars="0"/>
              <w:textAlignment w:val="center"/>
              <w:rPr>
                <w:rFonts w:hint="eastAsia" w:cs="宋体"/>
                <w:color w:val="000000"/>
              </w:rPr>
            </w:pPr>
            <w:r>
              <w:rPr>
                <w:rFonts w:hint="eastAsia" w:cs="宋体"/>
                <w:color w:val="000000"/>
                <w:kern w:val="0"/>
                <w:lang w:bidi="ar"/>
              </w:rPr>
              <w:t>社区云数据接入 依托公共数据平台接入社区云的房屋信息、人员信息、人房关系等3项数据</w:t>
            </w:r>
            <w:r>
              <w:rPr>
                <w:rFonts w:hint="eastAsia" w:cs="宋体"/>
                <w:color w:val="000000"/>
                <w:kern w:val="0"/>
                <w:lang w:bidi="ar"/>
              </w:rPr>
              <w:br w:type="textWrapping"/>
            </w:r>
            <w:r>
              <w:rPr>
                <w:rFonts w:hint="eastAsia" w:cs="宋体"/>
                <w:color w:val="000000"/>
                <w:kern w:val="0"/>
                <w:lang w:bidi="ar"/>
              </w:rPr>
              <w:t>综合能源基本信息数据接入 依托公共数据平台接入临港新片区综合能源智慧管控平台的37项综合能源基本信息数据</w:t>
            </w:r>
            <w:r>
              <w:rPr>
                <w:rFonts w:hint="eastAsia" w:cs="宋体"/>
                <w:color w:val="000000"/>
                <w:kern w:val="0"/>
                <w:lang w:bidi="ar"/>
              </w:rPr>
              <w:br w:type="textWrapping"/>
            </w:r>
            <w:r>
              <w:rPr>
                <w:rFonts w:hint="eastAsia" w:cs="宋体"/>
                <w:color w:val="000000"/>
                <w:kern w:val="0"/>
                <w:lang w:bidi="ar"/>
              </w:rPr>
              <w:t>排水监管数据接入 依托公共数据平台接入临港新片区排水系统一体化运行监管平台的雨水、污水、排水、积水等相关数据，共包括43项数据</w:t>
            </w:r>
            <w:r>
              <w:rPr>
                <w:rFonts w:hint="eastAsia" w:cs="宋体"/>
                <w:color w:val="000000"/>
                <w:kern w:val="0"/>
                <w:lang w:bidi="ar"/>
              </w:rPr>
              <w:br w:type="textWrapping"/>
            </w:r>
            <w:r>
              <w:rPr>
                <w:rFonts w:hint="eastAsia" w:cs="宋体"/>
                <w:color w:val="000000"/>
                <w:kern w:val="0"/>
                <w:lang w:bidi="ar"/>
              </w:rPr>
              <w:t>交通一体化平台数据接入 依托公共数据平台接入临港新片区公安交通一体化平台的交通基础数据、停车管理数据、客流数据等，包括58项数据</w:t>
            </w:r>
            <w:r>
              <w:rPr>
                <w:rFonts w:hint="eastAsia" w:cs="宋体"/>
                <w:color w:val="000000"/>
                <w:kern w:val="0"/>
                <w:lang w:bidi="ar"/>
              </w:rPr>
              <w:br w:type="textWrapping"/>
            </w:r>
            <w:r>
              <w:rPr>
                <w:rFonts w:hint="eastAsia" w:cs="宋体"/>
                <w:color w:val="000000"/>
                <w:kern w:val="0"/>
                <w:lang w:bidi="ar"/>
              </w:rPr>
              <w:t>环湖景观带停车诱导数据接入 依托公共数据平台接入临港新片区环湖景观带停车诱导系统的停车诱导数据，包括11项数据</w:t>
            </w:r>
            <w:r>
              <w:rPr>
                <w:rFonts w:hint="eastAsia" w:cs="宋体"/>
                <w:color w:val="000000"/>
                <w:kern w:val="0"/>
                <w:lang w:bidi="ar"/>
              </w:rPr>
              <w:br w:type="textWrapping"/>
            </w:r>
            <w:r>
              <w:rPr>
                <w:rFonts w:hint="eastAsia" w:cs="宋体"/>
                <w:color w:val="000000"/>
                <w:kern w:val="0"/>
                <w:lang w:bidi="ar"/>
              </w:rPr>
              <w:t>道路管养数据接入 依托公共数据平台接入临港新片区道路管养系统的道路管养数据，包括25项数据</w:t>
            </w:r>
            <w:r>
              <w:rPr>
                <w:rFonts w:hint="eastAsia" w:cs="宋体"/>
                <w:color w:val="000000"/>
                <w:kern w:val="0"/>
                <w:lang w:bidi="ar"/>
              </w:rPr>
              <w:br w:type="textWrapping"/>
            </w:r>
            <w:r>
              <w:rPr>
                <w:rFonts w:hint="eastAsia" w:cs="宋体"/>
                <w:color w:val="000000"/>
                <w:kern w:val="0"/>
                <w:lang w:bidi="ar"/>
              </w:rPr>
              <w:t>数字店招数据接入 依托公共数据平台接入数字店招标牌监测管理系统的店招相关数据，包括6项数据</w:t>
            </w:r>
            <w:r>
              <w:rPr>
                <w:rFonts w:hint="eastAsia" w:cs="宋体"/>
                <w:color w:val="000000"/>
                <w:kern w:val="0"/>
                <w:lang w:bidi="ar"/>
              </w:rPr>
              <w:br w:type="textWrapping"/>
            </w:r>
            <w:r>
              <w:rPr>
                <w:rFonts w:hint="eastAsia" w:cs="宋体"/>
                <w:color w:val="000000"/>
                <w:kern w:val="0"/>
                <w:lang w:bidi="ar"/>
              </w:rPr>
              <w:t>综合执法数据接入 依托公共数据平台接入临港新片区综合执法管理系统的综合执法相关数据，包括10项数据</w:t>
            </w:r>
            <w:r>
              <w:rPr>
                <w:rFonts w:hint="eastAsia" w:cs="宋体"/>
                <w:color w:val="000000"/>
                <w:kern w:val="0"/>
                <w:lang w:bidi="ar"/>
              </w:rPr>
              <w:br w:type="textWrapping"/>
            </w:r>
            <w:r>
              <w:rPr>
                <w:rFonts w:hint="eastAsia" w:cs="宋体"/>
                <w:color w:val="000000"/>
                <w:kern w:val="0"/>
                <w:lang w:bidi="ar"/>
              </w:rPr>
              <w:t>工程建设项目数据接入 依托公共数据平台接入工程建设项目领域综合管理系统的工地基础数据，包括10项数据</w:t>
            </w:r>
            <w:r>
              <w:rPr>
                <w:rFonts w:hint="eastAsia" w:cs="宋体"/>
                <w:color w:val="000000"/>
                <w:kern w:val="0"/>
                <w:lang w:bidi="ar"/>
              </w:rPr>
              <w:br w:type="textWrapping"/>
            </w:r>
            <w:r>
              <w:rPr>
                <w:rFonts w:hint="eastAsia" w:cs="宋体"/>
                <w:color w:val="000000"/>
                <w:kern w:val="0"/>
                <w:lang w:bidi="ar"/>
              </w:rPr>
              <w:t>人口及文旅数据接入 依托公共数据平台接入临港新片区公共数据管理与赋能平台的人口及文旅相关数据，包括11项数据</w:t>
            </w:r>
            <w:r>
              <w:rPr>
                <w:rFonts w:hint="eastAsia" w:cs="宋体"/>
                <w:color w:val="000000"/>
                <w:kern w:val="0"/>
                <w:lang w:bidi="ar"/>
              </w:rPr>
              <w:br w:type="textWrapping"/>
            </w:r>
            <w:r>
              <w:rPr>
                <w:rFonts w:hint="eastAsia" w:cs="宋体"/>
                <w:color w:val="000000"/>
                <w:kern w:val="0"/>
                <w:lang w:bidi="ar"/>
              </w:rPr>
              <w:t>市容绿化数据接入 依托公共数据平台接入数字孪生平台的市容绿化等相关数据</w:t>
            </w:r>
            <w:r>
              <w:rPr>
                <w:rFonts w:hint="eastAsia" w:cs="宋体"/>
                <w:color w:val="000000"/>
                <w:kern w:val="0"/>
                <w:lang w:bidi="ar"/>
              </w:rPr>
              <w:br w:type="textWrapping"/>
            </w:r>
            <w:r>
              <w:rPr>
                <w:rFonts w:hint="eastAsia" w:cs="宋体"/>
                <w:color w:val="000000"/>
                <w:kern w:val="0"/>
                <w:lang w:bidi="ar"/>
              </w:rPr>
              <w:t>信访数据接入 依托公共数据平台接入临港新片区数字信访综合管理平台的信访相关数据，包括15项数据</w:t>
            </w:r>
          </w:p>
        </w:tc>
      </w:tr>
      <w:tr w14:paraId="39800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 w:hRule="atLeast"/>
        </w:trPr>
        <w:tc>
          <w:tcPr>
            <w:tcW w:w="381" w:type="pct"/>
            <w:tcBorders>
              <w:tl2br w:val="nil"/>
              <w:tr2bl w:val="nil"/>
            </w:tcBorders>
            <w:vAlign w:val="center"/>
          </w:tcPr>
          <w:p w14:paraId="51E3AEA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10</w:t>
            </w:r>
          </w:p>
        </w:tc>
        <w:tc>
          <w:tcPr>
            <w:tcW w:w="447" w:type="pct"/>
            <w:vMerge w:val="continue"/>
            <w:tcBorders>
              <w:tl2br w:val="nil"/>
              <w:tr2bl w:val="nil"/>
            </w:tcBorders>
            <w:vAlign w:val="center"/>
          </w:tcPr>
          <w:p w14:paraId="42F56403">
            <w:pPr>
              <w:spacing w:line="240" w:lineRule="auto"/>
              <w:jc w:val="left"/>
              <w:rPr>
                <w:rFonts w:hint="eastAsia" w:cs="宋体"/>
                <w:color w:val="000000"/>
              </w:rPr>
            </w:pPr>
          </w:p>
        </w:tc>
        <w:tc>
          <w:tcPr>
            <w:tcW w:w="453" w:type="pct"/>
            <w:vMerge w:val="restart"/>
            <w:tcBorders>
              <w:tl2br w:val="nil"/>
              <w:tr2bl w:val="nil"/>
            </w:tcBorders>
            <w:vAlign w:val="center"/>
          </w:tcPr>
          <w:p w14:paraId="60211758">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其他数据接入和整合</w:t>
            </w:r>
          </w:p>
        </w:tc>
        <w:tc>
          <w:tcPr>
            <w:tcW w:w="429" w:type="pct"/>
            <w:tcBorders>
              <w:tl2br w:val="nil"/>
              <w:tr2bl w:val="nil"/>
            </w:tcBorders>
            <w:vAlign w:val="center"/>
          </w:tcPr>
          <w:p w14:paraId="1FAE921D">
            <w:pPr>
              <w:widowControl/>
              <w:spacing w:line="240" w:lineRule="auto"/>
              <w:ind w:firstLine="0" w:firstLineChars="0"/>
              <w:jc w:val="center"/>
              <w:textAlignment w:val="center"/>
              <w:rPr>
                <w:rFonts w:hint="eastAsia" w:cs="宋体"/>
                <w:color w:val="000000"/>
              </w:rPr>
            </w:pPr>
            <w:r>
              <w:rPr>
                <w:rFonts w:hint="eastAsia" w:cs="宋体"/>
                <w:color w:val="000000"/>
                <w:kern w:val="0"/>
                <w:lang w:eastAsia="zh-CN" w:bidi="ar"/>
              </w:rPr>
              <w:t>舆Q</w:t>
            </w:r>
            <w:r>
              <w:rPr>
                <w:rFonts w:hint="eastAsia" w:cs="宋体"/>
                <w:color w:val="000000"/>
                <w:kern w:val="0"/>
                <w:lang w:bidi="ar"/>
              </w:rPr>
              <w:t>数据接入</w:t>
            </w:r>
          </w:p>
        </w:tc>
        <w:tc>
          <w:tcPr>
            <w:tcW w:w="3289" w:type="pct"/>
            <w:tcBorders>
              <w:tl2br w:val="nil"/>
              <w:tr2bl w:val="nil"/>
            </w:tcBorders>
            <w:vAlign w:val="center"/>
          </w:tcPr>
          <w:p w14:paraId="327F51A4">
            <w:pPr>
              <w:widowControl/>
              <w:spacing w:line="240" w:lineRule="auto"/>
              <w:ind w:firstLine="0" w:firstLineChars="0"/>
              <w:textAlignment w:val="center"/>
              <w:rPr>
                <w:rFonts w:hint="eastAsia" w:cs="宋体"/>
                <w:color w:val="000000"/>
              </w:rPr>
            </w:pPr>
            <w:r>
              <w:rPr>
                <w:rFonts w:hint="eastAsia" w:cs="宋体"/>
                <w:color w:val="000000"/>
                <w:kern w:val="0"/>
                <w:lang w:bidi="ar"/>
              </w:rPr>
              <w:t>实现临港新片区相关热点</w:t>
            </w:r>
            <w:r>
              <w:rPr>
                <w:rFonts w:hint="eastAsia" w:cs="宋体"/>
                <w:color w:val="000000"/>
                <w:kern w:val="0"/>
                <w:lang w:eastAsia="zh-CN" w:bidi="ar"/>
              </w:rPr>
              <w:t>舆Q</w:t>
            </w:r>
            <w:r>
              <w:rPr>
                <w:rFonts w:hint="eastAsia" w:cs="宋体"/>
                <w:color w:val="000000"/>
                <w:kern w:val="0"/>
                <w:lang w:bidi="ar"/>
              </w:rPr>
              <w:t>数据的接入</w:t>
            </w:r>
          </w:p>
        </w:tc>
      </w:tr>
      <w:tr w14:paraId="6AD7C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02DD898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11</w:t>
            </w:r>
          </w:p>
        </w:tc>
        <w:tc>
          <w:tcPr>
            <w:tcW w:w="447" w:type="pct"/>
            <w:vMerge w:val="continue"/>
            <w:tcBorders>
              <w:tl2br w:val="nil"/>
              <w:tr2bl w:val="nil"/>
            </w:tcBorders>
            <w:vAlign w:val="center"/>
          </w:tcPr>
          <w:p w14:paraId="3138411B">
            <w:pPr>
              <w:spacing w:line="240" w:lineRule="auto"/>
              <w:jc w:val="left"/>
              <w:rPr>
                <w:rFonts w:hint="eastAsia" w:cs="宋体"/>
                <w:color w:val="000000"/>
              </w:rPr>
            </w:pPr>
          </w:p>
        </w:tc>
        <w:tc>
          <w:tcPr>
            <w:tcW w:w="453" w:type="pct"/>
            <w:vMerge w:val="continue"/>
            <w:tcBorders>
              <w:tl2br w:val="nil"/>
              <w:tr2bl w:val="nil"/>
            </w:tcBorders>
            <w:vAlign w:val="center"/>
          </w:tcPr>
          <w:p w14:paraId="7A20447F">
            <w:pPr>
              <w:spacing w:line="240" w:lineRule="auto"/>
              <w:jc w:val="left"/>
              <w:rPr>
                <w:rFonts w:hint="eastAsia" w:cs="宋体"/>
                <w:color w:val="000000"/>
              </w:rPr>
            </w:pPr>
          </w:p>
        </w:tc>
        <w:tc>
          <w:tcPr>
            <w:tcW w:w="429" w:type="pct"/>
            <w:tcBorders>
              <w:tl2br w:val="nil"/>
              <w:tr2bl w:val="nil"/>
            </w:tcBorders>
            <w:vAlign w:val="center"/>
          </w:tcPr>
          <w:p w14:paraId="3AD2EF5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气象数据接入</w:t>
            </w:r>
          </w:p>
        </w:tc>
        <w:tc>
          <w:tcPr>
            <w:tcW w:w="3289" w:type="pct"/>
            <w:tcBorders>
              <w:tl2br w:val="nil"/>
              <w:tr2bl w:val="nil"/>
            </w:tcBorders>
            <w:vAlign w:val="center"/>
          </w:tcPr>
          <w:p w14:paraId="33C20F07">
            <w:pPr>
              <w:widowControl/>
              <w:spacing w:line="240" w:lineRule="auto"/>
              <w:ind w:firstLine="0" w:firstLineChars="0"/>
              <w:textAlignment w:val="center"/>
              <w:rPr>
                <w:rFonts w:hint="eastAsia" w:cs="宋体"/>
                <w:color w:val="000000"/>
              </w:rPr>
            </w:pPr>
            <w:r>
              <w:rPr>
                <w:rFonts w:hint="eastAsia" w:cs="宋体"/>
                <w:color w:val="000000"/>
                <w:kern w:val="0"/>
                <w:lang w:bidi="ar"/>
              </w:rPr>
              <w:t>依托公共数据平台接入浦东气象局的相关气象及预测数据，包括常规实况信息（气温、降水、风速、风向、湿度、气压等）、雷达资料、卫星资料、闪电数据、台风数据、模式数据、预警数据等。</w:t>
            </w:r>
          </w:p>
        </w:tc>
      </w:tr>
      <w:tr w14:paraId="21BC0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 w:hRule="atLeast"/>
        </w:trPr>
        <w:tc>
          <w:tcPr>
            <w:tcW w:w="381" w:type="pct"/>
            <w:tcBorders>
              <w:tl2br w:val="nil"/>
              <w:tr2bl w:val="nil"/>
            </w:tcBorders>
            <w:vAlign w:val="center"/>
          </w:tcPr>
          <w:p w14:paraId="6556FA6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12</w:t>
            </w:r>
          </w:p>
        </w:tc>
        <w:tc>
          <w:tcPr>
            <w:tcW w:w="447" w:type="pct"/>
            <w:vMerge w:val="continue"/>
            <w:tcBorders>
              <w:tl2br w:val="nil"/>
              <w:tr2bl w:val="nil"/>
            </w:tcBorders>
            <w:vAlign w:val="center"/>
          </w:tcPr>
          <w:p w14:paraId="25735F33">
            <w:pPr>
              <w:spacing w:line="240" w:lineRule="auto"/>
              <w:jc w:val="left"/>
              <w:rPr>
                <w:rFonts w:hint="eastAsia" w:cs="宋体"/>
                <w:color w:val="000000"/>
              </w:rPr>
            </w:pPr>
          </w:p>
        </w:tc>
        <w:tc>
          <w:tcPr>
            <w:tcW w:w="453" w:type="pct"/>
            <w:vMerge w:val="continue"/>
            <w:tcBorders>
              <w:tl2br w:val="nil"/>
              <w:tr2bl w:val="nil"/>
            </w:tcBorders>
            <w:vAlign w:val="center"/>
          </w:tcPr>
          <w:p w14:paraId="4933990F">
            <w:pPr>
              <w:spacing w:line="240" w:lineRule="auto"/>
              <w:jc w:val="left"/>
              <w:rPr>
                <w:rFonts w:hint="eastAsia" w:cs="宋体"/>
                <w:color w:val="000000"/>
              </w:rPr>
            </w:pPr>
          </w:p>
        </w:tc>
        <w:tc>
          <w:tcPr>
            <w:tcW w:w="429" w:type="pct"/>
            <w:tcBorders>
              <w:tl2br w:val="nil"/>
              <w:tr2bl w:val="nil"/>
            </w:tcBorders>
            <w:vAlign w:val="center"/>
          </w:tcPr>
          <w:p w14:paraId="779370E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外部数据接入</w:t>
            </w:r>
          </w:p>
        </w:tc>
        <w:tc>
          <w:tcPr>
            <w:tcW w:w="3289" w:type="pct"/>
            <w:tcBorders>
              <w:tl2br w:val="nil"/>
              <w:tr2bl w:val="nil"/>
            </w:tcBorders>
            <w:vAlign w:val="center"/>
          </w:tcPr>
          <w:p w14:paraId="60ADBC1B">
            <w:pPr>
              <w:widowControl/>
              <w:spacing w:line="240" w:lineRule="auto"/>
              <w:ind w:firstLine="0" w:firstLineChars="0"/>
              <w:textAlignment w:val="center"/>
              <w:rPr>
                <w:rFonts w:hint="eastAsia" w:cs="宋体"/>
                <w:color w:val="000000"/>
              </w:rPr>
            </w:pPr>
            <w:r>
              <w:rPr>
                <w:rFonts w:hint="eastAsia" w:cs="宋体"/>
                <w:color w:val="000000"/>
                <w:kern w:val="0"/>
                <w:lang w:bidi="ar"/>
              </w:rPr>
              <w:t>实现铁塔和电信非机动车充电桩系统相关充电桩位置数据、运营数据的接入</w:t>
            </w:r>
          </w:p>
        </w:tc>
      </w:tr>
      <w:tr w14:paraId="6C946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6C3B8EE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13</w:t>
            </w:r>
          </w:p>
        </w:tc>
        <w:tc>
          <w:tcPr>
            <w:tcW w:w="447" w:type="pct"/>
            <w:vMerge w:val="continue"/>
            <w:tcBorders>
              <w:tl2br w:val="nil"/>
              <w:tr2bl w:val="nil"/>
            </w:tcBorders>
            <w:vAlign w:val="center"/>
          </w:tcPr>
          <w:p w14:paraId="0E3DAB93">
            <w:pPr>
              <w:spacing w:line="240" w:lineRule="auto"/>
              <w:jc w:val="left"/>
              <w:rPr>
                <w:rFonts w:hint="eastAsia" w:cs="宋体"/>
                <w:color w:val="000000"/>
              </w:rPr>
            </w:pPr>
          </w:p>
        </w:tc>
        <w:tc>
          <w:tcPr>
            <w:tcW w:w="453" w:type="pct"/>
            <w:vMerge w:val="continue"/>
            <w:tcBorders>
              <w:tl2br w:val="nil"/>
              <w:tr2bl w:val="nil"/>
            </w:tcBorders>
            <w:vAlign w:val="center"/>
          </w:tcPr>
          <w:p w14:paraId="3EBC6CD8">
            <w:pPr>
              <w:spacing w:line="240" w:lineRule="auto"/>
              <w:jc w:val="left"/>
              <w:rPr>
                <w:rFonts w:hint="eastAsia" w:cs="宋体"/>
                <w:color w:val="000000"/>
              </w:rPr>
            </w:pPr>
          </w:p>
        </w:tc>
        <w:tc>
          <w:tcPr>
            <w:tcW w:w="429" w:type="pct"/>
            <w:tcBorders>
              <w:tl2br w:val="nil"/>
              <w:tr2bl w:val="nil"/>
            </w:tcBorders>
            <w:vAlign w:val="center"/>
          </w:tcPr>
          <w:p w14:paraId="02EA95D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数据整合</w:t>
            </w:r>
          </w:p>
        </w:tc>
        <w:tc>
          <w:tcPr>
            <w:tcW w:w="3289" w:type="pct"/>
            <w:tcBorders>
              <w:tl2br w:val="nil"/>
              <w:tr2bl w:val="nil"/>
            </w:tcBorders>
            <w:vAlign w:val="center"/>
          </w:tcPr>
          <w:p w14:paraId="7D2D37F3">
            <w:pPr>
              <w:widowControl/>
              <w:spacing w:line="240" w:lineRule="auto"/>
              <w:ind w:firstLine="0" w:firstLineChars="0"/>
              <w:textAlignment w:val="center"/>
              <w:rPr>
                <w:rFonts w:hint="eastAsia" w:cs="宋体"/>
                <w:color w:val="000000"/>
              </w:rPr>
            </w:pPr>
            <w:r>
              <w:rPr>
                <w:rFonts w:hint="eastAsia" w:cs="宋体"/>
                <w:color w:val="000000"/>
                <w:kern w:val="0"/>
                <w:lang w:bidi="ar"/>
              </w:rPr>
              <w:t>整合智慧电梯、居村微平台及视频汇聚平台相关数据；根据融合大屏及事件中枢需求对数据进行整合处理，以适应融合应用需求</w:t>
            </w:r>
          </w:p>
        </w:tc>
      </w:tr>
      <w:tr w14:paraId="35CE6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trPr>
        <w:tc>
          <w:tcPr>
            <w:tcW w:w="381" w:type="pct"/>
            <w:tcBorders>
              <w:tl2br w:val="nil"/>
              <w:tr2bl w:val="nil"/>
            </w:tcBorders>
            <w:vAlign w:val="center"/>
          </w:tcPr>
          <w:p w14:paraId="377F2A9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14</w:t>
            </w:r>
          </w:p>
        </w:tc>
        <w:tc>
          <w:tcPr>
            <w:tcW w:w="447" w:type="pct"/>
            <w:vMerge w:val="continue"/>
            <w:tcBorders>
              <w:tl2br w:val="nil"/>
              <w:tr2bl w:val="nil"/>
            </w:tcBorders>
            <w:vAlign w:val="center"/>
          </w:tcPr>
          <w:p w14:paraId="33AC34CE">
            <w:pPr>
              <w:spacing w:line="240" w:lineRule="auto"/>
              <w:jc w:val="left"/>
              <w:rPr>
                <w:rFonts w:hint="eastAsia" w:cs="宋体"/>
                <w:color w:val="000000"/>
              </w:rPr>
            </w:pPr>
          </w:p>
        </w:tc>
        <w:tc>
          <w:tcPr>
            <w:tcW w:w="453" w:type="pct"/>
            <w:vMerge w:val="restart"/>
            <w:tcBorders>
              <w:tl2br w:val="nil"/>
              <w:tr2bl w:val="nil"/>
            </w:tcBorders>
            <w:vAlign w:val="center"/>
          </w:tcPr>
          <w:p w14:paraId="2389C71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城运数据收集轻应用</w:t>
            </w:r>
          </w:p>
        </w:tc>
        <w:tc>
          <w:tcPr>
            <w:tcW w:w="429" w:type="pct"/>
            <w:tcBorders>
              <w:tl2br w:val="nil"/>
              <w:tr2bl w:val="nil"/>
            </w:tcBorders>
            <w:vAlign w:val="center"/>
          </w:tcPr>
          <w:p w14:paraId="068B6F76">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工作台</w:t>
            </w:r>
          </w:p>
        </w:tc>
        <w:tc>
          <w:tcPr>
            <w:tcW w:w="3289" w:type="pct"/>
            <w:tcBorders>
              <w:tl2br w:val="nil"/>
              <w:tr2bl w:val="nil"/>
            </w:tcBorders>
            <w:vAlign w:val="center"/>
          </w:tcPr>
          <w:p w14:paraId="21D19FAF">
            <w:pPr>
              <w:widowControl/>
              <w:spacing w:line="240" w:lineRule="auto"/>
              <w:ind w:firstLine="0" w:firstLineChars="0"/>
              <w:textAlignment w:val="center"/>
              <w:rPr>
                <w:rFonts w:hint="eastAsia" w:cs="宋体"/>
                <w:color w:val="000000"/>
              </w:rPr>
            </w:pPr>
            <w:r>
              <w:rPr>
                <w:rFonts w:hint="eastAsia" w:cs="宋体"/>
                <w:color w:val="000000"/>
                <w:kern w:val="0"/>
                <w:lang w:bidi="ar"/>
              </w:rPr>
              <w:t>1、对接“随申办政务云”：接入随申办政务云平台</w:t>
            </w:r>
            <w:r>
              <w:rPr>
                <w:rFonts w:hint="eastAsia" w:cs="宋体"/>
                <w:color w:val="000000"/>
                <w:kern w:val="0"/>
                <w:lang w:bidi="ar"/>
              </w:rPr>
              <w:br w:type="textWrapping"/>
            </w:r>
            <w:r>
              <w:rPr>
                <w:rFonts w:hint="eastAsia" w:cs="宋体"/>
                <w:color w:val="000000"/>
                <w:kern w:val="0"/>
                <w:lang w:bidi="ar"/>
              </w:rPr>
              <w:t>2、消息公告：展示当前登录用户未读消息公告，点击查看消息公告详情。</w:t>
            </w:r>
            <w:r>
              <w:rPr>
                <w:rFonts w:hint="eastAsia" w:cs="宋体"/>
                <w:color w:val="000000"/>
                <w:kern w:val="0"/>
                <w:lang w:bidi="ar"/>
              </w:rPr>
              <w:br w:type="textWrapping"/>
            </w:r>
            <w:r>
              <w:rPr>
                <w:rFonts w:hint="eastAsia" w:cs="宋体"/>
                <w:color w:val="000000"/>
                <w:kern w:val="0"/>
                <w:lang w:bidi="ar"/>
              </w:rPr>
              <w:t>3、我的任务：</w:t>
            </w:r>
            <w:r>
              <w:rPr>
                <w:rFonts w:hint="eastAsia" w:cs="宋体"/>
                <w:color w:val="000000"/>
                <w:kern w:val="0"/>
                <w:lang w:bidi="ar"/>
              </w:rPr>
              <w:br w:type="textWrapping"/>
            </w:r>
            <w:r>
              <w:rPr>
                <w:rFonts w:hint="eastAsia" w:cs="宋体"/>
                <w:color w:val="000000"/>
                <w:kern w:val="0"/>
                <w:lang w:bidi="ar"/>
              </w:rPr>
              <w:t>1）我的待办任务：展示当前登录用户待办的任务，支持按照超期、催办标签及任务创建时间进行筛选，点击进入任务执行页可进行任务操作。</w:t>
            </w:r>
            <w:r>
              <w:rPr>
                <w:rFonts w:hint="eastAsia" w:cs="宋体"/>
                <w:color w:val="000000"/>
                <w:kern w:val="0"/>
                <w:lang w:bidi="ar"/>
              </w:rPr>
              <w:br w:type="textWrapping"/>
            </w:r>
            <w:r>
              <w:rPr>
                <w:rFonts w:hint="eastAsia" w:cs="宋体"/>
                <w:color w:val="000000"/>
                <w:kern w:val="0"/>
                <w:lang w:bidi="ar"/>
              </w:rPr>
              <w:t>2）我下派的任务：展示当前登录用户下派的任务，支持按照任务创建时间进行筛选，点击进入任务详情页查看各下级人员执行情况。</w:t>
            </w:r>
            <w:r>
              <w:rPr>
                <w:rFonts w:hint="eastAsia" w:cs="宋体"/>
                <w:color w:val="000000"/>
                <w:kern w:val="0"/>
                <w:lang w:bidi="ar"/>
              </w:rPr>
              <w:br w:type="textWrapping"/>
            </w:r>
            <w:r>
              <w:rPr>
                <w:rFonts w:hint="eastAsia" w:cs="宋体"/>
                <w:color w:val="000000"/>
                <w:kern w:val="0"/>
                <w:lang w:bidi="ar"/>
              </w:rPr>
              <w:t>3）我下派的人员：展示当前登录用户下派的任务操作人，包括操作人、下派任务量、完成数量、人员延期率，可按照任务创建时间进行筛选。</w:t>
            </w:r>
            <w:r>
              <w:rPr>
                <w:rFonts w:hint="eastAsia" w:cs="宋体"/>
                <w:color w:val="000000"/>
                <w:kern w:val="0"/>
                <w:lang w:bidi="ar"/>
              </w:rPr>
              <w:br w:type="textWrapping"/>
            </w:r>
            <w:r>
              <w:rPr>
                <w:rFonts w:hint="eastAsia" w:cs="宋体"/>
                <w:color w:val="000000"/>
                <w:kern w:val="0"/>
                <w:lang w:bidi="ar"/>
              </w:rPr>
              <w:t>4、我的收藏：</w:t>
            </w:r>
            <w:r>
              <w:rPr>
                <w:rFonts w:hint="eastAsia" w:cs="宋体"/>
                <w:color w:val="000000"/>
                <w:kern w:val="0"/>
                <w:lang w:bidi="ar"/>
              </w:rPr>
              <w:br w:type="textWrapping"/>
            </w:r>
            <w:r>
              <w:rPr>
                <w:rFonts w:hint="eastAsia" w:cs="宋体"/>
                <w:color w:val="000000"/>
                <w:kern w:val="0"/>
                <w:lang w:bidi="ar"/>
              </w:rPr>
              <w:t>1）常用应用：展示当前</w:t>
            </w:r>
            <w:r>
              <w:rPr>
                <w:rFonts w:hint="eastAsia" w:cs="宋体"/>
                <w:color w:val="000000"/>
                <w:kern w:val="0"/>
                <w:lang w:eastAsia="zh-CN" w:bidi="ar"/>
              </w:rPr>
              <w:t>登录</w:t>
            </w:r>
            <w:r>
              <w:rPr>
                <w:rFonts w:hint="eastAsia" w:cs="宋体"/>
                <w:color w:val="000000"/>
                <w:kern w:val="0"/>
                <w:lang w:bidi="ar"/>
              </w:rPr>
              <w:t>用户收藏的菜单页面，点击可快速跳转对应页面。</w:t>
            </w:r>
            <w:r>
              <w:rPr>
                <w:rFonts w:hint="eastAsia" w:cs="宋体"/>
                <w:color w:val="000000"/>
                <w:kern w:val="0"/>
                <w:lang w:bidi="ar"/>
              </w:rPr>
              <w:br w:type="textWrapping"/>
            </w:r>
            <w:r>
              <w:rPr>
                <w:rFonts w:hint="eastAsia" w:cs="宋体"/>
                <w:color w:val="000000"/>
                <w:kern w:val="0"/>
                <w:lang w:bidi="ar"/>
              </w:rPr>
              <w:t>2）收藏的报表：展示当前登录用户收藏的报表，点击可快速跳转报表详情页查看报表数据。</w:t>
            </w:r>
            <w:r>
              <w:rPr>
                <w:rFonts w:hint="eastAsia" w:cs="宋体"/>
                <w:color w:val="000000"/>
                <w:kern w:val="0"/>
                <w:lang w:bidi="ar"/>
              </w:rPr>
              <w:br w:type="textWrapping"/>
            </w:r>
            <w:r>
              <w:rPr>
                <w:rFonts w:hint="eastAsia" w:cs="宋体"/>
                <w:color w:val="000000"/>
                <w:kern w:val="0"/>
                <w:lang w:bidi="ar"/>
              </w:rPr>
              <w:t>3）收藏的回流数据：展示当前登录用户收藏的回流数据，点击可快速跳转报表详情页查看回流数据。</w:t>
            </w:r>
            <w:r>
              <w:rPr>
                <w:rFonts w:hint="eastAsia" w:cs="宋体"/>
                <w:color w:val="000000"/>
                <w:kern w:val="0"/>
                <w:lang w:bidi="ar"/>
              </w:rPr>
              <w:br w:type="textWrapping"/>
            </w:r>
            <w:r>
              <w:rPr>
                <w:rFonts w:hint="eastAsia" w:cs="宋体"/>
                <w:color w:val="000000"/>
                <w:kern w:val="0"/>
                <w:lang w:bidi="ar"/>
              </w:rPr>
              <w:t>4）收藏的个人台账：展示当前登录用户收藏的报表个人台账，点击可快速跳转报表详情页查看个人台账数据。</w:t>
            </w:r>
            <w:r>
              <w:rPr>
                <w:rFonts w:hint="eastAsia" w:cs="宋体"/>
                <w:color w:val="000000"/>
                <w:kern w:val="0"/>
                <w:lang w:bidi="ar"/>
              </w:rPr>
              <w:br w:type="textWrapping"/>
            </w:r>
            <w:r>
              <w:rPr>
                <w:rFonts w:hint="eastAsia" w:cs="宋体"/>
                <w:color w:val="000000"/>
                <w:kern w:val="0"/>
                <w:lang w:bidi="ar"/>
              </w:rPr>
              <w:t>5、操作引导：提供首页各功能点操作说明及介绍的引导。</w:t>
            </w:r>
            <w:r>
              <w:rPr>
                <w:rFonts w:hint="eastAsia" w:cs="宋体"/>
                <w:color w:val="000000"/>
                <w:kern w:val="0"/>
                <w:lang w:bidi="ar"/>
              </w:rPr>
              <w:br w:type="textWrapping"/>
            </w:r>
            <w:r>
              <w:rPr>
                <w:rFonts w:hint="eastAsia" w:cs="宋体"/>
                <w:color w:val="000000"/>
                <w:kern w:val="0"/>
                <w:lang w:bidi="ar"/>
              </w:rPr>
              <w:t>6、系统数据统计：统计系统内用户使用情况、报表任务情况、数据超市数据情况。</w:t>
            </w:r>
            <w:r>
              <w:rPr>
                <w:rFonts w:hint="eastAsia" w:cs="宋体"/>
                <w:color w:val="000000"/>
                <w:kern w:val="0"/>
                <w:lang w:bidi="ar"/>
              </w:rPr>
              <w:br w:type="textWrapping"/>
            </w:r>
            <w:r>
              <w:rPr>
                <w:rFonts w:hint="eastAsia" w:cs="宋体"/>
                <w:color w:val="000000"/>
                <w:kern w:val="0"/>
                <w:lang w:bidi="ar"/>
              </w:rPr>
              <w:t>7、个人中心：查看用户个人基础信息。用户可修改密码、切换登录部门及退出登录。</w:t>
            </w:r>
          </w:p>
        </w:tc>
      </w:tr>
      <w:tr w14:paraId="7AB43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0" w:hRule="atLeast"/>
        </w:trPr>
        <w:tc>
          <w:tcPr>
            <w:tcW w:w="381" w:type="pct"/>
            <w:tcBorders>
              <w:tl2br w:val="nil"/>
              <w:tr2bl w:val="nil"/>
            </w:tcBorders>
            <w:vAlign w:val="center"/>
          </w:tcPr>
          <w:p w14:paraId="3D1A760F">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15</w:t>
            </w:r>
          </w:p>
        </w:tc>
        <w:tc>
          <w:tcPr>
            <w:tcW w:w="447" w:type="pct"/>
            <w:vMerge w:val="continue"/>
            <w:tcBorders>
              <w:tl2br w:val="nil"/>
              <w:tr2bl w:val="nil"/>
            </w:tcBorders>
            <w:vAlign w:val="center"/>
          </w:tcPr>
          <w:p w14:paraId="73D7E1C0">
            <w:pPr>
              <w:spacing w:line="240" w:lineRule="auto"/>
              <w:jc w:val="left"/>
              <w:rPr>
                <w:rFonts w:hint="eastAsia" w:cs="宋体"/>
                <w:color w:val="000000"/>
              </w:rPr>
            </w:pPr>
          </w:p>
        </w:tc>
        <w:tc>
          <w:tcPr>
            <w:tcW w:w="453" w:type="pct"/>
            <w:vMerge w:val="continue"/>
            <w:tcBorders>
              <w:tl2br w:val="nil"/>
              <w:tr2bl w:val="nil"/>
            </w:tcBorders>
            <w:vAlign w:val="center"/>
          </w:tcPr>
          <w:p w14:paraId="12F0054C">
            <w:pPr>
              <w:spacing w:line="240" w:lineRule="auto"/>
              <w:jc w:val="left"/>
              <w:rPr>
                <w:rFonts w:hint="eastAsia" w:cs="宋体"/>
                <w:color w:val="000000"/>
              </w:rPr>
            </w:pPr>
          </w:p>
        </w:tc>
        <w:tc>
          <w:tcPr>
            <w:tcW w:w="429" w:type="pct"/>
            <w:tcBorders>
              <w:tl2br w:val="nil"/>
              <w:tr2bl w:val="nil"/>
            </w:tcBorders>
            <w:vAlign w:val="center"/>
          </w:tcPr>
          <w:p w14:paraId="30814EE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报表中心</w:t>
            </w:r>
          </w:p>
        </w:tc>
        <w:tc>
          <w:tcPr>
            <w:tcW w:w="3289" w:type="pct"/>
            <w:tcBorders>
              <w:tl2br w:val="nil"/>
              <w:tr2bl w:val="nil"/>
            </w:tcBorders>
            <w:vAlign w:val="center"/>
          </w:tcPr>
          <w:p w14:paraId="103C9335">
            <w:pPr>
              <w:widowControl/>
              <w:spacing w:line="240" w:lineRule="auto"/>
              <w:ind w:firstLine="0" w:firstLineChars="0"/>
              <w:textAlignment w:val="center"/>
              <w:rPr>
                <w:rFonts w:hint="eastAsia" w:cs="宋体"/>
                <w:color w:val="000000"/>
              </w:rPr>
            </w:pPr>
            <w:r>
              <w:rPr>
                <w:rFonts w:hint="eastAsia" w:cs="宋体"/>
                <w:color w:val="000000"/>
                <w:kern w:val="0"/>
                <w:lang w:bidi="ar"/>
              </w:rPr>
              <w:t>1、报表列表和报表卡片：支持按照列表或者卡片两种形式进行报表呈现切换。</w:t>
            </w:r>
            <w:r>
              <w:rPr>
                <w:rFonts w:hint="eastAsia" w:cs="宋体"/>
                <w:color w:val="000000"/>
                <w:kern w:val="0"/>
                <w:lang w:bidi="ar"/>
              </w:rPr>
              <w:br w:type="textWrapping"/>
            </w:r>
            <w:r>
              <w:rPr>
                <w:rFonts w:hint="eastAsia" w:cs="宋体"/>
                <w:color w:val="000000"/>
                <w:kern w:val="0"/>
                <w:lang w:bidi="ar"/>
              </w:rPr>
              <w:t>2、报表搜索：可以按报表分类、报表名称、报表列名称对报表信息进行筛选。点击重置，展示当前</w:t>
            </w:r>
            <w:r>
              <w:rPr>
                <w:rFonts w:hint="eastAsia" w:cs="宋体"/>
                <w:color w:val="000000"/>
                <w:kern w:val="0"/>
                <w:lang w:eastAsia="zh-CN" w:bidi="ar"/>
              </w:rPr>
              <w:t>登录</w:t>
            </w:r>
            <w:r>
              <w:rPr>
                <w:rFonts w:hint="eastAsia" w:cs="宋体"/>
                <w:color w:val="000000"/>
                <w:kern w:val="0"/>
                <w:lang w:bidi="ar"/>
              </w:rPr>
              <w:t>人所有可见的报表。</w:t>
            </w:r>
            <w:r>
              <w:rPr>
                <w:rFonts w:hint="eastAsia" w:cs="宋体"/>
                <w:color w:val="000000"/>
                <w:kern w:val="0"/>
                <w:lang w:bidi="ar"/>
              </w:rPr>
              <w:br w:type="textWrapping"/>
            </w:r>
            <w:r>
              <w:rPr>
                <w:rFonts w:hint="eastAsia" w:cs="宋体"/>
                <w:color w:val="000000"/>
                <w:kern w:val="0"/>
                <w:lang w:bidi="ar"/>
              </w:rPr>
              <w:t>3、报表配置：</w:t>
            </w:r>
            <w:r>
              <w:rPr>
                <w:rFonts w:hint="eastAsia" w:cs="宋体"/>
                <w:color w:val="000000"/>
                <w:kern w:val="0"/>
                <w:lang w:bidi="ar"/>
              </w:rPr>
              <w:br w:type="textWrapping"/>
            </w:r>
            <w:r>
              <w:rPr>
                <w:rFonts w:hint="eastAsia" w:cs="宋体"/>
                <w:color w:val="000000"/>
                <w:kern w:val="0"/>
                <w:lang w:bidi="ar"/>
              </w:rPr>
              <w:t>1）新增采数报表：可通过导入Excel建表、拖拉拽建表、复制已有表等方式创建采数报表。通过拖拉拽建表：拖拽字段类型建表，字段类型包括单行文本、多行文本、数值、日期、下拉框、单选、多选、电话号码、身份证号、文件、行政区域、组织机构；通过导入Excel建表：通过导入excel识别表头字段进行字段添加；复制表建表：通过选择系统中已有的字段复制字段信息和表数据信息，支持根据后台自动配置的表关系跨表选取字段。支持对报表数据配置计算规则。</w:t>
            </w:r>
            <w:r>
              <w:rPr>
                <w:rFonts w:hint="eastAsia" w:cs="宋体"/>
                <w:color w:val="000000"/>
                <w:kern w:val="0"/>
                <w:lang w:bidi="ar"/>
              </w:rPr>
              <w:br w:type="textWrapping"/>
            </w:r>
            <w:r>
              <w:rPr>
                <w:rFonts w:hint="eastAsia" w:cs="宋体"/>
                <w:color w:val="000000"/>
                <w:kern w:val="0"/>
                <w:lang w:bidi="ar"/>
              </w:rPr>
              <w:t>2）新增取数报表：支持配置定时报表和实时报表，定时生成查询统计结果并保存记录以及随时按照最新数据生成查询统计结果并展示。后台自动配置表间关联关系，用户可通过在“数据超市”勾选字段的方式选取字段作为报表字段。支持对报表数据进行计算设置，如常见的求和、求平均、计数、求最大、求最小计算。支持对报表数据进行筛选条件配置，仅展示和计算符合查询条件的数据。支持通过数据库查询语句对报表数据进行查询、统计、分析。支持对报表进行下钻配置，点击跳转明细页查看数据详情。可以对报表设置共享。</w:t>
            </w:r>
            <w:r>
              <w:rPr>
                <w:rFonts w:hint="eastAsia" w:cs="宋体"/>
                <w:color w:val="000000"/>
                <w:kern w:val="0"/>
                <w:lang w:bidi="ar"/>
              </w:rPr>
              <w:br w:type="textWrapping"/>
            </w:r>
            <w:r>
              <w:rPr>
                <w:rFonts w:hint="eastAsia" w:cs="宋体"/>
                <w:color w:val="000000"/>
                <w:kern w:val="0"/>
                <w:lang w:bidi="ar"/>
              </w:rPr>
              <w:t>3）新增私人报表：支持对私人报表数据项进行设置并管控报表查看和数据导出权限。</w:t>
            </w:r>
            <w:r>
              <w:rPr>
                <w:rFonts w:hint="eastAsia" w:cs="宋体"/>
                <w:color w:val="000000"/>
                <w:kern w:val="0"/>
                <w:lang w:bidi="ar"/>
              </w:rPr>
              <w:br w:type="textWrapping"/>
            </w:r>
            <w:r>
              <w:rPr>
                <w:rFonts w:hint="eastAsia" w:cs="宋体"/>
                <w:color w:val="000000"/>
                <w:kern w:val="0"/>
                <w:lang w:bidi="ar"/>
              </w:rPr>
              <w:t>4、报表详情查看与编辑：可分页展示表单中有查看权限的数据。可对表单数据按照配置好查询条件进行搜索。支持新增数据、编辑数据、导出模板、导入数据、导出数据、下载数据、删除数据</w:t>
            </w:r>
            <w:r>
              <w:rPr>
                <w:rFonts w:hint="eastAsia" w:cs="宋体"/>
                <w:color w:val="000000"/>
                <w:kern w:val="0"/>
                <w:lang w:bidi="ar"/>
              </w:rPr>
              <w:br w:type="textWrapping"/>
            </w:r>
            <w:r>
              <w:rPr>
                <w:rFonts w:hint="eastAsia" w:cs="宋体"/>
                <w:color w:val="000000"/>
                <w:kern w:val="0"/>
                <w:lang w:bidi="ar"/>
              </w:rPr>
              <w:t>5、编辑报表：可对报表的配置信息、数据项和报表的权限进行修改。</w:t>
            </w:r>
            <w:r>
              <w:rPr>
                <w:rFonts w:hint="eastAsia" w:cs="宋体"/>
                <w:color w:val="000000"/>
                <w:kern w:val="0"/>
                <w:lang w:bidi="ar"/>
              </w:rPr>
              <w:br w:type="textWrapping"/>
            </w:r>
            <w:r>
              <w:rPr>
                <w:rFonts w:hint="eastAsia" w:cs="宋体"/>
                <w:color w:val="000000"/>
                <w:kern w:val="0"/>
                <w:lang w:bidi="ar"/>
              </w:rPr>
              <w:t>6、收藏报表：支持对采数报表和取数报表进行收藏和取消收藏。</w:t>
            </w:r>
            <w:r>
              <w:rPr>
                <w:rFonts w:hint="eastAsia" w:cs="宋体"/>
                <w:color w:val="000000"/>
                <w:kern w:val="0"/>
                <w:lang w:bidi="ar"/>
              </w:rPr>
              <w:br w:type="textWrapping"/>
            </w:r>
            <w:r>
              <w:rPr>
                <w:rFonts w:hint="eastAsia" w:cs="宋体"/>
                <w:color w:val="000000"/>
                <w:kern w:val="0"/>
                <w:lang w:bidi="ar"/>
              </w:rPr>
              <w:t>7、删除报表：可删除报表。</w:t>
            </w:r>
            <w:r>
              <w:rPr>
                <w:rFonts w:hint="eastAsia" w:cs="宋体"/>
                <w:color w:val="000000"/>
                <w:kern w:val="0"/>
                <w:lang w:bidi="ar"/>
              </w:rPr>
              <w:br w:type="textWrapping"/>
            </w:r>
            <w:r>
              <w:rPr>
                <w:rFonts w:hint="eastAsia" w:cs="宋体"/>
                <w:color w:val="000000"/>
                <w:kern w:val="0"/>
                <w:lang w:bidi="ar"/>
              </w:rPr>
              <w:t>8、报表回收站：可对已删除的报表进行查询、还原、彻底删除、批量删除、定期删除</w:t>
            </w:r>
          </w:p>
        </w:tc>
      </w:tr>
      <w:tr w14:paraId="428ED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6" w:hRule="atLeast"/>
        </w:trPr>
        <w:tc>
          <w:tcPr>
            <w:tcW w:w="381" w:type="pct"/>
            <w:tcBorders>
              <w:tl2br w:val="nil"/>
              <w:tr2bl w:val="nil"/>
            </w:tcBorders>
            <w:vAlign w:val="center"/>
          </w:tcPr>
          <w:p w14:paraId="2CC24E4E">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16</w:t>
            </w:r>
          </w:p>
        </w:tc>
        <w:tc>
          <w:tcPr>
            <w:tcW w:w="447" w:type="pct"/>
            <w:vMerge w:val="continue"/>
            <w:tcBorders>
              <w:tl2br w:val="nil"/>
              <w:tr2bl w:val="nil"/>
            </w:tcBorders>
            <w:vAlign w:val="center"/>
          </w:tcPr>
          <w:p w14:paraId="71ED9EE5">
            <w:pPr>
              <w:spacing w:line="240" w:lineRule="auto"/>
              <w:jc w:val="left"/>
              <w:rPr>
                <w:rFonts w:hint="eastAsia" w:cs="宋体"/>
                <w:color w:val="000000"/>
              </w:rPr>
            </w:pPr>
          </w:p>
        </w:tc>
        <w:tc>
          <w:tcPr>
            <w:tcW w:w="453" w:type="pct"/>
            <w:vMerge w:val="continue"/>
            <w:tcBorders>
              <w:tl2br w:val="nil"/>
              <w:tr2bl w:val="nil"/>
            </w:tcBorders>
            <w:vAlign w:val="center"/>
          </w:tcPr>
          <w:p w14:paraId="53FA7069">
            <w:pPr>
              <w:spacing w:line="240" w:lineRule="auto"/>
              <w:jc w:val="left"/>
              <w:rPr>
                <w:rFonts w:hint="eastAsia" w:cs="宋体"/>
                <w:color w:val="000000"/>
              </w:rPr>
            </w:pPr>
          </w:p>
        </w:tc>
        <w:tc>
          <w:tcPr>
            <w:tcW w:w="429" w:type="pct"/>
            <w:tcBorders>
              <w:tl2br w:val="nil"/>
              <w:tr2bl w:val="nil"/>
            </w:tcBorders>
            <w:vAlign w:val="center"/>
          </w:tcPr>
          <w:p w14:paraId="4CCD787E">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任务中心</w:t>
            </w:r>
          </w:p>
        </w:tc>
        <w:tc>
          <w:tcPr>
            <w:tcW w:w="3289" w:type="pct"/>
            <w:tcBorders>
              <w:tl2br w:val="nil"/>
              <w:tr2bl w:val="nil"/>
            </w:tcBorders>
            <w:vAlign w:val="center"/>
          </w:tcPr>
          <w:p w14:paraId="44071ED4">
            <w:pPr>
              <w:widowControl/>
              <w:spacing w:line="240" w:lineRule="auto"/>
              <w:ind w:firstLine="0" w:firstLineChars="0"/>
              <w:textAlignment w:val="center"/>
              <w:rPr>
                <w:rFonts w:hint="eastAsia" w:cs="宋体"/>
                <w:color w:val="000000"/>
              </w:rPr>
            </w:pPr>
            <w:r>
              <w:rPr>
                <w:rFonts w:hint="eastAsia" w:cs="宋体"/>
                <w:color w:val="000000"/>
                <w:kern w:val="0"/>
                <w:lang w:eastAsia="zh-CN" w:bidi="ar"/>
              </w:rPr>
              <w:t>1.</w:t>
            </w:r>
            <w:r>
              <w:rPr>
                <w:rFonts w:hint="eastAsia" w:cs="宋体"/>
                <w:color w:val="000000"/>
                <w:kern w:val="0"/>
                <w:lang w:bidi="ar"/>
              </w:rPr>
              <w:t>任务列表：展示当前</w:t>
            </w:r>
            <w:r>
              <w:rPr>
                <w:rFonts w:hint="eastAsia" w:cs="宋体"/>
                <w:color w:val="000000"/>
                <w:kern w:val="0"/>
                <w:lang w:eastAsia="zh-CN" w:bidi="ar"/>
              </w:rPr>
              <w:t>登录</w:t>
            </w:r>
            <w:r>
              <w:rPr>
                <w:rFonts w:hint="eastAsia" w:cs="宋体"/>
                <w:color w:val="000000"/>
                <w:kern w:val="0"/>
                <w:lang w:bidi="ar"/>
              </w:rPr>
              <w:t>人所有任务清单。</w:t>
            </w:r>
            <w:r>
              <w:rPr>
                <w:rFonts w:hint="eastAsia" w:cs="宋体"/>
                <w:color w:val="000000"/>
                <w:kern w:val="0"/>
                <w:lang w:bidi="ar"/>
              </w:rPr>
              <w:br w:type="textWrapping"/>
            </w:r>
            <w:r>
              <w:rPr>
                <w:rFonts w:hint="eastAsia" w:cs="宋体"/>
                <w:color w:val="000000"/>
                <w:kern w:val="0"/>
                <w:lang w:bidi="ar"/>
              </w:rPr>
              <w:t>2、任务搜索：可以按照任务名称、任务类型、任务状态对任务信息进行筛选。</w:t>
            </w:r>
            <w:r>
              <w:rPr>
                <w:rFonts w:hint="eastAsia" w:cs="宋体"/>
                <w:color w:val="000000"/>
                <w:kern w:val="0"/>
                <w:lang w:bidi="ar"/>
              </w:rPr>
              <w:br w:type="textWrapping"/>
            </w:r>
            <w:r>
              <w:rPr>
                <w:rFonts w:hint="eastAsia" w:cs="宋体"/>
                <w:color w:val="000000"/>
                <w:kern w:val="0"/>
                <w:lang w:bidi="ar"/>
              </w:rPr>
              <w:t>3、任务详情展示：展示任务详情，包括任务名称、任务类型、下派部门、创建人、接收人、任务描述、任务状态、任务进度、创建时间、完成时间、任务标记。</w:t>
            </w:r>
            <w:r>
              <w:rPr>
                <w:rFonts w:hint="eastAsia" w:cs="宋体"/>
                <w:color w:val="000000"/>
                <w:kern w:val="0"/>
                <w:lang w:bidi="ar"/>
              </w:rPr>
              <w:br w:type="textWrapping"/>
            </w:r>
            <w:r>
              <w:rPr>
                <w:rFonts w:hint="eastAsia" w:cs="宋体"/>
                <w:color w:val="000000"/>
                <w:kern w:val="0"/>
                <w:lang w:bidi="ar"/>
              </w:rPr>
              <w:t>4、任务执行：可进入表单详情对报表进行数据新增、修改、删除操作。所有的执行操作记录都会记录到任务日志中。</w:t>
            </w:r>
            <w:r>
              <w:rPr>
                <w:rFonts w:hint="eastAsia" w:cs="宋体"/>
                <w:color w:val="000000"/>
                <w:kern w:val="0"/>
                <w:lang w:bidi="ar"/>
              </w:rPr>
              <w:br w:type="textWrapping"/>
            </w:r>
            <w:r>
              <w:rPr>
                <w:rFonts w:hint="eastAsia" w:cs="宋体"/>
                <w:color w:val="000000"/>
                <w:kern w:val="0"/>
                <w:lang w:bidi="ar"/>
              </w:rPr>
              <w:t>5、任务下派：将任务下派给他人进行执行。如果是数据采集任务，可以直接选择人员并为人员分配报表；如果是数据核查任务，则需要选择人员并且为人员分配报表及具体需要核查的报表数据。支持按照部门或者按照业务分组进行任务下派。</w:t>
            </w:r>
            <w:r>
              <w:rPr>
                <w:rFonts w:hint="eastAsia" w:cs="宋体"/>
                <w:color w:val="000000"/>
                <w:kern w:val="0"/>
                <w:lang w:bidi="ar"/>
              </w:rPr>
              <w:br w:type="textWrapping"/>
            </w:r>
            <w:r>
              <w:rPr>
                <w:rFonts w:hint="eastAsia" w:cs="宋体"/>
                <w:color w:val="000000"/>
                <w:kern w:val="0"/>
                <w:lang w:bidi="ar"/>
              </w:rPr>
              <w:t>6、任务完成：点击完成任务，任务进入待确认状态。任务接收人员完成任务后，经过任务下派人员确认后方可表示任务完成。</w:t>
            </w:r>
            <w:r>
              <w:rPr>
                <w:rFonts w:hint="eastAsia" w:cs="宋体"/>
                <w:color w:val="000000"/>
                <w:kern w:val="0"/>
                <w:lang w:bidi="ar"/>
              </w:rPr>
              <w:br w:type="textWrapping"/>
            </w:r>
            <w:r>
              <w:rPr>
                <w:rFonts w:hint="eastAsia" w:cs="宋体"/>
                <w:color w:val="000000"/>
                <w:kern w:val="0"/>
                <w:lang w:bidi="ar"/>
              </w:rPr>
              <w:t>7、任务催办：点击催办选择被下派人员，即可对相关人员进行任务催办。催办后被催办人会接到相关的催办提醒。</w:t>
            </w:r>
            <w:r>
              <w:rPr>
                <w:rFonts w:hint="eastAsia" w:cs="宋体"/>
                <w:color w:val="000000"/>
                <w:kern w:val="0"/>
                <w:lang w:bidi="ar"/>
              </w:rPr>
              <w:br w:type="textWrapping"/>
            </w:r>
            <w:r>
              <w:rPr>
                <w:rFonts w:hint="eastAsia" w:cs="宋体"/>
                <w:color w:val="000000"/>
                <w:kern w:val="0"/>
                <w:lang w:bidi="ar"/>
              </w:rPr>
              <w:t>8、任务完成核查：任务下派人员或者任务创建人员可以对任务的下一级接收人进行完成确认核查，核查完成情况和完成质量。</w:t>
            </w:r>
            <w:r>
              <w:rPr>
                <w:rFonts w:hint="eastAsia" w:cs="宋体"/>
                <w:color w:val="000000"/>
                <w:kern w:val="0"/>
                <w:lang w:bidi="ar"/>
              </w:rPr>
              <w:br w:type="textWrapping"/>
            </w:r>
            <w:r>
              <w:rPr>
                <w:rFonts w:hint="eastAsia" w:cs="宋体"/>
                <w:color w:val="000000"/>
                <w:kern w:val="0"/>
                <w:lang w:bidi="ar"/>
              </w:rPr>
              <w:t>9、任务撤回：对于创建任务申请，可以在申请提交后进行撤回操作，撤回到申请人手中修改任务信息后再提交。对于任务完成核查，任务</w:t>
            </w:r>
            <w:r>
              <w:rPr>
                <w:rFonts w:hint="eastAsia" w:cs="宋体"/>
                <w:color w:val="000000"/>
                <w:kern w:val="0"/>
                <w:lang w:eastAsia="zh-CN" w:bidi="ar"/>
              </w:rPr>
              <w:t>接收</w:t>
            </w:r>
            <w:r>
              <w:rPr>
                <w:rFonts w:hint="eastAsia" w:cs="宋体"/>
                <w:color w:val="000000"/>
                <w:kern w:val="0"/>
                <w:lang w:bidi="ar"/>
              </w:rPr>
              <w:t>人员提交完成核查后可以进行撤回，撤回后可以对任务继续进行执行、下派任务操作后再提交完成。</w:t>
            </w:r>
            <w:r>
              <w:rPr>
                <w:rFonts w:hint="eastAsia" w:cs="宋体"/>
                <w:color w:val="000000"/>
                <w:kern w:val="0"/>
                <w:lang w:bidi="ar"/>
              </w:rPr>
              <w:br w:type="textWrapping"/>
            </w:r>
            <w:r>
              <w:rPr>
                <w:rFonts w:hint="eastAsia" w:cs="宋体"/>
                <w:color w:val="000000"/>
                <w:kern w:val="0"/>
                <w:lang w:bidi="ar"/>
              </w:rPr>
              <w:t>10、新增任务：创建任务，包括一次性任务</w:t>
            </w:r>
            <w:r>
              <w:rPr>
                <w:rFonts w:hint="eastAsia" w:cs="宋体"/>
                <w:color w:val="000000"/>
                <w:kern w:val="0"/>
                <w:lang w:eastAsia="zh-CN" w:bidi="ar"/>
              </w:rPr>
              <w:t>和</w:t>
            </w:r>
            <w:r>
              <w:rPr>
                <w:rFonts w:hint="eastAsia" w:cs="宋体"/>
                <w:color w:val="000000"/>
                <w:kern w:val="0"/>
                <w:lang w:bidi="ar"/>
              </w:rPr>
              <w:t>周期性任务。</w:t>
            </w:r>
            <w:r>
              <w:rPr>
                <w:rFonts w:hint="eastAsia" w:cs="宋体"/>
                <w:color w:val="000000"/>
                <w:kern w:val="0"/>
                <w:lang w:bidi="ar"/>
              </w:rPr>
              <w:br w:type="textWrapping"/>
            </w:r>
            <w:r>
              <w:rPr>
                <w:rFonts w:hint="eastAsia" w:cs="宋体"/>
                <w:color w:val="000000"/>
                <w:kern w:val="0"/>
                <w:lang w:bidi="ar"/>
              </w:rPr>
              <w:t>11、任务详情：可以对本次任务基本信息以及下级的操作日志进行查看，包括对应报表的下发数量、已核验数量、待核验数量、核验进度。</w:t>
            </w:r>
            <w:r>
              <w:rPr>
                <w:rFonts w:hint="eastAsia" w:cs="宋体"/>
                <w:color w:val="000000"/>
                <w:kern w:val="0"/>
                <w:lang w:bidi="ar"/>
              </w:rPr>
              <w:br w:type="textWrapping"/>
            </w:r>
            <w:r>
              <w:rPr>
                <w:rFonts w:hint="eastAsia" w:cs="宋体"/>
                <w:color w:val="000000"/>
                <w:kern w:val="0"/>
                <w:lang w:bidi="ar"/>
              </w:rPr>
              <w:t>12、任务跟踪：支持部门管理员、系统管理员查看部门内用户</w:t>
            </w:r>
            <w:r>
              <w:rPr>
                <w:rFonts w:hint="eastAsia" w:cs="宋体"/>
                <w:color w:val="000000"/>
                <w:kern w:val="0"/>
                <w:lang w:eastAsia="zh-CN" w:bidi="ar"/>
              </w:rPr>
              <w:t>接收</w:t>
            </w:r>
            <w:r>
              <w:rPr>
                <w:rFonts w:hint="eastAsia" w:cs="宋体"/>
                <w:color w:val="000000"/>
                <w:kern w:val="0"/>
                <w:lang w:bidi="ar"/>
              </w:rPr>
              <w:t>到的任务并支持查看任务进度。</w:t>
            </w:r>
            <w:r>
              <w:rPr>
                <w:rFonts w:hint="eastAsia" w:cs="宋体"/>
                <w:color w:val="000000"/>
                <w:kern w:val="0"/>
                <w:lang w:bidi="ar"/>
              </w:rPr>
              <w:br w:type="textWrapping"/>
            </w:r>
            <w:r>
              <w:rPr>
                <w:rFonts w:hint="eastAsia" w:cs="宋体"/>
                <w:color w:val="000000"/>
                <w:kern w:val="0"/>
                <w:lang w:bidi="ar"/>
              </w:rPr>
              <w:t>13、审核进度：查看审核的基本信息，包括审核基本信息、审核记录、审核流程图。对未审批的申请进行审核，包括通过、驳回。</w:t>
            </w:r>
            <w:r>
              <w:rPr>
                <w:rFonts w:hint="eastAsia" w:cs="宋体"/>
                <w:color w:val="000000"/>
                <w:kern w:val="0"/>
                <w:lang w:bidi="ar"/>
              </w:rPr>
              <w:br w:type="textWrapping"/>
            </w:r>
            <w:r>
              <w:rPr>
                <w:rFonts w:hint="eastAsia" w:cs="宋体"/>
                <w:color w:val="000000"/>
                <w:kern w:val="0"/>
                <w:lang w:bidi="ar"/>
              </w:rPr>
              <w:t>14、任务审批：制发单位对填报单位填报的内容进行审核和在线修改，审核不通过返回填报单位进行填报（有责令整改时间限制），通过的进行回收。</w:t>
            </w:r>
            <w:r>
              <w:rPr>
                <w:rFonts w:hint="eastAsia" w:cs="宋体"/>
                <w:color w:val="000000"/>
                <w:kern w:val="0"/>
                <w:lang w:bidi="ar"/>
              </w:rPr>
              <w:br w:type="textWrapping"/>
            </w:r>
            <w:r>
              <w:rPr>
                <w:rFonts w:hint="eastAsia" w:cs="宋体"/>
                <w:color w:val="000000"/>
                <w:kern w:val="0"/>
                <w:lang w:bidi="ar"/>
              </w:rPr>
              <w:t>15、审核审批：对用户提交的申请进行审批，可通过或者审核拒绝。</w:t>
            </w:r>
            <w:r>
              <w:rPr>
                <w:rFonts w:hint="eastAsia" w:cs="宋体"/>
                <w:color w:val="000000"/>
                <w:kern w:val="0"/>
                <w:lang w:bidi="ar"/>
              </w:rPr>
              <w:br w:type="textWrapping"/>
            </w:r>
            <w:r>
              <w:rPr>
                <w:rFonts w:hint="eastAsia" w:cs="宋体"/>
                <w:color w:val="000000"/>
                <w:kern w:val="0"/>
                <w:lang w:bidi="ar"/>
              </w:rPr>
              <w:t>16、申请进度：查看用户个人提交的申请信息，支持查看申请的审批信息和审批进度。</w:t>
            </w:r>
            <w:r>
              <w:rPr>
                <w:rFonts w:hint="eastAsia" w:cs="宋体"/>
                <w:color w:val="000000"/>
                <w:kern w:val="0"/>
                <w:lang w:bidi="ar"/>
              </w:rPr>
              <w:br w:type="textWrapping"/>
            </w:r>
            <w:r>
              <w:rPr>
                <w:rFonts w:hint="eastAsia" w:cs="宋体"/>
                <w:color w:val="000000"/>
                <w:kern w:val="0"/>
                <w:lang w:bidi="ar"/>
              </w:rPr>
              <w:t>17、周期任务信息展示：列表展示</w:t>
            </w:r>
            <w:r>
              <w:rPr>
                <w:rFonts w:hint="eastAsia" w:cs="宋体"/>
                <w:color w:val="000000"/>
                <w:kern w:val="0"/>
                <w:lang w:eastAsia="zh-CN" w:bidi="ar"/>
              </w:rPr>
              <w:t>登录</w:t>
            </w:r>
            <w:r>
              <w:rPr>
                <w:rFonts w:hint="eastAsia" w:cs="宋体"/>
                <w:color w:val="000000"/>
                <w:kern w:val="0"/>
                <w:lang w:bidi="ar"/>
              </w:rPr>
              <w:t>人所有周期任务的任务名称、任务描述、周期状态、开始时间、结束时间、当前周期、每个任务的计划用时。</w:t>
            </w:r>
            <w:r>
              <w:rPr>
                <w:rFonts w:hint="eastAsia" w:cs="宋体"/>
                <w:color w:val="000000"/>
                <w:kern w:val="0"/>
                <w:lang w:bidi="ar"/>
              </w:rPr>
              <w:br w:type="textWrapping"/>
            </w:r>
            <w:r>
              <w:rPr>
                <w:rFonts w:hint="eastAsia" w:cs="宋体"/>
                <w:color w:val="000000"/>
                <w:kern w:val="0"/>
                <w:lang w:bidi="ar"/>
              </w:rPr>
              <w:t>18、周期启用/停用 可停用还在周期中的进行中的任务，停用后任务不会再按照周期创建任务。</w:t>
            </w:r>
            <w:r>
              <w:rPr>
                <w:rFonts w:hint="eastAsia" w:cs="宋体"/>
                <w:color w:val="000000"/>
                <w:kern w:val="0"/>
                <w:lang w:bidi="ar"/>
              </w:rPr>
              <w:br w:type="textWrapping"/>
            </w:r>
            <w:r>
              <w:rPr>
                <w:rFonts w:hint="eastAsia" w:cs="宋体"/>
                <w:color w:val="000000"/>
                <w:kern w:val="0"/>
                <w:lang w:bidi="ar"/>
              </w:rPr>
              <w:t>19、可启用还在周期中的已停用的任务，启用后将重新按照周期创建任务。</w:t>
            </w:r>
          </w:p>
        </w:tc>
      </w:tr>
      <w:tr w14:paraId="5949A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4ABF8E47">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17</w:t>
            </w:r>
          </w:p>
        </w:tc>
        <w:tc>
          <w:tcPr>
            <w:tcW w:w="447" w:type="pct"/>
            <w:vMerge w:val="continue"/>
            <w:tcBorders>
              <w:tl2br w:val="nil"/>
              <w:tr2bl w:val="nil"/>
            </w:tcBorders>
            <w:vAlign w:val="center"/>
          </w:tcPr>
          <w:p w14:paraId="212E223A">
            <w:pPr>
              <w:spacing w:line="240" w:lineRule="auto"/>
              <w:jc w:val="left"/>
              <w:rPr>
                <w:rFonts w:hint="eastAsia" w:cs="宋体"/>
                <w:color w:val="000000"/>
              </w:rPr>
            </w:pPr>
          </w:p>
        </w:tc>
        <w:tc>
          <w:tcPr>
            <w:tcW w:w="453" w:type="pct"/>
            <w:vMerge w:val="continue"/>
            <w:tcBorders>
              <w:tl2br w:val="nil"/>
              <w:tr2bl w:val="nil"/>
            </w:tcBorders>
            <w:vAlign w:val="center"/>
          </w:tcPr>
          <w:p w14:paraId="4DB0619E">
            <w:pPr>
              <w:spacing w:line="240" w:lineRule="auto"/>
              <w:jc w:val="left"/>
              <w:rPr>
                <w:rFonts w:hint="eastAsia" w:cs="宋体"/>
                <w:color w:val="000000"/>
              </w:rPr>
            </w:pPr>
          </w:p>
        </w:tc>
        <w:tc>
          <w:tcPr>
            <w:tcW w:w="429" w:type="pct"/>
            <w:tcBorders>
              <w:tl2br w:val="nil"/>
              <w:tr2bl w:val="nil"/>
            </w:tcBorders>
            <w:vAlign w:val="center"/>
          </w:tcPr>
          <w:p w14:paraId="2FFD125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后台管理</w:t>
            </w:r>
          </w:p>
        </w:tc>
        <w:tc>
          <w:tcPr>
            <w:tcW w:w="3289" w:type="pct"/>
            <w:tcBorders>
              <w:tl2br w:val="nil"/>
              <w:tr2bl w:val="nil"/>
            </w:tcBorders>
            <w:vAlign w:val="center"/>
          </w:tcPr>
          <w:p w14:paraId="4F4D12C9">
            <w:pPr>
              <w:widowControl/>
              <w:spacing w:line="240" w:lineRule="auto"/>
              <w:ind w:firstLine="0" w:firstLineChars="0"/>
              <w:textAlignment w:val="center"/>
              <w:rPr>
                <w:rFonts w:hint="eastAsia" w:cs="宋体"/>
                <w:color w:val="000000"/>
              </w:rPr>
            </w:pPr>
            <w:r>
              <w:rPr>
                <w:rFonts w:hint="eastAsia" w:cs="宋体"/>
                <w:color w:val="000000"/>
                <w:kern w:val="0"/>
                <w:lang w:bidi="ar"/>
              </w:rPr>
              <w:t>1、配置管理：配置系统各项功能可变动参数，可以为页面和系统提供灵活的可配置项。</w:t>
            </w:r>
            <w:r>
              <w:rPr>
                <w:rFonts w:hint="eastAsia" w:cs="宋体"/>
                <w:color w:val="000000"/>
                <w:kern w:val="0"/>
                <w:lang w:bidi="ar"/>
              </w:rPr>
              <w:br w:type="textWrapping"/>
            </w:r>
            <w:r>
              <w:rPr>
                <w:rFonts w:hint="eastAsia" w:cs="宋体"/>
                <w:color w:val="000000"/>
                <w:kern w:val="0"/>
                <w:lang w:bidi="ar"/>
              </w:rPr>
              <w:t>2、用户管理：维护组织架构、用户信息、角色信息及权限信息等。</w:t>
            </w:r>
            <w:r>
              <w:rPr>
                <w:rFonts w:hint="eastAsia" w:cs="宋体"/>
                <w:color w:val="000000"/>
                <w:kern w:val="0"/>
                <w:lang w:bidi="ar"/>
              </w:rPr>
              <w:br w:type="textWrapping"/>
            </w:r>
            <w:r>
              <w:rPr>
                <w:rFonts w:hint="eastAsia" w:cs="宋体"/>
                <w:color w:val="000000"/>
                <w:kern w:val="0"/>
                <w:lang w:bidi="ar"/>
              </w:rPr>
              <w:t>3、通知公告：可新增通知公告及查看、编辑通知公告信息。</w:t>
            </w:r>
            <w:r>
              <w:rPr>
                <w:rFonts w:hint="eastAsia" w:cs="宋体"/>
                <w:color w:val="000000"/>
                <w:kern w:val="0"/>
                <w:lang w:bidi="ar"/>
              </w:rPr>
              <w:br w:type="textWrapping"/>
            </w:r>
            <w:r>
              <w:rPr>
                <w:rFonts w:hint="eastAsia" w:cs="宋体"/>
                <w:color w:val="000000"/>
                <w:kern w:val="0"/>
                <w:lang w:bidi="ar"/>
              </w:rPr>
              <w:t>4、标签管理：支持自定义标签，支持对标签进行分类、分级设置。</w:t>
            </w:r>
            <w:r>
              <w:rPr>
                <w:rFonts w:hint="eastAsia" w:cs="宋体"/>
                <w:color w:val="000000"/>
                <w:kern w:val="0"/>
                <w:lang w:bidi="ar"/>
              </w:rPr>
              <w:br w:type="textWrapping"/>
            </w:r>
            <w:r>
              <w:rPr>
                <w:rFonts w:hint="eastAsia" w:cs="宋体"/>
                <w:color w:val="000000"/>
                <w:kern w:val="0"/>
                <w:lang w:bidi="ar"/>
              </w:rPr>
              <w:t>5、日志管理：支持登录日志、操作日志等日志记录和查询。</w:t>
            </w:r>
            <w:r>
              <w:rPr>
                <w:rFonts w:hint="eastAsia" w:cs="宋体"/>
                <w:color w:val="000000"/>
                <w:kern w:val="0"/>
                <w:lang w:bidi="ar"/>
              </w:rPr>
              <w:br w:type="textWrapping"/>
            </w:r>
            <w:r>
              <w:rPr>
                <w:rFonts w:hint="eastAsia" w:cs="宋体"/>
                <w:color w:val="000000"/>
                <w:kern w:val="0"/>
                <w:lang w:bidi="ar"/>
              </w:rPr>
              <w:t>6、系统界面水印：支持开启报表填报的页面水印。</w:t>
            </w:r>
          </w:p>
        </w:tc>
      </w:tr>
      <w:tr w14:paraId="6EEEB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8" w:hRule="atLeast"/>
        </w:trPr>
        <w:tc>
          <w:tcPr>
            <w:tcW w:w="381" w:type="pct"/>
            <w:tcBorders>
              <w:tl2br w:val="nil"/>
              <w:tr2bl w:val="nil"/>
            </w:tcBorders>
            <w:vAlign w:val="center"/>
          </w:tcPr>
          <w:p w14:paraId="4577FBF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18</w:t>
            </w:r>
          </w:p>
        </w:tc>
        <w:tc>
          <w:tcPr>
            <w:tcW w:w="447" w:type="pct"/>
            <w:vMerge w:val="continue"/>
            <w:tcBorders>
              <w:tl2br w:val="nil"/>
              <w:tr2bl w:val="nil"/>
            </w:tcBorders>
            <w:vAlign w:val="center"/>
          </w:tcPr>
          <w:p w14:paraId="47BE7D3C">
            <w:pPr>
              <w:spacing w:line="240" w:lineRule="auto"/>
              <w:jc w:val="left"/>
              <w:rPr>
                <w:rFonts w:hint="eastAsia" w:cs="宋体"/>
                <w:color w:val="000000"/>
              </w:rPr>
            </w:pPr>
          </w:p>
        </w:tc>
        <w:tc>
          <w:tcPr>
            <w:tcW w:w="453" w:type="pct"/>
            <w:vMerge w:val="restart"/>
            <w:tcBorders>
              <w:tl2br w:val="nil"/>
              <w:tr2bl w:val="nil"/>
            </w:tcBorders>
            <w:vAlign w:val="center"/>
          </w:tcPr>
          <w:p w14:paraId="064B8FF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数据处理</w:t>
            </w:r>
          </w:p>
        </w:tc>
        <w:tc>
          <w:tcPr>
            <w:tcW w:w="429" w:type="pct"/>
            <w:tcBorders>
              <w:tl2br w:val="nil"/>
              <w:tr2bl w:val="nil"/>
            </w:tcBorders>
            <w:vAlign w:val="center"/>
          </w:tcPr>
          <w:p w14:paraId="39EB02B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气象数据解析管理</w:t>
            </w:r>
          </w:p>
        </w:tc>
        <w:tc>
          <w:tcPr>
            <w:tcW w:w="3289" w:type="pct"/>
            <w:tcBorders>
              <w:tl2br w:val="nil"/>
              <w:tr2bl w:val="nil"/>
            </w:tcBorders>
            <w:vAlign w:val="center"/>
          </w:tcPr>
          <w:p w14:paraId="6B058FA7">
            <w:pPr>
              <w:widowControl/>
              <w:spacing w:line="240" w:lineRule="auto"/>
              <w:ind w:firstLine="0" w:firstLineChars="0"/>
              <w:textAlignment w:val="center"/>
              <w:rPr>
                <w:rFonts w:hint="eastAsia" w:cs="宋体"/>
                <w:color w:val="000000"/>
              </w:rPr>
            </w:pPr>
            <w:r>
              <w:rPr>
                <w:rFonts w:hint="eastAsia" w:cs="宋体"/>
                <w:color w:val="000000"/>
                <w:kern w:val="0"/>
                <w:lang w:bidi="ar"/>
              </w:rPr>
              <w:t>1、常规实况资料解析：对接入的常规自动站数据文件进行解析入库。</w:t>
            </w:r>
            <w:r>
              <w:rPr>
                <w:rFonts w:hint="eastAsia" w:cs="宋体"/>
                <w:color w:val="000000"/>
                <w:kern w:val="0"/>
                <w:lang w:bidi="ar"/>
              </w:rPr>
              <w:br w:type="textWrapping"/>
            </w:r>
            <w:r>
              <w:rPr>
                <w:rFonts w:hint="eastAsia" w:cs="宋体"/>
                <w:color w:val="000000"/>
                <w:kern w:val="0"/>
                <w:lang w:bidi="ar"/>
              </w:rPr>
              <w:t>2、雷达资料解析：根据不同雷达数据格式种类分别存档入库。</w:t>
            </w:r>
            <w:r>
              <w:rPr>
                <w:rFonts w:hint="eastAsia" w:cs="宋体"/>
                <w:color w:val="000000"/>
                <w:kern w:val="0"/>
                <w:lang w:bidi="ar"/>
              </w:rPr>
              <w:br w:type="textWrapping"/>
            </w:r>
            <w:r>
              <w:rPr>
                <w:rFonts w:hint="eastAsia" w:cs="宋体"/>
                <w:color w:val="000000"/>
                <w:kern w:val="0"/>
                <w:lang w:bidi="ar"/>
              </w:rPr>
              <w:t>3、卫星资料解析：对卫星数据进行数据解压、校正、投影转换等，确保数据可以用于进一步分析。</w:t>
            </w:r>
            <w:r>
              <w:rPr>
                <w:rFonts w:hint="eastAsia" w:cs="宋体"/>
                <w:color w:val="000000"/>
                <w:kern w:val="0"/>
                <w:lang w:bidi="ar"/>
              </w:rPr>
              <w:br w:type="textWrapping"/>
            </w:r>
            <w:r>
              <w:rPr>
                <w:rFonts w:hint="eastAsia" w:cs="宋体"/>
                <w:color w:val="000000"/>
                <w:kern w:val="0"/>
                <w:lang w:bidi="ar"/>
              </w:rPr>
              <w:t>4、闪电数据解析：获取ADTD闪电、LST观测闪电数据，采集要素包括时间，经度、纬度、强度等，解析闪电数据，从原始数据中提取闪电活动的特征（如密度、频率、强度）。</w:t>
            </w:r>
            <w:r>
              <w:rPr>
                <w:rFonts w:hint="eastAsia" w:cs="宋体"/>
                <w:color w:val="000000"/>
                <w:kern w:val="0"/>
                <w:lang w:bidi="ar"/>
              </w:rPr>
              <w:br w:type="textWrapping"/>
            </w:r>
            <w:r>
              <w:rPr>
                <w:rFonts w:hint="eastAsia" w:cs="宋体"/>
                <w:color w:val="000000"/>
                <w:kern w:val="0"/>
                <w:lang w:bidi="ar"/>
              </w:rPr>
              <w:t>5、台风数据解析：解析台风实时路径、预报路径和台风快讯的数据格式，提取所需信息（如时间、位置、强度、预报路径点等）。</w:t>
            </w:r>
            <w:r>
              <w:rPr>
                <w:rFonts w:hint="eastAsia" w:cs="宋体"/>
                <w:color w:val="000000"/>
                <w:kern w:val="0"/>
                <w:lang w:bidi="ar"/>
              </w:rPr>
              <w:br w:type="textWrapping"/>
            </w:r>
            <w:r>
              <w:rPr>
                <w:rFonts w:hint="eastAsia" w:cs="宋体"/>
                <w:color w:val="000000"/>
                <w:kern w:val="0"/>
                <w:lang w:bidi="ar"/>
              </w:rPr>
              <w:t>6、模式数据解析：解析模式预报数据格式，提取所需信息（如温度、湿度、风速、降水量等）。</w:t>
            </w:r>
            <w:r>
              <w:rPr>
                <w:rFonts w:hint="eastAsia" w:cs="宋体"/>
                <w:color w:val="000000"/>
                <w:kern w:val="0"/>
                <w:lang w:bidi="ar"/>
              </w:rPr>
              <w:br w:type="textWrapping"/>
            </w:r>
            <w:r>
              <w:rPr>
                <w:rFonts w:hint="eastAsia" w:cs="宋体"/>
                <w:color w:val="000000"/>
                <w:kern w:val="0"/>
                <w:lang w:bidi="ar"/>
              </w:rPr>
              <w:t>7、预警数据解析：解析预警数据的格式，提取所需信息（如预警类型、发布单位、发布时间、预警内容等）。</w:t>
            </w:r>
          </w:p>
        </w:tc>
      </w:tr>
      <w:tr w14:paraId="165B2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4" w:hRule="atLeast"/>
        </w:trPr>
        <w:tc>
          <w:tcPr>
            <w:tcW w:w="381" w:type="pct"/>
            <w:tcBorders>
              <w:tl2br w:val="nil"/>
              <w:tr2bl w:val="nil"/>
            </w:tcBorders>
            <w:vAlign w:val="center"/>
          </w:tcPr>
          <w:p w14:paraId="0241F2A2">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19</w:t>
            </w:r>
          </w:p>
        </w:tc>
        <w:tc>
          <w:tcPr>
            <w:tcW w:w="447" w:type="pct"/>
            <w:vMerge w:val="continue"/>
            <w:tcBorders>
              <w:tl2br w:val="nil"/>
              <w:tr2bl w:val="nil"/>
            </w:tcBorders>
            <w:vAlign w:val="center"/>
          </w:tcPr>
          <w:p w14:paraId="401BB7A1">
            <w:pPr>
              <w:spacing w:line="240" w:lineRule="auto"/>
              <w:jc w:val="left"/>
              <w:rPr>
                <w:rFonts w:hint="eastAsia" w:cs="宋体"/>
                <w:color w:val="000000"/>
              </w:rPr>
            </w:pPr>
          </w:p>
        </w:tc>
        <w:tc>
          <w:tcPr>
            <w:tcW w:w="453" w:type="pct"/>
            <w:vMerge w:val="continue"/>
            <w:tcBorders>
              <w:tl2br w:val="nil"/>
              <w:tr2bl w:val="nil"/>
            </w:tcBorders>
            <w:vAlign w:val="center"/>
          </w:tcPr>
          <w:p w14:paraId="46F4111F">
            <w:pPr>
              <w:spacing w:line="240" w:lineRule="auto"/>
              <w:jc w:val="left"/>
              <w:rPr>
                <w:rFonts w:hint="eastAsia" w:cs="宋体"/>
                <w:color w:val="000000"/>
              </w:rPr>
            </w:pPr>
          </w:p>
        </w:tc>
        <w:tc>
          <w:tcPr>
            <w:tcW w:w="429" w:type="pct"/>
            <w:tcBorders>
              <w:tl2br w:val="nil"/>
              <w:tr2bl w:val="nil"/>
            </w:tcBorders>
            <w:vAlign w:val="center"/>
          </w:tcPr>
          <w:p w14:paraId="16AA4BD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多源数据管理</w:t>
            </w:r>
          </w:p>
        </w:tc>
        <w:tc>
          <w:tcPr>
            <w:tcW w:w="3289" w:type="pct"/>
            <w:tcBorders>
              <w:tl2br w:val="nil"/>
              <w:tr2bl w:val="nil"/>
            </w:tcBorders>
            <w:vAlign w:val="center"/>
          </w:tcPr>
          <w:p w14:paraId="1D315F53">
            <w:pPr>
              <w:widowControl/>
              <w:spacing w:line="240" w:lineRule="auto"/>
              <w:ind w:firstLine="0" w:firstLineChars="0"/>
              <w:textAlignment w:val="center"/>
              <w:rPr>
                <w:rFonts w:hint="eastAsia" w:cs="宋体"/>
                <w:color w:val="000000"/>
              </w:rPr>
            </w:pPr>
            <w:r>
              <w:rPr>
                <w:rFonts w:hint="eastAsia" w:cs="宋体"/>
                <w:color w:val="000000"/>
                <w:kern w:val="0"/>
                <w:lang w:bidi="ar"/>
              </w:rPr>
              <w:t>1、构建数据存储库：基于多源数据存储管理的需求，构建数据存储库，针对数据和业务需求设计数据库结构，实现多源数据存储、针对不同数据源分别建立入库管理和数据实时存储管理调用功能，将数据存储到适当的数据库中，以保证数据的服务效率。</w:t>
            </w:r>
            <w:r>
              <w:rPr>
                <w:rFonts w:hint="eastAsia" w:cs="宋体"/>
                <w:color w:val="000000"/>
                <w:kern w:val="0"/>
                <w:lang w:bidi="ar"/>
              </w:rPr>
              <w:br w:type="textWrapping"/>
            </w:r>
            <w:r>
              <w:rPr>
                <w:rFonts w:hint="eastAsia" w:cs="宋体"/>
                <w:color w:val="000000"/>
                <w:kern w:val="0"/>
                <w:lang w:bidi="ar"/>
              </w:rPr>
              <w:t>2、文件库存储管理：文件库管理功能主要实现实时和历史非结构化数据的存储管理，存储内容为文件类数据。</w:t>
            </w:r>
            <w:r>
              <w:rPr>
                <w:rFonts w:hint="eastAsia" w:cs="宋体"/>
                <w:color w:val="000000"/>
                <w:kern w:val="0"/>
                <w:lang w:bidi="ar"/>
              </w:rPr>
              <w:br w:type="textWrapping"/>
            </w:r>
            <w:r>
              <w:rPr>
                <w:rFonts w:hint="eastAsia" w:cs="宋体"/>
                <w:color w:val="000000"/>
                <w:kern w:val="0"/>
                <w:lang w:bidi="ar"/>
              </w:rPr>
              <w:t>3、关系型数据库存储管理：关系型数据库管理功能主要实现实时库结构化数据的存储管理。</w:t>
            </w:r>
            <w:r>
              <w:rPr>
                <w:rFonts w:hint="eastAsia" w:cs="宋体"/>
                <w:color w:val="000000"/>
                <w:kern w:val="0"/>
                <w:lang w:bidi="ar"/>
              </w:rPr>
              <w:br w:type="textWrapping"/>
            </w:r>
            <w:r>
              <w:rPr>
                <w:rFonts w:hint="eastAsia" w:cs="宋体"/>
                <w:color w:val="000000"/>
                <w:kern w:val="0"/>
                <w:lang w:bidi="ar"/>
              </w:rPr>
              <w:t>4、数据访问接口管理：支持对数据访问接口的统一管理。</w:t>
            </w:r>
          </w:p>
        </w:tc>
      </w:tr>
      <w:tr w14:paraId="38B51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trPr>
        <w:tc>
          <w:tcPr>
            <w:tcW w:w="381" w:type="pct"/>
            <w:tcBorders>
              <w:tl2br w:val="nil"/>
              <w:tr2bl w:val="nil"/>
            </w:tcBorders>
            <w:vAlign w:val="center"/>
          </w:tcPr>
          <w:p w14:paraId="5DDD581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20</w:t>
            </w:r>
          </w:p>
        </w:tc>
        <w:tc>
          <w:tcPr>
            <w:tcW w:w="447" w:type="pct"/>
            <w:vMerge w:val="restart"/>
            <w:tcBorders>
              <w:tl2br w:val="nil"/>
              <w:tr2bl w:val="nil"/>
            </w:tcBorders>
            <w:vAlign w:val="center"/>
          </w:tcPr>
          <w:p w14:paraId="56F7D0FC">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城运工具箱管理</w:t>
            </w:r>
          </w:p>
        </w:tc>
        <w:tc>
          <w:tcPr>
            <w:tcW w:w="453" w:type="pct"/>
            <w:tcBorders>
              <w:tl2br w:val="nil"/>
              <w:tr2bl w:val="nil"/>
            </w:tcBorders>
            <w:vAlign w:val="center"/>
          </w:tcPr>
          <w:p w14:paraId="59FAF84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可申请资源查询</w:t>
            </w:r>
          </w:p>
        </w:tc>
        <w:tc>
          <w:tcPr>
            <w:tcW w:w="429" w:type="pct"/>
            <w:tcBorders>
              <w:tl2br w:val="nil"/>
              <w:tr2bl w:val="nil"/>
            </w:tcBorders>
            <w:vAlign w:val="center"/>
          </w:tcPr>
          <w:p w14:paraId="1B822E9E">
            <w:pPr>
              <w:spacing w:line="240" w:lineRule="auto"/>
              <w:jc w:val="left"/>
              <w:rPr>
                <w:rFonts w:hint="eastAsia" w:cs="宋体"/>
                <w:color w:val="000000"/>
              </w:rPr>
            </w:pPr>
          </w:p>
        </w:tc>
        <w:tc>
          <w:tcPr>
            <w:tcW w:w="3289" w:type="pct"/>
            <w:tcBorders>
              <w:tl2br w:val="nil"/>
              <w:tr2bl w:val="nil"/>
            </w:tcBorders>
            <w:vAlign w:val="center"/>
          </w:tcPr>
          <w:p w14:paraId="12B390ED">
            <w:pPr>
              <w:widowControl/>
              <w:spacing w:line="240" w:lineRule="auto"/>
              <w:ind w:firstLine="0" w:firstLineChars="0"/>
              <w:textAlignment w:val="center"/>
              <w:rPr>
                <w:rFonts w:hint="eastAsia" w:cs="宋体"/>
                <w:color w:val="000000"/>
              </w:rPr>
            </w:pPr>
            <w:r>
              <w:rPr>
                <w:rFonts w:hint="eastAsia" w:cs="宋体"/>
                <w:color w:val="000000"/>
                <w:kern w:val="0"/>
                <w:lang w:bidi="ar"/>
              </w:rPr>
              <w:t>与仓库系统对接，开发对接接口，申请（视频结果、巡飞、会商、物资拨发、无线通信、应急指挥车出动）等服务信息，查询待申请物品和服务的占用情况（是否可申请情况）。</w:t>
            </w:r>
          </w:p>
        </w:tc>
      </w:tr>
      <w:tr w14:paraId="653B6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381" w:type="pct"/>
            <w:tcBorders>
              <w:tl2br w:val="nil"/>
              <w:tr2bl w:val="nil"/>
            </w:tcBorders>
            <w:vAlign w:val="center"/>
          </w:tcPr>
          <w:p w14:paraId="1AA23A8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21</w:t>
            </w:r>
          </w:p>
        </w:tc>
        <w:tc>
          <w:tcPr>
            <w:tcW w:w="447" w:type="pct"/>
            <w:vMerge w:val="continue"/>
            <w:tcBorders>
              <w:tl2br w:val="nil"/>
              <w:tr2bl w:val="nil"/>
            </w:tcBorders>
            <w:vAlign w:val="center"/>
          </w:tcPr>
          <w:p w14:paraId="02C8A1B6">
            <w:pPr>
              <w:spacing w:line="240" w:lineRule="auto"/>
              <w:jc w:val="left"/>
              <w:rPr>
                <w:rFonts w:hint="eastAsia" w:cs="宋体"/>
                <w:color w:val="000000"/>
              </w:rPr>
            </w:pPr>
          </w:p>
        </w:tc>
        <w:tc>
          <w:tcPr>
            <w:tcW w:w="453" w:type="pct"/>
            <w:tcBorders>
              <w:tl2br w:val="nil"/>
              <w:tr2bl w:val="nil"/>
            </w:tcBorders>
            <w:vAlign w:val="center"/>
          </w:tcPr>
          <w:p w14:paraId="6A3C9E5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工具申请端及对接</w:t>
            </w:r>
          </w:p>
        </w:tc>
        <w:tc>
          <w:tcPr>
            <w:tcW w:w="429" w:type="pct"/>
            <w:tcBorders>
              <w:tl2br w:val="nil"/>
              <w:tr2bl w:val="nil"/>
            </w:tcBorders>
            <w:vAlign w:val="center"/>
          </w:tcPr>
          <w:p w14:paraId="65DA8A13">
            <w:pPr>
              <w:spacing w:line="240" w:lineRule="auto"/>
              <w:jc w:val="left"/>
              <w:rPr>
                <w:rFonts w:hint="eastAsia" w:cs="宋体"/>
                <w:color w:val="000000"/>
              </w:rPr>
            </w:pPr>
          </w:p>
        </w:tc>
        <w:tc>
          <w:tcPr>
            <w:tcW w:w="3289" w:type="pct"/>
            <w:tcBorders>
              <w:tl2br w:val="nil"/>
              <w:tr2bl w:val="nil"/>
            </w:tcBorders>
            <w:vAlign w:val="center"/>
          </w:tcPr>
          <w:p w14:paraId="0ABF5D47">
            <w:pPr>
              <w:widowControl/>
              <w:spacing w:line="240" w:lineRule="auto"/>
              <w:ind w:firstLine="0" w:firstLineChars="0"/>
              <w:textAlignment w:val="center"/>
              <w:rPr>
                <w:rFonts w:hint="eastAsia" w:cs="宋体"/>
                <w:color w:val="000000"/>
              </w:rPr>
            </w:pPr>
            <w:r>
              <w:rPr>
                <w:rFonts w:hint="eastAsia" w:cs="宋体"/>
                <w:color w:val="000000"/>
                <w:kern w:val="0"/>
                <w:lang w:bidi="ar"/>
              </w:rPr>
              <w:t>1、接入“随申办政务云”：支持随申办轻应用发起申请。开发相关申请页面，申请人需填报申请使用时间、申请事由等信息，自动带入用户及其部门、联系方式等信息。</w:t>
            </w:r>
            <w:r>
              <w:rPr>
                <w:rFonts w:hint="eastAsia" w:cs="宋体"/>
                <w:color w:val="000000"/>
                <w:kern w:val="0"/>
                <w:lang w:bidi="ar"/>
              </w:rPr>
              <w:br w:type="textWrapping"/>
            </w:r>
            <w:r>
              <w:rPr>
                <w:rFonts w:hint="eastAsia" w:cs="宋体"/>
                <w:color w:val="000000"/>
                <w:kern w:val="0"/>
                <w:lang w:bidi="ar"/>
              </w:rPr>
              <w:t>2、短信端申请：支持短信html5网页链接方式发起申请。申请人需填报申请人、申请部门、联系方式、工具使用时间、申请事由等信息。</w:t>
            </w:r>
            <w:r>
              <w:rPr>
                <w:rFonts w:hint="eastAsia" w:cs="宋体"/>
                <w:color w:val="000000"/>
                <w:kern w:val="0"/>
                <w:lang w:bidi="ar"/>
              </w:rPr>
              <w:br w:type="textWrapping"/>
            </w:r>
            <w:r>
              <w:rPr>
                <w:rFonts w:hint="eastAsia" w:cs="宋体"/>
                <w:color w:val="000000"/>
                <w:kern w:val="0"/>
                <w:lang w:bidi="ar"/>
              </w:rPr>
              <w:t>3、对接大数据中心“流程引擎”：根据申请工具类型调用预配置的流程。</w:t>
            </w:r>
          </w:p>
        </w:tc>
      </w:tr>
      <w:tr w14:paraId="3FB7B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186DCAB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22</w:t>
            </w:r>
          </w:p>
        </w:tc>
        <w:tc>
          <w:tcPr>
            <w:tcW w:w="447" w:type="pct"/>
            <w:vMerge w:val="continue"/>
            <w:tcBorders>
              <w:tl2br w:val="nil"/>
              <w:tr2bl w:val="nil"/>
            </w:tcBorders>
            <w:vAlign w:val="center"/>
          </w:tcPr>
          <w:p w14:paraId="5D7958AF">
            <w:pPr>
              <w:spacing w:line="240" w:lineRule="auto"/>
              <w:jc w:val="left"/>
              <w:rPr>
                <w:rFonts w:hint="eastAsia" w:cs="宋体"/>
                <w:color w:val="000000"/>
              </w:rPr>
            </w:pPr>
          </w:p>
        </w:tc>
        <w:tc>
          <w:tcPr>
            <w:tcW w:w="453" w:type="pct"/>
            <w:tcBorders>
              <w:tl2br w:val="nil"/>
              <w:tr2bl w:val="nil"/>
            </w:tcBorders>
            <w:vAlign w:val="center"/>
          </w:tcPr>
          <w:p w14:paraId="3BE2BB7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流程审批</w:t>
            </w:r>
          </w:p>
        </w:tc>
        <w:tc>
          <w:tcPr>
            <w:tcW w:w="429" w:type="pct"/>
            <w:tcBorders>
              <w:tl2br w:val="nil"/>
              <w:tr2bl w:val="nil"/>
            </w:tcBorders>
            <w:vAlign w:val="center"/>
          </w:tcPr>
          <w:p w14:paraId="24A25C29">
            <w:pPr>
              <w:spacing w:line="240" w:lineRule="auto"/>
              <w:jc w:val="left"/>
              <w:rPr>
                <w:rFonts w:hint="eastAsia" w:cs="宋体"/>
                <w:color w:val="000000"/>
              </w:rPr>
            </w:pPr>
          </w:p>
        </w:tc>
        <w:tc>
          <w:tcPr>
            <w:tcW w:w="3289" w:type="pct"/>
            <w:tcBorders>
              <w:tl2br w:val="nil"/>
              <w:tr2bl w:val="nil"/>
            </w:tcBorders>
            <w:vAlign w:val="center"/>
          </w:tcPr>
          <w:p w14:paraId="38198186">
            <w:pPr>
              <w:widowControl/>
              <w:spacing w:line="240" w:lineRule="auto"/>
              <w:ind w:firstLine="0" w:firstLineChars="0"/>
              <w:textAlignment w:val="center"/>
              <w:rPr>
                <w:rFonts w:hint="eastAsia" w:cs="宋体"/>
                <w:color w:val="000000"/>
              </w:rPr>
            </w:pPr>
            <w:r>
              <w:rPr>
                <w:rFonts w:hint="eastAsia" w:cs="宋体"/>
                <w:color w:val="000000"/>
                <w:kern w:val="0"/>
                <w:lang w:bidi="ar"/>
              </w:rPr>
              <w:t>1、查看流程列表：对接临港大数据中心“流程引擎”已配置的流程列表。</w:t>
            </w:r>
            <w:r>
              <w:rPr>
                <w:rFonts w:hint="eastAsia" w:cs="宋体"/>
                <w:color w:val="000000"/>
                <w:kern w:val="0"/>
                <w:lang w:bidi="ar"/>
              </w:rPr>
              <w:br w:type="textWrapping"/>
            </w:r>
            <w:r>
              <w:rPr>
                <w:rFonts w:hint="eastAsia" w:cs="宋体"/>
                <w:color w:val="000000"/>
                <w:kern w:val="0"/>
                <w:lang w:bidi="ar"/>
              </w:rPr>
              <w:t>2、流程配置：依托临港大数据中心“流程引擎”根据不同类型工具要求配置相应的申请及审批流程，包括新增流程、对已有流程进行修改、删除流程等。审批流程支持灵活配置。</w:t>
            </w:r>
            <w:r>
              <w:rPr>
                <w:rFonts w:hint="eastAsia" w:cs="宋体"/>
                <w:color w:val="000000"/>
                <w:kern w:val="0"/>
                <w:lang w:bidi="ar"/>
              </w:rPr>
              <w:br w:type="textWrapping"/>
            </w:r>
            <w:r>
              <w:rPr>
                <w:rFonts w:hint="eastAsia" w:cs="宋体"/>
                <w:color w:val="000000"/>
                <w:kern w:val="0"/>
                <w:lang w:bidi="ar"/>
              </w:rPr>
              <w:t>3、流程执行情况：查看流程执行情况、流程状态、当前节点、当前用户等。</w:t>
            </w:r>
          </w:p>
        </w:tc>
      </w:tr>
      <w:tr w14:paraId="4B9EE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53143464">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23</w:t>
            </w:r>
          </w:p>
        </w:tc>
        <w:tc>
          <w:tcPr>
            <w:tcW w:w="447" w:type="pct"/>
            <w:vMerge w:val="continue"/>
            <w:tcBorders>
              <w:tl2br w:val="nil"/>
              <w:tr2bl w:val="nil"/>
            </w:tcBorders>
            <w:vAlign w:val="center"/>
          </w:tcPr>
          <w:p w14:paraId="48CBEACC">
            <w:pPr>
              <w:spacing w:line="240" w:lineRule="auto"/>
              <w:jc w:val="left"/>
              <w:rPr>
                <w:rFonts w:hint="eastAsia" w:cs="宋体"/>
                <w:color w:val="000000"/>
              </w:rPr>
            </w:pPr>
          </w:p>
        </w:tc>
        <w:tc>
          <w:tcPr>
            <w:tcW w:w="453" w:type="pct"/>
            <w:tcBorders>
              <w:tl2br w:val="nil"/>
              <w:tr2bl w:val="nil"/>
            </w:tcBorders>
            <w:vAlign w:val="center"/>
          </w:tcPr>
          <w:p w14:paraId="5813B5D0">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结果通知和服务登记</w:t>
            </w:r>
          </w:p>
        </w:tc>
        <w:tc>
          <w:tcPr>
            <w:tcW w:w="429" w:type="pct"/>
            <w:tcBorders>
              <w:tl2br w:val="nil"/>
              <w:tr2bl w:val="nil"/>
            </w:tcBorders>
            <w:vAlign w:val="center"/>
          </w:tcPr>
          <w:p w14:paraId="1E32770D">
            <w:pPr>
              <w:spacing w:line="240" w:lineRule="auto"/>
              <w:jc w:val="left"/>
              <w:rPr>
                <w:rFonts w:hint="eastAsia" w:cs="宋体"/>
                <w:color w:val="000000"/>
              </w:rPr>
            </w:pPr>
          </w:p>
        </w:tc>
        <w:tc>
          <w:tcPr>
            <w:tcW w:w="3289" w:type="pct"/>
            <w:tcBorders>
              <w:tl2br w:val="nil"/>
              <w:tr2bl w:val="nil"/>
            </w:tcBorders>
            <w:vAlign w:val="center"/>
          </w:tcPr>
          <w:p w14:paraId="6BB26AA7">
            <w:pPr>
              <w:widowControl/>
              <w:spacing w:line="240" w:lineRule="auto"/>
              <w:ind w:firstLine="0" w:firstLineChars="0"/>
              <w:textAlignment w:val="center"/>
              <w:rPr>
                <w:rFonts w:hint="eastAsia" w:cs="宋体"/>
                <w:color w:val="000000"/>
              </w:rPr>
            </w:pPr>
            <w:r>
              <w:rPr>
                <w:rFonts w:hint="eastAsia" w:cs="宋体"/>
                <w:color w:val="000000"/>
                <w:kern w:val="0"/>
                <w:lang w:bidi="ar"/>
              </w:rPr>
              <w:t>1、审批结果通知：通过短信或轻应用方式告知申请方审批结果，申请方可查询具体审批结果以及相关联系方式。</w:t>
            </w:r>
            <w:r>
              <w:rPr>
                <w:rFonts w:hint="eastAsia" w:cs="宋体"/>
                <w:color w:val="000000"/>
                <w:kern w:val="0"/>
                <w:lang w:bidi="ar"/>
              </w:rPr>
              <w:br w:type="textWrapping"/>
            </w:r>
            <w:r>
              <w:rPr>
                <w:rFonts w:hint="eastAsia" w:cs="宋体"/>
                <w:color w:val="000000"/>
                <w:kern w:val="0"/>
                <w:lang w:bidi="ar"/>
              </w:rPr>
              <w:t>2、服务情况登记：对该项工具申请的服务情况进行记录，提供（视频结果、巡飞、会商、物资拨发、无线通信、应急指挥车出动）等服务结果，系统登记服务使用情况。</w:t>
            </w:r>
          </w:p>
        </w:tc>
      </w:tr>
      <w:tr w14:paraId="289FF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trPr>
        <w:tc>
          <w:tcPr>
            <w:tcW w:w="381" w:type="pct"/>
            <w:tcBorders>
              <w:tl2br w:val="nil"/>
              <w:tr2bl w:val="nil"/>
            </w:tcBorders>
            <w:vAlign w:val="center"/>
          </w:tcPr>
          <w:p w14:paraId="51364C4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24</w:t>
            </w:r>
          </w:p>
        </w:tc>
        <w:tc>
          <w:tcPr>
            <w:tcW w:w="447" w:type="pct"/>
            <w:vMerge w:val="continue"/>
            <w:tcBorders>
              <w:tl2br w:val="nil"/>
              <w:tr2bl w:val="nil"/>
            </w:tcBorders>
            <w:vAlign w:val="center"/>
          </w:tcPr>
          <w:p w14:paraId="46800198">
            <w:pPr>
              <w:spacing w:line="240" w:lineRule="auto"/>
              <w:jc w:val="left"/>
              <w:rPr>
                <w:rFonts w:hint="eastAsia" w:cs="宋体"/>
                <w:color w:val="000000"/>
              </w:rPr>
            </w:pPr>
          </w:p>
        </w:tc>
        <w:tc>
          <w:tcPr>
            <w:tcW w:w="453" w:type="pct"/>
            <w:tcBorders>
              <w:tl2br w:val="nil"/>
              <w:tr2bl w:val="nil"/>
            </w:tcBorders>
            <w:vAlign w:val="center"/>
          </w:tcPr>
          <w:p w14:paraId="16498ECA">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满意度评价</w:t>
            </w:r>
          </w:p>
        </w:tc>
        <w:tc>
          <w:tcPr>
            <w:tcW w:w="429" w:type="pct"/>
            <w:tcBorders>
              <w:tl2br w:val="nil"/>
              <w:tr2bl w:val="nil"/>
            </w:tcBorders>
            <w:vAlign w:val="center"/>
          </w:tcPr>
          <w:p w14:paraId="1B4F6F48">
            <w:pPr>
              <w:spacing w:line="240" w:lineRule="auto"/>
              <w:jc w:val="left"/>
              <w:rPr>
                <w:rFonts w:hint="eastAsia" w:cs="宋体"/>
                <w:color w:val="000000"/>
              </w:rPr>
            </w:pPr>
          </w:p>
        </w:tc>
        <w:tc>
          <w:tcPr>
            <w:tcW w:w="3289" w:type="pct"/>
            <w:tcBorders>
              <w:tl2br w:val="nil"/>
              <w:tr2bl w:val="nil"/>
            </w:tcBorders>
            <w:vAlign w:val="center"/>
          </w:tcPr>
          <w:p w14:paraId="5FF1DD61">
            <w:pPr>
              <w:widowControl/>
              <w:spacing w:line="240" w:lineRule="auto"/>
              <w:ind w:firstLine="0" w:firstLineChars="0"/>
              <w:textAlignment w:val="center"/>
              <w:rPr>
                <w:rFonts w:hint="eastAsia" w:cs="宋体"/>
                <w:color w:val="000000"/>
              </w:rPr>
            </w:pPr>
            <w:r>
              <w:rPr>
                <w:rFonts w:hint="eastAsia" w:cs="宋体"/>
                <w:color w:val="000000"/>
                <w:kern w:val="0"/>
                <w:lang w:bidi="ar"/>
              </w:rPr>
              <w:t>1、满意度评价：服务结束后进行流程闭环，自动推送满意度评价，由申请方进行满意度评价（星级+文字），后台对赋能情况进行自动分析。满意度评价的推送方式，包括：</w:t>
            </w:r>
            <w:r>
              <w:rPr>
                <w:rFonts w:hint="eastAsia" w:cs="宋体"/>
                <w:color w:val="000000"/>
                <w:kern w:val="0"/>
                <w:lang w:bidi="ar"/>
              </w:rPr>
              <w:br w:type="textWrapping"/>
            </w:r>
            <w:r>
              <w:rPr>
                <w:rFonts w:hint="eastAsia" w:cs="宋体"/>
                <w:color w:val="000000"/>
                <w:kern w:val="0"/>
                <w:lang w:bidi="ar"/>
              </w:rPr>
              <w:t>方式1：随申办政务云推送满意度调查选项。</w:t>
            </w:r>
            <w:r>
              <w:rPr>
                <w:rFonts w:hint="eastAsia" w:cs="宋体"/>
                <w:color w:val="000000"/>
                <w:kern w:val="0"/>
                <w:lang w:bidi="ar"/>
              </w:rPr>
              <w:br w:type="textWrapping"/>
            </w:r>
            <w:r>
              <w:rPr>
                <w:rFonts w:hint="eastAsia" w:cs="宋体"/>
                <w:color w:val="000000"/>
                <w:kern w:val="0"/>
                <w:lang w:bidi="ar"/>
              </w:rPr>
              <w:t>方式2：对于没有系统的用户通过短信发送满意度调查网页链接。</w:t>
            </w:r>
            <w:r>
              <w:rPr>
                <w:rFonts w:hint="eastAsia" w:cs="宋体"/>
                <w:color w:val="000000"/>
                <w:kern w:val="0"/>
                <w:lang w:bidi="ar"/>
              </w:rPr>
              <w:br w:type="textWrapping"/>
            </w:r>
            <w:r>
              <w:rPr>
                <w:rFonts w:hint="eastAsia" w:cs="宋体"/>
                <w:color w:val="000000"/>
                <w:kern w:val="0"/>
                <w:lang w:bidi="ar"/>
              </w:rPr>
              <w:t>2、满意度评价统计：对各类工具满意度评价结果进行统计。</w:t>
            </w:r>
          </w:p>
        </w:tc>
      </w:tr>
      <w:tr w14:paraId="30D64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21A5E5FE">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25</w:t>
            </w:r>
          </w:p>
        </w:tc>
        <w:tc>
          <w:tcPr>
            <w:tcW w:w="447" w:type="pct"/>
            <w:vMerge w:val="continue"/>
            <w:tcBorders>
              <w:tl2br w:val="nil"/>
              <w:tr2bl w:val="nil"/>
            </w:tcBorders>
            <w:vAlign w:val="center"/>
          </w:tcPr>
          <w:p w14:paraId="0EB6D239">
            <w:pPr>
              <w:spacing w:line="240" w:lineRule="auto"/>
              <w:jc w:val="left"/>
              <w:rPr>
                <w:rFonts w:hint="eastAsia" w:cs="宋体"/>
                <w:color w:val="000000"/>
              </w:rPr>
            </w:pPr>
          </w:p>
        </w:tc>
        <w:tc>
          <w:tcPr>
            <w:tcW w:w="453" w:type="pct"/>
            <w:tcBorders>
              <w:tl2br w:val="nil"/>
              <w:tr2bl w:val="nil"/>
            </w:tcBorders>
            <w:vAlign w:val="center"/>
          </w:tcPr>
          <w:p w14:paraId="5409F1C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管理后台</w:t>
            </w:r>
          </w:p>
        </w:tc>
        <w:tc>
          <w:tcPr>
            <w:tcW w:w="429" w:type="pct"/>
            <w:tcBorders>
              <w:tl2br w:val="nil"/>
              <w:tr2bl w:val="nil"/>
            </w:tcBorders>
            <w:vAlign w:val="center"/>
          </w:tcPr>
          <w:p w14:paraId="197E70A2">
            <w:pPr>
              <w:spacing w:line="240" w:lineRule="auto"/>
              <w:jc w:val="left"/>
              <w:rPr>
                <w:rFonts w:hint="eastAsia" w:cs="宋体"/>
                <w:color w:val="000000"/>
              </w:rPr>
            </w:pPr>
          </w:p>
        </w:tc>
        <w:tc>
          <w:tcPr>
            <w:tcW w:w="3289" w:type="pct"/>
            <w:tcBorders>
              <w:tl2br w:val="nil"/>
              <w:tr2bl w:val="nil"/>
            </w:tcBorders>
            <w:vAlign w:val="center"/>
          </w:tcPr>
          <w:p w14:paraId="34331AAE">
            <w:pPr>
              <w:widowControl/>
              <w:spacing w:line="240" w:lineRule="auto"/>
              <w:ind w:firstLine="0" w:firstLineChars="0"/>
              <w:textAlignment w:val="center"/>
              <w:rPr>
                <w:rFonts w:hint="eastAsia" w:cs="宋体"/>
                <w:color w:val="000000"/>
              </w:rPr>
            </w:pPr>
            <w:r>
              <w:rPr>
                <w:rFonts w:hint="eastAsia" w:cs="宋体"/>
                <w:color w:val="000000"/>
                <w:kern w:val="0"/>
                <w:lang w:bidi="ar"/>
              </w:rPr>
              <w:t>实现对相关可申请工具数据的维护和配置，对相关用户信息进行维护管理，实现对各类工具申请和使用情况、满意度评价情况进行统计分析，并可导出相关数据</w:t>
            </w:r>
          </w:p>
        </w:tc>
      </w:tr>
      <w:tr w14:paraId="3C25B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3D5C0727">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26</w:t>
            </w:r>
          </w:p>
        </w:tc>
        <w:tc>
          <w:tcPr>
            <w:tcW w:w="447" w:type="pct"/>
            <w:vMerge w:val="restart"/>
            <w:tcBorders>
              <w:tl2br w:val="nil"/>
              <w:tr2bl w:val="nil"/>
            </w:tcBorders>
            <w:vAlign w:val="center"/>
          </w:tcPr>
          <w:p w14:paraId="55A52035">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事件中枢升级</w:t>
            </w:r>
          </w:p>
        </w:tc>
        <w:tc>
          <w:tcPr>
            <w:tcW w:w="453" w:type="pct"/>
            <w:vMerge w:val="restart"/>
            <w:tcBorders>
              <w:tl2br w:val="nil"/>
              <w:tr2bl w:val="nil"/>
            </w:tcBorders>
            <w:vAlign w:val="center"/>
          </w:tcPr>
          <w:p w14:paraId="069E652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实时事件接入和查询</w:t>
            </w:r>
          </w:p>
        </w:tc>
        <w:tc>
          <w:tcPr>
            <w:tcW w:w="429" w:type="pct"/>
            <w:tcBorders>
              <w:tl2br w:val="nil"/>
              <w:tr2bl w:val="nil"/>
            </w:tcBorders>
            <w:vAlign w:val="center"/>
          </w:tcPr>
          <w:p w14:paraId="73033A5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实时事件接入列表</w:t>
            </w:r>
          </w:p>
        </w:tc>
        <w:tc>
          <w:tcPr>
            <w:tcW w:w="3289" w:type="pct"/>
            <w:tcBorders>
              <w:tl2br w:val="nil"/>
              <w:tr2bl w:val="nil"/>
            </w:tcBorders>
            <w:vAlign w:val="center"/>
          </w:tcPr>
          <w:p w14:paraId="3FBF38A5">
            <w:pPr>
              <w:widowControl/>
              <w:spacing w:line="240" w:lineRule="auto"/>
              <w:ind w:firstLine="0" w:firstLineChars="0"/>
              <w:textAlignment w:val="center"/>
              <w:rPr>
                <w:rFonts w:hint="eastAsia" w:cs="宋体"/>
                <w:color w:val="000000"/>
              </w:rPr>
            </w:pPr>
            <w:r>
              <w:rPr>
                <w:rFonts w:hint="eastAsia" w:cs="宋体"/>
                <w:color w:val="000000"/>
                <w:kern w:val="0"/>
                <w:lang w:bidi="ar"/>
              </w:rPr>
              <w:t>实现智慧电梯、物联感知、AI视频、无人机巡飞系统等实时事件的数据接入，满足实时性要求高的事件实时接入，支持分类查看实时事件接入清单。</w:t>
            </w:r>
          </w:p>
        </w:tc>
      </w:tr>
      <w:tr w14:paraId="68905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81" w:type="pct"/>
            <w:tcBorders>
              <w:tl2br w:val="nil"/>
              <w:tr2bl w:val="nil"/>
            </w:tcBorders>
            <w:vAlign w:val="center"/>
          </w:tcPr>
          <w:p w14:paraId="1549913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27</w:t>
            </w:r>
          </w:p>
        </w:tc>
        <w:tc>
          <w:tcPr>
            <w:tcW w:w="447" w:type="pct"/>
            <w:vMerge w:val="continue"/>
            <w:tcBorders>
              <w:tl2br w:val="nil"/>
              <w:tr2bl w:val="nil"/>
            </w:tcBorders>
            <w:vAlign w:val="center"/>
          </w:tcPr>
          <w:p w14:paraId="6E88DF3B">
            <w:pPr>
              <w:spacing w:line="240" w:lineRule="auto"/>
              <w:jc w:val="left"/>
              <w:rPr>
                <w:rFonts w:hint="eastAsia" w:cs="宋体"/>
                <w:color w:val="000000"/>
              </w:rPr>
            </w:pPr>
          </w:p>
        </w:tc>
        <w:tc>
          <w:tcPr>
            <w:tcW w:w="453" w:type="pct"/>
            <w:vMerge w:val="continue"/>
            <w:tcBorders>
              <w:tl2br w:val="nil"/>
              <w:tr2bl w:val="nil"/>
            </w:tcBorders>
            <w:vAlign w:val="center"/>
          </w:tcPr>
          <w:p w14:paraId="3FDAE608">
            <w:pPr>
              <w:spacing w:line="240" w:lineRule="auto"/>
              <w:jc w:val="left"/>
              <w:rPr>
                <w:rFonts w:hint="eastAsia" w:cs="宋体"/>
                <w:color w:val="000000"/>
              </w:rPr>
            </w:pPr>
          </w:p>
        </w:tc>
        <w:tc>
          <w:tcPr>
            <w:tcW w:w="429" w:type="pct"/>
            <w:tcBorders>
              <w:tl2br w:val="nil"/>
              <w:tr2bl w:val="nil"/>
            </w:tcBorders>
            <w:vAlign w:val="center"/>
          </w:tcPr>
          <w:p w14:paraId="48799CAB">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事件处置进度和结果更新</w:t>
            </w:r>
          </w:p>
        </w:tc>
        <w:tc>
          <w:tcPr>
            <w:tcW w:w="3289" w:type="pct"/>
            <w:tcBorders>
              <w:tl2br w:val="nil"/>
              <w:tr2bl w:val="nil"/>
            </w:tcBorders>
            <w:vAlign w:val="center"/>
          </w:tcPr>
          <w:p w14:paraId="648742A3">
            <w:pPr>
              <w:widowControl/>
              <w:spacing w:line="240" w:lineRule="auto"/>
              <w:textAlignment w:val="center"/>
              <w:rPr>
                <w:rFonts w:hint="eastAsia" w:cs="宋体"/>
                <w:color w:val="000000"/>
              </w:rPr>
            </w:pPr>
            <w:r>
              <w:rPr>
                <w:rFonts w:hint="eastAsia" w:cs="宋体"/>
                <w:color w:val="000000"/>
                <w:kern w:val="0"/>
                <w:lang w:bidi="ar"/>
              </w:rPr>
              <w:t>12345系统及原途径处置事件的相关系统更新事件处置进度后，能够定期更新事件中枢相应的事件处置进度和处置结果</w:t>
            </w:r>
          </w:p>
        </w:tc>
      </w:tr>
      <w:tr w14:paraId="32519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trPr>
        <w:tc>
          <w:tcPr>
            <w:tcW w:w="381" w:type="pct"/>
            <w:tcBorders>
              <w:tl2br w:val="nil"/>
              <w:tr2bl w:val="nil"/>
            </w:tcBorders>
            <w:vAlign w:val="center"/>
          </w:tcPr>
          <w:p w14:paraId="74042FD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28</w:t>
            </w:r>
          </w:p>
        </w:tc>
        <w:tc>
          <w:tcPr>
            <w:tcW w:w="447" w:type="pct"/>
            <w:vMerge w:val="continue"/>
            <w:tcBorders>
              <w:tl2br w:val="nil"/>
              <w:tr2bl w:val="nil"/>
            </w:tcBorders>
            <w:vAlign w:val="center"/>
          </w:tcPr>
          <w:p w14:paraId="29B7FB2E">
            <w:pPr>
              <w:spacing w:line="240" w:lineRule="auto"/>
              <w:jc w:val="left"/>
              <w:rPr>
                <w:rFonts w:hint="eastAsia" w:cs="宋体"/>
                <w:color w:val="000000"/>
              </w:rPr>
            </w:pPr>
          </w:p>
        </w:tc>
        <w:tc>
          <w:tcPr>
            <w:tcW w:w="453" w:type="pct"/>
            <w:vMerge w:val="continue"/>
            <w:tcBorders>
              <w:tl2br w:val="nil"/>
              <w:tr2bl w:val="nil"/>
            </w:tcBorders>
            <w:vAlign w:val="center"/>
          </w:tcPr>
          <w:p w14:paraId="3B3DD42C">
            <w:pPr>
              <w:spacing w:line="240" w:lineRule="auto"/>
              <w:jc w:val="left"/>
              <w:rPr>
                <w:rFonts w:hint="eastAsia" w:cs="宋体"/>
                <w:color w:val="000000"/>
              </w:rPr>
            </w:pPr>
          </w:p>
        </w:tc>
        <w:tc>
          <w:tcPr>
            <w:tcW w:w="429" w:type="pct"/>
            <w:tcBorders>
              <w:tl2br w:val="nil"/>
              <w:tr2bl w:val="nil"/>
            </w:tcBorders>
            <w:vAlign w:val="center"/>
          </w:tcPr>
          <w:p w14:paraId="20F6755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事件处置进度和结果查询</w:t>
            </w:r>
          </w:p>
        </w:tc>
        <w:tc>
          <w:tcPr>
            <w:tcW w:w="3289" w:type="pct"/>
            <w:tcBorders>
              <w:tl2br w:val="nil"/>
              <w:tr2bl w:val="nil"/>
            </w:tcBorders>
            <w:vAlign w:val="center"/>
          </w:tcPr>
          <w:p w14:paraId="58E9A96D">
            <w:pPr>
              <w:widowControl/>
              <w:spacing w:line="240" w:lineRule="auto"/>
              <w:textAlignment w:val="center"/>
              <w:rPr>
                <w:rFonts w:hint="eastAsia" w:cs="宋体"/>
                <w:color w:val="000000"/>
              </w:rPr>
            </w:pPr>
            <w:r>
              <w:rPr>
                <w:rFonts w:hint="eastAsia" w:cs="宋体"/>
                <w:color w:val="000000"/>
                <w:kern w:val="0"/>
                <w:lang w:bidi="ar"/>
              </w:rPr>
              <w:t>查询数据处置进度和结果；支持单个事件查询和批量事件查询，返回相应单个或批量事件处置进度和结果数据</w:t>
            </w:r>
          </w:p>
        </w:tc>
      </w:tr>
      <w:tr w14:paraId="4E30A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725A5CB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29</w:t>
            </w:r>
          </w:p>
        </w:tc>
        <w:tc>
          <w:tcPr>
            <w:tcW w:w="447" w:type="pct"/>
            <w:vMerge w:val="continue"/>
            <w:tcBorders>
              <w:tl2br w:val="nil"/>
              <w:tr2bl w:val="nil"/>
            </w:tcBorders>
            <w:vAlign w:val="center"/>
          </w:tcPr>
          <w:p w14:paraId="37BBA38C">
            <w:pPr>
              <w:spacing w:line="240" w:lineRule="auto"/>
              <w:jc w:val="left"/>
              <w:rPr>
                <w:rFonts w:hint="eastAsia" w:cs="宋体"/>
                <w:color w:val="000000"/>
              </w:rPr>
            </w:pPr>
          </w:p>
        </w:tc>
        <w:tc>
          <w:tcPr>
            <w:tcW w:w="453" w:type="pct"/>
            <w:vMerge w:val="restart"/>
            <w:tcBorders>
              <w:tl2br w:val="nil"/>
              <w:tr2bl w:val="nil"/>
            </w:tcBorders>
            <w:vAlign w:val="center"/>
          </w:tcPr>
          <w:p w14:paraId="085D0F1B">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事件中枢支撑功能</w:t>
            </w:r>
          </w:p>
        </w:tc>
        <w:tc>
          <w:tcPr>
            <w:tcW w:w="429" w:type="pct"/>
            <w:tcBorders>
              <w:tl2br w:val="nil"/>
              <w:tr2bl w:val="nil"/>
            </w:tcBorders>
            <w:vAlign w:val="center"/>
          </w:tcPr>
          <w:p w14:paraId="45EC97B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移动端单点登录</w:t>
            </w:r>
          </w:p>
        </w:tc>
        <w:tc>
          <w:tcPr>
            <w:tcW w:w="3289" w:type="pct"/>
            <w:tcBorders>
              <w:tl2br w:val="nil"/>
              <w:tr2bl w:val="nil"/>
            </w:tcBorders>
            <w:vAlign w:val="center"/>
          </w:tcPr>
          <w:p w14:paraId="6E7D4331">
            <w:pPr>
              <w:widowControl/>
              <w:spacing w:line="240" w:lineRule="auto"/>
              <w:ind w:firstLine="0" w:firstLineChars="0"/>
              <w:textAlignment w:val="center"/>
              <w:rPr>
                <w:rFonts w:hint="eastAsia" w:cs="宋体"/>
                <w:color w:val="000000"/>
              </w:rPr>
            </w:pPr>
            <w:r>
              <w:rPr>
                <w:rFonts w:hint="eastAsia" w:cs="宋体"/>
                <w:color w:val="000000"/>
                <w:kern w:val="0"/>
                <w:lang w:bidi="ar"/>
              </w:rPr>
              <w:t>实现对接“随申办政务云”实现统一入口及单点登录，实现“随申办政务云”消息通知</w:t>
            </w:r>
          </w:p>
        </w:tc>
      </w:tr>
      <w:tr w14:paraId="3D0DD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48C25BF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30</w:t>
            </w:r>
          </w:p>
        </w:tc>
        <w:tc>
          <w:tcPr>
            <w:tcW w:w="447" w:type="pct"/>
            <w:vMerge w:val="continue"/>
            <w:tcBorders>
              <w:tl2br w:val="nil"/>
              <w:tr2bl w:val="nil"/>
            </w:tcBorders>
            <w:vAlign w:val="center"/>
          </w:tcPr>
          <w:p w14:paraId="1FFBA672">
            <w:pPr>
              <w:spacing w:line="240" w:lineRule="auto"/>
              <w:jc w:val="left"/>
              <w:rPr>
                <w:rFonts w:hint="eastAsia" w:cs="宋体"/>
                <w:color w:val="000000"/>
              </w:rPr>
            </w:pPr>
          </w:p>
        </w:tc>
        <w:tc>
          <w:tcPr>
            <w:tcW w:w="453" w:type="pct"/>
            <w:vMerge w:val="continue"/>
            <w:tcBorders>
              <w:tl2br w:val="nil"/>
              <w:tr2bl w:val="nil"/>
            </w:tcBorders>
            <w:vAlign w:val="center"/>
          </w:tcPr>
          <w:p w14:paraId="5E338E0B">
            <w:pPr>
              <w:spacing w:line="240" w:lineRule="auto"/>
              <w:jc w:val="left"/>
              <w:rPr>
                <w:rFonts w:hint="eastAsia" w:cs="宋体"/>
                <w:color w:val="000000"/>
              </w:rPr>
            </w:pPr>
          </w:p>
        </w:tc>
        <w:tc>
          <w:tcPr>
            <w:tcW w:w="429" w:type="pct"/>
            <w:tcBorders>
              <w:tl2br w:val="nil"/>
              <w:tr2bl w:val="nil"/>
            </w:tcBorders>
            <w:vAlign w:val="center"/>
          </w:tcPr>
          <w:p w14:paraId="322F70BE">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自动批量外呼电话</w:t>
            </w:r>
          </w:p>
        </w:tc>
        <w:tc>
          <w:tcPr>
            <w:tcW w:w="3289" w:type="pct"/>
            <w:tcBorders>
              <w:tl2br w:val="nil"/>
              <w:tr2bl w:val="nil"/>
            </w:tcBorders>
            <w:vAlign w:val="center"/>
          </w:tcPr>
          <w:p w14:paraId="266AEE04">
            <w:pPr>
              <w:widowControl/>
              <w:spacing w:line="240" w:lineRule="auto"/>
              <w:textAlignment w:val="center"/>
              <w:rPr>
                <w:rFonts w:hint="eastAsia" w:cs="宋体"/>
                <w:color w:val="000000"/>
              </w:rPr>
            </w:pPr>
            <w:r>
              <w:rPr>
                <w:rFonts w:hint="eastAsia" w:cs="宋体"/>
                <w:color w:val="000000"/>
                <w:kern w:val="0"/>
                <w:lang w:bidi="ar"/>
              </w:rPr>
              <w:t>对接临港新片区热线电话系统实现电话外呼，对需要及时响应的事件处置通知通过电话方式呼叫指定人员电话，并统计其接听反馈情况；支持对未接听的外呼电话进行重复呼叫。</w:t>
            </w:r>
            <w:r>
              <w:rPr>
                <w:rFonts w:hint="eastAsia" w:cs="宋体"/>
                <w:color w:val="000000"/>
                <w:kern w:val="0"/>
                <w:lang w:bidi="ar"/>
              </w:rPr>
              <w:br w:type="textWrapping"/>
            </w:r>
            <w:r>
              <w:rPr>
                <w:rFonts w:hint="eastAsia" w:cs="宋体"/>
                <w:color w:val="000000"/>
                <w:kern w:val="0"/>
                <w:lang w:bidi="ar"/>
              </w:rPr>
              <w:t>启动应急预案时，系统自动向预设名单拨打外呼电话和发生短信，并记录接听反馈情况。</w:t>
            </w:r>
          </w:p>
        </w:tc>
      </w:tr>
      <w:tr w14:paraId="24A09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0034F78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31</w:t>
            </w:r>
          </w:p>
        </w:tc>
        <w:tc>
          <w:tcPr>
            <w:tcW w:w="447" w:type="pct"/>
            <w:vMerge w:val="continue"/>
            <w:tcBorders>
              <w:tl2br w:val="nil"/>
              <w:tr2bl w:val="nil"/>
            </w:tcBorders>
            <w:vAlign w:val="center"/>
          </w:tcPr>
          <w:p w14:paraId="0FD896F2">
            <w:pPr>
              <w:spacing w:line="240" w:lineRule="auto"/>
              <w:jc w:val="left"/>
              <w:rPr>
                <w:rFonts w:hint="eastAsia" w:cs="宋体"/>
                <w:color w:val="000000"/>
              </w:rPr>
            </w:pPr>
          </w:p>
        </w:tc>
        <w:tc>
          <w:tcPr>
            <w:tcW w:w="453" w:type="pct"/>
            <w:vMerge w:val="continue"/>
            <w:tcBorders>
              <w:tl2br w:val="nil"/>
              <w:tr2bl w:val="nil"/>
            </w:tcBorders>
            <w:vAlign w:val="center"/>
          </w:tcPr>
          <w:p w14:paraId="44889370">
            <w:pPr>
              <w:spacing w:line="240" w:lineRule="auto"/>
              <w:jc w:val="left"/>
              <w:rPr>
                <w:rFonts w:hint="eastAsia" w:cs="宋体"/>
                <w:color w:val="000000"/>
              </w:rPr>
            </w:pPr>
          </w:p>
        </w:tc>
        <w:tc>
          <w:tcPr>
            <w:tcW w:w="429" w:type="pct"/>
            <w:tcBorders>
              <w:tl2br w:val="nil"/>
              <w:tr2bl w:val="nil"/>
            </w:tcBorders>
            <w:vAlign w:val="center"/>
          </w:tcPr>
          <w:p w14:paraId="23FC6BA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语音转写文字和文本摘要</w:t>
            </w:r>
          </w:p>
        </w:tc>
        <w:tc>
          <w:tcPr>
            <w:tcW w:w="3289" w:type="pct"/>
            <w:tcBorders>
              <w:tl2br w:val="nil"/>
              <w:tr2bl w:val="nil"/>
            </w:tcBorders>
            <w:vAlign w:val="center"/>
          </w:tcPr>
          <w:p w14:paraId="61716C69">
            <w:pPr>
              <w:widowControl/>
              <w:spacing w:line="240" w:lineRule="auto"/>
              <w:textAlignment w:val="center"/>
              <w:rPr>
                <w:rFonts w:hint="eastAsia" w:cs="宋体"/>
                <w:color w:val="000000"/>
              </w:rPr>
            </w:pPr>
            <w:r>
              <w:rPr>
                <w:rFonts w:hint="eastAsia" w:cs="宋体"/>
                <w:color w:val="000000"/>
                <w:kern w:val="0"/>
                <w:lang w:bidi="ar"/>
              </w:rPr>
              <w:t>对接临港大模型实时语音转写服务，实现将语音信息转写为文字信息，并将转写后的文字信息输出到关联事件页面并保存；支持对转写文字进行摘要总结。</w:t>
            </w:r>
            <w:r>
              <w:rPr>
                <w:rFonts w:hint="eastAsia" w:cs="宋体"/>
                <w:color w:val="000000"/>
                <w:kern w:val="0"/>
                <w:lang w:bidi="ar"/>
              </w:rPr>
              <w:br w:type="textWrapping"/>
            </w:r>
            <w:r>
              <w:rPr>
                <w:rFonts w:hint="eastAsia" w:cs="宋体"/>
                <w:color w:val="000000"/>
                <w:kern w:val="0"/>
                <w:lang w:bidi="ar"/>
              </w:rPr>
              <w:t>支持对转写后的文字进行二次编辑和修改。</w:t>
            </w:r>
          </w:p>
        </w:tc>
      </w:tr>
      <w:tr w14:paraId="37641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1439A53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32</w:t>
            </w:r>
          </w:p>
        </w:tc>
        <w:tc>
          <w:tcPr>
            <w:tcW w:w="447" w:type="pct"/>
            <w:vMerge w:val="continue"/>
            <w:tcBorders>
              <w:tl2br w:val="nil"/>
              <w:tr2bl w:val="nil"/>
            </w:tcBorders>
            <w:vAlign w:val="center"/>
          </w:tcPr>
          <w:p w14:paraId="2E820F64">
            <w:pPr>
              <w:spacing w:line="240" w:lineRule="auto"/>
              <w:jc w:val="left"/>
              <w:rPr>
                <w:rFonts w:hint="eastAsia" w:cs="宋体"/>
                <w:color w:val="000000"/>
              </w:rPr>
            </w:pPr>
          </w:p>
        </w:tc>
        <w:tc>
          <w:tcPr>
            <w:tcW w:w="453" w:type="pct"/>
            <w:vMerge w:val="continue"/>
            <w:tcBorders>
              <w:tl2br w:val="nil"/>
              <w:tr2bl w:val="nil"/>
            </w:tcBorders>
            <w:vAlign w:val="center"/>
          </w:tcPr>
          <w:p w14:paraId="08376A2C">
            <w:pPr>
              <w:spacing w:line="240" w:lineRule="auto"/>
              <w:jc w:val="left"/>
              <w:rPr>
                <w:rFonts w:hint="eastAsia" w:cs="宋体"/>
                <w:color w:val="000000"/>
              </w:rPr>
            </w:pPr>
          </w:p>
        </w:tc>
        <w:tc>
          <w:tcPr>
            <w:tcW w:w="429" w:type="pct"/>
            <w:tcBorders>
              <w:tl2br w:val="nil"/>
              <w:tr2bl w:val="nil"/>
            </w:tcBorders>
            <w:vAlign w:val="center"/>
          </w:tcPr>
          <w:p w14:paraId="546F9D9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事件状态批量查询和统计</w:t>
            </w:r>
          </w:p>
        </w:tc>
        <w:tc>
          <w:tcPr>
            <w:tcW w:w="3289" w:type="pct"/>
            <w:tcBorders>
              <w:tl2br w:val="nil"/>
              <w:tr2bl w:val="nil"/>
            </w:tcBorders>
            <w:vAlign w:val="center"/>
          </w:tcPr>
          <w:p w14:paraId="1410CE0B">
            <w:pPr>
              <w:widowControl/>
              <w:spacing w:line="240" w:lineRule="auto"/>
              <w:textAlignment w:val="center"/>
              <w:rPr>
                <w:rFonts w:hint="eastAsia" w:cs="宋体"/>
                <w:color w:val="000000"/>
              </w:rPr>
            </w:pPr>
            <w:r>
              <w:rPr>
                <w:rFonts w:hint="eastAsia" w:cs="宋体"/>
                <w:color w:val="000000"/>
                <w:kern w:val="0"/>
                <w:lang w:bidi="ar"/>
              </w:rPr>
              <w:t>提供统一对外服务的事件状态批量查询和统计接口，实现事件状态的批量查询和统计功能</w:t>
            </w:r>
          </w:p>
        </w:tc>
      </w:tr>
      <w:tr w14:paraId="79CC4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381" w:type="pct"/>
            <w:tcBorders>
              <w:tl2br w:val="nil"/>
              <w:tr2bl w:val="nil"/>
            </w:tcBorders>
            <w:vAlign w:val="center"/>
          </w:tcPr>
          <w:p w14:paraId="2E677F47">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33</w:t>
            </w:r>
          </w:p>
        </w:tc>
        <w:tc>
          <w:tcPr>
            <w:tcW w:w="447" w:type="pct"/>
            <w:vMerge w:val="continue"/>
            <w:tcBorders>
              <w:tl2br w:val="nil"/>
              <w:tr2bl w:val="nil"/>
            </w:tcBorders>
            <w:vAlign w:val="center"/>
          </w:tcPr>
          <w:p w14:paraId="580E8172">
            <w:pPr>
              <w:spacing w:line="240" w:lineRule="auto"/>
              <w:jc w:val="left"/>
              <w:rPr>
                <w:rFonts w:hint="eastAsia" w:cs="宋体"/>
                <w:color w:val="000000"/>
              </w:rPr>
            </w:pPr>
          </w:p>
        </w:tc>
        <w:tc>
          <w:tcPr>
            <w:tcW w:w="453" w:type="pct"/>
            <w:tcBorders>
              <w:tl2br w:val="nil"/>
              <w:tr2bl w:val="nil"/>
            </w:tcBorders>
            <w:vAlign w:val="center"/>
          </w:tcPr>
          <w:p w14:paraId="3C79181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事件处置管理（升级）</w:t>
            </w:r>
          </w:p>
        </w:tc>
        <w:tc>
          <w:tcPr>
            <w:tcW w:w="429" w:type="pct"/>
            <w:tcBorders>
              <w:tl2br w:val="nil"/>
              <w:tr2bl w:val="nil"/>
            </w:tcBorders>
            <w:vAlign w:val="center"/>
          </w:tcPr>
          <w:p w14:paraId="2FA8EE04">
            <w:pPr>
              <w:spacing w:line="240" w:lineRule="auto"/>
              <w:jc w:val="center"/>
              <w:rPr>
                <w:rFonts w:hint="eastAsia" w:cs="宋体"/>
                <w:color w:val="000000"/>
              </w:rPr>
            </w:pPr>
          </w:p>
        </w:tc>
        <w:tc>
          <w:tcPr>
            <w:tcW w:w="3289" w:type="pct"/>
            <w:tcBorders>
              <w:tl2br w:val="nil"/>
              <w:tr2bl w:val="nil"/>
            </w:tcBorders>
            <w:vAlign w:val="center"/>
          </w:tcPr>
          <w:p w14:paraId="0851E767">
            <w:pPr>
              <w:widowControl/>
              <w:spacing w:line="240" w:lineRule="auto"/>
              <w:ind w:firstLine="0" w:firstLineChars="0"/>
              <w:textAlignment w:val="center"/>
              <w:rPr>
                <w:rFonts w:hint="eastAsia" w:cs="宋体"/>
                <w:color w:val="000000"/>
              </w:rPr>
            </w:pPr>
            <w:r>
              <w:rPr>
                <w:rFonts w:hint="eastAsia" w:cs="宋体"/>
                <w:color w:val="000000"/>
                <w:kern w:val="0"/>
                <w:lang w:bidi="ar"/>
              </w:rPr>
              <w:t>1、派单流转管理：根据事件结构化信息和事件描述信息，识别事件发生的区域等信息，解析事件派发规则配置，实现派单对象推荐，减少派单值班人员工作量。</w:t>
            </w:r>
            <w:r>
              <w:rPr>
                <w:rFonts w:hint="eastAsia" w:cs="宋体"/>
                <w:color w:val="000000"/>
                <w:kern w:val="0"/>
                <w:lang w:bidi="ar"/>
              </w:rPr>
              <w:br w:type="textWrapping"/>
            </w:r>
            <w:r>
              <w:rPr>
                <w:rFonts w:hint="eastAsia" w:cs="宋体"/>
                <w:color w:val="000000"/>
                <w:kern w:val="0"/>
                <w:lang w:bidi="ar"/>
              </w:rPr>
              <w:t>2、值班人工审核：值班人员可调阅事件附加的视频图片信息，人工核实事件真实性后，在认可处置管理推荐派单对象和事件标签的情况下，可实现一键派发。当值班人员对派发对象或事件标签存疑时，可查询类似事件的派发情况和事件标签属性，值班人员可手动调整派发对象和标签，并保存编辑信息。</w:t>
            </w:r>
            <w:r>
              <w:rPr>
                <w:rFonts w:hint="eastAsia" w:cs="宋体"/>
                <w:color w:val="000000"/>
                <w:kern w:val="0"/>
                <w:lang w:bidi="ar"/>
              </w:rPr>
              <w:br w:type="textWrapping"/>
            </w:r>
            <w:r>
              <w:rPr>
                <w:rFonts w:hint="eastAsia" w:cs="宋体"/>
                <w:color w:val="000000"/>
                <w:kern w:val="0"/>
                <w:lang w:bidi="ar"/>
              </w:rPr>
              <w:t>3、轻应用处置接口开发：开发事件分拨与轻应用处理对接接口</w:t>
            </w:r>
            <w:r>
              <w:rPr>
                <w:rFonts w:hint="eastAsia" w:cs="宋体"/>
                <w:color w:val="000000"/>
                <w:kern w:val="0"/>
                <w:lang w:bidi="ar"/>
              </w:rPr>
              <w:br w:type="textWrapping"/>
            </w:r>
            <w:r>
              <w:rPr>
                <w:rFonts w:hint="eastAsia" w:cs="宋体"/>
                <w:color w:val="000000"/>
                <w:kern w:val="0"/>
                <w:lang w:bidi="ar"/>
              </w:rPr>
              <w:t>4、处置监控：对实时语音及录音进行转文字处理，并提取关键字、录音和事件关联。</w:t>
            </w:r>
            <w:r>
              <w:rPr>
                <w:rFonts w:hint="eastAsia" w:cs="宋体"/>
                <w:color w:val="000000"/>
                <w:kern w:val="0"/>
                <w:lang w:bidi="ar"/>
              </w:rPr>
              <w:br w:type="textWrapping"/>
            </w:r>
            <w:r>
              <w:rPr>
                <w:rFonts w:hint="eastAsia" w:cs="宋体"/>
                <w:color w:val="000000"/>
                <w:kern w:val="0"/>
                <w:lang w:bidi="ar"/>
              </w:rPr>
              <w:t>5、事件超期预警：按照关注事件的处理超期时间、紧急程度定义阈值，超出阈值进行预警</w:t>
            </w:r>
          </w:p>
        </w:tc>
      </w:tr>
      <w:tr w14:paraId="29310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67EF0E48">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34</w:t>
            </w:r>
          </w:p>
        </w:tc>
        <w:tc>
          <w:tcPr>
            <w:tcW w:w="447" w:type="pct"/>
            <w:vMerge w:val="continue"/>
            <w:tcBorders>
              <w:tl2br w:val="nil"/>
              <w:tr2bl w:val="nil"/>
            </w:tcBorders>
            <w:vAlign w:val="center"/>
          </w:tcPr>
          <w:p w14:paraId="770BAFE9">
            <w:pPr>
              <w:spacing w:line="240" w:lineRule="auto"/>
              <w:jc w:val="left"/>
              <w:rPr>
                <w:rFonts w:hint="eastAsia" w:cs="宋体"/>
                <w:color w:val="000000"/>
              </w:rPr>
            </w:pPr>
          </w:p>
        </w:tc>
        <w:tc>
          <w:tcPr>
            <w:tcW w:w="453" w:type="pct"/>
            <w:vMerge w:val="restart"/>
            <w:tcBorders>
              <w:tl2br w:val="nil"/>
              <w:tr2bl w:val="nil"/>
            </w:tcBorders>
            <w:vAlign w:val="center"/>
          </w:tcPr>
          <w:p w14:paraId="681F735B">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报告智能管理（升级）</w:t>
            </w:r>
          </w:p>
        </w:tc>
        <w:tc>
          <w:tcPr>
            <w:tcW w:w="429" w:type="pct"/>
            <w:tcBorders>
              <w:tl2br w:val="nil"/>
              <w:tr2bl w:val="nil"/>
            </w:tcBorders>
            <w:vAlign w:val="center"/>
          </w:tcPr>
          <w:p w14:paraId="2DE0F116">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报告统计</w:t>
            </w:r>
          </w:p>
        </w:tc>
        <w:tc>
          <w:tcPr>
            <w:tcW w:w="3289" w:type="pct"/>
            <w:tcBorders>
              <w:tl2br w:val="nil"/>
              <w:tr2bl w:val="nil"/>
            </w:tcBorders>
            <w:vAlign w:val="center"/>
          </w:tcPr>
          <w:p w14:paraId="2AC599E8">
            <w:pPr>
              <w:widowControl/>
              <w:spacing w:line="240" w:lineRule="auto"/>
              <w:ind w:firstLine="0" w:firstLineChars="0"/>
              <w:textAlignment w:val="center"/>
              <w:rPr>
                <w:rFonts w:hint="eastAsia" w:cs="宋体"/>
                <w:color w:val="000000"/>
              </w:rPr>
            </w:pPr>
            <w:r>
              <w:rPr>
                <w:rFonts w:hint="eastAsia" w:cs="宋体"/>
                <w:color w:val="000000"/>
                <w:kern w:val="0"/>
                <w:lang w:bidi="ar"/>
              </w:rPr>
              <w:t>按模板要求，对时间(日/周/月/节假日)、区域、类型(客、车流、酒店、交通、海堤、工地、执法、警情)等进行统计分析，可自定义数据的可视化展示。</w:t>
            </w:r>
          </w:p>
        </w:tc>
      </w:tr>
      <w:tr w14:paraId="3278D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7139389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35</w:t>
            </w:r>
          </w:p>
        </w:tc>
        <w:tc>
          <w:tcPr>
            <w:tcW w:w="447" w:type="pct"/>
            <w:vMerge w:val="continue"/>
            <w:tcBorders>
              <w:tl2br w:val="nil"/>
              <w:tr2bl w:val="nil"/>
            </w:tcBorders>
            <w:vAlign w:val="center"/>
          </w:tcPr>
          <w:p w14:paraId="707819C9">
            <w:pPr>
              <w:spacing w:line="240" w:lineRule="auto"/>
              <w:jc w:val="left"/>
              <w:rPr>
                <w:rFonts w:hint="eastAsia" w:cs="宋体"/>
                <w:color w:val="000000"/>
              </w:rPr>
            </w:pPr>
          </w:p>
        </w:tc>
        <w:tc>
          <w:tcPr>
            <w:tcW w:w="453" w:type="pct"/>
            <w:vMerge w:val="continue"/>
            <w:tcBorders>
              <w:tl2br w:val="nil"/>
              <w:tr2bl w:val="nil"/>
            </w:tcBorders>
            <w:vAlign w:val="center"/>
          </w:tcPr>
          <w:p w14:paraId="699D08BF">
            <w:pPr>
              <w:spacing w:line="240" w:lineRule="auto"/>
              <w:jc w:val="left"/>
              <w:rPr>
                <w:rFonts w:hint="eastAsia" w:cs="宋体"/>
                <w:color w:val="000000"/>
              </w:rPr>
            </w:pPr>
          </w:p>
        </w:tc>
        <w:tc>
          <w:tcPr>
            <w:tcW w:w="429" w:type="pct"/>
            <w:tcBorders>
              <w:tl2br w:val="nil"/>
              <w:tr2bl w:val="nil"/>
            </w:tcBorders>
            <w:vAlign w:val="center"/>
          </w:tcPr>
          <w:p w14:paraId="73CCC01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报告轻应用</w:t>
            </w:r>
          </w:p>
        </w:tc>
        <w:tc>
          <w:tcPr>
            <w:tcW w:w="3289" w:type="pct"/>
            <w:tcBorders>
              <w:tl2br w:val="nil"/>
              <w:tr2bl w:val="nil"/>
            </w:tcBorders>
            <w:vAlign w:val="center"/>
          </w:tcPr>
          <w:p w14:paraId="228C16A0">
            <w:pPr>
              <w:widowControl/>
              <w:spacing w:line="240" w:lineRule="auto"/>
              <w:ind w:firstLine="0" w:firstLineChars="0"/>
              <w:textAlignment w:val="center"/>
              <w:rPr>
                <w:rFonts w:hint="eastAsia" w:cs="宋体"/>
                <w:color w:val="000000"/>
              </w:rPr>
            </w:pPr>
            <w:r>
              <w:rPr>
                <w:rFonts w:hint="eastAsia" w:cs="宋体"/>
                <w:color w:val="000000"/>
                <w:kern w:val="0"/>
                <w:lang w:bidi="ar"/>
              </w:rPr>
              <w:t>报告查看：轻应用报告在线查看</w:t>
            </w:r>
            <w:r>
              <w:rPr>
                <w:rFonts w:hint="eastAsia" w:cs="宋体"/>
                <w:color w:val="000000"/>
                <w:kern w:val="0"/>
                <w:lang w:bidi="ar"/>
              </w:rPr>
              <w:br w:type="textWrapping"/>
            </w:r>
            <w:r>
              <w:rPr>
                <w:rFonts w:hint="eastAsia" w:cs="宋体"/>
                <w:color w:val="000000"/>
                <w:kern w:val="0"/>
                <w:lang w:bidi="ar"/>
              </w:rPr>
              <w:t>报告下载：轻应用报告下载</w:t>
            </w:r>
            <w:r>
              <w:rPr>
                <w:rFonts w:hint="eastAsia" w:cs="宋体"/>
                <w:color w:val="000000"/>
                <w:kern w:val="0"/>
                <w:lang w:bidi="ar"/>
              </w:rPr>
              <w:br w:type="textWrapping"/>
            </w:r>
            <w:r>
              <w:rPr>
                <w:rFonts w:hint="eastAsia" w:cs="宋体"/>
                <w:color w:val="000000"/>
                <w:kern w:val="0"/>
                <w:lang w:bidi="ar"/>
              </w:rPr>
              <w:t>报告上传：轻应用报告上传</w:t>
            </w:r>
          </w:p>
        </w:tc>
      </w:tr>
      <w:tr w14:paraId="468A8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4" w:hRule="atLeast"/>
        </w:trPr>
        <w:tc>
          <w:tcPr>
            <w:tcW w:w="381" w:type="pct"/>
            <w:tcBorders>
              <w:tl2br w:val="nil"/>
              <w:tr2bl w:val="nil"/>
            </w:tcBorders>
            <w:vAlign w:val="center"/>
          </w:tcPr>
          <w:p w14:paraId="7F57F2BF">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36</w:t>
            </w:r>
          </w:p>
        </w:tc>
        <w:tc>
          <w:tcPr>
            <w:tcW w:w="447" w:type="pct"/>
            <w:vMerge w:val="continue"/>
            <w:tcBorders>
              <w:tl2br w:val="nil"/>
              <w:tr2bl w:val="nil"/>
            </w:tcBorders>
            <w:vAlign w:val="center"/>
          </w:tcPr>
          <w:p w14:paraId="2156E2A5">
            <w:pPr>
              <w:spacing w:line="240" w:lineRule="auto"/>
              <w:jc w:val="left"/>
              <w:rPr>
                <w:rFonts w:hint="eastAsia" w:cs="宋体"/>
                <w:color w:val="000000"/>
              </w:rPr>
            </w:pPr>
          </w:p>
        </w:tc>
        <w:tc>
          <w:tcPr>
            <w:tcW w:w="453" w:type="pct"/>
            <w:vMerge w:val="restart"/>
            <w:tcBorders>
              <w:tl2br w:val="nil"/>
              <w:tr2bl w:val="nil"/>
            </w:tcBorders>
            <w:vAlign w:val="center"/>
          </w:tcPr>
          <w:p w14:paraId="25BD6DDB">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事件处置专题库</w:t>
            </w:r>
          </w:p>
        </w:tc>
        <w:tc>
          <w:tcPr>
            <w:tcW w:w="429" w:type="pct"/>
            <w:tcBorders>
              <w:tl2br w:val="nil"/>
              <w:tr2bl w:val="nil"/>
            </w:tcBorders>
            <w:vAlign w:val="center"/>
          </w:tcPr>
          <w:p w14:paraId="73399968">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事件库</w:t>
            </w:r>
          </w:p>
        </w:tc>
        <w:tc>
          <w:tcPr>
            <w:tcW w:w="3289" w:type="pct"/>
            <w:tcBorders>
              <w:tl2br w:val="nil"/>
              <w:tr2bl w:val="nil"/>
            </w:tcBorders>
            <w:vAlign w:val="center"/>
          </w:tcPr>
          <w:p w14:paraId="5E2327B7">
            <w:pPr>
              <w:widowControl/>
              <w:spacing w:line="240" w:lineRule="auto"/>
              <w:ind w:firstLine="0" w:firstLineChars="0"/>
              <w:textAlignment w:val="center"/>
              <w:rPr>
                <w:rFonts w:hint="eastAsia" w:cs="宋体"/>
                <w:color w:val="000000"/>
              </w:rPr>
            </w:pPr>
            <w:r>
              <w:rPr>
                <w:rFonts w:hint="eastAsia" w:cs="宋体"/>
                <w:color w:val="000000"/>
                <w:kern w:val="0"/>
                <w:lang w:bidi="ar"/>
              </w:rPr>
              <w:t>1、事件编辑管理:实现事件完整信息的新增、编辑和保存，对现有事件相关要素进行标准化定义，分类分级管理，事件类型维护</w:t>
            </w:r>
            <w:r>
              <w:rPr>
                <w:rFonts w:hint="eastAsia" w:cs="宋体"/>
                <w:color w:val="000000"/>
                <w:kern w:val="0"/>
                <w:lang w:bidi="ar"/>
              </w:rPr>
              <w:br w:type="textWrapping"/>
            </w:r>
            <w:r>
              <w:rPr>
                <w:rFonts w:hint="eastAsia" w:cs="宋体"/>
                <w:color w:val="000000"/>
                <w:kern w:val="0"/>
                <w:lang w:bidi="ar"/>
              </w:rPr>
              <w:t>2、事件标签管理:对39类标签字段自动标签，对6类标签字段手动标签。对于新增加的事件类型，增加对应的事件标签。对各类事件及手动录入事件所涉及的事件内容、对象、处置情况进行自动或手动打标签，按照事件标签进行分类，包括新增、分类、编辑、查询、停用、删除等功能，支持多级标签、多种属性标签，用于事件数据维护和挖掘分析。</w:t>
            </w:r>
            <w:r>
              <w:rPr>
                <w:rFonts w:hint="eastAsia" w:cs="宋体"/>
                <w:color w:val="000000"/>
                <w:kern w:val="0"/>
                <w:lang w:bidi="ar"/>
              </w:rPr>
              <w:br w:type="textWrapping"/>
            </w:r>
            <w:r>
              <w:rPr>
                <w:rFonts w:hint="eastAsia" w:cs="宋体"/>
                <w:color w:val="000000"/>
                <w:kern w:val="0"/>
                <w:lang w:bidi="ar"/>
              </w:rPr>
              <w:t>3、支持对事件分类、事件所属街道/社区/居委/网格、相关人员、处置部门等生成自动标签。</w:t>
            </w:r>
          </w:p>
        </w:tc>
      </w:tr>
      <w:tr w14:paraId="17204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705B7507">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37</w:t>
            </w:r>
          </w:p>
        </w:tc>
        <w:tc>
          <w:tcPr>
            <w:tcW w:w="447" w:type="pct"/>
            <w:vMerge w:val="continue"/>
            <w:tcBorders>
              <w:tl2br w:val="nil"/>
              <w:tr2bl w:val="nil"/>
            </w:tcBorders>
            <w:vAlign w:val="center"/>
          </w:tcPr>
          <w:p w14:paraId="35D88898">
            <w:pPr>
              <w:spacing w:line="240" w:lineRule="auto"/>
              <w:jc w:val="left"/>
              <w:rPr>
                <w:rFonts w:hint="eastAsia" w:cs="宋体"/>
                <w:color w:val="000000"/>
              </w:rPr>
            </w:pPr>
          </w:p>
        </w:tc>
        <w:tc>
          <w:tcPr>
            <w:tcW w:w="453" w:type="pct"/>
            <w:vMerge w:val="continue"/>
            <w:tcBorders>
              <w:tl2br w:val="nil"/>
              <w:tr2bl w:val="nil"/>
            </w:tcBorders>
            <w:vAlign w:val="center"/>
          </w:tcPr>
          <w:p w14:paraId="6A586025">
            <w:pPr>
              <w:spacing w:line="240" w:lineRule="auto"/>
              <w:jc w:val="left"/>
              <w:rPr>
                <w:rFonts w:hint="eastAsia" w:cs="宋体"/>
                <w:color w:val="000000"/>
              </w:rPr>
            </w:pPr>
          </w:p>
        </w:tc>
        <w:tc>
          <w:tcPr>
            <w:tcW w:w="429" w:type="pct"/>
            <w:tcBorders>
              <w:tl2br w:val="nil"/>
              <w:tr2bl w:val="nil"/>
            </w:tcBorders>
            <w:vAlign w:val="center"/>
          </w:tcPr>
          <w:p w14:paraId="54DC590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规则库</w:t>
            </w:r>
          </w:p>
        </w:tc>
        <w:tc>
          <w:tcPr>
            <w:tcW w:w="3289" w:type="pct"/>
            <w:tcBorders>
              <w:tl2br w:val="nil"/>
              <w:tr2bl w:val="nil"/>
            </w:tcBorders>
            <w:vAlign w:val="center"/>
          </w:tcPr>
          <w:p w14:paraId="5A59F8A2">
            <w:pPr>
              <w:widowControl/>
              <w:spacing w:line="240" w:lineRule="auto"/>
              <w:textAlignment w:val="center"/>
              <w:rPr>
                <w:rFonts w:hint="eastAsia" w:cs="宋体"/>
                <w:color w:val="000000"/>
              </w:rPr>
            </w:pPr>
            <w:r>
              <w:rPr>
                <w:rFonts w:hint="eastAsia" w:cs="宋体"/>
                <w:color w:val="000000"/>
                <w:kern w:val="0"/>
                <w:lang w:bidi="ar"/>
              </w:rPr>
              <w:t>1、处置规则管理：定义114类事件及手动录入事件及应急突发类事件的处置派发逻辑规则，统一管理维护事件派发规则、催办规则、协办规则、分类规则、去重规则等。实现处理规则类定义，并映射对应规则的事件，减少事件处置规则的配置工作量</w:t>
            </w:r>
            <w:r>
              <w:rPr>
                <w:rFonts w:hint="eastAsia" w:cs="宋体"/>
                <w:color w:val="000000"/>
                <w:kern w:val="0"/>
                <w:lang w:bidi="ar"/>
              </w:rPr>
              <w:br w:type="textWrapping"/>
            </w:r>
            <w:r>
              <w:rPr>
                <w:rFonts w:hint="eastAsia" w:cs="宋体"/>
                <w:color w:val="000000"/>
                <w:kern w:val="0"/>
                <w:lang w:bidi="ar"/>
              </w:rPr>
              <w:t>2、权责清单管理：实现不同部门、不同角色人员的权责清单维护管理，并支持新增录入、查询、编辑、分类、删除、停用、批量数据导入功能</w:t>
            </w:r>
          </w:p>
        </w:tc>
      </w:tr>
      <w:tr w14:paraId="4E6DF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381" w:type="pct"/>
            <w:tcBorders>
              <w:tl2br w:val="nil"/>
              <w:tr2bl w:val="nil"/>
            </w:tcBorders>
            <w:vAlign w:val="center"/>
          </w:tcPr>
          <w:p w14:paraId="18ACC47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38</w:t>
            </w:r>
          </w:p>
        </w:tc>
        <w:tc>
          <w:tcPr>
            <w:tcW w:w="447" w:type="pct"/>
            <w:vMerge w:val="continue"/>
            <w:tcBorders>
              <w:tl2br w:val="nil"/>
              <w:tr2bl w:val="nil"/>
            </w:tcBorders>
            <w:vAlign w:val="center"/>
          </w:tcPr>
          <w:p w14:paraId="7DD4C219">
            <w:pPr>
              <w:spacing w:line="240" w:lineRule="auto"/>
              <w:jc w:val="left"/>
              <w:rPr>
                <w:rFonts w:hint="eastAsia" w:cs="宋体"/>
                <w:color w:val="000000"/>
              </w:rPr>
            </w:pPr>
          </w:p>
        </w:tc>
        <w:tc>
          <w:tcPr>
            <w:tcW w:w="453" w:type="pct"/>
            <w:vMerge w:val="continue"/>
            <w:tcBorders>
              <w:tl2br w:val="nil"/>
              <w:tr2bl w:val="nil"/>
            </w:tcBorders>
            <w:vAlign w:val="center"/>
          </w:tcPr>
          <w:p w14:paraId="472DC412">
            <w:pPr>
              <w:spacing w:line="240" w:lineRule="auto"/>
              <w:jc w:val="left"/>
              <w:rPr>
                <w:rFonts w:hint="eastAsia" w:cs="宋体"/>
                <w:color w:val="000000"/>
              </w:rPr>
            </w:pPr>
          </w:p>
        </w:tc>
        <w:tc>
          <w:tcPr>
            <w:tcW w:w="429" w:type="pct"/>
            <w:tcBorders>
              <w:tl2br w:val="nil"/>
              <w:tr2bl w:val="nil"/>
            </w:tcBorders>
            <w:vAlign w:val="center"/>
          </w:tcPr>
          <w:p w14:paraId="30897AF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政策文件库</w:t>
            </w:r>
          </w:p>
        </w:tc>
        <w:tc>
          <w:tcPr>
            <w:tcW w:w="3289" w:type="pct"/>
            <w:tcBorders>
              <w:tl2br w:val="nil"/>
              <w:tr2bl w:val="nil"/>
            </w:tcBorders>
            <w:vAlign w:val="center"/>
          </w:tcPr>
          <w:p w14:paraId="0909016E">
            <w:pPr>
              <w:widowControl/>
              <w:spacing w:line="240" w:lineRule="auto"/>
              <w:textAlignment w:val="center"/>
              <w:rPr>
                <w:rFonts w:hint="eastAsia" w:cs="宋体"/>
                <w:color w:val="000000"/>
              </w:rPr>
            </w:pPr>
            <w:r>
              <w:rPr>
                <w:rFonts w:hint="eastAsia" w:cs="宋体"/>
                <w:color w:val="000000"/>
                <w:kern w:val="0"/>
                <w:lang w:bidi="ar"/>
              </w:rPr>
              <w:t>1、政策文件收集：搭建政策文件上传、网络收集等渠道，收集城市运行管理相关政策、法规、制度等文件。通过知识库的知识录入服务，为各部门和用户提供政策填报的入口，根据预置的模板，把相关的政策元素（如文件标题、行政区划、发布机构、发布日期、政策类型等）及政策文件上传到系统中，即可完成政策内容的填报。政策文件上传后后台自动识别文件内容并解析成文字。</w:t>
            </w:r>
            <w:r>
              <w:rPr>
                <w:rFonts w:hint="eastAsia" w:cs="宋体"/>
                <w:color w:val="000000"/>
                <w:kern w:val="0"/>
                <w:lang w:bidi="ar"/>
              </w:rPr>
              <w:br w:type="textWrapping"/>
            </w:r>
            <w:r>
              <w:rPr>
                <w:rFonts w:hint="eastAsia" w:cs="宋体"/>
                <w:color w:val="000000"/>
                <w:kern w:val="0"/>
                <w:lang w:bidi="ar"/>
              </w:rPr>
              <w:t>2、知识管理：面向知识管理人员提供文件和知识材料的管理功能，帮助工作人员有序、高效地管理日常工作中所需要的材料、方案文件。提供知识录入的能力，为城运热线事件、网格事件以及物联网事件等多个事件知识多种格式提供管理方式。</w:t>
            </w:r>
            <w:r>
              <w:rPr>
                <w:rFonts w:hint="eastAsia" w:cs="宋体"/>
                <w:color w:val="000000"/>
                <w:kern w:val="0"/>
                <w:lang w:bidi="ar"/>
              </w:rPr>
              <w:br w:type="textWrapping"/>
            </w:r>
            <w:r>
              <w:rPr>
                <w:rFonts w:hint="eastAsia" w:cs="宋体"/>
                <w:color w:val="000000"/>
                <w:kern w:val="0"/>
                <w:lang w:bidi="ar"/>
              </w:rPr>
              <w:t>1）公共知识库管理：在日常办公或业务办理过程中可以随时定位知识来源，推荐相关内容。工作人员在受理事件时，系统可根据关键词自动推送相似案例和处置建议，缩短响应时间。用户点击任意知识条目，即可快速查看其来源渠道、更新时间等详细信息，确保知识引用的可追溯性和可信度。</w:t>
            </w:r>
            <w:r>
              <w:rPr>
                <w:rFonts w:hint="eastAsia" w:cs="宋体"/>
                <w:color w:val="000000"/>
                <w:kern w:val="0"/>
                <w:lang w:bidi="ar"/>
              </w:rPr>
              <w:br w:type="textWrapping"/>
            </w:r>
            <w:r>
              <w:rPr>
                <w:rFonts w:hint="eastAsia" w:cs="宋体"/>
                <w:color w:val="000000"/>
                <w:kern w:val="0"/>
                <w:lang w:bidi="ar"/>
              </w:rPr>
              <w:t>2）个人知识库管理：便于公务人员个人知识日常维护。将工作中积累的学习笔记、经验总结、特色案例、政策解读资料等内容存入个人知识库，支持 Word、PDF等常见文件格式，实现碎片化知识的集中存储。公务人员输入关键词，系统能精准匹配标题、正文内容来关联相关知识。</w:t>
            </w:r>
            <w:r>
              <w:rPr>
                <w:rFonts w:hint="eastAsia" w:cs="宋体"/>
                <w:color w:val="000000"/>
                <w:kern w:val="0"/>
                <w:lang w:bidi="ar"/>
              </w:rPr>
              <w:br w:type="textWrapping"/>
            </w:r>
            <w:r>
              <w:rPr>
                <w:rFonts w:hint="eastAsia" w:cs="宋体"/>
                <w:color w:val="000000"/>
                <w:kern w:val="0"/>
                <w:lang w:bidi="ar"/>
              </w:rPr>
              <w:t>3、知识区分处理：</w:t>
            </w:r>
            <w:r>
              <w:rPr>
                <w:rFonts w:hint="eastAsia" w:cs="宋体"/>
                <w:color w:val="000000"/>
                <w:kern w:val="0"/>
                <w:lang w:bidi="ar"/>
              </w:rPr>
              <w:br w:type="textWrapping"/>
            </w:r>
            <w:r>
              <w:rPr>
                <w:rFonts w:hint="eastAsia" w:cs="宋体"/>
                <w:color w:val="000000"/>
                <w:kern w:val="0"/>
                <w:lang w:bidi="ar"/>
              </w:rPr>
              <w:t>1）QA对管理，对用户梳理的常见问题QA对进行管理,以列表的形式进行呈现；列表中，支持对每一个QA进行编辑、删除操作。</w:t>
            </w:r>
            <w:r>
              <w:rPr>
                <w:rFonts w:hint="eastAsia" w:cs="宋体"/>
                <w:color w:val="000000"/>
                <w:kern w:val="0"/>
                <w:lang w:bidi="ar"/>
              </w:rPr>
              <w:br w:type="textWrapping"/>
            </w:r>
            <w:r>
              <w:rPr>
                <w:rFonts w:hint="eastAsia" w:cs="宋体"/>
                <w:color w:val="000000"/>
                <w:kern w:val="0"/>
                <w:lang w:bidi="ar"/>
              </w:rPr>
              <w:t>2）便民电话管理，对用户梳理的便民电话信息进行管理，支持以excel的形式进行批量上传，支持单个添加，以列表的形式进行呈现；列表中，支持对每一个便民电话进行修改、删除操作；便民电话，可实现全部字段展示。</w:t>
            </w:r>
            <w:r>
              <w:rPr>
                <w:rFonts w:hint="eastAsia" w:cs="宋体"/>
                <w:color w:val="000000"/>
                <w:kern w:val="0"/>
                <w:lang w:bidi="ar"/>
              </w:rPr>
              <w:br w:type="textWrapping"/>
            </w:r>
            <w:r>
              <w:rPr>
                <w:rFonts w:hint="eastAsia" w:cs="宋体"/>
                <w:color w:val="000000"/>
                <w:kern w:val="0"/>
                <w:lang w:bidi="ar"/>
              </w:rPr>
              <w:t>3）政策文件管理，对从临港管委会官网对接过来的政策文件等信息进行管理；以列表的形式进行展现，支持新增、修改、删除操作；针对政策文件，可勾选、设置政策有效期。</w:t>
            </w:r>
            <w:r>
              <w:rPr>
                <w:rFonts w:hint="eastAsia" w:cs="宋体"/>
                <w:color w:val="000000"/>
                <w:kern w:val="0"/>
                <w:lang w:bidi="ar"/>
              </w:rPr>
              <w:br w:type="textWrapping"/>
            </w:r>
            <w:r>
              <w:rPr>
                <w:rFonts w:hint="eastAsia" w:cs="宋体"/>
                <w:color w:val="000000"/>
                <w:kern w:val="0"/>
                <w:lang w:bidi="ar"/>
              </w:rPr>
              <w:t>4）内部知识管理。对城运中心的内部知识，包括三定方案、事权清单、派单方向、机制、培训材料等文件进行管理。并可实现内部学习资料增加、群诉、周报。</w:t>
            </w:r>
            <w:r>
              <w:rPr>
                <w:rFonts w:hint="eastAsia" w:cs="宋体"/>
                <w:color w:val="000000"/>
                <w:kern w:val="0"/>
                <w:lang w:bidi="ar"/>
              </w:rPr>
              <w:br w:type="textWrapping"/>
            </w:r>
            <w:r>
              <w:rPr>
                <w:rFonts w:hint="eastAsia" w:cs="宋体"/>
                <w:color w:val="000000"/>
                <w:kern w:val="0"/>
                <w:lang w:bidi="ar"/>
              </w:rPr>
              <w:t>5）文件上传：会议纪要等文件上传。</w:t>
            </w:r>
          </w:p>
        </w:tc>
      </w:tr>
      <w:tr w14:paraId="21050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8" w:hRule="atLeast"/>
        </w:trPr>
        <w:tc>
          <w:tcPr>
            <w:tcW w:w="381" w:type="pct"/>
            <w:tcBorders>
              <w:tl2br w:val="nil"/>
              <w:tr2bl w:val="nil"/>
            </w:tcBorders>
            <w:vAlign w:val="center"/>
          </w:tcPr>
          <w:p w14:paraId="25401FC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39</w:t>
            </w:r>
          </w:p>
        </w:tc>
        <w:tc>
          <w:tcPr>
            <w:tcW w:w="447" w:type="pct"/>
            <w:vMerge w:val="continue"/>
            <w:tcBorders>
              <w:tl2br w:val="nil"/>
              <w:tr2bl w:val="nil"/>
            </w:tcBorders>
            <w:vAlign w:val="center"/>
          </w:tcPr>
          <w:p w14:paraId="0734F882">
            <w:pPr>
              <w:spacing w:line="240" w:lineRule="auto"/>
              <w:jc w:val="left"/>
              <w:rPr>
                <w:rFonts w:hint="eastAsia" w:cs="宋体"/>
                <w:color w:val="000000"/>
              </w:rPr>
            </w:pPr>
          </w:p>
        </w:tc>
        <w:tc>
          <w:tcPr>
            <w:tcW w:w="453" w:type="pct"/>
            <w:vMerge w:val="continue"/>
            <w:tcBorders>
              <w:tl2br w:val="nil"/>
              <w:tr2bl w:val="nil"/>
            </w:tcBorders>
            <w:vAlign w:val="center"/>
          </w:tcPr>
          <w:p w14:paraId="64337439">
            <w:pPr>
              <w:spacing w:line="240" w:lineRule="auto"/>
              <w:jc w:val="left"/>
              <w:rPr>
                <w:rFonts w:hint="eastAsia" w:cs="宋体"/>
                <w:color w:val="000000"/>
              </w:rPr>
            </w:pPr>
          </w:p>
        </w:tc>
        <w:tc>
          <w:tcPr>
            <w:tcW w:w="429" w:type="pct"/>
            <w:tcBorders>
              <w:tl2br w:val="nil"/>
              <w:tr2bl w:val="nil"/>
            </w:tcBorders>
            <w:vAlign w:val="center"/>
          </w:tcPr>
          <w:p w14:paraId="2E5AB08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知识库应用</w:t>
            </w:r>
          </w:p>
        </w:tc>
        <w:tc>
          <w:tcPr>
            <w:tcW w:w="3289" w:type="pct"/>
            <w:tcBorders>
              <w:tl2br w:val="nil"/>
              <w:tr2bl w:val="nil"/>
            </w:tcBorders>
            <w:vAlign w:val="center"/>
          </w:tcPr>
          <w:p w14:paraId="4B23B9F2">
            <w:pPr>
              <w:widowControl/>
              <w:spacing w:line="240" w:lineRule="auto"/>
              <w:ind w:firstLine="0" w:firstLineChars="0"/>
              <w:textAlignment w:val="center"/>
              <w:rPr>
                <w:rFonts w:hint="eastAsia" w:cs="宋体"/>
                <w:color w:val="000000"/>
              </w:rPr>
            </w:pPr>
            <w:r>
              <w:rPr>
                <w:rFonts w:hint="eastAsia" w:cs="宋体"/>
                <w:color w:val="000000"/>
                <w:kern w:val="0"/>
                <w:lang w:bidi="ar"/>
              </w:rPr>
              <w:t>1、知识应用：通过录入的知识数据，为业务人员提供知识阅览服务，方便员工培训学习。通过知识库的知识查询能力，实现面向多种应用场景，提供多种条件的查询功能，基于知识图谱提供政策深度检索能力，搜索结果多样化分类展现，对搜索结果进行统计分析。实现政策知识查找方便智能，解决“找不到”的问题。</w:t>
            </w:r>
            <w:r>
              <w:rPr>
                <w:rFonts w:hint="eastAsia" w:cs="宋体"/>
                <w:color w:val="000000"/>
                <w:kern w:val="0"/>
                <w:lang w:bidi="ar"/>
              </w:rPr>
              <w:br w:type="textWrapping"/>
            </w:r>
            <w:r>
              <w:rPr>
                <w:rFonts w:hint="eastAsia" w:cs="宋体"/>
                <w:color w:val="000000"/>
                <w:kern w:val="0"/>
                <w:lang w:bidi="ar"/>
              </w:rPr>
              <w:t>2、系统接口：实现用户权限集成，并提供对外知识库分享接口。公务人员可通过接口，将个人知识库中的优质知识内容，分享到公共知识库管理中，或以链接分享的形式，定向分享给其他部门。</w:t>
            </w:r>
            <w:r>
              <w:rPr>
                <w:rFonts w:hint="eastAsia" w:cs="宋体"/>
                <w:color w:val="000000"/>
                <w:kern w:val="0"/>
                <w:lang w:bidi="ar"/>
              </w:rPr>
              <w:br w:type="textWrapping"/>
            </w:r>
            <w:r>
              <w:rPr>
                <w:rFonts w:hint="eastAsia" w:cs="宋体"/>
                <w:color w:val="000000"/>
                <w:kern w:val="0"/>
                <w:lang w:bidi="ar"/>
              </w:rPr>
              <w:t>3、政策入库审核：</w:t>
            </w:r>
            <w:r>
              <w:rPr>
                <w:rFonts w:hint="eastAsia" w:cs="宋体"/>
                <w:color w:val="000000"/>
                <w:kern w:val="0"/>
                <w:lang w:bidi="ar"/>
              </w:rPr>
              <w:br w:type="textWrapping"/>
            </w:r>
            <w:r>
              <w:rPr>
                <w:rFonts w:hint="eastAsia" w:cs="宋体"/>
                <w:color w:val="000000"/>
                <w:kern w:val="0"/>
                <w:lang w:bidi="ar"/>
              </w:rPr>
              <w:t>1）入库审核规则设定。针对从管委会官网对接过来的文件，自动进入政策入库待审核列表；管理员针对待审核列表中的政策进行审核，审核通过后自动纳入知识库。</w:t>
            </w:r>
            <w:r>
              <w:rPr>
                <w:rFonts w:hint="eastAsia" w:cs="宋体"/>
                <w:color w:val="000000"/>
                <w:kern w:val="0"/>
                <w:lang w:bidi="ar"/>
              </w:rPr>
              <w:br w:type="textWrapping"/>
            </w:r>
            <w:r>
              <w:rPr>
                <w:rFonts w:hint="eastAsia" w:cs="宋体"/>
                <w:color w:val="000000"/>
                <w:kern w:val="0"/>
                <w:lang w:bidi="ar"/>
              </w:rPr>
              <w:t>2）文件审核功能中，支持文件纠错功能。</w:t>
            </w:r>
            <w:r>
              <w:rPr>
                <w:rFonts w:hint="eastAsia" w:cs="宋体"/>
                <w:color w:val="000000"/>
                <w:kern w:val="0"/>
                <w:lang w:bidi="ar"/>
              </w:rPr>
              <w:br w:type="textWrapping"/>
            </w:r>
            <w:r>
              <w:rPr>
                <w:rFonts w:hint="eastAsia" w:cs="宋体"/>
                <w:color w:val="000000"/>
                <w:kern w:val="0"/>
                <w:lang w:bidi="ar"/>
              </w:rPr>
              <w:t>3）文件有效期，注明截止日期字段。</w:t>
            </w:r>
            <w:r>
              <w:rPr>
                <w:rFonts w:hint="eastAsia" w:cs="宋体"/>
                <w:color w:val="000000"/>
                <w:kern w:val="0"/>
                <w:lang w:bidi="ar"/>
              </w:rPr>
              <w:br w:type="textWrapping"/>
            </w:r>
            <w:r>
              <w:rPr>
                <w:rFonts w:hint="eastAsia" w:cs="宋体"/>
                <w:color w:val="000000"/>
                <w:kern w:val="0"/>
                <w:lang w:bidi="ar"/>
              </w:rPr>
              <w:t>4）知识纠错。提供知识纠错功能，用户在使用过程中针对检索结果、知识库中的文件，可进行纠错，点击纠错按钮，在弹出框中可填写错误信息进行提交。（系统自动记录提出纠错的用户信息、文件信息及时间）</w:t>
            </w:r>
            <w:r>
              <w:rPr>
                <w:rFonts w:hint="eastAsia" w:cs="宋体"/>
                <w:color w:val="000000"/>
                <w:kern w:val="0"/>
                <w:lang w:bidi="ar"/>
              </w:rPr>
              <w:br w:type="textWrapping"/>
            </w:r>
            <w:r>
              <w:rPr>
                <w:rFonts w:hint="eastAsia" w:cs="宋体"/>
                <w:color w:val="000000"/>
                <w:kern w:val="0"/>
                <w:lang w:bidi="ar"/>
              </w:rPr>
              <w:t>5）纠错审核。管理员在纠错审核列表中对用户提交的纠错信息进行审核。</w:t>
            </w:r>
            <w:r>
              <w:rPr>
                <w:rFonts w:hint="eastAsia" w:cs="宋体"/>
                <w:color w:val="000000"/>
                <w:kern w:val="0"/>
                <w:lang w:bidi="ar"/>
              </w:rPr>
              <w:br w:type="textWrapping"/>
            </w:r>
            <w:r>
              <w:rPr>
                <w:rFonts w:hint="eastAsia" w:cs="宋体"/>
                <w:color w:val="000000"/>
                <w:kern w:val="0"/>
                <w:lang w:bidi="ar"/>
              </w:rPr>
              <w:t>4、文件目录自定义管理。支持对文件目录进行自定义管理，支持自定义创建、修改、删除目录（支持二级目录），此功能仅管理员账号具备权限。</w:t>
            </w:r>
          </w:p>
        </w:tc>
      </w:tr>
      <w:tr w14:paraId="1505F4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8" w:hRule="atLeast"/>
        </w:trPr>
        <w:tc>
          <w:tcPr>
            <w:tcW w:w="381" w:type="pct"/>
            <w:tcBorders>
              <w:tl2br w:val="nil"/>
              <w:tr2bl w:val="nil"/>
            </w:tcBorders>
            <w:vAlign w:val="center"/>
          </w:tcPr>
          <w:p w14:paraId="400D979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40</w:t>
            </w:r>
          </w:p>
        </w:tc>
        <w:tc>
          <w:tcPr>
            <w:tcW w:w="447" w:type="pct"/>
            <w:vMerge w:val="continue"/>
            <w:tcBorders>
              <w:tl2br w:val="nil"/>
              <w:tr2bl w:val="nil"/>
            </w:tcBorders>
            <w:vAlign w:val="center"/>
          </w:tcPr>
          <w:p w14:paraId="447A53D5">
            <w:pPr>
              <w:spacing w:line="240" w:lineRule="auto"/>
              <w:jc w:val="left"/>
              <w:rPr>
                <w:rFonts w:hint="eastAsia" w:cs="宋体"/>
                <w:color w:val="000000"/>
              </w:rPr>
            </w:pPr>
          </w:p>
        </w:tc>
        <w:tc>
          <w:tcPr>
            <w:tcW w:w="453" w:type="pct"/>
            <w:vMerge w:val="continue"/>
            <w:tcBorders>
              <w:tl2br w:val="nil"/>
              <w:tr2bl w:val="nil"/>
            </w:tcBorders>
            <w:vAlign w:val="center"/>
          </w:tcPr>
          <w:p w14:paraId="113DDBA3">
            <w:pPr>
              <w:spacing w:line="240" w:lineRule="auto"/>
              <w:jc w:val="left"/>
              <w:rPr>
                <w:rFonts w:hint="eastAsia" w:cs="宋体"/>
                <w:color w:val="000000"/>
              </w:rPr>
            </w:pPr>
          </w:p>
        </w:tc>
        <w:tc>
          <w:tcPr>
            <w:tcW w:w="429" w:type="pct"/>
            <w:tcBorders>
              <w:tl2br w:val="nil"/>
              <w:tr2bl w:val="nil"/>
            </w:tcBorders>
            <w:vAlign w:val="center"/>
          </w:tcPr>
          <w:p w14:paraId="039D9D1E">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知识检索引擎</w:t>
            </w:r>
          </w:p>
        </w:tc>
        <w:tc>
          <w:tcPr>
            <w:tcW w:w="3289" w:type="pct"/>
            <w:tcBorders>
              <w:tl2br w:val="nil"/>
              <w:tr2bl w:val="nil"/>
            </w:tcBorders>
            <w:vAlign w:val="center"/>
          </w:tcPr>
          <w:p w14:paraId="028117B5">
            <w:pPr>
              <w:widowControl/>
              <w:spacing w:line="240" w:lineRule="auto"/>
              <w:ind w:firstLine="0" w:firstLineChars="0"/>
              <w:textAlignment w:val="center"/>
              <w:rPr>
                <w:rFonts w:hint="eastAsia" w:cs="宋体"/>
                <w:color w:val="000000"/>
              </w:rPr>
            </w:pPr>
            <w:r>
              <w:rPr>
                <w:rFonts w:hint="eastAsia" w:cs="宋体"/>
                <w:color w:val="000000"/>
                <w:kern w:val="0"/>
                <w:lang w:bidi="ar"/>
              </w:rPr>
              <w:t>1.全文检索：提供便捷的检索功能，支持按照关键字在知识库中进行全文检索，检索内容以列表的形式进行呈现（按照一级目录|二级目录|文件名的形式进行呈现）。文件标题或内容中命中的关键字标黄突出显示，点击后可打在线开文件查看文件详情。搜索页上的排序问题，搜索结果中，有效的展示红色，无效的展示灰色。提供历史记录搜索，以及根据搜索文字统计最多的几条展示。</w:t>
            </w:r>
            <w:r>
              <w:rPr>
                <w:rFonts w:hint="eastAsia" w:cs="宋体"/>
                <w:color w:val="000000"/>
                <w:kern w:val="0"/>
                <w:lang w:bidi="ar"/>
              </w:rPr>
              <w:br w:type="textWrapping"/>
            </w:r>
            <w:r>
              <w:rPr>
                <w:rFonts w:hint="eastAsia" w:cs="宋体"/>
                <w:color w:val="000000"/>
                <w:kern w:val="0"/>
                <w:lang w:bidi="ar"/>
              </w:rPr>
              <w:t>2.分类检索：支持按照文件分类标签进行高效检索（文件分类及文件目录），如检索时勾选“QA”类别，</w:t>
            </w:r>
            <w:r>
              <w:rPr>
                <w:rFonts w:hint="eastAsia" w:cs="宋体"/>
                <w:color w:val="000000"/>
                <w:kern w:val="0"/>
                <w:lang w:eastAsia="zh-CN" w:bidi="ar"/>
              </w:rPr>
              <w:t>即</w:t>
            </w:r>
            <w:r>
              <w:rPr>
                <w:rFonts w:hint="eastAsia" w:cs="宋体"/>
                <w:color w:val="000000"/>
                <w:kern w:val="0"/>
                <w:lang w:bidi="ar"/>
              </w:rPr>
              <w:t>仅在“QA”列表中进行检索。</w:t>
            </w:r>
            <w:r>
              <w:rPr>
                <w:rFonts w:hint="eastAsia" w:cs="宋体"/>
                <w:color w:val="000000"/>
                <w:kern w:val="0"/>
                <w:lang w:bidi="ar"/>
              </w:rPr>
              <w:br w:type="textWrapping"/>
            </w:r>
            <w:r>
              <w:rPr>
                <w:rFonts w:hint="eastAsia" w:cs="宋体"/>
                <w:color w:val="000000"/>
                <w:kern w:val="0"/>
                <w:lang w:bidi="ar"/>
              </w:rPr>
              <w:t>3. 采用看板工具，按照处置单位做仪表盘展示，根据登录时长排名统计。</w:t>
            </w:r>
          </w:p>
        </w:tc>
      </w:tr>
      <w:tr w14:paraId="225E0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0" w:hRule="atLeast"/>
        </w:trPr>
        <w:tc>
          <w:tcPr>
            <w:tcW w:w="381" w:type="pct"/>
            <w:tcBorders>
              <w:tl2br w:val="nil"/>
              <w:tr2bl w:val="nil"/>
            </w:tcBorders>
            <w:vAlign w:val="center"/>
          </w:tcPr>
          <w:p w14:paraId="6464735C">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41</w:t>
            </w:r>
          </w:p>
        </w:tc>
        <w:tc>
          <w:tcPr>
            <w:tcW w:w="447" w:type="pct"/>
            <w:vMerge w:val="continue"/>
            <w:tcBorders>
              <w:tl2br w:val="nil"/>
              <w:tr2bl w:val="nil"/>
            </w:tcBorders>
            <w:vAlign w:val="center"/>
          </w:tcPr>
          <w:p w14:paraId="76324E94">
            <w:pPr>
              <w:spacing w:line="240" w:lineRule="auto"/>
              <w:jc w:val="left"/>
              <w:rPr>
                <w:rFonts w:hint="eastAsia" w:cs="宋体"/>
                <w:color w:val="000000"/>
              </w:rPr>
            </w:pPr>
          </w:p>
        </w:tc>
        <w:tc>
          <w:tcPr>
            <w:tcW w:w="453" w:type="pct"/>
            <w:vMerge w:val="restart"/>
            <w:tcBorders>
              <w:tl2br w:val="nil"/>
              <w:tr2bl w:val="nil"/>
            </w:tcBorders>
            <w:vAlign w:val="center"/>
          </w:tcPr>
          <w:p w14:paraId="117F16F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城运事件分析中心</w:t>
            </w:r>
          </w:p>
        </w:tc>
        <w:tc>
          <w:tcPr>
            <w:tcW w:w="429" w:type="pct"/>
            <w:tcBorders>
              <w:tl2br w:val="nil"/>
              <w:tr2bl w:val="nil"/>
            </w:tcBorders>
            <w:vAlign w:val="center"/>
          </w:tcPr>
          <w:p w14:paraId="5F7A913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重点人群诉求监管</w:t>
            </w:r>
          </w:p>
        </w:tc>
        <w:tc>
          <w:tcPr>
            <w:tcW w:w="3289" w:type="pct"/>
            <w:tcBorders>
              <w:tl2br w:val="nil"/>
              <w:tr2bl w:val="nil"/>
            </w:tcBorders>
            <w:vAlign w:val="center"/>
          </w:tcPr>
          <w:p w14:paraId="0334D857">
            <w:pPr>
              <w:widowControl/>
              <w:spacing w:line="240" w:lineRule="auto"/>
              <w:ind w:firstLine="0" w:firstLineChars="0"/>
              <w:textAlignment w:val="center"/>
              <w:rPr>
                <w:rFonts w:hint="eastAsia" w:cs="宋体"/>
                <w:color w:val="000000"/>
              </w:rPr>
            </w:pPr>
            <w:r>
              <w:rPr>
                <w:rFonts w:hint="eastAsia" w:cs="宋体"/>
                <w:color w:val="000000"/>
                <w:kern w:val="0"/>
                <w:lang w:bidi="ar"/>
              </w:rPr>
              <w:t>1、诉求数据监管：呈现一定时间内重点人群诉求的总体规模和分布情况。如工单量、办件退单量等数据，清晰展示基础业务数据，为分析提供数据支撑。</w:t>
            </w:r>
            <w:r>
              <w:rPr>
                <w:rFonts w:hint="eastAsia" w:cs="宋体"/>
                <w:color w:val="000000"/>
                <w:kern w:val="0"/>
                <w:lang w:bidi="ar"/>
              </w:rPr>
              <w:br w:type="textWrapping"/>
            </w:r>
            <w:r>
              <w:rPr>
                <w:rFonts w:hint="eastAsia" w:cs="宋体"/>
                <w:color w:val="000000"/>
                <w:kern w:val="0"/>
                <w:lang w:bidi="ar"/>
              </w:rPr>
              <w:t>2、诉求趋势分析：分析诉求在不同时间段内的分布情况，如每天、每周或每月的诉求数量。识别诉求的高发时段和变化趋势。</w:t>
            </w:r>
            <w:r>
              <w:rPr>
                <w:rFonts w:hint="eastAsia" w:cs="宋体"/>
                <w:color w:val="000000"/>
                <w:kern w:val="0"/>
                <w:lang w:bidi="ar"/>
              </w:rPr>
              <w:br w:type="textWrapping"/>
            </w:r>
            <w:r>
              <w:rPr>
                <w:rFonts w:hint="eastAsia" w:cs="宋体"/>
                <w:color w:val="000000"/>
                <w:kern w:val="0"/>
                <w:lang w:bidi="ar"/>
              </w:rPr>
              <w:t>3、诉求类别分析：按诉求类别统计工单量分布，明确不同诉求类别的工单占比情况 。</w:t>
            </w:r>
            <w:r>
              <w:rPr>
                <w:rFonts w:hint="eastAsia" w:cs="宋体"/>
                <w:color w:val="000000"/>
                <w:kern w:val="0"/>
                <w:lang w:bidi="ar"/>
              </w:rPr>
              <w:br w:type="textWrapping"/>
            </w:r>
            <w:r>
              <w:rPr>
                <w:rFonts w:hint="eastAsia" w:cs="宋体"/>
                <w:color w:val="000000"/>
                <w:kern w:val="0"/>
                <w:lang w:bidi="ar"/>
              </w:rPr>
              <w:t>4、受理单位分析：按受理单位统计工单量分析，明确受理单位的工单占比及解决情况</w:t>
            </w:r>
            <w:r>
              <w:rPr>
                <w:rFonts w:hint="eastAsia" w:cs="宋体"/>
                <w:color w:val="000000"/>
                <w:kern w:val="0"/>
                <w:lang w:bidi="ar"/>
              </w:rPr>
              <w:br w:type="textWrapping"/>
            </w:r>
            <w:r>
              <w:rPr>
                <w:rFonts w:hint="eastAsia" w:cs="宋体"/>
                <w:color w:val="000000"/>
                <w:kern w:val="0"/>
                <w:lang w:bidi="ar"/>
              </w:rPr>
              <w:t>5、历史诉求分析：支持 “一人多诉” 数据钻取，展示重点人历史投诉情况，查看关联诉求时间线，钻取数据，清晰呈现同一人诉求的时间发展脉络 。</w:t>
            </w:r>
            <w:r>
              <w:rPr>
                <w:rFonts w:hint="eastAsia" w:cs="宋体"/>
                <w:color w:val="000000"/>
                <w:kern w:val="0"/>
                <w:lang w:bidi="ar"/>
              </w:rPr>
              <w:br w:type="textWrapping"/>
            </w:r>
            <w:r>
              <w:rPr>
                <w:rFonts w:hint="eastAsia" w:cs="宋体"/>
                <w:color w:val="000000"/>
                <w:kern w:val="0"/>
                <w:lang w:bidi="ar"/>
              </w:rPr>
              <w:t>6、诉求时段分析：可追溯 “一人多诉” 诉求集中时段，定位高发周期，精准锁定诉求集中发生的高频周期 。</w:t>
            </w:r>
            <w:r>
              <w:rPr>
                <w:rFonts w:hint="eastAsia" w:cs="宋体"/>
                <w:color w:val="000000"/>
                <w:kern w:val="0"/>
                <w:lang w:bidi="ar"/>
              </w:rPr>
              <w:br w:type="textWrapping"/>
            </w:r>
            <w:r>
              <w:rPr>
                <w:rFonts w:hint="eastAsia" w:cs="宋体"/>
                <w:color w:val="000000"/>
                <w:kern w:val="0"/>
                <w:lang w:bidi="ar"/>
              </w:rPr>
              <w:t>7、诉求集中区域分析：展示 “一人多诉” 诉求集中区域，标记地理分布，展示区域分布，直观呈现诉求集中的地理范围 。</w:t>
            </w:r>
            <w:r>
              <w:rPr>
                <w:rFonts w:hint="eastAsia" w:cs="宋体"/>
                <w:color w:val="000000"/>
                <w:kern w:val="0"/>
                <w:lang w:bidi="ar"/>
              </w:rPr>
              <w:br w:type="textWrapping"/>
            </w:r>
            <w:r>
              <w:rPr>
                <w:rFonts w:hint="eastAsia" w:cs="宋体"/>
                <w:color w:val="000000"/>
                <w:kern w:val="0"/>
                <w:lang w:bidi="ar"/>
              </w:rPr>
              <w:t>8、诉求处置进度分析：可对比不同 “一人多诉” 案件处理进度，清晰掌握各案件的处理阶段差异 。</w:t>
            </w:r>
            <w:r>
              <w:rPr>
                <w:rFonts w:hint="eastAsia" w:cs="宋体"/>
                <w:color w:val="000000"/>
                <w:kern w:val="0"/>
                <w:lang w:bidi="ar"/>
              </w:rPr>
              <w:br w:type="textWrapping"/>
            </w:r>
            <w:r>
              <w:rPr>
                <w:rFonts w:hint="eastAsia" w:cs="宋体"/>
                <w:color w:val="000000"/>
                <w:kern w:val="0"/>
                <w:lang w:bidi="ar"/>
              </w:rPr>
              <w:t>9、同类诉求筛选：支持 “一人多诉” 案件批量筛选，聚焦同类诉求，快速聚合同类诉求案件开展分析 。</w:t>
            </w:r>
            <w:r>
              <w:rPr>
                <w:rFonts w:hint="eastAsia" w:cs="宋体"/>
                <w:color w:val="000000"/>
                <w:kern w:val="0"/>
                <w:lang w:bidi="ar"/>
              </w:rPr>
              <w:br w:type="textWrapping"/>
            </w:r>
            <w:r>
              <w:rPr>
                <w:rFonts w:hint="eastAsia" w:cs="宋体"/>
                <w:color w:val="000000"/>
                <w:kern w:val="0"/>
                <w:lang w:bidi="ar"/>
              </w:rPr>
              <w:t>10、重复诉求内容筛选：筛选 “一人多诉” 中重复诉求内容，聚焦诉求人反复提及的核心问题 。</w:t>
            </w:r>
          </w:p>
        </w:tc>
      </w:tr>
      <w:tr w14:paraId="12B4D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8" w:hRule="atLeast"/>
        </w:trPr>
        <w:tc>
          <w:tcPr>
            <w:tcW w:w="381" w:type="pct"/>
            <w:tcBorders>
              <w:tl2br w:val="nil"/>
              <w:tr2bl w:val="nil"/>
            </w:tcBorders>
            <w:vAlign w:val="center"/>
          </w:tcPr>
          <w:p w14:paraId="62DCB7EC">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42</w:t>
            </w:r>
          </w:p>
        </w:tc>
        <w:tc>
          <w:tcPr>
            <w:tcW w:w="447" w:type="pct"/>
            <w:vMerge w:val="continue"/>
            <w:tcBorders>
              <w:tl2br w:val="nil"/>
              <w:tr2bl w:val="nil"/>
            </w:tcBorders>
            <w:vAlign w:val="center"/>
          </w:tcPr>
          <w:p w14:paraId="5E6C89ED">
            <w:pPr>
              <w:spacing w:line="240" w:lineRule="auto"/>
              <w:jc w:val="left"/>
              <w:rPr>
                <w:rFonts w:hint="eastAsia" w:cs="宋体"/>
                <w:color w:val="000000"/>
              </w:rPr>
            </w:pPr>
          </w:p>
        </w:tc>
        <w:tc>
          <w:tcPr>
            <w:tcW w:w="453" w:type="pct"/>
            <w:vMerge w:val="continue"/>
            <w:tcBorders>
              <w:tl2br w:val="nil"/>
              <w:tr2bl w:val="nil"/>
            </w:tcBorders>
            <w:vAlign w:val="center"/>
          </w:tcPr>
          <w:p w14:paraId="3B9F3DA5">
            <w:pPr>
              <w:spacing w:line="240" w:lineRule="auto"/>
              <w:jc w:val="left"/>
              <w:rPr>
                <w:rFonts w:hint="eastAsia" w:cs="宋体"/>
                <w:color w:val="000000"/>
              </w:rPr>
            </w:pPr>
          </w:p>
        </w:tc>
        <w:tc>
          <w:tcPr>
            <w:tcW w:w="429" w:type="pct"/>
            <w:tcBorders>
              <w:tl2br w:val="nil"/>
              <w:tr2bl w:val="nil"/>
            </w:tcBorders>
            <w:vAlign w:val="center"/>
          </w:tcPr>
          <w:p w14:paraId="23435D9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多人一诉监管</w:t>
            </w:r>
          </w:p>
        </w:tc>
        <w:tc>
          <w:tcPr>
            <w:tcW w:w="3289" w:type="pct"/>
            <w:tcBorders>
              <w:tl2br w:val="nil"/>
              <w:tr2bl w:val="nil"/>
            </w:tcBorders>
            <w:vAlign w:val="center"/>
          </w:tcPr>
          <w:p w14:paraId="09F0046C">
            <w:pPr>
              <w:widowControl/>
              <w:spacing w:line="240" w:lineRule="auto"/>
              <w:ind w:firstLine="0" w:firstLineChars="0"/>
              <w:textAlignment w:val="center"/>
              <w:rPr>
                <w:rFonts w:hint="eastAsia" w:cs="宋体"/>
                <w:color w:val="000000"/>
              </w:rPr>
            </w:pPr>
            <w:r>
              <w:rPr>
                <w:rFonts w:hint="eastAsia" w:cs="宋体"/>
                <w:color w:val="000000"/>
                <w:kern w:val="0"/>
                <w:lang w:bidi="ar"/>
              </w:rPr>
              <w:t>1、诉求数据监管：呈现一定时间内多人一诉的总体规模和分布情况，如工单量、办件退单量等数据，清晰展示基础业务数据，为分析提供数据支撑。</w:t>
            </w:r>
            <w:r>
              <w:rPr>
                <w:rFonts w:hint="eastAsia" w:cs="宋体"/>
                <w:color w:val="000000"/>
                <w:kern w:val="0"/>
                <w:lang w:bidi="ar"/>
              </w:rPr>
              <w:br w:type="textWrapping"/>
            </w:r>
            <w:r>
              <w:rPr>
                <w:rFonts w:hint="eastAsia" w:cs="宋体"/>
                <w:color w:val="000000"/>
                <w:kern w:val="0"/>
                <w:lang w:bidi="ar"/>
              </w:rPr>
              <w:t>2、诉求趋势分析：分析多人一诉在不同时间段内的分布情况，如每天、每周或每月的诉求数量。识别诉求的高发时段和变化趋势。</w:t>
            </w:r>
            <w:r>
              <w:rPr>
                <w:rFonts w:hint="eastAsia" w:cs="宋体"/>
                <w:color w:val="000000"/>
                <w:kern w:val="0"/>
                <w:lang w:bidi="ar"/>
              </w:rPr>
              <w:br w:type="textWrapping"/>
            </w:r>
            <w:r>
              <w:rPr>
                <w:rFonts w:hint="eastAsia" w:cs="宋体"/>
                <w:color w:val="000000"/>
                <w:kern w:val="0"/>
                <w:lang w:bidi="ar"/>
              </w:rPr>
              <w:t>3、诉求类别分析：按诉求类别统计工单量分布，明确不同诉求类别的工单占比情况 。</w:t>
            </w:r>
            <w:r>
              <w:rPr>
                <w:rFonts w:hint="eastAsia" w:cs="宋体"/>
                <w:color w:val="000000"/>
                <w:kern w:val="0"/>
                <w:lang w:bidi="ar"/>
              </w:rPr>
              <w:br w:type="textWrapping"/>
            </w:r>
            <w:r>
              <w:rPr>
                <w:rFonts w:hint="eastAsia" w:cs="宋体"/>
                <w:color w:val="000000"/>
                <w:kern w:val="0"/>
                <w:lang w:bidi="ar"/>
              </w:rPr>
              <w:t>4、受理单位分析：按受理单位统计工单量分析，明确受理单位的工单占比及解决情况</w:t>
            </w:r>
            <w:r>
              <w:rPr>
                <w:rFonts w:hint="eastAsia" w:cs="宋体"/>
                <w:color w:val="000000"/>
                <w:kern w:val="0"/>
                <w:lang w:bidi="ar"/>
              </w:rPr>
              <w:br w:type="textWrapping"/>
            </w:r>
            <w:r>
              <w:rPr>
                <w:rFonts w:hint="eastAsia" w:cs="宋体"/>
                <w:color w:val="000000"/>
                <w:kern w:val="0"/>
                <w:lang w:bidi="ar"/>
              </w:rPr>
              <w:t>5、诉求区域分析：按区域/点位展示投诉人群分布，呈现投诉人群集中区域情况 。</w:t>
            </w:r>
            <w:r>
              <w:rPr>
                <w:rFonts w:hint="eastAsia" w:cs="宋体"/>
                <w:color w:val="000000"/>
                <w:kern w:val="0"/>
                <w:lang w:bidi="ar"/>
              </w:rPr>
              <w:br w:type="textWrapping"/>
            </w:r>
            <w:r>
              <w:rPr>
                <w:rFonts w:hint="eastAsia" w:cs="宋体"/>
                <w:color w:val="000000"/>
                <w:kern w:val="0"/>
                <w:lang w:bidi="ar"/>
              </w:rPr>
              <w:t>6、诉求处置进度分析：重点跟踪、监管不同“多人一诉”案件处理进度，清晰掌握各案件的处理阶段差异。</w:t>
            </w:r>
            <w:r>
              <w:rPr>
                <w:rFonts w:hint="eastAsia" w:cs="宋体"/>
                <w:color w:val="000000"/>
                <w:kern w:val="0"/>
                <w:lang w:bidi="ar"/>
              </w:rPr>
              <w:br w:type="textWrapping"/>
            </w:r>
            <w:r>
              <w:rPr>
                <w:rFonts w:hint="eastAsia" w:cs="宋体"/>
                <w:color w:val="000000"/>
                <w:kern w:val="0"/>
                <w:lang w:bidi="ar"/>
              </w:rPr>
              <w:t>7、重复诉求内容筛选：识别 “是否重复来电” 群体，分析群体重复来电的聚集因素 。</w:t>
            </w:r>
          </w:p>
        </w:tc>
      </w:tr>
      <w:tr w14:paraId="737BA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6" w:hRule="atLeast"/>
        </w:trPr>
        <w:tc>
          <w:tcPr>
            <w:tcW w:w="381" w:type="pct"/>
            <w:tcBorders>
              <w:tl2br w:val="nil"/>
              <w:tr2bl w:val="nil"/>
            </w:tcBorders>
            <w:vAlign w:val="center"/>
          </w:tcPr>
          <w:p w14:paraId="705A9943">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43</w:t>
            </w:r>
          </w:p>
        </w:tc>
        <w:tc>
          <w:tcPr>
            <w:tcW w:w="447" w:type="pct"/>
            <w:vMerge w:val="continue"/>
            <w:tcBorders>
              <w:tl2br w:val="nil"/>
              <w:tr2bl w:val="nil"/>
            </w:tcBorders>
            <w:vAlign w:val="center"/>
          </w:tcPr>
          <w:p w14:paraId="7CAF8F1D">
            <w:pPr>
              <w:spacing w:line="240" w:lineRule="auto"/>
              <w:jc w:val="left"/>
              <w:rPr>
                <w:rFonts w:hint="eastAsia" w:cs="宋体"/>
                <w:color w:val="000000"/>
              </w:rPr>
            </w:pPr>
          </w:p>
        </w:tc>
        <w:tc>
          <w:tcPr>
            <w:tcW w:w="453" w:type="pct"/>
            <w:vMerge w:val="continue"/>
            <w:tcBorders>
              <w:tl2br w:val="nil"/>
              <w:tr2bl w:val="nil"/>
            </w:tcBorders>
            <w:vAlign w:val="center"/>
          </w:tcPr>
          <w:p w14:paraId="010FDEF9">
            <w:pPr>
              <w:spacing w:line="240" w:lineRule="auto"/>
              <w:jc w:val="left"/>
              <w:rPr>
                <w:rFonts w:hint="eastAsia" w:cs="宋体"/>
                <w:color w:val="000000"/>
              </w:rPr>
            </w:pPr>
          </w:p>
        </w:tc>
        <w:tc>
          <w:tcPr>
            <w:tcW w:w="429" w:type="pct"/>
            <w:tcBorders>
              <w:tl2br w:val="nil"/>
              <w:tr2bl w:val="nil"/>
            </w:tcBorders>
            <w:vAlign w:val="center"/>
          </w:tcPr>
          <w:p w14:paraId="032B9C9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事件高频主体分析</w:t>
            </w:r>
          </w:p>
        </w:tc>
        <w:tc>
          <w:tcPr>
            <w:tcW w:w="3289" w:type="pct"/>
            <w:tcBorders>
              <w:tl2br w:val="nil"/>
              <w:tr2bl w:val="nil"/>
            </w:tcBorders>
            <w:vAlign w:val="center"/>
          </w:tcPr>
          <w:p w14:paraId="3E012D52">
            <w:pPr>
              <w:widowControl/>
              <w:spacing w:line="240" w:lineRule="auto"/>
              <w:ind w:firstLine="0" w:firstLineChars="0"/>
              <w:textAlignment w:val="center"/>
              <w:rPr>
                <w:rFonts w:hint="eastAsia" w:cs="宋体"/>
                <w:color w:val="000000"/>
              </w:rPr>
            </w:pPr>
            <w:r>
              <w:rPr>
                <w:rFonts w:hint="eastAsia" w:cs="宋体"/>
                <w:color w:val="000000"/>
                <w:kern w:val="0"/>
                <w:lang w:bidi="ar"/>
              </w:rPr>
              <w:t>1、事件功能匹配：对于12345热线场景，采用关键词匹配、语义分析等技术，提取一定时间内高频被投诉主体（选取重点居委、重点小区和重点企业）的事件内容；</w:t>
            </w:r>
            <w:r>
              <w:rPr>
                <w:rFonts w:hint="eastAsia" w:cs="宋体"/>
                <w:color w:val="000000"/>
                <w:kern w:val="0"/>
                <w:lang w:bidi="ar"/>
              </w:rPr>
              <w:br w:type="textWrapping"/>
            </w:r>
            <w:r>
              <w:rPr>
                <w:rFonts w:hint="eastAsia" w:cs="宋体"/>
                <w:color w:val="000000"/>
                <w:kern w:val="0"/>
                <w:lang w:bidi="ar"/>
              </w:rPr>
              <w:t>2、事件趋势分析：对于12345热线场景，从高频对象维度出发，分析高频被投诉主体（选取重点居委、重点小区和重点企业）在不同时间段内的分布情况；对于电梯、店招、AI+视频发现等场景事件，按照时间趋势，对高频主体事件数量进行统计分析，</w:t>
            </w:r>
            <w:r>
              <w:rPr>
                <w:rFonts w:hint="eastAsia" w:cs="宋体"/>
                <w:color w:val="000000"/>
                <w:kern w:val="0"/>
                <w:lang w:bidi="ar"/>
              </w:rPr>
              <w:br w:type="textWrapping"/>
            </w:r>
            <w:r>
              <w:rPr>
                <w:rFonts w:hint="eastAsia" w:cs="宋体"/>
                <w:color w:val="000000"/>
                <w:kern w:val="0"/>
                <w:lang w:bidi="ar"/>
              </w:rPr>
              <w:t>3、事件信息分析：对于12345热线场景，分析高频被投诉主体（选取重点居委、重点小区和重点企业）事件内容主题、退单率、按时办结率、解决情况比例、满意情况比例等。</w:t>
            </w:r>
            <w:r>
              <w:rPr>
                <w:rFonts w:hint="eastAsia" w:cs="宋体"/>
                <w:color w:val="000000"/>
                <w:kern w:val="0"/>
                <w:lang w:bidi="ar"/>
              </w:rPr>
              <w:br w:type="textWrapping"/>
            </w:r>
            <w:r>
              <w:rPr>
                <w:rFonts w:hint="eastAsia" w:cs="宋体"/>
                <w:color w:val="000000"/>
                <w:kern w:val="0"/>
                <w:lang w:bidi="ar"/>
              </w:rPr>
              <w:t>4、事件标签生成：关联高频主体，以临港新区热线类型为主做标注，辅助电梯、店招等场景自有标签，标注 “老旧小区”“欠薪”“业委会选举”“不作为”等类型，明确相关事件的具体场景分类。</w:t>
            </w:r>
          </w:p>
        </w:tc>
      </w:tr>
      <w:tr w14:paraId="7C995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0" w:hRule="atLeast"/>
        </w:trPr>
        <w:tc>
          <w:tcPr>
            <w:tcW w:w="381" w:type="pct"/>
            <w:tcBorders>
              <w:tl2br w:val="nil"/>
              <w:tr2bl w:val="nil"/>
            </w:tcBorders>
            <w:vAlign w:val="center"/>
          </w:tcPr>
          <w:p w14:paraId="56447E0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44</w:t>
            </w:r>
          </w:p>
        </w:tc>
        <w:tc>
          <w:tcPr>
            <w:tcW w:w="447" w:type="pct"/>
            <w:vMerge w:val="continue"/>
            <w:tcBorders>
              <w:tl2br w:val="nil"/>
              <w:tr2bl w:val="nil"/>
            </w:tcBorders>
            <w:vAlign w:val="center"/>
          </w:tcPr>
          <w:p w14:paraId="2FCA14A9">
            <w:pPr>
              <w:spacing w:line="240" w:lineRule="auto"/>
              <w:jc w:val="left"/>
              <w:rPr>
                <w:rFonts w:hint="eastAsia" w:cs="宋体"/>
                <w:color w:val="000000"/>
              </w:rPr>
            </w:pPr>
          </w:p>
        </w:tc>
        <w:tc>
          <w:tcPr>
            <w:tcW w:w="453" w:type="pct"/>
            <w:vMerge w:val="continue"/>
            <w:tcBorders>
              <w:tl2br w:val="nil"/>
              <w:tr2bl w:val="nil"/>
            </w:tcBorders>
            <w:vAlign w:val="center"/>
          </w:tcPr>
          <w:p w14:paraId="38ADF76B">
            <w:pPr>
              <w:spacing w:line="240" w:lineRule="auto"/>
              <w:jc w:val="left"/>
              <w:rPr>
                <w:rFonts w:hint="eastAsia" w:cs="宋体"/>
                <w:color w:val="000000"/>
              </w:rPr>
            </w:pPr>
          </w:p>
        </w:tc>
        <w:tc>
          <w:tcPr>
            <w:tcW w:w="429" w:type="pct"/>
            <w:tcBorders>
              <w:tl2br w:val="nil"/>
              <w:tr2bl w:val="nil"/>
            </w:tcBorders>
            <w:vAlign w:val="center"/>
          </w:tcPr>
          <w:p w14:paraId="58BDE30A">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事件集中区域分析</w:t>
            </w:r>
          </w:p>
        </w:tc>
        <w:tc>
          <w:tcPr>
            <w:tcW w:w="3289" w:type="pct"/>
            <w:tcBorders>
              <w:tl2br w:val="nil"/>
              <w:tr2bl w:val="nil"/>
            </w:tcBorders>
            <w:vAlign w:val="center"/>
          </w:tcPr>
          <w:p w14:paraId="5E0530F9">
            <w:pPr>
              <w:widowControl/>
              <w:spacing w:line="240" w:lineRule="auto"/>
              <w:ind w:firstLine="0" w:firstLineChars="0"/>
              <w:textAlignment w:val="center"/>
              <w:rPr>
                <w:rFonts w:hint="eastAsia" w:cs="宋体"/>
                <w:color w:val="000000"/>
              </w:rPr>
            </w:pPr>
            <w:r>
              <w:rPr>
                <w:rFonts w:hint="eastAsia" w:cs="宋体"/>
                <w:color w:val="000000"/>
                <w:kern w:val="0"/>
                <w:lang w:bidi="ar"/>
              </w:rPr>
              <w:t>1、同区域关联分析：提供同区域内近期事件关联提示。以街道为基本分析维度，采用饼状图的形式，直观展示各街道不同场景事件的分布情况和特征。</w:t>
            </w:r>
            <w:r>
              <w:rPr>
                <w:rFonts w:hint="eastAsia" w:cs="宋体"/>
                <w:color w:val="000000"/>
                <w:kern w:val="0"/>
                <w:lang w:bidi="ar"/>
              </w:rPr>
              <w:br w:type="textWrapping"/>
            </w:r>
            <w:r>
              <w:rPr>
                <w:rFonts w:hint="eastAsia" w:cs="宋体"/>
                <w:color w:val="000000"/>
                <w:kern w:val="0"/>
                <w:lang w:bidi="ar"/>
              </w:rPr>
              <w:t>2、事件集中统计：以街道为基本分析维度，运用数据挖掘技术对事件分类进行统计。采用柱状图的形式直观展示各街道事件分类中排名 TOP3 的事件类别。</w:t>
            </w:r>
            <w:r>
              <w:rPr>
                <w:rFonts w:hint="eastAsia" w:cs="宋体"/>
                <w:color w:val="000000"/>
                <w:kern w:val="0"/>
                <w:lang w:bidi="ar"/>
              </w:rPr>
              <w:br w:type="textWrapping"/>
            </w:r>
            <w:r>
              <w:rPr>
                <w:rFonts w:hint="eastAsia" w:cs="宋体"/>
                <w:color w:val="000000"/>
                <w:kern w:val="0"/>
                <w:lang w:bidi="ar"/>
              </w:rPr>
              <w:t>3、事件热力统计：展示单个街道 “热力值”“地址位置分布”，呈现街道内事件的强度与位置情况 。</w:t>
            </w:r>
            <w:r>
              <w:rPr>
                <w:rFonts w:hint="eastAsia" w:cs="宋体"/>
                <w:color w:val="000000"/>
                <w:kern w:val="0"/>
                <w:lang w:bidi="ar"/>
              </w:rPr>
              <w:br w:type="textWrapping"/>
            </w:r>
            <w:r>
              <w:rPr>
                <w:rFonts w:hint="eastAsia" w:cs="宋体"/>
                <w:color w:val="000000"/>
                <w:kern w:val="0"/>
                <w:lang w:bidi="ar"/>
              </w:rPr>
              <w:t>4、热点点位分析：针对主要的热点点位，结合热点点位的周边环境、人群活动规律、基础设施状况（如有）等因素进行综合分析，标注“热点点位”及成因。</w:t>
            </w:r>
            <w:r>
              <w:rPr>
                <w:rFonts w:hint="eastAsia" w:cs="宋体"/>
                <w:color w:val="000000"/>
                <w:kern w:val="0"/>
                <w:lang w:bidi="ar"/>
              </w:rPr>
              <w:br w:type="textWrapping"/>
            </w:r>
            <w:r>
              <w:rPr>
                <w:rFonts w:hint="eastAsia" w:cs="宋体"/>
                <w:color w:val="000000"/>
                <w:kern w:val="0"/>
                <w:lang w:bidi="ar"/>
              </w:rPr>
              <w:t>5、热点点位下钻：支持对热点区域的钻取操作，当点击热力图中的热点区域时，能够查看该区域的具体事件详情。</w:t>
            </w:r>
          </w:p>
        </w:tc>
      </w:tr>
      <w:tr w14:paraId="4B34A8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381" w:type="pct"/>
            <w:tcBorders>
              <w:tl2br w:val="nil"/>
              <w:tr2bl w:val="nil"/>
            </w:tcBorders>
            <w:vAlign w:val="center"/>
          </w:tcPr>
          <w:p w14:paraId="29E1F324">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45</w:t>
            </w:r>
          </w:p>
        </w:tc>
        <w:tc>
          <w:tcPr>
            <w:tcW w:w="447" w:type="pct"/>
            <w:vMerge w:val="continue"/>
            <w:tcBorders>
              <w:tl2br w:val="nil"/>
              <w:tr2bl w:val="nil"/>
            </w:tcBorders>
            <w:vAlign w:val="center"/>
          </w:tcPr>
          <w:p w14:paraId="21B4E792">
            <w:pPr>
              <w:spacing w:line="240" w:lineRule="auto"/>
              <w:jc w:val="left"/>
              <w:rPr>
                <w:rFonts w:hint="eastAsia" w:cs="宋体"/>
                <w:color w:val="000000"/>
              </w:rPr>
            </w:pPr>
          </w:p>
        </w:tc>
        <w:tc>
          <w:tcPr>
            <w:tcW w:w="453" w:type="pct"/>
            <w:vMerge w:val="continue"/>
            <w:tcBorders>
              <w:tl2br w:val="nil"/>
              <w:tr2bl w:val="nil"/>
            </w:tcBorders>
            <w:vAlign w:val="center"/>
          </w:tcPr>
          <w:p w14:paraId="22314BD1">
            <w:pPr>
              <w:spacing w:line="240" w:lineRule="auto"/>
              <w:jc w:val="left"/>
              <w:rPr>
                <w:rFonts w:hint="eastAsia" w:cs="宋体"/>
                <w:color w:val="000000"/>
              </w:rPr>
            </w:pPr>
          </w:p>
        </w:tc>
        <w:tc>
          <w:tcPr>
            <w:tcW w:w="429" w:type="pct"/>
            <w:tcBorders>
              <w:tl2br w:val="nil"/>
              <w:tr2bl w:val="nil"/>
            </w:tcBorders>
            <w:vAlign w:val="center"/>
          </w:tcPr>
          <w:p w14:paraId="7081DB6A">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事件集中事项挖掘</w:t>
            </w:r>
          </w:p>
        </w:tc>
        <w:tc>
          <w:tcPr>
            <w:tcW w:w="3289" w:type="pct"/>
            <w:tcBorders>
              <w:tl2br w:val="nil"/>
              <w:tr2bl w:val="nil"/>
            </w:tcBorders>
            <w:vAlign w:val="center"/>
          </w:tcPr>
          <w:p w14:paraId="1F3EECED">
            <w:pPr>
              <w:widowControl/>
              <w:spacing w:line="240" w:lineRule="auto"/>
              <w:ind w:firstLine="0" w:firstLineChars="0"/>
              <w:textAlignment w:val="center"/>
              <w:rPr>
                <w:rFonts w:hint="eastAsia" w:cs="宋体"/>
                <w:color w:val="000000"/>
              </w:rPr>
            </w:pPr>
            <w:r>
              <w:rPr>
                <w:rFonts w:hint="eastAsia" w:cs="宋体"/>
                <w:color w:val="000000"/>
                <w:kern w:val="0"/>
                <w:lang w:bidi="ar"/>
              </w:rPr>
              <w:t>1、事项工单标签生成：识别事件内容关键词，归类如 “物业维修”“噪音扰民” 等多个维度的事项类型。</w:t>
            </w:r>
            <w:r>
              <w:rPr>
                <w:rFonts w:hint="eastAsia" w:cs="宋体"/>
                <w:color w:val="000000"/>
                <w:kern w:val="0"/>
                <w:lang w:bidi="ar"/>
              </w:rPr>
              <w:br w:type="textWrapping"/>
            </w:r>
            <w:r>
              <w:rPr>
                <w:rFonts w:hint="eastAsia" w:cs="宋体"/>
                <w:color w:val="000000"/>
                <w:kern w:val="0"/>
                <w:lang w:bidi="ar"/>
              </w:rPr>
              <w:t>2、高频事项分析：针对反复出现/被投诉的事项，通过统计事件数量，通过设置月均事件数量阈值（如月均超20单的事项），生成“高频事项清单”。以列表形式和地图形式进行查看。</w:t>
            </w:r>
            <w:r>
              <w:rPr>
                <w:rFonts w:hint="eastAsia" w:cs="宋体"/>
                <w:color w:val="000000"/>
                <w:kern w:val="0"/>
                <w:lang w:bidi="ar"/>
              </w:rPr>
              <w:br w:type="textWrapping"/>
            </w:r>
            <w:r>
              <w:rPr>
                <w:rFonts w:hint="eastAsia" w:cs="宋体"/>
                <w:color w:val="000000"/>
                <w:kern w:val="0"/>
                <w:lang w:bidi="ar"/>
              </w:rPr>
              <w:t>3、事项解决分析：分析同类事项的解决情况和满意情况，横向对比不同末端处置力量的解决能力。</w:t>
            </w:r>
          </w:p>
        </w:tc>
      </w:tr>
      <w:tr w14:paraId="35AD5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8" w:hRule="atLeast"/>
        </w:trPr>
        <w:tc>
          <w:tcPr>
            <w:tcW w:w="381" w:type="pct"/>
            <w:tcBorders>
              <w:tl2br w:val="nil"/>
              <w:tr2bl w:val="nil"/>
            </w:tcBorders>
            <w:vAlign w:val="center"/>
          </w:tcPr>
          <w:p w14:paraId="7C8B3218">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46</w:t>
            </w:r>
          </w:p>
        </w:tc>
        <w:tc>
          <w:tcPr>
            <w:tcW w:w="447" w:type="pct"/>
            <w:vMerge w:val="continue"/>
            <w:tcBorders>
              <w:tl2br w:val="nil"/>
              <w:tr2bl w:val="nil"/>
            </w:tcBorders>
            <w:vAlign w:val="center"/>
          </w:tcPr>
          <w:p w14:paraId="19E7F69A">
            <w:pPr>
              <w:spacing w:line="240" w:lineRule="auto"/>
              <w:jc w:val="left"/>
              <w:rPr>
                <w:rFonts w:hint="eastAsia" w:cs="宋体"/>
                <w:color w:val="000000"/>
              </w:rPr>
            </w:pPr>
          </w:p>
        </w:tc>
        <w:tc>
          <w:tcPr>
            <w:tcW w:w="453" w:type="pct"/>
            <w:vMerge w:val="continue"/>
            <w:tcBorders>
              <w:tl2br w:val="nil"/>
              <w:tr2bl w:val="nil"/>
            </w:tcBorders>
            <w:vAlign w:val="center"/>
          </w:tcPr>
          <w:p w14:paraId="3E1EAF42">
            <w:pPr>
              <w:spacing w:line="240" w:lineRule="auto"/>
              <w:jc w:val="left"/>
              <w:rPr>
                <w:rFonts w:hint="eastAsia" w:cs="宋体"/>
                <w:color w:val="000000"/>
              </w:rPr>
            </w:pPr>
          </w:p>
        </w:tc>
        <w:tc>
          <w:tcPr>
            <w:tcW w:w="429" w:type="pct"/>
            <w:tcBorders>
              <w:tl2br w:val="nil"/>
              <w:tr2bl w:val="nil"/>
            </w:tcBorders>
            <w:vAlign w:val="center"/>
          </w:tcPr>
          <w:p w14:paraId="0B500CE7">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事件集中时间分析</w:t>
            </w:r>
          </w:p>
        </w:tc>
        <w:tc>
          <w:tcPr>
            <w:tcW w:w="3289" w:type="pct"/>
            <w:tcBorders>
              <w:tl2br w:val="nil"/>
              <w:tr2bl w:val="nil"/>
            </w:tcBorders>
            <w:vAlign w:val="center"/>
          </w:tcPr>
          <w:p w14:paraId="1BF2270C">
            <w:pPr>
              <w:widowControl/>
              <w:spacing w:line="240" w:lineRule="auto"/>
              <w:ind w:firstLine="0" w:firstLineChars="0"/>
              <w:textAlignment w:val="center"/>
              <w:rPr>
                <w:rFonts w:hint="eastAsia" w:cs="宋体"/>
                <w:color w:val="000000"/>
              </w:rPr>
            </w:pPr>
            <w:r>
              <w:rPr>
                <w:rFonts w:hint="eastAsia" w:cs="宋体"/>
                <w:color w:val="000000"/>
                <w:kern w:val="0"/>
                <w:lang w:bidi="ar"/>
              </w:rPr>
              <w:t>1、同时间关联分析：提供同时间内各类事件关联提示，以饼状图直观展示不同月份不同场景事件的分布占比和特征。</w:t>
            </w:r>
            <w:r>
              <w:rPr>
                <w:rFonts w:hint="eastAsia" w:cs="宋体"/>
                <w:color w:val="000000"/>
                <w:kern w:val="0"/>
                <w:lang w:bidi="ar"/>
              </w:rPr>
              <w:br w:type="textWrapping"/>
            </w:r>
            <w:r>
              <w:rPr>
                <w:rFonts w:hint="eastAsia" w:cs="宋体"/>
                <w:color w:val="000000"/>
                <w:kern w:val="0"/>
                <w:lang w:bidi="ar"/>
              </w:rPr>
              <w:t>2、时间段特征分析：选取时间段特征明显的类别，按“小时级”统计事件量，识别事件高峰等时段特征。</w:t>
            </w:r>
            <w:r>
              <w:rPr>
                <w:rFonts w:hint="eastAsia" w:cs="宋体"/>
                <w:color w:val="000000"/>
                <w:kern w:val="0"/>
                <w:lang w:bidi="ar"/>
              </w:rPr>
              <w:br w:type="textWrapping"/>
            </w:r>
            <w:r>
              <w:rPr>
                <w:rFonts w:hint="eastAsia" w:cs="宋体"/>
                <w:color w:val="000000"/>
                <w:kern w:val="0"/>
                <w:lang w:bidi="ar"/>
              </w:rPr>
              <w:t>3、时间分析：选取时间强相关性的类别，按照月份统计诉求量，识别该类别事件高峰的月份</w:t>
            </w:r>
            <w:r>
              <w:rPr>
                <w:rFonts w:hint="eastAsia" w:cs="宋体"/>
                <w:color w:val="000000"/>
                <w:kern w:val="0"/>
                <w:lang w:bidi="ar"/>
              </w:rPr>
              <w:br w:type="textWrapping"/>
            </w:r>
            <w:r>
              <w:rPr>
                <w:rFonts w:hint="eastAsia" w:cs="宋体"/>
                <w:color w:val="000000"/>
                <w:kern w:val="0"/>
                <w:lang w:bidi="ar"/>
              </w:rPr>
              <w:t>4、热点趋势分析：基于历史事件数据，根据关键词及类型对热点问题进行分析，并分析历史热点关键词，并关注新关键词的出现和发现趋势情况。</w:t>
            </w:r>
          </w:p>
        </w:tc>
      </w:tr>
      <w:tr w14:paraId="40F97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8" w:hRule="atLeast"/>
        </w:trPr>
        <w:tc>
          <w:tcPr>
            <w:tcW w:w="381" w:type="pct"/>
            <w:tcBorders>
              <w:tl2br w:val="nil"/>
              <w:tr2bl w:val="nil"/>
            </w:tcBorders>
            <w:vAlign w:val="center"/>
          </w:tcPr>
          <w:p w14:paraId="4050944E">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47</w:t>
            </w:r>
          </w:p>
        </w:tc>
        <w:tc>
          <w:tcPr>
            <w:tcW w:w="447" w:type="pct"/>
            <w:vMerge w:val="continue"/>
            <w:tcBorders>
              <w:tl2br w:val="nil"/>
              <w:tr2bl w:val="nil"/>
            </w:tcBorders>
            <w:vAlign w:val="center"/>
          </w:tcPr>
          <w:p w14:paraId="3C845DA5">
            <w:pPr>
              <w:spacing w:line="240" w:lineRule="auto"/>
              <w:jc w:val="left"/>
              <w:rPr>
                <w:rFonts w:hint="eastAsia" w:cs="宋体"/>
                <w:color w:val="000000"/>
              </w:rPr>
            </w:pPr>
          </w:p>
        </w:tc>
        <w:tc>
          <w:tcPr>
            <w:tcW w:w="453" w:type="pct"/>
            <w:vMerge w:val="continue"/>
            <w:tcBorders>
              <w:tl2br w:val="nil"/>
              <w:tr2bl w:val="nil"/>
            </w:tcBorders>
            <w:vAlign w:val="center"/>
          </w:tcPr>
          <w:p w14:paraId="409AC15B">
            <w:pPr>
              <w:spacing w:line="240" w:lineRule="auto"/>
              <w:jc w:val="left"/>
              <w:rPr>
                <w:rFonts w:hint="eastAsia" w:cs="宋体"/>
                <w:color w:val="000000"/>
              </w:rPr>
            </w:pPr>
          </w:p>
        </w:tc>
        <w:tc>
          <w:tcPr>
            <w:tcW w:w="429" w:type="pct"/>
            <w:tcBorders>
              <w:tl2br w:val="nil"/>
              <w:tr2bl w:val="nil"/>
            </w:tcBorders>
            <w:vAlign w:val="center"/>
          </w:tcPr>
          <w:p w14:paraId="17FB20AE">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城市设施设备分析</w:t>
            </w:r>
          </w:p>
        </w:tc>
        <w:tc>
          <w:tcPr>
            <w:tcW w:w="3289" w:type="pct"/>
            <w:tcBorders>
              <w:tl2br w:val="nil"/>
              <w:tr2bl w:val="nil"/>
            </w:tcBorders>
            <w:vAlign w:val="center"/>
          </w:tcPr>
          <w:p w14:paraId="6A50AA17">
            <w:pPr>
              <w:widowControl/>
              <w:spacing w:line="240" w:lineRule="auto"/>
              <w:ind w:firstLine="0" w:firstLineChars="0"/>
              <w:textAlignment w:val="center"/>
              <w:rPr>
                <w:rFonts w:hint="eastAsia" w:cs="宋体"/>
                <w:color w:val="000000"/>
              </w:rPr>
            </w:pPr>
            <w:r>
              <w:rPr>
                <w:rFonts w:hint="eastAsia" w:cs="宋体"/>
                <w:color w:val="000000"/>
                <w:kern w:val="0"/>
                <w:lang w:bidi="ar"/>
              </w:rPr>
              <w:t>1、物联运维高发分析：分析物联感知运维工单数据，挖掘高发点位反复报修/维修的设施，并进行相关展示，案件详情、报修次数、重点设施名称等。</w:t>
            </w:r>
            <w:r>
              <w:rPr>
                <w:rFonts w:hint="eastAsia" w:cs="宋体"/>
                <w:color w:val="000000"/>
                <w:kern w:val="0"/>
                <w:lang w:bidi="ar"/>
              </w:rPr>
              <w:br w:type="textWrapping"/>
            </w:r>
            <w:r>
              <w:rPr>
                <w:rFonts w:hint="eastAsia" w:cs="宋体"/>
                <w:color w:val="000000"/>
                <w:kern w:val="0"/>
                <w:lang w:bidi="ar"/>
              </w:rPr>
              <w:t>2、视监运维高发分析：分析视频监控运维工单数据，挖掘高发点位反复报修/维修的设施，并进行相关展示，案件详情、报修次数、重点设施名称等。</w:t>
            </w:r>
            <w:r>
              <w:rPr>
                <w:rFonts w:hint="eastAsia" w:cs="宋体"/>
                <w:color w:val="000000"/>
                <w:kern w:val="0"/>
                <w:lang w:bidi="ar"/>
              </w:rPr>
              <w:br w:type="textWrapping"/>
            </w:r>
            <w:r>
              <w:rPr>
                <w:rFonts w:hint="eastAsia" w:cs="宋体"/>
                <w:color w:val="000000"/>
                <w:kern w:val="0"/>
                <w:lang w:bidi="ar"/>
              </w:rPr>
              <w:t>3、网格巡查重点设施挖掘：分析网格巡查事件数据，挖掘高发点位反复报修/维修的设施，并进行相关展示，案件详情、报修次数、重点设施名称等。</w:t>
            </w:r>
            <w:r>
              <w:rPr>
                <w:rFonts w:hint="eastAsia" w:cs="宋体"/>
                <w:color w:val="000000"/>
                <w:kern w:val="0"/>
                <w:lang w:bidi="ar"/>
              </w:rPr>
              <w:br w:type="textWrapping"/>
            </w:r>
            <w:r>
              <w:rPr>
                <w:rFonts w:hint="eastAsia" w:cs="宋体"/>
                <w:color w:val="000000"/>
                <w:kern w:val="0"/>
                <w:lang w:bidi="ar"/>
              </w:rPr>
              <w:t>4、设备维修处置分析：针对重点设施反复报修/维修的情况，分析处置单位解决情况，如处置情况、是否出现久拖不决、报修原因分析等。</w:t>
            </w:r>
          </w:p>
        </w:tc>
      </w:tr>
      <w:tr w14:paraId="34D58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trPr>
        <w:tc>
          <w:tcPr>
            <w:tcW w:w="381" w:type="pct"/>
            <w:tcBorders>
              <w:tl2br w:val="nil"/>
              <w:tr2bl w:val="nil"/>
            </w:tcBorders>
            <w:vAlign w:val="center"/>
          </w:tcPr>
          <w:p w14:paraId="602D15A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48</w:t>
            </w:r>
          </w:p>
        </w:tc>
        <w:tc>
          <w:tcPr>
            <w:tcW w:w="447" w:type="pct"/>
            <w:vMerge w:val="continue"/>
            <w:tcBorders>
              <w:tl2br w:val="nil"/>
              <w:tr2bl w:val="nil"/>
            </w:tcBorders>
            <w:vAlign w:val="center"/>
          </w:tcPr>
          <w:p w14:paraId="7FAC422A">
            <w:pPr>
              <w:spacing w:line="240" w:lineRule="auto"/>
              <w:jc w:val="left"/>
              <w:rPr>
                <w:rFonts w:hint="eastAsia" w:cs="宋体"/>
                <w:color w:val="000000"/>
              </w:rPr>
            </w:pPr>
          </w:p>
        </w:tc>
        <w:tc>
          <w:tcPr>
            <w:tcW w:w="453" w:type="pct"/>
            <w:vMerge w:val="continue"/>
            <w:tcBorders>
              <w:tl2br w:val="nil"/>
              <w:tr2bl w:val="nil"/>
            </w:tcBorders>
            <w:vAlign w:val="center"/>
          </w:tcPr>
          <w:p w14:paraId="7E41616C">
            <w:pPr>
              <w:spacing w:line="240" w:lineRule="auto"/>
              <w:jc w:val="left"/>
              <w:rPr>
                <w:rFonts w:hint="eastAsia" w:cs="宋体"/>
                <w:color w:val="000000"/>
              </w:rPr>
            </w:pPr>
          </w:p>
        </w:tc>
        <w:tc>
          <w:tcPr>
            <w:tcW w:w="429" w:type="pct"/>
            <w:tcBorders>
              <w:tl2br w:val="nil"/>
              <w:tr2bl w:val="nil"/>
            </w:tcBorders>
            <w:vAlign w:val="center"/>
          </w:tcPr>
          <w:p w14:paraId="37CC0457">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城运事件地图联动</w:t>
            </w:r>
          </w:p>
        </w:tc>
        <w:tc>
          <w:tcPr>
            <w:tcW w:w="3289" w:type="pct"/>
            <w:tcBorders>
              <w:tl2br w:val="nil"/>
              <w:tr2bl w:val="nil"/>
            </w:tcBorders>
            <w:vAlign w:val="center"/>
          </w:tcPr>
          <w:p w14:paraId="3E98F5ED">
            <w:pPr>
              <w:widowControl/>
              <w:spacing w:line="240" w:lineRule="auto"/>
              <w:ind w:firstLine="0" w:firstLineChars="0"/>
              <w:textAlignment w:val="center"/>
              <w:rPr>
                <w:rFonts w:hint="eastAsia" w:cs="宋体"/>
                <w:color w:val="000000"/>
              </w:rPr>
            </w:pPr>
            <w:r>
              <w:rPr>
                <w:rFonts w:hint="eastAsia" w:cs="宋体"/>
                <w:color w:val="000000"/>
                <w:kern w:val="0"/>
                <w:lang w:bidi="ar"/>
              </w:rPr>
              <w:t>1、地图图层切换：通过图层切换的方式，在地图上显示针对热点事件的区域热力图，反映热点事件的发生频次。</w:t>
            </w:r>
            <w:r>
              <w:rPr>
                <w:rFonts w:hint="eastAsia" w:cs="宋体"/>
                <w:color w:val="000000"/>
                <w:kern w:val="0"/>
                <w:lang w:bidi="ar"/>
              </w:rPr>
              <w:br w:type="textWrapping"/>
            </w:r>
            <w:r>
              <w:rPr>
                <w:rFonts w:hint="eastAsia" w:cs="宋体"/>
                <w:color w:val="000000"/>
                <w:kern w:val="0"/>
                <w:lang w:bidi="ar"/>
              </w:rPr>
              <w:t>2、事件数据撒点：对各类含有经纬度信息的数据（和高频事件地址信息），在中央地图区域提供地图撒点功能。</w:t>
            </w:r>
            <w:r>
              <w:rPr>
                <w:rFonts w:hint="eastAsia" w:cs="宋体"/>
                <w:color w:val="000000"/>
                <w:kern w:val="0"/>
                <w:lang w:bidi="ar"/>
              </w:rPr>
              <w:br w:type="textWrapping"/>
            </w:r>
            <w:r>
              <w:rPr>
                <w:rFonts w:hint="eastAsia" w:cs="宋体"/>
                <w:color w:val="000000"/>
                <w:kern w:val="0"/>
                <w:lang w:bidi="ar"/>
              </w:rPr>
              <w:t>3、地图数据联动：图表要支持对可下钻的数据到街镇层级颗粒度进行展示，同时地图与指标图表可交互。</w:t>
            </w:r>
          </w:p>
        </w:tc>
      </w:tr>
      <w:tr w14:paraId="3CFB5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0" w:hRule="atLeast"/>
        </w:trPr>
        <w:tc>
          <w:tcPr>
            <w:tcW w:w="381" w:type="pct"/>
            <w:tcBorders>
              <w:tl2br w:val="nil"/>
              <w:tr2bl w:val="nil"/>
            </w:tcBorders>
            <w:vAlign w:val="center"/>
          </w:tcPr>
          <w:p w14:paraId="10C2C10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49</w:t>
            </w:r>
          </w:p>
        </w:tc>
        <w:tc>
          <w:tcPr>
            <w:tcW w:w="447" w:type="pct"/>
            <w:vMerge w:val="continue"/>
            <w:tcBorders>
              <w:tl2br w:val="nil"/>
              <w:tr2bl w:val="nil"/>
            </w:tcBorders>
            <w:vAlign w:val="center"/>
          </w:tcPr>
          <w:p w14:paraId="0AFA9AC2">
            <w:pPr>
              <w:spacing w:line="240" w:lineRule="auto"/>
              <w:jc w:val="left"/>
              <w:rPr>
                <w:rFonts w:hint="eastAsia" w:cs="宋体"/>
                <w:color w:val="000000"/>
              </w:rPr>
            </w:pPr>
          </w:p>
        </w:tc>
        <w:tc>
          <w:tcPr>
            <w:tcW w:w="453" w:type="pct"/>
            <w:vMerge w:val="continue"/>
            <w:tcBorders>
              <w:tl2br w:val="nil"/>
              <w:tr2bl w:val="nil"/>
            </w:tcBorders>
            <w:vAlign w:val="center"/>
          </w:tcPr>
          <w:p w14:paraId="50078B5E">
            <w:pPr>
              <w:spacing w:line="240" w:lineRule="auto"/>
              <w:jc w:val="left"/>
              <w:rPr>
                <w:rFonts w:hint="eastAsia" w:cs="宋体"/>
                <w:color w:val="000000"/>
              </w:rPr>
            </w:pPr>
          </w:p>
        </w:tc>
        <w:tc>
          <w:tcPr>
            <w:tcW w:w="429" w:type="pct"/>
            <w:tcBorders>
              <w:tl2br w:val="nil"/>
              <w:tr2bl w:val="nil"/>
            </w:tcBorders>
            <w:vAlign w:val="center"/>
          </w:tcPr>
          <w:p w14:paraId="3B26D26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辅助功能及预警</w:t>
            </w:r>
          </w:p>
        </w:tc>
        <w:tc>
          <w:tcPr>
            <w:tcW w:w="3289" w:type="pct"/>
            <w:tcBorders>
              <w:tl2br w:val="nil"/>
              <w:tr2bl w:val="nil"/>
            </w:tcBorders>
            <w:vAlign w:val="center"/>
          </w:tcPr>
          <w:p w14:paraId="3EB6CA72">
            <w:pPr>
              <w:widowControl/>
              <w:spacing w:line="240" w:lineRule="auto"/>
              <w:ind w:firstLine="0" w:firstLineChars="0"/>
              <w:textAlignment w:val="center"/>
              <w:rPr>
                <w:rFonts w:hint="eastAsia" w:cs="宋体"/>
                <w:color w:val="000000"/>
              </w:rPr>
            </w:pPr>
            <w:r>
              <w:rPr>
                <w:rFonts w:hint="eastAsia" w:cs="宋体"/>
                <w:color w:val="000000"/>
                <w:kern w:val="0"/>
                <w:lang w:bidi="ar"/>
              </w:rPr>
              <w:t>1、地址统一：针对热线工单内容地址，进行统一化工作，如关于小区/商业等的名称进行统一</w:t>
            </w:r>
            <w:r>
              <w:rPr>
                <w:rFonts w:hint="eastAsia" w:cs="宋体"/>
                <w:color w:val="000000"/>
                <w:kern w:val="0"/>
                <w:lang w:bidi="ar"/>
              </w:rPr>
              <w:br w:type="textWrapping"/>
            </w:r>
            <w:r>
              <w:rPr>
                <w:rFonts w:hint="eastAsia" w:cs="宋体"/>
                <w:color w:val="000000"/>
                <w:kern w:val="0"/>
                <w:lang w:bidi="ar"/>
              </w:rPr>
              <w:t>2、打标工作：针对一人多诉和多人一诉工单事件，进行打标工作。</w:t>
            </w:r>
            <w:r>
              <w:rPr>
                <w:rFonts w:hint="eastAsia" w:cs="宋体"/>
                <w:color w:val="000000"/>
                <w:kern w:val="0"/>
                <w:lang w:bidi="ar"/>
              </w:rPr>
              <w:br w:type="textWrapping"/>
            </w:r>
            <w:r>
              <w:rPr>
                <w:rFonts w:hint="eastAsia" w:cs="宋体"/>
                <w:color w:val="000000"/>
                <w:kern w:val="0"/>
                <w:lang w:bidi="ar"/>
              </w:rPr>
              <w:t>3、数据导出：提供一人所诉、多人一诉、被投诉对象画像、诉求集中区域/事项/时间相关图表，作为分析报告素材，为用户制作分析报告提供基础素材 。</w:t>
            </w:r>
            <w:r>
              <w:rPr>
                <w:rFonts w:hint="eastAsia" w:cs="宋体"/>
                <w:color w:val="000000"/>
                <w:kern w:val="0"/>
                <w:lang w:bidi="ar"/>
              </w:rPr>
              <w:br w:type="textWrapping"/>
            </w:r>
            <w:r>
              <w:rPr>
                <w:rFonts w:hint="eastAsia" w:cs="宋体"/>
                <w:color w:val="000000"/>
                <w:kern w:val="0"/>
                <w:lang w:bidi="ar"/>
              </w:rPr>
              <w:t>4、预警内容生成：生成一人多诉、多人一诉相关预警，一人多诉预警内容包含投诉人、工单内容、投诉时间等，多人一诉预警内容包含诉求数量、诉求内容、地址特征、解决情况等，为风险应对提供参考 。</w:t>
            </w:r>
            <w:r>
              <w:rPr>
                <w:rFonts w:hint="eastAsia" w:cs="宋体"/>
                <w:color w:val="000000"/>
                <w:kern w:val="0"/>
                <w:lang w:bidi="ar"/>
              </w:rPr>
              <w:br w:type="textWrapping"/>
            </w:r>
            <w:r>
              <w:rPr>
                <w:rFonts w:hint="eastAsia" w:cs="宋体"/>
                <w:color w:val="000000"/>
                <w:kern w:val="0"/>
                <w:lang w:bidi="ar"/>
              </w:rPr>
              <w:t>5、预警推送：设置一人多诉和多人一诉相关触发条件，如一人多诉达到4件等，如触发预警条件时，自动向事件中枢系统推送高风险案件至相关系统。</w:t>
            </w:r>
          </w:p>
        </w:tc>
      </w:tr>
      <w:tr w14:paraId="11E6A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8" w:hRule="atLeast"/>
        </w:trPr>
        <w:tc>
          <w:tcPr>
            <w:tcW w:w="381" w:type="pct"/>
            <w:tcBorders>
              <w:tl2br w:val="nil"/>
              <w:tr2bl w:val="nil"/>
            </w:tcBorders>
            <w:vAlign w:val="center"/>
          </w:tcPr>
          <w:p w14:paraId="0381FC02">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50</w:t>
            </w:r>
          </w:p>
        </w:tc>
        <w:tc>
          <w:tcPr>
            <w:tcW w:w="447" w:type="pct"/>
            <w:vMerge w:val="restart"/>
            <w:tcBorders>
              <w:tl2br w:val="nil"/>
              <w:tr2bl w:val="nil"/>
            </w:tcBorders>
            <w:vAlign w:val="center"/>
          </w:tcPr>
          <w:p w14:paraId="60AF636B">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物联感知子系统升级</w:t>
            </w:r>
          </w:p>
        </w:tc>
        <w:tc>
          <w:tcPr>
            <w:tcW w:w="453" w:type="pct"/>
            <w:tcBorders>
              <w:tl2br w:val="nil"/>
              <w:tr2bl w:val="nil"/>
            </w:tcBorders>
            <w:vAlign w:val="center"/>
          </w:tcPr>
          <w:p w14:paraId="37B9E47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预测性维护功能</w:t>
            </w:r>
          </w:p>
        </w:tc>
        <w:tc>
          <w:tcPr>
            <w:tcW w:w="429" w:type="pct"/>
            <w:tcBorders>
              <w:tl2br w:val="nil"/>
              <w:tr2bl w:val="nil"/>
            </w:tcBorders>
            <w:vAlign w:val="center"/>
          </w:tcPr>
          <w:p w14:paraId="64C6829D">
            <w:pPr>
              <w:spacing w:line="240" w:lineRule="auto"/>
              <w:jc w:val="center"/>
              <w:rPr>
                <w:rFonts w:hint="eastAsia" w:cs="宋体"/>
                <w:color w:val="000000"/>
              </w:rPr>
            </w:pPr>
          </w:p>
        </w:tc>
        <w:tc>
          <w:tcPr>
            <w:tcW w:w="3289" w:type="pct"/>
            <w:tcBorders>
              <w:tl2br w:val="nil"/>
              <w:tr2bl w:val="nil"/>
            </w:tcBorders>
            <w:vAlign w:val="center"/>
          </w:tcPr>
          <w:p w14:paraId="28210E8F">
            <w:pPr>
              <w:widowControl/>
              <w:spacing w:line="240" w:lineRule="auto"/>
              <w:ind w:firstLine="0" w:firstLineChars="0"/>
              <w:textAlignment w:val="center"/>
              <w:rPr>
                <w:rFonts w:hint="eastAsia" w:cs="宋体"/>
                <w:color w:val="000000"/>
              </w:rPr>
            </w:pPr>
            <w:r>
              <w:rPr>
                <w:rFonts w:hint="eastAsia" w:cs="宋体"/>
                <w:color w:val="000000"/>
                <w:kern w:val="0"/>
                <w:lang w:bidi="ar"/>
              </w:rPr>
              <w:t>1、临界值检测：根据设备上报的数据进行检测（实现多种条件选择）在数据濒临临界值时，实现临界值预测单创建。</w:t>
            </w:r>
            <w:r>
              <w:rPr>
                <w:rFonts w:hint="eastAsia" w:cs="宋体"/>
                <w:color w:val="000000"/>
                <w:kern w:val="0"/>
                <w:lang w:bidi="ar"/>
              </w:rPr>
              <w:br w:type="textWrapping"/>
            </w:r>
            <w:r>
              <w:rPr>
                <w:rFonts w:hint="eastAsia" w:cs="宋体"/>
                <w:color w:val="000000"/>
                <w:kern w:val="0"/>
                <w:lang w:bidi="ar"/>
              </w:rPr>
              <w:t>2、上报周期异常预测：根据设备上报行为进行检测（实现多种条件选择）在上报行为产生异常</w:t>
            </w:r>
            <w:r>
              <w:rPr>
                <w:rFonts w:hint="eastAsia" w:cs="宋体"/>
                <w:color w:val="000000"/>
                <w:kern w:val="0"/>
                <w:lang w:eastAsia="zh-CN" w:bidi="ar"/>
              </w:rPr>
              <w:t>时</w:t>
            </w:r>
            <w:r>
              <w:rPr>
                <w:rFonts w:hint="eastAsia" w:cs="宋体"/>
                <w:color w:val="000000"/>
                <w:kern w:val="0"/>
                <w:lang w:bidi="ar"/>
              </w:rPr>
              <w:t>，实现上报周期异常预测单创建。</w:t>
            </w:r>
            <w:r>
              <w:rPr>
                <w:rFonts w:hint="eastAsia" w:cs="宋体"/>
                <w:color w:val="000000"/>
                <w:kern w:val="0"/>
                <w:lang w:bidi="ar"/>
              </w:rPr>
              <w:br w:type="textWrapping"/>
            </w:r>
            <w:r>
              <w:rPr>
                <w:rFonts w:hint="eastAsia" w:cs="宋体"/>
                <w:color w:val="000000"/>
                <w:kern w:val="0"/>
                <w:lang w:bidi="ar"/>
              </w:rPr>
              <w:t>3、北向推送异常预测：根据设备北向推送进行检测（实现多种条件选择）在北向推送产生异常时，实现北向推送产生异常预测单创建。</w:t>
            </w:r>
            <w:r>
              <w:rPr>
                <w:rFonts w:hint="eastAsia" w:cs="宋体"/>
                <w:color w:val="000000"/>
                <w:kern w:val="0"/>
                <w:lang w:bidi="ar"/>
              </w:rPr>
              <w:br w:type="textWrapping"/>
            </w:r>
            <w:r>
              <w:rPr>
                <w:rFonts w:hint="eastAsia" w:cs="宋体"/>
                <w:color w:val="000000"/>
                <w:kern w:val="0"/>
                <w:lang w:bidi="ar"/>
              </w:rPr>
              <w:t>4、设备维护周期预测：根据设备生命周期规律，对需要进行周期性维护的设备实现维护周期的检测，实现按时推送设备维护单。</w:t>
            </w:r>
          </w:p>
        </w:tc>
      </w:tr>
      <w:tr w14:paraId="2B79E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731620D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51</w:t>
            </w:r>
          </w:p>
        </w:tc>
        <w:tc>
          <w:tcPr>
            <w:tcW w:w="447" w:type="pct"/>
            <w:vMerge w:val="continue"/>
            <w:tcBorders>
              <w:tl2br w:val="nil"/>
              <w:tr2bl w:val="nil"/>
            </w:tcBorders>
            <w:vAlign w:val="center"/>
          </w:tcPr>
          <w:p w14:paraId="7971B479">
            <w:pPr>
              <w:spacing w:line="240" w:lineRule="auto"/>
              <w:jc w:val="left"/>
              <w:rPr>
                <w:rFonts w:hint="eastAsia" w:cs="宋体"/>
                <w:color w:val="000000"/>
              </w:rPr>
            </w:pPr>
          </w:p>
        </w:tc>
        <w:tc>
          <w:tcPr>
            <w:tcW w:w="453" w:type="pct"/>
            <w:tcBorders>
              <w:tl2br w:val="nil"/>
              <w:tr2bl w:val="nil"/>
            </w:tcBorders>
            <w:vAlign w:val="center"/>
          </w:tcPr>
          <w:p w14:paraId="522E5078">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场景管理</w:t>
            </w:r>
          </w:p>
        </w:tc>
        <w:tc>
          <w:tcPr>
            <w:tcW w:w="429" w:type="pct"/>
            <w:tcBorders>
              <w:tl2br w:val="nil"/>
              <w:tr2bl w:val="nil"/>
            </w:tcBorders>
            <w:vAlign w:val="center"/>
          </w:tcPr>
          <w:p w14:paraId="45B7967C">
            <w:pPr>
              <w:spacing w:line="240" w:lineRule="auto"/>
              <w:jc w:val="center"/>
              <w:rPr>
                <w:rFonts w:hint="eastAsia" w:cs="宋体"/>
                <w:color w:val="000000"/>
              </w:rPr>
            </w:pPr>
          </w:p>
        </w:tc>
        <w:tc>
          <w:tcPr>
            <w:tcW w:w="3289" w:type="pct"/>
            <w:tcBorders>
              <w:tl2br w:val="nil"/>
              <w:tr2bl w:val="nil"/>
            </w:tcBorders>
            <w:vAlign w:val="center"/>
          </w:tcPr>
          <w:p w14:paraId="1749196A">
            <w:pPr>
              <w:widowControl/>
              <w:spacing w:line="240" w:lineRule="auto"/>
              <w:ind w:firstLine="0" w:firstLineChars="0"/>
              <w:textAlignment w:val="center"/>
              <w:rPr>
                <w:rFonts w:hint="eastAsia" w:cs="宋体"/>
                <w:color w:val="000000"/>
              </w:rPr>
            </w:pPr>
            <w:r>
              <w:rPr>
                <w:rFonts w:hint="eastAsia" w:cs="宋体"/>
                <w:color w:val="000000"/>
                <w:kern w:val="0"/>
                <w:lang w:bidi="ar"/>
              </w:rPr>
              <w:t>1、场景模板：支持创建场景模板，编辑</w:t>
            </w:r>
            <w:r>
              <w:rPr>
                <w:rFonts w:hint="eastAsia" w:cs="宋体"/>
                <w:color w:val="000000"/>
                <w:kern w:val="0"/>
                <w:lang w:eastAsia="zh-CN" w:bidi="ar"/>
              </w:rPr>
              <w:t>模板</w:t>
            </w:r>
            <w:r>
              <w:rPr>
                <w:rFonts w:hint="eastAsia" w:cs="宋体"/>
                <w:color w:val="000000"/>
                <w:kern w:val="0"/>
                <w:lang w:bidi="ar"/>
              </w:rPr>
              <w:t>内的内容，在后续场景创建</w:t>
            </w:r>
            <w:r>
              <w:rPr>
                <w:rFonts w:hint="eastAsia" w:cs="宋体"/>
                <w:color w:val="000000"/>
                <w:kern w:val="0"/>
                <w:lang w:eastAsia="zh-CN" w:bidi="ar"/>
              </w:rPr>
              <w:t>时</w:t>
            </w:r>
            <w:r>
              <w:rPr>
                <w:rFonts w:hint="eastAsia" w:cs="宋体"/>
                <w:color w:val="000000"/>
                <w:kern w:val="0"/>
                <w:lang w:bidi="ar"/>
              </w:rPr>
              <w:t>直接复用</w:t>
            </w:r>
            <w:r>
              <w:rPr>
                <w:rFonts w:hint="eastAsia" w:cs="宋体"/>
                <w:color w:val="000000"/>
                <w:kern w:val="0"/>
                <w:lang w:bidi="ar"/>
              </w:rPr>
              <w:br w:type="textWrapping"/>
            </w:r>
            <w:r>
              <w:rPr>
                <w:rFonts w:hint="eastAsia" w:cs="宋体"/>
                <w:color w:val="000000"/>
                <w:kern w:val="0"/>
                <w:lang w:bidi="ar"/>
              </w:rPr>
              <w:t>2、场景自定义：支持创建用户场景，在场景内选定设备，创建规则，细化设备管理。（支持场景内再创建子场景）</w:t>
            </w:r>
          </w:p>
        </w:tc>
      </w:tr>
      <w:tr w14:paraId="6874F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4B803D34">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52</w:t>
            </w:r>
          </w:p>
        </w:tc>
        <w:tc>
          <w:tcPr>
            <w:tcW w:w="447" w:type="pct"/>
            <w:vMerge w:val="continue"/>
            <w:tcBorders>
              <w:tl2br w:val="nil"/>
              <w:tr2bl w:val="nil"/>
            </w:tcBorders>
            <w:vAlign w:val="center"/>
          </w:tcPr>
          <w:p w14:paraId="579C22CA">
            <w:pPr>
              <w:spacing w:line="240" w:lineRule="auto"/>
              <w:jc w:val="left"/>
              <w:rPr>
                <w:rFonts w:hint="eastAsia" w:cs="宋体"/>
                <w:color w:val="000000"/>
              </w:rPr>
            </w:pPr>
          </w:p>
        </w:tc>
        <w:tc>
          <w:tcPr>
            <w:tcW w:w="453" w:type="pct"/>
            <w:tcBorders>
              <w:tl2br w:val="nil"/>
              <w:tr2bl w:val="nil"/>
            </w:tcBorders>
            <w:vAlign w:val="center"/>
          </w:tcPr>
          <w:p w14:paraId="3994A165">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运维监控</w:t>
            </w:r>
          </w:p>
        </w:tc>
        <w:tc>
          <w:tcPr>
            <w:tcW w:w="429" w:type="pct"/>
            <w:tcBorders>
              <w:tl2br w:val="nil"/>
              <w:tr2bl w:val="nil"/>
            </w:tcBorders>
            <w:vAlign w:val="center"/>
          </w:tcPr>
          <w:p w14:paraId="0B138E5F">
            <w:pPr>
              <w:spacing w:line="240" w:lineRule="auto"/>
              <w:jc w:val="center"/>
              <w:rPr>
                <w:rFonts w:hint="eastAsia" w:cs="宋体"/>
                <w:color w:val="000000"/>
              </w:rPr>
            </w:pPr>
          </w:p>
        </w:tc>
        <w:tc>
          <w:tcPr>
            <w:tcW w:w="3289" w:type="pct"/>
            <w:tcBorders>
              <w:tl2br w:val="nil"/>
              <w:tr2bl w:val="nil"/>
            </w:tcBorders>
            <w:vAlign w:val="center"/>
          </w:tcPr>
          <w:p w14:paraId="5AA69A42">
            <w:pPr>
              <w:widowControl/>
              <w:spacing w:line="240" w:lineRule="auto"/>
              <w:ind w:firstLine="0" w:firstLineChars="0"/>
              <w:textAlignment w:val="center"/>
              <w:rPr>
                <w:rFonts w:hint="eastAsia" w:cs="宋体"/>
                <w:color w:val="000000"/>
              </w:rPr>
            </w:pPr>
            <w:r>
              <w:rPr>
                <w:rFonts w:hint="eastAsia" w:cs="宋体"/>
                <w:color w:val="000000"/>
                <w:kern w:val="0"/>
                <w:lang w:bidi="ar"/>
              </w:rPr>
              <w:t>1、厂商管理：支持记录设备归属厂商信息，便于设备运营维护。</w:t>
            </w:r>
            <w:r>
              <w:rPr>
                <w:rFonts w:hint="eastAsia" w:cs="宋体"/>
                <w:color w:val="000000"/>
                <w:kern w:val="0"/>
                <w:lang w:bidi="ar"/>
              </w:rPr>
              <w:br w:type="textWrapping"/>
            </w:r>
            <w:r>
              <w:rPr>
                <w:rFonts w:hint="eastAsia" w:cs="宋体"/>
                <w:color w:val="000000"/>
                <w:kern w:val="0"/>
                <w:lang w:bidi="ar"/>
              </w:rPr>
              <w:t>2、在线调试：提供在线联调模拟器。</w:t>
            </w:r>
            <w:r>
              <w:rPr>
                <w:rFonts w:hint="eastAsia" w:cs="宋体"/>
                <w:color w:val="000000"/>
                <w:kern w:val="0"/>
                <w:lang w:bidi="ar"/>
              </w:rPr>
              <w:br w:type="textWrapping"/>
            </w:r>
            <w:r>
              <w:rPr>
                <w:rFonts w:hint="eastAsia" w:cs="宋体"/>
                <w:color w:val="000000"/>
                <w:kern w:val="0"/>
                <w:lang w:bidi="ar"/>
              </w:rPr>
              <w:t>3、系统监控：支持系统物理资源使用情况展示，包括CPU、磁盘等。</w:t>
            </w:r>
          </w:p>
        </w:tc>
      </w:tr>
      <w:tr w14:paraId="69D86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381" w:type="pct"/>
            <w:tcBorders>
              <w:tl2br w:val="nil"/>
              <w:tr2bl w:val="nil"/>
            </w:tcBorders>
            <w:vAlign w:val="center"/>
          </w:tcPr>
          <w:p w14:paraId="5B46F4E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53</w:t>
            </w:r>
          </w:p>
        </w:tc>
        <w:tc>
          <w:tcPr>
            <w:tcW w:w="447" w:type="pct"/>
            <w:vMerge w:val="continue"/>
            <w:tcBorders>
              <w:tl2br w:val="nil"/>
              <w:tr2bl w:val="nil"/>
            </w:tcBorders>
            <w:vAlign w:val="center"/>
          </w:tcPr>
          <w:p w14:paraId="33FBE3EE">
            <w:pPr>
              <w:spacing w:line="240" w:lineRule="auto"/>
              <w:jc w:val="left"/>
              <w:rPr>
                <w:rFonts w:hint="eastAsia" w:cs="宋体"/>
                <w:color w:val="000000"/>
              </w:rPr>
            </w:pPr>
          </w:p>
        </w:tc>
        <w:tc>
          <w:tcPr>
            <w:tcW w:w="453" w:type="pct"/>
            <w:tcBorders>
              <w:tl2br w:val="nil"/>
              <w:tr2bl w:val="nil"/>
            </w:tcBorders>
            <w:vAlign w:val="center"/>
          </w:tcPr>
          <w:p w14:paraId="14B48DE4">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离线设备入库管理</w:t>
            </w:r>
          </w:p>
        </w:tc>
        <w:tc>
          <w:tcPr>
            <w:tcW w:w="429" w:type="pct"/>
            <w:tcBorders>
              <w:tl2br w:val="nil"/>
              <w:tr2bl w:val="nil"/>
            </w:tcBorders>
            <w:vAlign w:val="center"/>
          </w:tcPr>
          <w:p w14:paraId="21E42387">
            <w:pPr>
              <w:spacing w:line="240" w:lineRule="auto"/>
              <w:jc w:val="center"/>
              <w:rPr>
                <w:rFonts w:hint="eastAsia" w:cs="宋体"/>
                <w:color w:val="000000"/>
              </w:rPr>
            </w:pPr>
          </w:p>
        </w:tc>
        <w:tc>
          <w:tcPr>
            <w:tcW w:w="3289" w:type="pct"/>
            <w:tcBorders>
              <w:tl2br w:val="nil"/>
              <w:tr2bl w:val="nil"/>
            </w:tcBorders>
            <w:vAlign w:val="center"/>
          </w:tcPr>
          <w:p w14:paraId="5B5F7B18">
            <w:pPr>
              <w:widowControl/>
              <w:spacing w:line="240" w:lineRule="auto"/>
              <w:ind w:firstLine="0" w:firstLineChars="0"/>
              <w:textAlignment w:val="center"/>
              <w:rPr>
                <w:rFonts w:hint="eastAsia" w:cs="宋体"/>
                <w:color w:val="000000"/>
              </w:rPr>
            </w:pPr>
            <w:r>
              <w:rPr>
                <w:rFonts w:hint="eastAsia" w:cs="宋体"/>
                <w:color w:val="000000"/>
                <w:kern w:val="0"/>
                <w:lang w:bidi="ar"/>
              </w:rPr>
              <w:t>暂时不用的已离线设备归入历史仓库封存（不参与计数，不参与报警），后续可一键直接恢复使用</w:t>
            </w:r>
          </w:p>
        </w:tc>
      </w:tr>
      <w:tr w14:paraId="3F7F6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4A6C6A7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54</w:t>
            </w:r>
          </w:p>
        </w:tc>
        <w:tc>
          <w:tcPr>
            <w:tcW w:w="447" w:type="pct"/>
            <w:vMerge w:val="continue"/>
            <w:tcBorders>
              <w:tl2br w:val="nil"/>
              <w:tr2bl w:val="nil"/>
            </w:tcBorders>
            <w:vAlign w:val="center"/>
          </w:tcPr>
          <w:p w14:paraId="3221403E">
            <w:pPr>
              <w:spacing w:line="240" w:lineRule="auto"/>
              <w:jc w:val="left"/>
              <w:rPr>
                <w:rFonts w:hint="eastAsia" w:cs="宋体"/>
                <w:color w:val="000000"/>
              </w:rPr>
            </w:pPr>
          </w:p>
        </w:tc>
        <w:tc>
          <w:tcPr>
            <w:tcW w:w="453" w:type="pct"/>
            <w:tcBorders>
              <w:tl2br w:val="nil"/>
              <w:tr2bl w:val="nil"/>
            </w:tcBorders>
            <w:vAlign w:val="center"/>
          </w:tcPr>
          <w:p w14:paraId="1129430A">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物联数据应用</w:t>
            </w:r>
          </w:p>
        </w:tc>
        <w:tc>
          <w:tcPr>
            <w:tcW w:w="429" w:type="pct"/>
            <w:tcBorders>
              <w:tl2br w:val="nil"/>
              <w:tr2bl w:val="nil"/>
            </w:tcBorders>
            <w:vAlign w:val="center"/>
          </w:tcPr>
          <w:p w14:paraId="1A7951B9">
            <w:pPr>
              <w:spacing w:line="240" w:lineRule="auto"/>
              <w:jc w:val="center"/>
              <w:rPr>
                <w:rFonts w:hint="eastAsia" w:cs="宋体"/>
                <w:color w:val="000000"/>
              </w:rPr>
            </w:pPr>
          </w:p>
        </w:tc>
        <w:tc>
          <w:tcPr>
            <w:tcW w:w="3289" w:type="pct"/>
            <w:tcBorders>
              <w:tl2br w:val="nil"/>
              <w:tr2bl w:val="nil"/>
            </w:tcBorders>
            <w:vAlign w:val="center"/>
          </w:tcPr>
          <w:p w14:paraId="0A7E4C3A">
            <w:pPr>
              <w:widowControl/>
              <w:spacing w:line="240" w:lineRule="auto"/>
              <w:ind w:firstLine="0" w:firstLineChars="0"/>
              <w:textAlignment w:val="center"/>
              <w:rPr>
                <w:rFonts w:hint="eastAsia" w:cs="宋体"/>
                <w:color w:val="000000"/>
              </w:rPr>
            </w:pPr>
            <w:r>
              <w:rPr>
                <w:rFonts w:hint="eastAsia" w:cs="宋体"/>
                <w:color w:val="000000"/>
                <w:kern w:val="0"/>
                <w:lang w:bidi="ar"/>
              </w:rPr>
              <w:t>1、数据查询：开发查询页面，实现多样化的数据搜索查询，实现对历史信息查询</w:t>
            </w:r>
            <w:r>
              <w:rPr>
                <w:rFonts w:hint="eastAsia" w:cs="宋体"/>
                <w:color w:val="000000"/>
                <w:kern w:val="0"/>
                <w:lang w:bidi="ar"/>
              </w:rPr>
              <w:br w:type="textWrapping"/>
            </w:r>
            <w:r>
              <w:rPr>
                <w:rFonts w:hint="eastAsia" w:cs="宋体"/>
                <w:color w:val="000000"/>
                <w:kern w:val="0"/>
                <w:lang w:bidi="ar"/>
              </w:rPr>
              <w:t>2、数据接口：开发设备情况调用接口，支持其他第三方可通过接口调用核对设备情况</w:t>
            </w:r>
          </w:p>
        </w:tc>
      </w:tr>
      <w:tr w14:paraId="1A4C2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2" w:hRule="atLeast"/>
        </w:trPr>
        <w:tc>
          <w:tcPr>
            <w:tcW w:w="381" w:type="pct"/>
            <w:tcBorders>
              <w:tl2br w:val="nil"/>
              <w:tr2bl w:val="nil"/>
            </w:tcBorders>
            <w:vAlign w:val="center"/>
          </w:tcPr>
          <w:p w14:paraId="3CCFB61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55</w:t>
            </w:r>
          </w:p>
        </w:tc>
        <w:tc>
          <w:tcPr>
            <w:tcW w:w="447" w:type="pct"/>
            <w:vMerge w:val="restart"/>
            <w:tcBorders>
              <w:tl2br w:val="nil"/>
              <w:tr2bl w:val="nil"/>
            </w:tcBorders>
            <w:vAlign w:val="center"/>
          </w:tcPr>
          <w:p w14:paraId="28260B7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视觉中枢平台</w:t>
            </w:r>
          </w:p>
        </w:tc>
        <w:tc>
          <w:tcPr>
            <w:tcW w:w="453" w:type="pct"/>
            <w:vMerge w:val="restart"/>
            <w:tcBorders>
              <w:tl2br w:val="nil"/>
              <w:tr2bl w:val="nil"/>
            </w:tcBorders>
            <w:vAlign w:val="center"/>
          </w:tcPr>
          <w:p w14:paraId="55FE0AF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视觉服务应用模块</w:t>
            </w:r>
          </w:p>
        </w:tc>
        <w:tc>
          <w:tcPr>
            <w:tcW w:w="429" w:type="pct"/>
            <w:tcBorders>
              <w:tl2br w:val="nil"/>
              <w:tr2bl w:val="nil"/>
            </w:tcBorders>
            <w:vAlign w:val="center"/>
          </w:tcPr>
          <w:p w14:paraId="6123E1E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图上调阅</w:t>
            </w:r>
          </w:p>
        </w:tc>
        <w:tc>
          <w:tcPr>
            <w:tcW w:w="3289" w:type="pct"/>
            <w:tcBorders>
              <w:tl2br w:val="nil"/>
              <w:tr2bl w:val="nil"/>
            </w:tcBorders>
            <w:vAlign w:val="center"/>
          </w:tcPr>
          <w:p w14:paraId="2EF7B143">
            <w:pPr>
              <w:widowControl/>
              <w:spacing w:line="240" w:lineRule="auto"/>
              <w:ind w:firstLine="0" w:firstLineChars="0"/>
              <w:textAlignment w:val="center"/>
              <w:rPr>
                <w:rFonts w:hint="eastAsia" w:cs="宋体"/>
                <w:color w:val="000000"/>
              </w:rPr>
            </w:pPr>
            <w:r>
              <w:rPr>
                <w:rFonts w:hint="eastAsia" w:cs="宋体"/>
                <w:color w:val="000000"/>
                <w:kern w:val="0"/>
                <w:lang w:bidi="ar"/>
              </w:rPr>
              <w:t>1、视频检索：</w:t>
            </w:r>
            <w:r>
              <w:rPr>
                <w:rFonts w:hint="eastAsia" w:cs="宋体"/>
                <w:color w:val="000000"/>
                <w:kern w:val="0"/>
                <w:lang w:bidi="ar"/>
              </w:rPr>
              <w:br w:type="textWrapping"/>
            </w:r>
            <w:r>
              <w:rPr>
                <w:rFonts w:hint="eastAsia" w:cs="宋体"/>
                <w:color w:val="000000"/>
                <w:kern w:val="0"/>
                <w:lang w:bidi="ar"/>
              </w:rPr>
              <w:t>实现通过关键字搜索设备信息，实现多个关键字组合搜索，实现拼音、首字母等方式的搜索</w:t>
            </w:r>
            <w:r>
              <w:rPr>
                <w:rFonts w:hint="eastAsia" w:cs="宋体"/>
                <w:color w:val="000000"/>
                <w:kern w:val="0"/>
                <w:lang w:bidi="ar"/>
              </w:rPr>
              <w:br w:type="textWrapping"/>
            </w:r>
            <w:r>
              <w:rPr>
                <w:rFonts w:hint="eastAsia" w:cs="宋体"/>
                <w:color w:val="000000"/>
                <w:kern w:val="0"/>
                <w:lang w:bidi="ar"/>
              </w:rPr>
              <w:t>实现搜索结果按照关键字优先排序</w:t>
            </w:r>
            <w:r>
              <w:rPr>
                <w:rFonts w:hint="eastAsia" w:cs="宋体"/>
                <w:color w:val="000000"/>
                <w:kern w:val="0"/>
                <w:lang w:bidi="ar"/>
              </w:rPr>
              <w:br w:type="textWrapping"/>
            </w:r>
            <w:r>
              <w:rPr>
                <w:rFonts w:hint="eastAsia" w:cs="宋体"/>
                <w:color w:val="000000"/>
                <w:kern w:val="0"/>
                <w:lang w:bidi="ar"/>
              </w:rPr>
              <w:t>实现通过常用标签、全量标签等视频标签筛选设备检索结果，检索结果按照调阅热度进行自动排序</w:t>
            </w:r>
            <w:r>
              <w:rPr>
                <w:rFonts w:hint="eastAsia" w:cs="宋体"/>
                <w:color w:val="000000"/>
                <w:kern w:val="0"/>
                <w:lang w:bidi="ar"/>
              </w:rPr>
              <w:br w:type="textWrapping"/>
            </w:r>
            <w:r>
              <w:rPr>
                <w:rFonts w:hint="eastAsia" w:cs="宋体"/>
                <w:color w:val="000000"/>
                <w:kern w:val="0"/>
                <w:lang w:bidi="ar"/>
              </w:rPr>
              <w:t>2、地图智搜：</w:t>
            </w:r>
            <w:r>
              <w:rPr>
                <w:rFonts w:hint="eastAsia" w:cs="宋体"/>
                <w:color w:val="000000"/>
                <w:kern w:val="0"/>
                <w:lang w:bidi="ar"/>
              </w:rPr>
              <w:br w:type="textWrapping"/>
            </w:r>
            <w:r>
              <w:rPr>
                <w:rFonts w:hint="eastAsia" w:cs="宋体"/>
                <w:color w:val="000000"/>
                <w:kern w:val="0"/>
                <w:lang w:bidi="ar"/>
              </w:rPr>
              <w:t>实现设备的GIS地图撒点功能，实现设备撒点按照行政区划聚合</w:t>
            </w:r>
            <w:r>
              <w:rPr>
                <w:rFonts w:hint="eastAsia" w:cs="宋体"/>
                <w:color w:val="000000"/>
                <w:kern w:val="0"/>
                <w:lang w:bidi="ar"/>
              </w:rPr>
              <w:br w:type="textWrapping"/>
            </w:r>
            <w:r>
              <w:rPr>
                <w:rFonts w:hint="eastAsia" w:cs="宋体"/>
                <w:color w:val="000000"/>
                <w:kern w:val="0"/>
                <w:lang w:bidi="ar"/>
              </w:rPr>
              <w:t>实现通过地图空间检索、地图兴趣点、道路、区域搜索等方式进行相关设备的地图选择</w:t>
            </w:r>
            <w:r>
              <w:rPr>
                <w:rFonts w:hint="eastAsia" w:cs="宋体"/>
                <w:color w:val="000000"/>
                <w:kern w:val="0"/>
                <w:lang w:bidi="ar"/>
              </w:rPr>
              <w:br w:type="textWrapping"/>
            </w:r>
            <w:r>
              <w:rPr>
                <w:rFonts w:hint="eastAsia" w:cs="宋体"/>
                <w:color w:val="000000"/>
                <w:kern w:val="0"/>
                <w:lang w:bidi="ar"/>
              </w:rPr>
              <w:t>实现设备GIS图层控制、地图书签、圈选框选（实现显示框选范围，例如几公里，实现自定义调整框选范围）、清除、地图复位、模式切换等基础的地图工具</w:t>
            </w:r>
          </w:p>
        </w:tc>
      </w:tr>
      <w:tr w14:paraId="26CEE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6" w:hRule="atLeast"/>
        </w:trPr>
        <w:tc>
          <w:tcPr>
            <w:tcW w:w="381" w:type="pct"/>
            <w:tcBorders>
              <w:tl2br w:val="nil"/>
              <w:tr2bl w:val="nil"/>
            </w:tcBorders>
            <w:vAlign w:val="center"/>
          </w:tcPr>
          <w:p w14:paraId="530FF817">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56</w:t>
            </w:r>
          </w:p>
        </w:tc>
        <w:tc>
          <w:tcPr>
            <w:tcW w:w="447" w:type="pct"/>
            <w:vMerge w:val="continue"/>
            <w:tcBorders>
              <w:tl2br w:val="nil"/>
              <w:tr2bl w:val="nil"/>
            </w:tcBorders>
            <w:vAlign w:val="center"/>
          </w:tcPr>
          <w:p w14:paraId="4645150A">
            <w:pPr>
              <w:spacing w:line="240" w:lineRule="auto"/>
              <w:jc w:val="left"/>
              <w:rPr>
                <w:rFonts w:hint="eastAsia" w:cs="宋体"/>
                <w:color w:val="000000"/>
              </w:rPr>
            </w:pPr>
          </w:p>
        </w:tc>
        <w:tc>
          <w:tcPr>
            <w:tcW w:w="453" w:type="pct"/>
            <w:vMerge w:val="continue"/>
            <w:tcBorders>
              <w:tl2br w:val="nil"/>
              <w:tr2bl w:val="nil"/>
            </w:tcBorders>
            <w:vAlign w:val="center"/>
          </w:tcPr>
          <w:p w14:paraId="46EF2F25">
            <w:pPr>
              <w:spacing w:line="240" w:lineRule="auto"/>
              <w:jc w:val="left"/>
              <w:rPr>
                <w:rFonts w:hint="eastAsia" w:cs="宋体"/>
                <w:color w:val="000000"/>
              </w:rPr>
            </w:pPr>
          </w:p>
        </w:tc>
        <w:tc>
          <w:tcPr>
            <w:tcW w:w="429" w:type="pct"/>
            <w:tcBorders>
              <w:tl2br w:val="nil"/>
              <w:tr2bl w:val="nil"/>
            </w:tcBorders>
            <w:vAlign w:val="center"/>
          </w:tcPr>
          <w:p w14:paraId="7744E217">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视频接力</w:t>
            </w:r>
          </w:p>
        </w:tc>
        <w:tc>
          <w:tcPr>
            <w:tcW w:w="3289" w:type="pct"/>
            <w:tcBorders>
              <w:tl2br w:val="nil"/>
              <w:tr2bl w:val="nil"/>
            </w:tcBorders>
            <w:vAlign w:val="center"/>
          </w:tcPr>
          <w:p w14:paraId="258C9477">
            <w:pPr>
              <w:widowControl/>
              <w:spacing w:line="240" w:lineRule="auto"/>
              <w:ind w:firstLine="0" w:firstLineChars="0"/>
              <w:textAlignment w:val="center"/>
              <w:rPr>
                <w:rFonts w:hint="eastAsia" w:cs="宋体"/>
                <w:color w:val="000000"/>
              </w:rPr>
            </w:pPr>
            <w:r>
              <w:rPr>
                <w:rFonts w:hint="eastAsia" w:cs="宋体"/>
                <w:color w:val="000000"/>
                <w:kern w:val="0"/>
                <w:lang w:bidi="ar"/>
              </w:rPr>
              <w:t>1、路线配置及管理：</w:t>
            </w:r>
            <w:r>
              <w:rPr>
                <w:rFonts w:hint="eastAsia" w:cs="宋体"/>
                <w:color w:val="000000"/>
                <w:kern w:val="0"/>
                <w:lang w:bidi="ar"/>
              </w:rPr>
              <w:br w:type="textWrapping"/>
            </w:r>
            <w:r>
              <w:rPr>
                <w:rFonts w:hint="eastAsia" w:cs="宋体"/>
                <w:color w:val="000000"/>
                <w:kern w:val="0"/>
                <w:lang w:bidi="ar"/>
              </w:rPr>
              <w:t>实现视频接力任务的创建、编辑与删除功能；实现在视频接力任务下进行不同接力线路的创建、编辑与删除功能；</w:t>
            </w:r>
            <w:r>
              <w:rPr>
                <w:rFonts w:hint="eastAsia" w:cs="宋体"/>
                <w:color w:val="000000"/>
                <w:kern w:val="0"/>
                <w:lang w:bidi="ar"/>
              </w:rPr>
              <w:br w:type="textWrapping"/>
            </w:r>
            <w:r>
              <w:rPr>
                <w:rFonts w:hint="eastAsia" w:cs="宋体"/>
                <w:color w:val="000000"/>
                <w:kern w:val="0"/>
                <w:lang w:bidi="ar"/>
              </w:rPr>
              <w:t>实现在视频接力任务创建时对线路的基础信息、车辆信息、GPS信息、关联设备信息进行配置；</w:t>
            </w:r>
            <w:r>
              <w:rPr>
                <w:rFonts w:hint="eastAsia" w:cs="宋体"/>
                <w:color w:val="000000"/>
                <w:kern w:val="0"/>
                <w:lang w:bidi="ar"/>
              </w:rPr>
              <w:br w:type="textWrapping"/>
            </w:r>
            <w:r>
              <w:rPr>
                <w:rFonts w:hint="eastAsia" w:cs="宋体"/>
                <w:color w:val="000000"/>
                <w:kern w:val="0"/>
                <w:lang w:bidi="ar"/>
              </w:rPr>
              <w:t>线路追踪任务配置时，关联设备时实现对设备列表进行排序，实现按线路经纬度、起终点矢量方向进行排序；</w:t>
            </w:r>
            <w:r>
              <w:rPr>
                <w:rFonts w:hint="eastAsia" w:cs="宋体"/>
                <w:color w:val="000000"/>
                <w:kern w:val="0"/>
                <w:lang w:bidi="ar"/>
              </w:rPr>
              <w:br w:type="textWrapping"/>
            </w:r>
            <w:r>
              <w:rPr>
                <w:rFonts w:hint="eastAsia" w:cs="宋体"/>
                <w:color w:val="000000"/>
                <w:kern w:val="0"/>
                <w:lang w:bidi="ar"/>
              </w:rPr>
              <w:t>实现对设备列表位置顺序进行手动拖拽调整；实现对近期接力路线任务进行查询，快速调用已存经典接力任务配置；</w:t>
            </w:r>
            <w:r>
              <w:rPr>
                <w:rFonts w:hint="eastAsia" w:cs="宋体"/>
                <w:color w:val="000000"/>
                <w:kern w:val="0"/>
                <w:lang w:bidi="ar"/>
              </w:rPr>
              <w:br w:type="textWrapping"/>
            </w:r>
            <w:r>
              <w:rPr>
                <w:rFonts w:hint="eastAsia" w:cs="宋体"/>
                <w:color w:val="000000"/>
                <w:kern w:val="0"/>
                <w:lang w:bidi="ar"/>
              </w:rPr>
              <w:t>2、任务执行：</w:t>
            </w:r>
            <w:r>
              <w:rPr>
                <w:rFonts w:hint="eastAsia" w:cs="宋体"/>
                <w:color w:val="000000"/>
                <w:kern w:val="0"/>
                <w:lang w:bidi="ar"/>
              </w:rPr>
              <w:br w:type="textWrapping"/>
            </w:r>
            <w:r>
              <w:rPr>
                <w:rFonts w:hint="eastAsia" w:cs="宋体"/>
                <w:color w:val="000000"/>
                <w:kern w:val="0"/>
                <w:lang w:bidi="ar"/>
              </w:rPr>
              <w:t>实现以模拟定位模式对视频接力线路进行执行，执行过程中实现在地图上实时展现车辆模拟定位；</w:t>
            </w:r>
            <w:r>
              <w:rPr>
                <w:rFonts w:hint="eastAsia" w:cs="宋体"/>
                <w:color w:val="000000"/>
                <w:kern w:val="0"/>
                <w:lang w:bidi="ar"/>
              </w:rPr>
              <w:br w:type="textWrapping"/>
            </w:r>
            <w:r>
              <w:rPr>
                <w:rFonts w:hint="eastAsia" w:cs="宋体"/>
                <w:color w:val="000000"/>
                <w:kern w:val="0"/>
                <w:lang w:bidi="ar"/>
              </w:rPr>
              <w:t>实现根据车辆预置速度自动切换视频画面或根据人工判断手动切换画面；</w:t>
            </w:r>
            <w:r>
              <w:rPr>
                <w:rFonts w:hint="eastAsia" w:cs="宋体"/>
                <w:color w:val="000000"/>
                <w:kern w:val="0"/>
                <w:lang w:bidi="ar"/>
              </w:rPr>
              <w:br w:type="textWrapping"/>
            </w:r>
            <w:r>
              <w:rPr>
                <w:rFonts w:hint="eastAsia" w:cs="宋体"/>
                <w:color w:val="000000"/>
                <w:kern w:val="0"/>
                <w:lang w:bidi="ar"/>
              </w:rPr>
              <w:t>实现以实时定位模式对视频接力线路进行执行，执行过程中实现在地图上实时展现车辆模拟定位；</w:t>
            </w:r>
            <w:r>
              <w:rPr>
                <w:rFonts w:hint="eastAsia" w:cs="宋体"/>
                <w:color w:val="000000"/>
                <w:kern w:val="0"/>
                <w:lang w:bidi="ar"/>
              </w:rPr>
              <w:br w:type="textWrapping"/>
            </w:r>
            <w:r>
              <w:rPr>
                <w:rFonts w:hint="eastAsia" w:cs="宋体"/>
                <w:color w:val="000000"/>
                <w:kern w:val="0"/>
                <w:lang w:bidi="ar"/>
              </w:rPr>
              <w:t>实现根据车辆实时GPS定位自动切换视频画面；</w:t>
            </w:r>
          </w:p>
        </w:tc>
      </w:tr>
      <w:tr w14:paraId="3B02B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6" w:hRule="atLeast"/>
        </w:trPr>
        <w:tc>
          <w:tcPr>
            <w:tcW w:w="381" w:type="pct"/>
            <w:tcBorders>
              <w:tl2br w:val="nil"/>
              <w:tr2bl w:val="nil"/>
            </w:tcBorders>
            <w:vAlign w:val="center"/>
          </w:tcPr>
          <w:p w14:paraId="68F6993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57</w:t>
            </w:r>
          </w:p>
        </w:tc>
        <w:tc>
          <w:tcPr>
            <w:tcW w:w="447" w:type="pct"/>
            <w:vMerge w:val="continue"/>
            <w:tcBorders>
              <w:tl2br w:val="nil"/>
              <w:tr2bl w:val="nil"/>
            </w:tcBorders>
            <w:vAlign w:val="center"/>
          </w:tcPr>
          <w:p w14:paraId="26AA2385">
            <w:pPr>
              <w:spacing w:line="240" w:lineRule="auto"/>
              <w:jc w:val="left"/>
              <w:rPr>
                <w:rFonts w:hint="eastAsia" w:cs="宋体"/>
                <w:color w:val="000000"/>
              </w:rPr>
            </w:pPr>
          </w:p>
        </w:tc>
        <w:tc>
          <w:tcPr>
            <w:tcW w:w="453" w:type="pct"/>
            <w:vMerge w:val="continue"/>
            <w:tcBorders>
              <w:tl2br w:val="nil"/>
              <w:tr2bl w:val="nil"/>
            </w:tcBorders>
            <w:vAlign w:val="center"/>
          </w:tcPr>
          <w:p w14:paraId="1149663C">
            <w:pPr>
              <w:spacing w:line="240" w:lineRule="auto"/>
              <w:jc w:val="left"/>
              <w:rPr>
                <w:rFonts w:hint="eastAsia" w:cs="宋体"/>
                <w:color w:val="000000"/>
              </w:rPr>
            </w:pPr>
          </w:p>
        </w:tc>
        <w:tc>
          <w:tcPr>
            <w:tcW w:w="429" w:type="pct"/>
            <w:tcBorders>
              <w:tl2br w:val="nil"/>
              <w:tr2bl w:val="nil"/>
            </w:tcBorders>
            <w:vAlign w:val="center"/>
          </w:tcPr>
          <w:p w14:paraId="3919A3B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视频弹幕</w:t>
            </w:r>
          </w:p>
        </w:tc>
        <w:tc>
          <w:tcPr>
            <w:tcW w:w="3289" w:type="pct"/>
            <w:tcBorders>
              <w:tl2br w:val="nil"/>
              <w:tr2bl w:val="nil"/>
            </w:tcBorders>
            <w:vAlign w:val="center"/>
          </w:tcPr>
          <w:p w14:paraId="3107AA2B">
            <w:pPr>
              <w:widowControl/>
              <w:spacing w:line="240" w:lineRule="auto"/>
              <w:ind w:firstLine="0" w:firstLineChars="0"/>
              <w:textAlignment w:val="center"/>
              <w:rPr>
                <w:rFonts w:hint="eastAsia" w:cs="宋体"/>
                <w:color w:val="000000"/>
              </w:rPr>
            </w:pPr>
            <w:r>
              <w:rPr>
                <w:rFonts w:hint="eastAsia" w:cs="宋体"/>
                <w:color w:val="000000"/>
                <w:kern w:val="0"/>
                <w:lang w:bidi="ar"/>
              </w:rPr>
              <w:t>1、弹幕显示控制：</w:t>
            </w:r>
            <w:r>
              <w:rPr>
                <w:rFonts w:hint="eastAsia" w:cs="宋体"/>
                <w:color w:val="000000"/>
                <w:kern w:val="0"/>
                <w:lang w:bidi="ar"/>
              </w:rPr>
              <w:br w:type="textWrapping"/>
            </w:r>
            <w:r>
              <w:rPr>
                <w:rFonts w:hint="eastAsia" w:cs="宋体"/>
                <w:color w:val="000000"/>
                <w:kern w:val="0"/>
                <w:lang w:bidi="ar"/>
              </w:rPr>
              <w:t>提供视频弹幕显示、位置、动效等控制能力，实现控制弹幕信息是否显示；</w:t>
            </w:r>
            <w:r>
              <w:rPr>
                <w:rFonts w:hint="eastAsia" w:cs="宋体"/>
                <w:color w:val="000000"/>
                <w:kern w:val="0"/>
                <w:lang w:bidi="ar"/>
              </w:rPr>
              <w:br w:type="textWrapping"/>
            </w:r>
            <w:r>
              <w:rPr>
                <w:rFonts w:hint="eastAsia" w:cs="宋体"/>
                <w:color w:val="000000"/>
                <w:kern w:val="0"/>
                <w:lang w:bidi="ar"/>
              </w:rPr>
              <w:t>实现控制弹幕信息在视频中所属位置；实现控制弹幕信息是否轮播及配置轮播间隔时间；</w:t>
            </w:r>
            <w:r>
              <w:rPr>
                <w:rFonts w:hint="eastAsia" w:cs="宋体"/>
                <w:color w:val="000000"/>
                <w:kern w:val="0"/>
                <w:lang w:bidi="ar"/>
              </w:rPr>
              <w:br w:type="textWrapping"/>
            </w:r>
            <w:r>
              <w:rPr>
                <w:rFonts w:hint="eastAsia" w:cs="宋体"/>
                <w:color w:val="000000"/>
                <w:kern w:val="0"/>
                <w:lang w:bidi="ar"/>
              </w:rPr>
              <w:t>实现视频轮播过程中快速弹幕编辑上屏，实现将视频AI标签作为弹幕显示应用；</w:t>
            </w:r>
            <w:r>
              <w:rPr>
                <w:rFonts w:hint="eastAsia" w:cs="宋体"/>
                <w:color w:val="000000"/>
                <w:kern w:val="0"/>
                <w:lang w:bidi="ar"/>
              </w:rPr>
              <w:br w:type="textWrapping"/>
            </w:r>
            <w:r>
              <w:rPr>
                <w:rFonts w:hint="eastAsia" w:cs="宋体"/>
                <w:color w:val="000000"/>
                <w:kern w:val="0"/>
                <w:lang w:bidi="ar"/>
              </w:rPr>
              <w:t>2、内容信息管理：</w:t>
            </w:r>
            <w:r>
              <w:rPr>
                <w:rFonts w:hint="eastAsia" w:cs="宋体"/>
                <w:color w:val="000000"/>
                <w:kern w:val="0"/>
                <w:lang w:bidi="ar"/>
              </w:rPr>
              <w:br w:type="textWrapping"/>
            </w:r>
            <w:r>
              <w:rPr>
                <w:rFonts w:hint="eastAsia" w:cs="宋体"/>
                <w:color w:val="000000"/>
                <w:kern w:val="0"/>
                <w:lang w:bidi="ar"/>
              </w:rPr>
              <w:t>提供弹幕内容配置管理，实现自定义弹幕内容；</w:t>
            </w:r>
            <w:r>
              <w:rPr>
                <w:rFonts w:hint="eastAsia" w:cs="宋体"/>
                <w:color w:val="000000"/>
                <w:kern w:val="0"/>
                <w:lang w:bidi="ar"/>
              </w:rPr>
              <w:br w:type="textWrapping"/>
            </w:r>
            <w:r>
              <w:rPr>
                <w:rFonts w:hint="eastAsia" w:cs="宋体"/>
                <w:color w:val="000000"/>
                <w:kern w:val="0"/>
                <w:lang w:bidi="ar"/>
              </w:rPr>
              <w:t>实现配置弹幕内容是否全部用户可见；</w:t>
            </w:r>
            <w:r>
              <w:rPr>
                <w:rFonts w:hint="eastAsia" w:cs="宋体"/>
                <w:color w:val="000000"/>
                <w:kern w:val="0"/>
                <w:lang w:bidi="ar"/>
              </w:rPr>
              <w:br w:type="textWrapping"/>
            </w:r>
            <w:r>
              <w:rPr>
                <w:rFonts w:hint="eastAsia" w:cs="宋体"/>
                <w:color w:val="000000"/>
                <w:kern w:val="0"/>
                <w:lang w:bidi="ar"/>
              </w:rPr>
              <w:t>实现历史弹幕数据增、删、改等操作，实现列表展示全量弹幕数据；</w:t>
            </w:r>
            <w:r>
              <w:rPr>
                <w:rFonts w:hint="eastAsia" w:cs="宋体"/>
                <w:color w:val="000000"/>
                <w:kern w:val="0"/>
                <w:lang w:bidi="ar"/>
              </w:rPr>
              <w:br w:type="textWrapping"/>
            </w:r>
            <w:r>
              <w:rPr>
                <w:rFonts w:hint="eastAsia" w:cs="宋体"/>
                <w:color w:val="000000"/>
                <w:kern w:val="0"/>
                <w:lang w:bidi="ar"/>
              </w:rPr>
              <w:t>3、快速检索点位：</w:t>
            </w:r>
            <w:r>
              <w:rPr>
                <w:rFonts w:hint="eastAsia" w:cs="宋体"/>
                <w:color w:val="000000"/>
                <w:kern w:val="0"/>
                <w:lang w:bidi="ar"/>
              </w:rPr>
              <w:br w:type="textWrapping"/>
            </w:r>
            <w:r>
              <w:rPr>
                <w:rFonts w:hint="eastAsia" w:cs="宋体"/>
                <w:color w:val="000000"/>
                <w:kern w:val="0"/>
                <w:lang w:bidi="ar"/>
              </w:rPr>
              <w:t>提供通过视频弹幕内容快速检索定位视频点位能力，实现通过设备检索栏输入弹幕文字内容，模糊检索查询</w:t>
            </w:r>
            <w:r>
              <w:rPr>
                <w:rFonts w:hint="eastAsia" w:cs="宋体"/>
                <w:color w:val="000000"/>
                <w:kern w:val="0"/>
                <w:lang w:eastAsia="zh-CN" w:bidi="ar"/>
              </w:rPr>
              <w:t>该</w:t>
            </w:r>
            <w:r>
              <w:rPr>
                <w:rFonts w:hint="eastAsia" w:cs="宋体"/>
                <w:color w:val="000000"/>
                <w:kern w:val="0"/>
                <w:lang w:bidi="ar"/>
              </w:rPr>
              <w:t>弹幕匹配的视频点位</w:t>
            </w:r>
            <w:r>
              <w:rPr>
                <w:rFonts w:hint="eastAsia" w:cs="宋体"/>
                <w:color w:val="000000"/>
                <w:kern w:val="0"/>
                <w:lang w:bidi="ar"/>
              </w:rPr>
              <w:br w:type="textWrapping"/>
            </w:r>
            <w:r>
              <w:rPr>
                <w:rFonts w:hint="eastAsia" w:cs="宋体"/>
                <w:color w:val="000000"/>
                <w:kern w:val="0"/>
                <w:lang w:bidi="ar"/>
              </w:rPr>
              <w:t>实现相同视频弹幕内容视频点位快速一键轮巡播放；实现相同视频弹幕内容视频点位快速编组专题；</w:t>
            </w:r>
            <w:r>
              <w:rPr>
                <w:rFonts w:hint="eastAsia" w:cs="宋体"/>
                <w:color w:val="000000"/>
                <w:kern w:val="0"/>
                <w:lang w:bidi="ar"/>
              </w:rPr>
              <w:br w:type="textWrapping"/>
            </w:r>
            <w:r>
              <w:rPr>
                <w:rFonts w:hint="eastAsia" w:cs="宋体"/>
                <w:color w:val="000000"/>
                <w:kern w:val="0"/>
                <w:lang w:bidi="ar"/>
              </w:rPr>
              <w:t>实现按照弹幕信息，在地图POI信息中核验比对检索，快速定位地图POI信息和周边区域视频；</w:t>
            </w:r>
          </w:p>
        </w:tc>
      </w:tr>
      <w:tr w14:paraId="2C58D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8" w:hRule="atLeast"/>
        </w:trPr>
        <w:tc>
          <w:tcPr>
            <w:tcW w:w="381" w:type="pct"/>
            <w:tcBorders>
              <w:tl2br w:val="nil"/>
              <w:tr2bl w:val="nil"/>
            </w:tcBorders>
            <w:vAlign w:val="center"/>
          </w:tcPr>
          <w:p w14:paraId="7E909B04">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58</w:t>
            </w:r>
          </w:p>
        </w:tc>
        <w:tc>
          <w:tcPr>
            <w:tcW w:w="447" w:type="pct"/>
            <w:vMerge w:val="continue"/>
            <w:tcBorders>
              <w:tl2br w:val="nil"/>
              <w:tr2bl w:val="nil"/>
            </w:tcBorders>
            <w:vAlign w:val="center"/>
          </w:tcPr>
          <w:p w14:paraId="7AD37FB9">
            <w:pPr>
              <w:spacing w:line="240" w:lineRule="auto"/>
              <w:jc w:val="left"/>
              <w:rPr>
                <w:rFonts w:hint="eastAsia" w:cs="宋体"/>
                <w:color w:val="000000"/>
              </w:rPr>
            </w:pPr>
          </w:p>
        </w:tc>
        <w:tc>
          <w:tcPr>
            <w:tcW w:w="453" w:type="pct"/>
            <w:vMerge w:val="continue"/>
            <w:tcBorders>
              <w:tl2br w:val="nil"/>
              <w:tr2bl w:val="nil"/>
            </w:tcBorders>
            <w:vAlign w:val="center"/>
          </w:tcPr>
          <w:p w14:paraId="32421E6A">
            <w:pPr>
              <w:spacing w:line="240" w:lineRule="auto"/>
              <w:jc w:val="left"/>
              <w:rPr>
                <w:rFonts w:hint="eastAsia" w:cs="宋体"/>
                <w:color w:val="000000"/>
              </w:rPr>
            </w:pPr>
          </w:p>
        </w:tc>
        <w:tc>
          <w:tcPr>
            <w:tcW w:w="429" w:type="pct"/>
            <w:tcBorders>
              <w:tl2br w:val="nil"/>
              <w:tr2bl w:val="nil"/>
            </w:tcBorders>
            <w:vAlign w:val="center"/>
          </w:tcPr>
          <w:p w14:paraId="5E1D1AA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视频画板</w:t>
            </w:r>
          </w:p>
        </w:tc>
        <w:tc>
          <w:tcPr>
            <w:tcW w:w="3289" w:type="pct"/>
            <w:tcBorders>
              <w:tl2br w:val="nil"/>
              <w:tr2bl w:val="nil"/>
            </w:tcBorders>
            <w:vAlign w:val="center"/>
          </w:tcPr>
          <w:p w14:paraId="35472E1B">
            <w:pPr>
              <w:widowControl/>
              <w:spacing w:line="240" w:lineRule="auto"/>
              <w:ind w:firstLine="0" w:firstLineChars="0"/>
              <w:textAlignment w:val="center"/>
              <w:rPr>
                <w:rFonts w:hint="eastAsia" w:cs="宋体"/>
                <w:color w:val="000000"/>
              </w:rPr>
            </w:pPr>
            <w:r>
              <w:rPr>
                <w:rFonts w:hint="eastAsia" w:cs="宋体"/>
                <w:color w:val="000000"/>
                <w:kern w:val="0"/>
                <w:lang w:bidi="ar"/>
              </w:rPr>
              <w:t>1、内容标注标记：</w:t>
            </w:r>
            <w:r>
              <w:rPr>
                <w:rFonts w:hint="eastAsia" w:cs="宋体"/>
                <w:color w:val="000000"/>
                <w:kern w:val="0"/>
                <w:lang w:bidi="ar"/>
              </w:rPr>
              <w:br w:type="textWrapping"/>
            </w:r>
            <w:r>
              <w:rPr>
                <w:rFonts w:hint="eastAsia" w:cs="宋体"/>
                <w:color w:val="000000"/>
                <w:kern w:val="0"/>
                <w:lang w:bidi="ar"/>
              </w:rPr>
              <w:t>提供不同城运指挥任务下，在单个视频画面或多个视频画面内对指挥要素信息快速标注和标记能力，实现通过文本工具为实景内容添加即时文字描述</w:t>
            </w:r>
            <w:r>
              <w:rPr>
                <w:rFonts w:hint="eastAsia" w:cs="宋体"/>
                <w:color w:val="000000"/>
                <w:kern w:val="0"/>
                <w:lang w:bidi="ar"/>
              </w:rPr>
              <w:br w:type="textWrapping"/>
            </w:r>
            <w:r>
              <w:rPr>
                <w:rFonts w:hint="eastAsia" w:cs="宋体"/>
                <w:color w:val="000000"/>
                <w:kern w:val="0"/>
                <w:lang w:bidi="ar"/>
              </w:rPr>
              <w:t>实现通过自定义箭头工具为实景画面中的道路或者人流指明方向；</w:t>
            </w:r>
            <w:r>
              <w:rPr>
                <w:rFonts w:hint="eastAsia" w:cs="宋体"/>
                <w:color w:val="000000"/>
                <w:kern w:val="0"/>
                <w:lang w:bidi="ar"/>
              </w:rPr>
              <w:br w:type="textWrapping"/>
            </w:r>
            <w:r>
              <w:rPr>
                <w:rFonts w:hint="eastAsia" w:cs="宋体"/>
                <w:color w:val="000000"/>
                <w:kern w:val="0"/>
                <w:lang w:bidi="ar"/>
              </w:rPr>
              <w:t>实现通过自定义直线工具可以在实景画面中对斑马线、道路停止线等进行标注标记；</w:t>
            </w:r>
            <w:r>
              <w:rPr>
                <w:rFonts w:hint="eastAsia" w:cs="宋体"/>
                <w:color w:val="000000"/>
                <w:kern w:val="0"/>
                <w:lang w:bidi="ar"/>
              </w:rPr>
              <w:br w:type="textWrapping"/>
            </w:r>
            <w:r>
              <w:rPr>
                <w:rFonts w:hint="eastAsia" w:cs="宋体"/>
                <w:color w:val="000000"/>
                <w:kern w:val="0"/>
                <w:lang w:bidi="ar"/>
              </w:rPr>
              <w:t>实现不同账号下指挥画板内容同步共享，实现多账号指挥画板信息同屏</w:t>
            </w:r>
            <w:r>
              <w:rPr>
                <w:rFonts w:hint="eastAsia" w:cs="宋体"/>
                <w:color w:val="000000"/>
                <w:kern w:val="0"/>
                <w:lang w:bidi="ar"/>
              </w:rPr>
              <w:br w:type="textWrapping"/>
            </w:r>
            <w:r>
              <w:rPr>
                <w:rFonts w:hint="eastAsia" w:cs="宋体"/>
                <w:color w:val="000000"/>
                <w:kern w:val="0"/>
                <w:lang w:bidi="ar"/>
              </w:rPr>
              <w:t>2内容管理：</w:t>
            </w:r>
            <w:r>
              <w:rPr>
                <w:rFonts w:hint="eastAsia" w:cs="宋体"/>
                <w:color w:val="000000"/>
                <w:kern w:val="0"/>
                <w:lang w:bidi="ar"/>
              </w:rPr>
              <w:br w:type="textWrapping"/>
            </w:r>
            <w:r>
              <w:rPr>
                <w:rFonts w:hint="eastAsia" w:cs="宋体"/>
                <w:color w:val="000000"/>
                <w:kern w:val="0"/>
                <w:lang w:bidi="ar"/>
              </w:rPr>
              <w:t>提供画板已标注画板内容管理维护功能，实现对已标注文字颜色进行配置，调整文字字号、颜色、位置等；</w:t>
            </w:r>
            <w:r>
              <w:rPr>
                <w:rFonts w:hint="eastAsia" w:cs="宋体"/>
                <w:color w:val="000000"/>
                <w:kern w:val="0"/>
                <w:lang w:bidi="ar"/>
              </w:rPr>
              <w:br w:type="textWrapping"/>
            </w:r>
            <w:r>
              <w:rPr>
                <w:rFonts w:hint="eastAsia" w:cs="宋体"/>
                <w:color w:val="000000"/>
                <w:kern w:val="0"/>
                <w:lang w:bidi="ar"/>
              </w:rPr>
              <w:t>实现对已标注剪头、线条内容进行配置，调整剪头大小、方向、位置，调整线条大小、方向、位置；</w:t>
            </w:r>
            <w:r>
              <w:rPr>
                <w:rFonts w:hint="eastAsia" w:cs="宋体"/>
                <w:color w:val="000000"/>
                <w:kern w:val="0"/>
                <w:lang w:bidi="ar"/>
              </w:rPr>
              <w:br w:type="textWrapping"/>
            </w:r>
            <w:r>
              <w:rPr>
                <w:rFonts w:hint="eastAsia" w:cs="宋体"/>
                <w:color w:val="000000"/>
                <w:kern w:val="0"/>
                <w:lang w:bidi="ar"/>
              </w:rPr>
              <w:t>实现一键清除设备上所有标注画板信息；实现已选中的单个标注信息快速删除和编辑；</w:t>
            </w:r>
          </w:p>
        </w:tc>
      </w:tr>
      <w:tr w14:paraId="63F27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0" w:hRule="atLeast"/>
        </w:trPr>
        <w:tc>
          <w:tcPr>
            <w:tcW w:w="381" w:type="pct"/>
            <w:tcBorders>
              <w:tl2br w:val="nil"/>
              <w:tr2bl w:val="nil"/>
            </w:tcBorders>
            <w:vAlign w:val="center"/>
          </w:tcPr>
          <w:p w14:paraId="4765AEB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59</w:t>
            </w:r>
          </w:p>
        </w:tc>
        <w:tc>
          <w:tcPr>
            <w:tcW w:w="447" w:type="pct"/>
            <w:vMerge w:val="continue"/>
            <w:tcBorders>
              <w:tl2br w:val="nil"/>
              <w:tr2bl w:val="nil"/>
            </w:tcBorders>
            <w:vAlign w:val="center"/>
          </w:tcPr>
          <w:p w14:paraId="4397D975">
            <w:pPr>
              <w:spacing w:line="240" w:lineRule="auto"/>
              <w:jc w:val="left"/>
              <w:rPr>
                <w:rFonts w:hint="eastAsia" w:cs="宋体"/>
                <w:color w:val="000000"/>
              </w:rPr>
            </w:pPr>
          </w:p>
        </w:tc>
        <w:tc>
          <w:tcPr>
            <w:tcW w:w="453" w:type="pct"/>
            <w:vMerge w:val="continue"/>
            <w:tcBorders>
              <w:tl2br w:val="nil"/>
              <w:tr2bl w:val="nil"/>
            </w:tcBorders>
            <w:vAlign w:val="center"/>
          </w:tcPr>
          <w:p w14:paraId="5FD0C861">
            <w:pPr>
              <w:spacing w:line="240" w:lineRule="auto"/>
              <w:jc w:val="left"/>
              <w:rPr>
                <w:rFonts w:hint="eastAsia" w:cs="宋体"/>
                <w:color w:val="000000"/>
              </w:rPr>
            </w:pPr>
          </w:p>
        </w:tc>
        <w:tc>
          <w:tcPr>
            <w:tcW w:w="429" w:type="pct"/>
            <w:tcBorders>
              <w:tl2br w:val="nil"/>
              <w:tr2bl w:val="nil"/>
            </w:tcBorders>
            <w:vAlign w:val="center"/>
          </w:tcPr>
          <w:p w14:paraId="3CC06EC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视频预案</w:t>
            </w:r>
          </w:p>
        </w:tc>
        <w:tc>
          <w:tcPr>
            <w:tcW w:w="3289" w:type="pct"/>
            <w:tcBorders>
              <w:tl2br w:val="nil"/>
              <w:tr2bl w:val="nil"/>
            </w:tcBorders>
            <w:vAlign w:val="center"/>
          </w:tcPr>
          <w:p w14:paraId="1CB23E70">
            <w:pPr>
              <w:widowControl/>
              <w:spacing w:line="240" w:lineRule="auto"/>
              <w:ind w:firstLine="0" w:firstLineChars="0"/>
              <w:textAlignment w:val="center"/>
              <w:rPr>
                <w:rFonts w:hint="eastAsia" w:cs="宋体"/>
                <w:color w:val="000000"/>
              </w:rPr>
            </w:pPr>
            <w:r>
              <w:rPr>
                <w:rFonts w:hint="eastAsia" w:cs="宋体"/>
                <w:color w:val="000000"/>
                <w:kern w:val="0"/>
                <w:lang w:bidi="ar"/>
              </w:rPr>
              <w:t>1、预案管理：</w:t>
            </w:r>
            <w:r>
              <w:rPr>
                <w:rFonts w:hint="eastAsia" w:cs="宋体"/>
                <w:color w:val="000000"/>
                <w:kern w:val="0"/>
                <w:lang w:bidi="ar"/>
              </w:rPr>
              <w:br w:type="textWrapping"/>
            </w:r>
            <w:r>
              <w:rPr>
                <w:rFonts w:hint="eastAsia" w:cs="宋体"/>
                <w:color w:val="000000"/>
                <w:kern w:val="0"/>
                <w:lang w:bidi="ar"/>
              </w:rPr>
              <w:t>实现列表展示公共预案、个人预案、分享预案目录，实现目录编辑、删除、排序等控制</w:t>
            </w:r>
            <w:r>
              <w:rPr>
                <w:rFonts w:hint="eastAsia" w:cs="宋体"/>
                <w:color w:val="000000"/>
                <w:kern w:val="0"/>
                <w:lang w:bidi="ar"/>
              </w:rPr>
              <w:br w:type="textWrapping"/>
            </w:r>
            <w:r>
              <w:rPr>
                <w:rFonts w:hint="eastAsia" w:cs="宋体"/>
                <w:color w:val="000000"/>
                <w:kern w:val="0"/>
                <w:lang w:bidi="ar"/>
              </w:rPr>
              <w:t>实现预案克隆、编辑、查询、执行操作</w:t>
            </w:r>
            <w:r>
              <w:rPr>
                <w:rFonts w:hint="eastAsia" w:cs="宋体"/>
                <w:color w:val="000000"/>
                <w:kern w:val="0"/>
                <w:lang w:bidi="ar"/>
              </w:rPr>
              <w:br w:type="textWrapping"/>
            </w:r>
            <w:r>
              <w:rPr>
                <w:rFonts w:hint="eastAsia" w:cs="宋体"/>
                <w:color w:val="000000"/>
                <w:kern w:val="0"/>
                <w:lang w:bidi="ar"/>
              </w:rPr>
              <w:t>实现预案统计，包括预案目录统计、预案调阅次数统计</w:t>
            </w:r>
            <w:r>
              <w:rPr>
                <w:rFonts w:hint="eastAsia" w:cs="宋体"/>
                <w:color w:val="000000"/>
                <w:kern w:val="0"/>
                <w:lang w:bidi="ar"/>
              </w:rPr>
              <w:br w:type="textWrapping"/>
            </w:r>
            <w:r>
              <w:rPr>
                <w:rFonts w:hint="eastAsia" w:cs="宋体"/>
                <w:color w:val="000000"/>
                <w:kern w:val="0"/>
                <w:lang w:bidi="ar"/>
              </w:rPr>
              <w:t>实现预案导出功能，实现翻页选中设备/全量选择</w:t>
            </w:r>
            <w:r>
              <w:rPr>
                <w:rFonts w:hint="eastAsia" w:cs="宋体"/>
                <w:color w:val="000000"/>
                <w:kern w:val="0"/>
                <w:lang w:bidi="ar"/>
              </w:rPr>
              <w:br w:type="textWrapping"/>
            </w:r>
            <w:r>
              <w:rPr>
                <w:rFonts w:hint="eastAsia" w:cs="宋体"/>
                <w:color w:val="000000"/>
                <w:kern w:val="0"/>
                <w:lang w:bidi="ar"/>
              </w:rPr>
              <w:t>预案目录编辑功能</w:t>
            </w:r>
            <w:r>
              <w:rPr>
                <w:rFonts w:hint="eastAsia" w:cs="宋体"/>
                <w:color w:val="000000"/>
                <w:kern w:val="0"/>
                <w:lang w:eastAsia="zh-CN" w:bidi="ar"/>
              </w:rPr>
              <w:t>实现</w:t>
            </w:r>
            <w:r>
              <w:rPr>
                <w:rFonts w:hint="eastAsia" w:cs="宋体"/>
                <w:color w:val="000000"/>
                <w:kern w:val="0"/>
                <w:lang w:bidi="ar"/>
              </w:rPr>
              <w:t>公共预案/个人预案目录路径切换和子节点切换</w:t>
            </w:r>
            <w:r>
              <w:rPr>
                <w:rFonts w:hint="eastAsia" w:cs="宋体"/>
                <w:color w:val="000000"/>
                <w:kern w:val="0"/>
                <w:lang w:bidi="ar"/>
              </w:rPr>
              <w:br w:type="textWrapping"/>
            </w:r>
            <w:r>
              <w:rPr>
                <w:rFonts w:hint="eastAsia" w:cs="宋体"/>
                <w:color w:val="000000"/>
                <w:kern w:val="0"/>
                <w:lang w:bidi="ar"/>
              </w:rPr>
              <w:t>新增预案时实现打应用标签功能，同时实现应用标签一键同步</w:t>
            </w:r>
            <w:r>
              <w:rPr>
                <w:rFonts w:hint="eastAsia" w:cs="宋体"/>
                <w:color w:val="000000"/>
                <w:kern w:val="0"/>
                <w:lang w:bidi="ar"/>
              </w:rPr>
              <w:br w:type="textWrapping"/>
            </w:r>
            <w:r>
              <w:rPr>
                <w:rFonts w:hint="eastAsia" w:cs="宋体"/>
                <w:color w:val="000000"/>
                <w:kern w:val="0"/>
                <w:lang w:bidi="ar"/>
              </w:rPr>
              <w:t>预案编辑时实现拖拽移动视频点位</w:t>
            </w:r>
            <w:r>
              <w:rPr>
                <w:rFonts w:hint="eastAsia" w:cs="宋体"/>
                <w:color w:val="000000"/>
                <w:kern w:val="0"/>
                <w:lang w:bidi="ar"/>
              </w:rPr>
              <w:br w:type="textWrapping"/>
            </w:r>
            <w:r>
              <w:rPr>
                <w:rFonts w:hint="eastAsia" w:cs="宋体"/>
                <w:color w:val="000000"/>
                <w:kern w:val="0"/>
                <w:lang w:bidi="ar"/>
              </w:rPr>
              <w:t>实现公共预案目录路径编辑</w:t>
            </w:r>
            <w:r>
              <w:rPr>
                <w:rFonts w:hint="eastAsia" w:cs="宋体"/>
                <w:color w:val="000000"/>
                <w:kern w:val="0"/>
                <w:lang w:bidi="ar"/>
              </w:rPr>
              <w:br w:type="textWrapping"/>
            </w:r>
            <w:r>
              <w:rPr>
                <w:rFonts w:hint="eastAsia" w:cs="宋体"/>
                <w:color w:val="000000"/>
                <w:kern w:val="0"/>
                <w:lang w:bidi="ar"/>
              </w:rPr>
              <w:t>2：预案配置</w:t>
            </w:r>
            <w:r>
              <w:rPr>
                <w:rFonts w:hint="eastAsia" w:cs="宋体"/>
                <w:color w:val="000000"/>
                <w:kern w:val="0"/>
                <w:lang w:bidi="ar"/>
              </w:rPr>
              <w:br w:type="textWrapping"/>
            </w:r>
            <w:r>
              <w:rPr>
                <w:rFonts w:hint="eastAsia" w:cs="宋体"/>
                <w:color w:val="000000"/>
                <w:kern w:val="0"/>
                <w:lang w:bidi="ar"/>
              </w:rPr>
              <w:t>实现对分组设备进行预案快捷编制；实现对资源树、检索结果的设备选择加入暂存架，快捷编制预案</w:t>
            </w:r>
            <w:r>
              <w:rPr>
                <w:rFonts w:hint="eastAsia" w:cs="宋体"/>
                <w:color w:val="000000"/>
                <w:kern w:val="0"/>
                <w:lang w:bidi="ar"/>
              </w:rPr>
              <w:br w:type="textWrapping"/>
            </w:r>
            <w:r>
              <w:rPr>
                <w:rFonts w:hint="eastAsia" w:cs="宋体"/>
                <w:color w:val="000000"/>
                <w:kern w:val="0"/>
                <w:lang w:bidi="ar"/>
              </w:rPr>
              <w:t>实现预案内设备增、删操作，实现配置预案时，允许从一个或多个预案导入设备，并进行自动去重</w:t>
            </w:r>
            <w:r>
              <w:rPr>
                <w:rFonts w:hint="eastAsia" w:cs="宋体"/>
                <w:color w:val="000000"/>
                <w:kern w:val="0"/>
                <w:lang w:bidi="ar"/>
              </w:rPr>
              <w:br w:type="textWrapping"/>
            </w:r>
            <w:r>
              <w:rPr>
                <w:rFonts w:hint="eastAsia" w:cs="宋体"/>
                <w:color w:val="000000"/>
                <w:kern w:val="0"/>
                <w:lang w:bidi="ar"/>
              </w:rPr>
              <w:t>实现预案内设备顺序调整控制，实现配置预案屏幕布局、轮巡间隔、执行时间</w:t>
            </w:r>
            <w:r>
              <w:rPr>
                <w:rFonts w:hint="eastAsia" w:cs="宋体"/>
                <w:color w:val="000000"/>
                <w:kern w:val="0"/>
                <w:lang w:bidi="ar"/>
              </w:rPr>
              <w:br w:type="textWrapping"/>
            </w:r>
            <w:r>
              <w:rPr>
                <w:rFonts w:hint="eastAsia" w:cs="宋体"/>
                <w:color w:val="000000"/>
                <w:kern w:val="0"/>
                <w:lang w:bidi="ar"/>
              </w:rPr>
              <w:t>实现在导航栏调整预案目录结构，拖拽移动预案排序</w:t>
            </w:r>
            <w:r>
              <w:rPr>
                <w:rFonts w:hint="eastAsia" w:cs="宋体"/>
                <w:color w:val="000000"/>
                <w:kern w:val="0"/>
                <w:lang w:bidi="ar"/>
              </w:rPr>
              <w:br w:type="textWrapping"/>
            </w:r>
            <w:r>
              <w:rPr>
                <w:rFonts w:hint="eastAsia" w:cs="宋体"/>
                <w:color w:val="000000"/>
                <w:kern w:val="0"/>
                <w:lang w:bidi="ar"/>
              </w:rPr>
              <w:t>实现预案中的点位按经纬度坐标等自动</w:t>
            </w:r>
            <w:r>
              <w:rPr>
                <w:rFonts w:hint="eastAsia" w:cs="宋体"/>
                <w:color w:val="000000"/>
                <w:kern w:val="0"/>
                <w:lang w:eastAsia="zh-CN" w:bidi="ar"/>
              </w:rPr>
              <w:t>排序</w:t>
            </w:r>
            <w:r>
              <w:rPr>
                <w:rFonts w:hint="eastAsia" w:cs="宋体"/>
                <w:color w:val="000000"/>
                <w:kern w:val="0"/>
                <w:lang w:bidi="ar"/>
              </w:rPr>
              <w:br w:type="textWrapping"/>
            </w:r>
            <w:r>
              <w:rPr>
                <w:rFonts w:hint="eastAsia" w:cs="宋体"/>
                <w:color w:val="000000"/>
                <w:kern w:val="0"/>
                <w:lang w:bidi="ar"/>
              </w:rPr>
              <w:t>实现配置预案/编辑预案，鼠标移到设备名称上，显示全部名称</w:t>
            </w:r>
            <w:r>
              <w:rPr>
                <w:rFonts w:hint="eastAsia" w:cs="宋体"/>
                <w:color w:val="000000"/>
                <w:kern w:val="0"/>
                <w:lang w:bidi="ar"/>
              </w:rPr>
              <w:br w:type="textWrapping"/>
            </w:r>
            <w:r>
              <w:rPr>
                <w:rFonts w:hint="eastAsia" w:cs="宋体"/>
                <w:color w:val="000000"/>
                <w:kern w:val="0"/>
                <w:lang w:bidi="ar"/>
              </w:rPr>
              <w:t>3、预案执行</w:t>
            </w:r>
            <w:r>
              <w:rPr>
                <w:rFonts w:hint="eastAsia" w:cs="宋体"/>
                <w:color w:val="000000"/>
                <w:kern w:val="0"/>
                <w:lang w:bidi="ar"/>
              </w:rPr>
              <w:br w:type="textWrapping"/>
            </w:r>
            <w:r>
              <w:rPr>
                <w:rFonts w:hint="eastAsia" w:cs="宋体"/>
                <w:color w:val="000000"/>
                <w:kern w:val="0"/>
                <w:lang w:bidi="ar"/>
              </w:rPr>
              <w:t>实现预案本地执行、投屏操作</w:t>
            </w:r>
            <w:r>
              <w:rPr>
                <w:rFonts w:hint="eastAsia" w:cs="宋体"/>
                <w:color w:val="000000"/>
                <w:kern w:val="0"/>
                <w:lang w:bidi="ar"/>
              </w:rPr>
              <w:br w:type="textWrapping"/>
            </w:r>
            <w:r>
              <w:rPr>
                <w:rFonts w:hint="eastAsia" w:cs="宋体"/>
                <w:color w:val="000000"/>
                <w:kern w:val="0"/>
                <w:lang w:bidi="ar"/>
              </w:rPr>
              <w:t>实现预案执行时实现设备锁定、设备顺序调整、设备替换、播放暂停、上翻/下翻操作，预案执行播放窗实现可拖拽移动</w:t>
            </w:r>
            <w:r>
              <w:rPr>
                <w:rFonts w:hint="eastAsia" w:cs="宋体"/>
                <w:color w:val="000000"/>
                <w:kern w:val="0"/>
                <w:lang w:bidi="ar"/>
              </w:rPr>
              <w:br w:type="textWrapping"/>
            </w:r>
            <w:r>
              <w:rPr>
                <w:rFonts w:hint="eastAsia" w:cs="宋体"/>
                <w:color w:val="000000"/>
                <w:kern w:val="0"/>
                <w:lang w:bidi="ar"/>
              </w:rPr>
              <w:t>预案执行时显示每个设备序号，与左侧卡片列表联动对应，预案执行时实现从目录树替换设备临时上屏，预案执行时实现从目录树临时拖拽设备到预案中</w:t>
            </w:r>
            <w:r>
              <w:rPr>
                <w:rFonts w:hint="eastAsia" w:cs="宋体"/>
                <w:color w:val="000000"/>
                <w:kern w:val="0"/>
                <w:lang w:bidi="ar"/>
              </w:rPr>
              <w:br w:type="textWrapping"/>
            </w:r>
            <w:r>
              <w:rPr>
                <w:rFonts w:hint="eastAsia" w:cs="宋体"/>
                <w:color w:val="000000"/>
                <w:kern w:val="0"/>
                <w:lang w:bidi="ar"/>
              </w:rPr>
              <w:t>预案执行时实现页码跳转，实现执行公共预案时过滤掉该用户没有权限的点位</w:t>
            </w:r>
            <w:r>
              <w:rPr>
                <w:rFonts w:hint="eastAsia" w:cs="宋体"/>
                <w:color w:val="000000"/>
                <w:kern w:val="0"/>
                <w:lang w:bidi="ar"/>
              </w:rPr>
              <w:br w:type="textWrapping"/>
            </w:r>
            <w:r>
              <w:rPr>
                <w:rFonts w:hint="eastAsia" w:cs="宋体"/>
                <w:color w:val="000000"/>
                <w:kern w:val="0"/>
                <w:lang w:bidi="ar"/>
              </w:rPr>
              <w:t>4、预案分享：</w:t>
            </w:r>
            <w:r>
              <w:rPr>
                <w:rFonts w:hint="eastAsia" w:cs="宋体"/>
                <w:color w:val="000000"/>
                <w:kern w:val="0"/>
                <w:lang w:bidi="ar"/>
              </w:rPr>
              <w:br w:type="textWrapping"/>
            </w:r>
            <w:r>
              <w:rPr>
                <w:rFonts w:hint="eastAsia" w:cs="宋体"/>
                <w:color w:val="000000"/>
                <w:kern w:val="0"/>
                <w:lang w:bidi="ar"/>
              </w:rPr>
              <w:t>实现个人预案分享单个或多个用户</w:t>
            </w:r>
            <w:r>
              <w:rPr>
                <w:rFonts w:hint="eastAsia" w:cs="宋体"/>
                <w:color w:val="000000"/>
                <w:kern w:val="0"/>
                <w:lang w:bidi="ar"/>
              </w:rPr>
              <w:br w:type="textWrapping"/>
            </w:r>
            <w:r>
              <w:rPr>
                <w:rFonts w:hint="eastAsia" w:cs="宋体"/>
                <w:color w:val="000000"/>
                <w:kern w:val="0"/>
                <w:lang w:bidi="ar"/>
              </w:rPr>
              <w:t>实现分享预案目录里的预案复制添加到个人预案</w:t>
            </w:r>
            <w:r>
              <w:rPr>
                <w:rFonts w:hint="eastAsia" w:cs="宋体"/>
                <w:color w:val="000000"/>
                <w:kern w:val="0"/>
                <w:lang w:bidi="ar"/>
              </w:rPr>
              <w:br w:type="textWrapping"/>
            </w:r>
            <w:r>
              <w:rPr>
                <w:rFonts w:hint="eastAsia" w:cs="宋体"/>
                <w:color w:val="000000"/>
                <w:kern w:val="0"/>
                <w:lang w:bidi="ar"/>
              </w:rPr>
              <w:t>实现按时间、按用户查看共享预案情况；</w:t>
            </w:r>
          </w:p>
        </w:tc>
      </w:tr>
      <w:tr w14:paraId="47CF2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0" w:hRule="atLeast"/>
        </w:trPr>
        <w:tc>
          <w:tcPr>
            <w:tcW w:w="381" w:type="pct"/>
            <w:tcBorders>
              <w:tl2br w:val="nil"/>
              <w:tr2bl w:val="nil"/>
            </w:tcBorders>
            <w:vAlign w:val="center"/>
          </w:tcPr>
          <w:p w14:paraId="6C6D5FA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60</w:t>
            </w:r>
          </w:p>
        </w:tc>
        <w:tc>
          <w:tcPr>
            <w:tcW w:w="447" w:type="pct"/>
            <w:vMerge w:val="continue"/>
            <w:tcBorders>
              <w:tl2br w:val="nil"/>
              <w:tr2bl w:val="nil"/>
            </w:tcBorders>
            <w:vAlign w:val="center"/>
          </w:tcPr>
          <w:p w14:paraId="79487DDA">
            <w:pPr>
              <w:spacing w:line="240" w:lineRule="auto"/>
              <w:jc w:val="left"/>
              <w:rPr>
                <w:rFonts w:hint="eastAsia" w:cs="宋体"/>
                <w:color w:val="000000"/>
              </w:rPr>
            </w:pPr>
          </w:p>
        </w:tc>
        <w:tc>
          <w:tcPr>
            <w:tcW w:w="453" w:type="pct"/>
            <w:vMerge w:val="continue"/>
            <w:tcBorders>
              <w:tl2br w:val="nil"/>
              <w:tr2bl w:val="nil"/>
            </w:tcBorders>
            <w:vAlign w:val="center"/>
          </w:tcPr>
          <w:p w14:paraId="748C575A">
            <w:pPr>
              <w:spacing w:line="240" w:lineRule="auto"/>
              <w:jc w:val="left"/>
              <w:rPr>
                <w:rFonts w:hint="eastAsia" w:cs="宋体"/>
                <w:color w:val="000000"/>
              </w:rPr>
            </w:pPr>
          </w:p>
        </w:tc>
        <w:tc>
          <w:tcPr>
            <w:tcW w:w="429" w:type="pct"/>
            <w:tcBorders>
              <w:tl2br w:val="nil"/>
              <w:tr2bl w:val="nil"/>
            </w:tcBorders>
            <w:vAlign w:val="center"/>
          </w:tcPr>
          <w:p w14:paraId="0536B80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视频赋能管理</w:t>
            </w:r>
          </w:p>
        </w:tc>
        <w:tc>
          <w:tcPr>
            <w:tcW w:w="3289" w:type="pct"/>
            <w:tcBorders>
              <w:tl2br w:val="nil"/>
              <w:tr2bl w:val="nil"/>
            </w:tcBorders>
            <w:vAlign w:val="center"/>
          </w:tcPr>
          <w:p w14:paraId="6347EE91">
            <w:pPr>
              <w:widowControl/>
              <w:spacing w:line="240" w:lineRule="auto"/>
              <w:ind w:firstLine="0" w:firstLineChars="0"/>
              <w:textAlignment w:val="center"/>
              <w:rPr>
                <w:rFonts w:hint="eastAsia" w:cs="宋体"/>
                <w:color w:val="000000"/>
              </w:rPr>
            </w:pPr>
            <w:r>
              <w:rPr>
                <w:rFonts w:hint="eastAsia" w:cs="宋体"/>
                <w:color w:val="000000"/>
                <w:kern w:val="0"/>
                <w:lang w:bidi="ar"/>
              </w:rPr>
              <w:t>1、系统监测：</w:t>
            </w:r>
            <w:r>
              <w:rPr>
                <w:rFonts w:hint="eastAsia" w:cs="宋体"/>
                <w:color w:val="000000"/>
                <w:kern w:val="0"/>
                <w:lang w:bidi="ar"/>
              </w:rPr>
              <w:br w:type="textWrapping"/>
            </w:r>
            <w:r>
              <w:rPr>
                <w:rFonts w:hint="eastAsia" w:cs="宋体"/>
                <w:color w:val="000000"/>
                <w:kern w:val="0"/>
                <w:lang w:bidi="ar"/>
              </w:rPr>
              <w:t>实现第三方赋能系统注册、查询、修改、服务授权、详情查看、启用/禁用功能</w:t>
            </w:r>
            <w:r>
              <w:rPr>
                <w:rFonts w:hint="eastAsia" w:cs="宋体"/>
                <w:color w:val="000000"/>
                <w:kern w:val="0"/>
                <w:lang w:bidi="ar"/>
              </w:rPr>
              <w:br w:type="textWrapping"/>
            </w:r>
            <w:r>
              <w:rPr>
                <w:rFonts w:hint="eastAsia" w:cs="宋体"/>
                <w:color w:val="000000"/>
                <w:kern w:val="0"/>
                <w:lang w:bidi="ar"/>
              </w:rPr>
              <w:t>实现统计赋能系统数、系统活跃数、对外赋能服务调用总数等</w:t>
            </w:r>
            <w:r>
              <w:rPr>
                <w:rFonts w:hint="eastAsia" w:cs="宋体"/>
                <w:color w:val="000000"/>
                <w:kern w:val="0"/>
                <w:lang w:bidi="ar"/>
              </w:rPr>
              <w:br w:type="textWrapping"/>
            </w:r>
            <w:r>
              <w:rPr>
                <w:rFonts w:hint="eastAsia" w:cs="宋体"/>
                <w:color w:val="000000"/>
                <w:kern w:val="0"/>
                <w:lang w:bidi="ar"/>
              </w:rPr>
              <w:t>2、服务维护：</w:t>
            </w:r>
            <w:r>
              <w:rPr>
                <w:rFonts w:hint="eastAsia" w:cs="宋体"/>
                <w:color w:val="000000"/>
                <w:kern w:val="0"/>
                <w:lang w:bidi="ar"/>
              </w:rPr>
              <w:br w:type="textWrapping"/>
            </w:r>
            <w:r>
              <w:rPr>
                <w:rFonts w:hint="eastAsia" w:cs="宋体"/>
                <w:color w:val="000000"/>
                <w:kern w:val="0"/>
                <w:lang w:bidi="ar"/>
              </w:rPr>
              <w:t>实现服务注册、查询、同步、导出功能，实现对已上架服务进行下架操作</w:t>
            </w:r>
            <w:r>
              <w:rPr>
                <w:rFonts w:hint="eastAsia" w:cs="宋体"/>
                <w:color w:val="000000"/>
                <w:kern w:val="0"/>
                <w:lang w:bidi="ar"/>
              </w:rPr>
              <w:br w:type="textWrapping"/>
            </w:r>
            <w:r>
              <w:rPr>
                <w:rFonts w:hint="eastAsia" w:cs="宋体"/>
                <w:color w:val="000000"/>
                <w:kern w:val="0"/>
                <w:lang w:bidi="ar"/>
              </w:rPr>
              <w:t>实现服务类别统计、子类统计，服务在线状态统计</w:t>
            </w:r>
            <w:r>
              <w:rPr>
                <w:rFonts w:hint="eastAsia" w:cs="宋体"/>
                <w:color w:val="000000"/>
                <w:kern w:val="0"/>
                <w:lang w:bidi="ar"/>
              </w:rPr>
              <w:br w:type="textWrapping"/>
            </w:r>
            <w:r>
              <w:rPr>
                <w:rFonts w:hint="eastAsia" w:cs="宋体"/>
                <w:color w:val="000000"/>
                <w:kern w:val="0"/>
                <w:lang w:bidi="ar"/>
              </w:rPr>
              <w:t>实现服务的详情查看功能，实现根据赋能服务功能分类进行服务授权</w:t>
            </w:r>
            <w:r>
              <w:rPr>
                <w:rFonts w:hint="eastAsia" w:cs="宋体"/>
                <w:color w:val="000000"/>
                <w:kern w:val="0"/>
                <w:lang w:bidi="ar"/>
              </w:rPr>
              <w:br w:type="textWrapping"/>
            </w:r>
            <w:r>
              <w:rPr>
                <w:rFonts w:hint="eastAsia" w:cs="宋体"/>
                <w:color w:val="000000"/>
                <w:kern w:val="0"/>
                <w:lang w:bidi="ar"/>
              </w:rPr>
              <w:t>3、服务监测</w:t>
            </w:r>
            <w:r>
              <w:rPr>
                <w:rFonts w:hint="eastAsia" w:cs="宋体"/>
                <w:color w:val="000000"/>
                <w:kern w:val="0"/>
                <w:lang w:bidi="ar"/>
              </w:rPr>
              <w:br w:type="textWrapping"/>
            </w:r>
            <w:r>
              <w:rPr>
                <w:rFonts w:hint="eastAsia" w:cs="宋体"/>
                <w:color w:val="000000"/>
                <w:kern w:val="0"/>
                <w:lang w:bidi="ar"/>
              </w:rPr>
              <w:t>实现监测每个发布服务的每日调用量、调用系统数、调用用户数</w:t>
            </w:r>
            <w:r>
              <w:rPr>
                <w:rFonts w:hint="eastAsia" w:cs="宋体"/>
                <w:color w:val="000000"/>
                <w:kern w:val="0"/>
                <w:lang w:bidi="ar"/>
              </w:rPr>
              <w:br w:type="textWrapping"/>
            </w:r>
            <w:r>
              <w:rPr>
                <w:rFonts w:hint="eastAsia" w:cs="宋体"/>
                <w:color w:val="000000"/>
                <w:kern w:val="0"/>
                <w:lang w:bidi="ar"/>
              </w:rPr>
              <w:t>实现实时监控调用日志，并实现按照服务类别进行筛选</w:t>
            </w:r>
          </w:p>
        </w:tc>
      </w:tr>
      <w:tr w14:paraId="65400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5AAF911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61</w:t>
            </w:r>
          </w:p>
        </w:tc>
        <w:tc>
          <w:tcPr>
            <w:tcW w:w="447" w:type="pct"/>
            <w:vMerge w:val="continue"/>
            <w:tcBorders>
              <w:tl2br w:val="nil"/>
              <w:tr2bl w:val="nil"/>
            </w:tcBorders>
            <w:vAlign w:val="center"/>
          </w:tcPr>
          <w:p w14:paraId="6A9604E7">
            <w:pPr>
              <w:spacing w:line="240" w:lineRule="auto"/>
              <w:jc w:val="left"/>
              <w:rPr>
                <w:rFonts w:hint="eastAsia" w:cs="宋体"/>
                <w:color w:val="000000"/>
              </w:rPr>
            </w:pPr>
          </w:p>
        </w:tc>
        <w:tc>
          <w:tcPr>
            <w:tcW w:w="453" w:type="pct"/>
            <w:vMerge w:val="continue"/>
            <w:tcBorders>
              <w:tl2br w:val="nil"/>
              <w:tr2bl w:val="nil"/>
            </w:tcBorders>
            <w:vAlign w:val="center"/>
          </w:tcPr>
          <w:p w14:paraId="4ABF7392">
            <w:pPr>
              <w:spacing w:line="240" w:lineRule="auto"/>
              <w:jc w:val="left"/>
              <w:rPr>
                <w:rFonts w:hint="eastAsia" w:cs="宋体"/>
                <w:color w:val="000000"/>
              </w:rPr>
            </w:pPr>
          </w:p>
        </w:tc>
        <w:tc>
          <w:tcPr>
            <w:tcW w:w="429" w:type="pct"/>
            <w:tcBorders>
              <w:tl2br w:val="nil"/>
              <w:tr2bl w:val="nil"/>
            </w:tcBorders>
            <w:vAlign w:val="center"/>
          </w:tcPr>
          <w:p w14:paraId="7E36437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地图标点</w:t>
            </w:r>
          </w:p>
        </w:tc>
        <w:tc>
          <w:tcPr>
            <w:tcW w:w="3289" w:type="pct"/>
            <w:tcBorders>
              <w:tl2br w:val="nil"/>
              <w:tr2bl w:val="nil"/>
            </w:tcBorders>
            <w:vAlign w:val="center"/>
          </w:tcPr>
          <w:p w14:paraId="2C4C8BFB">
            <w:pPr>
              <w:widowControl/>
              <w:spacing w:line="240" w:lineRule="auto"/>
              <w:ind w:firstLine="0" w:firstLineChars="0"/>
              <w:textAlignment w:val="center"/>
              <w:rPr>
                <w:rFonts w:hint="eastAsia" w:cs="宋体"/>
                <w:color w:val="000000"/>
              </w:rPr>
            </w:pPr>
            <w:r>
              <w:rPr>
                <w:rFonts w:hint="eastAsia" w:cs="宋体"/>
                <w:color w:val="000000"/>
                <w:kern w:val="0"/>
                <w:lang w:bidi="ar"/>
              </w:rPr>
              <w:t>1、标点状态：</w:t>
            </w:r>
            <w:r>
              <w:rPr>
                <w:rFonts w:hint="eastAsia" w:cs="宋体"/>
                <w:color w:val="000000"/>
                <w:kern w:val="0"/>
                <w:lang w:bidi="ar"/>
              </w:rPr>
              <w:br w:type="textWrapping"/>
            </w:r>
            <w:r>
              <w:rPr>
                <w:rFonts w:hint="eastAsia" w:cs="宋体"/>
                <w:color w:val="000000"/>
                <w:kern w:val="0"/>
                <w:lang w:bidi="ar"/>
              </w:rPr>
              <w:t>实现设备资源树展示设备标点状态</w:t>
            </w:r>
            <w:r>
              <w:rPr>
                <w:rFonts w:hint="eastAsia" w:cs="宋体"/>
                <w:color w:val="000000"/>
                <w:kern w:val="0"/>
                <w:lang w:bidi="ar"/>
              </w:rPr>
              <w:br w:type="textWrapping"/>
            </w:r>
            <w:r>
              <w:rPr>
                <w:rFonts w:hint="eastAsia" w:cs="宋体"/>
                <w:color w:val="000000"/>
                <w:kern w:val="0"/>
                <w:lang w:bidi="ar"/>
              </w:rPr>
              <w:t>实现根据设备信息及标签信息查询设备标点状态</w:t>
            </w:r>
            <w:r>
              <w:rPr>
                <w:rFonts w:hint="eastAsia" w:cs="宋体"/>
                <w:color w:val="000000"/>
                <w:kern w:val="0"/>
                <w:lang w:bidi="ar"/>
              </w:rPr>
              <w:br w:type="textWrapping"/>
            </w:r>
            <w:r>
              <w:rPr>
                <w:rFonts w:hint="eastAsia" w:cs="宋体"/>
                <w:color w:val="000000"/>
                <w:kern w:val="0"/>
                <w:lang w:bidi="ar"/>
              </w:rPr>
              <w:t>实现对已标点的设备进行统计；</w:t>
            </w:r>
            <w:r>
              <w:rPr>
                <w:rFonts w:hint="eastAsia" w:cs="宋体"/>
                <w:color w:val="000000"/>
                <w:kern w:val="0"/>
                <w:lang w:bidi="ar"/>
              </w:rPr>
              <w:br w:type="textWrapping"/>
            </w:r>
            <w:r>
              <w:rPr>
                <w:rFonts w:hint="eastAsia" w:cs="宋体"/>
                <w:color w:val="000000"/>
                <w:kern w:val="0"/>
                <w:lang w:bidi="ar"/>
              </w:rPr>
              <w:t>2、坐标修改：</w:t>
            </w:r>
            <w:r>
              <w:rPr>
                <w:rFonts w:hint="eastAsia" w:cs="宋体"/>
                <w:color w:val="000000"/>
                <w:kern w:val="0"/>
                <w:lang w:bidi="ar"/>
              </w:rPr>
              <w:br w:type="textWrapping"/>
            </w:r>
            <w:r>
              <w:rPr>
                <w:rFonts w:hint="eastAsia" w:cs="宋体"/>
                <w:color w:val="000000"/>
                <w:kern w:val="0"/>
                <w:lang w:bidi="ar"/>
              </w:rPr>
              <w:t>实现根据gis地图修改点位经纬度信息</w:t>
            </w:r>
            <w:r>
              <w:rPr>
                <w:rFonts w:hint="eastAsia" w:cs="宋体"/>
                <w:color w:val="000000"/>
                <w:kern w:val="0"/>
                <w:lang w:bidi="ar"/>
              </w:rPr>
              <w:br w:type="textWrapping"/>
            </w:r>
            <w:r>
              <w:rPr>
                <w:rFonts w:hint="eastAsia" w:cs="宋体"/>
                <w:color w:val="000000"/>
                <w:kern w:val="0"/>
                <w:lang w:bidi="ar"/>
              </w:rPr>
              <w:t>实现地图标点信息修改记录查询</w:t>
            </w:r>
          </w:p>
        </w:tc>
      </w:tr>
      <w:tr w14:paraId="5635C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14" w:hRule="atLeast"/>
        </w:trPr>
        <w:tc>
          <w:tcPr>
            <w:tcW w:w="381" w:type="pct"/>
            <w:tcBorders>
              <w:tl2br w:val="nil"/>
              <w:tr2bl w:val="nil"/>
            </w:tcBorders>
            <w:vAlign w:val="center"/>
          </w:tcPr>
          <w:p w14:paraId="55DCCB7D">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62</w:t>
            </w:r>
          </w:p>
        </w:tc>
        <w:tc>
          <w:tcPr>
            <w:tcW w:w="447" w:type="pct"/>
            <w:vMerge w:val="continue"/>
            <w:tcBorders>
              <w:tl2br w:val="nil"/>
              <w:tr2bl w:val="nil"/>
            </w:tcBorders>
            <w:vAlign w:val="center"/>
          </w:tcPr>
          <w:p w14:paraId="4621F591">
            <w:pPr>
              <w:spacing w:line="240" w:lineRule="auto"/>
              <w:jc w:val="left"/>
              <w:rPr>
                <w:rFonts w:hint="eastAsia" w:cs="宋体"/>
                <w:color w:val="000000"/>
              </w:rPr>
            </w:pPr>
          </w:p>
        </w:tc>
        <w:tc>
          <w:tcPr>
            <w:tcW w:w="453" w:type="pct"/>
            <w:vMerge w:val="continue"/>
            <w:tcBorders>
              <w:tl2br w:val="nil"/>
              <w:tr2bl w:val="nil"/>
            </w:tcBorders>
            <w:vAlign w:val="center"/>
          </w:tcPr>
          <w:p w14:paraId="06DF93E8">
            <w:pPr>
              <w:spacing w:line="240" w:lineRule="auto"/>
              <w:jc w:val="left"/>
              <w:rPr>
                <w:rFonts w:hint="eastAsia" w:cs="宋体"/>
                <w:color w:val="000000"/>
              </w:rPr>
            </w:pPr>
          </w:p>
        </w:tc>
        <w:tc>
          <w:tcPr>
            <w:tcW w:w="429" w:type="pct"/>
            <w:tcBorders>
              <w:tl2br w:val="nil"/>
              <w:tr2bl w:val="nil"/>
            </w:tcBorders>
            <w:vAlign w:val="center"/>
          </w:tcPr>
          <w:p w14:paraId="2527B1F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标签管理</w:t>
            </w:r>
          </w:p>
        </w:tc>
        <w:tc>
          <w:tcPr>
            <w:tcW w:w="3289" w:type="pct"/>
            <w:tcBorders>
              <w:tl2br w:val="nil"/>
              <w:tr2bl w:val="nil"/>
            </w:tcBorders>
            <w:vAlign w:val="center"/>
          </w:tcPr>
          <w:p w14:paraId="0AEF9B8B">
            <w:pPr>
              <w:widowControl/>
              <w:spacing w:line="240" w:lineRule="auto"/>
              <w:ind w:firstLine="0" w:firstLineChars="0"/>
              <w:textAlignment w:val="center"/>
              <w:rPr>
                <w:rFonts w:hint="eastAsia" w:cs="宋体"/>
                <w:color w:val="000000"/>
              </w:rPr>
            </w:pPr>
            <w:r>
              <w:rPr>
                <w:rFonts w:hint="eastAsia" w:cs="宋体"/>
                <w:color w:val="000000"/>
                <w:kern w:val="0"/>
                <w:lang w:bidi="ar"/>
              </w:rPr>
              <w:t>1、标签分类管理：</w:t>
            </w:r>
            <w:r>
              <w:rPr>
                <w:rFonts w:hint="eastAsia" w:cs="宋体"/>
                <w:color w:val="000000"/>
                <w:kern w:val="0"/>
                <w:lang w:bidi="ar"/>
              </w:rPr>
              <w:br w:type="textWrapping"/>
            </w:r>
            <w:r>
              <w:rPr>
                <w:rFonts w:hint="eastAsia" w:cs="宋体"/>
                <w:color w:val="000000"/>
                <w:kern w:val="0"/>
                <w:lang w:bidi="ar"/>
              </w:rPr>
              <w:t>实现新增点位分类，定义点位分类名称、点位分类标签以及标签等级</w:t>
            </w:r>
            <w:r>
              <w:rPr>
                <w:rFonts w:hint="eastAsia" w:cs="宋体"/>
                <w:color w:val="000000"/>
                <w:kern w:val="0"/>
                <w:lang w:bidi="ar"/>
              </w:rPr>
              <w:br w:type="textWrapping"/>
            </w:r>
            <w:r>
              <w:rPr>
                <w:rFonts w:hint="eastAsia" w:cs="宋体"/>
                <w:color w:val="000000"/>
                <w:kern w:val="0"/>
                <w:lang w:bidi="ar"/>
              </w:rPr>
              <w:t>实现修改、删除点位分类信息以及分类标签的统计功能</w:t>
            </w:r>
            <w:r>
              <w:rPr>
                <w:rFonts w:hint="eastAsia" w:cs="宋体"/>
                <w:color w:val="000000"/>
                <w:kern w:val="0"/>
                <w:lang w:bidi="ar"/>
              </w:rPr>
              <w:br w:type="textWrapping"/>
            </w:r>
            <w:r>
              <w:rPr>
                <w:rFonts w:hint="eastAsia" w:cs="宋体"/>
                <w:color w:val="000000"/>
                <w:kern w:val="0"/>
                <w:lang w:bidi="ar"/>
              </w:rPr>
              <w:t>实现在分类标签下批量添加设备信息，实现根据设备分类信息，并结合分级策略，实现对设备的自动分级</w:t>
            </w:r>
            <w:r>
              <w:rPr>
                <w:rFonts w:hint="eastAsia" w:cs="宋体"/>
                <w:color w:val="000000"/>
                <w:kern w:val="0"/>
                <w:lang w:bidi="ar"/>
              </w:rPr>
              <w:br w:type="textWrapping"/>
            </w:r>
            <w:r>
              <w:rPr>
                <w:rFonts w:hint="eastAsia" w:cs="宋体"/>
                <w:color w:val="000000"/>
                <w:kern w:val="0"/>
                <w:lang w:bidi="ar"/>
              </w:rPr>
              <w:t>实现展示分类下的设备列表，主要展示设备的组织机构、设备编号、设备名称、维护方式、分类标签等信息</w:t>
            </w:r>
            <w:r>
              <w:rPr>
                <w:rFonts w:hint="eastAsia" w:cs="宋体"/>
                <w:color w:val="000000"/>
                <w:kern w:val="0"/>
                <w:lang w:bidi="ar"/>
              </w:rPr>
              <w:br w:type="textWrapping"/>
            </w:r>
            <w:r>
              <w:rPr>
                <w:rFonts w:hint="eastAsia" w:cs="宋体"/>
                <w:color w:val="000000"/>
                <w:kern w:val="0"/>
                <w:lang w:bidi="ar"/>
              </w:rPr>
              <w:t>2、属性标签标注：</w:t>
            </w:r>
            <w:r>
              <w:rPr>
                <w:rFonts w:hint="eastAsia" w:cs="宋体"/>
                <w:color w:val="000000"/>
                <w:kern w:val="0"/>
                <w:lang w:bidi="ar"/>
              </w:rPr>
              <w:br w:type="textWrapping"/>
            </w:r>
            <w:r>
              <w:rPr>
                <w:rFonts w:hint="eastAsia" w:cs="宋体"/>
                <w:color w:val="000000"/>
                <w:kern w:val="0"/>
                <w:lang w:bidi="ar"/>
              </w:rPr>
              <w:t>实现与平台设备信息/联网平台一机一档系统进行设备台账信息同步，对摄像机的标签信息做同步读取，同步方式实现全量同步及定期的增量同步</w:t>
            </w:r>
            <w:r>
              <w:rPr>
                <w:rFonts w:hint="eastAsia" w:cs="宋体"/>
                <w:color w:val="000000"/>
                <w:kern w:val="0"/>
                <w:lang w:bidi="ar"/>
              </w:rPr>
              <w:br w:type="textWrapping"/>
            </w:r>
            <w:r>
              <w:rPr>
                <w:rFonts w:hint="eastAsia" w:cs="宋体"/>
                <w:color w:val="000000"/>
                <w:kern w:val="0"/>
                <w:lang w:bidi="ar"/>
              </w:rPr>
              <w:t>实现按照字段标准对同步过来的设备台账数据的准确性，完整性，合规性进行校验</w:t>
            </w:r>
            <w:r>
              <w:rPr>
                <w:rFonts w:hint="eastAsia" w:cs="宋体"/>
                <w:color w:val="000000"/>
                <w:kern w:val="0"/>
                <w:lang w:bidi="ar"/>
              </w:rPr>
              <w:br w:type="textWrapping"/>
            </w:r>
            <w:r>
              <w:rPr>
                <w:rFonts w:hint="eastAsia" w:cs="宋体"/>
                <w:color w:val="000000"/>
                <w:kern w:val="0"/>
                <w:lang w:bidi="ar"/>
              </w:rPr>
              <w:t>3、场所标签标注：</w:t>
            </w:r>
            <w:r>
              <w:rPr>
                <w:rFonts w:hint="eastAsia" w:cs="宋体"/>
                <w:color w:val="000000"/>
                <w:kern w:val="0"/>
                <w:lang w:bidi="ar"/>
              </w:rPr>
              <w:br w:type="textWrapping"/>
            </w:r>
            <w:r>
              <w:rPr>
                <w:rFonts w:hint="eastAsia" w:cs="宋体"/>
                <w:color w:val="000000"/>
                <w:kern w:val="0"/>
                <w:lang w:bidi="ar"/>
              </w:rPr>
              <w:t>实现通过地图方式进行全量设备资源展示，可查看单个设备资源的标签信息</w:t>
            </w:r>
            <w:r>
              <w:rPr>
                <w:rFonts w:hint="eastAsia" w:cs="宋体"/>
                <w:color w:val="000000"/>
                <w:kern w:val="0"/>
                <w:lang w:bidi="ar"/>
              </w:rPr>
              <w:br w:type="textWrapping"/>
            </w:r>
            <w:r>
              <w:rPr>
                <w:rFonts w:hint="eastAsia" w:cs="宋体"/>
                <w:color w:val="000000"/>
                <w:kern w:val="0"/>
                <w:lang w:bidi="ar"/>
              </w:rPr>
              <w:t>实现通过资源目录树选择、地图选择、关键字搜索等方式对待标注点位进行场所标签标注</w:t>
            </w:r>
            <w:r>
              <w:rPr>
                <w:rFonts w:hint="eastAsia" w:cs="宋体"/>
                <w:color w:val="000000"/>
                <w:kern w:val="0"/>
                <w:lang w:bidi="ar"/>
              </w:rPr>
              <w:br w:type="textWrapping"/>
            </w:r>
            <w:r>
              <w:rPr>
                <w:rFonts w:hint="eastAsia" w:cs="宋体"/>
                <w:color w:val="000000"/>
                <w:kern w:val="0"/>
                <w:lang w:bidi="ar"/>
              </w:rPr>
              <w:t>实现统计设备总数、已标注场所标签设备总数</w:t>
            </w:r>
            <w:r>
              <w:rPr>
                <w:rFonts w:hint="eastAsia" w:cs="宋体"/>
                <w:color w:val="000000"/>
                <w:kern w:val="0"/>
                <w:lang w:bidi="ar"/>
              </w:rPr>
              <w:br w:type="textWrapping"/>
            </w:r>
            <w:r>
              <w:rPr>
                <w:rFonts w:hint="eastAsia" w:cs="宋体"/>
                <w:color w:val="000000"/>
                <w:kern w:val="0"/>
                <w:lang w:bidi="ar"/>
              </w:rPr>
              <w:t>4、应用标签标注：</w:t>
            </w:r>
            <w:r>
              <w:rPr>
                <w:rFonts w:hint="eastAsia" w:cs="宋体"/>
                <w:color w:val="000000"/>
                <w:kern w:val="0"/>
                <w:lang w:bidi="ar"/>
              </w:rPr>
              <w:br w:type="textWrapping"/>
            </w:r>
            <w:r>
              <w:rPr>
                <w:rFonts w:hint="eastAsia" w:cs="宋体"/>
                <w:color w:val="000000"/>
                <w:kern w:val="0"/>
                <w:lang w:bidi="ar"/>
              </w:rPr>
              <w:t>实现根据视频公共预案进行设备应用标签自动标注，同步生产标签包括目录字段和预案名称，标签全域可见</w:t>
            </w:r>
            <w:r>
              <w:rPr>
                <w:rFonts w:hint="eastAsia" w:cs="宋体"/>
                <w:color w:val="000000"/>
                <w:kern w:val="0"/>
                <w:lang w:bidi="ar"/>
              </w:rPr>
              <w:br w:type="textWrapping"/>
            </w:r>
            <w:r>
              <w:rPr>
                <w:rFonts w:hint="eastAsia" w:cs="宋体"/>
                <w:color w:val="000000"/>
                <w:kern w:val="0"/>
                <w:lang w:bidi="ar"/>
              </w:rPr>
              <w:t>实现根据视频个人预案进行设备应用标签自动标注，同步生产标签包括目录字段和预案名称，标签仅个人可见</w:t>
            </w:r>
            <w:r>
              <w:rPr>
                <w:rFonts w:hint="eastAsia" w:cs="宋体"/>
                <w:color w:val="000000"/>
                <w:kern w:val="0"/>
                <w:lang w:bidi="ar"/>
              </w:rPr>
              <w:br w:type="textWrapping"/>
            </w:r>
            <w:r>
              <w:rPr>
                <w:rFonts w:hint="eastAsia" w:cs="宋体"/>
                <w:color w:val="000000"/>
                <w:kern w:val="0"/>
                <w:lang w:bidi="ar"/>
              </w:rPr>
              <w:t>5、个性标签标注：</w:t>
            </w:r>
            <w:r>
              <w:rPr>
                <w:rFonts w:hint="eastAsia" w:cs="宋体"/>
                <w:color w:val="000000"/>
                <w:kern w:val="0"/>
                <w:lang w:bidi="ar"/>
              </w:rPr>
              <w:br w:type="textWrapping"/>
            </w:r>
            <w:r>
              <w:rPr>
                <w:rFonts w:hint="eastAsia" w:cs="宋体"/>
                <w:color w:val="000000"/>
                <w:kern w:val="0"/>
                <w:lang w:bidi="ar"/>
              </w:rPr>
              <w:t>实现根据用户习惯进行设备个性化标签标注</w:t>
            </w:r>
            <w:r>
              <w:rPr>
                <w:rFonts w:hint="eastAsia" w:cs="宋体"/>
                <w:color w:val="000000"/>
                <w:kern w:val="0"/>
                <w:lang w:bidi="ar"/>
              </w:rPr>
              <w:br w:type="textWrapping"/>
            </w:r>
            <w:r>
              <w:rPr>
                <w:rFonts w:hint="eastAsia" w:cs="宋体"/>
                <w:color w:val="000000"/>
                <w:kern w:val="0"/>
                <w:lang w:bidi="ar"/>
              </w:rPr>
              <w:t>实现个性标签权限控制，自定义标签仅个人可用</w:t>
            </w:r>
          </w:p>
        </w:tc>
      </w:tr>
      <w:tr w14:paraId="798B5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381" w:type="pct"/>
            <w:tcBorders>
              <w:tl2br w:val="nil"/>
              <w:tr2bl w:val="nil"/>
            </w:tcBorders>
            <w:vAlign w:val="center"/>
          </w:tcPr>
          <w:p w14:paraId="61D492D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63</w:t>
            </w:r>
          </w:p>
        </w:tc>
        <w:tc>
          <w:tcPr>
            <w:tcW w:w="447" w:type="pct"/>
            <w:vMerge w:val="continue"/>
            <w:tcBorders>
              <w:tl2br w:val="nil"/>
              <w:tr2bl w:val="nil"/>
            </w:tcBorders>
            <w:vAlign w:val="center"/>
          </w:tcPr>
          <w:p w14:paraId="712178B6">
            <w:pPr>
              <w:spacing w:line="240" w:lineRule="auto"/>
              <w:jc w:val="left"/>
              <w:rPr>
                <w:rFonts w:hint="eastAsia" w:cs="宋体"/>
                <w:color w:val="000000"/>
              </w:rPr>
            </w:pPr>
          </w:p>
        </w:tc>
        <w:tc>
          <w:tcPr>
            <w:tcW w:w="453" w:type="pct"/>
            <w:vMerge w:val="continue"/>
            <w:tcBorders>
              <w:tl2br w:val="nil"/>
              <w:tr2bl w:val="nil"/>
            </w:tcBorders>
            <w:vAlign w:val="center"/>
          </w:tcPr>
          <w:p w14:paraId="4B568A8E">
            <w:pPr>
              <w:spacing w:line="240" w:lineRule="auto"/>
              <w:jc w:val="left"/>
              <w:rPr>
                <w:rFonts w:hint="eastAsia" w:cs="宋体"/>
                <w:color w:val="000000"/>
              </w:rPr>
            </w:pPr>
          </w:p>
        </w:tc>
        <w:tc>
          <w:tcPr>
            <w:tcW w:w="429" w:type="pct"/>
            <w:tcBorders>
              <w:tl2br w:val="nil"/>
              <w:tr2bl w:val="nil"/>
            </w:tcBorders>
            <w:vAlign w:val="center"/>
          </w:tcPr>
          <w:p w14:paraId="02F48598">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视频体检</w:t>
            </w:r>
          </w:p>
        </w:tc>
        <w:tc>
          <w:tcPr>
            <w:tcW w:w="3289" w:type="pct"/>
            <w:tcBorders>
              <w:tl2br w:val="nil"/>
              <w:tr2bl w:val="nil"/>
            </w:tcBorders>
            <w:vAlign w:val="center"/>
          </w:tcPr>
          <w:p w14:paraId="0AD29482">
            <w:pPr>
              <w:widowControl/>
              <w:spacing w:line="240" w:lineRule="auto"/>
              <w:ind w:firstLine="0" w:firstLineChars="0"/>
              <w:textAlignment w:val="center"/>
              <w:rPr>
                <w:rFonts w:hint="eastAsia" w:cs="宋体"/>
                <w:color w:val="000000"/>
              </w:rPr>
            </w:pPr>
            <w:r>
              <w:rPr>
                <w:rFonts w:hint="eastAsia" w:cs="宋体"/>
                <w:color w:val="000000"/>
                <w:kern w:val="0"/>
                <w:lang w:bidi="ar"/>
              </w:rPr>
              <w:t>1、体检配置：</w:t>
            </w:r>
            <w:r>
              <w:rPr>
                <w:rFonts w:hint="eastAsia" w:cs="宋体"/>
                <w:color w:val="000000"/>
                <w:kern w:val="0"/>
                <w:lang w:bidi="ar"/>
              </w:rPr>
              <w:br w:type="textWrapping"/>
            </w:r>
            <w:r>
              <w:rPr>
                <w:rFonts w:hint="eastAsia" w:cs="宋体"/>
                <w:color w:val="000000"/>
                <w:kern w:val="0"/>
                <w:lang w:bidi="ar"/>
              </w:rPr>
              <w:t>实现按照行政区划选择体检设备</w:t>
            </w:r>
            <w:r>
              <w:rPr>
                <w:rFonts w:hint="eastAsia" w:cs="宋体"/>
                <w:color w:val="000000"/>
                <w:kern w:val="0"/>
                <w:lang w:bidi="ar"/>
              </w:rPr>
              <w:br w:type="textWrapping"/>
            </w:r>
            <w:r>
              <w:rPr>
                <w:rFonts w:hint="eastAsia" w:cs="宋体"/>
                <w:color w:val="000000"/>
                <w:kern w:val="0"/>
                <w:lang w:bidi="ar"/>
              </w:rPr>
              <w:t>实现配置快照检测周期模式、推送预计消息间隔</w:t>
            </w:r>
            <w:r>
              <w:rPr>
                <w:rFonts w:hint="eastAsia" w:cs="宋体"/>
                <w:color w:val="000000"/>
                <w:kern w:val="0"/>
                <w:lang w:bidi="ar"/>
              </w:rPr>
              <w:br w:type="textWrapping"/>
            </w:r>
            <w:r>
              <w:rPr>
                <w:rFonts w:hint="eastAsia" w:cs="宋体"/>
                <w:color w:val="000000"/>
                <w:kern w:val="0"/>
                <w:lang w:bidi="ar"/>
              </w:rPr>
              <w:t>实现配置画面质量诊断检测周期模式、推送预计消息间隔</w:t>
            </w:r>
            <w:r>
              <w:rPr>
                <w:rFonts w:hint="eastAsia" w:cs="宋体"/>
                <w:color w:val="000000"/>
                <w:kern w:val="0"/>
                <w:lang w:bidi="ar"/>
              </w:rPr>
              <w:br w:type="textWrapping"/>
            </w:r>
            <w:r>
              <w:rPr>
                <w:rFonts w:hint="eastAsia" w:cs="宋体"/>
                <w:color w:val="000000"/>
                <w:kern w:val="0"/>
                <w:lang w:bidi="ar"/>
              </w:rPr>
              <w:t>实现配置录像诊断检测周期模式、推送预计消息间隔</w:t>
            </w:r>
            <w:r>
              <w:rPr>
                <w:rFonts w:hint="eastAsia" w:cs="宋体"/>
                <w:color w:val="000000"/>
                <w:kern w:val="0"/>
                <w:lang w:bidi="ar"/>
              </w:rPr>
              <w:br w:type="textWrapping"/>
            </w:r>
            <w:r>
              <w:rPr>
                <w:rFonts w:hint="eastAsia" w:cs="宋体"/>
                <w:color w:val="000000"/>
                <w:kern w:val="0"/>
                <w:lang w:bidi="ar"/>
              </w:rPr>
              <w:t>2、质量分析：</w:t>
            </w:r>
            <w:r>
              <w:rPr>
                <w:rFonts w:hint="eastAsia" w:cs="宋体"/>
                <w:color w:val="000000"/>
                <w:kern w:val="0"/>
                <w:lang w:bidi="ar"/>
              </w:rPr>
              <w:br w:type="textWrapping"/>
            </w:r>
            <w:r>
              <w:rPr>
                <w:rFonts w:hint="eastAsia" w:cs="宋体"/>
                <w:color w:val="000000"/>
                <w:kern w:val="0"/>
                <w:lang w:bidi="ar"/>
              </w:rPr>
              <w:t>实现展示设备体检统计信息，包括设备总数、体检总数、当前在线设备数、故障点位数量，实现按照录像完整率、基础信息完整率、画面质量完好率、坐标准确性、点位在线率五个维度整体评估体检设备质量，实现展示全部设备和不同建设来源的点位在线率和设备合格率统计信息</w:t>
            </w:r>
            <w:r>
              <w:rPr>
                <w:rFonts w:hint="eastAsia" w:cs="宋体"/>
                <w:color w:val="000000"/>
                <w:kern w:val="0"/>
                <w:lang w:bidi="ar"/>
              </w:rPr>
              <w:br w:type="textWrapping"/>
            </w:r>
            <w:r>
              <w:rPr>
                <w:rFonts w:hint="eastAsia" w:cs="宋体"/>
                <w:color w:val="000000"/>
                <w:kern w:val="0"/>
                <w:lang w:bidi="ar"/>
              </w:rPr>
              <w:t>实现展示基础信息质量体检统计，包括必填字段有效率和坐标准确性，并对不同建设来源的字段填报完整率和坐标准确性进行排行；</w:t>
            </w:r>
            <w:r>
              <w:rPr>
                <w:rFonts w:hint="eastAsia" w:cs="宋体"/>
                <w:color w:val="000000"/>
                <w:kern w:val="0"/>
                <w:lang w:bidi="ar"/>
              </w:rPr>
              <w:br w:type="textWrapping"/>
            </w:r>
            <w:r>
              <w:rPr>
                <w:rFonts w:hint="eastAsia" w:cs="宋体"/>
                <w:color w:val="000000"/>
                <w:kern w:val="0"/>
                <w:lang w:bidi="ar"/>
              </w:rPr>
              <w:t>实现展示视频体检问题分类表，包括基础信息填报体检数量及问题数量、联网质量体检数量及问题数量、画面质量体检数量及问题数量、录像质量体检数量及问题数量</w:t>
            </w:r>
            <w:r>
              <w:rPr>
                <w:rFonts w:hint="eastAsia" w:cs="宋体"/>
                <w:color w:val="000000"/>
                <w:kern w:val="0"/>
                <w:lang w:bidi="ar"/>
              </w:rPr>
              <w:br w:type="textWrapping"/>
            </w:r>
            <w:r>
              <w:rPr>
                <w:rFonts w:hint="eastAsia" w:cs="宋体"/>
                <w:color w:val="000000"/>
                <w:kern w:val="0"/>
                <w:lang w:bidi="ar"/>
              </w:rPr>
              <w:t>实现展示快照检测统计信息，包括全部体检设备的最近一次快照成功率和历史快照成功率、不同分组的最近一次快照成功率和历史快照成功率、全部设备的最近一次开流延时小于3s设备占比和历史开流延时小于3s设备占比、不同分组的最近一次开流延时小于3s设备占比和历史开流延时小于3s设备占比</w:t>
            </w:r>
            <w:r>
              <w:rPr>
                <w:rFonts w:hint="eastAsia" w:cs="宋体"/>
                <w:color w:val="000000"/>
                <w:kern w:val="0"/>
                <w:lang w:bidi="ar"/>
              </w:rPr>
              <w:br w:type="textWrapping"/>
            </w:r>
            <w:r>
              <w:rPr>
                <w:rFonts w:hint="eastAsia" w:cs="宋体"/>
                <w:color w:val="000000"/>
                <w:kern w:val="0"/>
                <w:lang w:bidi="ar"/>
              </w:rPr>
              <w:t>实现展示视频录像诊断统计，包括所有体检设备录像可用率和录像完整率，不同建设来源录像可用率排行、不同建设来源录像完整率排行。实现根据设备建设来源、业务分组、设备类型对比不同视频体检分组的录像可用率排行和录像完整率差异</w:t>
            </w:r>
            <w:r>
              <w:rPr>
                <w:rFonts w:hint="eastAsia" w:cs="宋体"/>
                <w:color w:val="000000"/>
                <w:kern w:val="0"/>
                <w:lang w:bidi="ar"/>
              </w:rPr>
              <w:br w:type="textWrapping"/>
            </w:r>
            <w:r>
              <w:rPr>
                <w:rFonts w:hint="eastAsia" w:cs="宋体"/>
                <w:color w:val="000000"/>
                <w:kern w:val="0"/>
                <w:lang w:bidi="ar"/>
              </w:rPr>
              <w:t>周期态势分析实现按周、按月、按年切换统计</w:t>
            </w:r>
          </w:p>
        </w:tc>
      </w:tr>
      <w:tr w14:paraId="2CA63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2" w:hRule="atLeast"/>
        </w:trPr>
        <w:tc>
          <w:tcPr>
            <w:tcW w:w="381" w:type="pct"/>
            <w:tcBorders>
              <w:tl2br w:val="nil"/>
              <w:tr2bl w:val="nil"/>
            </w:tcBorders>
            <w:vAlign w:val="center"/>
          </w:tcPr>
          <w:p w14:paraId="06941B9F">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64</w:t>
            </w:r>
          </w:p>
        </w:tc>
        <w:tc>
          <w:tcPr>
            <w:tcW w:w="447" w:type="pct"/>
            <w:vMerge w:val="continue"/>
            <w:tcBorders>
              <w:tl2br w:val="nil"/>
              <w:tr2bl w:val="nil"/>
            </w:tcBorders>
            <w:vAlign w:val="center"/>
          </w:tcPr>
          <w:p w14:paraId="047A6D53">
            <w:pPr>
              <w:spacing w:line="240" w:lineRule="auto"/>
              <w:jc w:val="left"/>
              <w:rPr>
                <w:rFonts w:hint="eastAsia" w:cs="宋体"/>
                <w:color w:val="000000"/>
              </w:rPr>
            </w:pPr>
          </w:p>
        </w:tc>
        <w:tc>
          <w:tcPr>
            <w:tcW w:w="453" w:type="pct"/>
            <w:vMerge w:val="continue"/>
            <w:tcBorders>
              <w:tl2br w:val="nil"/>
              <w:tr2bl w:val="nil"/>
            </w:tcBorders>
            <w:vAlign w:val="center"/>
          </w:tcPr>
          <w:p w14:paraId="50BCCF5B">
            <w:pPr>
              <w:spacing w:line="240" w:lineRule="auto"/>
              <w:jc w:val="left"/>
              <w:rPr>
                <w:rFonts w:hint="eastAsia" w:cs="宋体"/>
                <w:color w:val="000000"/>
              </w:rPr>
            </w:pPr>
          </w:p>
        </w:tc>
        <w:tc>
          <w:tcPr>
            <w:tcW w:w="429" w:type="pct"/>
            <w:tcBorders>
              <w:tl2br w:val="nil"/>
              <w:tr2bl w:val="nil"/>
            </w:tcBorders>
            <w:vAlign w:val="center"/>
          </w:tcPr>
          <w:p w14:paraId="4406FC8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精细化权限</w:t>
            </w:r>
          </w:p>
        </w:tc>
        <w:tc>
          <w:tcPr>
            <w:tcW w:w="3289" w:type="pct"/>
            <w:tcBorders>
              <w:tl2br w:val="nil"/>
              <w:tr2bl w:val="nil"/>
            </w:tcBorders>
            <w:vAlign w:val="center"/>
          </w:tcPr>
          <w:p w14:paraId="226BDA36">
            <w:pPr>
              <w:widowControl/>
              <w:spacing w:line="240" w:lineRule="auto"/>
              <w:ind w:firstLine="0" w:firstLineChars="0"/>
              <w:textAlignment w:val="center"/>
              <w:rPr>
                <w:rFonts w:hint="eastAsia" w:cs="宋体"/>
                <w:color w:val="000000"/>
              </w:rPr>
            </w:pPr>
            <w:r>
              <w:rPr>
                <w:rFonts w:hint="eastAsia" w:cs="宋体"/>
                <w:color w:val="000000"/>
                <w:kern w:val="0"/>
                <w:lang w:bidi="ar"/>
              </w:rPr>
              <w:t>1、功能权限配置：</w:t>
            </w:r>
            <w:r>
              <w:rPr>
                <w:rFonts w:hint="eastAsia" w:cs="宋体"/>
                <w:color w:val="000000"/>
                <w:kern w:val="0"/>
                <w:lang w:bidi="ar"/>
              </w:rPr>
              <w:br w:type="textWrapping"/>
            </w:r>
            <w:r>
              <w:rPr>
                <w:rFonts w:hint="eastAsia" w:cs="宋体"/>
                <w:color w:val="000000"/>
                <w:kern w:val="0"/>
                <w:lang w:bidi="ar"/>
              </w:rPr>
              <w:t>以列表展示功能角色信息，包括角色名称、角色描述、授权用户数量、可用状态，并提供查询功能；</w:t>
            </w:r>
            <w:r>
              <w:rPr>
                <w:rFonts w:hint="eastAsia" w:cs="宋体"/>
                <w:color w:val="000000"/>
                <w:kern w:val="0"/>
                <w:lang w:bidi="ar"/>
              </w:rPr>
              <w:br w:type="textWrapping"/>
            </w:r>
            <w:r>
              <w:rPr>
                <w:rFonts w:hint="eastAsia" w:cs="宋体"/>
                <w:color w:val="000000"/>
                <w:kern w:val="0"/>
                <w:lang w:bidi="ar"/>
              </w:rPr>
              <w:t>对角色按照功能进行授权，实现对平台功能的通用鉴权管理；</w:t>
            </w:r>
            <w:r>
              <w:rPr>
                <w:rFonts w:hint="eastAsia" w:cs="宋体"/>
                <w:color w:val="000000"/>
                <w:kern w:val="0"/>
                <w:lang w:bidi="ar"/>
              </w:rPr>
              <w:br w:type="textWrapping"/>
            </w:r>
            <w:r>
              <w:rPr>
                <w:rFonts w:hint="eastAsia" w:cs="宋体"/>
                <w:color w:val="000000"/>
                <w:kern w:val="0"/>
                <w:lang w:bidi="ar"/>
              </w:rPr>
              <w:t>实现功能权限控制，实现按钮级权限控制；</w:t>
            </w:r>
            <w:r>
              <w:rPr>
                <w:rFonts w:hint="eastAsia" w:cs="宋体"/>
                <w:color w:val="000000"/>
                <w:kern w:val="0"/>
                <w:lang w:bidi="ar"/>
              </w:rPr>
              <w:br w:type="textWrapping"/>
            </w:r>
            <w:r>
              <w:rPr>
                <w:rFonts w:hint="eastAsia" w:cs="宋体"/>
                <w:color w:val="000000"/>
                <w:kern w:val="0"/>
                <w:lang w:bidi="ar"/>
              </w:rPr>
              <w:t>2、设备权限配置：</w:t>
            </w:r>
            <w:r>
              <w:rPr>
                <w:rFonts w:hint="eastAsia" w:cs="宋体"/>
                <w:color w:val="000000"/>
                <w:kern w:val="0"/>
                <w:lang w:bidi="ar"/>
              </w:rPr>
              <w:br w:type="textWrapping"/>
            </w:r>
            <w:r>
              <w:rPr>
                <w:rFonts w:hint="eastAsia" w:cs="宋体"/>
                <w:color w:val="000000"/>
                <w:kern w:val="0"/>
                <w:lang w:bidi="ar"/>
              </w:rPr>
              <w:t>以列表展示设备角色信息，包括角色名称、角色描述、授权用户数量、可用状态，并提供查询功能；</w:t>
            </w:r>
            <w:r>
              <w:rPr>
                <w:rFonts w:hint="eastAsia" w:cs="宋体"/>
                <w:color w:val="000000"/>
                <w:kern w:val="0"/>
                <w:lang w:bidi="ar"/>
              </w:rPr>
              <w:br w:type="textWrapping"/>
            </w:r>
            <w:r>
              <w:rPr>
                <w:rFonts w:hint="eastAsia" w:cs="宋体"/>
                <w:color w:val="000000"/>
                <w:kern w:val="0"/>
                <w:lang w:bidi="ar"/>
              </w:rPr>
              <w:t>实现对设备角色按照设备进行授权，实现对平台设备的通用鉴权管理；</w:t>
            </w:r>
            <w:r>
              <w:rPr>
                <w:rFonts w:hint="eastAsia" w:cs="宋体"/>
                <w:color w:val="000000"/>
                <w:kern w:val="0"/>
                <w:lang w:bidi="ar"/>
              </w:rPr>
              <w:br w:type="textWrapping"/>
            </w:r>
            <w:r>
              <w:rPr>
                <w:rFonts w:hint="eastAsia" w:cs="宋体"/>
                <w:color w:val="000000"/>
                <w:kern w:val="0"/>
                <w:lang w:bidi="ar"/>
              </w:rPr>
              <w:t>以列表展示设备权限信息，包括实时浏览权限、历史点播权限、云台控制权限等；</w:t>
            </w:r>
            <w:r>
              <w:rPr>
                <w:rFonts w:hint="eastAsia" w:cs="宋体"/>
                <w:color w:val="000000"/>
                <w:kern w:val="0"/>
                <w:lang w:bidi="ar"/>
              </w:rPr>
              <w:br w:type="textWrapping"/>
            </w:r>
            <w:r>
              <w:rPr>
                <w:rFonts w:hint="eastAsia" w:cs="宋体"/>
                <w:color w:val="000000"/>
                <w:kern w:val="0"/>
                <w:lang w:bidi="ar"/>
              </w:rPr>
              <w:t>3、服务权限配置：</w:t>
            </w:r>
            <w:r>
              <w:rPr>
                <w:rFonts w:hint="eastAsia" w:cs="宋体"/>
                <w:color w:val="000000"/>
                <w:kern w:val="0"/>
                <w:lang w:bidi="ar"/>
              </w:rPr>
              <w:br w:type="textWrapping"/>
            </w:r>
            <w:r>
              <w:rPr>
                <w:rFonts w:hint="eastAsia" w:cs="宋体"/>
                <w:color w:val="000000"/>
                <w:kern w:val="0"/>
                <w:lang w:bidi="ar"/>
              </w:rPr>
              <w:t>以列表展示服务角色信息，包括角色名称、角色描述、授权用户数量、可用状态，并提供查询功能；</w:t>
            </w:r>
            <w:r>
              <w:rPr>
                <w:rFonts w:hint="eastAsia" w:cs="宋体"/>
                <w:color w:val="000000"/>
                <w:kern w:val="0"/>
                <w:lang w:bidi="ar"/>
              </w:rPr>
              <w:br w:type="textWrapping"/>
            </w:r>
            <w:r>
              <w:rPr>
                <w:rFonts w:hint="eastAsia" w:cs="宋体"/>
                <w:color w:val="000000"/>
                <w:kern w:val="0"/>
                <w:lang w:bidi="ar"/>
              </w:rPr>
              <w:t>以列表形式展示服务信息，包括服务名称、接口地址等；按照服务标签快速筛选服务信息；</w:t>
            </w:r>
            <w:r>
              <w:rPr>
                <w:rFonts w:hint="eastAsia" w:cs="宋体"/>
                <w:color w:val="000000"/>
                <w:kern w:val="0"/>
                <w:lang w:bidi="ar"/>
              </w:rPr>
              <w:br w:type="textWrapping"/>
            </w:r>
            <w:r>
              <w:rPr>
                <w:rFonts w:hint="eastAsia" w:cs="宋体"/>
                <w:color w:val="000000"/>
                <w:kern w:val="0"/>
                <w:lang w:bidi="ar"/>
              </w:rPr>
              <w:t>按照是否添加服务限制快速查询服务信息，服务限制包括每日调用次数、单次数据量、每日数据量；</w:t>
            </w:r>
            <w:r>
              <w:rPr>
                <w:rFonts w:hint="eastAsia" w:cs="宋体"/>
                <w:color w:val="000000"/>
                <w:kern w:val="0"/>
                <w:lang w:bidi="ar"/>
              </w:rPr>
              <w:br w:type="textWrapping"/>
            </w:r>
            <w:r>
              <w:rPr>
                <w:rFonts w:hint="eastAsia" w:cs="宋体"/>
                <w:color w:val="000000"/>
                <w:kern w:val="0"/>
                <w:lang w:bidi="ar"/>
              </w:rPr>
              <w:t>4专题权限配置：</w:t>
            </w:r>
            <w:r>
              <w:rPr>
                <w:rFonts w:hint="eastAsia" w:cs="宋体"/>
                <w:color w:val="000000"/>
                <w:kern w:val="0"/>
                <w:lang w:bidi="ar"/>
              </w:rPr>
              <w:br w:type="textWrapping"/>
            </w:r>
            <w:r>
              <w:rPr>
                <w:rFonts w:hint="eastAsia" w:cs="宋体"/>
                <w:color w:val="000000"/>
                <w:kern w:val="0"/>
                <w:lang w:bidi="ar"/>
              </w:rPr>
              <w:t>以列表展示设备角色信息，包括角色名称、角色描述、授权用户数量、可用状态，并提供查询功能；</w:t>
            </w:r>
            <w:r>
              <w:rPr>
                <w:rFonts w:hint="eastAsia" w:cs="宋体"/>
                <w:color w:val="000000"/>
                <w:kern w:val="0"/>
                <w:lang w:bidi="ar"/>
              </w:rPr>
              <w:br w:type="textWrapping"/>
            </w:r>
            <w:r>
              <w:rPr>
                <w:rFonts w:hint="eastAsia" w:cs="宋体"/>
                <w:color w:val="000000"/>
                <w:kern w:val="0"/>
                <w:lang w:bidi="ar"/>
              </w:rPr>
              <w:t>以列表展示设备权限信息，包括实时浏览权限、历史点播权限、云台控制权限等；</w:t>
            </w:r>
            <w:r>
              <w:rPr>
                <w:rFonts w:hint="eastAsia" w:cs="宋体"/>
                <w:color w:val="000000"/>
                <w:kern w:val="0"/>
                <w:lang w:bidi="ar"/>
              </w:rPr>
              <w:br w:type="textWrapping"/>
            </w:r>
            <w:r>
              <w:rPr>
                <w:rFonts w:hint="eastAsia" w:cs="宋体"/>
                <w:color w:val="000000"/>
                <w:kern w:val="0"/>
                <w:lang w:bidi="ar"/>
              </w:rPr>
              <w:t>实现专题权限控制，包括专题查看、专题执行、专题编辑；</w:t>
            </w:r>
          </w:p>
        </w:tc>
      </w:tr>
      <w:tr w14:paraId="32B6D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4" w:hRule="atLeast"/>
        </w:trPr>
        <w:tc>
          <w:tcPr>
            <w:tcW w:w="381" w:type="pct"/>
            <w:tcBorders>
              <w:tl2br w:val="nil"/>
              <w:tr2bl w:val="nil"/>
            </w:tcBorders>
            <w:vAlign w:val="center"/>
          </w:tcPr>
          <w:p w14:paraId="7BD670D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65</w:t>
            </w:r>
          </w:p>
        </w:tc>
        <w:tc>
          <w:tcPr>
            <w:tcW w:w="447" w:type="pct"/>
            <w:vMerge w:val="continue"/>
            <w:tcBorders>
              <w:tl2br w:val="nil"/>
              <w:tr2bl w:val="nil"/>
            </w:tcBorders>
            <w:vAlign w:val="center"/>
          </w:tcPr>
          <w:p w14:paraId="03E3DB2B">
            <w:pPr>
              <w:spacing w:line="240" w:lineRule="auto"/>
              <w:jc w:val="left"/>
              <w:rPr>
                <w:rFonts w:hint="eastAsia" w:cs="宋体"/>
                <w:color w:val="000000"/>
              </w:rPr>
            </w:pPr>
          </w:p>
        </w:tc>
        <w:tc>
          <w:tcPr>
            <w:tcW w:w="453" w:type="pct"/>
            <w:vMerge w:val="restart"/>
            <w:tcBorders>
              <w:tl2br w:val="nil"/>
              <w:tr2bl w:val="nil"/>
            </w:tcBorders>
            <w:vAlign w:val="center"/>
          </w:tcPr>
          <w:p w14:paraId="48EDC71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市区级联模块</w:t>
            </w:r>
          </w:p>
        </w:tc>
        <w:tc>
          <w:tcPr>
            <w:tcW w:w="429" w:type="pct"/>
            <w:tcBorders>
              <w:tl2br w:val="nil"/>
              <w:tr2bl w:val="nil"/>
            </w:tcBorders>
            <w:vAlign w:val="center"/>
          </w:tcPr>
          <w:p w14:paraId="0D7289A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级联注册</w:t>
            </w:r>
          </w:p>
        </w:tc>
        <w:tc>
          <w:tcPr>
            <w:tcW w:w="3289" w:type="pct"/>
            <w:tcBorders>
              <w:tl2br w:val="nil"/>
              <w:tr2bl w:val="nil"/>
            </w:tcBorders>
            <w:vAlign w:val="center"/>
          </w:tcPr>
          <w:p w14:paraId="220C493B">
            <w:pPr>
              <w:widowControl/>
              <w:spacing w:line="240" w:lineRule="auto"/>
              <w:ind w:firstLine="0" w:firstLineChars="0"/>
              <w:textAlignment w:val="center"/>
              <w:rPr>
                <w:rFonts w:hint="eastAsia" w:cs="宋体"/>
                <w:color w:val="000000"/>
              </w:rPr>
            </w:pPr>
            <w:r>
              <w:rPr>
                <w:rFonts w:hint="eastAsia" w:cs="宋体"/>
                <w:color w:val="000000"/>
                <w:kern w:val="0"/>
                <w:lang w:bidi="ar"/>
              </w:rPr>
              <w:t>1、级联申请：</w:t>
            </w:r>
            <w:r>
              <w:rPr>
                <w:rFonts w:hint="eastAsia" w:cs="宋体"/>
                <w:color w:val="000000"/>
                <w:kern w:val="0"/>
                <w:lang w:bidi="ar"/>
              </w:rPr>
              <w:br w:type="textWrapping"/>
            </w:r>
            <w:r>
              <w:rPr>
                <w:rFonts w:hint="eastAsia" w:cs="宋体"/>
                <w:color w:val="000000"/>
                <w:kern w:val="0"/>
                <w:lang w:bidi="ar"/>
              </w:rPr>
              <w:t>提供上级平台信息填报、修改，包括平台名称、编号、IP等信息；</w:t>
            </w:r>
            <w:r>
              <w:rPr>
                <w:rFonts w:hint="eastAsia" w:cs="宋体"/>
                <w:color w:val="000000"/>
                <w:kern w:val="0"/>
                <w:lang w:bidi="ar"/>
              </w:rPr>
              <w:br w:type="textWrapping"/>
            </w:r>
            <w:r>
              <w:rPr>
                <w:rFonts w:hint="eastAsia" w:cs="宋体"/>
                <w:color w:val="000000"/>
                <w:kern w:val="0"/>
                <w:lang w:bidi="ar"/>
              </w:rPr>
              <w:t>提供本级平台信息填报、修改，包括平台名称、IP、回调地址及联系人等信息</w:t>
            </w:r>
            <w:r>
              <w:rPr>
                <w:rFonts w:hint="eastAsia" w:cs="宋体"/>
                <w:color w:val="000000"/>
                <w:kern w:val="0"/>
                <w:lang w:bidi="ar"/>
              </w:rPr>
              <w:br w:type="textWrapping"/>
            </w:r>
            <w:r>
              <w:rPr>
                <w:rFonts w:hint="eastAsia" w:cs="宋体"/>
                <w:color w:val="000000"/>
                <w:kern w:val="0"/>
                <w:lang w:bidi="ar"/>
              </w:rPr>
              <w:t>提供平台级联申请发起，实现申请状态查看</w:t>
            </w:r>
            <w:r>
              <w:rPr>
                <w:rFonts w:hint="eastAsia" w:cs="宋体"/>
                <w:color w:val="000000"/>
                <w:kern w:val="0"/>
                <w:lang w:bidi="ar"/>
              </w:rPr>
              <w:br w:type="textWrapping"/>
            </w:r>
            <w:r>
              <w:rPr>
                <w:rFonts w:hint="eastAsia" w:cs="宋体"/>
                <w:color w:val="000000"/>
                <w:kern w:val="0"/>
                <w:lang w:bidi="ar"/>
              </w:rPr>
              <w:t>申请通过后，实现上级平台查看及复制的下级平台级联token信息及平台ID</w:t>
            </w:r>
            <w:r>
              <w:rPr>
                <w:rFonts w:hint="eastAsia" w:cs="宋体"/>
                <w:color w:val="000000"/>
                <w:kern w:val="0"/>
                <w:lang w:bidi="ar"/>
              </w:rPr>
              <w:br w:type="textWrapping"/>
            </w:r>
            <w:r>
              <w:rPr>
                <w:rFonts w:hint="eastAsia" w:cs="宋体"/>
                <w:color w:val="000000"/>
                <w:kern w:val="0"/>
                <w:lang w:bidi="ar"/>
              </w:rPr>
              <w:t>2、注册管理：</w:t>
            </w:r>
            <w:r>
              <w:rPr>
                <w:rFonts w:hint="eastAsia" w:cs="宋体"/>
                <w:color w:val="000000"/>
                <w:kern w:val="0"/>
                <w:lang w:bidi="ar"/>
              </w:rPr>
              <w:br w:type="textWrapping"/>
            </w:r>
            <w:r>
              <w:rPr>
                <w:rFonts w:hint="eastAsia" w:cs="宋体"/>
                <w:color w:val="000000"/>
                <w:kern w:val="0"/>
                <w:lang w:bidi="ar"/>
              </w:rPr>
              <w:t>提供注册认证功能，实现向上级平台发起注册及认证，注册失败实现自动发起注册，注册成功后实现自动保活</w:t>
            </w:r>
            <w:r>
              <w:rPr>
                <w:rFonts w:hint="eastAsia" w:cs="宋体"/>
                <w:color w:val="000000"/>
                <w:kern w:val="0"/>
                <w:lang w:bidi="ar"/>
              </w:rPr>
              <w:br w:type="textWrapping"/>
            </w:r>
            <w:r>
              <w:rPr>
                <w:rFonts w:hint="eastAsia" w:cs="宋体"/>
                <w:color w:val="000000"/>
                <w:kern w:val="0"/>
                <w:lang w:bidi="ar"/>
              </w:rPr>
              <w:t>提供平台下线功能，实现本级平台向上级平台发起下线申请以及填报下线原因</w:t>
            </w:r>
            <w:r>
              <w:rPr>
                <w:rFonts w:hint="eastAsia" w:cs="宋体"/>
                <w:color w:val="000000"/>
                <w:kern w:val="0"/>
                <w:lang w:bidi="ar"/>
              </w:rPr>
              <w:br w:type="textWrapping"/>
            </w:r>
            <w:r>
              <w:rPr>
                <w:rFonts w:hint="eastAsia" w:cs="宋体"/>
                <w:color w:val="000000"/>
                <w:kern w:val="0"/>
                <w:lang w:bidi="ar"/>
              </w:rPr>
              <w:t>注册申请通过后，实现查看平台保活状态</w:t>
            </w:r>
            <w:r>
              <w:rPr>
                <w:rFonts w:hint="eastAsia" w:cs="宋体"/>
                <w:color w:val="000000"/>
                <w:kern w:val="0"/>
                <w:lang w:bidi="ar"/>
              </w:rPr>
              <w:br w:type="textWrapping"/>
            </w:r>
            <w:r>
              <w:rPr>
                <w:rFonts w:hint="eastAsia" w:cs="宋体"/>
                <w:color w:val="000000"/>
                <w:kern w:val="0"/>
                <w:lang w:bidi="ar"/>
              </w:rPr>
              <w:t>提供平台保活统计功能，包括保活占比、最近五次保活记录</w:t>
            </w:r>
            <w:r>
              <w:rPr>
                <w:rFonts w:hint="eastAsia" w:cs="宋体"/>
                <w:color w:val="000000"/>
                <w:kern w:val="0"/>
                <w:lang w:bidi="ar"/>
              </w:rPr>
              <w:br w:type="textWrapping"/>
            </w:r>
            <w:r>
              <w:rPr>
                <w:rFonts w:hint="eastAsia" w:cs="宋体"/>
                <w:color w:val="000000"/>
                <w:kern w:val="0"/>
                <w:lang w:bidi="ar"/>
              </w:rPr>
              <w:t>提供平台保活详情功能，实现查询平台历史保活记录</w:t>
            </w:r>
            <w:r>
              <w:rPr>
                <w:rFonts w:hint="eastAsia" w:cs="宋体"/>
                <w:color w:val="000000"/>
                <w:kern w:val="0"/>
                <w:lang w:bidi="ar"/>
              </w:rPr>
              <w:br w:type="textWrapping"/>
            </w:r>
            <w:r>
              <w:rPr>
                <w:rFonts w:hint="eastAsia" w:cs="宋体"/>
                <w:color w:val="000000"/>
                <w:kern w:val="0"/>
                <w:lang w:bidi="ar"/>
              </w:rPr>
              <w:t>提供注册申请查询功能，实现按照平台名称，更新时间，审核状态查询下级平台注册信息</w:t>
            </w:r>
          </w:p>
        </w:tc>
      </w:tr>
      <w:tr w14:paraId="36CBC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4" w:hRule="atLeast"/>
        </w:trPr>
        <w:tc>
          <w:tcPr>
            <w:tcW w:w="381" w:type="pct"/>
            <w:tcBorders>
              <w:tl2br w:val="nil"/>
              <w:tr2bl w:val="nil"/>
            </w:tcBorders>
            <w:vAlign w:val="center"/>
          </w:tcPr>
          <w:p w14:paraId="0EE6F6C7">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66</w:t>
            </w:r>
          </w:p>
        </w:tc>
        <w:tc>
          <w:tcPr>
            <w:tcW w:w="447" w:type="pct"/>
            <w:vMerge w:val="continue"/>
            <w:tcBorders>
              <w:tl2br w:val="nil"/>
              <w:tr2bl w:val="nil"/>
            </w:tcBorders>
            <w:vAlign w:val="center"/>
          </w:tcPr>
          <w:p w14:paraId="71EED0AC">
            <w:pPr>
              <w:spacing w:line="240" w:lineRule="auto"/>
              <w:jc w:val="left"/>
              <w:rPr>
                <w:rFonts w:hint="eastAsia" w:cs="宋体"/>
                <w:color w:val="000000"/>
              </w:rPr>
            </w:pPr>
          </w:p>
        </w:tc>
        <w:tc>
          <w:tcPr>
            <w:tcW w:w="453" w:type="pct"/>
            <w:vMerge w:val="continue"/>
            <w:tcBorders>
              <w:tl2br w:val="nil"/>
              <w:tr2bl w:val="nil"/>
            </w:tcBorders>
            <w:vAlign w:val="center"/>
          </w:tcPr>
          <w:p w14:paraId="51311B57">
            <w:pPr>
              <w:spacing w:line="240" w:lineRule="auto"/>
              <w:jc w:val="left"/>
              <w:rPr>
                <w:rFonts w:hint="eastAsia" w:cs="宋体"/>
                <w:color w:val="000000"/>
              </w:rPr>
            </w:pPr>
          </w:p>
        </w:tc>
        <w:tc>
          <w:tcPr>
            <w:tcW w:w="429" w:type="pct"/>
            <w:tcBorders>
              <w:tl2br w:val="nil"/>
              <w:tr2bl w:val="nil"/>
            </w:tcBorders>
            <w:vAlign w:val="center"/>
          </w:tcPr>
          <w:p w14:paraId="34B4A28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级联管理</w:t>
            </w:r>
          </w:p>
        </w:tc>
        <w:tc>
          <w:tcPr>
            <w:tcW w:w="3289" w:type="pct"/>
            <w:tcBorders>
              <w:tl2br w:val="nil"/>
              <w:tr2bl w:val="nil"/>
            </w:tcBorders>
            <w:vAlign w:val="center"/>
          </w:tcPr>
          <w:p w14:paraId="076F6B10">
            <w:pPr>
              <w:widowControl/>
              <w:spacing w:line="240" w:lineRule="auto"/>
              <w:textAlignment w:val="center"/>
              <w:rPr>
                <w:rFonts w:hint="eastAsia" w:cs="宋体"/>
                <w:color w:val="000000"/>
              </w:rPr>
            </w:pPr>
            <w:r>
              <w:rPr>
                <w:rFonts w:hint="eastAsia" w:cs="宋体"/>
                <w:color w:val="000000"/>
                <w:kern w:val="0"/>
                <w:lang w:bidi="ar"/>
              </w:rPr>
              <w:t>1、级联任务管理：</w:t>
            </w:r>
            <w:r>
              <w:rPr>
                <w:rFonts w:hint="eastAsia" w:cs="宋体"/>
                <w:color w:val="000000"/>
                <w:kern w:val="0"/>
                <w:lang w:bidi="ar"/>
              </w:rPr>
              <w:br w:type="textWrapping"/>
            </w:r>
            <w:r>
              <w:rPr>
                <w:rFonts w:hint="eastAsia" w:cs="宋体"/>
                <w:color w:val="000000"/>
                <w:kern w:val="0"/>
                <w:lang w:bidi="ar"/>
              </w:rPr>
              <w:t>任务中心提供向上级平台新建常态级联任务功能，包括配置任务名称、任务时间级联范围等信息；常态级联任务实现设备级联、快照级联、预案级联配置</w:t>
            </w:r>
            <w:r>
              <w:rPr>
                <w:rFonts w:hint="eastAsia" w:cs="宋体"/>
                <w:color w:val="000000"/>
                <w:kern w:val="0"/>
                <w:lang w:bidi="ar"/>
              </w:rPr>
              <w:br w:type="textWrapping"/>
            </w:r>
            <w:r>
              <w:rPr>
                <w:rFonts w:hint="eastAsia" w:cs="宋体"/>
                <w:color w:val="000000"/>
                <w:kern w:val="0"/>
                <w:lang w:bidi="ar"/>
              </w:rPr>
              <w:t>任务中心提供为下级平台新建专项级联任务功能，包括配置任务名称、任务介绍、任务时间、任务关联平台、级联范围等信息；专项级联任务实现预案级联配置</w:t>
            </w:r>
            <w:r>
              <w:rPr>
                <w:rFonts w:hint="eastAsia" w:cs="宋体"/>
                <w:color w:val="000000"/>
                <w:kern w:val="0"/>
                <w:lang w:bidi="ar"/>
              </w:rPr>
              <w:br w:type="textWrapping"/>
            </w:r>
            <w:r>
              <w:rPr>
                <w:rFonts w:hint="eastAsia" w:cs="宋体"/>
                <w:color w:val="000000"/>
                <w:kern w:val="0"/>
                <w:lang w:bidi="ar"/>
              </w:rPr>
              <w:t>实现列表或卡片视图查看级联任务，包括任务名称、任务类型、级联类型、最近一次任务同步时间等信息</w:t>
            </w:r>
            <w:r>
              <w:rPr>
                <w:rFonts w:hint="eastAsia" w:cs="宋体"/>
                <w:color w:val="000000"/>
                <w:kern w:val="0"/>
                <w:lang w:bidi="ar"/>
              </w:rPr>
              <w:br w:type="textWrapping"/>
            </w:r>
            <w:r>
              <w:rPr>
                <w:rFonts w:hint="eastAsia" w:cs="宋体"/>
                <w:color w:val="000000"/>
                <w:kern w:val="0"/>
                <w:lang w:bidi="ar"/>
              </w:rPr>
              <w:t>实现通过任务名称、任务类型、级联类型、任务状态查询级联任务</w:t>
            </w:r>
            <w:r>
              <w:rPr>
                <w:rFonts w:hint="eastAsia" w:cs="宋体"/>
                <w:color w:val="000000"/>
                <w:kern w:val="0"/>
                <w:lang w:bidi="ar"/>
              </w:rPr>
              <w:br w:type="textWrapping"/>
            </w:r>
            <w:r>
              <w:rPr>
                <w:rFonts w:hint="eastAsia" w:cs="宋体"/>
                <w:color w:val="000000"/>
                <w:kern w:val="0"/>
                <w:lang w:bidi="ar"/>
              </w:rPr>
              <w:t>提供查看本级平台创建的专项级联任务详情功能，包括任务名称，任务介绍，下级平台历史同步记录；同步记录实现查看同步内容、同步时间、增量变化等信息</w:t>
            </w:r>
            <w:r>
              <w:rPr>
                <w:rFonts w:hint="eastAsia" w:cs="宋体"/>
                <w:color w:val="000000"/>
                <w:kern w:val="0"/>
                <w:lang w:bidi="ar"/>
              </w:rPr>
              <w:br w:type="textWrapping"/>
            </w:r>
            <w:r>
              <w:rPr>
                <w:rFonts w:hint="eastAsia" w:cs="宋体"/>
                <w:color w:val="000000"/>
                <w:kern w:val="0"/>
                <w:lang w:bidi="ar"/>
              </w:rPr>
              <w:t>实现按周期自动执行任务同步或手动同步级联任务</w:t>
            </w:r>
            <w:r>
              <w:rPr>
                <w:rFonts w:hint="eastAsia" w:cs="宋体"/>
                <w:color w:val="000000"/>
                <w:kern w:val="0"/>
                <w:lang w:bidi="ar"/>
              </w:rPr>
              <w:br w:type="textWrapping"/>
            </w:r>
            <w:r>
              <w:rPr>
                <w:rFonts w:hint="eastAsia" w:cs="宋体"/>
                <w:color w:val="000000"/>
                <w:kern w:val="0"/>
                <w:lang w:bidi="ar"/>
              </w:rPr>
              <w:t>2、级联待办事项管理：</w:t>
            </w:r>
            <w:r>
              <w:rPr>
                <w:rFonts w:hint="eastAsia" w:cs="宋体"/>
                <w:color w:val="000000"/>
                <w:kern w:val="0"/>
                <w:lang w:bidi="ar"/>
              </w:rPr>
              <w:br w:type="textWrapping"/>
            </w:r>
            <w:r>
              <w:rPr>
                <w:rFonts w:hint="eastAsia" w:cs="宋体"/>
                <w:color w:val="000000"/>
                <w:kern w:val="0"/>
                <w:lang w:bidi="ar"/>
              </w:rPr>
              <w:t>实现通过待办事项查看需要执行操作的任务，包括任务审核、任务签收、任务同步</w:t>
            </w:r>
            <w:r>
              <w:rPr>
                <w:rFonts w:hint="eastAsia" w:cs="宋体"/>
                <w:color w:val="000000"/>
                <w:kern w:val="0"/>
                <w:lang w:bidi="ar"/>
              </w:rPr>
              <w:br w:type="textWrapping"/>
            </w:r>
            <w:r>
              <w:rPr>
                <w:rFonts w:hint="eastAsia" w:cs="宋体"/>
                <w:color w:val="000000"/>
                <w:kern w:val="0"/>
                <w:lang w:bidi="ar"/>
              </w:rPr>
              <w:t>实现通过任务名称、任务状态、任务类型、创建平台、级联类型查询需要</w:t>
            </w:r>
            <w:r>
              <w:rPr>
                <w:rFonts w:hint="eastAsia" w:cs="宋体"/>
                <w:color w:val="000000"/>
                <w:kern w:val="0"/>
                <w:lang w:eastAsia="zh-CN" w:bidi="ar"/>
              </w:rPr>
              <w:t>执行</w:t>
            </w:r>
            <w:r>
              <w:rPr>
                <w:rFonts w:hint="eastAsia" w:cs="宋体"/>
                <w:color w:val="000000"/>
                <w:kern w:val="0"/>
                <w:lang w:bidi="ar"/>
              </w:rPr>
              <w:t>操作的任务</w:t>
            </w:r>
            <w:r>
              <w:rPr>
                <w:rFonts w:hint="eastAsia" w:cs="宋体"/>
                <w:color w:val="000000"/>
                <w:kern w:val="0"/>
                <w:lang w:bidi="ar"/>
              </w:rPr>
              <w:br w:type="textWrapping"/>
            </w:r>
            <w:r>
              <w:rPr>
                <w:rFonts w:hint="eastAsia" w:cs="宋体"/>
                <w:color w:val="000000"/>
                <w:kern w:val="0"/>
                <w:lang w:bidi="ar"/>
              </w:rPr>
              <w:t>3、级联同步记录：</w:t>
            </w:r>
            <w:r>
              <w:rPr>
                <w:rFonts w:hint="eastAsia" w:cs="宋体"/>
                <w:color w:val="000000"/>
                <w:kern w:val="0"/>
                <w:lang w:bidi="ar"/>
              </w:rPr>
              <w:br w:type="textWrapping"/>
            </w:r>
            <w:r>
              <w:rPr>
                <w:rFonts w:hint="eastAsia" w:cs="宋体"/>
                <w:color w:val="000000"/>
                <w:kern w:val="0"/>
                <w:lang w:bidi="ar"/>
              </w:rPr>
              <w:t>实现列表展示级联同步记录信息，包括平台名称、同步时间、任务名称、级联类型、处理状态、同步数据数量等</w:t>
            </w:r>
            <w:r>
              <w:rPr>
                <w:rFonts w:hint="eastAsia" w:cs="宋体"/>
                <w:color w:val="000000"/>
                <w:kern w:val="0"/>
                <w:lang w:bidi="ar"/>
              </w:rPr>
              <w:br w:type="textWrapping"/>
            </w:r>
            <w:r>
              <w:rPr>
                <w:rFonts w:hint="eastAsia" w:cs="宋体"/>
                <w:color w:val="000000"/>
                <w:kern w:val="0"/>
                <w:lang w:bidi="ar"/>
              </w:rPr>
              <w:t>实现查看设备级联同步详情，包括同步设备数量、设备属性、变更类型</w:t>
            </w:r>
            <w:r>
              <w:rPr>
                <w:rFonts w:hint="eastAsia" w:cs="宋体"/>
                <w:color w:val="000000"/>
                <w:kern w:val="0"/>
                <w:lang w:bidi="ar"/>
              </w:rPr>
              <w:br w:type="textWrapping"/>
            </w:r>
            <w:r>
              <w:rPr>
                <w:rFonts w:hint="eastAsia" w:cs="宋体"/>
                <w:color w:val="000000"/>
                <w:kern w:val="0"/>
                <w:lang w:bidi="ar"/>
              </w:rPr>
              <w:t>实现查看快照级联同步详情，包括快照设备编码、轮巡时间、开流延时、分辨率、快照大小、轮巡结果等</w:t>
            </w:r>
            <w:r>
              <w:rPr>
                <w:rFonts w:hint="eastAsia" w:cs="宋体"/>
                <w:color w:val="000000"/>
                <w:kern w:val="0"/>
                <w:lang w:bidi="ar"/>
              </w:rPr>
              <w:br w:type="textWrapping"/>
            </w:r>
            <w:r>
              <w:rPr>
                <w:rFonts w:hint="eastAsia" w:cs="宋体"/>
                <w:color w:val="000000"/>
                <w:kern w:val="0"/>
                <w:lang w:bidi="ar"/>
              </w:rPr>
              <w:t>实现查看预案级联同步详情，包括预案名称、预案目录、预案下设备数量、预案变更类型等</w:t>
            </w:r>
            <w:r>
              <w:rPr>
                <w:rFonts w:hint="eastAsia" w:cs="宋体"/>
                <w:color w:val="000000"/>
                <w:kern w:val="0"/>
                <w:lang w:bidi="ar"/>
              </w:rPr>
              <w:br w:type="textWrapping"/>
            </w:r>
            <w:r>
              <w:rPr>
                <w:rFonts w:hint="eastAsia" w:cs="宋体"/>
                <w:color w:val="000000"/>
                <w:kern w:val="0"/>
                <w:lang w:bidi="ar"/>
              </w:rPr>
              <w:t>实现按照平台名称、同步时间、级联类型、处理状态查询同步记录</w:t>
            </w:r>
          </w:p>
        </w:tc>
      </w:tr>
      <w:tr w14:paraId="06594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trPr>
        <w:tc>
          <w:tcPr>
            <w:tcW w:w="381" w:type="pct"/>
            <w:tcBorders>
              <w:tl2br w:val="nil"/>
              <w:tr2bl w:val="nil"/>
            </w:tcBorders>
            <w:vAlign w:val="center"/>
          </w:tcPr>
          <w:p w14:paraId="613978CF">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67</w:t>
            </w:r>
          </w:p>
        </w:tc>
        <w:tc>
          <w:tcPr>
            <w:tcW w:w="447" w:type="pct"/>
            <w:vMerge w:val="continue"/>
            <w:tcBorders>
              <w:tl2br w:val="nil"/>
              <w:tr2bl w:val="nil"/>
            </w:tcBorders>
            <w:vAlign w:val="center"/>
          </w:tcPr>
          <w:p w14:paraId="1E913574">
            <w:pPr>
              <w:spacing w:line="240" w:lineRule="auto"/>
              <w:jc w:val="left"/>
              <w:rPr>
                <w:rFonts w:hint="eastAsia" w:cs="宋体"/>
                <w:color w:val="000000"/>
              </w:rPr>
            </w:pPr>
          </w:p>
        </w:tc>
        <w:tc>
          <w:tcPr>
            <w:tcW w:w="453" w:type="pct"/>
            <w:vMerge w:val="continue"/>
            <w:tcBorders>
              <w:tl2br w:val="nil"/>
              <w:tr2bl w:val="nil"/>
            </w:tcBorders>
            <w:vAlign w:val="center"/>
          </w:tcPr>
          <w:p w14:paraId="105D01F5">
            <w:pPr>
              <w:spacing w:line="240" w:lineRule="auto"/>
              <w:jc w:val="left"/>
              <w:rPr>
                <w:rFonts w:hint="eastAsia" w:cs="宋体"/>
                <w:color w:val="000000"/>
              </w:rPr>
            </w:pPr>
          </w:p>
        </w:tc>
        <w:tc>
          <w:tcPr>
            <w:tcW w:w="429" w:type="pct"/>
            <w:tcBorders>
              <w:tl2br w:val="nil"/>
              <w:tr2bl w:val="nil"/>
            </w:tcBorders>
            <w:vAlign w:val="center"/>
          </w:tcPr>
          <w:p w14:paraId="4C8DFCC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设备级联</w:t>
            </w:r>
          </w:p>
        </w:tc>
        <w:tc>
          <w:tcPr>
            <w:tcW w:w="3289" w:type="pct"/>
            <w:tcBorders>
              <w:tl2br w:val="nil"/>
              <w:tr2bl w:val="nil"/>
            </w:tcBorders>
            <w:vAlign w:val="center"/>
          </w:tcPr>
          <w:p w14:paraId="0D19945C">
            <w:pPr>
              <w:widowControl/>
              <w:spacing w:line="240" w:lineRule="auto"/>
              <w:ind w:firstLine="0" w:firstLineChars="0"/>
              <w:textAlignment w:val="center"/>
              <w:rPr>
                <w:rFonts w:hint="eastAsia" w:cs="宋体"/>
                <w:color w:val="000000"/>
              </w:rPr>
            </w:pPr>
            <w:r>
              <w:rPr>
                <w:rFonts w:hint="eastAsia" w:cs="宋体"/>
                <w:color w:val="000000"/>
                <w:kern w:val="0"/>
                <w:lang w:bidi="ar"/>
              </w:rPr>
              <w:t>提供设备信息级联范围管理，包括上报设备数量、设备资源目录、设备属性等</w:t>
            </w:r>
            <w:r>
              <w:rPr>
                <w:rFonts w:hint="eastAsia" w:cs="宋体"/>
                <w:color w:val="000000"/>
                <w:kern w:val="0"/>
                <w:lang w:bidi="ar"/>
              </w:rPr>
              <w:br w:type="textWrapping"/>
            </w:r>
            <w:r>
              <w:rPr>
                <w:rFonts w:hint="eastAsia" w:cs="宋体"/>
                <w:color w:val="000000"/>
                <w:kern w:val="0"/>
                <w:lang w:bidi="ar"/>
              </w:rPr>
              <w:t>提供设备信息同步方式管理，包括定期任务或手动刷新</w:t>
            </w:r>
            <w:r>
              <w:rPr>
                <w:rFonts w:hint="eastAsia" w:cs="宋体"/>
                <w:color w:val="000000"/>
                <w:kern w:val="0"/>
                <w:lang w:bidi="ar"/>
              </w:rPr>
              <w:br w:type="textWrapping"/>
            </w:r>
            <w:r>
              <w:rPr>
                <w:rFonts w:hint="eastAsia" w:cs="宋体"/>
                <w:color w:val="000000"/>
                <w:kern w:val="0"/>
                <w:lang w:bidi="ar"/>
              </w:rPr>
              <w:t>提供设备同步状态管理，实现查看上次同步时间、同步完成信息以及待同步的信息</w:t>
            </w:r>
            <w:r>
              <w:rPr>
                <w:rFonts w:hint="eastAsia" w:cs="宋体"/>
                <w:color w:val="000000"/>
                <w:kern w:val="0"/>
                <w:lang w:bidi="ar"/>
              </w:rPr>
              <w:br w:type="textWrapping"/>
            </w:r>
            <w:r>
              <w:rPr>
                <w:rFonts w:hint="eastAsia" w:cs="宋体"/>
                <w:color w:val="000000"/>
                <w:kern w:val="0"/>
                <w:lang w:bidi="ar"/>
              </w:rPr>
              <w:t>提供上报设备目录修改，实现修改目录名称、调整目录层级以及删除目录</w:t>
            </w:r>
            <w:r>
              <w:rPr>
                <w:rFonts w:hint="eastAsia" w:cs="宋体"/>
                <w:color w:val="000000"/>
                <w:kern w:val="0"/>
                <w:lang w:bidi="ar"/>
              </w:rPr>
              <w:br w:type="textWrapping"/>
            </w:r>
            <w:r>
              <w:rPr>
                <w:rFonts w:hint="eastAsia" w:cs="宋体"/>
                <w:color w:val="000000"/>
                <w:kern w:val="0"/>
                <w:lang w:bidi="ar"/>
              </w:rPr>
              <w:t>提供上报设备范围修改，实现按照目录或目录下设备进行增删</w:t>
            </w:r>
            <w:r>
              <w:rPr>
                <w:rFonts w:hint="eastAsia" w:cs="宋体"/>
                <w:color w:val="000000"/>
                <w:kern w:val="0"/>
                <w:lang w:bidi="ar"/>
              </w:rPr>
              <w:br w:type="textWrapping"/>
            </w:r>
            <w:r>
              <w:rPr>
                <w:rFonts w:hint="eastAsia" w:cs="宋体"/>
                <w:color w:val="000000"/>
                <w:kern w:val="0"/>
                <w:lang w:bidi="ar"/>
              </w:rPr>
              <w:t>提供上报设备属性修改，实现单个或批量设备修改</w:t>
            </w:r>
          </w:p>
        </w:tc>
      </w:tr>
      <w:tr w14:paraId="03519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57E1EF7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68</w:t>
            </w:r>
          </w:p>
        </w:tc>
        <w:tc>
          <w:tcPr>
            <w:tcW w:w="447" w:type="pct"/>
            <w:vMerge w:val="continue"/>
            <w:tcBorders>
              <w:tl2br w:val="nil"/>
              <w:tr2bl w:val="nil"/>
            </w:tcBorders>
            <w:vAlign w:val="center"/>
          </w:tcPr>
          <w:p w14:paraId="1E767C61">
            <w:pPr>
              <w:spacing w:line="240" w:lineRule="auto"/>
              <w:jc w:val="left"/>
              <w:rPr>
                <w:rFonts w:hint="eastAsia" w:cs="宋体"/>
                <w:color w:val="000000"/>
              </w:rPr>
            </w:pPr>
          </w:p>
        </w:tc>
        <w:tc>
          <w:tcPr>
            <w:tcW w:w="453" w:type="pct"/>
            <w:vMerge w:val="continue"/>
            <w:tcBorders>
              <w:tl2br w:val="nil"/>
              <w:tr2bl w:val="nil"/>
            </w:tcBorders>
            <w:vAlign w:val="center"/>
          </w:tcPr>
          <w:p w14:paraId="78358C96">
            <w:pPr>
              <w:spacing w:line="240" w:lineRule="auto"/>
              <w:jc w:val="left"/>
              <w:rPr>
                <w:rFonts w:hint="eastAsia" w:cs="宋体"/>
                <w:color w:val="000000"/>
              </w:rPr>
            </w:pPr>
          </w:p>
        </w:tc>
        <w:tc>
          <w:tcPr>
            <w:tcW w:w="429" w:type="pct"/>
            <w:tcBorders>
              <w:tl2br w:val="nil"/>
              <w:tr2bl w:val="nil"/>
            </w:tcBorders>
            <w:vAlign w:val="center"/>
          </w:tcPr>
          <w:p w14:paraId="425EAC2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快照级联</w:t>
            </w:r>
          </w:p>
        </w:tc>
        <w:tc>
          <w:tcPr>
            <w:tcW w:w="3289" w:type="pct"/>
            <w:tcBorders>
              <w:tl2br w:val="nil"/>
              <w:tr2bl w:val="nil"/>
            </w:tcBorders>
            <w:vAlign w:val="center"/>
          </w:tcPr>
          <w:p w14:paraId="233A0240">
            <w:pPr>
              <w:widowControl/>
              <w:spacing w:line="240" w:lineRule="auto"/>
              <w:ind w:firstLine="0" w:firstLineChars="0"/>
              <w:textAlignment w:val="center"/>
              <w:rPr>
                <w:rFonts w:hint="eastAsia" w:cs="宋体"/>
                <w:color w:val="000000"/>
              </w:rPr>
            </w:pPr>
            <w:r>
              <w:rPr>
                <w:rFonts w:hint="eastAsia" w:cs="宋体"/>
                <w:color w:val="000000"/>
                <w:kern w:val="0"/>
                <w:lang w:bidi="ar"/>
              </w:rPr>
              <w:t>提供设备巡检快照信息级联管理，包括巡检结果和快照数据</w:t>
            </w:r>
            <w:r>
              <w:rPr>
                <w:rFonts w:hint="eastAsia" w:cs="宋体"/>
                <w:color w:val="000000"/>
                <w:kern w:val="0"/>
                <w:lang w:bidi="ar"/>
              </w:rPr>
              <w:br w:type="textWrapping"/>
            </w:r>
            <w:r>
              <w:rPr>
                <w:rFonts w:hint="eastAsia" w:cs="宋体"/>
                <w:color w:val="000000"/>
                <w:kern w:val="0"/>
                <w:lang w:bidi="ar"/>
              </w:rPr>
              <w:t>提供快照数据同步参数管理，包括白天快照和黑夜快照并发、周期设置</w:t>
            </w:r>
            <w:r>
              <w:rPr>
                <w:rFonts w:hint="eastAsia" w:cs="宋体"/>
                <w:color w:val="000000"/>
                <w:kern w:val="0"/>
                <w:lang w:bidi="ar"/>
              </w:rPr>
              <w:br w:type="textWrapping"/>
            </w:r>
            <w:r>
              <w:rPr>
                <w:rFonts w:hint="eastAsia" w:cs="宋体"/>
                <w:color w:val="000000"/>
                <w:kern w:val="0"/>
                <w:lang w:bidi="ar"/>
              </w:rPr>
              <w:t>提供设备快照数据配置功能，包括白天快照和黑夜快照数据删除、更新等操作</w:t>
            </w:r>
          </w:p>
        </w:tc>
      </w:tr>
      <w:tr w14:paraId="369F5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4" w:hRule="atLeast"/>
        </w:trPr>
        <w:tc>
          <w:tcPr>
            <w:tcW w:w="381" w:type="pct"/>
            <w:tcBorders>
              <w:tl2br w:val="nil"/>
              <w:tr2bl w:val="nil"/>
            </w:tcBorders>
            <w:vAlign w:val="center"/>
          </w:tcPr>
          <w:p w14:paraId="1A9A162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69</w:t>
            </w:r>
          </w:p>
        </w:tc>
        <w:tc>
          <w:tcPr>
            <w:tcW w:w="447" w:type="pct"/>
            <w:vMerge w:val="continue"/>
            <w:tcBorders>
              <w:tl2br w:val="nil"/>
              <w:tr2bl w:val="nil"/>
            </w:tcBorders>
            <w:vAlign w:val="center"/>
          </w:tcPr>
          <w:p w14:paraId="04CCCC84">
            <w:pPr>
              <w:spacing w:line="240" w:lineRule="auto"/>
              <w:jc w:val="left"/>
              <w:rPr>
                <w:rFonts w:hint="eastAsia" w:cs="宋体"/>
                <w:color w:val="000000"/>
              </w:rPr>
            </w:pPr>
          </w:p>
        </w:tc>
        <w:tc>
          <w:tcPr>
            <w:tcW w:w="453" w:type="pct"/>
            <w:vMerge w:val="continue"/>
            <w:tcBorders>
              <w:tl2br w:val="nil"/>
              <w:tr2bl w:val="nil"/>
            </w:tcBorders>
            <w:vAlign w:val="center"/>
          </w:tcPr>
          <w:p w14:paraId="005B8D86">
            <w:pPr>
              <w:spacing w:line="240" w:lineRule="auto"/>
              <w:jc w:val="left"/>
              <w:rPr>
                <w:rFonts w:hint="eastAsia" w:cs="宋体"/>
                <w:color w:val="000000"/>
              </w:rPr>
            </w:pPr>
          </w:p>
        </w:tc>
        <w:tc>
          <w:tcPr>
            <w:tcW w:w="429" w:type="pct"/>
            <w:tcBorders>
              <w:tl2br w:val="nil"/>
              <w:tr2bl w:val="nil"/>
            </w:tcBorders>
            <w:vAlign w:val="center"/>
          </w:tcPr>
          <w:p w14:paraId="0F6CD01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预案级联</w:t>
            </w:r>
          </w:p>
        </w:tc>
        <w:tc>
          <w:tcPr>
            <w:tcW w:w="3289" w:type="pct"/>
            <w:tcBorders>
              <w:tl2br w:val="nil"/>
              <w:tr2bl w:val="nil"/>
            </w:tcBorders>
            <w:vAlign w:val="center"/>
          </w:tcPr>
          <w:p w14:paraId="68DA5392">
            <w:pPr>
              <w:widowControl/>
              <w:spacing w:line="240" w:lineRule="auto"/>
              <w:ind w:firstLine="0" w:firstLineChars="0"/>
              <w:textAlignment w:val="center"/>
              <w:rPr>
                <w:rFonts w:hint="eastAsia" w:cs="宋体"/>
                <w:color w:val="000000"/>
              </w:rPr>
            </w:pPr>
            <w:r>
              <w:rPr>
                <w:rFonts w:hint="eastAsia" w:cs="宋体"/>
                <w:color w:val="000000"/>
                <w:kern w:val="0"/>
                <w:lang w:bidi="ar"/>
              </w:rPr>
              <w:t>1、预案同步：</w:t>
            </w:r>
            <w:r>
              <w:rPr>
                <w:rFonts w:hint="eastAsia" w:cs="宋体"/>
                <w:color w:val="000000"/>
                <w:kern w:val="0"/>
                <w:lang w:bidi="ar"/>
              </w:rPr>
              <w:br w:type="textWrapping"/>
            </w:r>
            <w:r>
              <w:rPr>
                <w:rFonts w:hint="eastAsia" w:cs="宋体"/>
                <w:color w:val="000000"/>
                <w:kern w:val="0"/>
                <w:lang w:bidi="ar"/>
              </w:rPr>
              <w:t>实现本级平台自动同步上级平台基础预案目录</w:t>
            </w:r>
            <w:r>
              <w:rPr>
                <w:rFonts w:hint="eastAsia" w:cs="宋体"/>
                <w:color w:val="000000"/>
                <w:kern w:val="0"/>
                <w:lang w:bidi="ar"/>
              </w:rPr>
              <w:br w:type="textWrapping"/>
            </w:r>
            <w:r>
              <w:rPr>
                <w:rFonts w:hint="eastAsia" w:cs="宋体"/>
                <w:color w:val="000000"/>
                <w:kern w:val="0"/>
                <w:lang w:bidi="ar"/>
              </w:rPr>
              <w:t>实现下级平台基础预案按周期同步至上级平台</w:t>
            </w:r>
            <w:r>
              <w:rPr>
                <w:rFonts w:hint="eastAsia" w:cs="宋体"/>
                <w:color w:val="000000"/>
                <w:kern w:val="0"/>
                <w:lang w:bidi="ar"/>
              </w:rPr>
              <w:br w:type="textWrapping"/>
            </w:r>
            <w:r>
              <w:rPr>
                <w:rFonts w:hint="eastAsia" w:cs="宋体"/>
                <w:color w:val="000000"/>
                <w:kern w:val="0"/>
                <w:lang w:bidi="ar"/>
              </w:rPr>
              <w:t>实现自动同步上级平台级联任务中专项预案目录及预案</w:t>
            </w:r>
            <w:r>
              <w:rPr>
                <w:rFonts w:hint="eastAsia" w:cs="宋体"/>
                <w:color w:val="000000"/>
                <w:kern w:val="0"/>
                <w:lang w:bidi="ar"/>
              </w:rPr>
              <w:br w:type="textWrapping"/>
            </w:r>
            <w:r>
              <w:rPr>
                <w:rFonts w:hint="eastAsia" w:cs="宋体"/>
                <w:color w:val="000000"/>
                <w:kern w:val="0"/>
                <w:lang w:bidi="ar"/>
              </w:rPr>
              <w:t>实现基础预案、专项预案目录导入、导出和新增操作</w:t>
            </w:r>
            <w:r>
              <w:rPr>
                <w:rFonts w:hint="eastAsia" w:cs="宋体"/>
                <w:color w:val="000000"/>
                <w:kern w:val="0"/>
                <w:lang w:bidi="ar"/>
              </w:rPr>
              <w:br w:type="textWrapping"/>
            </w:r>
            <w:r>
              <w:rPr>
                <w:rFonts w:hint="eastAsia" w:cs="宋体"/>
                <w:color w:val="000000"/>
                <w:kern w:val="0"/>
                <w:lang w:bidi="ar"/>
              </w:rPr>
              <w:t>实现通过共享预案查看资源申请通过的预案目录及预案</w:t>
            </w:r>
            <w:r>
              <w:rPr>
                <w:rFonts w:hint="eastAsia" w:cs="宋体"/>
                <w:color w:val="000000"/>
                <w:kern w:val="0"/>
                <w:lang w:bidi="ar"/>
              </w:rPr>
              <w:br w:type="textWrapping"/>
            </w:r>
            <w:r>
              <w:rPr>
                <w:rFonts w:hint="eastAsia" w:cs="宋体"/>
                <w:color w:val="000000"/>
                <w:kern w:val="0"/>
                <w:lang w:bidi="ar"/>
              </w:rPr>
              <w:t>2、预案管理：</w:t>
            </w:r>
            <w:r>
              <w:rPr>
                <w:rFonts w:hint="eastAsia" w:cs="宋体"/>
                <w:color w:val="000000"/>
                <w:kern w:val="0"/>
                <w:lang w:bidi="ar"/>
              </w:rPr>
              <w:br w:type="textWrapping"/>
            </w:r>
            <w:r>
              <w:rPr>
                <w:rFonts w:hint="eastAsia" w:cs="宋体"/>
                <w:color w:val="000000"/>
                <w:kern w:val="0"/>
                <w:lang w:bidi="ar"/>
              </w:rPr>
              <w:t>实现列表视图展示基础预案和专项预案、个人预案、共享预案，实现预案目录编辑、删除、排序等控制</w:t>
            </w:r>
            <w:r>
              <w:rPr>
                <w:rFonts w:hint="eastAsia" w:cs="宋体"/>
                <w:color w:val="000000"/>
                <w:kern w:val="0"/>
                <w:lang w:bidi="ar"/>
              </w:rPr>
              <w:br w:type="textWrapping"/>
            </w:r>
            <w:r>
              <w:rPr>
                <w:rFonts w:hint="eastAsia" w:cs="宋体"/>
                <w:color w:val="000000"/>
                <w:kern w:val="0"/>
                <w:lang w:bidi="ar"/>
              </w:rPr>
              <w:t>实现以卡片视图展示基础预案、专项预案、共享预案；基础预案、专项预案实现展示预案名称、最近一次同步时间、是否本级平台自建、是否级联共享等信息；共享预案卡片视图实现查看共享有效时间，共享来源等信息</w:t>
            </w:r>
            <w:r>
              <w:rPr>
                <w:rFonts w:hint="eastAsia" w:cs="宋体"/>
                <w:color w:val="000000"/>
                <w:kern w:val="0"/>
                <w:lang w:bidi="ar"/>
              </w:rPr>
              <w:br w:type="textWrapping"/>
            </w:r>
            <w:r>
              <w:rPr>
                <w:rFonts w:hint="eastAsia" w:cs="宋体"/>
                <w:color w:val="000000"/>
                <w:kern w:val="0"/>
                <w:lang w:bidi="ar"/>
              </w:rPr>
              <w:t>基础预案和专项预案实现编辑、添加、删除预案及预案中的设备，共享预案仅实现预案执行，无法编辑预案及预案中的设备；</w:t>
            </w:r>
          </w:p>
        </w:tc>
      </w:tr>
      <w:tr w14:paraId="6985D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6F9871D1">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70</w:t>
            </w:r>
          </w:p>
        </w:tc>
        <w:tc>
          <w:tcPr>
            <w:tcW w:w="447" w:type="pct"/>
            <w:vMerge w:val="continue"/>
            <w:tcBorders>
              <w:tl2br w:val="nil"/>
              <w:tr2bl w:val="nil"/>
            </w:tcBorders>
            <w:vAlign w:val="center"/>
          </w:tcPr>
          <w:p w14:paraId="61A4644B">
            <w:pPr>
              <w:spacing w:line="240" w:lineRule="auto"/>
              <w:jc w:val="left"/>
              <w:rPr>
                <w:rFonts w:hint="eastAsia" w:cs="宋体"/>
                <w:color w:val="000000"/>
              </w:rPr>
            </w:pPr>
          </w:p>
        </w:tc>
        <w:tc>
          <w:tcPr>
            <w:tcW w:w="453" w:type="pct"/>
            <w:vMerge w:val="continue"/>
            <w:tcBorders>
              <w:tl2br w:val="nil"/>
              <w:tr2bl w:val="nil"/>
            </w:tcBorders>
            <w:vAlign w:val="center"/>
          </w:tcPr>
          <w:p w14:paraId="01660484">
            <w:pPr>
              <w:spacing w:line="240" w:lineRule="auto"/>
              <w:jc w:val="left"/>
              <w:rPr>
                <w:rFonts w:hint="eastAsia" w:cs="宋体"/>
                <w:color w:val="000000"/>
              </w:rPr>
            </w:pPr>
          </w:p>
        </w:tc>
        <w:tc>
          <w:tcPr>
            <w:tcW w:w="429" w:type="pct"/>
            <w:tcBorders>
              <w:tl2br w:val="nil"/>
              <w:tr2bl w:val="nil"/>
            </w:tcBorders>
            <w:vAlign w:val="center"/>
          </w:tcPr>
          <w:p w14:paraId="0C3F49F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资源申请</w:t>
            </w:r>
          </w:p>
        </w:tc>
        <w:tc>
          <w:tcPr>
            <w:tcW w:w="3289" w:type="pct"/>
            <w:tcBorders>
              <w:tl2br w:val="nil"/>
              <w:tr2bl w:val="nil"/>
            </w:tcBorders>
            <w:vAlign w:val="center"/>
          </w:tcPr>
          <w:p w14:paraId="3B3A0B98">
            <w:pPr>
              <w:widowControl/>
              <w:spacing w:line="240" w:lineRule="auto"/>
              <w:ind w:firstLine="0" w:firstLineChars="0"/>
              <w:textAlignment w:val="center"/>
              <w:rPr>
                <w:rFonts w:hint="eastAsia" w:cs="宋体"/>
                <w:color w:val="000000"/>
              </w:rPr>
            </w:pPr>
            <w:r>
              <w:rPr>
                <w:rFonts w:hint="eastAsia" w:cs="宋体"/>
                <w:color w:val="000000"/>
                <w:kern w:val="0"/>
                <w:lang w:bidi="ar"/>
              </w:rPr>
              <w:t>实现向上级平台提交资源申请，申请信息包括平台名称、申请人、联系方式、申请范围</w:t>
            </w:r>
            <w:r>
              <w:rPr>
                <w:rFonts w:hint="eastAsia" w:cs="宋体"/>
                <w:color w:val="000000"/>
                <w:kern w:val="0"/>
                <w:lang w:bidi="ar"/>
              </w:rPr>
              <w:br w:type="textWrapping"/>
            </w:r>
            <w:r>
              <w:rPr>
                <w:rFonts w:hint="eastAsia" w:cs="宋体"/>
                <w:color w:val="000000"/>
                <w:kern w:val="0"/>
                <w:lang w:bidi="ar"/>
              </w:rPr>
              <w:t>实现查看向上级提交的资源申请，包括申请信息及申请状态</w:t>
            </w:r>
            <w:r>
              <w:rPr>
                <w:rFonts w:hint="eastAsia" w:cs="宋体"/>
                <w:color w:val="000000"/>
                <w:kern w:val="0"/>
                <w:lang w:bidi="ar"/>
              </w:rPr>
              <w:br w:type="textWrapping"/>
            </w:r>
            <w:r>
              <w:rPr>
                <w:rFonts w:hint="eastAsia" w:cs="宋体"/>
                <w:color w:val="000000"/>
                <w:kern w:val="0"/>
                <w:lang w:bidi="ar"/>
              </w:rPr>
              <w:t>实现按照申请时间、申请状态查询已提交的资源申请</w:t>
            </w:r>
          </w:p>
        </w:tc>
      </w:tr>
      <w:tr w14:paraId="3529F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trPr>
        <w:tc>
          <w:tcPr>
            <w:tcW w:w="381" w:type="pct"/>
            <w:tcBorders>
              <w:tl2br w:val="nil"/>
              <w:tr2bl w:val="nil"/>
            </w:tcBorders>
            <w:vAlign w:val="center"/>
          </w:tcPr>
          <w:p w14:paraId="21466153">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71</w:t>
            </w:r>
          </w:p>
        </w:tc>
        <w:tc>
          <w:tcPr>
            <w:tcW w:w="447" w:type="pct"/>
            <w:vMerge w:val="continue"/>
            <w:tcBorders>
              <w:tl2br w:val="nil"/>
              <w:tr2bl w:val="nil"/>
            </w:tcBorders>
            <w:vAlign w:val="center"/>
          </w:tcPr>
          <w:p w14:paraId="51FE714A">
            <w:pPr>
              <w:spacing w:line="240" w:lineRule="auto"/>
              <w:jc w:val="left"/>
              <w:rPr>
                <w:rFonts w:hint="eastAsia" w:cs="宋体"/>
                <w:color w:val="000000"/>
              </w:rPr>
            </w:pPr>
          </w:p>
        </w:tc>
        <w:tc>
          <w:tcPr>
            <w:tcW w:w="453" w:type="pct"/>
            <w:vMerge w:val="restart"/>
            <w:tcBorders>
              <w:tl2br w:val="nil"/>
              <w:tr2bl w:val="nil"/>
            </w:tcBorders>
            <w:vAlign w:val="center"/>
          </w:tcPr>
          <w:p w14:paraId="3CA15628">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视觉大模型应用模块</w:t>
            </w:r>
          </w:p>
        </w:tc>
        <w:tc>
          <w:tcPr>
            <w:tcW w:w="429" w:type="pct"/>
            <w:tcBorders>
              <w:tl2br w:val="nil"/>
              <w:tr2bl w:val="nil"/>
            </w:tcBorders>
            <w:vAlign w:val="center"/>
          </w:tcPr>
          <w:p w14:paraId="21B2938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提示词工程</w:t>
            </w:r>
          </w:p>
        </w:tc>
        <w:tc>
          <w:tcPr>
            <w:tcW w:w="3289" w:type="pct"/>
            <w:tcBorders>
              <w:tl2br w:val="nil"/>
              <w:tr2bl w:val="nil"/>
            </w:tcBorders>
            <w:vAlign w:val="center"/>
          </w:tcPr>
          <w:p w14:paraId="39B6E40A">
            <w:pPr>
              <w:widowControl/>
              <w:spacing w:line="240" w:lineRule="auto"/>
              <w:ind w:firstLine="0" w:firstLineChars="0"/>
              <w:textAlignment w:val="center"/>
              <w:rPr>
                <w:rFonts w:hint="eastAsia" w:cs="宋体"/>
                <w:color w:val="000000"/>
              </w:rPr>
            </w:pPr>
            <w:r>
              <w:rPr>
                <w:rFonts w:hint="eastAsia" w:cs="宋体"/>
                <w:color w:val="000000"/>
                <w:kern w:val="0"/>
                <w:lang w:bidi="ar"/>
              </w:rPr>
              <w:t>1、指标管理：</w:t>
            </w:r>
            <w:r>
              <w:rPr>
                <w:rFonts w:hint="eastAsia" w:cs="宋体"/>
                <w:color w:val="000000"/>
                <w:kern w:val="0"/>
                <w:lang w:bidi="ar"/>
              </w:rPr>
              <w:br w:type="textWrapping"/>
            </w:r>
            <w:r>
              <w:rPr>
                <w:rFonts w:hint="eastAsia" w:cs="宋体"/>
                <w:color w:val="000000"/>
                <w:kern w:val="0"/>
                <w:lang w:bidi="ar"/>
              </w:rPr>
              <w:t>指标管理文件，包括指标信息、指标类型、指标记录</w:t>
            </w:r>
            <w:r>
              <w:rPr>
                <w:rFonts w:hint="eastAsia" w:cs="宋体"/>
                <w:color w:val="000000"/>
                <w:kern w:val="0"/>
                <w:lang w:bidi="ar"/>
              </w:rPr>
              <w:br w:type="textWrapping"/>
            </w:r>
            <w:r>
              <w:rPr>
                <w:rFonts w:hint="eastAsia" w:cs="宋体"/>
                <w:color w:val="000000"/>
                <w:kern w:val="0"/>
                <w:lang w:bidi="ar"/>
              </w:rPr>
              <w:t>实现新建指标，包括定义指标名称、指标类型等</w:t>
            </w:r>
            <w:r>
              <w:rPr>
                <w:rFonts w:hint="eastAsia" w:cs="宋体"/>
                <w:color w:val="000000"/>
                <w:kern w:val="0"/>
                <w:lang w:bidi="ar"/>
              </w:rPr>
              <w:br w:type="textWrapping"/>
            </w:r>
            <w:r>
              <w:rPr>
                <w:rFonts w:hint="eastAsia" w:cs="宋体"/>
                <w:color w:val="000000"/>
                <w:kern w:val="0"/>
                <w:lang w:bidi="ar"/>
              </w:rPr>
              <w:t>实现指标编辑操作，包括指标名称、指标类型</w:t>
            </w:r>
            <w:r>
              <w:rPr>
                <w:rFonts w:hint="eastAsia" w:cs="宋体"/>
                <w:color w:val="000000"/>
                <w:kern w:val="0"/>
                <w:lang w:bidi="ar"/>
              </w:rPr>
              <w:br w:type="textWrapping"/>
            </w:r>
            <w:r>
              <w:rPr>
                <w:rFonts w:hint="eastAsia" w:cs="宋体"/>
                <w:color w:val="000000"/>
                <w:kern w:val="0"/>
                <w:lang w:bidi="ar"/>
              </w:rPr>
              <w:t>实现指标的查询操作，包括按照指标名称</w:t>
            </w:r>
            <w:r>
              <w:rPr>
                <w:rFonts w:hint="eastAsia" w:cs="宋体"/>
                <w:color w:val="000000"/>
                <w:kern w:val="0"/>
                <w:lang w:bidi="ar"/>
              </w:rPr>
              <w:br w:type="textWrapping"/>
            </w:r>
            <w:r>
              <w:rPr>
                <w:rFonts w:hint="eastAsia" w:cs="宋体"/>
                <w:color w:val="000000"/>
                <w:kern w:val="0"/>
                <w:lang w:bidi="ar"/>
              </w:rPr>
              <w:t>2、prompt模板：</w:t>
            </w:r>
            <w:r>
              <w:rPr>
                <w:rFonts w:hint="eastAsia" w:cs="宋体"/>
                <w:color w:val="000000"/>
                <w:kern w:val="0"/>
                <w:lang w:bidi="ar"/>
              </w:rPr>
              <w:br w:type="textWrapping"/>
            </w:r>
            <w:r>
              <w:rPr>
                <w:rFonts w:hint="eastAsia" w:cs="宋体"/>
                <w:color w:val="000000"/>
                <w:kern w:val="0"/>
                <w:lang w:bidi="ar"/>
              </w:rPr>
              <w:t>prompt模板文件，包括prompt信息、prompt关联指标</w:t>
            </w:r>
            <w:r>
              <w:rPr>
                <w:rFonts w:hint="eastAsia" w:cs="宋体"/>
                <w:color w:val="000000"/>
                <w:kern w:val="0"/>
                <w:lang w:bidi="ar"/>
              </w:rPr>
              <w:br w:type="textWrapping"/>
            </w:r>
            <w:r>
              <w:rPr>
                <w:rFonts w:hint="eastAsia" w:cs="宋体"/>
                <w:color w:val="000000"/>
                <w:kern w:val="0"/>
                <w:lang w:bidi="ar"/>
              </w:rPr>
              <w:t>实现新建prompt模板，包括配置模板名称、模板指标、prompt内容</w:t>
            </w:r>
            <w:r>
              <w:rPr>
                <w:rFonts w:hint="eastAsia" w:cs="宋体"/>
                <w:color w:val="000000"/>
                <w:kern w:val="0"/>
                <w:lang w:bidi="ar"/>
              </w:rPr>
              <w:br w:type="textWrapping"/>
            </w:r>
            <w:r>
              <w:rPr>
                <w:rFonts w:hint="eastAsia" w:cs="宋体"/>
                <w:color w:val="000000"/>
                <w:kern w:val="0"/>
                <w:lang w:bidi="ar"/>
              </w:rPr>
              <w:t>实现以列表形式展示prompt模板内容，包括模板名称、模板内容、关联指标、创建时间等</w:t>
            </w:r>
            <w:r>
              <w:rPr>
                <w:rFonts w:hint="eastAsia" w:cs="宋体"/>
                <w:color w:val="000000"/>
                <w:kern w:val="0"/>
                <w:lang w:bidi="ar"/>
              </w:rPr>
              <w:br w:type="textWrapping"/>
            </w:r>
            <w:r>
              <w:rPr>
                <w:rFonts w:hint="eastAsia" w:cs="宋体"/>
                <w:color w:val="000000"/>
                <w:kern w:val="0"/>
                <w:lang w:bidi="ar"/>
              </w:rPr>
              <w:t>实现对</w:t>
            </w:r>
            <w:r>
              <w:rPr>
                <w:rFonts w:hint="eastAsia" w:cs="宋体"/>
                <w:color w:val="000000"/>
                <w:kern w:val="0"/>
                <w:lang w:eastAsia="zh-CN" w:bidi="ar"/>
              </w:rPr>
              <w:t>模板</w:t>
            </w:r>
            <w:r>
              <w:rPr>
                <w:rFonts w:hint="eastAsia" w:cs="宋体"/>
                <w:color w:val="000000"/>
                <w:kern w:val="0"/>
                <w:lang w:bidi="ar"/>
              </w:rPr>
              <w:t>列表进行查询，查询条件包括模板名称、模板标签</w:t>
            </w:r>
            <w:r>
              <w:rPr>
                <w:rFonts w:hint="eastAsia" w:cs="宋体"/>
                <w:color w:val="000000"/>
                <w:kern w:val="0"/>
                <w:lang w:bidi="ar"/>
              </w:rPr>
              <w:br w:type="textWrapping"/>
            </w:r>
            <w:r>
              <w:rPr>
                <w:rFonts w:hint="eastAsia" w:cs="宋体"/>
                <w:color w:val="000000"/>
                <w:kern w:val="0"/>
                <w:lang w:bidi="ar"/>
              </w:rPr>
              <w:t>实现查看模板详情，并支持删除操作</w:t>
            </w:r>
            <w:r>
              <w:rPr>
                <w:rFonts w:hint="eastAsia" w:cs="宋体"/>
                <w:color w:val="000000"/>
                <w:kern w:val="0"/>
                <w:lang w:bidi="ar"/>
              </w:rPr>
              <w:br w:type="textWrapping"/>
            </w:r>
            <w:r>
              <w:rPr>
                <w:rFonts w:hint="eastAsia" w:cs="宋体"/>
                <w:color w:val="000000"/>
                <w:kern w:val="0"/>
                <w:lang w:bidi="ar"/>
              </w:rPr>
              <w:t>以列表展示prompt信息，包括模板名称、模板指标、prompt内容</w:t>
            </w:r>
          </w:p>
        </w:tc>
      </w:tr>
      <w:tr w14:paraId="6FD48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8" w:hRule="atLeast"/>
        </w:trPr>
        <w:tc>
          <w:tcPr>
            <w:tcW w:w="381" w:type="pct"/>
            <w:tcBorders>
              <w:tl2br w:val="nil"/>
              <w:tr2bl w:val="nil"/>
            </w:tcBorders>
            <w:vAlign w:val="center"/>
          </w:tcPr>
          <w:p w14:paraId="3D6A2153">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72</w:t>
            </w:r>
          </w:p>
        </w:tc>
        <w:tc>
          <w:tcPr>
            <w:tcW w:w="447" w:type="pct"/>
            <w:vMerge w:val="continue"/>
            <w:tcBorders>
              <w:tl2br w:val="nil"/>
              <w:tr2bl w:val="nil"/>
            </w:tcBorders>
            <w:vAlign w:val="center"/>
          </w:tcPr>
          <w:p w14:paraId="4ABE95AB">
            <w:pPr>
              <w:spacing w:line="240" w:lineRule="auto"/>
              <w:jc w:val="left"/>
              <w:rPr>
                <w:rFonts w:hint="eastAsia" w:cs="宋体"/>
                <w:color w:val="000000"/>
              </w:rPr>
            </w:pPr>
          </w:p>
        </w:tc>
        <w:tc>
          <w:tcPr>
            <w:tcW w:w="453" w:type="pct"/>
            <w:vMerge w:val="continue"/>
            <w:tcBorders>
              <w:tl2br w:val="nil"/>
              <w:tr2bl w:val="nil"/>
            </w:tcBorders>
            <w:vAlign w:val="center"/>
          </w:tcPr>
          <w:p w14:paraId="735B235F">
            <w:pPr>
              <w:spacing w:line="240" w:lineRule="auto"/>
              <w:jc w:val="left"/>
              <w:rPr>
                <w:rFonts w:hint="eastAsia" w:cs="宋体"/>
                <w:color w:val="000000"/>
              </w:rPr>
            </w:pPr>
          </w:p>
        </w:tc>
        <w:tc>
          <w:tcPr>
            <w:tcW w:w="429" w:type="pct"/>
            <w:tcBorders>
              <w:tl2br w:val="nil"/>
              <w:tr2bl w:val="nil"/>
            </w:tcBorders>
            <w:vAlign w:val="center"/>
          </w:tcPr>
          <w:p w14:paraId="38D419E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数据集管理</w:t>
            </w:r>
          </w:p>
        </w:tc>
        <w:tc>
          <w:tcPr>
            <w:tcW w:w="3289" w:type="pct"/>
            <w:tcBorders>
              <w:tl2br w:val="nil"/>
              <w:tr2bl w:val="nil"/>
            </w:tcBorders>
            <w:vAlign w:val="center"/>
          </w:tcPr>
          <w:p w14:paraId="21DB346A">
            <w:pPr>
              <w:widowControl/>
              <w:spacing w:line="240" w:lineRule="auto"/>
              <w:ind w:firstLine="0" w:firstLineChars="0"/>
              <w:textAlignment w:val="center"/>
              <w:rPr>
                <w:rFonts w:hint="eastAsia" w:cs="宋体"/>
                <w:color w:val="000000"/>
              </w:rPr>
            </w:pPr>
            <w:r>
              <w:rPr>
                <w:rFonts w:hint="eastAsia" w:cs="宋体"/>
                <w:color w:val="000000"/>
                <w:kern w:val="0"/>
                <w:lang w:bidi="ar"/>
              </w:rPr>
              <w:t>1、数据集配置：</w:t>
            </w:r>
            <w:r>
              <w:rPr>
                <w:rFonts w:hint="eastAsia" w:cs="宋体"/>
                <w:color w:val="000000"/>
                <w:kern w:val="0"/>
                <w:lang w:bidi="ar"/>
              </w:rPr>
              <w:br w:type="textWrapping"/>
            </w:r>
            <w:r>
              <w:rPr>
                <w:rFonts w:hint="eastAsia" w:cs="宋体"/>
                <w:color w:val="000000"/>
                <w:kern w:val="0"/>
                <w:lang w:bidi="ar"/>
              </w:rPr>
              <w:t>数据集管理文件，包括数据集信息、数据集设备信息、数据集权限信息</w:t>
            </w:r>
            <w:r>
              <w:rPr>
                <w:rFonts w:hint="eastAsia" w:cs="宋体"/>
                <w:color w:val="000000"/>
                <w:kern w:val="0"/>
                <w:lang w:bidi="ar"/>
              </w:rPr>
              <w:br w:type="textWrapping"/>
            </w:r>
            <w:r>
              <w:rPr>
                <w:rFonts w:hint="eastAsia" w:cs="宋体"/>
                <w:color w:val="000000"/>
                <w:kern w:val="0"/>
                <w:lang w:bidi="ar"/>
              </w:rPr>
              <w:t>数据集权限管理文件，包括数据集关联用户信息、用户设备权限信息</w:t>
            </w:r>
            <w:r>
              <w:rPr>
                <w:rFonts w:hint="eastAsia" w:cs="宋体"/>
                <w:color w:val="000000"/>
                <w:kern w:val="0"/>
                <w:lang w:bidi="ar"/>
              </w:rPr>
              <w:br w:type="textWrapping"/>
            </w:r>
            <w:r>
              <w:rPr>
                <w:rFonts w:hint="eastAsia" w:cs="宋体"/>
                <w:color w:val="000000"/>
                <w:kern w:val="0"/>
                <w:lang w:bidi="ar"/>
              </w:rPr>
              <w:t>实现数据集配置功能，配置信息包括数据集名称、数据集版本、数据集分类、应用类型、数据集标签、数据格式、数据集封面、是否共享等</w:t>
            </w:r>
            <w:r>
              <w:rPr>
                <w:rFonts w:hint="eastAsia" w:cs="宋体"/>
                <w:color w:val="000000"/>
                <w:kern w:val="0"/>
                <w:lang w:bidi="ar"/>
              </w:rPr>
              <w:br w:type="textWrapping"/>
            </w:r>
            <w:r>
              <w:rPr>
                <w:rFonts w:hint="eastAsia" w:cs="宋体"/>
                <w:color w:val="000000"/>
                <w:kern w:val="0"/>
                <w:lang w:bidi="ar"/>
              </w:rPr>
              <w:t>实现以列表或卡片视图展示数据集信息，包括数据集名称、最后一次更新时间、数据集标签、数据集封面等</w:t>
            </w:r>
            <w:r>
              <w:rPr>
                <w:rFonts w:hint="eastAsia" w:cs="宋体"/>
                <w:color w:val="000000"/>
                <w:kern w:val="0"/>
                <w:lang w:bidi="ar"/>
              </w:rPr>
              <w:br w:type="textWrapping"/>
            </w:r>
            <w:r>
              <w:rPr>
                <w:rFonts w:hint="eastAsia" w:cs="宋体"/>
                <w:color w:val="000000"/>
                <w:kern w:val="0"/>
                <w:lang w:bidi="ar"/>
              </w:rPr>
              <w:t>2、版本管理：</w:t>
            </w:r>
            <w:r>
              <w:rPr>
                <w:rFonts w:hint="eastAsia" w:cs="宋体"/>
                <w:color w:val="000000"/>
                <w:kern w:val="0"/>
                <w:lang w:bidi="ar"/>
              </w:rPr>
              <w:br w:type="textWrapping"/>
            </w:r>
            <w:r>
              <w:rPr>
                <w:rFonts w:hint="eastAsia" w:cs="宋体"/>
                <w:color w:val="000000"/>
                <w:kern w:val="0"/>
                <w:lang w:bidi="ar"/>
              </w:rPr>
              <w:t>支持版本管理文件，包括版本名称、关联数据集数据</w:t>
            </w:r>
            <w:r>
              <w:rPr>
                <w:rFonts w:hint="eastAsia" w:cs="宋体"/>
                <w:color w:val="000000"/>
                <w:kern w:val="0"/>
                <w:lang w:bidi="ar"/>
              </w:rPr>
              <w:br w:type="textWrapping"/>
            </w:r>
            <w:r>
              <w:rPr>
                <w:rFonts w:hint="eastAsia" w:cs="宋体"/>
                <w:color w:val="000000"/>
                <w:kern w:val="0"/>
                <w:lang w:bidi="ar"/>
              </w:rPr>
              <w:t>实现通过创建日期、版本号查询数据集版本</w:t>
            </w:r>
            <w:r>
              <w:rPr>
                <w:rFonts w:hint="eastAsia" w:cs="宋体"/>
                <w:color w:val="000000"/>
                <w:kern w:val="0"/>
                <w:lang w:bidi="ar"/>
              </w:rPr>
              <w:br w:type="textWrapping"/>
            </w:r>
            <w:r>
              <w:rPr>
                <w:rFonts w:hint="eastAsia" w:cs="宋体"/>
                <w:color w:val="000000"/>
                <w:kern w:val="0"/>
                <w:lang w:bidi="ar"/>
              </w:rPr>
              <w:t>支持以列表形式展示版本信息，包括版本名称、关联数据集名称</w:t>
            </w:r>
            <w:r>
              <w:rPr>
                <w:rFonts w:hint="eastAsia" w:cs="宋体"/>
                <w:color w:val="000000"/>
                <w:kern w:val="0"/>
                <w:lang w:bidi="ar"/>
              </w:rPr>
              <w:br w:type="textWrapping"/>
            </w:r>
            <w:r>
              <w:rPr>
                <w:rFonts w:hint="eastAsia" w:cs="宋体"/>
                <w:color w:val="000000"/>
                <w:kern w:val="0"/>
                <w:lang w:bidi="ar"/>
              </w:rPr>
              <w:t>3、权限控制：</w:t>
            </w:r>
            <w:r>
              <w:rPr>
                <w:rFonts w:hint="eastAsia" w:cs="宋体"/>
                <w:color w:val="000000"/>
                <w:kern w:val="0"/>
                <w:lang w:bidi="ar"/>
              </w:rPr>
              <w:br w:type="textWrapping"/>
            </w:r>
            <w:r>
              <w:rPr>
                <w:rFonts w:hint="eastAsia" w:cs="宋体"/>
                <w:color w:val="000000"/>
                <w:kern w:val="0"/>
                <w:lang w:bidi="ar"/>
              </w:rPr>
              <w:t>支持权限控制管理文件，包括数据共享范围数据、共享用户数据、数据集数据</w:t>
            </w:r>
            <w:r>
              <w:rPr>
                <w:rFonts w:hint="eastAsia" w:cs="宋体"/>
                <w:color w:val="000000"/>
                <w:kern w:val="0"/>
                <w:lang w:bidi="ar"/>
              </w:rPr>
              <w:br w:type="textWrapping"/>
            </w:r>
            <w:r>
              <w:rPr>
                <w:rFonts w:hint="eastAsia" w:cs="宋体"/>
                <w:color w:val="000000"/>
                <w:kern w:val="0"/>
                <w:lang w:bidi="ar"/>
              </w:rPr>
              <w:t>实现数据集权限管理功能，管理员和数据集创建者可以配置数据集共享范围</w:t>
            </w:r>
            <w:r>
              <w:rPr>
                <w:rFonts w:hint="eastAsia" w:cs="宋体"/>
                <w:color w:val="000000"/>
                <w:kern w:val="0"/>
                <w:lang w:bidi="ar"/>
              </w:rPr>
              <w:br w:type="textWrapping"/>
            </w:r>
            <w:r>
              <w:rPr>
                <w:rFonts w:hint="eastAsia" w:cs="宋体"/>
                <w:color w:val="000000"/>
                <w:kern w:val="0"/>
                <w:lang w:bidi="ar"/>
              </w:rPr>
              <w:t>实现对公开数据集进行申请操作，包括填写申请理由、申请有效期等</w:t>
            </w:r>
            <w:r>
              <w:rPr>
                <w:rFonts w:hint="eastAsia" w:cs="宋体"/>
                <w:color w:val="000000"/>
                <w:kern w:val="0"/>
                <w:lang w:bidi="ar"/>
              </w:rPr>
              <w:br w:type="textWrapping"/>
            </w:r>
            <w:r>
              <w:rPr>
                <w:rFonts w:hint="eastAsia" w:cs="宋体"/>
                <w:color w:val="000000"/>
                <w:kern w:val="0"/>
                <w:lang w:bidi="ar"/>
              </w:rPr>
              <w:t>实现以列表形式展示所有数据集申请记录，包括申请时间、申请有效期，申请数据集名称</w:t>
            </w:r>
            <w:r>
              <w:rPr>
                <w:rFonts w:hint="eastAsia" w:cs="宋体"/>
                <w:color w:val="000000"/>
                <w:kern w:val="0"/>
                <w:lang w:bidi="ar"/>
              </w:rPr>
              <w:br w:type="textWrapping"/>
            </w:r>
            <w:r>
              <w:rPr>
                <w:rFonts w:hint="eastAsia" w:cs="宋体"/>
                <w:color w:val="000000"/>
                <w:kern w:val="0"/>
                <w:lang w:bidi="ar"/>
              </w:rPr>
              <w:t>实现按照数据集名称、申请状态查询申请记录</w:t>
            </w:r>
          </w:p>
        </w:tc>
      </w:tr>
      <w:tr w14:paraId="1A4C2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atLeast"/>
        </w:trPr>
        <w:tc>
          <w:tcPr>
            <w:tcW w:w="381" w:type="pct"/>
            <w:tcBorders>
              <w:tl2br w:val="nil"/>
              <w:tr2bl w:val="nil"/>
            </w:tcBorders>
            <w:vAlign w:val="center"/>
          </w:tcPr>
          <w:p w14:paraId="6CAA474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73</w:t>
            </w:r>
          </w:p>
        </w:tc>
        <w:tc>
          <w:tcPr>
            <w:tcW w:w="447" w:type="pct"/>
            <w:vMerge w:val="continue"/>
            <w:tcBorders>
              <w:tl2br w:val="nil"/>
              <w:tr2bl w:val="nil"/>
            </w:tcBorders>
            <w:vAlign w:val="center"/>
          </w:tcPr>
          <w:p w14:paraId="144CCFF4">
            <w:pPr>
              <w:spacing w:line="240" w:lineRule="auto"/>
              <w:jc w:val="left"/>
              <w:rPr>
                <w:rFonts w:hint="eastAsia" w:cs="宋体"/>
                <w:color w:val="000000"/>
              </w:rPr>
            </w:pPr>
          </w:p>
        </w:tc>
        <w:tc>
          <w:tcPr>
            <w:tcW w:w="453" w:type="pct"/>
            <w:vMerge w:val="continue"/>
            <w:tcBorders>
              <w:tl2br w:val="nil"/>
              <w:tr2bl w:val="nil"/>
            </w:tcBorders>
            <w:vAlign w:val="center"/>
          </w:tcPr>
          <w:p w14:paraId="5ABB0F55">
            <w:pPr>
              <w:spacing w:line="240" w:lineRule="auto"/>
              <w:jc w:val="left"/>
              <w:rPr>
                <w:rFonts w:hint="eastAsia" w:cs="宋体"/>
                <w:color w:val="000000"/>
              </w:rPr>
            </w:pPr>
          </w:p>
        </w:tc>
        <w:tc>
          <w:tcPr>
            <w:tcW w:w="429" w:type="pct"/>
            <w:tcBorders>
              <w:tl2br w:val="nil"/>
              <w:tr2bl w:val="nil"/>
            </w:tcBorders>
            <w:vAlign w:val="center"/>
          </w:tcPr>
          <w:p w14:paraId="0CF69576">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任务管理</w:t>
            </w:r>
          </w:p>
        </w:tc>
        <w:tc>
          <w:tcPr>
            <w:tcW w:w="3289" w:type="pct"/>
            <w:tcBorders>
              <w:tl2br w:val="nil"/>
              <w:tr2bl w:val="nil"/>
            </w:tcBorders>
            <w:vAlign w:val="center"/>
          </w:tcPr>
          <w:p w14:paraId="2DDFE223">
            <w:pPr>
              <w:widowControl/>
              <w:spacing w:line="240" w:lineRule="auto"/>
              <w:ind w:firstLine="0" w:firstLineChars="0"/>
              <w:textAlignment w:val="center"/>
              <w:rPr>
                <w:rFonts w:hint="eastAsia" w:cs="宋体"/>
                <w:color w:val="000000"/>
              </w:rPr>
            </w:pPr>
            <w:r>
              <w:rPr>
                <w:rFonts w:hint="eastAsia" w:cs="宋体"/>
                <w:color w:val="000000"/>
                <w:kern w:val="0"/>
                <w:lang w:bidi="ar"/>
              </w:rPr>
              <w:t>1、任务管理：</w:t>
            </w:r>
            <w:r>
              <w:rPr>
                <w:rFonts w:hint="eastAsia" w:cs="宋体"/>
                <w:color w:val="000000"/>
                <w:kern w:val="0"/>
                <w:lang w:bidi="ar"/>
              </w:rPr>
              <w:br w:type="textWrapping"/>
            </w:r>
            <w:r>
              <w:rPr>
                <w:rFonts w:hint="eastAsia" w:cs="宋体"/>
                <w:color w:val="000000"/>
                <w:kern w:val="0"/>
                <w:lang w:bidi="ar"/>
              </w:rPr>
              <w:t>任务管理文件，包括任务信息、prompt信息</w:t>
            </w:r>
            <w:r>
              <w:rPr>
                <w:rFonts w:hint="eastAsia" w:cs="宋体"/>
                <w:color w:val="000000"/>
                <w:kern w:val="0"/>
                <w:lang w:bidi="ar"/>
              </w:rPr>
              <w:br w:type="textWrapping"/>
            </w:r>
            <w:r>
              <w:rPr>
                <w:rFonts w:hint="eastAsia" w:cs="宋体"/>
                <w:color w:val="000000"/>
                <w:kern w:val="0"/>
                <w:lang w:bidi="ar"/>
              </w:rPr>
              <w:t>实现新建图片理解任务，包括配置任务名称、关联预案、任务描述、关联prompt模板</w:t>
            </w:r>
            <w:r>
              <w:rPr>
                <w:rFonts w:hint="eastAsia" w:cs="宋体"/>
                <w:color w:val="000000"/>
                <w:kern w:val="0"/>
                <w:lang w:bidi="ar"/>
              </w:rPr>
              <w:br w:type="textWrapping"/>
            </w:r>
            <w:r>
              <w:rPr>
                <w:rFonts w:hint="eastAsia" w:cs="宋体"/>
                <w:color w:val="000000"/>
                <w:kern w:val="0"/>
                <w:lang w:bidi="ar"/>
              </w:rPr>
              <w:t>实现以卡片视图展示任务信息，包括任务名称、任务状态</w:t>
            </w:r>
            <w:r>
              <w:rPr>
                <w:rFonts w:hint="eastAsia" w:cs="宋体"/>
                <w:color w:val="000000"/>
                <w:kern w:val="0"/>
                <w:lang w:bidi="ar"/>
              </w:rPr>
              <w:br w:type="textWrapping"/>
            </w:r>
            <w:r>
              <w:rPr>
                <w:rFonts w:hint="eastAsia" w:cs="宋体"/>
                <w:color w:val="000000"/>
                <w:kern w:val="0"/>
                <w:lang w:bidi="ar"/>
              </w:rPr>
              <w:t>实现自动统计任务关联的设备数量及任务累计执行次数</w:t>
            </w:r>
            <w:r>
              <w:rPr>
                <w:rFonts w:hint="eastAsia" w:cs="宋体"/>
                <w:color w:val="000000"/>
                <w:kern w:val="0"/>
                <w:lang w:bidi="ar"/>
              </w:rPr>
              <w:br w:type="textWrapping"/>
            </w:r>
            <w:r>
              <w:rPr>
                <w:rFonts w:hint="eastAsia" w:cs="宋体"/>
                <w:color w:val="000000"/>
                <w:kern w:val="0"/>
                <w:lang w:bidi="ar"/>
              </w:rPr>
              <w:t>实现查询任务信息，查询条件包括任务名称、任务状态</w:t>
            </w:r>
            <w:r>
              <w:rPr>
                <w:rFonts w:hint="eastAsia" w:cs="宋体"/>
                <w:color w:val="000000"/>
                <w:kern w:val="0"/>
                <w:lang w:bidi="ar"/>
              </w:rPr>
              <w:br w:type="textWrapping"/>
            </w:r>
            <w:r>
              <w:rPr>
                <w:rFonts w:hint="eastAsia" w:cs="宋体"/>
                <w:color w:val="000000"/>
                <w:kern w:val="0"/>
                <w:lang w:bidi="ar"/>
              </w:rPr>
              <w:t>2、结果管理：</w:t>
            </w:r>
            <w:r>
              <w:rPr>
                <w:rFonts w:hint="eastAsia" w:cs="宋体"/>
                <w:color w:val="000000"/>
                <w:kern w:val="0"/>
                <w:lang w:bidi="ar"/>
              </w:rPr>
              <w:br w:type="textWrapping"/>
            </w:r>
            <w:r>
              <w:rPr>
                <w:rFonts w:hint="eastAsia" w:cs="宋体"/>
                <w:color w:val="000000"/>
                <w:kern w:val="0"/>
                <w:lang w:bidi="ar"/>
              </w:rPr>
              <w:t>结果管理文件，包括理解任务信息、理解结果信息</w:t>
            </w:r>
            <w:r>
              <w:rPr>
                <w:rFonts w:hint="eastAsia" w:cs="宋体"/>
                <w:color w:val="000000"/>
                <w:kern w:val="0"/>
                <w:lang w:bidi="ar"/>
              </w:rPr>
              <w:br w:type="textWrapping"/>
            </w:r>
            <w:r>
              <w:rPr>
                <w:rFonts w:hint="eastAsia" w:cs="宋体"/>
                <w:color w:val="000000"/>
                <w:kern w:val="0"/>
                <w:lang w:bidi="ar"/>
              </w:rPr>
              <w:t>实现以列表信息展示任务执行产生的图片理解结果，包括任务名称、设备名称、设备id、理解时间等</w:t>
            </w:r>
            <w:r>
              <w:rPr>
                <w:rFonts w:hint="eastAsia" w:cs="宋体"/>
                <w:color w:val="000000"/>
                <w:kern w:val="0"/>
                <w:lang w:bidi="ar"/>
              </w:rPr>
              <w:br w:type="textWrapping"/>
            </w:r>
            <w:r>
              <w:rPr>
                <w:rFonts w:hint="eastAsia" w:cs="宋体"/>
                <w:color w:val="000000"/>
                <w:kern w:val="0"/>
                <w:lang w:bidi="ar"/>
              </w:rPr>
              <w:t>实现查看图片理解结果详情，包括设备快照、理解问题、理解结果等</w:t>
            </w:r>
            <w:r>
              <w:rPr>
                <w:rFonts w:hint="eastAsia" w:cs="宋体"/>
                <w:color w:val="000000"/>
                <w:kern w:val="0"/>
                <w:lang w:bidi="ar"/>
              </w:rPr>
              <w:br w:type="textWrapping"/>
            </w:r>
            <w:r>
              <w:rPr>
                <w:rFonts w:hint="eastAsia" w:cs="宋体"/>
                <w:color w:val="000000"/>
                <w:kern w:val="0"/>
                <w:lang w:bidi="ar"/>
              </w:rPr>
              <w:t>实现按照任务名称、设备名称、理解时间查询理解结果信息</w:t>
            </w:r>
          </w:p>
        </w:tc>
      </w:tr>
      <w:tr w14:paraId="2FAF8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4" w:hRule="atLeast"/>
        </w:trPr>
        <w:tc>
          <w:tcPr>
            <w:tcW w:w="381" w:type="pct"/>
            <w:tcBorders>
              <w:tl2br w:val="nil"/>
              <w:tr2bl w:val="nil"/>
            </w:tcBorders>
            <w:vAlign w:val="center"/>
          </w:tcPr>
          <w:p w14:paraId="5780FF97">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74</w:t>
            </w:r>
          </w:p>
        </w:tc>
        <w:tc>
          <w:tcPr>
            <w:tcW w:w="447" w:type="pct"/>
            <w:vMerge w:val="continue"/>
            <w:tcBorders>
              <w:tl2br w:val="nil"/>
              <w:tr2bl w:val="nil"/>
            </w:tcBorders>
            <w:vAlign w:val="center"/>
          </w:tcPr>
          <w:p w14:paraId="483A82BC">
            <w:pPr>
              <w:spacing w:line="240" w:lineRule="auto"/>
              <w:jc w:val="left"/>
              <w:rPr>
                <w:rFonts w:hint="eastAsia" w:cs="宋体"/>
                <w:color w:val="000000"/>
              </w:rPr>
            </w:pPr>
          </w:p>
        </w:tc>
        <w:tc>
          <w:tcPr>
            <w:tcW w:w="453" w:type="pct"/>
            <w:vMerge w:val="continue"/>
            <w:tcBorders>
              <w:tl2br w:val="nil"/>
              <w:tr2bl w:val="nil"/>
            </w:tcBorders>
            <w:vAlign w:val="center"/>
          </w:tcPr>
          <w:p w14:paraId="46AA2597">
            <w:pPr>
              <w:spacing w:line="240" w:lineRule="auto"/>
              <w:jc w:val="left"/>
              <w:rPr>
                <w:rFonts w:hint="eastAsia" w:cs="宋体"/>
                <w:color w:val="000000"/>
              </w:rPr>
            </w:pPr>
          </w:p>
        </w:tc>
        <w:tc>
          <w:tcPr>
            <w:tcW w:w="429" w:type="pct"/>
            <w:tcBorders>
              <w:tl2br w:val="nil"/>
              <w:tr2bl w:val="nil"/>
            </w:tcBorders>
            <w:vAlign w:val="center"/>
          </w:tcPr>
          <w:p w14:paraId="3FF83C5A">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AI标签</w:t>
            </w:r>
          </w:p>
        </w:tc>
        <w:tc>
          <w:tcPr>
            <w:tcW w:w="3289" w:type="pct"/>
            <w:tcBorders>
              <w:tl2br w:val="nil"/>
              <w:tr2bl w:val="nil"/>
            </w:tcBorders>
            <w:vAlign w:val="center"/>
          </w:tcPr>
          <w:p w14:paraId="1BAA0880">
            <w:pPr>
              <w:widowControl/>
              <w:spacing w:line="240" w:lineRule="auto"/>
              <w:ind w:firstLine="0" w:firstLineChars="0"/>
              <w:textAlignment w:val="center"/>
              <w:rPr>
                <w:rFonts w:hint="eastAsia" w:cs="宋体"/>
                <w:color w:val="000000"/>
              </w:rPr>
            </w:pPr>
            <w:r>
              <w:rPr>
                <w:rFonts w:hint="eastAsia" w:cs="宋体"/>
                <w:color w:val="000000"/>
                <w:kern w:val="0"/>
                <w:lang w:bidi="ar"/>
              </w:rPr>
              <w:t>1、AI标签管理：</w:t>
            </w:r>
            <w:r>
              <w:rPr>
                <w:rFonts w:hint="eastAsia" w:cs="宋体"/>
                <w:color w:val="000000"/>
                <w:kern w:val="0"/>
                <w:lang w:bidi="ar"/>
              </w:rPr>
              <w:br w:type="textWrapping"/>
            </w:r>
            <w:r>
              <w:rPr>
                <w:rFonts w:hint="eastAsia" w:cs="宋体"/>
                <w:color w:val="000000"/>
                <w:kern w:val="0"/>
                <w:lang w:bidi="ar"/>
              </w:rPr>
              <w:t>标签管理文件，包括AI标签名称数据、标签关联设备数据</w:t>
            </w:r>
            <w:r>
              <w:rPr>
                <w:rFonts w:hint="eastAsia" w:cs="宋体"/>
                <w:color w:val="000000"/>
                <w:kern w:val="0"/>
                <w:lang w:bidi="ar"/>
              </w:rPr>
              <w:br w:type="textWrapping"/>
            </w:r>
            <w:r>
              <w:rPr>
                <w:rFonts w:hint="eastAsia" w:cs="宋体"/>
                <w:color w:val="000000"/>
                <w:kern w:val="0"/>
                <w:lang w:bidi="ar"/>
              </w:rPr>
              <w:t>实现AI标签管理功能，支持新增AI标签，定义AI标签名称、标签项名称、标签有效日期</w:t>
            </w:r>
            <w:r>
              <w:rPr>
                <w:rFonts w:hint="eastAsia" w:cs="宋体"/>
                <w:color w:val="000000"/>
                <w:kern w:val="0"/>
                <w:lang w:bidi="ar"/>
              </w:rPr>
              <w:br w:type="textWrapping"/>
            </w:r>
            <w:r>
              <w:rPr>
                <w:rFonts w:hint="eastAsia" w:cs="宋体"/>
                <w:color w:val="000000"/>
                <w:kern w:val="0"/>
                <w:lang w:bidi="ar"/>
              </w:rPr>
              <w:t>实现自动统计AI标签关联设备数量</w:t>
            </w:r>
            <w:r>
              <w:rPr>
                <w:rFonts w:hint="eastAsia" w:cs="宋体"/>
                <w:color w:val="000000"/>
                <w:kern w:val="0"/>
                <w:lang w:bidi="ar"/>
              </w:rPr>
              <w:br w:type="textWrapping"/>
            </w:r>
            <w:r>
              <w:rPr>
                <w:rFonts w:hint="eastAsia" w:cs="宋体"/>
                <w:color w:val="000000"/>
                <w:kern w:val="0"/>
                <w:lang w:bidi="ar"/>
              </w:rPr>
              <w:t>实现记录AI标签检索次数</w:t>
            </w:r>
            <w:r>
              <w:rPr>
                <w:rFonts w:hint="eastAsia" w:cs="宋体"/>
                <w:color w:val="000000"/>
                <w:kern w:val="0"/>
                <w:lang w:bidi="ar"/>
              </w:rPr>
              <w:br w:type="textWrapping"/>
            </w:r>
            <w:r>
              <w:rPr>
                <w:rFonts w:hint="eastAsia" w:cs="宋体"/>
                <w:color w:val="000000"/>
                <w:kern w:val="0"/>
                <w:lang w:bidi="ar"/>
              </w:rPr>
              <w:t>实现以列表形式展示AI标签信息，包括所属标签项、标签名称、标签关联设备数量、标签检索次数</w:t>
            </w:r>
            <w:r>
              <w:rPr>
                <w:rFonts w:hint="eastAsia" w:cs="宋体"/>
                <w:color w:val="000000"/>
                <w:kern w:val="0"/>
                <w:lang w:bidi="ar"/>
              </w:rPr>
              <w:br w:type="textWrapping"/>
            </w:r>
            <w:r>
              <w:rPr>
                <w:rFonts w:hint="eastAsia" w:cs="宋体"/>
                <w:color w:val="000000"/>
                <w:kern w:val="0"/>
                <w:lang w:bidi="ar"/>
              </w:rPr>
              <w:t>实现按照标签名称查询列表标签信息</w:t>
            </w:r>
            <w:r>
              <w:rPr>
                <w:rFonts w:hint="eastAsia" w:cs="宋体"/>
                <w:color w:val="000000"/>
                <w:kern w:val="0"/>
                <w:lang w:bidi="ar"/>
              </w:rPr>
              <w:br w:type="textWrapping"/>
            </w:r>
            <w:r>
              <w:rPr>
                <w:rFonts w:hint="eastAsia" w:cs="宋体"/>
                <w:color w:val="000000"/>
                <w:kern w:val="0"/>
                <w:lang w:bidi="ar"/>
              </w:rPr>
              <w:t>2、AI标签标注：</w:t>
            </w:r>
            <w:r>
              <w:rPr>
                <w:rFonts w:hint="eastAsia" w:cs="宋体"/>
                <w:color w:val="000000"/>
                <w:kern w:val="0"/>
                <w:lang w:bidi="ar"/>
              </w:rPr>
              <w:br w:type="textWrapping"/>
            </w:r>
            <w:r>
              <w:rPr>
                <w:rFonts w:hint="eastAsia" w:cs="宋体"/>
                <w:color w:val="000000"/>
                <w:kern w:val="0"/>
                <w:lang w:bidi="ar"/>
              </w:rPr>
              <w:t>AI标签标注管理文件，包括语义指标提取数据、标注数据</w:t>
            </w:r>
            <w:r>
              <w:rPr>
                <w:rFonts w:hint="eastAsia" w:cs="宋体"/>
                <w:color w:val="000000"/>
                <w:kern w:val="0"/>
                <w:lang w:bidi="ar"/>
              </w:rPr>
              <w:br w:type="textWrapping"/>
            </w:r>
            <w:r>
              <w:rPr>
                <w:rFonts w:hint="eastAsia" w:cs="宋体"/>
                <w:color w:val="000000"/>
                <w:kern w:val="0"/>
                <w:lang w:bidi="ar"/>
              </w:rPr>
              <w:t>实现大模型图片理解任务运行结果进行语义理解，提取所需语义下的指标</w:t>
            </w:r>
            <w:r>
              <w:rPr>
                <w:rFonts w:hint="eastAsia" w:cs="宋体"/>
                <w:color w:val="000000"/>
                <w:kern w:val="0"/>
                <w:lang w:bidi="ar"/>
              </w:rPr>
              <w:br w:type="textWrapping"/>
            </w:r>
            <w:r>
              <w:rPr>
                <w:rFonts w:hint="eastAsia" w:cs="宋体"/>
                <w:color w:val="000000"/>
                <w:kern w:val="0"/>
                <w:lang w:bidi="ar"/>
              </w:rPr>
              <w:t>实现通过指标并为对应的设备打上AI标签</w:t>
            </w:r>
            <w:r>
              <w:rPr>
                <w:rFonts w:hint="eastAsia" w:cs="宋体"/>
                <w:color w:val="000000"/>
                <w:kern w:val="0"/>
                <w:lang w:bidi="ar"/>
              </w:rPr>
              <w:br w:type="textWrapping"/>
            </w:r>
            <w:r>
              <w:rPr>
                <w:rFonts w:hint="eastAsia" w:cs="宋体"/>
                <w:color w:val="000000"/>
                <w:kern w:val="0"/>
                <w:lang w:bidi="ar"/>
              </w:rPr>
              <w:t>实现在播放器标签页面展示设备所包含的所有AI标签</w:t>
            </w:r>
            <w:r>
              <w:rPr>
                <w:rFonts w:hint="eastAsia" w:cs="宋体"/>
                <w:color w:val="000000"/>
                <w:kern w:val="0"/>
                <w:lang w:bidi="ar"/>
              </w:rPr>
              <w:br w:type="textWrapping"/>
            </w:r>
            <w:r>
              <w:rPr>
                <w:rFonts w:hint="eastAsia" w:cs="宋体"/>
                <w:color w:val="000000"/>
                <w:kern w:val="0"/>
                <w:lang w:bidi="ar"/>
              </w:rPr>
              <w:t>3、设备查询：</w:t>
            </w:r>
            <w:r>
              <w:rPr>
                <w:rFonts w:hint="eastAsia" w:cs="宋体"/>
                <w:color w:val="000000"/>
                <w:kern w:val="0"/>
                <w:lang w:bidi="ar"/>
              </w:rPr>
              <w:br w:type="textWrapping"/>
            </w:r>
            <w:r>
              <w:rPr>
                <w:rFonts w:hint="eastAsia" w:cs="宋体"/>
                <w:color w:val="000000"/>
                <w:kern w:val="0"/>
                <w:lang w:bidi="ar"/>
              </w:rPr>
              <w:t>设备查询管理文件，包括文本检索数据、图片检索数据、语音检索</w:t>
            </w:r>
            <w:r>
              <w:rPr>
                <w:rFonts w:hint="eastAsia" w:cs="宋体"/>
                <w:color w:val="000000"/>
                <w:kern w:val="0"/>
                <w:lang w:bidi="ar"/>
              </w:rPr>
              <w:br w:type="textWrapping"/>
            </w:r>
            <w:r>
              <w:rPr>
                <w:rFonts w:hint="eastAsia" w:cs="宋体"/>
                <w:color w:val="000000"/>
                <w:kern w:val="0"/>
                <w:lang w:bidi="ar"/>
              </w:rPr>
              <w:t>实现通过一段文字进行语义检索相关设备</w:t>
            </w:r>
            <w:r>
              <w:rPr>
                <w:rFonts w:hint="eastAsia" w:cs="宋体"/>
                <w:color w:val="000000"/>
                <w:kern w:val="0"/>
                <w:lang w:bidi="ar"/>
              </w:rPr>
              <w:br w:type="textWrapping"/>
            </w:r>
            <w:r>
              <w:rPr>
                <w:rFonts w:hint="eastAsia" w:cs="宋体"/>
                <w:color w:val="000000"/>
                <w:kern w:val="0"/>
                <w:lang w:bidi="ar"/>
              </w:rPr>
              <w:t>实现通过图片检索相关设备和预案，图片格式需兼容png，jpeg等格式</w:t>
            </w:r>
            <w:r>
              <w:rPr>
                <w:rFonts w:hint="eastAsia" w:cs="宋体"/>
                <w:color w:val="000000"/>
                <w:kern w:val="0"/>
                <w:lang w:bidi="ar"/>
              </w:rPr>
              <w:br w:type="textWrapping"/>
            </w:r>
            <w:r>
              <w:rPr>
                <w:rFonts w:hint="eastAsia" w:cs="宋体"/>
                <w:color w:val="000000"/>
                <w:kern w:val="0"/>
                <w:lang w:bidi="ar"/>
              </w:rPr>
              <w:t>实现通过语音对话检索相关设备和预案</w:t>
            </w:r>
          </w:p>
        </w:tc>
      </w:tr>
      <w:tr w14:paraId="0ED12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4" w:hRule="atLeast"/>
        </w:trPr>
        <w:tc>
          <w:tcPr>
            <w:tcW w:w="381" w:type="pct"/>
            <w:tcBorders>
              <w:tl2br w:val="nil"/>
              <w:tr2bl w:val="nil"/>
            </w:tcBorders>
            <w:vAlign w:val="center"/>
          </w:tcPr>
          <w:p w14:paraId="12D779C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75</w:t>
            </w:r>
          </w:p>
        </w:tc>
        <w:tc>
          <w:tcPr>
            <w:tcW w:w="447" w:type="pct"/>
            <w:vMerge w:val="continue"/>
            <w:tcBorders>
              <w:tl2br w:val="nil"/>
              <w:tr2bl w:val="nil"/>
            </w:tcBorders>
            <w:vAlign w:val="center"/>
          </w:tcPr>
          <w:p w14:paraId="79E28DF1">
            <w:pPr>
              <w:spacing w:line="240" w:lineRule="auto"/>
              <w:jc w:val="left"/>
              <w:rPr>
                <w:rFonts w:hint="eastAsia" w:cs="宋体"/>
                <w:color w:val="000000"/>
              </w:rPr>
            </w:pPr>
          </w:p>
        </w:tc>
        <w:tc>
          <w:tcPr>
            <w:tcW w:w="453" w:type="pct"/>
            <w:vMerge w:val="continue"/>
            <w:tcBorders>
              <w:tl2br w:val="nil"/>
              <w:tr2bl w:val="nil"/>
            </w:tcBorders>
            <w:vAlign w:val="center"/>
          </w:tcPr>
          <w:p w14:paraId="415B2C0B">
            <w:pPr>
              <w:spacing w:line="240" w:lineRule="auto"/>
              <w:jc w:val="left"/>
              <w:rPr>
                <w:rFonts w:hint="eastAsia" w:cs="宋体"/>
                <w:color w:val="000000"/>
              </w:rPr>
            </w:pPr>
          </w:p>
        </w:tc>
        <w:tc>
          <w:tcPr>
            <w:tcW w:w="429" w:type="pct"/>
            <w:tcBorders>
              <w:tl2br w:val="nil"/>
              <w:tr2bl w:val="nil"/>
            </w:tcBorders>
            <w:vAlign w:val="center"/>
          </w:tcPr>
          <w:p w14:paraId="37CE0692">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AI告警</w:t>
            </w:r>
          </w:p>
        </w:tc>
        <w:tc>
          <w:tcPr>
            <w:tcW w:w="3289" w:type="pct"/>
            <w:tcBorders>
              <w:tl2br w:val="nil"/>
              <w:tr2bl w:val="nil"/>
            </w:tcBorders>
            <w:vAlign w:val="center"/>
          </w:tcPr>
          <w:p w14:paraId="4132E1AD">
            <w:pPr>
              <w:widowControl/>
              <w:spacing w:line="240" w:lineRule="auto"/>
              <w:ind w:firstLine="0" w:firstLineChars="0"/>
              <w:textAlignment w:val="center"/>
              <w:rPr>
                <w:rFonts w:hint="eastAsia" w:cs="宋体"/>
                <w:color w:val="000000"/>
              </w:rPr>
            </w:pPr>
            <w:r>
              <w:rPr>
                <w:rFonts w:hint="eastAsia" w:cs="宋体"/>
                <w:color w:val="000000"/>
                <w:kern w:val="0"/>
                <w:lang w:bidi="ar"/>
              </w:rPr>
              <w:t>1、告警规则：</w:t>
            </w:r>
            <w:r>
              <w:rPr>
                <w:rFonts w:hint="eastAsia" w:cs="宋体"/>
                <w:color w:val="000000"/>
                <w:kern w:val="0"/>
                <w:lang w:bidi="ar"/>
              </w:rPr>
              <w:br w:type="textWrapping"/>
            </w:r>
            <w:r>
              <w:rPr>
                <w:rFonts w:hint="eastAsia" w:cs="宋体"/>
                <w:color w:val="000000"/>
                <w:kern w:val="0"/>
                <w:lang w:bidi="ar"/>
              </w:rPr>
              <w:t>告警规则管理文件，包括告警规则数据，告警任务数据</w:t>
            </w:r>
            <w:r>
              <w:rPr>
                <w:rFonts w:hint="eastAsia" w:cs="宋体"/>
                <w:color w:val="000000"/>
                <w:kern w:val="0"/>
                <w:lang w:bidi="ar"/>
              </w:rPr>
              <w:br w:type="textWrapping"/>
            </w:r>
            <w:r>
              <w:rPr>
                <w:rFonts w:hint="eastAsia" w:cs="宋体"/>
                <w:color w:val="000000"/>
                <w:kern w:val="0"/>
                <w:lang w:bidi="ar"/>
              </w:rPr>
              <w:t>实现告警任务新建、编辑、删除和启停操作</w:t>
            </w:r>
            <w:r>
              <w:rPr>
                <w:rFonts w:hint="eastAsia" w:cs="宋体"/>
                <w:color w:val="000000"/>
                <w:kern w:val="0"/>
                <w:lang w:bidi="ar"/>
              </w:rPr>
              <w:br w:type="textWrapping"/>
            </w:r>
            <w:r>
              <w:rPr>
                <w:rFonts w:hint="eastAsia" w:cs="宋体"/>
                <w:color w:val="000000"/>
                <w:kern w:val="0"/>
                <w:lang w:bidi="ar"/>
              </w:rPr>
              <w:t>实现AI告警规则配置，包括AI告警类型、告警阈值、告警时段、告警间隔等</w:t>
            </w:r>
            <w:r>
              <w:rPr>
                <w:rFonts w:hint="eastAsia" w:cs="宋体"/>
                <w:color w:val="000000"/>
                <w:kern w:val="0"/>
                <w:lang w:bidi="ar"/>
              </w:rPr>
              <w:br w:type="textWrapping"/>
            </w:r>
            <w:r>
              <w:rPr>
                <w:rFonts w:hint="eastAsia" w:cs="宋体"/>
                <w:color w:val="000000"/>
                <w:kern w:val="0"/>
                <w:lang w:bidi="ar"/>
              </w:rPr>
              <w:t>2、告警列表：</w:t>
            </w:r>
            <w:r>
              <w:rPr>
                <w:rFonts w:hint="eastAsia" w:cs="宋体"/>
                <w:color w:val="000000"/>
                <w:kern w:val="0"/>
                <w:lang w:bidi="ar"/>
              </w:rPr>
              <w:br w:type="textWrapping"/>
            </w:r>
            <w:r>
              <w:rPr>
                <w:rFonts w:hint="eastAsia" w:cs="宋体"/>
                <w:color w:val="000000"/>
                <w:kern w:val="0"/>
                <w:lang w:bidi="ar"/>
              </w:rPr>
              <w:t>告警列表管理文件,包括告警信息数据、告警统计数据，实现AI告警信息列表展示，包括告警</w:t>
            </w:r>
            <w:r>
              <w:rPr>
                <w:rFonts w:hint="eastAsia" w:cs="宋体"/>
                <w:color w:val="000000"/>
                <w:kern w:val="0"/>
                <w:lang w:eastAsia="zh-CN" w:bidi="ar"/>
              </w:rPr>
              <w:t>事件</w:t>
            </w:r>
            <w:r>
              <w:rPr>
                <w:rFonts w:hint="eastAsia" w:cs="宋体"/>
                <w:color w:val="000000"/>
                <w:kern w:val="0"/>
                <w:lang w:bidi="ar"/>
              </w:rPr>
              <w:t>、关联设备名称、关联设备国标编码、AI告警类型、审核状态、告警时间</w:t>
            </w:r>
            <w:r>
              <w:rPr>
                <w:rFonts w:hint="eastAsia" w:cs="宋体"/>
                <w:color w:val="000000"/>
                <w:kern w:val="0"/>
                <w:lang w:bidi="ar"/>
              </w:rPr>
              <w:br w:type="textWrapping"/>
            </w:r>
            <w:r>
              <w:rPr>
                <w:rFonts w:hint="eastAsia" w:cs="宋体"/>
                <w:color w:val="000000"/>
                <w:kern w:val="0"/>
                <w:lang w:bidi="ar"/>
              </w:rPr>
              <w:t>实现AI告警信息查询，查询条件包括设备名称及国标编码、告警类型、审核状态、告警时间</w:t>
            </w:r>
            <w:r>
              <w:rPr>
                <w:rFonts w:hint="eastAsia" w:cs="宋体"/>
                <w:color w:val="000000"/>
                <w:kern w:val="0"/>
                <w:lang w:bidi="ar"/>
              </w:rPr>
              <w:br w:type="textWrapping"/>
            </w:r>
            <w:r>
              <w:rPr>
                <w:rFonts w:hint="eastAsia" w:cs="宋体"/>
                <w:color w:val="000000"/>
                <w:kern w:val="0"/>
                <w:lang w:bidi="ar"/>
              </w:rPr>
              <w:t>3、告警审核：</w:t>
            </w:r>
            <w:r>
              <w:rPr>
                <w:rFonts w:hint="eastAsia" w:cs="宋体"/>
                <w:color w:val="000000"/>
                <w:kern w:val="0"/>
                <w:lang w:bidi="ar"/>
              </w:rPr>
              <w:br w:type="textWrapping"/>
            </w:r>
            <w:r>
              <w:rPr>
                <w:rFonts w:hint="eastAsia" w:cs="宋体"/>
                <w:color w:val="000000"/>
                <w:kern w:val="0"/>
                <w:lang w:bidi="ar"/>
              </w:rPr>
              <w:t>实现告警事件人工审核，审核结果包括通过，未通过</w:t>
            </w:r>
            <w:r>
              <w:rPr>
                <w:rFonts w:hint="eastAsia" w:cs="宋体"/>
                <w:color w:val="000000"/>
                <w:kern w:val="0"/>
                <w:lang w:bidi="ar"/>
              </w:rPr>
              <w:br w:type="textWrapping"/>
            </w:r>
            <w:r>
              <w:rPr>
                <w:rFonts w:hint="eastAsia" w:cs="宋体"/>
                <w:color w:val="000000"/>
                <w:kern w:val="0"/>
                <w:lang w:bidi="ar"/>
              </w:rPr>
              <w:t>实现重复告警事件自动审核，当同一设备产生同一类型的多个告警事件，按照最新时间过滤历史重复事件，支持以列表形式展示告警审核结果</w:t>
            </w:r>
          </w:p>
        </w:tc>
      </w:tr>
      <w:tr w14:paraId="29A0D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8" w:hRule="atLeast"/>
        </w:trPr>
        <w:tc>
          <w:tcPr>
            <w:tcW w:w="381" w:type="pct"/>
            <w:tcBorders>
              <w:tl2br w:val="nil"/>
              <w:tr2bl w:val="nil"/>
            </w:tcBorders>
            <w:vAlign w:val="center"/>
          </w:tcPr>
          <w:p w14:paraId="48AB6C8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76</w:t>
            </w:r>
          </w:p>
        </w:tc>
        <w:tc>
          <w:tcPr>
            <w:tcW w:w="447" w:type="pct"/>
            <w:vMerge w:val="continue"/>
            <w:tcBorders>
              <w:tl2br w:val="nil"/>
              <w:tr2bl w:val="nil"/>
            </w:tcBorders>
            <w:vAlign w:val="center"/>
          </w:tcPr>
          <w:p w14:paraId="54E7190D">
            <w:pPr>
              <w:spacing w:line="240" w:lineRule="auto"/>
              <w:jc w:val="left"/>
              <w:rPr>
                <w:rFonts w:hint="eastAsia" w:cs="宋体"/>
                <w:color w:val="000000"/>
              </w:rPr>
            </w:pPr>
          </w:p>
        </w:tc>
        <w:tc>
          <w:tcPr>
            <w:tcW w:w="453" w:type="pct"/>
            <w:vMerge w:val="continue"/>
            <w:tcBorders>
              <w:tl2br w:val="nil"/>
              <w:tr2bl w:val="nil"/>
            </w:tcBorders>
            <w:vAlign w:val="center"/>
          </w:tcPr>
          <w:p w14:paraId="2C7732D2">
            <w:pPr>
              <w:spacing w:line="240" w:lineRule="auto"/>
              <w:jc w:val="left"/>
              <w:rPr>
                <w:rFonts w:hint="eastAsia" w:cs="宋体"/>
                <w:color w:val="000000"/>
              </w:rPr>
            </w:pPr>
          </w:p>
        </w:tc>
        <w:tc>
          <w:tcPr>
            <w:tcW w:w="429" w:type="pct"/>
            <w:tcBorders>
              <w:tl2br w:val="nil"/>
              <w:tr2bl w:val="nil"/>
            </w:tcBorders>
            <w:vAlign w:val="center"/>
          </w:tcPr>
          <w:p w14:paraId="410D546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AI+能力平台纳管服务支撑</w:t>
            </w:r>
          </w:p>
        </w:tc>
        <w:tc>
          <w:tcPr>
            <w:tcW w:w="3289" w:type="pct"/>
            <w:tcBorders>
              <w:tl2br w:val="nil"/>
              <w:tr2bl w:val="nil"/>
            </w:tcBorders>
            <w:vAlign w:val="center"/>
          </w:tcPr>
          <w:p w14:paraId="63574C71">
            <w:pPr>
              <w:widowControl/>
              <w:spacing w:line="240" w:lineRule="auto"/>
              <w:ind w:firstLine="0" w:firstLineChars="0"/>
              <w:textAlignment w:val="center"/>
              <w:rPr>
                <w:rFonts w:hint="eastAsia" w:cs="宋体"/>
                <w:color w:val="000000"/>
              </w:rPr>
            </w:pPr>
            <w:r>
              <w:rPr>
                <w:rFonts w:hint="eastAsia" w:cs="宋体"/>
                <w:color w:val="000000"/>
                <w:kern w:val="0"/>
                <w:lang w:bidi="ar"/>
              </w:rPr>
              <w:t>1、标准化服务接口</w:t>
            </w:r>
            <w:r>
              <w:rPr>
                <w:rFonts w:hint="eastAsia" w:cs="宋体"/>
                <w:color w:val="000000"/>
                <w:kern w:val="0"/>
                <w:lang w:bidi="ar"/>
              </w:rPr>
              <w:br w:type="textWrapping"/>
            </w:r>
            <w:r>
              <w:rPr>
                <w:rFonts w:hint="eastAsia" w:cs="宋体"/>
                <w:color w:val="000000"/>
                <w:kern w:val="0"/>
                <w:lang w:bidi="ar"/>
              </w:rPr>
              <w:t>提供标准化对外接口（如/api/v1/llm/invoke），支持同步调用（即时响应）、异步调用（任务队列+回调通知）、流式调用（SSE/WebSocket实时返回）。同步调用支持单轮对话，可即时返回结构化响应；异步调用支持长文本生成等耗时任务；流式调用基于 WebSocket 或 SSE（Server-Sent Events）协议，实时返回模型生成的片段（如逐句输出），适用于聊天场景。</w:t>
            </w:r>
            <w:r>
              <w:rPr>
                <w:rFonts w:hint="eastAsia" w:cs="宋体"/>
                <w:color w:val="000000"/>
                <w:kern w:val="0"/>
                <w:lang w:bidi="ar"/>
              </w:rPr>
              <w:br w:type="textWrapping"/>
            </w:r>
            <w:r>
              <w:rPr>
                <w:rFonts w:hint="eastAsia" w:cs="宋体"/>
                <w:color w:val="000000"/>
                <w:kern w:val="0"/>
                <w:lang w:bidi="ar"/>
              </w:rPr>
              <w:t>2、接口鉴权</w:t>
            </w:r>
            <w:r>
              <w:rPr>
                <w:rFonts w:hint="eastAsia" w:cs="宋体"/>
                <w:color w:val="000000"/>
                <w:kern w:val="0"/>
                <w:lang w:bidi="ar"/>
              </w:rPr>
              <w:br w:type="textWrapping"/>
            </w:r>
            <w:r>
              <w:rPr>
                <w:rFonts w:hint="eastAsia" w:cs="宋体"/>
                <w:color w:val="000000"/>
                <w:kern w:val="0"/>
                <w:lang w:bidi="ar"/>
              </w:rPr>
              <w:t>集成 API 密钥、OAuth2.0、Token 等认证方式，校验调用方权限（如租户、用户角色）。</w:t>
            </w:r>
            <w:r>
              <w:rPr>
                <w:rFonts w:hint="eastAsia" w:cs="宋体"/>
                <w:color w:val="000000"/>
                <w:kern w:val="0"/>
                <w:lang w:bidi="ar"/>
              </w:rPr>
              <w:br w:type="textWrapping"/>
            </w:r>
            <w:r>
              <w:rPr>
                <w:rFonts w:hint="eastAsia" w:cs="宋体"/>
                <w:color w:val="000000"/>
                <w:kern w:val="0"/>
                <w:lang w:bidi="ar"/>
              </w:rPr>
              <w:t>API 密钥（API Key）：调用方在请求头携带X-API-Key，网关校验密钥有效性及绑定的权限（如是否允许调用特定模型版本）。</w:t>
            </w:r>
            <w:r>
              <w:rPr>
                <w:rFonts w:hint="eastAsia" w:cs="宋体"/>
                <w:color w:val="000000"/>
                <w:kern w:val="0"/>
                <w:lang w:bidi="ar"/>
              </w:rPr>
              <w:br w:type="textWrapping"/>
            </w:r>
            <w:r>
              <w:rPr>
                <w:rFonts w:hint="eastAsia" w:cs="宋体"/>
                <w:color w:val="000000"/>
                <w:kern w:val="0"/>
                <w:lang w:bidi="ar"/>
              </w:rPr>
              <w:t>令牌（Token）：支持短期访问令牌（如 JWT），适用于用户级权限控制（如通过平台登录后获取的临时 Token）。</w:t>
            </w:r>
            <w:r>
              <w:rPr>
                <w:rFonts w:hint="eastAsia" w:cs="宋体"/>
                <w:color w:val="000000"/>
                <w:kern w:val="0"/>
                <w:lang w:bidi="ar"/>
              </w:rPr>
              <w:br w:type="textWrapping"/>
            </w:r>
            <w:r>
              <w:rPr>
                <w:rFonts w:hint="eastAsia" w:cs="宋体"/>
                <w:color w:val="000000"/>
                <w:kern w:val="0"/>
                <w:lang w:bidi="ar"/>
              </w:rPr>
              <w:t>签名验证：对高安全性场景，要求请求参数 + 时间戳 + 密钥生成签名（X-Signature），防止请求被篡改。</w:t>
            </w:r>
            <w:r>
              <w:rPr>
                <w:rFonts w:hint="eastAsia" w:cs="宋体"/>
                <w:color w:val="000000"/>
                <w:kern w:val="0"/>
                <w:lang w:bidi="ar"/>
              </w:rPr>
              <w:br w:type="textWrapping"/>
            </w:r>
            <w:r>
              <w:rPr>
                <w:rFonts w:hint="eastAsia" w:cs="宋体"/>
                <w:color w:val="000000"/>
                <w:kern w:val="0"/>
                <w:lang w:bidi="ar"/>
              </w:rPr>
              <w:t>3、协议转换</w:t>
            </w:r>
            <w:r>
              <w:rPr>
                <w:rFonts w:hint="eastAsia" w:cs="宋体"/>
                <w:color w:val="000000"/>
                <w:kern w:val="0"/>
                <w:lang w:bidi="ar"/>
              </w:rPr>
              <w:br w:type="textWrapping"/>
            </w:r>
            <w:r>
              <w:rPr>
                <w:rFonts w:hint="eastAsia" w:cs="宋体"/>
                <w:color w:val="000000"/>
                <w:kern w:val="0"/>
                <w:lang w:bidi="ar"/>
              </w:rPr>
              <w:t>兼容 HTTP、HTTPS、WebSocket 等协议，内部统一转为模型可识别的协议，满足不同调用方的技术栈需求，实现将外部请求统一转换为大模型原生支持的协议。</w:t>
            </w:r>
          </w:p>
        </w:tc>
      </w:tr>
      <w:tr w14:paraId="7A5A1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6" w:hRule="atLeast"/>
        </w:trPr>
        <w:tc>
          <w:tcPr>
            <w:tcW w:w="381" w:type="pct"/>
            <w:tcBorders>
              <w:tl2br w:val="nil"/>
              <w:tr2bl w:val="nil"/>
            </w:tcBorders>
            <w:vAlign w:val="center"/>
          </w:tcPr>
          <w:p w14:paraId="52AF508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77</w:t>
            </w:r>
          </w:p>
        </w:tc>
        <w:tc>
          <w:tcPr>
            <w:tcW w:w="447" w:type="pct"/>
            <w:vMerge w:val="restart"/>
            <w:tcBorders>
              <w:tl2br w:val="nil"/>
              <w:tr2bl w:val="nil"/>
            </w:tcBorders>
            <w:vAlign w:val="center"/>
          </w:tcPr>
          <w:p w14:paraId="65B74DA8">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安全生产管理子系统升级</w:t>
            </w:r>
          </w:p>
        </w:tc>
        <w:tc>
          <w:tcPr>
            <w:tcW w:w="453" w:type="pct"/>
            <w:tcBorders>
              <w:tl2br w:val="nil"/>
              <w:tr2bl w:val="nil"/>
            </w:tcBorders>
            <w:vAlign w:val="center"/>
          </w:tcPr>
          <w:p w14:paraId="38BBA9EC">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个人工作台</w:t>
            </w:r>
          </w:p>
        </w:tc>
        <w:tc>
          <w:tcPr>
            <w:tcW w:w="429" w:type="pct"/>
            <w:tcBorders>
              <w:tl2br w:val="nil"/>
              <w:tr2bl w:val="nil"/>
            </w:tcBorders>
            <w:vAlign w:val="center"/>
          </w:tcPr>
          <w:p w14:paraId="50B3DA09">
            <w:pPr>
              <w:spacing w:line="240" w:lineRule="auto"/>
              <w:jc w:val="center"/>
              <w:rPr>
                <w:rFonts w:hint="eastAsia" w:cs="宋体"/>
                <w:color w:val="000000"/>
              </w:rPr>
            </w:pPr>
          </w:p>
        </w:tc>
        <w:tc>
          <w:tcPr>
            <w:tcW w:w="3289" w:type="pct"/>
            <w:tcBorders>
              <w:tl2br w:val="nil"/>
              <w:tr2bl w:val="nil"/>
            </w:tcBorders>
            <w:vAlign w:val="center"/>
          </w:tcPr>
          <w:p w14:paraId="1B59ECF0">
            <w:pPr>
              <w:widowControl/>
              <w:spacing w:line="240" w:lineRule="auto"/>
              <w:ind w:firstLine="0" w:firstLineChars="0"/>
              <w:textAlignment w:val="center"/>
              <w:rPr>
                <w:rFonts w:hint="eastAsia" w:cs="宋体"/>
                <w:color w:val="000000"/>
              </w:rPr>
            </w:pPr>
            <w:r>
              <w:rPr>
                <w:rFonts w:hint="eastAsia" w:cs="宋体"/>
                <w:color w:val="000000"/>
                <w:kern w:val="0"/>
                <w:lang w:bidi="ar"/>
              </w:rPr>
              <w:t>1、待办事项：查看全部待办事项，以及已超时、即将超时的事项和督办事项等；</w:t>
            </w:r>
            <w:r>
              <w:rPr>
                <w:rFonts w:hint="eastAsia" w:cs="宋体"/>
                <w:color w:val="000000"/>
                <w:kern w:val="0"/>
                <w:lang w:bidi="ar"/>
              </w:rPr>
              <w:br w:type="textWrapping"/>
            </w:r>
            <w:r>
              <w:rPr>
                <w:rFonts w:hint="eastAsia" w:cs="宋体"/>
                <w:color w:val="000000"/>
                <w:kern w:val="0"/>
                <w:lang w:bidi="ar"/>
              </w:rPr>
              <w:t>2、监管对象：查看所负责的监管对象企业规模、安全生产标准化达标情况、星级评定情况及重点监管标签信息。</w:t>
            </w:r>
            <w:r>
              <w:rPr>
                <w:rFonts w:hint="eastAsia" w:cs="宋体"/>
                <w:color w:val="000000"/>
                <w:kern w:val="0"/>
                <w:lang w:bidi="ar"/>
              </w:rPr>
              <w:br w:type="textWrapping"/>
            </w:r>
            <w:r>
              <w:rPr>
                <w:rFonts w:hint="eastAsia" w:cs="宋体"/>
                <w:color w:val="000000"/>
                <w:kern w:val="0"/>
                <w:lang w:bidi="ar"/>
              </w:rPr>
              <w:t>3、工作站点：查看工作站下辖单位数量及列表信息，并可分类查看已排查企业、未排查企业信息以及每个工作站下辖企业的查处率信息，并进行排名。</w:t>
            </w:r>
            <w:r>
              <w:rPr>
                <w:rFonts w:hint="eastAsia" w:cs="宋体"/>
                <w:color w:val="000000"/>
                <w:kern w:val="0"/>
                <w:lang w:bidi="ar"/>
              </w:rPr>
              <w:br w:type="textWrapping"/>
            </w:r>
            <w:r>
              <w:rPr>
                <w:rFonts w:hint="eastAsia" w:cs="宋体"/>
                <w:color w:val="000000"/>
                <w:kern w:val="0"/>
                <w:lang w:bidi="ar"/>
              </w:rPr>
              <w:t>4、日常排查：综合展示外场、内场人员日常企业排查详细信息，包括企业名称、隐患内容，排查日期等，可点击详情进行查看详细信息。</w:t>
            </w:r>
            <w:r>
              <w:rPr>
                <w:rFonts w:hint="eastAsia" w:cs="宋体"/>
                <w:color w:val="000000"/>
                <w:kern w:val="0"/>
                <w:lang w:bidi="ar"/>
              </w:rPr>
              <w:br w:type="textWrapping"/>
            </w:r>
            <w:r>
              <w:rPr>
                <w:rFonts w:hint="eastAsia" w:cs="宋体"/>
                <w:color w:val="000000"/>
                <w:kern w:val="0"/>
                <w:lang w:bidi="ar"/>
              </w:rPr>
              <w:t>5、专项排查：综合展示外场、内场人员企业厂房仓库、重点等各类专项排查详细信息，包括企业名称、隐患内容，排查日期等，可点击详情进行查看详细信息。</w:t>
            </w:r>
            <w:r>
              <w:rPr>
                <w:rFonts w:hint="eastAsia" w:cs="宋体"/>
                <w:color w:val="000000"/>
                <w:kern w:val="0"/>
                <w:lang w:bidi="ar"/>
              </w:rPr>
              <w:br w:type="textWrapping"/>
            </w:r>
            <w:r>
              <w:rPr>
                <w:rFonts w:hint="eastAsia" w:cs="宋体"/>
                <w:color w:val="000000"/>
                <w:kern w:val="0"/>
                <w:lang w:bidi="ar"/>
              </w:rPr>
              <w:t>6、企业自查：综合展示企业日常隐患排查信息，包括名称、有无隐患、排查时间等列表信息，可点击详情进行查看详细信息。</w:t>
            </w:r>
            <w:r>
              <w:rPr>
                <w:rFonts w:hint="eastAsia" w:cs="宋体"/>
                <w:color w:val="000000"/>
                <w:kern w:val="0"/>
                <w:lang w:bidi="ar"/>
              </w:rPr>
              <w:br w:type="textWrapping"/>
            </w:r>
            <w:r>
              <w:rPr>
                <w:rFonts w:hint="eastAsia" w:cs="宋体"/>
                <w:color w:val="000000"/>
                <w:kern w:val="0"/>
                <w:lang w:bidi="ar"/>
              </w:rPr>
              <w:t>7、位置信息：通过地图展示下辖企业以及已排查安全隐患的地理位置信息，并在地图上进行标点。</w:t>
            </w:r>
            <w:r>
              <w:rPr>
                <w:rFonts w:hint="eastAsia" w:cs="宋体"/>
                <w:color w:val="000000"/>
                <w:kern w:val="0"/>
                <w:lang w:bidi="ar"/>
              </w:rPr>
              <w:br w:type="textWrapping"/>
            </w:r>
            <w:r>
              <w:rPr>
                <w:rFonts w:hint="eastAsia" w:cs="宋体"/>
                <w:color w:val="000000"/>
                <w:kern w:val="0"/>
                <w:lang w:bidi="ar"/>
              </w:rPr>
              <w:t>8、知识中心：查看个人学习计划、学习历史、待考试科目等信息。</w:t>
            </w:r>
            <w:r>
              <w:rPr>
                <w:rFonts w:hint="eastAsia" w:cs="宋体"/>
                <w:color w:val="000000"/>
                <w:kern w:val="0"/>
                <w:lang w:bidi="ar"/>
              </w:rPr>
              <w:br w:type="textWrapping"/>
            </w:r>
            <w:r>
              <w:rPr>
                <w:rFonts w:hint="eastAsia" w:cs="宋体"/>
                <w:color w:val="000000"/>
                <w:kern w:val="0"/>
                <w:lang w:bidi="ar"/>
              </w:rPr>
              <w:t>9、消息通知：系统将实时接收各类消息通知，可按未读、已读、未回复、已回复等进行展示。</w:t>
            </w:r>
          </w:p>
        </w:tc>
      </w:tr>
      <w:tr w14:paraId="08526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trPr>
        <w:tc>
          <w:tcPr>
            <w:tcW w:w="381" w:type="pct"/>
            <w:tcBorders>
              <w:tl2br w:val="nil"/>
              <w:tr2bl w:val="nil"/>
            </w:tcBorders>
            <w:vAlign w:val="center"/>
          </w:tcPr>
          <w:p w14:paraId="3E5DEFE2">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78</w:t>
            </w:r>
          </w:p>
        </w:tc>
        <w:tc>
          <w:tcPr>
            <w:tcW w:w="447" w:type="pct"/>
            <w:vMerge w:val="continue"/>
            <w:tcBorders>
              <w:tl2br w:val="nil"/>
              <w:tr2bl w:val="nil"/>
            </w:tcBorders>
            <w:vAlign w:val="center"/>
          </w:tcPr>
          <w:p w14:paraId="3115FEED">
            <w:pPr>
              <w:spacing w:line="240" w:lineRule="auto"/>
              <w:jc w:val="left"/>
              <w:rPr>
                <w:rFonts w:hint="eastAsia" w:cs="宋体"/>
                <w:color w:val="000000"/>
              </w:rPr>
            </w:pPr>
          </w:p>
        </w:tc>
        <w:tc>
          <w:tcPr>
            <w:tcW w:w="453" w:type="pct"/>
            <w:tcBorders>
              <w:tl2br w:val="nil"/>
              <w:tr2bl w:val="nil"/>
            </w:tcBorders>
            <w:vAlign w:val="center"/>
          </w:tcPr>
          <w:p w14:paraId="62741CAE">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系统整合</w:t>
            </w:r>
          </w:p>
        </w:tc>
        <w:tc>
          <w:tcPr>
            <w:tcW w:w="429" w:type="pct"/>
            <w:tcBorders>
              <w:tl2br w:val="nil"/>
              <w:tr2bl w:val="nil"/>
            </w:tcBorders>
            <w:vAlign w:val="center"/>
          </w:tcPr>
          <w:p w14:paraId="00CA7285">
            <w:pPr>
              <w:spacing w:line="240" w:lineRule="auto"/>
              <w:jc w:val="center"/>
              <w:rPr>
                <w:rFonts w:hint="eastAsia" w:cs="宋体"/>
                <w:color w:val="000000"/>
              </w:rPr>
            </w:pPr>
          </w:p>
        </w:tc>
        <w:tc>
          <w:tcPr>
            <w:tcW w:w="3289" w:type="pct"/>
            <w:tcBorders>
              <w:tl2br w:val="nil"/>
              <w:tr2bl w:val="nil"/>
            </w:tcBorders>
            <w:vAlign w:val="center"/>
          </w:tcPr>
          <w:p w14:paraId="4A4A2F8F">
            <w:pPr>
              <w:widowControl/>
              <w:spacing w:line="240" w:lineRule="auto"/>
              <w:ind w:firstLine="0" w:firstLineChars="0"/>
              <w:textAlignment w:val="center"/>
              <w:rPr>
                <w:rFonts w:hint="eastAsia" w:cs="宋体"/>
                <w:color w:val="000000"/>
              </w:rPr>
            </w:pPr>
            <w:r>
              <w:rPr>
                <w:rFonts w:hint="eastAsia" w:cs="宋体"/>
                <w:color w:val="000000"/>
                <w:kern w:val="0"/>
                <w:lang w:bidi="ar"/>
              </w:rPr>
              <w:t>1、数据整合：打通不同系统数据壁垒，统一标准后集中存储管理，实现跨系统数据互通与价值挖掘。</w:t>
            </w:r>
            <w:r>
              <w:rPr>
                <w:rFonts w:hint="eastAsia" w:cs="宋体"/>
                <w:color w:val="000000"/>
                <w:kern w:val="0"/>
                <w:lang w:bidi="ar"/>
              </w:rPr>
              <w:br w:type="textWrapping"/>
            </w:r>
            <w:r>
              <w:rPr>
                <w:rFonts w:hint="eastAsia" w:cs="宋体"/>
                <w:color w:val="000000"/>
                <w:kern w:val="0"/>
                <w:lang w:bidi="ar"/>
              </w:rPr>
              <w:t>2、事项整合：优化跨系统业务流程，统一规则并聚合服务，让用户在统一入口完成 “一件事” 全流程操作。</w:t>
            </w:r>
            <w:r>
              <w:rPr>
                <w:rFonts w:hint="eastAsia" w:cs="宋体"/>
                <w:color w:val="000000"/>
                <w:kern w:val="0"/>
                <w:lang w:bidi="ar"/>
              </w:rPr>
              <w:br w:type="textWrapping"/>
            </w:r>
            <w:r>
              <w:rPr>
                <w:rFonts w:hint="eastAsia" w:cs="宋体"/>
                <w:color w:val="000000"/>
                <w:kern w:val="0"/>
                <w:lang w:bidi="ar"/>
              </w:rPr>
              <w:t>3、部门整合：依托系统整合重新梳理部门权责，搭建协作平台促进跨部门能力共享与高效协同。</w:t>
            </w:r>
          </w:p>
        </w:tc>
      </w:tr>
      <w:tr w14:paraId="67185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81" w:type="pct"/>
            <w:tcBorders>
              <w:tl2br w:val="nil"/>
              <w:tr2bl w:val="nil"/>
            </w:tcBorders>
            <w:vAlign w:val="center"/>
          </w:tcPr>
          <w:p w14:paraId="29841FD4">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79</w:t>
            </w:r>
          </w:p>
        </w:tc>
        <w:tc>
          <w:tcPr>
            <w:tcW w:w="447" w:type="pct"/>
            <w:vMerge w:val="continue"/>
            <w:tcBorders>
              <w:tl2br w:val="nil"/>
              <w:tr2bl w:val="nil"/>
            </w:tcBorders>
            <w:vAlign w:val="center"/>
          </w:tcPr>
          <w:p w14:paraId="0B2D80C2">
            <w:pPr>
              <w:spacing w:line="240" w:lineRule="auto"/>
              <w:jc w:val="left"/>
              <w:rPr>
                <w:rFonts w:hint="eastAsia" w:cs="宋体"/>
                <w:color w:val="000000"/>
              </w:rPr>
            </w:pPr>
          </w:p>
        </w:tc>
        <w:tc>
          <w:tcPr>
            <w:tcW w:w="453" w:type="pct"/>
            <w:vMerge w:val="restart"/>
            <w:tcBorders>
              <w:tl2br w:val="nil"/>
              <w:tr2bl w:val="nil"/>
            </w:tcBorders>
            <w:vAlign w:val="center"/>
          </w:tcPr>
          <w:p w14:paraId="1524EB57">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涉危单位危化品管理</w:t>
            </w:r>
          </w:p>
        </w:tc>
        <w:tc>
          <w:tcPr>
            <w:tcW w:w="429" w:type="pct"/>
            <w:tcBorders>
              <w:tl2br w:val="nil"/>
              <w:tr2bl w:val="nil"/>
            </w:tcBorders>
            <w:vAlign w:val="center"/>
          </w:tcPr>
          <w:p w14:paraId="7D37A8C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标签管理</w:t>
            </w:r>
          </w:p>
        </w:tc>
        <w:tc>
          <w:tcPr>
            <w:tcW w:w="3289" w:type="pct"/>
            <w:tcBorders>
              <w:tl2br w:val="nil"/>
              <w:tr2bl w:val="nil"/>
            </w:tcBorders>
            <w:vAlign w:val="center"/>
          </w:tcPr>
          <w:p w14:paraId="2A9C8A67">
            <w:pPr>
              <w:widowControl/>
              <w:spacing w:line="240" w:lineRule="auto"/>
              <w:ind w:firstLine="0" w:firstLineChars="0"/>
              <w:textAlignment w:val="center"/>
              <w:rPr>
                <w:rFonts w:hint="eastAsia" w:cs="宋体"/>
                <w:color w:val="000000"/>
              </w:rPr>
            </w:pPr>
            <w:r>
              <w:rPr>
                <w:rFonts w:hint="eastAsia" w:cs="宋体"/>
                <w:color w:val="000000"/>
                <w:kern w:val="0"/>
                <w:lang w:bidi="ar"/>
              </w:rPr>
              <w:t>1.监管企业列表展示：按指定格式展示所有纳入监管的企业基础信息</w:t>
            </w:r>
            <w:r>
              <w:rPr>
                <w:rFonts w:hint="eastAsia" w:cs="宋体"/>
                <w:color w:val="000000"/>
                <w:kern w:val="0"/>
                <w:lang w:bidi="ar"/>
              </w:rPr>
              <w:br w:type="textWrapping"/>
            </w:r>
            <w:r>
              <w:rPr>
                <w:rFonts w:hint="eastAsia" w:cs="宋体"/>
                <w:color w:val="000000"/>
                <w:kern w:val="0"/>
                <w:lang w:bidi="ar"/>
              </w:rPr>
              <w:t>2.企业查询：支持多条件查询如企业名，快速定位目标企业</w:t>
            </w:r>
            <w:r>
              <w:rPr>
                <w:rFonts w:hint="eastAsia" w:cs="宋体"/>
                <w:color w:val="000000"/>
                <w:kern w:val="0"/>
                <w:lang w:bidi="ar"/>
              </w:rPr>
              <w:br w:type="textWrapping"/>
            </w:r>
            <w:r>
              <w:rPr>
                <w:rFonts w:hint="eastAsia" w:cs="宋体"/>
                <w:color w:val="000000"/>
                <w:kern w:val="0"/>
                <w:lang w:bidi="ar"/>
              </w:rPr>
              <w:t>3.涉危企业标签化：对查询结果中的企业，手动添加 “涉危企业” 标签，记录标签添加时间、操作人员等信息</w:t>
            </w:r>
            <w:r>
              <w:rPr>
                <w:rFonts w:hint="eastAsia" w:cs="宋体"/>
                <w:color w:val="000000"/>
                <w:kern w:val="0"/>
                <w:lang w:bidi="ar"/>
              </w:rPr>
              <w:br w:type="textWrapping"/>
            </w:r>
            <w:r>
              <w:rPr>
                <w:rFonts w:hint="eastAsia" w:cs="宋体"/>
                <w:color w:val="000000"/>
                <w:kern w:val="0"/>
                <w:lang w:bidi="ar"/>
              </w:rPr>
              <w:t>4.标签关联查询：点击 “涉危企业” 等标签，筛选并展示所有带有该标签的企业</w:t>
            </w:r>
            <w:r>
              <w:rPr>
                <w:rFonts w:hint="eastAsia" w:cs="宋体"/>
                <w:color w:val="000000"/>
                <w:kern w:val="0"/>
                <w:lang w:bidi="ar"/>
              </w:rPr>
              <w:br w:type="textWrapping"/>
            </w:r>
            <w:r>
              <w:rPr>
                <w:rFonts w:hint="eastAsia" w:cs="宋体"/>
                <w:color w:val="000000"/>
                <w:kern w:val="0"/>
                <w:lang w:bidi="ar"/>
              </w:rPr>
              <w:t>5.标签管理：维护标签库（新增、编辑、删除标签类型），设置标签关联规则（如涉危标签的适用企业范围）</w:t>
            </w:r>
          </w:p>
        </w:tc>
      </w:tr>
      <w:tr w14:paraId="71C4C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4" w:hRule="atLeast"/>
        </w:trPr>
        <w:tc>
          <w:tcPr>
            <w:tcW w:w="381" w:type="pct"/>
            <w:tcBorders>
              <w:tl2br w:val="nil"/>
              <w:tr2bl w:val="nil"/>
            </w:tcBorders>
            <w:vAlign w:val="center"/>
          </w:tcPr>
          <w:p w14:paraId="0C195E9F">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80</w:t>
            </w:r>
          </w:p>
        </w:tc>
        <w:tc>
          <w:tcPr>
            <w:tcW w:w="447" w:type="pct"/>
            <w:vMerge w:val="continue"/>
            <w:tcBorders>
              <w:tl2br w:val="nil"/>
              <w:tr2bl w:val="nil"/>
            </w:tcBorders>
            <w:vAlign w:val="center"/>
          </w:tcPr>
          <w:p w14:paraId="6552BCF8">
            <w:pPr>
              <w:spacing w:line="240" w:lineRule="auto"/>
              <w:jc w:val="left"/>
              <w:rPr>
                <w:rFonts w:hint="eastAsia" w:cs="宋体"/>
                <w:color w:val="000000"/>
              </w:rPr>
            </w:pPr>
          </w:p>
        </w:tc>
        <w:tc>
          <w:tcPr>
            <w:tcW w:w="453" w:type="pct"/>
            <w:vMerge w:val="continue"/>
            <w:tcBorders>
              <w:tl2br w:val="nil"/>
              <w:tr2bl w:val="nil"/>
            </w:tcBorders>
            <w:vAlign w:val="center"/>
          </w:tcPr>
          <w:p w14:paraId="4C7D3988">
            <w:pPr>
              <w:spacing w:line="240" w:lineRule="auto"/>
              <w:jc w:val="left"/>
              <w:rPr>
                <w:rFonts w:hint="eastAsia" w:cs="宋体"/>
                <w:color w:val="000000"/>
              </w:rPr>
            </w:pPr>
          </w:p>
        </w:tc>
        <w:tc>
          <w:tcPr>
            <w:tcW w:w="429" w:type="pct"/>
            <w:tcBorders>
              <w:tl2br w:val="nil"/>
              <w:tr2bl w:val="nil"/>
            </w:tcBorders>
            <w:vAlign w:val="center"/>
          </w:tcPr>
          <w:p w14:paraId="2406BCB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涉危预警提醒</w:t>
            </w:r>
          </w:p>
        </w:tc>
        <w:tc>
          <w:tcPr>
            <w:tcW w:w="3289" w:type="pct"/>
            <w:tcBorders>
              <w:tl2br w:val="nil"/>
              <w:tr2bl w:val="nil"/>
            </w:tcBorders>
            <w:vAlign w:val="center"/>
          </w:tcPr>
          <w:p w14:paraId="3C4D1F8C">
            <w:pPr>
              <w:widowControl/>
              <w:spacing w:line="240" w:lineRule="auto"/>
              <w:ind w:firstLine="0" w:firstLineChars="0"/>
              <w:textAlignment w:val="center"/>
              <w:rPr>
                <w:rFonts w:hint="eastAsia" w:cs="宋体"/>
                <w:color w:val="000000"/>
              </w:rPr>
            </w:pPr>
            <w:r>
              <w:rPr>
                <w:rFonts w:hint="eastAsia" w:cs="宋体"/>
                <w:color w:val="000000"/>
                <w:kern w:val="0"/>
                <w:lang w:bidi="ar"/>
              </w:rPr>
              <w:t>1.涉危企业身份比对：将涉危企业名录与本地企业库进行自动比对，识别出 “已标记为涉危但未填报危化品信息” 的目标企业</w:t>
            </w:r>
            <w:r>
              <w:rPr>
                <w:rFonts w:hint="eastAsia" w:cs="宋体"/>
                <w:color w:val="000000"/>
                <w:kern w:val="0"/>
                <w:lang w:bidi="ar"/>
              </w:rPr>
              <w:br w:type="textWrapping"/>
            </w:r>
            <w:r>
              <w:rPr>
                <w:rFonts w:hint="eastAsia" w:cs="宋体"/>
                <w:color w:val="000000"/>
                <w:kern w:val="0"/>
                <w:lang w:bidi="ar"/>
              </w:rPr>
              <w:t>2.填报状态校验：对填报状态进行校验，如未填报过任何内容的判定为未填报，已填报但信息超期，如一年未更新的判断为未填报</w:t>
            </w:r>
            <w:r>
              <w:rPr>
                <w:rFonts w:hint="eastAsia" w:cs="宋体"/>
                <w:color w:val="000000"/>
                <w:kern w:val="0"/>
                <w:lang w:bidi="ar"/>
              </w:rPr>
              <w:br w:type="textWrapping"/>
            </w:r>
            <w:r>
              <w:rPr>
                <w:rFonts w:hint="eastAsia" w:cs="宋体"/>
                <w:color w:val="000000"/>
                <w:kern w:val="0"/>
                <w:lang w:bidi="ar"/>
              </w:rPr>
              <w:t>3.比对任务管理：支持自动触发平时比对、手动触发紧急比对，生成比对日志</w:t>
            </w:r>
            <w:r>
              <w:rPr>
                <w:rFonts w:hint="eastAsia" w:cs="宋体"/>
                <w:color w:val="000000"/>
                <w:kern w:val="0"/>
                <w:lang w:bidi="ar"/>
              </w:rPr>
              <w:br w:type="textWrapping"/>
            </w:r>
            <w:r>
              <w:rPr>
                <w:rFonts w:hint="eastAsia" w:cs="宋体"/>
                <w:color w:val="000000"/>
                <w:kern w:val="0"/>
                <w:lang w:bidi="ar"/>
              </w:rPr>
              <w:t>4.提醒规则设置：支持设置提醒策略，如初次识别和超期未报识别，提醒频次，提醒优先级等</w:t>
            </w:r>
            <w:r>
              <w:rPr>
                <w:rFonts w:hint="eastAsia" w:cs="宋体"/>
                <w:color w:val="000000"/>
                <w:kern w:val="0"/>
                <w:lang w:bidi="ar"/>
              </w:rPr>
              <w:br w:type="textWrapping"/>
            </w:r>
            <w:r>
              <w:rPr>
                <w:rFonts w:hint="eastAsia" w:cs="宋体"/>
                <w:color w:val="000000"/>
                <w:kern w:val="0"/>
                <w:lang w:bidi="ar"/>
              </w:rPr>
              <w:t>5.消息推送：在企业登录平台时，消息中心留存提醒消息，同时通过调用短信服务接口，向企业相关联系人发送提醒短信</w:t>
            </w:r>
          </w:p>
        </w:tc>
      </w:tr>
      <w:tr w14:paraId="22EA0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04F6C84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81</w:t>
            </w:r>
          </w:p>
        </w:tc>
        <w:tc>
          <w:tcPr>
            <w:tcW w:w="447" w:type="pct"/>
            <w:vMerge w:val="continue"/>
            <w:tcBorders>
              <w:tl2br w:val="nil"/>
              <w:tr2bl w:val="nil"/>
            </w:tcBorders>
            <w:vAlign w:val="center"/>
          </w:tcPr>
          <w:p w14:paraId="48B1EA70">
            <w:pPr>
              <w:spacing w:line="240" w:lineRule="auto"/>
              <w:jc w:val="left"/>
              <w:rPr>
                <w:rFonts w:hint="eastAsia" w:cs="宋体"/>
                <w:color w:val="000000"/>
              </w:rPr>
            </w:pPr>
          </w:p>
        </w:tc>
        <w:tc>
          <w:tcPr>
            <w:tcW w:w="453" w:type="pct"/>
            <w:vMerge w:val="continue"/>
            <w:tcBorders>
              <w:tl2br w:val="nil"/>
              <w:tr2bl w:val="nil"/>
            </w:tcBorders>
            <w:vAlign w:val="center"/>
          </w:tcPr>
          <w:p w14:paraId="38343A0D">
            <w:pPr>
              <w:spacing w:line="240" w:lineRule="auto"/>
              <w:jc w:val="left"/>
              <w:rPr>
                <w:rFonts w:hint="eastAsia" w:cs="宋体"/>
                <w:color w:val="000000"/>
              </w:rPr>
            </w:pPr>
          </w:p>
        </w:tc>
        <w:tc>
          <w:tcPr>
            <w:tcW w:w="429" w:type="pct"/>
            <w:tcBorders>
              <w:tl2br w:val="nil"/>
              <w:tr2bl w:val="nil"/>
            </w:tcBorders>
            <w:vAlign w:val="center"/>
          </w:tcPr>
          <w:p w14:paraId="1934C9E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基本信息报送</w:t>
            </w:r>
          </w:p>
        </w:tc>
        <w:tc>
          <w:tcPr>
            <w:tcW w:w="3289" w:type="pct"/>
            <w:tcBorders>
              <w:tl2br w:val="nil"/>
              <w:tr2bl w:val="nil"/>
            </w:tcBorders>
            <w:vAlign w:val="center"/>
          </w:tcPr>
          <w:p w14:paraId="2F29FAA6">
            <w:pPr>
              <w:widowControl/>
              <w:spacing w:line="240" w:lineRule="auto"/>
              <w:ind w:firstLine="0" w:firstLineChars="0"/>
              <w:textAlignment w:val="center"/>
              <w:rPr>
                <w:rFonts w:hint="eastAsia" w:cs="宋体"/>
                <w:color w:val="000000"/>
              </w:rPr>
            </w:pPr>
            <w:r>
              <w:rPr>
                <w:rFonts w:hint="eastAsia" w:cs="宋体"/>
                <w:color w:val="000000"/>
                <w:kern w:val="0"/>
                <w:lang w:bidi="ar"/>
              </w:rPr>
              <w:t>1.使用危险化学品涉及风险信息填报，如火灾、爆炸、中毒等</w:t>
            </w:r>
            <w:r>
              <w:rPr>
                <w:rFonts w:hint="eastAsia" w:cs="宋体"/>
                <w:color w:val="000000"/>
                <w:kern w:val="0"/>
                <w:lang w:bidi="ar"/>
              </w:rPr>
              <w:br w:type="textWrapping"/>
            </w:r>
            <w:r>
              <w:rPr>
                <w:rFonts w:hint="eastAsia" w:cs="宋体"/>
                <w:color w:val="000000"/>
                <w:kern w:val="0"/>
                <w:lang w:bidi="ar"/>
              </w:rPr>
              <w:t>2.从事危化作业人员信息填报</w:t>
            </w:r>
            <w:r>
              <w:rPr>
                <w:rFonts w:hint="eastAsia" w:cs="宋体"/>
                <w:color w:val="000000"/>
                <w:kern w:val="0"/>
                <w:lang w:bidi="ar"/>
              </w:rPr>
              <w:br w:type="textWrapping"/>
            </w:r>
            <w:r>
              <w:rPr>
                <w:rFonts w:hint="eastAsia" w:cs="宋体"/>
                <w:color w:val="000000"/>
                <w:kern w:val="0"/>
                <w:lang w:bidi="ar"/>
              </w:rPr>
              <w:t>3.安全现状评价信息填报，如安全现状评价日期等</w:t>
            </w:r>
          </w:p>
        </w:tc>
      </w:tr>
      <w:tr w14:paraId="353C7E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8" w:hRule="atLeast"/>
        </w:trPr>
        <w:tc>
          <w:tcPr>
            <w:tcW w:w="381" w:type="pct"/>
            <w:tcBorders>
              <w:tl2br w:val="nil"/>
              <w:tr2bl w:val="nil"/>
            </w:tcBorders>
            <w:vAlign w:val="center"/>
          </w:tcPr>
          <w:p w14:paraId="5D68F902">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82</w:t>
            </w:r>
          </w:p>
        </w:tc>
        <w:tc>
          <w:tcPr>
            <w:tcW w:w="447" w:type="pct"/>
            <w:vMerge w:val="continue"/>
            <w:tcBorders>
              <w:tl2br w:val="nil"/>
              <w:tr2bl w:val="nil"/>
            </w:tcBorders>
            <w:vAlign w:val="center"/>
          </w:tcPr>
          <w:p w14:paraId="42AD5EDF">
            <w:pPr>
              <w:spacing w:line="240" w:lineRule="auto"/>
              <w:jc w:val="left"/>
              <w:rPr>
                <w:rFonts w:hint="eastAsia" w:cs="宋体"/>
                <w:color w:val="000000"/>
              </w:rPr>
            </w:pPr>
          </w:p>
        </w:tc>
        <w:tc>
          <w:tcPr>
            <w:tcW w:w="453" w:type="pct"/>
            <w:vMerge w:val="continue"/>
            <w:tcBorders>
              <w:tl2br w:val="nil"/>
              <w:tr2bl w:val="nil"/>
            </w:tcBorders>
            <w:vAlign w:val="center"/>
          </w:tcPr>
          <w:p w14:paraId="36681838">
            <w:pPr>
              <w:spacing w:line="240" w:lineRule="auto"/>
              <w:jc w:val="left"/>
              <w:rPr>
                <w:rFonts w:hint="eastAsia" w:cs="宋体"/>
                <w:color w:val="000000"/>
              </w:rPr>
            </w:pPr>
          </w:p>
        </w:tc>
        <w:tc>
          <w:tcPr>
            <w:tcW w:w="429" w:type="pct"/>
            <w:tcBorders>
              <w:tl2br w:val="nil"/>
              <w:tr2bl w:val="nil"/>
            </w:tcBorders>
            <w:vAlign w:val="center"/>
          </w:tcPr>
          <w:p w14:paraId="1986E9F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存放场所设施管理</w:t>
            </w:r>
          </w:p>
        </w:tc>
        <w:tc>
          <w:tcPr>
            <w:tcW w:w="3289" w:type="pct"/>
            <w:tcBorders>
              <w:tl2br w:val="nil"/>
              <w:tr2bl w:val="nil"/>
            </w:tcBorders>
            <w:vAlign w:val="center"/>
          </w:tcPr>
          <w:p w14:paraId="2D9BD9FD">
            <w:pPr>
              <w:widowControl/>
              <w:spacing w:line="240" w:lineRule="auto"/>
              <w:ind w:firstLine="0" w:firstLineChars="0"/>
              <w:textAlignment w:val="center"/>
              <w:rPr>
                <w:rFonts w:hint="eastAsia" w:cs="宋体"/>
                <w:color w:val="000000"/>
              </w:rPr>
            </w:pPr>
            <w:r>
              <w:rPr>
                <w:rFonts w:hint="eastAsia" w:cs="宋体"/>
                <w:color w:val="000000"/>
                <w:kern w:val="0"/>
                <w:lang w:bidi="ar"/>
              </w:rPr>
              <w:t>1.报送提醒：当点击新增危化品时，弹出对话框提醒先填报储存方式，可</w:t>
            </w:r>
            <w:r>
              <w:rPr>
                <w:rFonts w:hint="eastAsia" w:cs="宋体"/>
                <w:color w:val="000000"/>
                <w:kern w:val="0"/>
                <w:lang w:eastAsia="zh-CN" w:bidi="ar"/>
              </w:rPr>
              <w:t>通过</w:t>
            </w:r>
            <w:r>
              <w:rPr>
                <w:rFonts w:hint="eastAsia" w:cs="宋体"/>
                <w:color w:val="000000"/>
                <w:kern w:val="0"/>
                <w:lang w:bidi="ar"/>
              </w:rPr>
              <w:t>填报按钮直达报送入口</w:t>
            </w:r>
            <w:r>
              <w:rPr>
                <w:rFonts w:hint="eastAsia" w:cs="宋体"/>
                <w:color w:val="000000"/>
                <w:kern w:val="0"/>
                <w:lang w:bidi="ar"/>
              </w:rPr>
              <w:br w:type="textWrapping"/>
            </w:r>
            <w:r>
              <w:rPr>
                <w:rFonts w:hint="eastAsia" w:cs="宋体"/>
                <w:color w:val="000000"/>
                <w:kern w:val="0"/>
                <w:lang w:bidi="ar"/>
              </w:rPr>
              <w:t>2.危化品专用库：上报危化品专用库相关信息，如名称、层数、面积、主要物质，消防情况等</w:t>
            </w:r>
            <w:r>
              <w:rPr>
                <w:rFonts w:hint="eastAsia" w:cs="宋体"/>
                <w:color w:val="000000"/>
                <w:kern w:val="0"/>
                <w:lang w:bidi="ar"/>
              </w:rPr>
              <w:br w:type="textWrapping"/>
            </w:r>
            <w:r>
              <w:rPr>
                <w:rFonts w:hint="eastAsia" w:cs="宋体"/>
                <w:color w:val="000000"/>
                <w:kern w:val="0"/>
                <w:lang w:bidi="ar"/>
              </w:rPr>
              <w:t>3.中间仓库：上报中间仓库相关信息，如名称、数量、建筑年代、三同时情况等</w:t>
            </w:r>
            <w:r>
              <w:rPr>
                <w:rFonts w:hint="eastAsia" w:cs="宋体"/>
                <w:color w:val="000000"/>
                <w:kern w:val="0"/>
                <w:lang w:bidi="ar"/>
              </w:rPr>
              <w:br w:type="textWrapping"/>
            </w:r>
            <w:r>
              <w:rPr>
                <w:rFonts w:hint="eastAsia" w:cs="宋体"/>
                <w:color w:val="000000"/>
                <w:kern w:val="0"/>
                <w:lang w:bidi="ar"/>
              </w:rPr>
              <w:t>4.储存柜：上报储存柜相关信息，如名称、柜面积、储存主要物质、位置信息等</w:t>
            </w:r>
            <w:r>
              <w:rPr>
                <w:rFonts w:hint="eastAsia" w:cs="宋体"/>
                <w:color w:val="000000"/>
                <w:kern w:val="0"/>
                <w:lang w:bidi="ar"/>
              </w:rPr>
              <w:br w:type="textWrapping"/>
            </w:r>
            <w:r>
              <w:rPr>
                <w:rFonts w:hint="eastAsia" w:cs="宋体"/>
                <w:color w:val="000000"/>
                <w:kern w:val="0"/>
                <w:lang w:bidi="ar"/>
              </w:rPr>
              <w:t>5.储罐：对涉及的储罐信息管理，如编号、类型、结构、最大储量、高低液位、温湿度检测设备等各类信息</w:t>
            </w:r>
          </w:p>
        </w:tc>
      </w:tr>
      <w:tr w14:paraId="3EE4E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5EE76E1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83</w:t>
            </w:r>
          </w:p>
        </w:tc>
        <w:tc>
          <w:tcPr>
            <w:tcW w:w="447" w:type="pct"/>
            <w:vMerge w:val="continue"/>
            <w:tcBorders>
              <w:tl2br w:val="nil"/>
              <w:tr2bl w:val="nil"/>
            </w:tcBorders>
            <w:vAlign w:val="center"/>
          </w:tcPr>
          <w:p w14:paraId="090350D4">
            <w:pPr>
              <w:spacing w:line="240" w:lineRule="auto"/>
              <w:jc w:val="left"/>
              <w:rPr>
                <w:rFonts w:hint="eastAsia" w:cs="宋体"/>
                <w:color w:val="000000"/>
              </w:rPr>
            </w:pPr>
          </w:p>
        </w:tc>
        <w:tc>
          <w:tcPr>
            <w:tcW w:w="453" w:type="pct"/>
            <w:vMerge w:val="continue"/>
            <w:tcBorders>
              <w:tl2br w:val="nil"/>
              <w:tr2bl w:val="nil"/>
            </w:tcBorders>
            <w:vAlign w:val="center"/>
          </w:tcPr>
          <w:p w14:paraId="07E58D95">
            <w:pPr>
              <w:spacing w:line="240" w:lineRule="auto"/>
              <w:jc w:val="left"/>
              <w:rPr>
                <w:rFonts w:hint="eastAsia" w:cs="宋体"/>
                <w:color w:val="000000"/>
              </w:rPr>
            </w:pPr>
          </w:p>
        </w:tc>
        <w:tc>
          <w:tcPr>
            <w:tcW w:w="429" w:type="pct"/>
            <w:tcBorders>
              <w:tl2br w:val="nil"/>
              <w:tr2bl w:val="nil"/>
            </w:tcBorders>
            <w:vAlign w:val="center"/>
          </w:tcPr>
          <w:p w14:paraId="1E6C65C7">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专项应急预案</w:t>
            </w:r>
          </w:p>
        </w:tc>
        <w:tc>
          <w:tcPr>
            <w:tcW w:w="3289" w:type="pct"/>
            <w:tcBorders>
              <w:tl2br w:val="nil"/>
              <w:tr2bl w:val="nil"/>
            </w:tcBorders>
            <w:vAlign w:val="center"/>
          </w:tcPr>
          <w:p w14:paraId="270190CB">
            <w:pPr>
              <w:widowControl/>
              <w:spacing w:line="240" w:lineRule="auto"/>
              <w:ind w:firstLine="0" w:firstLineChars="0"/>
              <w:textAlignment w:val="center"/>
              <w:rPr>
                <w:rFonts w:hint="eastAsia" w:cs="宋体"/>
                <w:color w:val="000000"/>
              </w:rPr>
            </w:pPr>
            <w:r>
              <w:rPr>
                <w:rFonts w:hint="eastAsia" w:cs="宋体"/>
                <w:color w:val="000000"/>
                <w:kern w:val="0"/>
                <w:lang w:bidi="ar"/>
              </w:rPr>
              <w:t>1.预案自动关联：自动关联企业专项应急预案并进行展示，展示预案名称、备案时间、预案内容等信息</w:t>
            </w:r>
            <w:r>
              <w:rPr>
                <w:rFonts w:hint="eastAsia" w:cs="宋体"/>
                <w:color w:val="000000"/>
                <w:kern w:val="0"/>
                <w:lang w:bidi="ar"/>
              </w:rPr>
              <w:br w:type="textWrapping"/>
            </w:r>
            <w:r>
              <w:rPr>
                <w:rFonts w:hint="eastAsia" w:cs="宋体"/>
                <w:color w:val="000000"/>
                <w:kern w:val="0"/>
                <w:lang w:bidi="ar"/>
              </w:rPr>
              <w:t>2.预案提醒：对涉危但未报送专项</w:t>
            </w:r>
            <w:r>
              <w:rPr>
                <w:rFonts w:hint="eastAsia" w:cs="宋体"/>
                <w:color w:val="000000"/>
                <w:kern w:val="0"/>
                <w:lang w:eastAsia="zh-CN" w:bidi="ar"/>
              </w:rPr>
              <w:t>应急</w:t>
            </w:r>
            <w:r>
              <w:rPr>
                <w:rFonts w:hint="eastAsia" w:cs="宋体"/>
                <w:color w:val="000000"/>
                <w:kern w:val="0"/>
                <w:lang w:bidi="ar"/>
              </w:rPr>
              <w:t>预案的，在当前页面进行提醒</w:t>
            </w:r>
            <w:r>
              <w:rPr>
                <w:rFonts w:hint="eastAsia" w:cs="宋体"/>
                <w:color w:val="000000"/>
                <w:kern w:val="0"/>
                <w:lang w:bidi="ar"/>
              </w:rPr>
              <w:br w:type="textWrapping"/>
            </w:r>
            <w:r>
              <w:rPr>
                <w:rFonts w:hint="eastAsia" w:cs="宋体"/>
                <w:color w:val="000000"/>
                <w:kern w:val="0"/>
                <w:lang w:bidi="ar"/>
              </w:rPr>
              <w:t>3.专项预案管理：支持对专项预案进行报送，并上传预案文档，并可对</w:t>
            </w:r>
            <w:r>
              <w:rPr>
                <w:rFonts w:hint="eastAsia" w:cs="宋体"/>
                <w:color w:val="000000"/>
                <w:kern w:val="0"/>
                <w:lang w:eastAsia="zh-CN" w:bidi="ar"/>
              </w:rPr>
              <w:t>其</w:t>
            </w:r>
            <w:r>
              <w:rPr>
                <w:rFonts w:hint="eastAsia" w:cs="宋体"/>
                <w:color w:val="000000"/>
                <w:kern w:val="0"/>
                <w:lang w:bidi="ar"/>
              </w:rPr>
              <w:t>进行删除、修改等操作</w:t>
            </w:r>
          </w:p>
        </w:tc>
      </w:tr>
      <w:tr w14:paraId="10D48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22CB3E7E">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84</w:t>
            </w:r>
          </w:p>
        </w:tc>
        <w:tc>
          <w:tcPr>
            <w:tcW w:w="447" w:type="pct"/>
            <w:vMerge w:val="continue"/>
            <w:tcBorders>
              <w:tl2br w:val="nil"/>
              <w:tr2bl w:val="nil"/>
            </w:tcBorders>
            <w:vAlign w:val="center"/>
          </w:tcPr>
          <w:p w14:paraId="58A59E29">
            <w:pPr>
              <w:spacing w:line="240" w:lineRule="auto"/>
              <w:jc w:val="left"/>
              <w:rPr>
                <w:rFonts w:hint="eastAsia" w:cs="宋体"/>
                <w:color w:val="000000"/>
              </w:rPr>
            </w:pPr>
          </w:p>
        </w:tc>
        <w:tc>
          <w:tcPr>
            <w:tcW w:w="453" w:type="pct"/>
            <w:vMerge w:val="continue"/>
            <w:tcBorders>
              <w:tl2br w:val="nil"/>
              <w:tr2bl w:val="nil"/>
            </w:tcBorders>
            <w:vAlign w:val="center"/>
          </w:tcPr>
          <w:p w14:paraId="4F2A650B">
            <w:pPr>
              <w:spacing w:line="240" w:lineRule="auto"/>
              <w:jc w:val="left"/>
              <w:rPr>
                <w:rFonts w:hint="eastAsia" w:cs="宋体"/>
                <w:color w:val="000000"/>
              </w:rPr>
            </w:pPr>
          </w:p>
        </w:tc>
        <w:tc>
          <w:tcPr>
            <w:tcW w:w="429" w:type="pct"/>
            <w:tcBorders>
              <w:tl2br w:val="nil"/>
              <w:tr2bl w:val="nil"/>
            </w:tcBorders>
            <w:vAlign w:val="center"/>
          </w:tcPr>
          <w:p w14:paraId="5350C3C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一危一档</w:t>
            </w:r>
          </w:p>
        </w:tc>
        <w:tc>
          <w:tcPr>
            <w:tcW w:w="3289" w:type="pct"/>
            <w:tcBorders>
              <w:tl2br w:val="nil"/>
              <w:tr2bl w:val="nil"/>
            </w:tcBorders>
            <w:vAlign w:val="center"/>
          </w:tcPr>
          <w:p w14:paraId="2CFE4A4F">
            <w:pPr>
              <w:widowControl/>
              <w:spacing w:line="240" w:lineRule="auto"/>
              <w:ind w:firstLine="0" w:firstLineChars="0"/>
              <w:textAlignment w:val="center"/>
              <w:rPr>
                <w:rFonts w:hint="eastAsia" w:cs="宋体"/>
                <w:color w:val="000000"/>
              </w:rPr>
            </w:pPr>
            <w:r>
              <w:rPr>
                <w:rFonts w:hint="eastAsia" w:cs="宋体"/>
                <w:color w:val="000000"/>
                <w:kern w:val="0"/>
                <w:lang w:bidi="ar"/>
              </w:rPr>
              <w:t>1.聚合展示：以列表方式展示涉危企业信息，如单位名称、联系人电话，姓名，实际经营地址、行业类型等</w:t>
            </w:r>
            <w:r>
              <w:rPr>
                <w:rFonts w:hint="eastAsia" w:cs="宋体"/>
                <w:color w:val="000000"/>
                <w:kern w:val="0"/>
                <w:lang w:bidi="ar"/>
              </w:rPr>
              <w:br w:type="textWrapping"/>
            </w:r>
            <w:r>
              <w:rPr>
                <w:rFonts w:hint="eastAsia" w:cs="宋体"/>
                <w:color w:val="000000"/>
                <w:kern w:val="0"/>
                <w:lang w:bidi="ar"/>
              </w:rPr>
              <w:t>2.检索与筛选：可根据不同条件进行搜索，如企业名称，行业类型等</w:t>
            </w:r>
            <w:r>
              <w:rPr>
                <w:rFonts w:hint="eastAsia" w:cs="宋体"/>
                <w:color w:val="000000"/>
                <w:kern w:val="0"/>
                <w:lang w:bidi="ar"/>
              </w:rPr>
              <w:br w:type="textWrapping"/>
            </w:r>
            <w:r>
              <w:rPr>
                <w:rFonts w:hint="eastAsia" w:cs="宋体"/>
                <w:color w:val="000000"/>
                <w:kern w:val="0"/>
                <w:lang w:bidi="ar"/>
              </w:rPr>
              <w:t>3.档案结构化：整合企业涉危消息，形成标准化档案结构，包含企业基本信息、涉危信息、储存危化品信息、使用危化品信息等4大核心板块</w:t>
            </w:r>
            <w:r>
              <w:rPr>
                <w:rFonts w:hint="eastAsia" w:cs="宋体"/>
                <w:color w:val="000000"/>
                <w:kern w:val="0"/>
                <w:lang w:bidi="ar"/>
              </w:rPr>
              <w:br w:type="textWrapping"/>
            </w:r>
            <w:r>
              <w:rPr>
                <w:rFonts w:hint="eastAsia" w:cs="宋体"/>
                <w:color w:val="000000"/>
                <w:kern w:val="0"/>
                <w:lang w:bidi="ar"/>
              </w:rPr>
              <w:t>4.档案导出：内置标准化“一危一档”模板，生成档案时自动将企业数据填充到模板，并可</w:t>
            </w:r>
            <w:r>
              <w:rPr>
                <w:rFonts w:hint="eastAsia" w:cs="宋体"/>
                <w:color w:val="000000"/>
                <w:kern w:val="0"/>
                <w:lang w:eastAsia="zh-CN" w:bidi="ar"/>
              </w:rPr>
              <w:t>直接</w:t>
            </w:r>
            <w:r>
              <w:rPr>
                <w:rFonts w:hint="eastAsia" w:cs="宋体"/>
                <w:color w:val="000000"/>
                <w:kern w:val="0"/>
                <w:lang w:bidi="ar"/>
              </w:rPr>
              <w:t>下载为WORD格式</w:t>
            </w:r>
          </w:p>
        </w:tc>
      </w:tr>
      <w:tr w14:paraId="3AD1E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0AA4913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85</w:t>
            </w:r>
          </w:p>
        </w:tc>
        <w:tc>
          <w:tcPr>
            <w:tcW w:w="447" w:type="pct"/>
            <w:vMerge w:val="continue"/>
            <w:tcBorders>
              <w:tl2br w:val="nil"/>
              <w:tr2bl w:val="nil"/>
            </w:tcBorders>
            <w:vAlign w:val="center"/>
          </w:tcPr>
          <w:p w14:paraId="088F6D2C">
            <w:pPr>
              <w:spacing w:line="240" w:lineRule="auto"/>
              <w:jc w:val="left"/>
              <w:rPr>
                <w:rFonts w:hint="eastAsia" w:cs="宋体"/>
                <w:color w:val="000000"/>
              </w:rPr>
            </w:pPr>
          </w:p>
        </w:tc>
        <w:tc>
          <w:tcPr>
            <w:tcW w:w="453" w:type="pct"/>
            <w:vMerge w:val="continue"/>
            <w:tcBorders>
              <w:tl2br w:val="nil"/>
              <w:tr2bl w:val="nil"/>
            </w:tcBorders>
            <w:vAlign w:val="center"/>
          </w:tcPr>
          <w:p w14:paraId="2D68E0AD">
            <w:pPr>
              <w:spacing w:line="240" w:lineRule="auto"/>
              <w:jc w:val="left"/>
              <w:rPr>
                <w:rFonts w:hint="eastAsia" w:cs="宋体"/>
                <w:color w:val="000000"/>
              </w:rPr>
            </w:pPr>
          </w:p>
        </w:tc>
        <w:tc>
          <w:tcPr>
            <w:tcW w:w="429" w:type="pct"/>
            <w:tcBorders>
              <w:tl2br w:val="nil"/>
              <w:tr2bl w:val="nil"/>
            </w:tcBorders>
            <w:vAlign w:val="center"/>
          </w:tcPr>
          <w:p w14:paraId="636950B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使用单位汇总</w:t>
            </w:r>
          </w:p>
        </w:tc>
        <w:tc>
          <w:tcPr>
            <w:tcW w:w="3289" w:type="pct"/>
            <w:tcBorders>
              <w:tl2br w:val="nil"/>
              <w:tr2bl w:val="nil"/>
            </w:tcBorders>
            <w:vAlign w:val="center"/>
          </w:tcPr>
          <w:p w14:paraId="6B9E2C4A">
            <w:pPr>
              <w:widowControl/>
              <w:spacing w:line="240" w:lineRule="auto"/>
              <w:ind w:firstLine="0" w:firstLineChars="0"/>
              <w:textAlignment w:val="center"/>
              <w:rPr>
                <w:rFonts w:hint="eastAsia" w:cs="宋体"/>
                <w:color w:val="000000"/>
              </w:rPr>
            </w:pPr>
            <w:r>
              <w:rPr>
                <w:rFonts w:hint="eastAsia" w:cs="宋体"/>
                <w:color w:val="000000"/>
                <w:kern w:val="0"/>
                <w:lang w:bidi="ar"/>
              </w:rPr>
              <w:t>1.汇总展示：以表格形式展示涉危企业统计数据，每一行对应一家企业，列字段为配置好的 基础信息以及危化各类汇总数据；支持表格横向、纵向滚动查看</w:t>
            </w:r>
            <w:r>
              <w:rPr>
                <w:rFonts w:hint="eastAsia" w:cs="宋体"/>
                <w:color w:val="000000"/>
                <w:kern w:val="0"/>
                <w:lang w:bidi="ar"/>
              </w:rPr>
              <w:br w:type="textWrapping"/>
            </w:r>
            <w:r>
              <w:rPr>
                <w:rFonts w:hint="eastAsia" w:cs="宋体"/>
                <w:color w:val="000000"/>
                <w:kern w:val="0"/>
                <w:lang w:bidi="ar"/>
              </w:rPr>
              <w:t>2.Excel导出：支持将汇总数据导出，表格结构与系统展示一致</w:t>
            </w:r>
          </w:p>
        </w:tc>
      </w:tr>
      <w:tr w14:paraId="0B516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8" w:hRule="atLeast"/>
        </w:trPr>
        <w:tc>
          <w:tcPr>
            <w:tcW w:w="381" w:type="pct"/>
            <w:tcBorders>
              <w:tl2br w:val="nil"/>
              <w:tr2bl w:val="nil"/>
            </w:tcBorders>
            <w:vAlign w:val="center"/>
          </w:tcPr>
          <w:p w14:paraId="1554168E">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86</w:t>
            </w:r>
          </w:p>
        </w:tc>
        <w:tc>
          <w:tcPr>
            <w:tcW w:w="447" w:type="pct"/>
            <w:vMerge w:val="continue"/>
            <w:tcBorders>
              <w:tl2br w:val="nil"/>
              <w:tr2bl w:val="nil"/>
            </w:tcBorders>
            <w:vAlign w:val="center"/>
          </w:tcPr>
          <w:p w14:paraId="28AACD02">
            <w:pPr>
              <w:spacing w:line="240" w:lineRule="auto"/>
              <w:jc w:val="left"/>
              <w:rPr>
                <w:rFonts w:hint="eastAsia" w:cs="宋体"/>
                <w:color w:val="000000"/>
              </w:rPr>
            </w:pPr>
          </w:p>
        </w:tc>
        <w:tc>
          <w:tcPr>
            <w:tcW w:w="453" w:type="pct"/>
            <w:vMerge w:val="continue"/>
            <w:tcBorders>
              <w:tl2br w:val="nil"/>
              <w:tr2bl w:val="nil"/>
            </w:tcBorders>
            <w:vAlign w:val="center"/>
          </w:tcPr>
          <w:p w14:paraId="45ADEB46">
            <w:pPr>
              <w:spacing w:line="240" w:lineRule="auto"/>
              <w:jc w:val="left"/>
              <w:rPr>
                <w:rFonts w:hint="eastAsia" w:cs="宋体"/>
                <w:color w:val="000000"/>
              </w:rPr>
            </w:pPr>
          </w:p>
        </w:tc>
        <w:tc>
          <w:tcPr>
            <w:tcW w:w="429" w:type="pct"/>
            <w:tcBorders>
              <w:tl2br w:val="nil"/>
              <w:tr2bl w:val="nil"/>
            </w:tcBorders>
            <w:vAlign w:val="center"/>
          </w:tcPr>
          <w:p w14:paraId="3F8C208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涉危企业危化品管理综合展示</w:t>
            </w:r>
          </w:p>
        </w:tc>
        <w:tc>
          <w:tcPr>
            <w:tcW w:w="3289" w:type="pct"/>
            <w:tcBorders>
              <w:tl2br w:val="nil"/>
              <w:tr2bl w:val="nil"/>
            </w:tcBorders>
            <w:vAlign w:val="center"/>
          </w:tcPr>
          <w:p w14:paraId="3131175C">
            <w:pPr>
              <w:widowControl/>
              <w:spacing w:line="240" w:lineRule="auto"/>
              <w:ind w:firstLine="0" w:firstLineChars="0"/>
              <w:textAlignment w:val="center"/>
              <w:rPr>
                <w:rFonts w:hint="eastAsia" w:cs="宋体"/>
                <w:color w:val="000000"/>
              </w:rPr>
            </w:pPr>
            <w:r>
              <w:rPr>
                <w:rFonts w:hint="eastAsia" w:cs="宋体"/>
                <w:color w:val="000000"/>
                <w:kern w:val="0"/>
                <w:lang w:bidi="ar"/>
              </w:rPr>
              <w:t>1.涉危企业总数：直观呈现涉危企业总计数。点击总数可穿透至企业列表页；在列表页中可进一步查看任一企业的完整涉危信息</w:t>
            </w:r>
            <w:r>
              <w:rPr>
                <w:rFonts w:hint="eastAsia" w:cs="宋体"/>
                <w:color w:val="000000"/>
                <w:kern w:val="0"/>
                <w:lang w:bidi="ar"/>
              </w:rPr>
              <w:br w:type="textWrapping"/>
            </w:r>
            <w:r>
              <w:rPr>
                <w:rFonts w:hint="eastAsia" w:cs="宋体"/>
                <w:color w:val="000000"/>
                <w:kern w:val="0"/>
                <w:lang w:bidi="ar"/>
              </w:rPr>
              <w:t>2.行业类型分类展示：分别展示不同行业类型的涉危企业总数，如工贸、教育、医疗、科研等，点击总数可查看列表信息，在列表中可进一步查看企业详情</w:t>
            </w:r>
            <w:r>
              <w:rPr>
                <w:rFonts w:hint="eastAsia" w:cs="宋体"/>
                <w:color w:val="000000"/>
                <w:kern w:val="0"/>
                <w:lang w:bidi="ar"/>
              </w:rPr>
              <w:br w:type="textWrapping"/>
            </w:r>
            <w:r>
              <w:rPr>
                <w:rFonts w:hint="eastAsia" w:cs="宋体"/>
                <w:color w:val="000000"/>
                <w:kern w:val="0"/>
                <w:lang w:bidi="ar"/>
              </w:rPr>
              <w:t>3.涉及风险汇总展示：对风险进行分类展示，如易制爆、剧毒、其他等，并展示各企业总数，点击总数可查看列表信息，在列表中可进一步查看企业详情</w:t>
            </w:r>
            <w:r>
              <w:rPr>
                <w:rFonts w:hint="eastAsia" w:cs="宋体"/>
                <w:color w:val="000000"/>
                <w:kern w:val="0"/>
                <w:lang w:bidi="ar"/>
              </w:rPr>
              <w:br w:type="textWrapping"/>
            </w:r>
            <w:r>
              <w:rPr>
                <w:rFonts w:hint="eastAsia" w:cs="宋体"/>
                <w:color w:val="000000"/>
                <w:kern w:val="0"/>
                <w:lang w:bidi="ar"/>
              </w:rPr>
              <w:t>4.重大危险源展示：展示区域内重大危险源数量信息，点击总数可查看列表信息，在列表中可进一步查看企业详情</w:t>
            </w:r>
          </w:p>
        </w:tc>
      </w:tr>
      <w:tr w14:paraId="2E9AA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26C1AB8E">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87</w:t>
            </w:r>
          </w:p>
        </w:tc>
        <w:tc>
          <w:tcPr>
            <w:tcW w:w="447" w:type="pct"/>
            <w:vMerge w:val="continue"/>
            <w:tcBorders>
              <w:tl2br w:val="nil"/>
              <w:tr2bl w:val="nil"/>
            </w:tcBorders>
            <w:vAlign w:val="center"/>
          </w:tcPr>
          <w:p w14:paraId="692786E8">
            <w:pPr>
              <w:spacing w:line="240" w:lineRule="auto"/>
              <w:jc w:val="left"/>
              <w:rPr>
                <w:rFonts w:hint="eastAsia" w:cs="宋体"/>
                <w:color w:val="000000"/>
              </w:rPr>
            </w:pPr>
          </w:p>
        </w:tc>
        <w:tc>
          <w:tcPr>
            <w:tcW w:w="453" w:type="pct"/>
            <w:vMerge w:val="restart"/>
            <w:tcBorders>
              <w:tl2br w:val="nil"/>
              <w:tr2bl w:val="nil"/>
            </w:tcBorders>
            <w:vAlign w:val="center"/>
          </w:tcPr>
          <w:p w14:paraId="7A8C8C7D">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行政监督检查</w:t>
            </w:r>
          </w:p>
        </w:tc>
        <w:tc>
          <w:tcPr>
            <w:tcW w:w="429" w:type="pct"/>
            <w:tcBorders>
              <w:tl2br w:val="nil"/>
              <w:tr2bl w:val="nil"/>
            </w:tcBorders>
            <w:vAlign w:val="center"/>
          </w:tcPr>
          <w:p w14:paraId="0AC7CA1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监督检查计划</w:t>
            </w:r>
          </w:p>
        </w:tc>
        <w:tc>
          <w:tcPr>
            <w:tcW w:w="3289" w:type="pct"/>
            <w:tcBorders>
              <w:tl2br w:val="nil"/>
              <w:tr2bl w:val="nil"/>
            </w:tcBorders>
            <w:vAlign w:val="center"/>
          </w:tcPr>
          <w:p w14:paraId="189FDD99">
            <w:pPr>
              <w:widowControl/>
              <w:spacing w:line="240" w:lineRule="auto"/>
              <w:ind w:firstLine="0" w:firstLineChars="0"/>
              <w:textAlignment w:val="center"/>
              <w:rPr>
                <w:rFonts w:hint="eastAsia" w:cs="宋体"/>
                <w:color w:val="000000"/>
              </w:rPr>
            </w:pPr>
            <w:r>
              <w:rPr>
                <w:rFonts w:hint="eastAsia" w:cs="宋体"/>
                <w:color w:val="000000"/>
                <w:kern w:val="0"/>
                <w:lang w:bidi="ar"/>
              </w:rPr>
              <w:t>1、计划制定与审批：制定年度/季度监督检查计划，明确检查对象（如企业、单位）、检查事项（如安全生产、环保合规）、检查方式（现场检查、资料审查）及时间安排。</w:t>
            </w:r>
            <w:r>
              <w:rPr>
                <w:rFonts w:hint="eastAsia" w:cs="宋体"/>
                <w:color w:val="000000"/>
                <w:kern w:val="0"/>
                <w:lang w:bidi="ar"/>
              </w:rPr>
              <w:br w:type="textWrapping"/>
            </w:r>
            <w:r>
              <w:rPr>
                <w:rFonts w:hint="eastAsia" w:cs="宋体"/>
                <w:color w:val="000000"/>
                <w:kern w:val="0"/>
                <w:lang w:bidi="ar"/>
              </w:rPr>
              <w:t>2、动态调整机制：支持计划中途调整（如新增临时检查任务、变更检查时间），调整后需重新履行审批流程。</w:t>
            </w:r>
            <w:r>
              <w:rPr>
                <w:rFonts w:hint="eastAsia" w:cs="宋体"/>
                <w:color w:val="000000"/>
                <w:kern w:val="0"/>
                <w:lang w:bidi="ar"/>
              </w:rPr>
              <w:br w:type="textWrapping"/>
            </w:r>
            <w:r>
              <w:rPr>
                <w:rFonts w:hint="eastAsia" w:cs="宋体"/>
                <w:color w:val="000000"/>
                <w:kern w:val="0"/>
                <w:lang w:bidi="ar"/>
              </w:rPr>
              <w:t>3、任务分配与通知：按区域、行业或监管人员职责自动分配检查任务，生成电子通知书并推送至被检查对象及执法人员。</w:t>
            </w:r>
          </w:p>
        </w:tc>
      </w:tr>
      <w:tr w14:paraId="739A3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81" w:type="pct"/>
            <w:tcBorders>
              <w:tl2br w:val="nil"/>
              <w:tr2bl w:val="nil"/>
            </w:tcBorders>
            <w:vAlign w:val="center"/>
          </w:tcPr>
          <w:p w14:paraId="464135B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88</w:t>
            </w:r>
          </w:p>
        </w:tc>
        <w:tc>
          <w:tcPr>
            <w:tcW w:w="447" w:type="pct"/>
            <w:vMerge w:val="continue"/>
            <w:tcBorders>
              <w:tl2br w:val="nil"/>
              <w:tr2bl w:val="nil"/>
            </w:tcBorders>
            <w:vAlign w:val="center"/>
          </w:tcPr>
          <w:p w14:paraId="5347C6C8">
            <w:pPr>
              <w:spacing w:line="240" w:lineRule="auto"/>
              <w:jc w:val="left"/>
              <w:rPr>
                <w:rFonts w:hint="eastAsia" w:cs="宋体"/>
                <w:color w:val="000000"/>
              </w:rPr>
            </w:pPr>
          </w:p>
        </w:tc>
        <w:tc>
          <w:tcPr>
            <w:tcW w:w="453" w:type="pct"/>
            <w:vMerge w:val="continue"/>
            <w:tcBorders>
              <w:tl2br w:val="nil"/>
              <w:tr2bl w:val="nil"/>
            </w:tcBorders>
            <w:vAlign w:val="center"/>
          </w:tcPr>
          <w:p w14:paraId="2801D16C">
            <w:pPr>
              <w:spacing w:line="240" w:lineRule="auto"/>
              <w:jc w:val="left"/>
              <w:rPr>
                <w:rFonts w:hint="eastAsia" w:cs="宋体"/>
                <w:color w:val="000000"/>
              </w:rPr>
            </w:pPr>
          </w:p>
        </w:tc>
        <w:tc>
          <w:tcPr>
            <w:tcW w:w="429" w:type="pct"/>
            <w:tcBorders>
              <w:tl2br w:val="nil"/>
              <w:tr2bl w:val="nil"/>
            </w:tcBorders>
            <w:vAlign w:val="center"/>
          </w:tcPr>
          <w:p w14:paraId="0C85786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监督检查</w:t>
            </w:r>
          </w:p>
        </w:tc>
        <w:tc>
          <w:tcPr>
            <w:tcW w:w="3289" w:type="pct"/>
            <w:tcBorders>
              <w:tl2br w:val="nil"/>
              <w:tr2bl w:val="nil"/>
            </w:tcBorders>
            <w:vAlign w:val="center"/>
          </w:tcPr>
          <w:p w14:paraId="4552262E">
            <w:pPr>
              <w:widowControl/>
              <w:spacing w:line="240" w:lineRule="auto"/>
              <w:ind w:firstLine="0" w:firstLineChars="0"/>
              <w:textAlignment w:val="center"/>
              <w:rPr>
                <w:rFonts w:hint="eastAsia" w:cs="宋体"/>
                <w:color w:val="000000"/>
              </w:rPr>
            </w:pPr>
            <w:r>
              <w:rPr>
                <w:rFonts w:hint="eastAsia" w:cs="宋体"/>
                <w:color w:val="000000"/>
                <w:kern w:val="0"/>
                <w:lang w:bidi="ar"/>
              </w:rPr>
              <w:t>1、现场检查：执法人员通过移动端或PC端录入检查记录，包括被检查对象基本信息、检查内容（如设备运行状态、台账资料）、发现问题（文字描述 + 图片 / 视频证据）、现场处理措施（责令整改、当场处罚）等。</w:t>
            </w:r>
            <w:r>
              <w:rPr>
                <w:rFonts w:hint="eastAsia" w:cs="宋体"/>
                <w:color w:val="000000"/>
                <w:kern w:val="0"/>
                <w:lang w:bidi="ar"/>
              </w:rPr>
              <w:br w:type="textWrapping"/>
            </w:r>
            <w:r>
              <w:rPr>
                <w:rFonts w:hint="eastAsia" w:cs="宋体"/>
                <w:color w:val="000000"/>
                <w:kern w:val="0"/>
                <w:lang w:bidi="ar"/>
              </w:rPr>
              <w:t>2、文书生成与送达：自动生成各类执法监督检查文书，支持电子签名或现场打印送达，被检查对象可在线确认签收。</w:t>
            </w:r>
          </w:p>
        </w:tc>
      </w:tr>
      <w:tr w14:paraId="64E46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4FBFFA5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89</w:t>
            </w:r>
          </w:p>
        </w:tc>
        <w:tc>
          <w:tcPr>
            <w:tcW w:w="447" w:type="pct"/>
            <w:vMerge w:val="continue"/>
            <w:tcBorders>
              <w:tl2br w:val="nil"/>
              <w:tr2bl w:val="nil"/>
            </w:tcBorders>
            <w:vAlign w:val="center"/>
          </w:tcPr>
          <w:p w14:paraId="6284C8AA">
            <w:pPr>
              <w:spacing w:line="240" w:lineRule="auto"/>
              <w:jc w:val="left"/>
              <w:rPr>
                <w:rFonts w:hint="eastAsia" w:cs="宋体"/>
                <w:color w:val="000000"/>
              </w:rPr>
            </w:pPr>
          </w:p>
        </w:tc>
        <w:tc>
          <w:tcPr>
            <w:tcW w:w="453" w:type="pct"/>
            <w:vMerge w:val="continue"/>
            <w:tcBorders>
              <w:tl2br w:val="nil"/>
              <w:tr2bl w:val="nil"/>
            </w:tcBorders>
            <w:vAlign w:val="center"/>
          </w:tcPr>
          <w:p w14:paraId="4CF9BCAE">
            <w:pPr>
              <w:spacing w:line="240" w:lineRule="auto"/>
              <w:jc w:val="left"/>
              <w:rPr>
                <w:rFonts w:hint="eastAsia" w:cs="宋体"/>
                <w:color w:val="000000"/>
              </w:rPr>
            </w:pPr>
          </w:p>
        </w:tc>
        <w:tc>
          <w:tcPr>
            <w:tcW w:w="429" w:type="pct"/>
            <w:tcBorders>
              <w:tl2br w:val="nil"/>
              <w:tr2bl w:val="nil"/>
            </w:tcBorders>
            <w:vAlign w:val="center"/>
          </w:tcPr>
          <w:p w14:paraId="324E283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行政复查</w:t>
            </w:r>
          </w:p>
        </w:tc>
        <w:tc>
          <w:tcPr>
            <w:tcW w:w="3289" w:type="pct"/>
            <w:tcBorders>
              <w:tl2br w:val="nil"/>
              <w:tr2bl w:val="nil"/>
            </w:tcBorders>
            <w:vAlign w:val="center"/>
          </w:tcPr>
          <w:p w14:paraId="341C1345">
            <w:pPr>
              <w:widowControl/>
              <w:spacing w:line="240" w:lineRule="auto"/>
              <w:ind w:firstLine="0" w:firstLineChars="0"/>
              <w:textAlignment w:val="center"/>
              <w:rPr>
                <w:rFonts w:hint="eastAsia" w:cs="宋体"/>
                <w:color w:val="000000"/>
              </w:rPr>
            </w:pPr>
            <w:r>
              <w:rPr>
                <w:rFonts w:hint="eastAsia" w:cs="宋体"/>
                <w:color w:val="000000"/>
                <w:kern w:val="0"/>
                <w:lang w:bidi="ar"/>
              </w:rPr>
              <w:t>1、整改跟踪管理：针对监督检查中发现的问题，设定整改期限（如 7 个工作日），系统自动触发整改到期提醒。</w:t>
            </w:r>
            <w:r>
              <w:rPr>
                <w:rFonts w:hint="eastAsia" w:cs="宋体"/>
                <w:color w:val="000000"/>
                <w:kern w:val="0"/>
                <w:lang w:bidi="ar"/>
              </w:rPr>
              <w:br w:type="textWrapping"/>
            </w:r>
            <w:r>
              <w:rPr>
                <w:rFonts w:hint="eastAsia" w:cs="宋体"/>
                <w:color w:val="000000"/>
                <w:kern w:val="0"/>
                <w:lang w:bidi="ar"/>
              </w:rPr>
              <w:t>2、整改结果：生成复查任务并指派原检查人员或指定人员，复查内容包括问题是否整改到位、是否存在新问题等。</w:t>
            </w:r>
          </w:p>
        </w:tc>
      </w:tr>
      <w:tr w14:paraId="64028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 w:hRule="atLeast"/>
        </w:trPr>
        <w:tc>
          <w:tcPr>
            <w:tcW w:w="381" w:type="pct"/>
            <w:tcBorders>
              <w:tl2br w:val="nil"/>
              <w:tr2bl w:val="nil"/>
            </w:tcBorders>
            <w:vAlign w:val="center"/>
          </w:tcPr>
          <w:p w14:paraId="1FCA0BCC">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90</w:t>
            </w:r>
          </w:p>
        </w:tc>
        <w:tc>
          <w:tcPr>
            <w:tcW w:w="447" w:type="pct"/>
            <w:vMerge w:val="continue"/>
            <w:tcBorders>
              <w:tl2br w:val="nil"/>
              <w:tr2bl w:val="nil"/>
            </w:tcBorders>
            <w:vAlign w:val="center"/>
          </w:tcPr>
          <w:p w14:paraId="144A65B2">
            <w:pPr>
              <w:spacing w:line="240" w:lineRule="auto"/>
              <w:jc w:val="left"/>
              <w:rPr>
                <w:rFonts w:hint="eastAsia" w:cs="宋体"/>
                <w:color w:val="000000"/>
              </w:rPr>
            </w:pPr>
          </w:p>
        </w:tc>
        <w:tc>
          <w:tcPr>
            <w:tcW w:w="453" w:type="pct"/>
            <w:vMerge w:val="continue"/>
            <w:tcBorders>
              <w:tl2br w:val="nil"/>
              <w:tr2bl w:val="nil"/>
            </w:tcBorders>
            <w:vAlign w:val="center"/>
          </w:tcPr>
          <w:p w14:paraId="2A947E82">
            <w:pPr>
              <w:spacing w:line="240" w:lineRule="auto"/>
              <w:jc w:val="left"/>
              <w:rPr>
                <w:rFonts w:hint="eastAsia" w:cs="宋体"/>
                <w:color w:val="000000"/>
              </w:rPr>
            </w:pPr>
          </w:p>
        </w:tc>
        <w:tc>
          <w:tcPr>
            <w:tcW w:w="429" w:type="pct"/>
            <w:tcBorders>
              <w:tl2br w:val="nil"/>
              <w:tr2bl w:val="nil"/>
            </w:tcBorders>
            <w:vAlign w:val="center"/>
          </w:tcPr>
          <w:p w14:paraId="6E9F96E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统计共享</w:t>
            </w:r>
          </w:p>
        </w:tc>
        <w:tc>
          <w:tcPr>
            <w:tcW w:w="3289" w:type="pct"/>
            <w:tcBorders>
              <w:tl2br w:val="nil"/>
              <w:tr2bl w:val="nil"/>
            </w:tcBorders>
            <w:vAlign w:val="center"/>
          </w:tcPr>
          <w:p w14:paraId="359912E3">
            <w:pPr>
              <w:widowControl/>
              <w:spacing w:line="240" w:lineRule="auto"/>
              <w:ind w:firstLine="0" w:firstLineChars="0"/>
              <w:textAlignment w:val="center"/>
              <w:rPr>
                <w:rFonts w:hint="eastAsia" w:cs="宋体"/>
                <w:color w:val="000000"/>
              </w:rPr>
            </w:pPr>
            <w:r>
              <w:rPr>
                <w:rFonts w:hint="eastAsia" w:cs="宋体"/>
                <w:color w:val="000000"/>
                <w:kern w:val="0"/>
                <w:lang w:bidi="ar"/>
              </w:rPr>
              <w:t>通过图表动态展示监管数据，辅助管理层掌握监管态势、识别风险高发领域。</w:t>
            </w:r>
          </w:p>
        </w:tc>
      </w:tr>
      <w:tr w14:paraId="25443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74C3ACC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91</w:t>
            </w:r>
          </w:p>
        </w:tc>
        <w:tc>
          <w:tcPr>
            <w:tcW w:w="447" w:type="pct"/>
            <w:vMerge w:val="continue"/>
            <w:tcBorders>
              <w:tl2br w:val="nil"/>
              <w:tr2bl w:val="nil"/>
            </w:tcBorders>
            <w:vAlign w:val="center"/>
          </w:tcPr>
          <w:p w14:paraId="117835F4">
            <w:pPr>
              <w:spacing w:line="240" w:lineRule="auto"/>
              <w:jc w:val="left"/>
              <w:rPr>
                <w:rFonts w:hint="eastAsia" w:cs="宋体"/>
                <w:color w:val="000000"/>
              </w:rPr>
            </w:pPr>
          </w:p>
        </w:tc>
        <w:tc>
          <w:tcPr>
            <w:tcW w:w="453" w:type="pct"/>
            <w:vMerge w:val="restart"/>
            <w:tcBorders>
              <w:tl2br w:val="nil"/>
              <w:tr2bl w:val="nil"/>
            </w:tcBorders>
            <w:vAlign w:val="center"/>
          </w:tcPr>
          <w:p w14:paraId="46D8055F">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治本攻坚专项排查管理</w:t>
            </w:r>
          </w:p>
        </w:tc>
        <w:tc>
          <w:tcPr>
            <w:tcW w:w="429" w:type="pct"/>
            <w:tcBorders>
              <w:tl2br w:val="nil"/>
              <w:tr2bl w:val="nil"/>
            </w:tcBorders>
            <w:vAlign w:val="center"/>
          </w:tcPr>
          <w:p w14:paraId="7F077C0A">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治本攻坚报送</w:t>
            </w:r>
          </w:p>
        </w:tc>
        <w:tc>
          <w:tcPr>
            <w:tcW w:w="3289" w:type="pct"/>
            <w:tcBorders>
              <w:tl2br w:val="nil"/>
              <w:tr2bl w:val="nil"/>
            </w:tcBorders>
            <w:vAlign w:val="center"/>
          </w:tcPr>
          <w:p w14:paraId="19F2F103">
            <w:pPr>
              <w:widowControl/>
              <w:spacing w:line="240" w:lineRule="auto"/>
              <w:ind w:firstLine="0" w:firstLineChars="0"/>
              <w:textAlignment w:val="center"/>
              <w:rPr>
                <w:rFonts w:hint="eastAsia" w:cs="宋体"/>
                <w:color w:val="000000"/>
              </w:rPr>
            </w:pPr>
            <w:r>
              <w:rPr>
                <w:rFonts w:hint="eastAsia" w:cs="宋体"/>
                <w:color w:val="000000"/>
                <w:kern w:val="0"/>
                <w:lang w:bidi="ar"/>
              </w:rPr>
              <w:t>企业治本攻坚三年行动上报（已报送），企业治本攻坚三年行动上报（未报送），一键快捷报送。</w:t>
            </w:r>
          </w:p>
        </w:tc>
      </w:tr>
      <w:tr w14:paraId="0314D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189D9BF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92</w:t>
            </w:r>
          </w:p>
        </w:tc>
        <w:tc>
          <w:tcPr>
            <w:tcW w:w="447" w:type="pct"/>
            <w:vMerge w:val="continue"/>
            <w:tcBorders>
              <w:tl2br w:val="nil"/>
              <w:tr2bl w:val="nil"/>
            </w:tcBorders>
            <w:vAlign w:val="center"/>
          </w:tcPr>
          <w:p w14:paraId="052BB1D0">
            <w:pPr>
              <w:spacing w:line="240" w:lineRule="auto"/>
              <w:jc w:val="left"/>
              <w:rPr>
                <w:rFonts w:hint="eastAsia" w:cs="宋体"/>
                <w:color w:val="000000"/>
              </w:rPr>
            </w:pPr>
          </w:p>
        </w:tc>
        <w:tc>
          <w:tcPr>
            <w:tcW w:w="453" w:type="pct"/>
            <w:vMerge w:val="continue"/>
            <w:tcBorders>
              <w:tl2br w:val="nil"/>
              <w:tr2bl w:val="nil"/>
            </w:tcBorders>
            <w:vAlign w:val="center"/>
          </w:tcPr>
          <w:p w14:paraId="3834DB25">
            <w:pPr>
              <w:spacing w:line="240" w:lineRule="auto"/>
              <w:jc w:val="left"/>
              <w:rPr>
                <w:rFonts w:hint="eastAsia" w:cs="宋体"/>
                <w:color w:val="000000"/>
              </w:rPr>
            </w:pPr>
          </w:p>
        </w:tc>
        <w:tc>
          <w:tcPr>
            <w:tcW w:w="429" w:type="pct"/>
            <w:tcBorders>
              <w:tl2br w:val="nil"/>
              <w:tr2bl w:val="nil"/>
            </w:tcBorders>
            <w:vAlign w:val="center"/>
          </w:tcPr>
          <w:p w14:paraId="7CCE0E8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重大事故隐患判定标准宣贯</w:t>
            </w:r>
          </w:p>
        </w:tc>
        <w:tc>
          <w:tcPr>
            <w:tcW w:w="3289" w:type="pct"/>
            <w:tcBorders>
              <w:tl2br w:val="nil"/>
              <w:tr2bl w:val="nil"/>
            </w:tcBorders>
            <w:vAlign w:val="center"/>
          </w:tcPr>
          <w:p w14:paraId="3A158523">
            <w:pPr>
              <w:widowControl/>
              <w:spacing w:line="240" w:lineRule="auto"/>
              <w:ind w:firstLine="0" w:firstLineChars="0"/>
              <w:textAlignment w:val="center"/>
              <w:rPr>
                <w:rFonts w:hint="eastAsia" w:cs="宋体"/>
                <w:color w:val="000000"/>
              </w:rPr>
            </w:pPr>
            <w:r>
              <w:rPr>
                <w:rFonts w:hint="eastAsia" w:cs="宋体"/>
                <w:color w:val="000000"/>
                <w:kern w:val="0"/>
                <w:lang w:bidi="ar"/>
              </w:rPr>
              <w:t>1、新增重大事故隐患判定标准宣贯</w:t>
            </w:r>
            <w:r>
              <w:rPr>
                <w:rFonts w:hint="eastAsia" w:cs="宋体"/>
                <w:color w:val="000000"/>
                <w:kern w:val="0"/>
                <w:lang w:bidi="ar"/>
              </w:rPr>
              <w:br w:type="textWrapping"/>
            </w:r>
            <w:r>
              <w:rPr>
                <w:rFonts w:hint="eastAsia" w:cs="宋体"/>
                <w:color w:val="000000"/>
                <w:kern w:val="0"/>
                <w:lang w:bidi="ar"/>
              </w:rPr>
              <w:t>2、重大事故隐患判定标准宣贯查询统计</w:t>
            </w:r>
            <w:r>
              <w:rPr>
                <w:rFonts w:hint="eastAsia" w:cs="宋体"/>
                <w:color w:val="000000"/>
                <w:kern w:val="0"/>
                <w:lang w:bidi="ar"/>
              </w:rPr>
              <w:br w:type="textWrapping"/>
            </w:r>
            <w:r>
              <w:rPr>
                <w:rFonts w:hint="eastAsia" w:cs="宋体"/>
                <w:color w:val="000000"/>
                <w:kern w:val="0"/>
                <w:lang w:bidi="ar"/>
              </w:rPr>
              <w:t>3、重大事故隐患判定标准宣贯管理</w:t>
            </w:r>
          </w:p>
        </w:tc>
      </w:tr>
      <w:tr w14:paraId="59A72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19CBEA06">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93</w:t>
            </w:r>
          </w:p>
        </w:tc>
        <w:tc>
          <w:tcPr>
            <w:tcW w:w="447" w:type="pct"/>
            <w:vMerge w:val="continue"/>
            <w:tcBorders>
              <w:tl2br w:val="nil"/>
              <w:tr2bl w:val="nil"/>
            </w:tcBorders>
            <w:vAlign w:val="center"/>
          </w:tcPr>
          <w:p w14:paraId="7671FF92">
            <w:pPr>
              <w:spacing w:line="240" w:lineRule="auto"/>
              <w:jc w:val="left"/>
              <w:rPr>
                <w:rFonts w:hint="eastAsia" w:cs="宋体"/>
                <w:color w:val="000000"/>
              </w:rPr>
            </w:pPr>
          </w:p>
        </w:tc>
        <w:tc>
          <w:tcPr>
            <w:tcW w:w="453" w:type="pct"/>
            <w:vMerge w:val="continue"/>
            <w:tcBorders>
              <w:tl2br w:val="nil"/>
              <w:tr2bl w:val="nil"/>
            </w:tcBorders>
            <w:vAlign w:val="center"/>
          </w:tcPr>
          <w:p w14:paraId="66036B84">
            <w:pPr>
              <w:spacing w:line="240" w:lineRule="auto"/>
              <w:jc w:val="left"/>
              <w:rPr>
                <w:rFonts w:hint="eastAsia" w:cs="宋体"/>
                <w:color w:val="000000"/>
              </w:rPr>
            </w:pPr>
          </w:p>
        </w:tc>
        <w:tc>
          <w:tcPr>
            <w:tcW w:w="429" w:type="pct"/>
            <w:tcBorders>
              <w:tl2br w:val="nil"/>
              <w:tr2bl w:val="nil"/>
            </w:tcBorders>
            <w:vAlign w:val="center"/>
          </w:tcPr>
          <w:p w14:paraId="293465E0">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主要负责人带队检查</w:t>
            </w:r>
          </w:p>
        </w:tc>
        <w:tc>
          <w:tcPr>
            <w:tcW w:w="3289" w:type="pct"/>
            <w:tcBorders>
              <w:tl2br w:val="nil"/>
              <w:tr2bl w:val="nil"/>
            </w:tcBorders>
            <w:vAlign w:val="center"/>
          </w:tcPr>
          <w:p w14:paraId="5F44BD1F">
            <w:pPr>
              <w:widowControl/>
              <w:spacing w:line="240" w:lineRule="auto"/>
              <w:ind w:firstLine="0" w:firstLineChars="0"/>
              <w:textAlignment w:val="center"/>
              <w:rPr>
                <w:rFonts w:hint="eastAsia" w:cs="宋体"/>
                <w:color w:val="000000"/>
              </w:rPr>
            </w:pPr>
            <w:r>
              <w:rPr>
                <w:rFonts w:hint="eastAsia" w:cs="宋体"/>
                <w:color w:val="000000"/>
                <w:kern w:val="0"/>
                <w:lang w:bidi="ar"/>
              </w:rPr>
              <w:t>1、新增主要负责人带队检查：行业领域、检查情况信息（检查时间、领导姓名、上传检查记录）检查次数。</w:t>
            </w:r>
            <w:r>
              <w:rPr>
                <w:rFonts w:hint="eastAsia" w:cs="宋体"/>
                <w:color w:val="000000"/>
                <w:kern w:val="0"/>
                <w:lang w:bidi="ar"/>
              </w:rPr>
              <w:br w:type="textWrapping"/>
            </w:r>
            <w:r>
              <w:rPr>
                <w:rFonts w:hint="eastAsia" w:cs="宋体"/>
                <w:color w:val="000000"/>
                <w:kern w:val="0"/>
                <w:lang w:bidi="ar"/>
              </w:rPr>
              <w:t>2、主要负责人带队检查管理：对主要负责人带队检查提供查看、修改、删除等功能，并对上个月数据不能修改。</w:t>
            </w:r>
            <w:r>
              <w:rPr>
                <w:rFonts w:hint="eastAsia" w:cs="宋体"/>
                <w:color w:val="000000"/>
                <w:kern w:val="0"/>
                <w:lang w:bidi="ar"/>
              </w:rPr>
              <w:br w:type="textWrapping"/>
            </w:r>
            <w:r>
              <w:rPr>
                <w:rFonts w:hint="eastAsia" w:cs="宋体"/>
                <w:color w:val="000000"/>
                <w:kern w:val="0"/>
                <w:lang w:bidi="ar"/>
              </w:rPr>
              <w:t>3、主要负责人带队检查查询统计：主要负责人带队检查统计，并以列表方式展示行业领域、检查情况信息（检查时间、领导姓名、上传检查记录）检查次数等信息，支持导出。</w:t>
            </w:r>
          </w:p>
        </w:tc>
      </w:tr>
      <w:tr w14:paraId="2CFE8B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0" w:hRule="atLeast"/>
        </w:trPr>
        <w:tc>
          <w:tcPr>
            <w:tcW w:w="381" w:type="pct"/>
            <w:tcBorders>
              <w:tl2br w:val="nil"/>
              <w:tr2bl w:val="nil"/>
            </w:tcBorders>
            <w:vAlign w:val="center"/>
          </w:tcPr>
          <w:p w14:paraId="76EB4DB5">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94</w:t>
            </w:r>
          </w:p>
        </w:tc>
        <w:tc>
          <w:tcPr>
            <w:tcW w:w="447" w:type="pct"/>
            <w:vMerge w:val="continue"/>
            <w:tcBorders>
              <w:tl2br w:val="nil"/>
              <w:tr2bl w:val="nil"/>
            </w:tcBorders>
            <w:vAlign w:val="center"/>
          </w:tcPr>
          <w:p w14:paraId="4E24C335">
            <w:pPr>
              <w:spacing w:line="240" w:lineRule="auto"/>
              <w:jc w:val="left"/>
              <w:rPr>
                <w:rFonts w:hint="eastAsia" w:cs="宋体"/>
                <w:color w:val="000000"/>
              </w:rPr>
            </w:pPr>
          </w:p>
        </w:tc>
        <w:tc>
          <w:tcPr>
            <w:tcW w:w="453" w:type="pct"/>
            <w:vMerge w:val="continue"/>
            <w:tcBorders>
              <w:tl2br w:val="nil"/>
              <w:tr2bl w:val="nil"/>
            </w:tcBorders>
            <w:vAlign w:val="center"/>
          </w:tcPr>
          <w:p w14:paraId="50D0D9C1">
            <w:pPr>
              <w:spacing w:line="240" w:lineRule="auto"/>
              <w:jc w:val="left"/>
              <w:rPr>
                <w:rFonts w:hint="eastAsia" w:cs="宋体"/>
                <w:color w:val="000000"/>
              </w:rPr>
            </w:pPr>
          </w:p>
        </w:tc>
        <w:tc>
          <w:tcPr>
            <w:tcW w:w="429" w:type="pct"/>
            <w:tcBorders>
              <w:tl2br w:val="nil"/>
              <w:tr2bl w:val="nil"/>
            </w:tcBorders>
            <w:vAlign w:val="center"/>
          </w:tcPr>
          <w:p w14:paraId="064FA57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重大事故隐患排查整改</w:t>
            </w:r>
          </w:p>
        </w:tc>
        <w:tc>
          <w:tcPr>
            <w:tcW w:w="3289" w:type="pct"/>
            <w:tcBorders>
              <w:tl2br w:val="nil"/>
              <w:tr2bl w:val="nil"/>
            </w:tcBorders>
            <w:vAlign w:val="center"/>
          </w:tcPr>
          <w:p w14:paraId="7C7BDE4B">
            <w:pPr>
              <w:widowControl/>
              <w:spacing w:line="240" w:lineRule="auto"/>
              <w:ind w:firstLine="0" w:firstLineChars="0"/>
              <w:textAlignment w:val="center"/>
              <w:rPr>
                <w:rFonts w:hint="eastAsia" w:cs="宋体"/>
                <w:color w:val="000000"/>
              </w:rPr>
            </w:pPr>
            <w:r>
              <w:rPr>
                <w:rFonts w:hint="eastAsia" w:cs="宋体"/>
                <w:color w:val="000000"/>
                <w:kern w:val="0"/>
                <w:lang w:bidi="ar"/>
              </w:rPr>
              <w:t>1、新增排查模板：设置排查方式、排查时间、排查人、可选隐患条款、自定义隐患条款。</w:t>
            </w:r>
            <w:r>
              <w:rPr>
                <w:rFonts w:hint="eastAsia" w:cs="宋体"/>
                <w:color w:val="000000"/>
                <w:kern w:val="0"/>
                <w:lang w:bidi="ar"/>
              </w:rPr>
              <w:br w:type="textWrapping"/>
            </w:r>
            <w:r>
              <w:rPr>
                <w:rFonts w:hint="eastAsia" w:cs="宋体"/>
                <w:color w:val="000000"/>
                <w:kern w:val="0"/>
                <w:lang w:bidi="ar"/>
              </w:rPr>
              <w:t>2、排查历史记录：统计分析：图表显示（一二三级隐患本年度历史记录，数据视图、折线图、柱状图等）、列表显示（根据隐患发现时间、隐患等级查询，排查时间、排查项目、隐患等级、隐患部位、隐患基本情况、是否整改、整改时间，详情按钮等各类信息），支持导出。</w:t>
            </w:r>
            <w:r>
              <w:rPr>
                <w:rFonts w:hint="eastAsia" w:cs="宋体"/>
                <w:color w:val="000000"/>
                <w:kern w:val="0"/>
                <w:lang w:bidi="ar"/>
              </w:rPr>
              <w:br w:type="textWrapping"/>
            </w:r>
            <w:r>
              <w:rPr>
                <w:rFonts w:hint="eastAsia" w:cs="宋体"/>
                <w:color w:val="000000"/>
                <w:kern w:val="0"/>
                <w:lang w:bidi="ar"/>
              </w:rPr>
              <w:t>3、重大隐患排查情况：隐患等级、隐患发现时间、隐患部位、隐患基本情况、隐患图片、整改状态、整改时间、责任人、责任人电话、整改后照片等信息。</w:t>
            </w:r>
            <w:r>
              <w:rPr>
                <w:rFonts w:hint="eastAsia" w:cs="宋体"/>
                <w:color w:val="000000"/>
                <w:kern w:val="0"/>
                <w:lang w:bidi="ar"/>
              </w:rPr>
              <w:br w:type="textWrapping"/>
            </w:r>
            <w:r>
              <w:rPr>
                <w:rFonts w:hint="eastAsia" w:cs="宋体"/>
                <w:color w:val="000000"/>
                <w:kern w:val="0"/>
                <w:lang w:bidi="ar"/>
              </w:rPr>
              <w:t>4、重大事故隐患查询统计：展示重大事故隐患统计信息，以列表方式展示各类信息，并可点击详情查看具体信息，支持导出。</w:t>
            </w:r>
          </w:p>
        </w:tc>
      </w:tr>
      <w:tr w14:paraId="5D36F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3B7CEAC9">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95</w:t>
            </w:r>
          </w:p>
        </w:tc>
        <w:tc>
          <w:tcPr>
            <w:tcW w:w="447" w:type="pct"/>
            <w:vMerge w:val="continue"/>
            <w:tcBorders>
              <w:tl2br w:val="nil"/>
              <w:tr2bl w:val="nil"/>
            </w:tcBorders>
            <w:vAlign w:val="center"/>
          </w:tcPr>
          <w:p w14:paraId="705231DC">
            <w:pPr>
              <w:spacing w:line="240" w:lineRule="auto"/>
              <w:jc w:val="left"/>
              <w:rPr>
                <w:rFonts w:hint="eastAsia" w:cs="宋体"/>
                <w:color w:val="000000"/>
              </w:rPr>
            </w:pPr>
          </w:p>
        </w:tc>
        <w:tc>
          <w:tcPr>
            <w:tcW w:w="453" w:type="pct"/>
            <w:vMerge w:val="continue"/>
            <w:tcBorders>
              <w:tl2br w:val="nil"/>
              <w:tr2bl w:val="nil"/>
            </w:tcBorders>
            <w:vAlign w:val="center"/>
          </w:tcPr>
          <w:p w14:paraId="568E1F76">
            <w:pPr>
              <w:spacing w:line="240" w:lineRule="auto"/>
              <w:jc w:val="left"/>
              <w:rPr>
                <w:rFonts w:hint="eastAsia" w:cs="宋体"/>
                <w:color w:val="000000"/>
              </w:rPr>
            </w:pPr>
          </w:p>
        </w:tc>
        <w:tc>
          <w:tcPr>
            <w:tcW w:w="429" w:type="pct"/>
            <w:tcBorders>
              <w:tl2br w:val="nil"/>
              <w:tr2bl w:val="nil"/>
            </w:tcBorders>
            <w:vAlign w:val="center"/>
          </w:tcPr>
          <w:p w14:paraId="10022CEE">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从业人员安全技能培训</w:t>
            </w:r>
          </w:p>
        </w:tc>
        <w:tc>
          <w:tcPr>
            <w:tcW w:w="3289" w:type="pct"/>
            <w:tcBorders>
              <w:tl2br w:val="nil"/>
              <w:tr2bl w:val="nil"/>
            </w:tcBorders>
            <w:vAlign w:val="center"/>
          </w:tcPr>
          <w:p w14:paraId="09278DE7">
            <w:pPr>
              <w:widowControl/>
              <w:spacing w:line="240" w:lineRule="auto"/>
              <w:ind w:firstLine="0" w:firstLineChars="0"/>
              <w:textAlignment w:val="center"/>
              <w:rPr>
                <w:rFonts w:hint="eastAsia" w:cs="宋体"/>
                <w:color w:val="000000"/>
              </w:rPr>
            </w:pPr>
            <w:r>
              <w:rPr>
                <w:rFonts w:hint="eastAsia" w:cs="宋体"/>
                <w:color w:val="000000"/>
                <w:kern w:val="0"/>
                <w:lang w:bidi="ar"/>
              </w:rPr>
              <w:t>1、新增从业人员安全技能培训；2、从业人员安全技能培训管理；3、从业人员安全技能培训查询统计</w:t>
            </w:r>
          </w:p>
        </w:tc>
      </w:tr>
      <w:tr w14:paraId="46996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61D11752">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96</w:t>
            </w:r>
          </w:p>
        </w:tc>
        <w:tc>
          <w:tcPr>
            <w:tcW w:w="447" w:type="pct"/>
            <w:vMerge w:val="continue"/>
            <w:tcBorders>
              <w:tl2br w:val="nil"/>
              <w:tr2bl w:val="nil"/>
            </w:tcBorders>
            <w:vAlign w:val="center"/>
          </w:tcPr>
          <w:p w14:paraId="2C174548">
            <w:pPr>
              <w:spacing w:line="240" w:lineRule="auto"/>
              <w:jc w:val="left"/>
              <w:rPr>
                <w:rFonts w:hint="eastAsia" w:cs="宋体"/>
                <w:color w:val="000000"/>
              </w:rPr>
            </w:pPr>
          </w:p>
        </w:tc>
        <w:tc>
          <w:tcPr>
            <w:tcW w:w="453" w:type="pct"/>
            <w:vMerge w:val="continue"/>
            <w:tcBorders>
              <w:tl2br w:val="nil"/>
              <w:tr2bl w:val="nil"/>
            </w:tcBorders>
            <w:vAlign w:val="center"/>
          </w:tcPr>
          <w:p w14:paraId="5EEFFE25">
            <w:pPr>
              <w:spacing w:line="240" w:lineRule="auto"/>
              <w:jc w:val="left"/>
              <w:rPr>
                <w:rFonts w:hint="eastAsia" w:cs="宋体"/>
                <w:color w:val="000000"/>
              </w:rPr>
            </w:pPr>
          </w:p>
        </w:tc>
        <w:tc>
          <w:tcPr>
            <w:tcW w:w="429" w:type="pct"/>
            <w:tcBorders>
              <w:tl2br w:val="nil"/>
              <w:tr2bl w:val="nil"/>
            </w:tcBorders>
            <w:vAlign w:val="center"/>
          </w:tcPr>
          <w:p w14:paraId="25A60C9E">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电焊等特种作业岗位人员持证上岗</w:t>
            </w:r>
          </w:p>
        </w:tc>
        <w:tc>
          <w:tcPr>
            <w:tcW w:w="3289" w:type="pct"/>
            <w:tcBorders>
              <w:tl2br w:val="nil"/>
              <w:tr2bl w:val="nil"/>
            </w:tcBorders>
            <w:vAlign w:val="center"/>
          </w:tcPr>
          <w:p w14:paraId="696C2C38">
            <w:pPr>
              <w:widowControl/>
              <w:spacing w:line="240" w:lineRule="auto"/>
              <w:ind w:firstLine="0" w:firstLineChars="0"/>
              <w:textAlignment w:val="center"/>
              <w:rPr>
                <w:rFonts w:hint="eastAsia" w:cs="宋体"/>
                <w:color w:val="000000"/>
              </w:rPr>
            </w:pPr>
            <w:r>
              <w:rPr>
                <w:rFonts w:hint="eastAsia" w:cs="宋体"/>
                <w:color w:val="000000"/>
                <w:kern w:val="0"/>
                <w:lang w:bidi="ar"/>
              </w:rPr>
              <w:t>1、新增电焊等特种作业岗位人员持证上岗；2、电焊等特种作业岗位人员持证上岗管理；3、电焊等特种作业岗位人员持证上岗查询统计</w:t>
            </w:r>
          </w:p>
        </w:tc>
      </w:tr>
      <w:tr w14:paraId="24F27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6A3C0350">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97</w:t>
            </w:r>
          </w:p>
        </w:tc>
        <w:tc>
          <w:tcPr>
            <w:tcW w:w="447" w:type="pct"/>
            <w:vMerge w:val="continue"/>
            <w:tcBorders>
              <w:tl2br w:val="nil"/>
              <w:tr2bl w:val="nil"/>
            </w:tcBorders>
            <w:vAlign w:val="center"/>
          </w:tcPr>
          <w:p w14:paraId="3E527BD8">
            <w:pPr>
              <w:spacing w:line="240" w:lineRule="auto"/>
              <w:jc w:val="left"/>
              <w:rPr>
                <w:rFonts w:hint="eastAsia" w:cs="宋体"/>
                <w:color w:val="000000"/>
              </w:rPr>
            </w:pPr>
          </w:p>
        </w:tc>
        <w:tc>
          <w:tcPr>
            <w:tcW w:w="453" w:type="pct"/>
            <w:vMerge w:val="continue"/>
            <w:tcBorders>
              <w:tl2br w:val="nil"/>
              <w:tr2bl w:val="nil"/>
            </w:tcBorders>
            <w:vAlign w:val="center"/>
          </w:tcPr>
          <w:p w14:paraId="6AFBA273">
            <w:pPr>
              <w:spacing w:line="240" w:lineRule="auto"/>
              <w:jc w:val="left"/>
              <w:rPr>
                <w:rFonts w:hint="eastAsia" w:cs="宋体"/>
                <w:color w:val="000000"/>
              </w:rPr>
            </w:pPr>
          </w:p>
        </w:tc>
        <w:tc>
          <w:tcPr>
            <w:tcW w:w="429" w:type="pct"/>
            <w:tcBorders>
              <w:tl2br w:val="nil"/>
              <w:tr2bl w:val="nil"/>
            </w:tcBorders>
            <w:vAlign w:val="center"/>
          </w:tcPr>
          <w:p w14:paraId="5C33E394">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企业应急逃生演练</w:t>
            </w:r>
          </w:p>
        </w:tc>
        <w:tc>
          <w:tcPr>
            <w:tcW w:w="3289" w:type="pct"/>
            <w:tcBorders>
              <w:tl2br w:val="nil"/>
              <w:tr2bl w:val="nil"/>
            </w:tcBorders>
            <w:vAlign w:val="center"/>
          </w:tcPr>
          <w:p w14:paraId="63FD48E1">
            <w:pPr>
              <w:widowControl/>
              <w:spacing w:line="240" w:lineRule="auto"/>
              <w:ind w:firstLine="0" w:firstLineChars="0"/>
              <w:textAlignment w:val="center"/>
              <w:rPr>
                <w:rFonts w:hint="eastAsia" w:cs="宋体"/>
                <w:color w:val="000000"/>
              </w:rPr>
            </w:pPr>
            <w:r>
              <w:rPr>
                <w:rFonts w:hint="eastAsia" w:cs="宋体"/>
                <w:color w:val="000000"/>
                <w:kern w:val="0"/>
                <w:lang w:bidi="ar"/>
              </w:rPr>
              <w:t>1、新增企业应急逃生演练；2、企业应急逃生演练管理；3、企业应急逃生演练查询统计</w:t>
            </w:r>
          </w:p>
        </w:tc>
      </w:tr>
      <w:tr w14:paraId="5D792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74CD423A">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98</w:t>
            </w:r>
          </w:p>
        </w:tc>
        <w:tc>
          <w:tcPr>
            <w:tcW w:w="447" w:type="pct"/>
            <w:vMerge w:val="continue"/>
            <w:tcBorders>
              <w:tl2br w:val="nil"/>
              <w:tr2bl w:val="nil"/>
            </w:tcBorders>
            <w:vAlign w:val="center"/>
          </w:tcPr>
          <w:p w14:paraId="13853D29">
            <w:pPr>
              <w:spacing w:line="240" w:lineRule="auto"/>
              <w:jc w:val="left"/>
              <w:rPr>
                <w:rFonts w:hint="eastAsia" w:cs="宋体"/>
                <w:color w:val="000000"/>
              </w:rPr>
            </w:pPr>
          </w:p>
        </w:tc>
        <w:tc>
          <w:tcPr>
            <w:tcW w:w="453" w:type="pct"/>
            <w:vMerge w:val="continue"/>
            <w:tcBorders>
              <w:tl2br w:val="nil"/>
              <w:tr2bl w:val="nil"/>
            </w:tcBorders>
            <w:vAlign w:val="center"/>
          </w:tcPr>
          <w:p w14:paraId="76D01CBC">
            <w:pPr>
              <w:spacing w:line="240" w:lineRule="auto"/>
              <w:jc w:val="left"/>
              <w:rPr>
                <w:rFonts w:hint="eastAsia" w:cs="宋体"/>
                <w:color w:val="000000"/>
              </w:rPr>
            </w:pPr>
          </w:p>
        </w:tc>
        <w:tc>
          <w:tcPr>
            <w:tcW w:w="429" w:type="pct"/>
            <w:tcBorders>
              <w:tl2br w:val="nil"/>
              <w:tr2bl w:val="nil"/>
            </w:tcBorders>
            <w:vAlign w:val="center"/>
          </w:tcPr>
          <w:p w14:paraId="5D14B45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应急救援队伍建设</w:t>
            </w:r>
          </w:p>
        </w:tc>
        <w:tc>
          <w:tcPr>
            <w:tcW w:w="3289" w:type="pct"/>
            <w:tcBorders>
              <w:tl2br w:val="nil"/>
              <w:tr2bl w:val="nil"/>
            </w:tcBorders>
            <w:vAlign w:val="center"/>
          </w:tcPr>
          <w:p w14:paraId="68CBE252">
            <w:pPr>
              <w:widowControl/>
              <w:spacing w:line="240" w:lineRule="auto"/>
              <w:ind w:firstLine="0" w:firstLineChars="0"/>
              <w:textAlignment w:val="center"/>
              <w:rPr>
                <w:rFonts w:hint="eastAsia" w:cs="宋体"/>
                <w:color w:val="000000"/>
              </w:rPr>
            </w:pPr>
            <w:r>
              <w:rPr>
                <w:rFonts w:hint="eastAsia" w:cs="宋体"/>
                <w:color w:val="000000"/>
                <w:kern w:val="0"/>
                <w:lang w:bidi="ar"/>
              </w:rPr>
              <w:t>1、新增应急救援队伍建设；2、应急救援队伍建设管理；3、应急救援队伍建设查询统计</w:t>
            </w:r>
          </w:p>
        </w:tc>
      </w:tr>
      <w:tr w14:paraId="063FA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4EFDCEAB">
            <w:pPr>
              <w:widowControl/>
              <w:spacing w:line="240" w:lineRule="auto"/>
              <w:ind w:firstLine="0" w:firstLineChars="0"/>
              <w:jc w:val="center"/>
              <w:textAlignment w:val="center"/>
              <w:rPr>
                <w:rFonts w:hint="eastAsia" w:cs="宋体"/>
                <w:color w:val="000000"/>
                <w:kern w:val="0"/>
                <w:lang w:bidi="ar"/>
              </w:rPr>
            </w:pPr>
            <w:r>
              <w:rPr>
                <w:rFonts w:hint="eastAsia" w:cs="宋体"/>
                <w:color w:val="000000"/>
                <w:kern w:val="0"/>
                <w:lang w:bidi="ar"/>
              </w:rPr>
              <w:t>99</w:t>
            </w:r>
          </w:p>
        </w:tc>
        <w:tc>
          <w:tcPr>
            <w:tcW w:w="447" w:type="pct"/>
            <w:vMerge w:val="continue"/>
            <w:tcBorders>
              <w:tl2br w:val="nil"/>
              <w:tr2bl w:val="nil"/>
            </w:tcBorders>
            <w:vAlign w:val="center"/>
          </w:tcPr>
          <w:p w14:paraId="36EF8810">
            <w:pPr>
              <w:spacing w:line="240" w:lineRule="auto"/>
              <w:jc w:val="left"/>
              <w:rPr>
                <w:rFonts w:hint="eastAsia" w:cs="宋体"/>
                <w:color w:val="000000"/>
              </w:rPr>
            </w:pPr>
          </w:p>
        </w:tc>
        <w:tc>
          <w:tcPr>
            <w:tcW w:w="453" w:type="pct"/>
            <w:vMerge w:val="continue"/>
            <w:tcBorders>
              <w:tl2br w:val="nil"/>
              <w:tr2bl w:val="nil"/>
            </w:tcBorders>
            <w:vAlign w:val="center"/>
          </w:tcPr>
          <w:p w14:paraId="297F6965">
            <w:pPr>
              <w:spacing w:line="240" w:lineRule="auto"/>
              <w:jc w:val="left"/>
              <w:rPr>
                <w:rFonts w:hint="eastAsia" w:cs="宋体"/>
                <w:color w:val="000000"/>
              </w:rPr>
            </w:pPr>
          </w:p>
        </w:tc>
        <w:tc>
          <w:tcPr>
            <w:tcW w:w="429" w:type="pct"/>
            <w:tcBorders>
              <w:tl2br w:val="nil"/>
              <w:tr2bl w:val="nil"/>
            </w:tcBorders>
            <w:vAlign w:val="center"/>
          </w:tcPr>
          <w:p w14:paraId="65AABEA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安全生产标准化管理体系</w:t>
            </w:r>
          </w:p>
        </w:tc>
        <w:tc>
          <w:tcPr>
            <w:tcW w:w="3289" w:type="pct"/>
            <w:tcBorders>
              <w:tl2br w:val="nil"/>
              <w:tr2bl w:val="nil"/>
            </w:tcBorders>
            <w:vAlign w:val="center"/>
          </w:tcPr>
          <w:p w14:paraId="7147D480">
            <w:pPr>
              <w:widowControl/>
              <w:spacing w:line="240" w:lineRule="auto"/>
              <w:ind w:firstLine="0" w:firstLineChars="0"/>
              <w:textAlignment w:val="center"/>
              <w:rPr>
                <w:rFonts w:hint="eastAsia" w:cs="宋体"/>
                <w:color w:val="000000"/>
              </w:rPr>
            </w:pPr>
            <w:r>
              <w:rPr>
                <w:rFonts w:hint="eastAsia" w:cs="宋体"/>
                <w:color w:val="000000"/>
                <w:kern w:val="0"/>
                <w:lang w:bidi="ar"/>
              </w:rPr>
              <w:t>1、新增安全生产标准化管理体系；2、安全生产标准化管理体系管理；3、安全生产标准化管理体系查询统计</w:t>
            </w:r>
          </w:p>
        </w:tc>
      </w:tr>
      <w:tr w14:paraId="134C2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194E1549">
            <w:pPr>
              <w:widowControl/>
              <w:spacing w:line="240" w:lineRule="auto"/>
              <w:ind w:firstLine="0" w:firstLineChars="0"/>
              <w:jc w:val="left"/>
              <w:textAlignment w:val="center"/>
              <w:rPr>
                <w:rFonts w:hint="eastAsia" w:cs="宋体"/>
                <w:color w:val="000000"/>
                <w:kern w:val="0"/>
                <w:lang w:bidi="ar"/>
              </w:rPr>
            </w:pPr>
            <w:r>
              <w:rPr>
                <w:rFonts w:hint="eastAsia" w:cs="宋体"/>
                <w:color w:val="000000"/>
                <w:kern w:val="0"/>
                <w:lang w:bidi="ar"/>
              </w:rPr>
              <w:t>100</w:t>
            </w:r>
          </w:p>
        </w:tc>
        <w:tc>
          <w:tcPr>
            <w:tcW w:w="447" w:type="pct"/>
            <w:vMerge w:val="continue"/>
            <w:tcBorders>
              <w:tl2br w:val="nil"/>
              <w:tr2bl w:val="nil"/>
            </w:tcBorders>
            <w:vAlign w:val="center"/>
          </w:tcPr>
          <w:p w14:paraId="2CEC4116">
            <w:pPr>
              <w:spacing w:line="240" w:lineRule="auto"/>
              <w:jc w:val="left"/>
              <w:rPr>
                <w:rFonts w:hint="eastAsia" w:cs="宋体"/>
                <w:color w:val="000000"/>
              </w:rPr>
            </w:pPr>
          </w:p>
        </w:tc>
        <w:tc>
          <w:tcPr>
            <w:tcW w:w="453" w:type="pct"/>
            <w:vMerge w:val="continue"/>
            <w:tcBorders>
              <w:tl2br w:val="nil"/>
              <w:tr2bl w:val="nil"/>
            </w:tcBorders>
            <w:vAlign w:val="center"/>
          </w:tcPr>
          <w:p w14:paraId="1FA0524D">
            <w:pPr>
              <w:spacing w:line="240" w:lineRule="auto"/>
              <w:jc w:val="left"/>
              <w:rPr>
                <w:rFonts w:hint="eastAsia" w:cs="宋体"/>
                <w:color w:val="000000"/>
              </w:rPr>
            </w:pPr>
          </w:p>
        </w:tc>
        <w:tc>
          <w:tcPr>
            <w:tcW w:w="429" w:type="pct"/>
            <w:tcBorders>
              <w:tl2br w:val="nil"/>
              <w:tr2bl w:val="nil"/>
            </w:tcBorders>
            <w:vAlign w:val="center"/>
          </w:tcPr>
          <w:p w14:paraId="7EBE733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开展安全生产宣传</w:t>
            </w:r>
          </w:p>
        </w:tc>
        <w:tc>
          <w:tcPr>
            <w:tcW w:w="3289" w:type="pct"/>
            <w:tcBorders>
              <w:tl2br w:val="nil"/>
              <w:tr2bl w:val="nil"/>
            </w:tcBorders>
            <w:vAlign w:val="center"/>
          </w:tcPr>
          <w:p w14:paraId="5346AAF7">
            <w:pPr>
              <w:widowControl/>
              <w:spacing w:line="240" w:lineRule="auto"/>
              <w:ind w:firstLine="0" w:firstLineChars="0"/>
              <w:textAlignment w:val="center"/>
              <w:rPr>
                <w:rFonts w:hint="eastAsia" w:cs="宋体"/>
                <w:color w:val="000000"/>
              </w:rPr>
            </w:pPr>
            <w:r>
              <w:rPr>
                <w:rFonts w:hint="eastAsia" w:cs="宋体"/>
                <w:color w:val="000000"/>
                <w:kern w:val="0"/>
                <w:lang w:bidi="ar"/>
              </w:rPr>
              <w:t>1、新增开展安全生产宣传；2、开展安全生产宣传管理；3、开展安全生产宣传查询统计</w:t>
            </w:r>
          </w:p>
        </w:tc>
      </w:tr>
      <w:tr w14:paraId="49DE5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765C0FE7">
            <w:pPr>
              <w:widowControl/>
              <w:spacing w:line="240" w:lineRule="auto"/>
              <w:ind w:firstLine="0" w:firstLineChars="0"/>
              <w:jc w:val="left"/>
              <w:textAlignment w:val="center"/>
              <w:rPr>
                <w:rFonts w:hint="eastAsia" w:cs="宋体"/>
                <w:color w:val="000000"/>
                <w:kern w:val="0"/>
                <w:lang w:bidi="ar"/>
              </w:rPr>
            </w:pPr>
            <w:r>
              <w:rPr>
                <w:rFonts w:hint="eastAsia" w:cs="宋体"/>
                <w:color w:val="000000"/>
                <w:kern w:val="0"/>
                <w:lang w:bidi="ar"/>
              </w:rPr>
              <w:t>101</w:t>
            </w:r>
          </w:p>
        </w:tc>
        <w:tc>
          <w:tcPr>
            <w:tcW w:w="447" w:type="pct"/>
            <w:vMerge w:val="continue"/>
            <w:tcBorders>
              <w:tl2br w:val="nil"/>
              <w:tr2bl w:val="nil"/>
            </w:tcBorders>
            <w:vAlign w:val="center"/>
          </w:tcPr>
          <w:p w14:paraId="6E11DC94">
            <w:pPr>
              <w:spacing w:line="240" w:lineRule="auto"/>
              <w:jc w:val="left"/>
              <w:rPr>
                <w:rFonts w:hint="eastAsia" w:cs="宋体"/>
                <w:color w:val="000000"/>
              </w:rPr>
            </w:pPr>
          </w:p>
        </w:tc>
        <w:tc>
          <w:tcPr>
            <w:tcW w:w="453" w:type="pct"/>
            <w:vMerge w:val="continue"/>
            <w:tcBorders>
              <w:tl2br w:val="nil"/>
              <w:tr2bl w:val="nil"/>
            </w:tcBorders>
            <w:vAlign w:val="center"/>
          </w:tcPr>
          <w:p w14:paraId="2ACA6976">
            <w:pPr>
              <w:spacing w:line="240" w:lineRule="auto"/>
              <w:jc w:val="left"/>
              <w:rPr>
                <w:rFonts w:hint="eastAsia" w:cs="宋体"/>
                <w:color w:val="000000"/>
              </w:rPr>
            </w:pPr>
          </w:p>
        </w:tc>
        <w:tc>
          <w:tcPr>
            <w:tcW w:w="429" w:type="pct"/>
            <w:tcBorders>
              <w:tl2br w:val="nil"/>
              <w:tr2bl w:val="nil"/>
            </w:tcBorders>
            <w:vAlign w:val="center"/>
          </w:tcPr>
          <w:p w14:paraId="7F75574B">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安全生产治本攻坚投入情况</w:t>
            </w:r>
          </w:p>
        </w:tc>
        <w:tc>
          <w:tcPr>
            <w:tcW w:w="3289" w:type="pct"/>
            <w:tcBorders>
              <w:tl2br w:val="nil"/>
              <w:tr2bl w:val="nil"/>
            </w:tcBorders>
            <w:vAlign w:val="center"/>
          </w:tcPr>
          <w:p w14:paraId="14CB01D5">
            <w:pPr>
              <w:widowControl/>
              <w:spacing w:line="240" w:lineRule="auto"/>
              <w:ind w:firstLine="0" w:firstLineChars="0"/>
              <w:textAlignment w:val="center"/>
              <w:rPr>
                <w:rFonts w:hint="eastAsia" w:cs="宋体"/>
                <w:color w:val="000000"/>
              </w:rPr>
            </w:pPr>
            <w:r>
              <w:rPr>
                <w:rFonts w:hint="eastAsia" w:cs="宋体"/>
                <w:color w:val="000000"/>
                <w:kern w:val="0"/>
                <w:lang w:bidi="ar"/>
              </w:rPr>
              <w:t>1、新增安全生产治本攻坚投入情况；2、安全生产治本攻坚投入情况管理；3、安全生产治本攻坚投入情况查询统计</w:t>
            </w:r>
          </w:p>
        </w:tc>
      </w:tr>
      <w:tr w14:paraId="48993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14CC1651">
            <w:pPr>
              <w:widowControl/>
              <w:spacing w:line="240" w:lineRule="auto"/>
              <w:ind w:firstLine="0" w:firstLineChars="0"/>
              <w:jc w:val="left"/>
              <w:textAlignment w:val="center"/>
              <w:rPr>
                <w:rFonts w:hint="eastAsia" w:cs="宋体"/>
                <w:color w:val="000000"/>
                <w:kern w:val="0"/>
                <w:lang w:bidi="ar"/>
              </w:rPr>
            </w:pPr>
            <w:r>
              <w:rPr>
                <w:rFonts w:hint="eastAsia" w:cs="宋体"/>
                <w:color w:val="000000"/>
                <w:kern w:val="0"/>
                <w:lang w:bidi="ar"/>
              </w:rPr>
              <w:t>102</w:t>
            </w:r>
          </w:p>
        </w:tc>
        <w:tc>
          <w:tcPr>
            <w:tcW w:w="447" w:type="pct"/>
            <w:vMerge w:val="continue"/>
            <w:tcBorders>
              <w:tl2br w:val="nil"/>
              <w:tr2bl w:val="nil"/>
            </w:tcBorders>
            <w:vAlign w:val="center"/>
          </w:tcPr>
          <w:p w14:paraId="37413932">
            <w:pPr>
              <w:spacing w:line="240" w:lineRule="auto"/>
              <w:jc w:val="left"/>
              <w:rPr>
                <w:rFonts w:hint="eastAsia" w:cs="宋体"/>
                <w:color w:val="000000"/>
              </w:rPr>
            </w:pPr>
          </w:p>
        </w:tc>
        <w:tc>
          <w:tcPr>
            <w:tcW w:w="453" w:type="pct"/>
            <w:vMerge w:val="continue"/>
            <w:tcBorders>
              <w:tl2br w:val="nil"/>
              <w:tr2bl w:val="nil"/>
            </w:tcBorders>
            <w:vAlign w:val="center"/>
          </w:tcPr>
          <w:p w14:paraId="3975C9D7">
            <w:pPr>
              <w:spacing w:line="240" w:lineRule="auto"/>
              <w:jc w:val="left"/>
              <w:rPr>
                <w:rFonts w:hint="eastAsia" w:cs="宋体"/>
                <w:color w:val="000000"/>
              </w:rPr>
            </w:pPr>
          </w:p>
        </w:tc>
        <w:tc>
          <w:tcPr>
            <w:tcW w:w="429" w:type="pct"/>
            <w:tcBorders>
              <w:tl2br w:val="nil"/>
              <w:tr2bl w:val="nil"/>
            </w:tcBorders>
            <w:vAlign w:val="center"/>
          </w:tcPr>
          <w:p w14:paraId="0D5BAD4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隐患内部报告奖励机制建设</w:t>
            </w:r>
          </w:p>
        </w:tc>
        <w:tc>
          <w:tcPr>
            <w:tcW w:w="3289" w:type="pct"/>
            <w:tcBorders>
              <w:tl2br w:val="nil"/>
              <w:tr2bl w:val="nil"/>
            </w:tcBorders>
            <w:vAlign w:val="center"/>
          </w:tcPr>
          <w:p w14:paraId="341D882E">
            <w:pPr>
              <w:widowControl/>
              <w:spacing w:line="240" w:lineRule="auto"/>
              <w:ind w:firstLine="0" w:firstLineChars="0"/>
              <w:textAlignment w:val="center"/>
              <w:rPr>
                <w:rFonts w:hint="eastAsia" w:cs="宋体"/>
                <w:color w:val="000000"/>
              </w:rPr>
            </w:pPr>
            <w:r>
              <w:rPr>
                <w:rFonts w:hint="eastAsia" w:cs="宋体"/>
                <w:color w:val="000000"/>
                <w:kern w:val="0"/>
                <w:lang w:bidi="ar"/>
              </w:rPr>
              <w:t>1、新增隐患内部报告奖励机制建设；2、隐患内部报告奖励机制建设管理；3、隐患内部报告奖励机制建设查询统计</w:t>
            </w:r>
          </w:p>
        </w:tc>
      </w:tr>
      <w:tr w14:paraId="7DFAE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7A67DB7D">
            <w:pPr>
              <w:widowControl/>
              <w:spacing w:line="240" w:lineRule="auto"/>
              <w:ind w:firstLine="0" w:firstLineChars="0"/>
              <w:jc w:val="left"/>
              <w:textAlignment w:val="center"/>
              <w:rPr>
                <w:rFonts w:hint="eastAsia" w:cs="宋体"/>
                <w:color w:val="000000"/>
                <w:kern w:val="0"/>
                <w:lang w:bidi="ar"/>
              </w:rPr>
            </w:pPr>
            <w:r>
              <w:rPr>
                <w:rFonts w:hint="eastAsia" w:cs="宋体"/>
                <w:color w:val="000000"/>
                <w:kern w:val="0"/>
                <w:lang w:bidi="ar"/>
              </w:rPr>
              <w:t>103</w:t>
            </w:r>
          </w:p>
        </w:tc>
        <w:tc>
          <w:tcPr>
            <w:tcW w:w="447" w:type="pct"/>
            <w:vMerge w:val="continue"/>
            <w:tcBorders>
              <w:tl2br w:val="nil"/>
              <w:tr2bl w:val="nil"/>
            </w:tcBorders>
            <w:vAlign w:val="center"/>
          </w:tcPr>
          <w:p w14:paraId="7ADA7C0C">
            <w:pPr>
              <w:spacing w:line="240" w:lineRule="auto"/>
              <w:jc w:val="left"/>
              <w:rPr>
                <w:rFonts w:hint="eastAsia" w:cs="宋体"/>
                <w:color w:val="000000"/>
              </w:rPr>
            </w:pPr>
          </w:p>
        </w:tc>
        <w:tc>
          <w:tcPr>
            <w:tcW w:w="453" w:type="pct"/>
            <w:vMerge w:val="continue"/>
            <w:tcBorders>
              <w:tl2br w:val="nil"/>
              <w:tr2bl w:val="nil"/>
            </w:tcBorders>
            <w:vAlign w:val="center"/>
          </w:tcPr>
          <w:p w14:paraId="5ADA850F">
            <w:pPr>
              <w:spacing w:line="240" w:lineRule="auto"/>
              <w:jc w:val="left"/>
              <w:rPr>
                <w:rFonts w:hint="eastAsia" w:cs="宋体"/>
                <w:color w:val="000000"/>
              </w:rPr>
            </w:pPr>
          </w:p>
        </w:tc>
        <w:tc>
          <w:tcPr>
            <w:tcW w:w="429" w:type="pct"/>
            <w:tcBorders>
              <w:tl2br w:val="nil"/>
              <w:tr2bl w:val="nil"/>
            </w:tcBorders>
            <w:vAlign w:val="center"/>
          </w:tcPr>
          <w:p w14:paraId="7D9A35C1">
            <w:pPr>
              <w:widowControl/>
              <w:spacing w:line="240" w:lineRule="auto"/>
              <w:jc w:val="center"/>
              <w:textAlignment w:val="center"/>
              <w:rPr>
                <w:rFonts w:hint="eastAsia" w:cs="宋体"/>
                <w:color w:val="000000"/>
              </w:rPr>
            </w:pPr>
            <w:r>
              <w:rPr>
                <w:rFonts w:hint="eastAsia" w:cs="宋体"/>
                <w:color w:val="000000"/>
                <w:kern w:val="0"/>
                <w:lang w:bidi="ar"/>
              </w:rPr>
              <w:t>工贸行业用电、动火等高风险作业专项治理行动</w:t>
            </w:r>
          </w:p>
        </w:tc>
        <w:tc>
          <w:tcPr>
            <w:tcW w:w="3289" w:type="pct"/>
            <w:tcBorders>
              <w:tl2br w:val="nil"/>
              <w:tr2bl w:val="nil"/>
            </w:tcBorders>
            <w:vAlign w:val="center"/>
          </w:tcPr>
          <w:p w14:paraId="7E7186BA">
            <w:pPr>
              <w:widowControl/>
              <w:spacing w:line="240" w:lineRule="auto"/>
              <w:ind w:firstLine="0" w:firstLineChars="0"/>
              <w:textAlignment w:val="center"/>
              <w:rPr>
                <w:rFonts w:hint="eastAsia" w:cs="宋体"/>
                <w:color w:val="000000"/>
              </w:rPr>
            </w:pPr>
            <w:r>
              <w:rPr>
                <w:rFonts w:hint="eastAsia" w:cs="宋体"/>
                <w:color w:val="000000"/>
                <w:kern w:val="0"/>
                <w:lang w:bidi="ar"/>
              </w:rPr>
              <w:t>1、新增工贸行业用电、动火等高风险作业专项治理行动；2、工贸行业用电、动火等高风险作业专项治理行动管理</w:t>
            </w:r>
          </w:p>
        </w:tc>
      </w:tr>
      <w:tr w14:paraId="59C7D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 w:hRule="atLeast"/>
        </w:trPr>
        <w:tc>
          <w:tcPr>
            <w:tcW w:w="381" w:type="pct"/>
            <w:tcBorders>
              <w:tl2br w:val="nil"/>
              <w:tr2bl w:val="nil"/>
            </w:tcBorders>
            <w:vAlign w:val="center"/>
          </w:tcPr>
          <w:p w14:paraId="6E0E4C15">
            <w:pPr>
              <w:widowControl/>
              <w:spacing w:line="240" w:lineRule="auto"/>
              <w:ind w:firstLine="0" w:firstLineChars="0"/>
              <w:jc w:val="left"/>
              <w:textAlignment w:val="center"/>
              <w:rPr>
                <w:rFonts w:hint="eastAsia" w:cs="宋体"/>
                <w:color w:val="000000"/>
                <w:kern w:val="0"/>
                <w:lang w:bidi="ar"/>
              </w:rPr>
            </w:pPr>
            <w:r>
              <w:rPr>
                <w:rFonts w:hint="eastAsia" w:cs="宋体"/>
                <w:color w:val="000000"/>
                <w:kern w:val="0"/>
                <w:lang w:bidi="ar"/>
              </w:rPr>
              <w:t>104</w:t>
            </w:r>
          </w:p>
        </w:tc>
        <w:tc>
          <w:tcPr>
            <w:tcW w:w="447" w:type="pct"/>
            <w:vMerge w:val="continue"/>
            <w:tcBorders>
              <w:tl2br w:val="nil"/>
              <w:tr2bl w:val="nil"/>
            </w:tcBorders>
            <w:vAlign w:val="center"/>
          </w:tcPr>
          <w:p w14:paraId="04EEDC5A">
            <w:pPr>
              <w:spacing w:line="240" w:lineRule="auto"/>
              <w:jc w:val="left"/>
              <w:rPr>
                <w:rFonts w:hint="eastAsia" w:cs="宋体"/>
                <w:color w:val="000000"/>
              </w:rPr>
            </w:pPr>
          </w:p>
        </w:tc>
        <w:tc>
          <w:tcPr>
            <w:tcW w:w="453" w:type="pct"/>
            <w:vMerge w:val="restart"/>
            <w:tcBorders>
              <w:tl2br w:val="nil"/>
              <w:tr2bl w:val="nil"/>
            </w:tcBorders>
            <w:vAlign w:val="center"/>
          </w:tcPr>
          <w:p w14:paraId="08BE27EA">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九小场所</w:t>
            </w:r>
          </w:p>
        </w:tc>
        <w:tc>
          <w:tcPr>
            <w:tcW w:w="429" w:type="pct"/>
            <w:tcBorders>
              <w:tl2br w:val="nil"/>
              <w:tr2bl w:val="nil"/>
            </w:tcBorders>
            <w:vAlign w:val="center"/>
          </w:tcPr>
          <w:p w14:paraId="6DDFBB90">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日常管理</w:t>
            </w:r>
          </w:p>
        </w:tc>
        <w:tc>
          <w:tcPr>
            <w:tcW w:w="3289" w:type="pct"/>
            <w:tcBorders>
              <w:tl2br w:val="nil"/>
              <w:tr2bl w:val="nil"/>
            </w:tcBorders>
            <w:vAlign w:val="center"/>
          </w:tcPr>
          <w:p w14:paraId="2090B9E8">
            <w:pPr>
              <w:widowControl/>
              <w:spacing w:line="240" w:lineRule="auto"/>
              <w:ind w:firstLine="0" w:firstLineChars="0"/>
              <w:textAlignment w:val="center"/>
              <w:rPr>
                <w:rFonts w:hint="eastAsia" w:cs="宋体"/>
                <w:color w:val="000000"/>
              </w:rPr>
            </w:pPr>
            <w:r>
              <w:rPr>
                <w:rFonts w:hint="eastAsia" w:cs="宋体"/>
                <w:color w:val="000000"/>
                <w:kern w:val="0"/>
                <w:lang w:bidi="ar"/>
              </w:rPr>
              <w:t>实现企业注册、审核入库、账号分配、短信通知、企业登录等日常 管理功能。</w:t>
            </w:r>
          </w:p>
        </w:tc>
      </w:tr>
      <w:tr w14:paraId="6BBB1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1FC95549">
            <w:pPr>
              <w:widowControl/>
              <w:spacing w:line="240" w:lineRule="auto"/>
              <w:ind w:firstLine="0" w:firstLineChars="0"/>
              <w:jc w:val="left"/>
              <w:textAlignment w:val="center"/>
              <w:rPr>
                <w:rFonts w:hint="eastAsia" w:cs="宋体"/>
                <w:color w:val="000000"/>
                <w:kern w:val="0"/>
                <w:lang w:bidi="ar"/>
              </w:rPr>
            </w:pPr>
            <w:r>
              <w:rPr>
                <w:rFonts w:hint="eastAsia" w:cs="宋体"/>
                <w:color w:val="000000"/>
                <w:kern w:val="0"/>
                <w:lang w:bidi="ar"/>
              </w:rPr>
              <w:t>105</w:t>
            </w:r>
          </w:p>
        </w:tc>
        <w:tc>
          <w:tcPr>
            <w:tcW w:w="447" w:type="pct"/>
            <w:vMerge w:val="continue"/>
            <w:tcBorders>
              <w:tl2br w:val="nil"/>
              <w:tr2bl w:val="nil"/>
            </w:tcBorders>
            <w:vAlign w:val="center"/>
          </w:tcPr>
          <w:p w14:paraId="62DF0969">
            <w:pPr>
              <w:spacing w:line="240" w:lineRule="auto"/>
              <w:jc w:val="left"/>
              <w:rPr>
                <w:rFonts w:hint="eastAsia" w:cs="宋体"/>
                <w:color w:val="000000"/>
              </w:rPr>
            </w:pPr>
          </w:p>
        </w:tc>
        <w:tc>
          <w:tcPr>
            <w:tcW w:w="453" w:type="pct"/>
            <w:vMerge w:val="continue"/>
            <w:tcBorders>
              <w:tl2br w:val="nil"/>
              <w:tr2bl w:val="nil"/>
            </w:tcBorders>
            <w:vAlign w:val="center"/>
          </w:tcPr>
          <w:p w14:paraId="6719439D">
            <w:pPr>
              <w:spacing w:line="240" w:lineRule="auto"/>
              <w:jc w:val="left"/>
              <w:rPr>
                <w:rFonts w:hint="eastAsia" w:cs="宋体"/>
                <w:color w:val="000000"/>
              </w:rPr>
            </w:pPr>
          </w:p>
        </w:tc>
        <w:tc>
          <w:tcPr>
            <w:tcW w:w="429" w:type="pct"/>
            <w:tcBorders>
              <w:tl2br w:val="nil"/>
              <w:tr2bl w:val="nil"/>
            </w:tcBorders>
            <w:vAlign w:val="center"/>
          </w:tcPr>
          <w:p w14:paraId="76D843CB">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基本信息</w:t>
            </w:r>
          </w:p>
        </w:tc>
        <w:tc>
          <w:tcPr>
            <w:tcW w:w="3289" w:type="pct"/>
            <w:tcBorders>
              <w:tl2br w:val="nil"/>
              <w:tr2bl w:val="nil"/>
            </w:tcBorders>
            <w:vAlign w:val="center"/>
          </w:tcPr>
          <w:p w14:paraId="37CD2597">
            <w:pPr>
              <w:widowControl/>
              <w:spacing w:line="240" w:lineRule="auto"/>
              <w:ind w:firstLine="0" w:firstLineChars="0"/>
              <w:textAlignment w:val="center"/>
              <w:rPr>
                <w:rFonts w:hint="eastAsia" w:cs="宋体"/>
                <w:color w:val="000000"/>
              </w:rPr>
            </w:pPr>
            <w:r>
              <w:rPr>
                <w:rFonts w:hint="eastAsia" w:cs="宋体"/>
                <w:color w:val="000000"/>
                <w:kern w:val="0"/>
                <w:lang w:bidi="ar"/>
              </w:rPr>
              <w:t>企业可对其基本信息进行维护，如名称、地址、联系人等。对超期、不符合项的预警通过发送短信提醒。综合展示九小场所企业列表信息，可根据企业名称，地址等进行模糊查询。</w:t>
            </w:r>
          </w:p>
        </w:tc>
      </w:tr>
      <w:tr w14:paraId="6CB85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5F7D757D">
            <w:pPr>
              <w:widowControl/>
              <w:spacing w:line="240" w:lineRule="auto"/>
              <w:ind w:firstLine="0" w:firstLineChars="0"/>
              <w:jc w:val="left"/>
              <w:textAlignment w:val="center"/>
              <w:rPr>
                <w:rFonts w:hint="eastAsia" w:cs="宋体"/>
                <w:color w:val="000000"/>
                <w:kern w:val="0"/>
                <w:lang w:bidi="ar"/>
              </w:rPr>
            </w:pPr>
            <w:r>
              <w:rPr>
                <w:rFonts w:hint="eastAsia" w:cs="宋体"/>
                <w:color w:val="000000"/>
                <w:kern w:val="0"/>
                <w:lang w:bidi="ar"/>
              </w:rPr>
              <w:t>106</w:t>
            </w:r>
          </w:p>
        </w:tc>
        <w:tc>
          <w:tcPr>
            <w:tcW w:w="447" w:type="pct"/>
            <w:vMerge w:val="continue"/>
            <w:tcBorders>
              <w:tl2br w:val="nil"/>
              <w:tr2bl w:val="nil"/>
            </w:tcBorders>
            <w:vAlign w:val="center"/>
          </w:tcPr>
          <w:p w14:paraId="01D457C9">
            <w:pPr>
              <w:spacing w:line="240" w:lineRule="auto"/>
              <w:jc w:val="left"/>
              <w:rPr>
                <w:rFonts w:hint="eastAsia" w:cs="宋体"/>
                <w:color w:val="000000"/>
              </w:rPr>
            </w:pPr>
          </w:p>
        </w:tc>
        <w:tc>
          <w:tcPr>
            <w:tcW w:w="453" w:type="pct"/>
            <w:vMerge w:val="continue"/>
            <w:tcBorders>
              <w:tl2br w:val="nil"/>
              <w:tr2bl w:val="nil"/>
            </w:tcBorders>
            <w:vAlign w:val="center"/>
          </w:tcPr>
          <w:p w14:paraId="5F16B917">
            <w:pPr>
              <w:spacing w:line="240" w:lineRule="auto"/>
              <w:jc w:val="left"/>
              <w:rPr>
                <w:rFonts w:hint="eastAsia" w:cs="宋体"/>
                <w:color w:val="000000"/>
              </w:rPr>
            </w:pPr>
          </w:p>
        </w:tc>
        <w:tc>
          <w:tcPr>
            <w:tcW w:w="429" w:type="pct"/>
            <w:tcBorders>
              <w:tl2br w:val="nil"/>
              <w:tr2bl w:val="nil"/>
            </w:tcBorders>
            <w:vAlign w:val="center"/>
          </w:tcPr>
          <w:p w14:paraId="48773EA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风险点管控</w:t>
            </w:r>
          </w:p>
        </w:tc>
        <w:tc>
          <w:tcPr>
            <w:tcW w:w="3289" w:type="pct"/>
            <w:tcBorders>
              <w:tl2br w:val="nil"/>
              <w:tr2bl w:val="nil"/>
            </w:tcBorders>
            <w:vAlign w:val="center"/>
          </w:tcPr>
          <w:p w14:paraId="72809C1B">
            <w:pPr>
              <w:widowControl/>
              <w:spacing w:line="240" w:lineRule="auto"/>
              <w:ind w:firstLine="0" w:firstLineChars="0"/>
              <w:textAlignment w:val="center"/>
              <w:rPr>
                <w:rFonts w:hint="eastAsia" w:cs="宋体"/>
                <w:color w:val="000000"/>
              </w:rPr>
            </w:pPr>
            <w:r>
              <w:rPr>
                <w:rFonts w:hint="eastAsia" w:cs="宋体"/>
                <w:color w:val="000000"/>
                <w:kern w:val="0"/>
                <w:lang w:bidi="ar"/>
              </w:rPr>
              <w:t>1、模板制定：企业根据自身类型，制定相应的排查模板，可自定义排查。</w:t>
            </w:r>
            <w:r>
              <w:rPr>
                <w:rFonts w:hint="eastAsia" w:cs="宋体"/>
                <w:color w:val="000000"/>
                <w:kern w:val="0"/>
                <w:lang w:bidi="ar"/>
              </w:rPr>
              <w:br w:type="textWrapping"/>
            </w:r>
            <w:r>
              <w:rPr>
                <w:rFonts w:hint="eastAsia" w:cs="宋体"/>
                <w:color w:val="000000"/>
                <w:kern w:val="0"/>
                <w:lang w:bidi="ar"/>
              </w:rPr>
              <w:t>2、风险点排查：根据模板和排查时间进行风险点排查。</w:t>
            </w:r>
            <w:r>
              <w:rPr>
                <w:rFonts w:hint="eastAsia" w:cs="宋体"/>
                <w:color w:val="000000"/>
                <w:kern w:val="0"/>
                <w:lang w:bidi="ar"/>
              </w:rPr>
              <w:br w:type="textWrapping"/>
            </w:r>
            <w:r>
              <w:rPr>
                <w:rFonts w:hint="eastAsia" w:cs="宋体"/>
                <w:color w:val="000000"/>
                <w:kern w:val="0"/>
                <w:lang w:bidi="ar"/>
              </w:rPr>
              <w:t>3、风险点整改：对排查过程中的风险点进行整改上报。</w:t>
            </w:r>
            <w:r>
              <w:rPr>
                <w:rFonts w:hint="eastAsia" w:cs="宋体"/>
                <w:color w:val="000000"/>
                <w:kern w:val="0"/>
                <w:lang w:bidi="ar"/>
              </w:rPr>
              <w:br w:type="textWrapping"/>
            </w:r>
            <w:r>
              <w:rPr>
                <w:rFonts w:hint="eastAsia" w:cs="宋体"/>
                <w:color w:val="000000"/>
                <w:kern w:val="0"/>
                <w:lang w:bidi="ar"/>
              </w:rPr>
              <w:t>4、风险点查询：对历史风险信息及整改信息进行查询，可根据风险类型进行查询。</w:t>
            </w:r>
          </w:p>
        </w:tc>
      </w:tr>
      <w:tr w14:paraId="6F5AD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3A571F8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107</w:t>
            </w:r>
          </w:p>
        </w:tc>
        <w:tc>
          <w:tcPr>
            <w:tcW w:w="447" w:type="pct"/>
            <w:vMerge w:val="continue"/>
            <w:tcBorders>
              <w:tl2br w:val="nil"/>
              <w:tr2bl w:val="nil"/>
            </w:tcBorders>
            <w:vAlign w:val="center"/>
          </w:tcPr>
          <w:p w14:paraId="3186347A">
            <w:pPr>
              <w:spacing w:line="240" w:lineRule="auto"/>
              <w:jc w:val="left"/>
              <w:rPr>
                <w:rFonts w:hint="eastAsia" w:cs="宋体"/>
                <w:color w:val="000000"/>
              </w:rPr>
            </w:pPr>
          </w:p>
        </w:tc>
        <w:tc>
          <w:tcPr>
            <w:tcW w:w="453" w:type="pct"/>
            <w:vMerge w:val="continue"/>
            <w:tcBorders>
              <w:tl2br w:val="nil"/>
              <w:tr2bl w:val="nil"/>
            </w:tcBorders>
            <w:vAlign w:val="center"/>
          </w:tcPr>
          <w:p w14:paraId="6B7F31B0">
            <w:pPr>
              <w:spacing w:line="240" w:lineRule="auto"/>
              <w:jc w:val="left"/>
              <w:rPr>
                <w:rFonts w:hint="eastAsia" w:cs="宋体"/>
                <w:color w:val="000000"/>
              </w:rPr>
            </w:pPr>
          </w:p>
        </w:tc>
        <w:tc>
          <w:tcPr>
            <w:tcW w:w="429" w:type="pct"/>
            <w:tcBorders>
              <w:tl2br w:val="nil"/>
              <w:tr2bl w:val="nil"/>
            </w:tcBorders>
            <w:vAlign w:val="center"/>
          </w:tcPr>
          <w:p w14:paraId="389C36A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限期整改</w:t>
            </w:r>
          </w:p>
        </w:tc>
        <w:tc>
          <w:tcPr>
            <w:tcW w:w="3289" w:type="pct"/>
            <w:tcBorders>
              <w:tl2br w:val="nil"/>
              <w:tr2bl w:val="nil"/>
            </w:tcBorders>
            <w:vAlign w:val="center"/>
          </w:tcPr>
          <w:p w14:paraId="55CD2CC2">
            <w:pPr>
              <w:widowControl/>
              <w:spacing w:line="240" w:lineRule="auto"/>
              <w:textAlignment w:val="center"/>
              <w:rPr>
                <w:rFonts w:hint="eastAsia" w:cs="宋体"/>
                <w:color w:val="000000"/>
              </w:rPr>
            </w:pPr>
            <w:r>
              <w:rPr>
                <w:rFonts w:hint="eastAsia" w:cs="宋体"/>
                <w:color w:val="000000"/>
                <w:kern w:val="0"/>
                <w:lang w:bidi="ar"/>
              </w:rPr>
              <w:t>日常排查中不能现场整改的隐患，进行线上整改。实现整改信息上报，监管方审核。实现对历史隐患信息进行查询功能。</w:t>
            </w:r>
          </w:p>
        </w:tc>
      </w:tr>
      <w:tr w14:paraId="6A392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 w:hRule="atLeast"/>
        </w:trPr>
        <w:tc>
          <w:tcPr>
            <w:tcW w:w="381" w:type="pct"/>
            <w:tcBorders>
              <w:tl2br w:val="nil"/>
              <w:tr2bl w:val="nil"/>
            </w:tcBorders>
            <w:vAlign w:val="center"/>
          </w:tcPr>
          <w:p w14:paraId="22416E2B">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108</w:t>
            </w:r>
          </w:p>
        </w:tc>
        <w:tc>
          <w:tcPr>
            <w:tcW w:w="447" w:type="pct"/>
            <w:vMerge w:val="continue"/>
            <w:tcBorders>
              <w:tl2br w:val="nil"/>
              <w:tr2bl w:val="nil"/>
            </w:tcBorders>
            <w:vAlign w:val="center"/>
          </w:tcPr>
          <w:p w14:paraId="1F6CF385">
            <w:pPr>
              <w:spacing w:line="240" w:lineRule="auto"/>
              <w:jc w:val="left"/>
              <w:rPr>
                <w:rFonts w:hint="eastAsia" w:cs="宋体"/>
                <w:color w:val="000000"/>
              </w:rPr>
            </w:pPr>
          </w:p>
        </w:tc>
        <w:tc>
          <w:tcPr>
            <w:tcW w:w="453" w:type="pct"/>
            <w:vMerge w:val="continue"/>
            <w:tcBorders>
              <w:tl2br w:val="nil"/>
              <w:tr2bl w:val="nil"/>
            </w:tcBorders>
            <w:vAlign w:val="center"/>
          </w:tcPr>
          <w:p w14:paraId="25C4A395">
            <w:pPr>
              <w:spacing w:line="240" w:lineRule="auto"/>
              <w:jc w:val="left"/>
              <w:rPr>
                <w:rFonts w:hint="eastAsia" w:cs="宋体"/>
                <w:color w:val="000000"/>
              </w:rPr>
            </w:pPr>
          </w:p>
        </w:tc>
        <w:tc>
          <w:tcPr>
            <w:tcW w:w="429" w:type="pct"/>
            <w:tcBorders>
              <w:tl2br w:val="nil"/>
              <w:tr2bl w:val="nil"/>
            </w:tcBorders>
            <w:vAlign w:val="center"/>
          </w:tcPr>
          <w:p w14:paraId="24F25E2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系统信息收发</w:t>
            </w:r>
          </w:p>
        </w:tc>
        <w:tc>
          <w:tcPr>
            <w:tcW w:w="3289" w:type="pct"/>
            <w:tcBorders>
              <w:tl2br w:val="nil"/>
              <w:tr2bl w:val="nil"/>
            </w:tcBorders>
            <w:vAlign w:val="center"/>
          </w:tcPr>
          <w:p w14:paraId="2E6AFBF7">
            <w:pPr>
              <w:widowControl/>
              <w:spacing w:line="240" w:lineRule="auto"/>
              <w:ind w:firstLine="0" w:firstLineChars="0"/>
              <w:textAlignment w:val="center"/>
              <w:rPr>
                <w:rFonts w:hint="eastAsia" w:cs="宋体"/>
                <w:color w:val="000000"/>
              </w:rPr>
            </w:pPr>
            <w:r>
              <w:rPr>
                <w:rFonts w:hint="eastAsia" w:cs="宋体"/>
                <w:color w:val="000000"/>
                <w:kern w:val="0"/>
                <w:lang w:bidi="ar"/>
              </w:rPr>
              <w:t>实现站内信息收发功能</w:t>
            </w:r>
          </w:p>
        </w:tc>
      </w:tr>
      <w:tr w14:paraId="23B3B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52E4BE6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109</w:t>
            </w:r>
          </w:p>
        </w:tc>
        <w:tc>
          <w:tcPr>
            <w:tcW w:w="447" w:type="pct"/>
            <w:vMerge w:val="continue"/>
            <w:tcBorders>
              <w:tl2br w:val="nil"/>
              <w:tr2bl w:val="nil"/>
            </w:tcBorders>
            <w:vAlign w:val="center"/>
          </w:tcPr>
          <w:p w14:paraId="5533E143">
            <w:pPr>
              <w:spacing w:line="240" w:lineRule="auto"/>
              <w:jc w:val="left"/>
              <w:rPr>
                <w:rFonts w:hint="eastAsia" w:cs="宋体"/>
                <w:color w:val="000000"/>
              </w:rPr>
            </w:pPr>
          </w:p>
        </w:tc>
        <w:tc>
          <w:tcPr>
            <w:tcW w:w="453" w:type="pct"/>
            <w:vMerge w:val="continue"/>
            <w:tcBorders>
              <w:tl2br w:val="nil"/>
              <w:tr2bl w:val="nil"/>
            </w:tcBorders>
            <w:vAlign w:val="center"/>
          </w:tcPr>
          <w:p w14:paraId="303E2B07">
            <w:pPr>
              <w:spacing w:line="240" w:lineRule="auto"/>
              <w:jc w:val="left"/>
              <w:rPr>
                <w:rFonts w:hint="eastAsia" w:cs="宋体"/>
                <w:color w:val="000000"/>
              </w:rPr>
            </w:pPr>
          </w:p>
        </w:tc>
        <w:tc>
          <w:tcPr>
            <w:tcW w:w="429" w:type="pct"/>
            <w:tcBorders>
              <w:tl2br w:val="nil"/>
              <w:tr2bl w:val="nil"/>
            </w:tcBorders>
            <w:vAlign w:val="center"/>
          </w:tcPr>
          <w:p w14:paraId="6D2AB3F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安全生产知识学习</w:t>
            </w:r>
          </w:p>
        </w:tc>
        <w:tc>
          <w:tcPr>
            <w:tcW w:w="3289" w:type="pct"/>
            <w:tcBorders>
              <w:tl2br w:val="nil"/>
              <w:tr2bl w:val="nil"/>
            </w:tcBorders>
            <w:vAlign w:val="center"/>
          </w:tcPr>
          <w:p w14:paraId="232CBCF0">
            <w:pPr>
              <w:widowControl/>
              <w:spacing w:line="240" w:lineRule="auto"/>
              <w:ind w:firstLine="0" w:firstLineChars="0"/>
              <w:textAlignment w:val="center"/>
              <w:rPr>
                <w:rFonts w:hint="eastAsia" w:cs="宋体"/>
                <w:color w:val="000000"/>
              </w:rPr>
            </w:pPr>
            <w:r>
              <w:rPr>
                <w:rFonts w:hint="eastAsia" w:cs="宋体"/>
                <w:color w:val="000000"/>
                <w:kern w:val="0"/>
                <w:lang w:bidi="ar"/>
              </w:rPr>
              <w:t>1、安全新知识：可通过系统进行安全知识的学习。</w:t>
            </w:r>
            <w:r>
              <w:rPr>
                <w:rFonts w:hint="eastAsia" w:cs="宋体"/>
                <w:color w:val="000000"/>
                <w:kern w:val="0"/>
                <w:lang w:bidi="ar"/>
              </w:rPr>
              <w:br w:type="textWrapping"/>
            </w:r>
            <w:r>
              <w:rPr>
                <w:rFonts w:hint="eastAsia" w:cs="宋体"/>
                <w:color w:val="000000"/>
                <w:kern w:val="0"/>
                <w:lang w:bidi="ar"/>
              </w:rPr>
              <w:t>2、专题测试：当生成与企业相关的测试时，企业可直接点击进行测试，并可对测试后的成绩及错题进行查看。</w:t>
            </w:r>
            <w:r>
              <w:rPr>
                <w:rFonts w:hint="eastAsia" w:cs="宋体"/>
                <w:color w:val="000000"/>
                <w:kern w:val="0"/>
                <w:lang w:bidi="ar"/>
              </w:rPr>
              <w:br w:type="textWrapping"/>
            </w:r>
            <w:r>
              <w:rPr>
                <w:rFonts w:hint="eastAsia" w:cs="宋体"/>
                <w:color w:val="000000"/>
                <w:kern w:val="0"/>
                <w:lang w:bidi="ar"/>
              </w:rPr>
              <w:t>3、知识统计分析：对已学，待学习的各类信息进行统计。</w:t>
            </w:r>
          </w:p>
        </w:tc>
      </w:tr>
      <w:tr w14:paraId="02732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6" w:hRule="atLeast"/>
        </w:trPr>
        <w:tc>
          <w:tcPr>
            <w:tcW w:w="381" w:type="pct"/>
            <w:tcBorders>
              <w:tl2br w:val="nil"/>
              <w:tr2bl w:val="nil"/>
            </w:tcBorders>
            <w:vAlign w:val="center"/>
          </w:tcPr>
          <w:p w14:paraId="377507BC">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110</w:t>
            </w:r>
          </w:p>
        </w:tc>
        <w:tc>
          <w:tcPr>
            <w:tcW w:w="447" w:type="pct"/>
            <w:vMerge w:val="continue"/>
            <w:tcBorders>
              <w:tl2br w:val="nil"/>
              <w:tr2bl w:val="nil"/>
            </w:tcBorders>
            <w:vAlign w:val="center"/>
          </w:tcPr>
          <w:p w14:paraId="5F7DD2BF">
            <w:pPr>
              <w:spacing w:line="240" w:lineRule="auto"/>
              <w:jc w:val="left"/>
              <w:rPr>
                <w:rFonts w:hint="eastAsia" w:cs="宋体"/>
                <w:color w:val="000000"/>
              </w:rPr>
            </w:pPr>
          </w:p>
        </w:tc>
        <w:tc>
          <w:tcPr>
            <w:tcW w:w="453" w:type="pct"/>
            <w:tcBorders>
              <w:tl2br w:val="nil"/>
              <w:tr2bl w:val="nil"/>
            </w:tcBorders>
            <w:vAlign w:val="center"/>
          </w:tcPr>
          <w:p w14:paraId="5BA3C0D2">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在线审查</w:t>
            </w:r>
          </w:p>
        </w:tc>
        <w:tc>
          <w:tcPr>
            <w:tcW w:w="429" w:type="pct"/>
            <w:tcBorders>
              <w:tl2br w:val="nil"/>
              <w:tr2bl w:val="nil"/>
            </w:tcBorders>
            <w:vAlign w:val="center"/>
          </w:tcPr>
          <w:p w14:paraId="4B080DF0">
            <w:pPr>
              <w:spacing w:line="240" w:lineRule="auto"/>
              <w:jc w:val="center"/>
              <w:rPr>
                <w:rFonts w:hint="eastAsia" w:cs="宋体"/>
                <w:color w:val="000000"/>
              </w:rPr>
            </w:pPr>
          </w:p>
        </w:tc>
        <w:tc>
          <w:tcPr>
            <w:tcW w:w="3289" w:type="pct"/>
            <w:tcBorders>
              <w:tl2br w:val="nil"/>
              <w:tr2bl w:val="nil"/>
            </w:tcBorders>
            <w:vAlign w:val="center"/>
          </w:tcPr>
          <w:p w14:paraId="68A900C3">
            <w:pPr>
              <w:widowControl/>
              <w:spacing w:line="240" w:lineRule="auto"/>
              <w:ind w:firstLine="0" w:firstLineChars="0"/>
              <w:textAlignment w:val="center"/>
              <w:rPr>
                <w:rFonts w:hint="eastAsia" w:cs="宋体"/>
                <w:color w:val="000000"/>
              </w:rPr>
            </w:pPr>
            <w:r>
              <w:rPr>
                <w:rFonts w:hint="eastAsia" w:cs="宋体"/>
                <w:color w:val="000000"/>
                <w:kern w:val="0"/>
                <w:lang w:bidi="ar"/>
              </w:rPr>
              <w:t>1、审查计划管理：制定审查计划。可对审查计划进行增删改查等操作。</w:t>
            </w:r>
            <w:r>
              <w:rPr>
                <w:rFonts w:hint="eastAsia" w:cs="宋体"/>
                <w:color w:val="000000"/>
                <w:kern w:val="0"/>
                <w:lang w:bidi="ar"/>
              </w:rPr>
              <w:br w:type="textWrapping"/>
            </w:r>
            <w:r>
              <w:rPr>
                <w:rFonts w:hint="eastAsia" w:cs="宋体"/>
                <w:color w:val="000000"/>
                <w:kern w:val="0"/>
                <w:lang w:bidi="ar"/>
              </w:rPr>
              <w:t>2、重点标签：给企业分类，个性标签化管理，包括：大中型工贸企业、粉尘涉爆、有限空间、高温金属熔融、使用液氨、危化许可、加油站、非煤矿山、近三年亡人事故等。</w:t>
            </w:r>
            <w:r>
              <w:rPr>
                <w:rFonts w:hint="eastAsia" w:cs="宋体"/>
                <w:color w:val="000000"/>
                <w:kern w:val="0"/>
                <w:lang w:bidi="ar"/>
              </w:rPr>
              <w:br w:type="textWrapping"/>
            </w:r>
            <w:r>
              <w:rPr>
                <w:rFonts w:hint="eastAsia" w:cs="宋体"/>
                <w:color w:val="000000"/>
                <w:kern w:val="0"/>
                <w:lang w:bidi="ar"/>
              </w:rPr>
              <w:t>3、检查项管理：对检查项进行初始化管理，包括新增，维护等。</w:t>
            </w:r>
            <w:r>
              <w:rPr>
                <w:rFonts w:hint="eastAsia" w:cs="宋体"/>
                <w:color w:val="000000"/>
                <w:kern w:val="0"/>
                <w:lang w:bidi="ar"/>
              </w:rPr>
              <w:br w:type="textWrapping"/>
            </w:r>
            <w:r>
              <w:rPr>
                <w:rFonts w:hint="eastAsia" w:cs="宋体"/>
                <w:color w:val="000000"/>
                <w:kern w:val="0"/>
                <w:lang w:bidi="ar"/>
              </w:rPr>
              <w:t>4、审查项分析：当生成检查计划时，根据计划内企业标签，自动生成检查事项。</w:t>
            </w:r>
            <w:r>
              <w:rPr>
                <w:rFonts w:hint="eastAsia" w:cs="宋体"/>
                <w:color w:val="000000"/>
                <w:kern w:val="0"/>
                <w:lang w:bidi="ar"/>
              </w:rPr>
              <w:br w:type="textWrapping"/>
            </w:r>
            <w:r>
              <w:rPr>
                <w:rFonts w:hint="eastAsia" w:cs="宋体"/>
                <w:color w:val="000000"/>
                <w:kern w:val="0"/>
                <w:lang w:bidi="ar"/>
              </w:rPr>
              <w:t>5、预警提醒：给计划内企业发送审查消息，同时根据排查项自动匹配系统里企业上报各类信息，当出现排查项与上报信息不符时，给企业发送预警短信。</w:t>
            </w:r>
            <w:r>
              <w:rPr>
                <w:rFonts w:hint="eastAsia" w:cs="宋体"/>
                <w:color w:val="000000"/>
                <w:kern w:val="0"/>
                <w:lang w:bidi="ar"/>
              </w:rPr>
              <w:br w:type="textWrapping"/>
            </w:r>
            <w:r>
              <w:rPr>
                <w:rFonts w:hint="eastAsia" w:cs="宋体"/>
                <w:color w:val="000000"/>
                <w:kern w:val="0"/>
                <w:lang w:bidi="ar"/>
              </w:rPr>
              <w:t>6、企业预整改：企业根据预警信息进行整改，直到符合检查项。</w:t>
            </w:r>
            <w:r>
              <w:rPr>
                <w:rFonts w:hint="eastAsia" w:cs="宋体"/>
                <w:color w:val="000000"/>
                <w:kern w:val="0"/>
                <w:lang w:bidi="ar"/>
              </w:rPr>
              <w:br w:type="textWrapping"/>
            </w:r>
            <w:r>
              <w:rPr>
                <w:rFonts w:hint="eastAsia" w:cs="宋体"/>
                <w:color w:val="000000"/>
                <w:kern w:val="0"/>
                <w:lang w:bidi="ar"/>
              </w:rPr>
              <w:t>7、系统申报：检查人员线上对检查项和系统匹配信息进行审核。</w:t>
            </w:r>
            <w:r>
              <w:rPr>
                <w:rFonts w:hint="eastAsia" w:cs="宋体"/>
                <w:color w:val="000000"/>
                <w:kern w:val="0"/>
                <w:lang w:bidi="ar"/>
              </w:rPr>
              <w:br w:type="textWrapping"/>
            </w:r>
            <w:r>
              <w:rPr>
                <w:rFonts w:hint="eastAsia" w:cs="宋体"/>
                <w:color w:val="000000"/>
                <w:kern w:val="0"/>
                <w:lang w:bidi="ar"/>
              </w:rPr>
              <w:t>8、现场审查上帐管理：对现场审核内容进行系统上帐管理。</w:t>
            </w:r>
            <w:r>
              <w:rPr>
                <w:rFonts w:hint="eastAsia" w:cs="宋体"/>
                <w:color w:val="000000"/>
                <w:kern w:val="0"/>
                <w:lang w:bidi="ar"/>
              </w:rPr>
              <w:br w:type="textWrapping"/>
            </w:r>
            <w:r>
              <w:rPr>
                <w:rFonts w:hint="eastAsia" w:cs="宋体"/>
                <w:color w:val="000000"/>
                <w:kern w:val="0"/>
                <w:lang w:bidi="ar"/>
              </w:rPr>
              <w:t>9、责令整改：对现场审查不符合项进行责令整改要求。</w:t>
            </w:r>
            <w:r>
              <w:rPr>
                <w:rFonts w:hint="eastAsia" w:cs="宋体"/>
                <w:color w:val="000000"/>
                <w:kern w:val="0"/>
                <w:lang w:bidi="ar"/>
              </w:rPr>
              <w:br w:type="textWrapping"/>
            </w:r>
            <w:r>
              <w:rPr>
                <w:rFonts w:hint="eastAsia" w:cs="宋体"/>
                <w:color w:val="000000"/>
                <w:kern w:val="0"/>
                <w:lang w:bidi="ar"/>
              </w:rPr>
              <w:t>10、现场复查：对处于整改期限内企业进行复查。</w:t>
            </w:r>
            <w:r>
              <w:rPr>
                <w:rFonts w:hint="eastAsia" w:cs="宋体"/>
                <w:color w:val="000000"/>
                <w:kern w:val="0"/>
                <w:lang w:bidi="ar"/>
              </w:rPr>
              <w:br w:type="textWrapping"/>
            </w:r>
            <w:r>
              <w:rPr>
                <w:rFonts w:hint="eastAsia" w:cs="宋体"/>
                <w:color w:val="000000"/>
                <w:kern w:val="0"/>
                <w:lang w:bidi="ar"/>
              </w:rPr>
              <w:t>11、整改结果审核：复查结果上报，内场人员进行审核。</w:t>
            </w:r>
            <w:r>
              <w:rPr>
                <w:rFonts w:hint="eastAsia" w:cs="宋体"/>
                <w:color w:val="000000"/>
                <w:kern w:val="0"/>
                <w:lang w:bidi="ar"/>
              </w:rPr>
              <w:br w:type="textWrapping"/>
            </w:r>
            <w:r>
              <w:rPr>
                <w:rFonts w:hint="eastAsia" w:cs="宋体"/>
                <w:color w:val="000000"/>
                <w:kern w:val="0"/>
                <w:lang w:bidi="ar"/>
              </w:rPr>
              <w:t>12、企业整改：企业通过系统对不符合项进行整改上报。</w:t>
            </w:r>
            <w:r>
              <w:rPr>
                <w:rFonts w:hint="eastAsia" w:cs="宋体"/>
                <w:color w:val="000000"/>
                <w:kern w:val="0"/>
                <w:lang w:bidi="ar"/>
              </w:rPr>
              <w:br w:type="textWrapping"/>
            </w:r>
            <w:r>
              <w:rPr>
                <w:rFonts w:hint="eastAsia" w:cs="宋体"/>
                <w:color w:val="000000"/>
                <w:kern w:val="0"/>
                <w:lang w:bidi="ar"/>
              </w:rPr>
              <w:t>13、统计分析：对在线审查各类信息进行统计分析。</w:t>
            </w:r>
          </w:p>
        </w:tc>
      </w:tr>
      <w:tr w14:paraId="47234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2" w:hRule="atLeast"/>
        </w:trPr>
        <w:tc>
          <w:tcPr>
            <w:tcW w:w="381" w:type="pct"/>
            <w:tcBorders>
              <w:tl2br w:val="nil"/>
              <w:tr2bl w:val="nil"/>
            </w:tcBorders>
            <w:vAlign w:val="center"/>
          </w:tcPr>
          <w:p w14:paraId="704A93EA">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111</w:t>
            </w:r>
          </w:p>
        </w:tc>
        <w:tc>
          <w:tcPr>
            <w:tcW w:w="447" w:type="pct"/>
            <w:vMerge w:val="continue"/>
            <w:tcBorders>
              <w:tl2br w:val="nil"/>
              <w:tr2bl w:val="nil"/>
            </w:tcBorders>
            <w:vAlign w:val="center"/>
          </w:tcPr>
          <w:p w14:paraId="6BE7FB15">
            <w:pPr>
              <w:spacing w:line="240" w:lineRule="auto"/>
              <w:jc w:val="left"/>
              <w:rPr>
                <w:rFonts w:hint="eastAsia" w:cs="宋体"/>
                <w:color w:val="000000"/>
              </w:rPr>
            </w:pPr>
          </w:p>
        </w:tc>
        <w:tc>
          <w:tcPr>
            <w:tcW w:w="453" w:type="pct"/>
            <w:tcBorders>
              <w:tl2br w:val="nil"/>
              <w:tr2bl w:val="nil"/>
            </w:tcBorders>
            <w:vAlign w:val="center"/>
          </w:tcPr>
          <w:p w14:paraId="66AA63D4">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安全助手</w:t>
            </w:r>
          </w:p>
        </w:tc>
        <w:tc>
          <w:tcPr>
            <w:tcW w:w="429" w:type="pct"/>
            <w:tcBorders>
              <w:tl2br w:val="nil"/>
              <w:tr2bl w:val="nil"/>
            </w:tcBorders>
            <w:vAlign w:val="center"/>
          </w:tcPr>
          <w:p w14:paraId="482944E0">
            <w:pPr>
              <w:spacing w:line="240" w:lineRule="auto"/>
              <w:jc w:val="center"/>
              <w:rPr>
                <w:rFonts w:hint="eastAsia" w:cs="宋体"/>
                <w:color w:val="000000"/>
              </w:rPr>
            </w:pPr>
          </w:p>
        </w:tc>
        <w:tc>
          <w:tcPr>
            <w:tcW w:w="3289" w:type="pct"/>
            <w:tcBorders>
              <w:tl2br w:val="nil"/>
              <w:tr2bl w:val="nil"/>
            </w:tcBorders>
            <w:vAlign w:val="center"/>
          </w:tcPr>
          <w:p w14:paraId="210A7DCF">
            <w:pPr>
              <w:widowControl/>
              <w:spacing w:line="240" w:lineRule="auto"/>
              <w:ind w:firstLine="0" w:firstLineChars="0"/>
              <w:textAlignment w:val="center"/>
              <w:rPr>
                <w:rFonts w:hint="eastAsia" w:cs="宋体"/>
                <w:color w:val="000000"/>
              </w:rPr>
            </w:pPr>
            <w:r>
              <w:rPr>
                <w:rFonts w:hint="eastAsia" w:cs="宋体"/>
                <w:color w:val="000000"/>
                <w:kern w:val="0"/>
                <w:lang w:bidi="ar"/>
              </w:rPr>
              <w:t>1、安全知识维护管理：1）材料维护管理；2）条款维护；3）条款应用查询；4）标签分类；5）材料查询。</w:t>
            </w:r>
            <w:r>
              <w:rPr>
                <w:rFonts w:hint="eastAsia" w:cs="宋体"/>
                <w:color w:val="000000"/>
                <w:kern w:val="0"/>
                <w:lang w:bidi="ar"/>
              </w:rPr>
              <w:br w:type="textWrapping"/>
            </w:r>
            <w:r>
              <w:rPr>
                <w:rFonts w:hint="eastAsia" w:cs="宋体"/>
                <w:color w:val="000000"/>
                <w:kern w:val="0"/>
                <w:lang w:bidi="ar"/>
              </w:rPr>
              <w:t>2、试题库管理：1）试题类型管理；2）题型管理。</w:t>
            </w:r>
            <w:r>
              <w:rPr>
                <w:rFonts w:hint="eastAsia" w:cs="宋体"/>
                <w:color w:val="000000"/>
                <w:kern w:val="0"/>
                <w:lang w:bidi="ar"/>
              </w:rPr>
              <w:br w:type="textWrapping"/>
            </w:r>
            <w:r>
              <w:rPr>
                <w:rFonts w:hint="eastAsia" w:cs="宋体"/>
                <w:color w:val="000000"/>
                <w:kern w:val="0"/>
                <w:lang w:bidi="ar"/>
              </w:rPr>
              <w:t>3、试卷管理：1）试卷初始设置；2）试卷卷面维护。</w:t>
            </w:r>
            <w:r>
              <w:rPr>
                <w:rFonts w:hint="eastAsia" w:cs="宋体"/>
                <w:color w:val="000000"/>
                <w:kern w:val="0"/>
                <w:lang w:bidi="ar"/>
              </w:rPr>
              <w:br w:type="textWrapping"/>
            </w:r>
            <w:r>
              <w:rPr>
                <w:rFonts w:hint="eastAsia" w:cs="宋体"/>
                <w:color w:val="000000"/>
                <w:kern w:val="0"/>
                <w:lang w:bidi="ar"/>
              </w:rPr>
              <w:t>4、考试管理：1）在线考试范围；2）考试过程管理；3）考试结果公示。</w:t>
            </w:r>
            <w:r>
              <w:rPr>
                <w:rFonts w:hint="eastAsia" w:cs="宋体"/>
                <w:color w:val="000000"/>
                <w:kern w:val="0"/>
                <w:lang w:bidi="ar"/>
              </w:rPr>
              <w:br w:type="textWrapping"/>
            </w:r>
            <w:r>
              <w:rPr>
                <w:rFonts w:hint="eastAsia" w:cs="宋体"/>
                <w:color w:val="000000"/>
                <w:kern w:val="0"/>
                <w:lang w:bidi="ar"/>
              </w:rPr>
              <w:t>5、学习计划管理：1）重点课程；2）一般课程；3）专题课程。</w:t>
            </w:r>
            <w:r>
              <w:rPr>
                <w:rFonts w:hint="eastAsia" w:cs="宋体"/>
                <w:color w:val="000000"/>
                <w:kern w:val="0"/>
                <w:lang w:bidi="ar"/>
              </w:rPr>
              <w:br w:type="textWrapping"/>
            </w:r>
            <w:r>
              <w:rPr>
                <w:rFonts w:hint="eastAsia" w:cs="宋体"/>
                <w:color w:val="000000"/>
                <w:kern w:val="0"/>
                <w:lang w:bidi="ar"/>
              </w:rPr>
              <w:t>6、课程管理：1）在线课程管理；2）课程维护及统计。</w:t>
            </w:r>
            <w:r>
              <w:rPr>
                <w:rFonts w:hint="eastAsia" w:cs="宋体"/>
                <w:color w:val="000000"/>
                <w:kern w:val="0"/>
                <w:lang w:bidi="ar"/>
              </w:rPr>
              <w:br w:type="textWrapping"/>
            </w:r>
            <w:r>
              <w:rPr>
                <w:rFonts w:hint="eastAsia" w:cs="宋体"/>
                <w:color w:val="000000"/>
                <w:kern w:val="0"/>
                <w:lang w:bidi="ar"/>
              </w:rPr>
              <w:t>7、安全中心：1）课程学习；2）学习计划；3）知识中心。</w:t>
            </w:r>
            <w:r>
              <w:rPr>
                <w:rFonts w:hint="eastAsia" w:cs="宋体"/>
                <w:color w:val="000000"/>
                <w:kern w:val="0"/>
                <w:lang w:bidi="ar"/>
              </w:rPr>
              <w:br w:type="textWrapping"/>
            </w:r>
            <w:r>
              <w:rPr>
                <w:rFonts w:hint="eastAsia" w:cs="宋体"/>
                <w:color w:val="000000"/>
                <w:kern w:val="0"/>
                <w:lang w:bidi="ar"/>
              </w:rPr>
              <w:t>8、我的考试：1）考试动态；2）开始考试。</w:t>
            </w:r>
            <w:r>
              <w:rPr>
                <w:rFonts w:hint="eastAsia" w:cs="宋体"/>
                <w:color w:val="000000"/>
                <w:kern w:val="0"/>
                <w:lang w:bidi="ar"/>
              </w:rPr>
              <w:br w:type="textWrapping"/>
            </w:r>
            <w:r>
              <w:rPr>
                <w:rFonts w:hint="eastAsia" w:cs="宋体"/>
                <w:color w:val="000000"/>
                <w:kern w:val="0"/>
                <w:lang w:bidi="ar"/>
              </w:rPr>
              <w:t>9、统计信息：对重点课程、一般课程、专题课程等分别展示学习情况，如总共课程数、已学课程数量、未学课程数量、已学时长，已获学时、考试数量、已参加考试数量、未参加考试数量。</w:t>
            </w:r>
          </w:p>
        </w:tc>
      </w:tr>
      <w:tr w14:paraId="705E9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 w:hRule="atLeast"/>
        </w:trPr>
        <w:tc>
          <w:tcPr>
            <w:tcW w:w="381" w:type="pct"/>
            <w:tcBorders>
              <w:tl2br w:val="nil"/>
              <w:tr2bl w:val="nil"/>
            </w:tcBorders>
            <w:vAlign w:val="center"/>
          </w:tcPr>
          <w:p w14:paraId="0AAB698E">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112</w:t>
            </w:r>
          </w:p>
        </w:tc>
        <w:tc>
          <w:tcPr>
            <w:tcW w:w="447" w:type="pct"/>
            <w:vMerge w:val="continue"/>
            <w:tcBorders>
              <w:tl2br w:val="nil"/>
              <w:tr2bl w:val="nil"/>
            </w:tcBorders>
            <w:vAlign w:val="center"/>
          </w:tcPr>
          <w:p w14:paraId="0779F260">
            <w:pPr>
              <w:spacing w:line="240" w:lineRule="auto"/>
              <w:jc w:val="left"/>
              <w:rPr>
                <w:rFonts w:hint="eastAsia" w:cs="宋体"/>
                <w:color w:val="000000"/>
              </w:rPr>
            </w:pPr>
          </w:p>
        </w:tc>
        <w:tc>
          <w:tcPr>
            <w:tcW w:w="453" w:type="pct"/>
            <w:vMerge w:val="restart"/>
            <w:tcBorders>
              <w:tl2br w:val="nil"/>
              <w:tr2bl w:val="nil"/>
            </w:tcBorders>
            <w:vAlign w:val="center"/>
          </w:tcPr>
          <w:p w14:paraId="7987004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厂房仓库数字安盾</w:t>
            </w:r>
          </w:p>
        </w:tc>
        <w:tc>
          <w:tcPr>
            <w:tcW w:w="429" w:type="pct"/>
            <w:tcBorders>
              <w:tl2br w:val="nil"/>
              <w:tr2bl w:val="nil"/>
            </w:tcBorders>
            <w:vAlign w:val="center"/>
          </w:tcPr>
          <w:p w14:paraId="5729D05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信息汇聚</w:t>
            </w:r>
          </w:p>
        </w:tc>
        <w:tc>
          <w:tcPr>
            <w:tcW w:w="3289" w:type="pct"/>
            <w:tcBorders>
              <w:tl2br w:val="nil"/>
              <w:tr2bl w:val="nil"/>
            </w:tcBorders>
            <w:vAlign w:val="center"/>
          </w:tcPr>
          <w:p w14:paraId="69071759">
            <w:pPr>
              <w:widowControl/>
              <w:spacing w:line="240" w:lineRule="auto"/>
              <w:ind w:firstLine="0" w:firstLineChars="0"/>
              <w:textAlignment w:val="center"/>
              <w:rPr>
                <w:rFonts w:hint="eastAsia" w:cs="宋体"/>
                <w:color w:val="000000"/>
              </w:rPr>
            </w:pPr>
            <w:r>
              <w:rPr>
                <w:rFonts w:hint="eastAsia" w:cs="宋体"/>
                <w:color w:val="000000"/>
                <w:kern w:val="0"/>
                <w:lang w:eastAsia="zh-CN" w:bidi="ar"/>
              </w:rPr>
              <w:t>对</w:t>
            </w:r>
            <w:r>
              <w:rPr>
                <w:rFonts w:hint="eastAsia" w:cs="宋体"/>
                <w:color w:val="000000"/>
                <w:kern w:val="0"/>
                <w:lang w:bidi="ar"/>
              </w:rPr>
              <w:t>厂房信息数据进行汇聚。</w:t>
            </w:r>
          </w:p>
        </w:tc>
      </w:tr>
      <w:tr w14:paraId="78065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trPr>
        <w:tc>
          <w:tcPr>
            <w:tcW w:w="381" w:type="pct"/>
            <w:tcBorders>
              <w:tl2br w:val="nil"/>
              <w:tr2bl w:val="nil"/>
            </w:tcBorders>
            <w:vAlign w:val="center"/>
          </w:tcPr>
          <w:p w14:paraId="466DEAA7">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113</w:t>
            </w:r>
          </w:p>
        </w:tc>
        <w:tc>
          <w:tcPr>
            <w:tcW w:w="447" w:type="pct"/>
            <w:vMerge w:val="continue"/>
            <w:tcBorders>
              <w:tl2br w:val="nil"/>
              <w:tr2bl w:val="nil"/>
            </w:tcBorders>
            <w:vAlign w:val="center"/>
          </w:tcPr>
          <w:p w14:paraId="2385EF1B">
            <w:pPr>
              <w:spacing w:line="240" w:lineRule="auto"/>
              <w:jc w:val="left"/>
              <w:rPr>
                <w:rFonts w:hint="eastAsia" w:cs="宋体"/>
                <w:color w:val="000000"/>
              </w:rPr>
            </w:pPr>
          </w:p>
        </w:tc>
        <w:tc>
          <w:tcPr>
            <w:tcW w:w="453" w:type="pct"/>
            <w:vMerge w:val="continue"/>
            <w:tcBorders>
              <w:tl2br w:val="nil"/>
              <w:tr2bl w:val="nil"/>
            </w:tcBorders>
            <w:vAlign w:val="center"/>
          </w:tcPr>
          <w:p w14:paraId="735BCDF1">
            <w:pPr>
              <w:spacing w:line="240" w:lineRule="auto"/>
              <w:jc w:val="left"/>
              <w:rPr>
                <w:rFonts w:hint="eastAsia" w:cs="宋体"/>
                <w:color w:val="000000"/>
              </w:rPr>
            </w:pPr>
          </w:p>
        </w:tc>
        <w:tc>
          <w:tcPr>
            <w:tcW w:w="429" w:type="pct"/>
            <w:tcBorders>
              <w:tl2br w:val="nil"/>
              <w:tr2bl w:val="nil"/>
            </w:tcBorders>
            <w:vAlign w:val="center"/>
          </w:tcPr>
          <w:p w14:paraId="2355F65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作业管理</w:t>
            </w:r>
          </w:p>
        </w:tc>
        <w:tc>
          <w:tcPr>
            <w:tcW w:w="3289" w:type="pct"/>
            <w:tcBorders>
              <w:tl2br w:val="nil"/>
              <w:tr2bl w:val="nil"/>
            </w:tcBorders>
            <w:vAlign w:val="center"/>
          </w:tcPr>
          <w:p w14:paraId="6BE0C8A5">
            <w:pPr>
              <w:widowControl/>
              <w:spacing w:line="240" w:lineRule="auto"/>
              <w:ind w:firstLine="0" w:firstLineChars="0"/>
              <w:textAlignment w:val="center"/>
              <w:rPr>
                <w:rFonts w:hint="eastAsia" w:cs="宋体"/>
                <w:color w:val="000000"/>
              </w:rPr>
            </w:pPr>
            <w:r>
              <w:rPr>
                <w:rFonts w:hint="eastAsia" w:cs="宋体"/>
                <w:color w:val="000000"/>
                <w:kern w:val="0"/>
                <w:lang w:bidi="ar"/>
              </w:rPr>
              <w:t>1、实现对动火、受限空间、临时用电、高处、设备检修、动土、吊装、抽堵盲板等特殊作业进行管理；</w:t>
            </w:r>
            <w:r>
              <w:rPr>
                <w:rFonts w:hint="eastAsia" w:cs="宋体"/>
                <w:color w:val="000000"/>
                <w:kern w:val="0"/>
                <w:lang w:bidi="ar"/>
              </w:rPr>
              <w:br w:type="textWrapping"/>
            </w:r>
            <w:r>
              <w:rPr>
                <w:rFonts w:hint="eastAsia" w:cs="宋体"/>
                <w:color w:val="000000"/>
                <w:kern w:val="0"/>
                <w:lang w:bidi="ar"/>
              </w:rPr>
              <w:t>2、实现特殊作业智能预警，发送相关注意事项消息给相关作业人员，让其在作业前注意相关安全事项；</w:t>
            </w:r>
            <w:r>
              <w:rPr>
                <w:rFonts w:hint="eastAsia" w:cs="宋体"/>
                <w:color w:val="000000"/>
                <w:kern w:val="0"/>
                <w:lang w:bidi="ar"/>
              </w:rPr>
              <w:br w:type="textWrapping"/>
            </w:r>
            <w:r>
              <w:rPr>
                <w:rFonts w:hint="eastAsia" w:cs="宋体"/>
                <w:color w:val="000000"/>
                <w:kern w:val="0"/>
                <w:lang w:bidi="ar"/>
              </w:rPr>
              <w:t>3、实现特殊作业历史统计，可对作业人员、作业时间进行查询，以列表方式显示其作业时间，作业人员，安全负责人，作业地点，作业内容，作业类型等信息。</w:t>
            </w:r>
          </w:p>
        </w:tc>
      </w:tr>
      <w:tr w14:paraId="006B23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5651FAE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114</w:t>
            </w:r>
          </w:p>
        </w:tc>
        <w:tc>
          <w:tcPr>
            <w:tcW w:w="447" w:type="pct"/>
            <w:vMerge w:val="continue"/>
            <w:tcBorders>
              <w:tl2br w:val="nil"/>
              <w:tr2bl w:val="nil"/>
            </w:tcBorders>
            <w:vAlign w:val="center"/>
          </w:tcPr>
          <w:p w14:paraId="0D9588B9">
            <w:pPr>
              <w:spacing w:line="240" w:lineRule="auto"/>
              <w:jc w:val="left"/>
              <w:rPr>
                <w:rFonts w:hint="eastAsia" w:cs="宋体"/>
                <w:color w:val="000000"/>
              </w:rPr>
            </w:pPr>
          </w:p>
        </w:tc>
        <w:tc>
          <w:tcPr>
            <w:tcW w:w="453" w:type="pct"/>
            <w:vMerge w:val="continue"/>
            <w:tcBorders>
              <w:tl2br w:val="nil"/>
              <w:tr2bl w:val="nil"/>
            </w:tcBorders>
            <w:vAlign w:val="center"/>
          </w:tcPr>
          <w:p w14:paraId="056295A5">
            <w:pPr>
              <w:spacing w:line="240" w:lineRule="auto"/>
              <w:jc w:val="left"/>
              <w:rPr>
                <w:rFonts w:hint="eastAsia" w:cs="宋体"/>
                <w:color w:val="000000"/>
              </w:rPr>
            </w:pPr>
          </w:p>
        </w:tc>
        <w:tc>
          <w:tcPr>
            <w:tcW w:w="429" w:type="pct"/>
            <w:tcBorders>
              <w:tl2br w:val="nil"/>
              <w:tr2bl w:val="nil"/>
            </w:tcBorders>
            <w:vAlign w:val="center"/>
          </w:tcPr>
          <w:p w14:paraId="13C91E6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信息管理</w:t>
            </w:r>
          </w:p>
        </w:tc>
        <w:tc>
          <w:tcPr>
            <w:tcW w:w="3289" w:type="pct"/>
            <w:tcBorders>
              <w:tl2br w:val="nil"/>
              <w:tr2bl w:val="nil"/>
            </w:tcBorders>
            <w:vAlign w:val="center"/>
          </w:tcPr>
          <w:p w14:paraId="75187633">
            <w:pPr>
              <w:widowControl/>
              <w:spacing w:line="240" w:lineRule="auto"/>
              <w:ind w:firstLine="0" w:firstLineChars="0"/>
              <w:textAlignment w:val="center"/>
              <w:rPr>
                <w:rFonts w:hint="eastAsia" w:cs="宋体"/>
                <w:color w:val="000000"/>
              </w:rPr>
            </w:pPr>
            <w:r>
              <w:rPr>
                <w:rFonts w:hint="eastAsia" w:cs="宋体"/>
                <w:color w:val="000000"/>
                <w:kern w:val="0"/>
                <w:lang w:bidi="ar"/>
              </w:rPr>
              <w:t>1、厂房仓库数据导入：企业可对特定格式的厂房仓库数据进行导入。</w:t>
            </w:r>
            <w:r>
              <w:rPr>
                <w:rFonts w:hint="eastAsia" w:cs="宋体"/>
                <w:color w:val="000000"/>
                <w:kern w:val="0"/>
                <w:lang w:bidi="ar"/>
              </w:rPr>
              <w:br w:type="textWrapping"/>
            </w:r>
            <w:r>
              <w:rPr>
                <w:rFonts w:hint="eastAsia" w:cs="宋体"/>
                <w:color w:val="000000"/>
                <w:kern w:val="0"/>
                <w:lang w:bidi="ar"/>
              </w:rPr>
              <w:t>2、批量导出房仓库信息：批量导出厂房仓库数据。</w:t>
            </w:r>
            <w:r>
              <w:rPr>
                <w:rFonts w:hint="eastAsia" w:cs="宋体"/>
                <w:color w:val="000000"/>
                <w:kern w:val="0"/>
                <w:lang w:bidi="ar"/>
              </w:rPr>
              <w:br w:type="textWrapping"/>
            </w:r>
            <w:r>
              <w:rPr>
                <w:rFonts w:hint="eastAsia" w:cs="宋体"/>
                <w:color w:val="000000"/>
                <w:kern w:val="0"/>
                <w:lang w:bidi="ar"/>
              </w:rPr>
              <w:t>3、统计分析：对厂房仓库信息进行查询。</w:t>
            </w:r>
          </w:p>
        </w:tc>
      </w:tr>
      <w:tr w14:paraId="76231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356434AE">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115</w:t>
            </w:r>
          </w:p>
        </w:tc>
        <w:tc>
          <w:tcPr>
            <w:tcW w:w="447" w:type="pct"/>
            <w:vMerge w:val="continue"/>
            <w:tcBorders>
              <w:tl2br w:val="nil"/>
              <w:tr2bl w:val="nil"/>
            </w:tcBorders>
            <w:vAlign w:val="center"/>
          </w:tcPr>
          <w:p w14:paraId="07F380ED">
            <w:pPr>
              <w:spacing w:line="240" w:lineRule="auto"/>
              <w:jc w:val="left"/>
              <w:rPr>
                <w:rFonts w:hint="eastAsia" w:cs="宋体"/>
                <w:color w:val="000000"/>
              </w:rPr>
            </w:pPr>
          </w:p>
        </w:tc>
        <w:tc>
          <w:tcPr>
            <w:tcW w:w="453" w:type="pct"/>
            <w:vMerge w:val="restart"/>
            <w:tcBorders>
              <w:tl2br w:val="nil"/>
              <w:tr2bl w:val="nil"/>
            </w:tcBorders>
            <w:vAlign w:val="center"/>
          </w:tcPr>
          <w:p w14:paraId="6A477FFE">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综合展示应用</w:t>
            </w:r>
          </w:p>
        </w:tc>
        <w:tc>
          <w:tcPr>
            <w:tcW w:w="429" w:type="pct"/>
            <w:tcBorders>
              <w:tl2br w:val="nil"/>
              <w:tr2bl w:val="nil"/>
            </w:tcBorders>
            <w:vAlign w:val="center"/>
          </w:tcPr>
          <w:p w14:paraId="4D72A98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安全生产综合展示</w:t>
            </w:r>
          </w:p>
        </w:tc>
        <w:tc>
          <w:tcPr>
            <w:tcW w:w="3289" w:type="pct"/>
            <w:tcBorders>
              <w:tl2br w:val="nil"/>
              <w:tr2bl w:val="nil"/>
            </w:tcBorders>
            <w:vAlign w:val="center"/>
          </w:tcPr>
          <w:p w14:paraId="45DB37CF">
            <w:pPr>
              <w:widowControl/>
              <w:spacing w:line="240" w:lineRule="auto"/>
              <w:ind w:firstLine="0" w:firstLineChars="0"/>
              <w:textAlignment w:val="center"/>
              <w:rPr>
                <w:rFonts w:hint="eastAsia" w:cs="宋体"/>
                <w:color w:val="000000"/>
              </w:rPr>
            </w:pPr>
            <w:r>
              <w:rPr>
                <w:rFonts w:hint="eastAsia" w:cs="宋体"/>
                <w:color w:val="000000"/>
                <w:kern w:val="0"/>
                <w:lang w:bidi="ar"/>
              </w:rPr>
              <w:t>"安全生产综合展示"集中展示新片区总体企业各方面安全生产管理现状，包括监管企业的各类数据汇总分析、双控管理及数据分析等内容。监管企业的各类数据汇总分析包括企业类型汇总、企业短板分析与企业数据预警等；双控管理集成算法进行动态评估风险与隐患，以便分级开展监管；数据多维分析，挖掘隐患规律，支撑管理优化，对现状提出合理化建议，通过分析实现企业的分类分级等。</w:t>
            </w:r>
          </w:p>
        </w:tc>
      </w:tr>
      <w:tr w14:paraId="3197C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4153420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116</w:t>
            </w:r>
          </w:p>
        </w:tc>
        <w:tc>
          <w:tcPr>
            <w:tcW w:w="447" w:type="pct"/>
            <w:vMerge w:val="continue"/>
            <w:tcBorders>
              <w:tl2br w:val="nil"/>
              <w:tr2bl w:val="nil"/>
            </w:tcBorders>
            <w:vAlign w:val="center"/>
          </w:tcPr>
          <w:p w14:paraId="1518AAEA">
            <w:pPr>
              <w:spacing w:line="240" w:lineRule="auto"/>
              <w:jc w:val="left"/>
              <w:rPr>
                <w:rFonts w:hint="eastAsia" w:cs="宋体"/>
                <w:color w:val="000000"/>
              </w:rPr>
            </w:pPr>
          </w:p>
        </w:tc>
        <w:tc>
          <w:tcPr>
            <w:tcW w:w="453" w:type="pct"/>
            <w:vMerge w:val="continue"/>
            <w:tcBorders>
              <w:tl2br w:val="nil"/>
              <w:tr2bl w:val="nil"/>
            </w:tcBorders>
            <w:vAlign w:val="center"/>
          </w:tcPr>
          <w:p w14:paraId="43BAC69C">
            <w:pPr>
              <w:spacing w:line="240" w:lineRule="auto"/>
              <w:jc w:val="left"/>
              <w:rPr>
                <w:rFonts w:hint="eastAsia" w:cs="宋体"/>
                <w:color w:val="000000"/>
              </w:rPr>
            </w:pPr>
          </w:p>
        </w:tc>
        <w:tc>
          <w:tcPr>
            <w:tcW w:w="429" w:type="pct"/>
            <w:tcBorders>
              <w:tl2br w:val="nil"/>
              <w:tr2bl w:val="nil"/>
            </w:tcBorders>
            <w:vAlign w:val="center"/>
          </w:tcPr>
          <w:p w14:paraId="278931B1">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九小场所综合展示</w:t>
            </w:r>
          </w:p>
        </w:tc>
        <w:tc>
          <w:tcPr>
            <w:tcW w:w="3289" w:type="pct"/>
            <w:tcBorders>
              <w:tl2br w:val="nil"/>
              <w:tr2bl w:val="nil"/>
            </w:tcBorders>
            <w:vAlign w:val="center"/>
          </w:tcPr>
          <w:p w14:paraId="65875E23">
            <w:pPr>
              <w:widowControl/>
              <w:spacing w:line="240" w:lineRule="auto"/>
              <w:ind w:firstLine="0" w:firstLineChars="0"/>
              <w:textAlignment w:val="center"/>
              <w:rPr>
                <w:rFonts w:hint="eastAsia" w:cs="宋体"/>
                <w:color w:val="000000"/>
              </w:rPr>
            </w:pPr>
            <w:r>
              <w:rPr>
                <w:rFonts w:hint="eastAsia" w:cs="宋体"/>
                <w:color w:val="000000"/>
                <w:kern w:val="0"/>
                <w:lang w:bidi="ar"/>
              </w:rPr>
              <w:t>深度融合档案管理与隐患排查数据，构建多维度分析体系。一方面，通过整合场所基础信息、历史隐患记录、整改完成率等数据，实现按区域、行业类型、隐患高发时段等条件的分类统计；另一方面，运用可视化图表直观呈现隐患分布热力图、风险等级占比、整改效率趋势等分析结果，帮助管理者快速定位高风险区域与薄弱环节。此外，系统还支持动态对比分析，如不同时期隐患数量变化、同类场所风险差异等，为精准施策、制定长效监管机制提供数据支撑，推动九小场所安全管理从被动排查向主动防控转变</w:t>
            </w:r>
          </w:p>
        </w:tc>
      </w:tr>
      <w:tr w14:paraId="4EB04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381" w:type="pct"/>
            <w:tcBorders>
              <w:tl2br w:val="nil"/>
              <w:tr2bl w:val="nil"/>
            </w:tcBorders>
            <w:vAlign w:val="center"/>
          </w:tcPr>
          <w:p w14:paraId="4205EC0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117</w:t>
            </w:r>
          </w:p>
        </w:tc>
        <w:tc>
          <w:tcPr>
            <w:tcW w:w="447" w:type="pct"/>
            <w:vMerge w:val="continue"/>
            <w:tcBorders>
              <w:tl2br w:val="nil"/>
              <w:tr2bl w:val="nil"/>
            </w:tcBorders>
            <w:vAlign w:val="center"/>
          </w:tcPr>
          <w:p w14:paraId="34BEF96F">
            <w:pPr>
              <w:spacing w:line="240" w:lineRule="auto"/>
              <w:jc w:val="left"/>
              <w:rPr>
                <w:rFonts w:hint="eastAsia" w:cs="宋体"/>
                <w:color w:val="000000"/>
              </w:rPr>
            </w:pPr>
          </w:p>
        </w:tc>
        <w:tc>
          <w:tcPr>
            <w:tcW w:w="453" w:type="pct"/>
            <w:vMerge w:val="continue"/>
            <w:tcBorders>
              <w:tl2br w:val="nil"/>
              <w:tr2bl w:val="nil"/>
            </w:tcBorders>
            <w:vAlign w:val="center"/>
          </w:tcPr>
          <w:p w14:paraId="06F3002F">
            <w:pPr>
              <w:spacing w:line="240" w:lineRule="auto"/>
              <w:jc w:val="left"/>
              <w:rPr>
                <w:rFonts w:hint="eastAsia" w:cs="宋体"/>
                <w:color w:val="000000"/>
              </w:rPr>
            </w:pPr>
          </w:p>
        </w:tc>
        <w:tc>
          <w:tcPr>
            <w:tcW w:w="429" w:type="pct"/>
            <w:tcBorders>
              <w:tl2br w:val="nil"/>
              <w:tr2bl w:val="nil"/>
            </w:tcBorders>
            <w:vAlign w:val="center"/>
          </w:tcPr>
          <w:p w14:paraId="38B5B2AF">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安全在线综合展示</w:t>
            </w:r>
          </w:p>
        </w:tc>
        <w:tc>
          <w:tcPr>
            <w:tcW w:w="3289" w:type="pct"/>
            <w:tcBorders>
              <w:tl2br w:val="nil"/>
              <w:tr2bl w:val="nil"/>
            </w:tcBorders>
            <w:vAlign w:val="center"/>
          </w:tcPr>
          <w:p w14:paraId="57AA2EFD">
            <w:pPr>
              <w:widowControl/>
              <w:spacing w:line="240" w:lineRule="auto"/>
              <w:ind w:firstLine="0" w:firstLineChars="0"/>
              <w:textAlignment w:val="center"/>
              <w:rPr>
                <w:rFonts w:hint="eastAsia" w:cs="宋体"/>
                <w:color w:val="000000"/>
              </w:rPr>
            </w:pPr>
            <w:r>
              <w:rPr>
                <w:rFonts w:hint="eastAsia" w:cs="宋体"/>
                <w:color w:val="000000"/>
                <w:kern w:val="0"/>
                <w:lang w:bidi="ar"/>
              </w:rPr>
              <w:t>"安全在线"场景整合新片区安全生产教育培训全周期数据，核心展示四大板块：培训概览动态更新参训人次、覆盖范围等统计信息；课程管理模块分类呈现课程体系及排期，在线学习情况；学习考核可视化追踪个人/企业学习情况，配套资源下载情况等；效果评估结合考试得分、实操考核数据生成统计报表，智能推荐补强课程。多维度数据辅助优化培训计划，助力提升新片区安全素养培训效能。</w:t>
            </w:r>
          </w:p>
        </w:tc>
      </w:tr>
      <w:tr w14:paraId="38889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1390388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118</w:t>
            </w:r>
          </w:p>
        </w:tc>
        <w:tc>
          <w:tcPr>
            <w:tcW w:w="447" w:type="pct"/>
            <w:vMerge w:val="continue"/>
            <w:tcBorders>
              <w:tl2br w:val="nil"/>
              <w:tr2bl w:val="nil"/>
            </w:tcBorders>
            <w:vAlign w:val="center"/>
          </w:tcPr>
          <w:p w14:paraId="5D83C728">
            <w:pPr>
              <w:spacing w:line="240" w:lineRule="auto"/>
              <w:jc w:val="left"/>
              <w:rPr>
                <w:rFonts w:hint="eastAsia" w:cs="宋体"/>
                <w:color w:val="000000"/>
              </w:rPr>
            </w:pPr>
          </w:p>
        </w:tc>
        <w:tc>
          <w:tcPr>
            <w:tcW w:w="453" w:type="pct"/>
            <w:vMerge w:val="continue"/>
            <w:tcBorders>
              <w:tl2br w:val="nil"/>
              <w:tr2bl w:val="nil"/>
            </w:tcBorders>
            <w:vAlign w:val="center"/>
          </w:tcPr>
          <w:p w14:paraId="6ECDFCBF">
            <w:pPr>
              <w:spacing w:line="240" w:lineRule="auto"/>
              <w:jc w:val="left"/>
              <w:rPr>
                <w:rFonts w:hint="eastAsia" w:cs="宋体"/>
                <w:color w:val="000000"/>
              </w:rPr>
            </w:pPr>
          </w:p>
        </w:tc>
        <w:tc>
          <w:tcPr>
            <w:tcW w:w="429" w:type="pct"/>
            <w:tcBorders>
              <w:tl2br w:val="nil"/>
              <w:tr2bl w:val="nil"/>
            </w:tcBorders>
            <w:vAlign w:val="center"/>
          </w:tcPr>
          <w:p w14:paraId="7B8F6963">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厂房仓库综合展示</w:t>
            </w:r>
          </w:p>
        </w:tc>
        <w:tc>
          <w:tcPr>
            <w:tcW w:w="3289" w:type="pct"/>
            <w:tcBorders>
              <w:tl2br w:val="nil"/>
              <w:tr2bl w:val="nil"/>
            </w:tcBorders>
            <w:vAlign w:val="center"/>
          </w:tcPr>
          <w:p w14:paraId="32FFDCDB">
            <w:pPr>
              <w:widowControl/>
              <w:spacing w:line="240" w:lineRule="auto"/>
              <w:ind w:firstLine="0" w:firstLineChars="0"/>
              <w:textAlignment w:val="center"/>
              <w:rPr>
                <w:rFonts w:hint="eastAsia" w:cs="宋体"/>
                <w:color w:val="000000"/>
              </w:rPr>
            </w:pPr>
            <w:r>
              <w:rPr>
                <w:rFonts w:hint="eastAsia" w:cs="宋体"/>
                <w:color w:val="000000"/>
                <w:kern w:val="0"/>
                <w:lang w:bidi="ar"/>
              </w:rPr>
              <w:t>厂房仓库综合展示功能深度整合基础档案、安全监管与运营数据，构建多维度分析与可视化体系。系统支持对厂房仓库的地址分布、面积规模、主营业务类型等基础信息进行统计分析，以地图热力图呈现区域集聚特征；结合隐患排查、特殊作业等安全数据，生成风险等级分布图、隐患高发类型占比等可视化图表，直观定位安全薄弱环节。同时，通过对转租情况、使用效率等运营数据的交叉分析，展示厂房仓库的动态使用趋势，为企业优化资源配置、监管部门制定安全管控策略提供数据驱动的决策依据，实现从基础管理到智能分析的全链条升级</w:t>
            </w:r>
          </w:p>
        </w:tc>
      </w:tr>
      <w:tr w14:paraId="1EF00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2B867F9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119</w:t>
            </w:r>
          </w:p>
        </w:tc>
        <w:tc>
          <w:tcPr>
            <w:tcW w:w="447" w:type="pct"/>
            <w:vMerge w:val="continue"/>
            <w:tcBorders>
              <w:tl2br w:val="nil"/>
              <w:tr2bl w:val="nil"/>
            </w:tcBorders>
            <w:vAlign w:val="center"/>
          </w:tcPr>
          <w:p w14:paraId="5D75E364">
            <w:pPr>
              <w:spacing w:line="240" w:lineRule="auto"/>
              <w:jc w:val="left"/>
              <w:rPr>
                <w:rFonts w:hint="eastAsia" w:cs="宋体"/>
                <w:color w:val="000000"/>
              </w:rPr>
            </w:pPr>
          </w:p>
        </w:tc>
        <w:tc>
          <w:tcPr>
            <w:tcW w:w="453" w:type="pct"/>
            <w:vMerge w:val="continue"/>
            <w:tcBorders>
              <w:tl2br w:val="nil"/>
              <w:tr2bl w:val="nil"/>
            </w:tcBorders>
            <w:vAlign w:val="center"/>
          </w:tcPr>
          <w:p w14:paraId="7B23086B">
            <w:pPr>
              <w:spacing w:line="240" w:lineRule="auto"/>
              <w:jc w:val="left"/>
              <w:rPr>
                <w:rFonts w:hint="eastAsia" w:cs="宋体"/>
                <w:color w:val="000000"/>
              </w:rPr>
            </w:pPr>
          </w:p>
        </w:tc>
        <w:tc>
          <w:tcPr>
            <w:tcW w:w="429" w:type="pct"/>
            <w:tcBorders>
              <w:tl2br w:val="nil"/>
              <w:tr2bl w:val="nil"/>
            </w:tcBorders>
            <w:vAlign w:val="center"/>
          </w:tcPr>
          <w:p w14:paraId="013C27DC">
            <w:pPr>
              <w:widowControl/>
              <w:spacing w:line="240" w:lineRule="auto"/>
              <w:ind w:firstLine="0" w:firstLineChars="0"/>
              <w:textAlignment w:val="center"/>
              <w:rPr>
                <w:rFonts w:hint="eastAsia" w:cs="宋体"/>
                <w:color w:val="000000"/>
              </w:rPr>
            </w:pPr>
            <w:r>
              <w:rPr>
                <w:rFonts w:hint="eastAsia" w:cs="宋体"/>
                <w:color w:val="000000"/>
                <w:kern w:val="0"/>
                <w:lang w:bidi="ar"/>
              </w:rPr>
              <w:t>行政检查综合展示</w:t>
            </w:r>
          </w:p>
        </w:tc>
        <w:tc>
          <w:tcPr>
            <w:tcW w:w="3289" w:type="pct"/>
            <w:tcBorders>
              <w:tl2br w:val="nil"/>
              <w:tr2bl w:val="nil"/>
            </w:tcBorders>
            <w:vAlign w:val="center"/>
          </w:tcPr>
          <w:p w14:paraId="1B3E86A5">
            <w:pPr>
              <w:widowControl/>
              <w:spacing w:line="240" w:lineRule="auto"/>
              <w:ind w:firstLine="0" w:firstLineChars="0"/>
              <w:textAlignment w:val="center"/>
              <w:rPr>
                <w:rFonts w:hint="eastAsia" w:cs="宋体"/>
                <w:color w:val="000000"/>
              </w:rPr>
            </w:pPr>
            <w:r>
              <w:rPr>
                <w:rFonts w:hint="eastAsia" w:cs="宋体"/>
                <w:color w:val="000000"/>
                <w:kern w:val="0"/>
                <w:lang w:bidi="ar"/>
              </w:rPr>
              <w:t>深度整合检查记录、隐患数据与整改流程，构建全方位、可视化的分析体系。支持将企业行政检查记录按时间轴、检查类型进行分类梳理，通过热力地图直观呈现检查区域分布密度，精准定位高频检查与监管薄弱区域；同时，以动态图表形式展示隐患数量趋势、整改完成率、超期未整改占比等核心指标，自动生成风险预警清单。此外，通过跨企业、跨时段的检查数据对比分析，挖掘隐患高发共性问题，为监管部门优化检查策略、推动企业落实主体责任提供数据支撑，助力提升行政检查效能与安全治理水平</w:t>
            </w:r>
          </w:p>
        </w:tc>
      </w:tr>
      <w:tr w14:paraId="39FBC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 w:hRule="atLeast"/>
        </w:trPr>
        <w:tc>
          <w:tcPr>
            <w:tcW w:w="381" w:type="pct"/>
            <w:tcBorders>
              <w:tl2br w:val="nil"/>
              <w:tr2bl w:val="nil"/>
            </w:tcBorders>
            <w:vAlign w:val="center"/>
          </w:tcPr>
          <w:p w14:paraId="4B44A19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120</w:t>
            </w:r>
          </w:p>
        </w:tc>
        <w:tc>
          <w:tcPr>
            <w:tcW w:w="447" w:type="pct"/>
            <w:vMerge w:val="continue"/>
            <w:tcBorders>
              <w:tl2br w:val="nil"/>
              <w:tr2bl w:val="nil"/>
            </w:tcBorders>
            <w:vAlign w:val="center"/>
          </w:tcPr>
          <w:p w14:paraId="5276328C">
            <w:pPr>
              <w:spacing w:line="240" w:lineRule="auto"/>
              <w:jc w:val="left"/>
              <w:rPr>
                <w:rFonts w:hint="eastAsia" w:cs="宋体"/>
                <w:color w:val="000000"/>
              </w:rPr>
            </w:pPr>
          </w:p>
        </w:tc>
        <w:tc>
          <w:tcPr>
            <w:tcW w:w="453" w:type="pct"/>
            <w:vMerge w:val="continue"/>
            <w:tcBorders>
              <w:tl2br w:val="nil"/>
              <w:tr2bl w:val="nil"/>
            </w:tcBorders>
            <w:vAlign w:val="center"/>
          </w:tcPr>
          <w:p w14:paraId="05CDBD08">
            <w:pPr>
              <w:spacing w:line="240" w:lineRule="auto"/>
              <w:jc w:val="left"/>
              <w:rPr>
                <w:rFonts w:hint="eastAsia" w:cs="宋体"/>
                <w:color w:val="000000"/>
              </w:rPr>
            </w:pPr>
          </w:p>
        </w:tc>
        <w:tc>
          <w:tcPr>
            <w:tcW w:w="429" w:type="pct"/>
            <w:tcBorders>
              <w:tl2br w:val="nil"/>
              <w:tr2bl w:val="nil"/>
            </w:tcBorders>
            <w:vAlign w:val="center"/>
          </w:tcPr>
          <w:p w14:paraId="725136E7">
            <w:pPr>
              <w:widowControl/>
              <w:spacing w:line="240" w:lineRule="auto"/>
              <w:ind w:firstLine="0" w:firstLineChars="0"/>
              <w:textAlignment w:val="center"/>
              <w:rPr>
                <w:rFonts w:hint="eastAsia" w:cs="宋体"/>
                <w:color w:val="000000"/>
              </w:rPr>
            </w:pPr>
            <w:r>
              <w:rPr>
                <w:rFonts w:hint="eastAsia" w:cs="宋体"/>
                <w:color w:val="000000"/>
                <w:kern w:val="0"/>
                <w:lang w:bidi="ar"/>
              </w:rPr>
              <w:t>危化品专项综合展示</w:t>
            </w:r>
          </w:p>
        </w:tc>
        <w:tc>
          <w:tcPr>
            <w:tcW w:w="3289" w:type="pct"/>
            <w:tcBorders>
              <w:tl2br w:val="nil"/>
              <w:tr2bl w:val="nil"/>
            </w:tcBorders>
            <w:vAlign w:val="center"/>
          </w:tcPr>
          <w:p w14:paraId="39A39D89">
            <w:pPr>
              <w:widowControl/>
              <w:spacing w:line="240" w:lineRule="auto"/>
              <w:ind w:firstLine="0" w:firstLineChars="0"/>
              <w:textAlignment w:val="center"/>
              <w:rPr>
                <w:rFonts w:hint="eastAsia" w:cs="宋体"/>
                <w:color w:val="000000"/>
              </w:rPr>
            </w:pPr>
            <w:r>
              <w:rPr>
                <w:rFonts w:hint="eastAsia" w:cs="宋体"/>
                <w:color w:val="000000"/>
                <w:kern w:val="0"/>
                <w:lang w:bidi="ar"/>
              </w:rPr>
              <w:t>构建多维度统计分析体系。共分数据接入质量监控、仓储风险态势分析、全流程数据追溯、动态预警汇总等综合展示内容。通过全方位、多视角的数据综合展示，为危化品安全监管提供精准、实时的数据决策支持，有效提升行业安全管理水平，基于历史数据生成设备运行参数波动趋势、风险事件发生频次曲线，支持跨企业数据横向对比，挖掘行业共性风险与管理短板</w:t>
            </w:r>
          </w:p>
        </w:tc>
      </w:tr>
      <w:tr w14:paraId="68685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147C1075">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121</w:t>
            </w:r>
          </w:p>
        </w:tc>
        <w:tc>
          <w:tcPr>
            <w:tcW w:w="447" w:type="pct"/>
            <w:vMerge w:val="continue"/>
            <w:tcBorders>
              <w:tl2br w:val="nil"/>
              <w:tr2bl w:val="nil"/>
            </w:tcBorders>
            <w:vAlign w:val="center"/>
          </w:tcPr>
          <w:p w14:paraId="1D1013D6">
            <w:pPr>
              <w:spacing w:line="240" w:lineRule="auto"/>
              <w:jc w:val="left"/>
              <w:rPr>
                <w:rFonts w:hint="eastAsia" w:cs="宋体"/>
                <w:color w:val="000000"/>
              </w:rPr>
            </w:pPr>
          </w:p>
        </w:tc>
        <w:tc>
          <w:tcPr>
            <w:tcW w:w="453" w:type="pct"/>
            <w:vMerge w:val="restart"/>
            <w:tcBorders>
              <w:tl2br w:val="nil"/>
              <w:tr2bl w:val="nil"/>
            </w:tcBorders>
            <w:vAlign w:val="center"/>
          </w:tcPr>
          <w:p w14:paraId="4053E2D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轻应用端</w:t>
            </w:r>
          </w:p>
        </w:tc>
        <w:tc>
          <w:tcPr>
            <w:tcW w:w="429" w:type="pct"/>
            <w:tcBorders>
              <w:tl2br w:val="nil"/>
              <w:tr2bl w:val="nil"/>
            </w:tcBorders>
            <w:vAlign w:val="center"/>
          </w:tcPr>
          <w:p w14:paraId="5BE9A6CF">
            <w:pPr>
              <w:widowControl/>
              <w:spacing w:line="240" w:lineRule="auto"/>
              <w:ind w:firstLine="0" w:firstLineChars="0"/>
              <w:textAlignment w:val="center"/>
              <w:rPr>
                <w:rFonts w:hint="eastAsia" w:cs="宋体"/>
                <w:color w:val="000000"/>
              </w:rPr>
            </w:pPr>
            <w:r>
              <w:rPr>
                <w:rFonts w:hint="eastAsia" w:cs="宋体"/>
                <w:color w:val="000000"/>
                <w:kern w:val="0"/>
                <w:lang w:bidi="ar"/>
              </w:rPr>
              <w:t>行政监督检查</w:t>
            </w:r>
          </w:p>
        </w:tc>
        <w:tc>
          <w:tcPr>
            <w:tcW w:w="3289" w:type="pct"/>
            <w:tcBorders>
              <w:tl2br w:val="nil"/>
              <w:tr2bl w:val="nil"/>
            </w:tcBorders>
            <w:vAlign w:val="center"/>
          </w:tcPr>
          <w:p w14:paraId="3136BBFE">
            <w:pPr>
              <w:widowControl/>
              <w:spacing w:line="240" w:lineRule="auto"/>
              <w:ind w:firstLine="0" w:firstLineChars="0"/>
              <w:textAlignment w:val="center"/>
              <w:rPr>
                <w:rFonts w:hint="eastAsia" w:cs="宋体"/>
                <w:color w:val="000000"/>
              </w:rPr>
            </w:pPr>
            <w:r>
              <w:rPr>
                <w:rFonts w:hint="eastAsia" w:cs="宋体"/>
                <w:color w:val="000000"/>
                <w:kern w:val="0"/>
                <w:lang w:bidi="ar"/>
              </w:rPr>
              <w:t>移动端支持执法人员现场扫码 / 搜索定位被检查对象，调取预存的监管档案（如企业资质、历史检查记录），通过内置标准化检查清单逐项勾选，实时录入问题描述、拍摄现场照片 / 视频作为证据，同步生成《现场检查记录》并推送至被检查对象确认。支持离线模式下记录检查数据，联网后自动同步至监管系统，实现 “检查即录入、录入即存档” 的高效执法流程。</w:t>
            </w:r>
          </w:p>
        </w:tc>
      </w:tr>
      <w:tr w14:paraId="41866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4281583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122</w:t>
            </w:r>
          </w:p>
        </w:tc>
        <w:tc>
          <w:tcPr>
            <w:tcW w:w="447" w:type="pct"/>
            <w:vMerge w:val="continue"/>
            <w:tcBorders>
              <w:tl2br w:val="nil"/>
              <w:tr2bl w:val="nil"/>
            </w:tcBorders>
            <w:vAlign w:val="center"/>
          </w:tcPr>
          <w:p w14:paraId="6F14555F">
            <w:pPr>
              <w:spacing w:line="240" w:lineRule="auto"/>
              <w:jc w:val="left"/>
              <w:rPr>
                <w:rFonts w:hint="eastAsia" w:cs="宋体"/>
                <w:color w:val="000000"/>
              </w:rPr>
            </w:pPr>
          </w:p>
        </w:tc>
        <w:tc>
          <w:tcPr>
            <w:tcW w:w="453" w:type="pct"/>
            <w:vMerge w:val="continue"/>
            <w:tcBorders>
              <w:tl2br w:val="nil"/>
              <w:tr2bl w:val="nil"/>
            </w:tcBorders>
            <w:vAlign w:val="center"/>
          </w:tcPr>
          <w:p w14:paraId="45F325E2">
            <w:pPr>
              <w:spacing w:line="240" w:lineRule="auto"/>
              <w:jc w:val="left"/>
              <w:rPr>
                <w:rFonts w:hint="eastAsia" w:cs="宋体"/>
                <w:color w:val="000000"/>
              </w:rPr>
            </w:pPr>
          </w:p>
        </w:tc>
        <w:tc>
          <w:tcPr>
            <w:tcW w:w="429" w:type="pct"/>
            <w:tcBorders>
              <w:tl2br w:val="nil"/>
              <w:tr2bl w:val="nil"/>
            </w:tcBorders>
            <w:vAlign w:val="center"/>
          </w:tcPr>
          <w:p w14:paraId="797F8D78">
            <w:pPr>
              <w:widowControl/>
              <w:spacing w:line="240" w:lineRule="auto"/>
              <w:ind w:firstLine="0" w:firstLineChars="0"/>
              <w:textAlignment w:val="center"/>
              <w:rPr>
                <w:rFonts w:hint="eastAsia" w:cs="宋体"/>
                <w:color w:val="000000"/>
              </w:rPr>
            </w:pPr>
            <w:r>
              <w:rPr>
                <w:rFonts w:hint="eastAsia" w:cs="宋体"/>
                <w:color w:val="000000"/>
                <w:kern w:val="0"/>
                <w:lang w:bidi="ar"/>
              </w:rPr>
              <w:t>线上审查</w:t>
            </w:r>
          </w:p>
        </w:tc>
        <w:tc>
          <w:tcPr>
            <w:tcW w:w="3289" w:type="pct"/>
            <w:tcBorders>
              <w:tl2br w:val="nil"/>
              <w:tr2bl w:val="nil"/>
            </w:tcBorders>
            <w:vAlign w:val="center"/>
          </w:tcPr>
          <w:p w14:paraId="3A54BBB7">
            <w:pPr>
              <w:widowControl/>
              <w:spacing w:line="240" w:lineRule="auto"/>
              <w:ind w:firstLine="0" w:firstLineChars="0"/>
              <w:textAlignment w:val="center"/>
              <w:rPr>
                <w:rFonts w:hint="eastAsia" w:cs="宋体"/>
                <w:color w:val="000000"/>
              </w:rPr>
            </w:pPr>
            <w:r>
              <w:rPr>
                <w:rFonts w:hint="eastAsia" w:cs="宋体"/>
                <w:color w:val="000000"/>
                <w:kern w:val="0"/>
                <w:lang w:bidi="ar"/>
              </w:rPr>
              <w:t>被检查对象可通过移动端接收整改通知、行政文书等文件，在线提交整改报告（文字说明 + 整改前后对比图）、资质更新材料（如许可证延期申请）。执法人员远程审核材料合规性，标注需补充说明的细节并驳回，审核通过后自动触发复查流程，减少往返跑动成本，提升政务服务便捷性。</w:t>
            </w:r>
          </w:p>
        </w:tc>
      </w:tr>
      <w:tr w14:paraId="7438EA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05A47618">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123</w:t>
            </w:r>
          </w:p>
        </w:tc>
        <w:tc>
          <w:tcPr>
            <w:tcW w:w="447" w:type="pct"/>
            <w:vMerge w:val="continue"/>
            <w:tcBorders>
              <w:tl2br w:val="nil"/>
              <w:tr2bl w:val="nil"/>
            </w:tcBorders>
            <w:vAlign w:val="center"/>
          </w:tcPr>
          <w:p w14:paraId="43BA76B8">
            <w:pPr>
              <w:spacing w:line="240" w:lineRule="auto"/>
              <w:jc w:val="left"/>
              <w:rPr>
                <w:rFonts w:hint="eastAsia" w:cs="宋体"/>
                <w:color w:val="000000"/>
              </w:rPr>
            </w:pPr>
          </w:p>
        </w:tc>
        <w:tc>
          <w:tcPr>
            <w:tcW w:w="453" w:type="pct"/>
            <w:vMerge w:val="continue"/>
            <w:tcBorders>
              <w:tl2br w:val="nil"/>
              <w:tr2bl w:val="nil"/>
            </w:tcBorders>
            <w:vAlign w:val="center"/>
          </w:tcPr>
          <w:p w14:paraId="67B67F7F">
            <w:pPr>
              <w:spacing w:line="240" w:lineRule="auto"/>
              <w:jc w:val="left"/>
              <w:rPr>
                <w:rFonts w:hint="eastAsia" w:cs="宋体"/>
                <w:color w:val="000000"/>
              </w:rPr>
            </w:pPr>
          </w:p>
        </w:tc>
        <w:tc>
          <w:tcPr>
            <w:tcW w:w="429" w:type="pct"/>
            <w:tcBorders>
              <w:tl2br w:val="nil"/>
              <w:tr2bl w:val="nil"/>
            </w:tcBorders>
            <w:vAlign w:val="center"/>
          </w:tcPr>
          <w:p w14:paraId="1BEF3291">
            <w:pPr>
              <w:widowControl/>
              <w:spacing w:line="240" w:lineRule="auto"/>
              <w:ind w:firstLine="0" w:firstLineChars="0"/>
              <w:textAlignment w:val="center"/>
              <w:rPr>
                <w:rFonts w:hint="eastAsia" w:cs="宋体"/>
                <w:color w:val="000000"/>
              </w:rPr>
            </w:pPr>
            <w:r>
              <w:rPr>
                <w:rFonts w:hint="eastAsia" w:cs="宋体"/>
                <w:color w:val="000000"/>
                <w:kern w:val="0"/>
                <w:lang w:bidi="ar"/>
              </w:rPr>
              <w:t>安全在线</w:t>
            </w:r>
          </w:p>
        </w:tc>
        <w:tc>
          <w:tcPr>
            <w:tcW w:w="3289" w:type="pct"/>
            <w:tcBorders>
              <w:tl2br w:val="nil"/>
              <w:tr2bl w:val="nil"/>
            </w:tcBorders>
            <w:vAlign w:val="center"/>
          </w:tcPr>
          <w:p w14:paraId="39590B80">
            <w:pPr>
              <w:widowControl/>
              <w:spacing w:line="240" w:lineRule="auto"/>
              <w:ind w:firstLine="0" w:firstLineChars="0"/>
              <w:textAlignment w:val="center"/>
              <w:rPr>
                <w:rFonts w:hint="eastAsia" w:cs="宋体"/>
                <w:color w:val="000000"/>
              </w:rPr>
            </w:pPr>
            <w:r>
              <w:rPr>
                <w:rFonts w:hint="eastAsia" w:cs="宋体"/>
                <w:color w:val="000000"/>
                <w:kern w:val="0"/>
                <w:lang w:bidi="ar"/>
              </w:rPr>
              <w:t>集成安全知识库与预警功能：实时推送危化品管理新规、安全生产事故案例等资讯；异常值触发移动端弹窗预警，显示风险位置、等级及处置建议；提供应急联系方式（如消防、急救）一键拨打，助力执法人员与企业快速响应安全事件。</w:t>
            </w:r>
          </w:p>
        </w:tc>
      </w:tr>
      <w:tr w14:paraId="55B2F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59A393FD">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124</w:t>
            </w:r>
          </w:p>
        </w:tc>
        <w:tc>
          <w:tcPr>
            <w:tcW w:w="447" w:type="pct"/>
            <w:vMerge w:val="continue"/>
            <w:tcBorders>
              <w:tl2br w:val="nil"/>
              <w:tr2bl w:val="nil"/>
            </w:tcBorders>
            <w:vAlign w:val="center"/>
          </w:tcPr>
          <w:p w14:paraId="637DA9E6">
            <w:pPr>
              <w:spacing w:line="240" w:lineRule="auto"/>
              <w:jc w:val="left"/>
              <w:rPr>
                <w:rFonts w:hint="eastAsia" w:cs="宋体"/>
                <w:color w:val="000000"/>
              </w:rPr>
            </w:pPr>
          </w:p>
        </w:tc>
        <w:tc>
          <w:tcPr>
            <w:tcW w:w="453" w:type="pct"/>
            <w:vMerge w:val="continue"/>
            <w:tcBorders>
              <w:tl2br w:val="nil"/>
              <w:tr2bl w:val="nil"/>
            </w:tcBorders>
            <w:vAlign w:val="center"/>
          </w:tcPr>
          <w:p w14:paraId="45BDBA90">
            <w:pPr>
              <w:spacing w:line="240" w:lineRule="auto"/>
              <w:jc w:val="left"/>
              <w:rPr>
                <w:rFonts w:hint="eastAsia" w:cs="宋体"/>
                <w:color w:val="000000"/>
              </w:rPr>
            </w:pPr>
          </w:p>
        </w:tc>
        <w:tc>
          <w:tcPr>
            <w:tcW w:w="429" w:type="pct"/>
            <w:tcBorders>
              <w:tl2br w:val="nil"/>
              <w:tr2bl w:val="nil"/>
            </w:tcBorders>
            <w:vAlign w:val="center"/>
          </w:tcPr>
          <w:p w14:paraId="119DDC92">
            <w:pPr>
              <w:widowControl/>
              <w:spacing w:line="240" w:lineRule="auto"/>
              <w:ind w:firstLine="0" w:firstLineChars="0"/>
              <w:textAlignment w:val="center"/>
              <w:rPr>
                <w:rFonts w:hint="eastAsia" w:cs="宋体"/>
                <w:color w:val="000000"/>
              </w:rPr>
            </w:pPr>
            <w:r>
              <w:rPr>
                <w:rFonts w:hint="eastAsia" w:cs="宋体"/>
                <w:color w:val="000000"/>
                <w:kern w:val="0"/>
                <w:lang w:bidi="ar"/>
              </w:rPr>
              <w:t>查询统计</w:t>
            </w:r>
          </w:p>
        </w:tc>
        <w:tc>
          <w:tcPr>
            <w:tcW w:w="3289" w:type="pct"/>
            <w:tcBorders>
              <w:tl2br w:val="nil"/>
              <w:tr2bl w:val="nil"/>
            </w:tcBorders>
            <w:vAlign w:val="center"/>
          </w:tcPr>
          <w:p w14:paraId="32D3F06A">
            <w:pPr>
              <w:widowControl/>
              <w:spacing w:line="240" w:lineRule="auto"/>
              <w:ind w:firstLine="0" w:firstLineChars="0"/>
              <w:textAlignment w:val="center"/>
              <w:rPr>
                <w:rFonts w:hint="eastAsia" w:cs="宋体"/>
                <w:color w:val="000000"/>
              </w:rPr>
            </w:pPr>
            <w:r>
              <w:rPr>
                <w:rFonts w:hint="eastAsia" w:cs="宋体"/>
                <w:color w:val="000000"/>
                <w:kern w:val="0"/>
                <w:lang w:bidi="ar"/>
              </w:rPr>
              <w:t>支持多维度数据查询：执法人员可按 “企业名称”“检查时间”“问题类型” 检索历史检查记录，查看整改闭环状态；管理层通过移动端看板实时查看辖区内监管数据统计图表（如当月检查企业数量、整改完成率、高频隐患分布），数据自动同步至 PC 端大屏，满足移动办公场景下的决策需求。</w:t>
            </w:r>
          </w:p>
        </w:tc>
      </w:tr>
      <w:tr w14:paraId="522BC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381" w:type="pct"/>
            <w:tcBorders>
              <w:tl2br w:val="nil"/>
              <w:tr2bl w:val="nil"/>
            </w:tcBorders>
            <w:vAlign w:val="center"/>
          </w:tcPr>
          <w:p w14:paraId="04DA86C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125</w:t>
            </w:r>
          </w:p>
        </w:tc>
        <w:tc>
          <w:tcPr>
            <w:tcW w:w="447" w:type="pct"/>
            <w:vMerge w:val="continue"/>
            <w:tcBorders>
              <w:tl2br w:val="nil"/>
              <w:tr2bl w:val="nil"/>
            </w:tcBorders>
            <w:vAlign w:val="center"/>
          </w:tcPr>
          <w:p w14:paraId="2346E4D9">
            <w:pPr>
              <w:spacing w:line="240" w:lineRule="auto"/>
              <w:jc w:val="left"/>
              <w:rPr>
                <w:rFonts w:hint="eastAsia" w:cs="宋体"/>
                <w:color w:val="000000"/>
              </w:rPr>
            </w:pPr>
          </w:p>
        </w:tc>
        <w:tc>
          <w:tcPr>
            <w:tcW w:w="453" w:type="pct"/>
            <w:vMerge w:val="continue"/>
            <w:tcBorders>
              <w:tl2br w:val="nil"/>
              <w:tr2bl w:val="nil"/>
            </w:tcBorders>
            <w:vAlign w:val="center"/>
          </w:tcPr>
          <w:p w14:paraId="06677B78">
            <w:pPr>
              <w:spacing w:line="240" w:lineRule="auto"/>
              <w:jc w:val="left"/>
              <w:rPr>
                <w:rFonts w:hint="eastAsia" w:cs="宋体"/>
                <w:color w:val="000000"/>
              </w:rPr>
            </w:pPr>
          </w:p>
        </w:tc>
        <w:tc>
          <w:tcPr>
            <w:tcW w:w="429" w:type="pct"/>
            <w:tcBorders>
              <w:tl2br w:val="nil"/>
              <w:tr2bl w:val="nil"/>
            </w:tcBorders>
            <w:vAlign w:val="center"/>
          </w:tcPr>
          <w:p w14:paraId="02CC30B2">
            <w:pPr>
              <w:widowControl/>
              <w:spacing w:line="240" w:lineRule="auto"/>
              <w:ind w:firstLine="0" w:firstLineChars="0"/>
              <w:textAlignment w:val="center"/>
              <w:rPr>
                <w:rFonts w:hint="eastAsia" w:cs="宋体"/>
                <w:color w:val="000000"/>
              </w:rPr>
            </w:pPr>
            <w:r>
              <w:rPr>
                <w:rFonts w:hint="eastAsia" w:cs="宋体"/>
                <w:color w:val="000000"/>
                <w:kern w:val="0"/>
                <w:lang w:bidi="ar"/>
              </w:rPr>
              <w:t>风险上报</w:t>
            </w:r>
          </w:p>
        </w:tc>
        <w:tc>
          <w:tcPr>
            <w:tcW w:w="3289" w:type="pct"/>
            <w:tcBorders>
              <w:tl2br w:val="nil"/>
              <w:tr2bl w:val="nil"/>
            </w:tcBorders>
            <w:vAlign w:val="center"/>
          </w:tcPr>
          <w:p w14:paraId="4D6F8C2B">
            <w:pPr>
              <w:widowControl/>
              <w:spacing w:line="240" w:lineRule="auto"/>
              <w:ind w:firstLine="0" w:firstLineChars="0"/>
              <w:textAlignment w:val="center"/>
              <w:rPr>
                <w:rFonts w:hint="eastAsia" w:cs="宋体"/>
                <w:color w:val="000000"/>
              </w:rPr>
            </w:pPr>
            <w:r>
              <w:rPr>
                <w:rFonts w:hint="eastAsia" w:cs="宋体"/>
                <w:color w:val="000000"/>
                <w:kern w:val="0"/>
                <w:lang w:bidi="ar"/>
              </w:rPr>
              <w:t>发现安全隐患可随时拍照上传，填写位置信息与隐患描述，系统自动识别风险等级并分派至对应监管部门。上报人可跟踪处理进度，对已结案事项进行满意度评价，形成 “全民参与、快速响应” 的风险防控网络。</w:t>
            </w:r>
          </w:p>
        </w:tc>
      </w:tr>
      <w:tr w14:paraId="2DD0F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4C0C0C8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126</w:t>
            </w:r>
          </w:p>
        </w:tc>
        <w:tc>
          <w:tcPr>
            <w:tcW w:w="447" w:type="pct"/>
            <w:vMerge w:val="continue"/>
            <w:tcBorders>
              <w:tl2br w:val="nil"/>
              <w:tr2bl w:val="nil"/>
            </w:tcBorders>
            <w:vAlign w:val="center"/>
          </w:tcPr>
          <w:p w14:paraId="4735F7C6">
            <w:pPr>
              <w:spacing w:line="240" w:lineRule="auto"/>
              <w:jc w:val="left"/>
              <w:rPr>
                <w:rFonts w:hint="eastAsia" w:cs="宋体"/>
                <w:color w:val="000000"/>
              </w:rPr>
            </w:pPr>
          </w:p>
        </w:tc>
        <w:tc>
          <w:tcPr>
            <w:tcW w:w="453" w:type="pct"/>
            <w:vMerge w:val="continue"/>
            <w:tcBorders>
              <w:tl2br w:val="nil"/>
              <w:tr2bl w:val="nil"/>
            </w:tcBorders>
            <w:vAlign w:val="center"/>
          </w:tcPr>
          <w:p w14:paraId="2E41FE64">
            <w:pPr>
              <w:spacing w:line="240" w:lineRule="auto"/>
              <w:jc w:val="left"/>
              <w:rPr>
                <w:rFonts w:hint="eastAsia" w:cs="宋体"/>
                <w:color w:val="000000"/>
              </w:rPr>
            </w:pPr>
          </w:p>
        </w:tc>
        <w:tc>
          <w:tcPr>
            <w:tcW w:w="429" w:type="pct"/>
            <w:tcBorders>
              <w:tl2br w:val="nil"/>
              <w:tr2bl w:val="nil"/>
            </w:tcBorders>
            <w:vAlign w:val="center"/>
          </w:tcPr>
          <w:p w14:paraId="58F07CCD">
            <w:pPr>
              <w:widowControl/>
              <w:spacing w:line="240" w:lineRule="auto"/>
              <w:ind w:firstLine="0" w:firstLineChars="0"/>
              <w:textAlignment w:val="center"/>
              <w:rPr>
                <w:rFonts w:hint="eastAsia" w:cs="宋体"/>
                <w:color w:val="000000"/>
              </w:rPr>
            </w:pPr>
            <w:r>
              <w:rPr>
                <w:rFonts w:hint="eastAsia" w:cs="宋体"/>
                <w:color w:val="000000"/>
                <w:kern w:val="0"/>
                <w:lang w:bidi="ar"/>
              </w:rPr>
              <w:t>基本信息管理</w:t>
            </w:r>
          </w:p>
        </w:tc>
        <w:tc>
          <w:tcPr>
            <w:tcW w:w="3289" w:type="pct"/>
            <w:tcBorders>
              <w:tl2br w:val="nil"/>
              <w:tr2bl w:val="nil"/>
            </w:tcBorders>
            <w:vAlign w:val="center"/>
          </w:tcPr>
          <w:p w14:paraId="7F434713">
            <w:pPr>
              <w:widowControl/>
              <w:spacing w:line="240" w:lineRule="auto"/>
              <w:ind w:firstLine="0" w:firstLineChars="0"/>
              <w:textAlignment w:val="center"/>
              <w:rPr>
                <w:rFonts w:hint="eastAsia" w:cs="宋体"/>
                <w:color w:val="000000"/>
              </w:rPr>
            </w:pPr>
            <w:r>
              <w:rPr>
                <w:rFonts w:hint="eastAsia" w:cs="宋体"/>
                <w:color w:val="000000"/>
                <w:kern w:val="0"/>
                <w:lang w:bidi="ar"/>
              </w:rPr>
              <w:t>移动端提供监管对象档案管理入口：可编辑 / 更新企业基本信息（如地址、负责人、经营范围）、上传证照附件（如营业执照、危化品经营许可证），查看企业信用评分与违法记录；支持批量导入 / 导出数据，与 PC 端系统实时同步，确保基础数据动态准确，为精准监管提供支撑。</w:t>
            </w:r>
          </w:p>
        </w:tc>
      </w:tr>
      <w:tr w14:paraId="28CC8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 w:hRule="atLeast"/>
        </w:trPr>
        <w:tc>
          <w:tcPr>
            <w:tcW w:w="381" w:type="pct"/>
            <w:tcBorders>
              <w:tl2br w:val="nil"/>
              <w:tr2bl w:val="nil"/>
            </w:tcBorders>
            <w:vAlign w:val="center"/>
          </w:tcPr>
          <w:p w14:paraId="7185A7A5">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127</w:t>
            </w:r>
          </w:p>
        </w:tc>
        <w:tc>
          <w:tcPr>
            <w:tcW w:w="447" w:type="pct"/>
            <w:vMerge w:val="continue"/>
            <w:tcBorders>
              <w:tl2br w:val="nil"/>
              <w:tr2bl w:val="nil"/>
            </w:tcBorders>
            <w:vAlign w:val="center"/>
          </w:tcPr>
          <w:p w14:paraId="1624707B">
            <w:pPr>
              <w:spacing w:line="240" w:lineRule="auto"/>
              <w:jc w:val="left"/>
              <w:rPr>
                <w:rFonts w:hint="eastAsia" w:cs="宋体"/>
                <w:color w:val="000000"/>
              </w:rPr>
            </w:pPr>
          </w:p>
        </w:tc>
        <w:tc>
          <w:tcPr>
            <w:tcW w:w="453" w:type="pct"/>
            <w:vMerge w:val="continue"/>
            <w:tcBorders>
              <w:tl2br w:val="nil"/>
              <w:tr2bl w:val="nil"/>
            </w:tcBorders>
            <w:vAlign w:val="center"/>
          </w:tcPr>
          <w:p w14:paraId="0ADD19EB">
            <w:pPr>
              <w:spacing w:line="240" w:lineRule="auto"/>
              <w:jc w:val="left"/>
              <w:rPr>
                <w:rFonts w:hint="eastAsia" w:cs="宋体"/>
                <w:color w:val="000000"/>
              </w:rPr>
            </w:pPr>
          </w:p>
        </w:tc>
        <w:tc>
          <w:tcPr>
            <w:tcW w:w="429" w:type="pct"/>
            <w:tcBorders>
              <w:tl2br w:val="nil"/>
              <w:tr2bl w:val="nil"/>
            </w:tcBorders>
            <w:vAlign w:val="center"/>
          </w:tcPr>
          <w:p w14:paraId="121610E3">
            <w:pPr>
              <w:widowControl/>
              <w:spacing w:line="240" w:lineRule="auto"/>
              <w:ind w:firstLine="0" w:firstLineChars="0"/>
              <w:textAlignment w:val="center"/>
              <w:rPr>
                <w:rFonts w:hint="eastAsia" w:cs="宋体"/>
                <w:color w:val="000000"/>
              </w:rPr>
            </w:pPr>
            <w:r>
              <w:rPr>
                <w:rFonts w:hint="eastAsia" w:cs="宋体"/>
                <w:color w:val="000000"/>
                <w:kern w:val="0"/>
                <w:lang w:bidi="ar"/>
              </w:rPr>
              <w:t>责令限期整改</w:t>
            </w:r>
          </w:p>
        </w:tc>
        <w:tc>
          <w:tcPr>
            <w:tcW w:w="3289" w:type="pct"/>
            <w:tcBorders>
              <w:tl2br w:val="nil"/>
              <w:tr2bl w:val="nil"/>
            </w:tcBorders>
            <w:vAlign w:val="center"/>
          </w:tcPr>
          <w:p w14:paraId="6CC6492A">
            <w:pPr>
              <w:widowControl/>
              <w:spacing w:line="240" w:lineRule="auto"/>
              <w:ind w:firstLine="0" w:firstLineChars="0"/>
              <w:textAlignment w:val="center"/>
              <w:rPr>
                <w:rFonts w:hint="eastAsia" w:cs="宋体"/>
                <w:color w:val="000000"/>
              </w:rPr>
            </w:pPr>
            <w:r>
              <w:rPr>
                <w:rFonts w:hint="eastAsia" w:cs="宋体"/>
                <w:color w:val="000000"/>
                <w:kern w:val="0"/>
                <w:lang w:bidi="ar"/>
              </w:rPr>
              <w:t>通过移动端对监管过程中发现的隐患责令限期整改。</w:t>
            </w:r>
          </w:p>
        </w:tc>
      </w:tr>
      <w:tr w14:paraId="159BB0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2" w:hRule="atLeast"/>
        </w:trPr>
        <w:tc>
          <w:tcPr>
            <w:tcW w:w="381" w:type="pct"/>
            <w:tcBorders>
              <w:tl2br w:val="nil"/>
              <w:tr2bl w:val="nil"/>
            </w:tcBorders>
            <w:vAlign w:val="center"/>
          </w:tcPr>
          <w:p w14:paraId="09748CAD">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128</w:t>
            </w:r>
          </w:p>
        </w:tc>
        <w:tc>
          <w:tcPr>
            <w:tcW w:w="447" w:type="pct"/>
            <w:vMerge w:val="restart"/>
            <w:tcBorders>
              <w:tl2br w:val="nil"/>
              <w:tr2bl w:val="nil"/>
            </w:tcBorders>
            <w:vAlign w:val="center"/>
          </w:tcPr>
          <w:p w14:paraId="34594C6E">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应急物资管理子系统升级</w:t>
            </w:r>
          </w:p>
        </w:tc>
        <w:tc>
          <w:tcPr>
            <w:tcW w:w="453" w:type="pct"/>
            <w:tcBorders>
              <w:tl2br w:val="nil"/>
              <w:tr2bl w:val="nil"/>
            </w:tcBorders>
            <w:vAlign w:val="center"/>
          </w:tcPr>
          <w:p w14:paraId="394767A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临期物资管理</w:t>
            </w:r>
          </w:p>
        </w:tc>
        <w:tc>
          <w:tcPr>
            <w:tcW w:w="429" w:type="pct"/>
            <w:tcBorders>
              <w:tl2br w:val="nil"/>
              <w:tr2bl w:val="nil"/>
            </w:tcBorders>
            <w:vAlign w:val="center"/>
          </w:tcPr>
          <w:p w14:paraId="3C24962E">
            <w:pPr>
              <w:spacing w:line="240" w:lineRule="auto"/>
              <w:jc w:val="center"/>
              <w:rPr>
                <w:rFonts w:hint="eastAsia" w:cs="宋体"/>
                <w:color w:val="000000"/>
              </w:rPr>
            </w:pPr>
          </w:p>
        </w:tc>
        <w:tc>
          <w:tcPr>
            <w:tcW w:w="3289" w:type="pct"/>
            <w:tcBorders>
              <w:tl2br w:val="nil"/>
              <w:tr2bl w:val="nil"/>
            </w:tcBorders>
            <w:vAlign w:val="center"/>
          </w:tcPr>
          <w:p w14:paraId="381C085A">
            <w:pPr>
              <w:widowControl/>
              <w:spacing w:line="240" w:lineRule="auto"/>
              <w:ind w:firstLine="0" w:firstLineChars="0"/>
              <w:textAlignment w:val="center"/>
              <w:rPr>
                <w:rFonts w:hint="eastAsia" w:cs="宋体"/>
                <w:color w:val="000000"/>
              </w:rPr>
            </w:pPr>
            <w:r>
              <w:rPr>
                <w:rFonts w:hint="eastAsia" w:cs="宋体"/>
                <w:color w:val="000000"/>
                <w:kern w:val="0"/>
                <w:lang w:bidi="ar"/>
              </w:rPr>
              <w:t>生产日期：记录每项物资的具体生产时间，作为计算保质期的起点。</w:t>
            </w:r>
            <w:r>
              <w:rPr>
                <w:rFonts w:hint="eastAsia" w:cs="宋体"/>
                <w:color w:val="000000"/>
                <w:kern w:val="0"/>
                <w:lang w:bidi="ar"/>
              </w:rPr>
              <w:br w:type="textWrapping"/>
            </w:r>
            <w:r>
              <w:rPr>
                <w:rFonts w:hint="eastAsia" w:cs="宋体"/>
                <w:color w:val="000000"/>
                <w:kern w:val="0"/>
                <w:lang w:bidi="ar"/>
              </w:rPr>
              <w:t>保质期：为每种物资设定一个明确的保质期限。</w:t>
            </w:r>
            <w:r>
              <w:rPr>
                <w:rFonts w:hint="eastAsia" w:cs="宋体"/>
                <w:color w:val="000000"/>
                <w:kern w:val="0"/>
                <w:lang w:bidi="ar"/>
              </w:rPr>
              <w:br w:type="textWrapping"/>
            </w:r>
            <w:r>
              <w:rPr>
                <w:rFonts w:hint="eastAsia" w:cs="宋体"/>
                <w:color w:val="000000"/>
                <w:kern w:val="0"/>
                <w:lang w:bidi="ar"/>
              </w:rPr>
              <w:t>阈值设定：临期提醒机制系统中设置了灵活的阈值设置功能，允许用户根据不同的物资类型和实际需求自定义临期提醒的时间点。</w:t>
            </w:r>
            <w:r>
              <w:rPr>
                <w:rFonts w:hint="eastAsia" w:cs="宋体"/>
                <w:color w:val="000000"/>
                <w:kern w:val="0"/>
                <w:lang w:bidi="ar"/>
              </w:rPr>
              <w:br w:type="textWrapping"/>
            </w:r>
            <w:r>
              <w:rPr>
                <w:rFonts w:hint="eastAsia" w:cs="宋体"/>
                <w:color w:val="000000"/>
                <w:kern w:val="0"/>
                <w:lang w:bidi="ar"/>
              </w:rPr>
              <w:t>临期提醒：当某项物资达到或接近设定的临时期限时，系统会自动发送短信给指定联系人（如仓库管理员、采购专员等），告知其具体的物资名称、数量以及剩余有效期等信息。系统支持短信提醒、系统弹窗提醒功能。</w:t>
            </w:r>
          </w:p>
        </w:tc>
      </w:tr>
      <w:tr w14:paraId="784C3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381929A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129</w:t>
            </w:r>
          </w:p>
        </w:tc>
        <w:tc>
          <w:tcPr>
            <w:tcW w:w="447" w:type="pct"/>
            <w:vMerge w:val="continue"/>
            <w:tcBorders>
              <w:tl2br w:val="nil"/>
              <w:tr2bl w:val="nil"/>
            </w:tcBorders>
            <w:vAlign w:val="center"/>
          </w:tcPr>
          <w:p w14:paraId="42ADBEB3">
            <w:pPr>
              <w:spacing w:line="240" w:lineRule="auto"/>
              <w:jc w:val="left"/>
              <w:rPr>
                <w:rFonts w:hint="eastAsia" w:cs="宋体"/>
                <w:color w:val="000000"/>
              </w:rPr>
            </w:pPr>
          </w:p>
        </w:tc>
        <w:tc>
          <w:tcPr>
            <w:tcW w:w="453" w:type="pct"/>
            <w:vMerge w:val="restart"/>
            <w:tcBorders>
              <w:tl2br w:val="nil"/>
              <w:tr2bl w:val="nil"/>
            </w:tcBorders>
            <w:vAlign w:val="center"/>
          </w:tcPr>
          <w:p w14:paraId="768F26A6">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流程改造</w:t>
            </w:r>
          </w:p>
        </w:tc>
        <w:tc>
          <w:tcPr>
            <w:tcW w:w="429" w:type="pct"/>
            <w:tcBorders>
              <w:tl2br w:val="nil"/>
              <w:tr2bl w:val="nil"/>
            </w:tcBorders>
            <w:vAlign w:val="center"/>
          </w:tcPr>
          <w:p w14:paraId="579BCEAF">
            <w:pPr>
              <w:widowControl/>
              <w:spacing w:line="240" w:lineRule="auto"/>
              <w:ind w:firstLine="0" w:firstLineChars="0"/>
              <w:textAlignment w:val="center"/>
              <w:rPr>
                <w:rFonts w:hint="eastAsia" w:cs="宋体"/>
                <w:color w:val="000000"/>
              </w:rPr>
            </w:pPr>
            <w:r>
              <w:rPr>
                <w:rFonts w:hint="eastAsia" w:cs="宋体"/>
                <w:color w:val="000000"/>
                <w:kern w:val="0"/>
                <w:lang w:bidi="ar"/>
              </w:rPr>
              <w:t>采购业务流程优化</w:t>
            </w:r>
          </w:p>
        </w:tc>
        <w:tc>
          <w:tcPr>
            <w:tcW w:w="3289" w:type="pct"/>
            <w:tcBorders>
              <w:tl2br w:val="nil"/>
              <w:tr2bl w:val="nil"/>
            </w:tcBorders>
            <w:vAlign w:val="center"/>
          </w:tcPr>
          <w:p w14:paraId="5949DAF3">
            <w:pPr>
              <w:widowControl/>
              <w:spacing w:line="240" w:lineRule="auto"/>
              <w:ind w:firstLine="0" w:firstLineChars="0"/>
              <w:textAlignment w:val="center"/>
              <w:rPr>
                <w:rFonts w:hint="eastAsia" w:cs="宋体"/>
                <w:color w:val="000000"/>
              </w:rPr>
            </w:pPr>
            <w:r>
              <w:rPr>
                <w:rFonts w:hint="eastAsia" w:cs="宋体"/>
                <w:color w:val="000000"/>
                <w:kern w:val="0"/>
                <w:lang w:bidi="ar"/>
              </w:rPr>
              <w:t>1）采购信息调整：支持在入库时，仓管人员对物资的规格、品牌、型号、单价、数量、种类等相关信息进行录入或修改。</w:t>
            </w:r>
            <w:r>
              <w:rPr>
                <w:rFonts w:hint="eastAsia" w:cs="宋体"/>
                <w:color w:val="000000"/>
                <w:kern w:val="0"/>
                <w:lang w:bidi="ar"/>
              </w:rPr>
              <w:br w:type="textWrapping"/>
            </w:r>
            <w:r>
              <w:rPr>
                <w:rFonts w:hint="eastAsia" w:cs="宋体"/>
                <w:color w:val="000000"/>
                <w:kern w:val="0"/>
                <w:lang w:bidi="ar"/>
              </w:rPr>
              <w:t>2）采购单对应多个入库：支持对采购入库单进行拆分以支持采购单从不同的仓库进行入库。</w:t>
            </w:r>
          </w:p>
        </w:tc>
      </w:tr>
      <w:tr w14:paraId="4700A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4" w:hRule="atLeast"/>
        </w:trPr>
        <w:tc>
          <w:tcPr>
            <w:tcW w:w="381" w:type="pct"/>
            <w:tcBorders>
              <w:tl2br w:val="nil"/>
              <w:tr2bl w:val="nil"/>
            </w:tcBorders>
            <w:vAlign w:val="center"/>
          </w:tcPr>
          <w:p w14:paraId="11136744">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130</w:t>
            </w:r>
          </w:p>
        </w:tc>
        <w:tc>
          <w:tcPr>
            <w:tcW w:w="447" w:type="pct"/>
            <w:vMerge w:val="continue"/>
            <w:tcBorders>
              <w:tl2br w:val="nil"/>
              <w:tr2bl w:val="nil"/>
            </w:tcBorders>
            <w:vAlign w:val="center"/>
          </w:tcPr>
          <w:p w14:paraId="271FB837">
            <w:pPr>
              <w:spacing w:line="240" w:lineRule="auto"/>
              <w:jc w:val="left"/>
              <w:rPr>
                <w:rFonts w:hint="eastAsia" w:cs="宋体"/>
                <w:color w:val="000000"/>
              </w:rPr>
            </w:pPr>
          </w:p>
        </w:tc>
        <w:tc>
          <w:tcPr>
            <w:tcW w:w="453" w:type="pct"/>
            <w:vMerge w:val="continue"/>
            <w:tcBorders>
              <w:tl2br w:val="nil"/>
              <w:tr2bl w:val="nil"/>
            </w:tcBorders>
            <w:vAlign w:val="center"/>
          </w:tcPr>
          <w:p w14:paraId="509AA2EF">
            <w:pPr>
              <w:spacing w:line="240" w:lineRule="auto"/>
              <w:jc w:val="left"/>
              <w:rPr>
                <w:rFonts w:hint="eastAsia" w:cs="宋体"/>
                <w:color w:val="000000"/>
              </w:rPr>
            </w:pPr>
          </w:p>
        </w:tc>
        <w:tc>
          <w:tcPr>
            <w:tcW w:w="429" w:type="pct"/>
            <w:tcBorders>
              <w:tl2br w:val="nil"/>
              <w:tr2bl w:val="nil"/>
            </w:tcBorders>
            <w:vAlign w:val="center"/>
          </w:tcPr>
          <w:p w14:paraId="232B8EB7">
            <w:pPr>
              <w:widowControl/>
              <w:spacing w:line="240" w:lineRule="auto"/>
              <w:ind w:firstLine="0" w:firstLineChars="0"/>
              <w:textAlignment w:val="center"/>
              <w:rPr>
                <w:rFonts w:hint="eastAsia" w:cs="宋体"/>
                <w:color w:val="000000"/>
              </w:rPr>
            </w:pPr>
            <w:r>
              <w:rPr>
                <w:rFonts w:hint="eastAsia" w:cs="宋体"/>
                <w:color w:val="000000"/>
                <w:kern w:val="0"/>
                <w:lang w:bidi="ar"/>
              </w:rPr>
              <w:t>物资申请流程优化</w:t>
            </w:r>
          </w:p>
        </w:tc>
        <w:tc>
          <w:tcPr>
            <w:tcW w:w="3289" w:type="pct"/>
            <w:tcBorders>
              <w:tl2br w:val="nil"/>
              <w:tr2bl w:val="nil"/>
            </w:tcBorders>
            <w:vAlign w:val="center"/>
          </w:tcPr>
          <w:p w14:paraId="407FC6C3">
            <w:pPr>
              <w:widowControl/>
              <w:spacing w:line="240" w:lineRule="auto"/>
              <w:ind w:firstLine="0" w:firstLineChars="0"/>
              <w:textAlignment w:val="center"/>
              <w:rPr>
                <w:rFonts w:hint="eastAsia" w:cs="宋体"/>
                <w:color w:val="000000"/>
              </w:rPr>
            </w:pPr>
            <w:r>
              <w:rPr>
                <w:rFonts w:hint="eastAsia" w:cs="宋体"/>
                <w:color w:val="000000"/>
                <w:kern w:val="0"/>
                <w:lang w:bidi="ar"/>
              </w:rPr>
              <w:t>1）新增审批节点：在现有基础上新增部门主要领导人审批节点。</w:t>
            </w:r>
            <w:r>
              <w:rPr>
                <w:rFonts w:hint="eastAsia" w:cs="宋体"/>
                <w:color w:val="000000"/>
                <w:kern w:val="0"/>
                <w:lang w:bidi="ar"/>
              </w:rPr>
              <w:br w:type="textWrapping"/>
            </w:r>
            <w:r>
              <w:rPr>
                <w:rFonts w:hint="eastAsia" w:cs="宋体"/>
                <w:color w:val="000000"/>
                <w:kern w:val="0"/>
                <w:lang w:bidi="ar"/>
              </w:rPr>
              <w:t>2）审核功能优化：新增审核人库存信息查询功能，实时查询申请单涉及的物资库存信息；新增审核人调整申请单功能，审核人可根据实际情况修改、核减申请物资。</w:t>
            </w:r>
            <w:r>
              <w:rPr>
                <w:rFonts w:hint="eastAsia" w:cs="宋体"/>
                <w:color w:val="000000"/>
                <w:kern w:val="0"/>
                <w:lang w:bidi="ar"/>
              </w:rPr>
              <w:br w:type="textWrapping"/>
            </w:r>
            <w:r>
              <w:rPr>
                <w:rFonts w:hint="eastAsia" w:cs="宋体"/>
                <w:color w:val="000000"/>
                <w:kern w:val="0"/>
                <w:lang w:bidi="ar"/>
              </w:rPr>
              <w:t>3）申请人信息查看：物资申请人申请单据在通过领导审批后，申请人可以进一步查看申请物资出库仓库的仓管员的联系方式和相关仓库地址；申请单在审核完成后需要增加对应的推送消息给相关的配给人员；物资配给完成后需要推送相关信息给对应仓管人员，提醒其进行操作；配给人员在进行配给操作时，需要看到全量的仓库信息。</w:t>
            </w:r>
            <w:r>
              <w:rPr>
                <w:rFonts w:hint="eastAsia" w:cs="宋体"/>
                <w:color w:val="000000"/>
                <w:kern w:val="0"/>
                <w:lang w:bidi="ar"/>
              </w:rPr>
              <w:br w:type="textWrapping"/>
            </w:r>
            <w:r>
              <w:rPr>
                <w:rFonts w:hint="eastAsia" w:cs="宋体"/>
                <w:color w:val="000000"/>
                <w:kern w:val="0"/>
                <w:lang w:bidi="ar"/>
              </w:rPr>
              <w:t>4）信息查询/打印：对每笔物资使用，可查询流转信息，设立对应的打印模板，方便进行打印操作。</w:t>
            </w:r>
          </w:p>
        </w:tc>
      </w:tr>
      <w:tr w14:paraId="034A1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0" w:hRule="atLeast"/>
        </w:trPr>
        <w:tc>
          <w:tcPr>
            <w:tcW w:w="381" w:type="pct"/>
            <w:tcBorders>
              <w:tl2br w:val="nil"/>
              <w:tr2bl w:val="nil"/>
            </w:tcBorders>
            <w:vAlign w:val="center"/>
          </w:tcPr>
          <w:p w14:paraId="1161CDA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131</w:t>
            </w:r>
          </w:p>
        </w:tc>
        <w:tc>
          <w:tcPr>
            <w:tcW w:w="447" w:type="pct"/>
            <w:vMerge w:val="continue"/>
            <w:tcBorders>
              <w:tl2br w:val="nil"/>
              <w:tr2bl w:val="nil"/>
            </w:tcBorders>
            <w:vAlign w:val="center"/>
          </w:tcPr>
          <w:p w14:paraId="3DAABEE5">
            <w:pPr>
              <w:spacing w:line="240" w:lineRule="auto"/>
              <w:jc w:val="left"/>
              <w:rPr>
                <w:rFonts w:hint="eastAsia" w:cs="宋体"/>
                <w:color w:val="000000"/>
              </w:rPr>
            </w:pPr>
          </w:p>
        </w:tc>
        <w:tc>
          <w:tcPr>
            <w:tcW w:w="453" w:type="pct"/>
            <w:vMerge w:val="continue"/>
            <w:tcBorders>
              <w:tl2br w:val="nil"/>
              <w:tr2bl w:val="nil"/>
            </w:tcBorders>
            <w:vAlign w:val="center"/>
          </w:tcPr>
          <w:p w14:paraId="1D7853DD">
            <w:pPr>
              <w:spacing w:line="240" w:lineRule="auto"/>
              <w:jc w:val="left"/>
              <w:rPr>
                <w:rFonts w:hint="eastAsia" w:cs="宋体"/>
                <w:color w:val="000000"/>
              </w:rPr>
            </w:pPr>
          </w:p>
        </w:tc>
        <w:tc>
          <w:tcPr>
            <w:tcW w:w="429" w:type="pct"/>
            <w:tcBorders>
              <w:tl2br w:val="nil"/>
              <w:tr2bl w:val="nil"/>
            </w:tcBorders>
            <w:vAlign w:val="center"/>
          </w:tcPr>
          <w:p w14:paraId="13C35F39">
            <w:pPr>
              <w:widowControl/>
              <w:spacing w:line="240" w:lineRule="auto"/>
              <w:ind w:firstLine="0" w:firstLineChars="0"/>
              <w:textAlignment w:val="center"/>
              <w:rPr>
                <w:rFonts w:hint="eastAsia" w:cs="宋体"/>
                <w:color w:val="000000"/>
              </w:rPr>
            </w:pPr>
            <w:r>
              <w:rPr>
                <w:rFonts w:hint="eastAsia" w:cs="宋体"/>
                <w:color w:val="000000"/>
                <w:kern w:val="0"/>
                <w:lang w:bidi="ar"/>
              </w:rPr>
              <w:t>物资调拨、捐赠、盘点流程优化</w:t>
            </w:r>
          </w:p>
        </w:tc>
        <w:tc>
          <w:tcPr>
            <w:tcW w:w="3289" w:type="pct"/>
            <w:tcBorders>
              <w:tl2br w:val="nil"/>
              <w:tr2bl w:val="nil"/>
            </w:tcBorders>
            <w:vAlign w:val="center"/>
          </w:tcPr>
          <w:p w14:paraId="63D6A549">
            <w:pPr>
              <w:widowControl/>
              <w:spacing w:line="240" w:lineRule="auto"/>
              <w:ind w:firstLine="0" w:firstLineChars="0"/>
              <w:textAlignment w:val="center"/>
              <w:rPr>
                <w:rFonts w:hint="eastAsia" w:cs="宋体"/>
                <w:color w:val="000000"/>
              </w:rPr>
            </w:pPr>
            <w:r>
              <w:rPr>
                <w:rFonts w:hint="eastAsia" w:cs="宋体"/>
                <w:color w:val="000000"/>
                <w:kern w:val="0"/>
                <w:lang w:bidi="ar"/>
              </w:rPr>
              <w:t>1、物资调拨流程</w:t>
            </w:r>
            <w:r>
              <w:rPr>
                <w:rFonts w:hint="eastAsia" w:cs="宋体"/>
                <w:color w:val="000000"/>
                <w:kern w:val="0"/>
                <w:lang w:bidi="ar"/>
              </w:rPr>
              <w:br w:type="textWrapping"/>
            </w:r>
            <w:r>
              <w:rPr>
                <w:rFonts w:hint="eastAsia" w:cs="宋体"/>
                <w:color w:val="000000"/>
                <w:kern w:val="0"/>
                <w:lang w:bidi="ar"/>
              </w:rPr>
              <w:t>1）信息填写优化：明确调拨联系人信息；</w:t>
            </w:r>
            <w:r>
              <w:rPr>
                <w:rFonts w:hint="eastAsia" w:cs="宋体"/>
                <w:color w:val="000000"/>
                <w:kern w:val="0"/>
                <w:lang w:bidi="ar"/>
              </w:rPr>
              <w:br w:type="textWrapping"/>
            </w:r>
            <w:r>
              <w:rPr>
                <w:rFonts w:hint="eastAsia" w:cs="宋体"/>
                <w:color w:val="000000"/>
                <w:kern w:val="0"/>
                <w:lang w:bidi="ar"/>
              </w:rPr>
              <w:t>2、物资捐赠</w:t>
            </w:r>
            <w:r>
              <w:rPr>
                <w:rFonts w:hint="eastAsia" w:cs="宋体"/>
                <w:color w:val="000000"/>
                <w:kern w:val="0"/>
                <w:lang w:bidi="ar"/>
              </w:rPr>
              <w:br w:type="textWrapping"/>
            </w:r>
            <w:r>
              <w:rPr>
                <w:rFonts w:hint="eastAsia" w:cs="宋体"/>
                <w:color w:val="000000"/>
                <w:kern w:val="0"/>
                <w:lang w:bidi="ar"/>
              </w:rPr>
              <w:t>1）增加捐赠单打印功能，包含捐赠人、捐赠说明、捐赠时间、联系人电话及入库仓库等信息</w:t>
            </w:r>
            <w:r>
              <w:rPr>
                <w:rFonts w:hint="eastAsia" w:cs="宋体"/>
                <w:color w:val="000000"/>
                <w:kern w:val="0"/>
                <w:lang w:bidi="ar"/>
              </w:rPr>
              <w:br w:type="textWrapping"/>
            </w:r>
            <w:r>
              <w:rPr>
                <w:rFonts w:hint="eastAsia" w:cs="宋体"/>
                <w:color w:val="000000"/>
                <w:kern w:val="0"/>
                <w:lang w:bidi="ar"/>
              </w:rPr>
              <w:t>3、物资盘点流程</w:t>
            </w:r>
            <w:r>
              <w:rPr>
                <w:rFonts w:hint="eastAsia" w:cs="宋体"/>
                <w:color w:val="000000"/>
                <w:kern w:val="0"/>
                <w:lang w:bidi="ar"/>
              </w:rPr>
              <w:br w:type="textWrapping"/>
            </w:r>
            <w:r>
              <w:rPr>
                <w:rFonts w:hint="eastAsia" w:cs="宋体"/>
                <w:color w:val="000000"/>
                <w:kern w:val="0"/>
                <w:lang w:bidi="ar"/>
              </w:rPr>
              <w:t>1）盘点流程需覆盖所有物资，盘亏或盘盈需填写说明原因，并生成包含实际库存</w:t>
            </w:r>
            <w:r>
              <w:rPr>
                <w:rFonts w:hint="eastAsia" w:cs="宋体"/>
                <w:color w:val="000000"/>
                <w:kern w:val="0"/>
                <w:lang w:eastAsia="zh-CN" w:bidi="ar"/>
              </w:rPr>
              <w:t>数量</w:t>
            </w:r>
            <w:r>
              <w:rPr>
                <w:rFonts w:hint="eastAsia" w:cs="宋体"/>
                <w:color w:val="000000"/>
                <w:kern w:val="0"/>
                <w:lang w:bidi="ar"/>
              </w:rPr>
              <w:t>的总表；</w:t>
            </w:r>
            <w:r>
              <w:rPr>
                <w:rFonts w:hint="eastAsia" w:cs="宋体"/>
                <w:color w:val="000000"/>
                <w:kern w:val="0"/>
                <w:lang w:bidi="ar"/>
              </w:rPr>
              <w:br w:type="textWrapping"/>
            </w:r>
            <w:r>
              <w:rPr>
                <w:rFonts w:hint="eastAsia" w:cs="宋体"/>
                <w:color w:val="000000"/>
                <w:kern w:val="0"/>
                <w:lang w:bidi="ar"/>
              </w:rPr>
              <w:t>2）支持打印历史盘点记录，盘点表最后一页需添加盘点时间和盘点人签名字段，支持打印后手写签字；</w:t>
            </w:r>
          </w:p>
        </w:tc>
      </w:tr>
      <w:tr w14:paraId="3A827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6" w:hRule="atLeast"/>
        </w:trPr>
        <w:tc>
          <w:tcPr>
            <w:tcW w:w="381" w:type="pct"/>
            <w:tcBorders>
              <w:tl2br w:val="nil"/>
              <w:tr2bl w:val="nil"/>
            </w:tcBorders>
            <w:vAlign w:val="center"/>
          </w:tcPr>
          <w:p w14:paraId="3DA9455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132</w:t>
            </w:r>
          </w:p>
        </w:tc>
        <w:tc>
          <w:tcPr>
            <w:tcW w:w="447" w:type="pct"/>
            <w:vMerge w:val="continue"/>
            <w:tcBorders>
              <w:tl2br w:val="nil"/>
              <w:tr2bl w:val="nil"/>
            </w:tcBorders>
            <w:vAlign w:val="center"/>
          </w:tcPr>
          <w:p w14:paraId="2B8F7B5E">
            <w:pPr>
              <w:spacing w:line="240" w:lineRule="auto"/>
              <w:jc w:val="left"/>
              <w:rPr>
                <w:rFonts w:hint="eastAsia" w:cs="宋体"/>
                <w:color w:val="000000"/>
              </w:rPr>
            </w:pPr>
          </w:p>
        </w:tc>
        <w:tc>
          <w:tcPr>
            <w:tcW w:w="453" w:type="pct"/>
            <w:vMerge w:val="continue"/>
            <w:tcBorders>
              <w:tl2br w:val="nil"/>
              <w:tr2bl w:val="nil"/>
            </w:tcBorders>
            <w:vAlign w:val="center"/>
          </w:tcPr>
          <w:p w14:paraId="19AEC460">
            <w:pPr>
              <w:spacing w:line="240" w:lineRule="auto"/>
              <w:jc w:val="left"/>
              <w:rPr>
                <w:rFonts w:hint="eastAsia" w:cs="宋体"/>
                <w:color w:val="000000"/>
              </w:rPr>
            </w:pPr>
          </w:p>
        </w:tc>
        <w:tc>
          <w:tcPr>
            <w:tcW w:w="429" w:type="pct"/>
            <w:tcBorders>
              <w:tl2br w:val="nil"/>
              <w:tr2bl w:val="nil"/>
            </w:tcBorders>
            <w:vAlign w:val="center"/>
          </w:tcPr>
          <w:p w14:paraId="2FF50E4C">
            <w:pPr>
              <w:widowControl/>
              <w:spacing w:line="240" w:lineRule="auto"/>
              <w:ind w:firstLine="0" w:firstLineChars="0"/>
              <w:textAlignment w:val="center"/>
              <w:rPr>
                <w:rFonts w:hint="eastAsia" w:cs="宋体"/>
                <w:color w:val="000000"/>
              </w:rPr>
            </w:pPr>
            <w:r>
              <w:rPr>
                <w:rFonts w:hint="eastAsia" w:cs="宋体"/>
                <w:color w:val="000000"/>
                <w:kern w:val="0"/>
                <w:lang w:bidi="ar"/>
              </w:rPr>
              <w:t>出入库流程优化</w:t>
            </w:r>
          </w:p>
        </w:tc>
        <w:tc>
          <w:tcPr>
            <w:tcW w:w="3289" w:type="pct"/>
            <w:tcBorders>
              <w:tl2br w:val="nil"/>
              <w:tr2bl w:val="nil"/>
            </w:tcBorders>
            <w:vAlign w:val="center"/>
          </w:tcPr>
          <w:p w14:paraId="47F3BAFB">
            <w:pPr>
              <w:widowControl/>
              <w:spacing w:line="240" w:lineRule="auto"/>
              <w:ind w:firstLine="0" w:firstLineChars="0"/>
              <w:textAlignment w:val="center"/>
              <w:rPr>
                <w:rFonts w:hint="eastAsia" w:cs="宋体"/>
                <w:color w:val="000000"/>
              </w:rPr>
            </w:pPr>
            <w:r>
              <w:rPr>
                <w:rFonts w:hint="eastAsia" w:cs="宋体"/>
                <w:color w:val="000000"/>
                <w:kern w:val="0"/>
                <w:lang w:bidi="ar"/>
              </w:rPr>
              <w:t>1、出入库流程优化</w:t>
            </w:r>
            <w:r>
              <w:rPr>
                <w:rFonts w:hint="eastAsia" w:cs="宋体"/>
                <w:color w:val="000000"/>
                <w:kern w:val="0"/>
                <w:lang w:bidi="ar"/>
              </w:rPr>
              <w:br w:type="textWrapping"/>
            </w:r>
            <w:r>
              <w:rPr>
                <w:rFonts w:hint="eastAsia" w:cs="宋体"/>
                <w:color w:val="000000"/>
                <w:kern w:val="0"/>
                <w:lang w:bidi="ar"/>
              </w:rPr>
              <w:t>1）支持物资入库时补充物资的生产日期、保质期、照片及规格型号；</w:t>
            </w:r>
            <w:r>
              <w:rPr>
                <w:rFonts w:hint="eastAsia" w:cs="宋体"/>
                <w:color w:val="000000"/>
                <w:kern w:val="0"/>
                <w:lang w:bidi="ar"/>
              </w:rPr>
              <w:br w:type="textWrapping"/>
            </w:r>
            <w:r>
              <w:rPr>
                <w:rFonts w:hint="eastAsia" w:cs="宋体"/>
                <w:color w:val="000000"/>
                <w:kern w:val="0"/>
                <w:lang w:bidi="ar"/>
              </w:rPr>
              <w:t>2）需要支持批次管理，分批次出库；</w:t>
            </w:r>
            <w:r>
              <w:rPr>
                <w:rFonts w:hint="eastAsia" w:cs="宋体"/>
                <w:color w:val="000000"/>
                <w:kern w:val="0"/>
                <w:lang w:bidi="ar"/>
              </w:rPr>
              <w:br w:type="textWrapping"/>
            </w:r>
            <w:r>
              <w:rPr>
                <w:rFonts w:hint="eastAsia" w:cs="宋体"/>
                <w:color w:val="000000"/>
                <w:kern w:val="0"/>
                <w:lang w:bidi="ar"/>
              </w:rPr>
              <w:t>3）支持扫码出库，扫码识别物资的基本信息、保质期；</w:t>
            </w:r>
            <w:r>
              <w:rPr>
                <w:rFonts w:hint="eastAsia" w:cs="宋体"/>
                <w:color w:val="000000"/>
                <w:kern w:val="0"/>
                <w:lang w:bidi="ar"/>
              </w:rPr>
              <w:br w:type="textWrapping"/>
            </w:r>
            <w:r>
              <w:rPr>
                <w:rFonts w:hint="eastAsia" w:cs="宋体"/>
                <w:color w:val="000000"/>
                <w:kern w:val="0"/>
                <w:lang w:bidi="ar"/>
              </w:rPr>
              <w:t>2、物资基本信息管理</w:t>
            </w:r>
            <w:r>
              <w:rPr>
                <w:rFonts w:hint="eastAsia" w:cs="宋体"/>
                <w:color w:val="000000"/>
                <w:kern w:val="0"/>
                <w:lang w:bidi="ar"/>
              </w:rPr>
              <w:br w:type="textWrapping"/>
            </w:r>
            <w:r>
              <w:rPr>
                <w:rFonts w:hint="eastAsia" w:cs="宋体"/>
                <w:color w:val="000000"/>
                <w:kern w:val="0"/>
                <w:lang w:bidi="ar"/>
              </w:rPr>
              <w:t>1）物资分类标准进行重新梳理，增加二级分类自定义；</w:t>
            </w:r>
            <w:r>
              <w:rPr>
                <w:rFonts w:hint="eastAsia" w:cs="宋体"/>
                <w:color w:val="000000"/>
                <w:kern w:val="0"/>
                <w:lang w:bidi="ar"/>
              </w:rPr>
              <w:br w:type="textWrapping"/>
            </w:r>
            <w:r>
              <w:rPr>
                <w:rFonts w:hint="eastAsia" w:cs="宋体"/>
                <w:color w:val="000000"/>
                <w:kern w:val="0"/>
                <w:lang w:bidi="ar"/>
              </w:rPr>
              <w:t>2）物资规格型号字段进行合并；</w:t>
            </w:r>
            <w:r>
              <w:rPr>
                <w:rFonts w:hint="eastAsia" w:cs="宋体"/>
                <w:color w:val="000000"/>
                <w:kern w:val="0"/>
                <w:lang w:bidi="ar"/>
              </w:rPr>
              <w:br w:type="textWrapping"/>
            </w:r>
            <w:r>
              <w:rPr>
                <w:rFonts w:hint="eastAsia" w:cs="宋体"/>
                <w:color w:val="000000"/>
                <w:kern w:val="0"/>
                <w:lang w:bidi="ar"/>
              </w:rPr>
              <w:t>3）物资部分基本信息改由入库时仓库管理进行录入补充；</w:t>
            </w:r>
            <w:r>
              <w:rPr>
                <w:rFonts w:hint="eastAsia" w:cs="宋体"/>
                <w:color w:val="000000"/>
                <w:kern w:val="0"/>
                <w:lang w:bidi="ar"/>
              </w:rPr>
              <w:br w:type="textWrapping"/>
            </w:r>
            <w:r>
              <w:rPr>
                <w:rFonts w:hint="eastAsia" w:cs="宋体"/>
                <w:color w:val="000000"/>
                <w:kern w:val="0"/>
                <w:lang w:bidi="ar"/>
              </w:rPr>
              <w:t>3、标签打印</w:t>
            </w:r>
            <w:r>
              <w:rPr>
                <w:rFonts w:hint="eastAsia" w:cs="宋体"/>
                <w:color w:val="000000"/>
                <w:kern w:val="0"/>
                <w:lang w:bidi="ar"/>
              </w:rPr>
              <w:br w:type="textWrapping"/>
            </w:r>
            <w:r>
              <w:rPr>
                <w:rFonts w:hint="eastAsia" w:cs="宋体"/>
                <w:color w:val="000000"/>
                <w:kern w:val="0"/>
                <w:lang w:bidi="ar"/>
              </w:rPr>
              <w:t>1）支持入库时打印物资标签，标签包含物资基本信息和数量；</w:t>
            </w:r>
            <w:r>
              <w:rPr>
                <w:rFonts w:hint="eastAsia" w:cs="宋体"/>
                <w:color w:val="000000"/>
                <w:kern w:val="0"/>
                <w:lang w:bidi="ar"/>
              </w:rPr>
              <w:br w:type="textWrapping"/>
            </w:r>
            <w:r>
              <w:rPr>
                <w:rFonts w:hint="eastAsia" w:cs="宋体"/>
                <w:color w:val="000000"/>
                <w:kern w:val="0"/>
                <w:lang w:bidi="ar"/>
              </w:rPr>
              <w:t>2）支持扫码出库；</w:t>
            </w:r>
          </w:p>
        </w:tc>
      </w:tr>
      <w:tr w14:paraId="3F02E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4" w:hRule="atLeast"/>
        </w:trPr>
        <w:tc>
          <w:tcPr>
            <w:tcW w:w="381" w:type="pct"/>
            <w:tcBorders>
              <w:tl2br w:val="nil"/>
              <w:tr2bl w:val="nil"/>
            </w:tcBorders>
            <w:vAlign w:val="center"/>
          </w:tcPr>
          <w:p w14:paraId="6321326E">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133</w:t>
            </w:r>
          </w:p>
        </w:tc>
        <w:tc>
          <w:tcPr>
            <w:tcW w:w="447" w:type="pct"/>
            <w:vMerge w:val="continue"/>
            <w:tcBorders>
              <w:tl2br w:val="nil"/>
              <w:tr2bl w:val="nil"/>
            </w:tcBorders>
            <w:vAlign w:val="center"/>
          </w:tcPr>
          <w:p w14:paraId="5F8A9DC8">
            <w:pPr>
              <w:spacing w:line="240" w:lineRule="auto"/>
              <w:jc w:val="left"/>
              <w:rPr>
                <w:rFonts w:hint="eastAsia" w:cs="宋体"/>
                <w:color w:val="000000"/>
              </w:rPr>
            </w:pPr>
          </w:p>
        </w:tc>
        <w:tc>
          <w:tcPr>
            <w:tcW w:w="453" w:type="pct"/>
            <w:tcBorders>
              <w:tl2br w:val="nil"/>
              <w:tr2bl w:val="nil"/>
            </w:tcBorders>
            <w:vAlign w:val="center"/>
          </w:tcPr>
          <w:p w14:paraId="67BABDEA">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查询功能优化</w:t>
            </w:r>
          </w:p>
        </w:tc>
        <w:tc>
          <w:tcPr>
            <w:tcW w:w="429" w:type="pct"/>
            <w:tcBorders>
              <w:tl2br w:val="nil"/>
              <w:tr2bl w:val="nil"/>
            </w:tcBorders>
            <w:vAlign w:val="center"/>
          </w:tcPr>
          <w:p w14:paraId="35121D68">
            <w:pPr>
              <w:spacing w:line="240" w:lineRule="auto"/>
              <w:jc w:val="center"/>
              <w:rPr>
                <w:rFonts w:hint="eastAsia" w:cs="宋体"/>
                <w:color w:val="000000"/>
              </w:rPr>
            </w:pPr>
          </w:p>
        </w:tc>
        <w:tc>
          <w:tcPr>
            <w:tcW w:w="3289" w:type="pct"/>
            <w:tcBorders>
              <w:tl2br w:val="nil"/>
              <w:tr2bl w:val="nil"/>
            </w:tcBorders>
            <w:vAlign w:val="center"/>
          </w:tcPr>
          <w:p w14:paraId="42E51C68">
            <w:pPr>
              <w:widowControl/>
              <w:spacing w:line="240" w:lineRule="auto"/>
              <w:ind w:firstLine="0" w:firstLineChars="0"/>
              <w:textAlignment w:val="center"/>
              <w:rPr>
                <w:rFonts w:hint="eastAsia" w:cs="宋体"/>
                <w:color w:val="000000"/>
              </w:rPr>
            </w:pPr>
            <w:r>
              <w:rPr>
                <w:rFonts w:hint="eastAsia" w:cs="宋体"/>
                <w:color w:val="000000"/>
                <w:kern w:val="0"/>
                <w:lang w:bidi="ar"/>
              </w:rPr>
              <w:t>1、历史记录查询</w:t>
            </w:r>
            <w:r>
              <w:rPr>
                <w:rFonts w:hint="eastAsia" w:cs="宋体"/>
                <w:color w:val="000000"/>
                <w:kern w:val="0"/>
                <w:lang w:bidi="ar"/>
              </w:rPr>
              <w:br w:type="textWrapping"/>
            </w:r>
            <w:r>
              <w:rPr>
                <w:rFonts w:hint="eastAsia" w:cs="宋体"/>
                <w:color w:val="000000"/>
                <w:kern w:val="0"/>
                <w:lang w:bidi="ar"/>
              </w:rPr>
              <w:t>1）历史库存：系统支持根据用户需要查询具体日期，每种物资的库存情况，支持历史库存清单打印功能。</w:t>
            </w:r>
            <w:r>
              <w:rPr>
                <w:rFonts w:hint="eastAsia" w:cs="宋体"/>
                <w:color w:val="000000"/>
                <w:kern w:val="0"/>
                <w:lang w:bidi="ar"/>
              </w:rPr>
              <w:br w:type="textWrapping"/>
            </w:r>
            <w:r>
              <w:rPr>
                <w:rFonts w:hint="eastAsia" w:cs="宋体"/>
                <w:color w:val="000000"/>
                <w:kern w:val="0"/>
                <w:lang w:bidi="ar"/>
              </w:rPr>
              <w:t>2）历史出入库：针对业务部门需要，需对历史物资出、入库进行查询，可具体到某一天、某个月的出入库情况，支持按类别、仓库、名称、品牌等查询，增加对应的打印模板，方便进行打印操作。</w:t>
            </w:r>
            <w:r>
              <w:rPr>
                <w:rFonts w:hint="eastAsia" w:cs="宋体"/>
                <w:color w:val="000000"/>
                <w:kern w:val="0"/>
                <w:lang w:bidi="ar"/>
              </w:rPr>
              <w:br w:type="textWrapping"/>
            </w:r>
            <w:r>
              <w:rPr>
                <w:rFonts w:hint="eastAsia" w:cs="宋体"/>
                <w:color w:val="000000"/>
                <w:kern w:val="0"/>
                <w:lang w:bidi="ar"/>
              </w:rPr>
              <w:t>2、每日出入库统计信息</w:t>
            </w:r>
            <w:r>
              <w:rPr>
                <w:rFonts w:hint="eastAsia" w:cs="宋体"/>
                <w:color w:val="000000"/>
                <w:kern w:val="0"/>
                <w:lang w:bidi="ar"/>
              </w:rPr>
              <w:br w:type="textWrapping"/>
            </w:r>
            <w:r>
              <w:rPr>
                <w:rFonts w:hint="eastAsia" w:cs="宋体"/>
                <w:color w:val="000000"/>
                <w:kern w:val="0"/>
                <w:lang w:bidi="ar"/>
              </w:rPr>
              <w:t>支持对每日入库汇总表、出库汇总表、物资申请汇总表自动生成，支持按模板下载打印。</w:t>
            </w:r>
          </w:p>
        </w:tc>
      </w:tr>
      <w:tr w14:paraId="71635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6" w:hRule="atLeast"/>
        </w:trPr>
        <w:tc>
          <w:tcPr>
            <w:tcW w:w="381" w:type="pct"/>
            <w:tcBorders>
              <w:tl2br w:val="nil"/>
              <w:tr2bl w:val="nil"/>
            </w:tcBorders>
            <w:vAlign w:val="center"/>
          </w:tcPr>
          <w:p w14:paraId="68DA1DDD">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134</w:t>
            </w:r>
          </w:p>
        </w:tc>
        <w:tc>
          <w:tcPr>
            <w:tcW w:w="447" w:type="pct"/>
            <w:vMerge w:val="continue"/>
            <w:tcBorders>
              <w:tl2br w:val="nil"/>
              <w:tr2bl w:val="nil"/>
            </w:tcBorders>
            <w:vAlign w:val="center"/>
          </w:tcPr>
          <w:p w14:paraId="48CED22C">
            <w:pPr>
              <w:spacing w:line="240" w:lineRule="auto"/>
              <w:jc w:val="left"/>
              <w:rPr>
                <w:rFonts w:hint="eastAsia" w:cs="宋体"/>
                <w:color w:val="000000"/>
              </w:rPr>
            </w:pPr>
          </w:p>
        </w:tc>
        <w:tc>
          <w:tcPr>
            <w:tcW w:w="453" w:type="pct"/>
            <w:vMerge w:val="restart"/>
            <w:tcBorders>
              <w:tl2br w:val="nil"/>
              <w:tr2bl w:val="nil"/>
            </w:tcBorders>
            <w:vAlign w:val="center"/>
          </w:tcPr>
          <w:p w14:paraId="0C999F70">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应急避难场所地图</w:t>
            </w:r>
          </w:p>
        </w:tc>
        <w:tc>
          <w:tcPr>
            <w:tcW w:w="429" w:type="pct"/>
            <w:tcBorders>
              <w:tl2br w:val="nil"/>
              <w:tr2bl w:val="nil"/>
            </w:tcBorders>
            <w:vAlign w:val="center"/>
          </w:tcPr>
          <w:p w14:paraId="6990F8A0">
            <w:pPr>
              <w:widowControl/>
              <w:spacing w:line="240" w:lineRule="auto"/>
              <w:ind w:firstLine="0" w:firstLineChars="0"/>
              <w:textAlignment w:val="center"/>
              <w:rPr>
                <w:rFonts w:hint="eastAsia" w:cs="宋体"/>
                <w:color w:val="000000"/>
              </w:rPr>
            </w:pPr>
            <w:r>
              <w:rPr>
                <w:rFonts w:hint="eastAsia" w:cs="宋体"/>
                <w:color w:val="000000"/>
                <w:kern w:val="0"/>
                <w:lang w:bidi="ar"/>
              </w:rPr>
              <w:t>信息管理</w:t>
            </w:r>
          </w:p>
        </w:tc>
        <w:tc>
          <w:tcPr>
            <w:tcW w:w="3289" w:type="pct"/>
            <w:tcBorders>
              <w:tl2br w:val="nil"/>
              <w:tr2bl w:val="nil"/>
            </w:tcBorders>
            <w:vAlign w:val="center"/>
          </w:tcPr>
          <w:p w14:paraId="6C60594C">
            <w:pPr>
              <w:widowControl/>
              <w:spacing w:line="240" w:lineRule="auto"/>
              <w:ind w:firstLine="0" w:firstLineChars="0"/>
              <w:textAlignment w:val="center"/>
              <w:rPr>
                <w:rFonts w:hint="eastAsia" w:cs="宋体"/>
                <w:color w:val="000000"/>
              </w:rPr>
            </w:pPr>
            <w:r>
              <w:rPr>
                <w:rFonts w:hint="eastAsia" w:cs="宋体"/>
                <w:color w:val="000000"/>
                <w:kern w:val="0"/>
                <w:lang w:bidi="ar"/>
              </w:rPr>
              <w:t>1、新增场所地点：根据实际需要添加新的场所地点。</w:t>
            </w:r>
            <w:r>
              <w:rPr>
                <w:rFonts w:hint="eastAsia" w:cs="宋体"/>
                <w:color w:val="000000"/>
                <w:kern w:val="0"/>
                <w:lang w:bidi="ar"/>
              </w:rPr>
              <w:br w:type="textWrapping"/>
            </w:r>
            <w:r>
              <w:rPr>
                <w:rFonts w:hint="eastAsia" w:cs="宋体"/>
                <w:color w:val="000000"/>
                <w:kern w:val="0"/>
                <w:lang w:bidi="ar"/>
              </w:rPr>
              <w:t>2、删除场所地点：能够移除不再使用的场所地点记录。在执行删除操作前，系统会要求确认以防止误删，并保留一定的日志记录以便后续查询。</w:t>
            </w:r>
            <w:r>
              <w:rPr>
                <w:rFonts w:hint="eastAsia" w:cs="宋体"/>
                <w:color w:val="000000"/>
                <w:kern w:val="0"/>
                <w:lang w:bidi="ar"/>
              </w:rPr>
              <w:br w:type="textWrapping"/>
            </w:r>
            <w:r>
              <w:rPr>
                <w:rFonts w:hint="eastAsia" w:cs="宋体"/>
                <w:color w:val="000000"/>
                <w:kern w:val="0"/>
                <w:lang w:bidi="ar"/>
              </w:rPr>
              <w:t>3、信息更新：为已存在的场所提供修改功能。</w:t>
            </w:r>
            <w:r>
              <w:rPr>
                <w:rFonts w:hint="eastAsia" w:cs="宋体"/>
                <w:color w:val="000000"/>
                <w:kern w:val="0"/>
                <w:lang w:bidi="ar"/>
              </w:rPr>
              <w:br w:type="textWrapping"/>
            </w:r>
            <w:r>
              <w:rPr>
                <w:rFonts w:hint="eastAsia" w:cs="宋体"/>
                <w:color w:val="000000"/>
                <w:kern w:val="0"/>
                <w:lang w:bidi="ar"/>
              </w:rPr>
              <w:t>4、状态标记：对于临时关闭或正在进行维修的场所，支持设置特殊状态标识。</w:t>
            </w:r>
            <w:r>
              <w:rPr>
                <w:rFonts w:hint="eastAsia" w:cs="宋体"/>
                <w:color w:val="000000"/>
                <w:kern w:val="0"/>
                <w:lang w:bidi="ar"/>
              </w:rPr>
              <w:br w:type="textWrapping"/>
            </w:r>
            <w:r>
              <w:rPr>
                <w:rFonts w:hint="eastAsia" w:cs="宋体"/>
                <w:color w:val="000000"/>
                <w:kern w:val="0"/>
                <w:lang w:bidi="ar"/>
              </w:rPr>
              <w:t>5、分级分类：允许根据不同的标准对场所进行分级分类。</w:t>
            </w:r>
          </w:p>
        </w:tc>
      </w:tr>
      <w:tr w14:paraId="1B3E6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3F580C0F">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136</w:t>
            </w:r>
          </w:p>
        </w:tc>
        <w:tc>
          <w:tcPr>
            <w:tcW w:w="447" w:type="pct"/>
            <w:vMerge w:val="continue"/>
            <w:tcBorders>
              <w:tl2br w:val="nil"/>
              <w:tr2bl w:val="nil"/>
            </w:tcBorders>
            <w:vAlign w:val="center"/>
          </w:tcPr>
          <w:p w14:paraId="4D924A40">
            <w:pPr>
              <w:spacing w:line="240" w:lineRule="auto"/>
              <w:jc w:val="left"/>
              <w:rPr>
                <w:rFonts w:hint="eastAsia" w:cs="宋体"/>
                <w:color w:val="000000"/>
              </w:rPr>
            </w:pPr>
          </w:p>
        </w:tc>
        <w:tc>
          <w:tcPr>
            <w:tcW w:w="453" w:type="pct"/>
            <w:vMerge w:val="continue"/>
            <w:tcBorders>
              <w:tl2br w:val="nil"/>
              <w:tr2bl w:val="nil"/>
            </w:tcBorders>
            <w:vAlign w:val="center"/>
          </w:tcPr>
          <w:p w14:paraId="6D67537B">
            <w:pPr>
              <w:spacing w:line="240" w:lineRule="auto"/>
              <w:jc w:val="left"/>
              <w:rPr>
                <w:rFonts w:hint="eastAsia" w:cs="宋体"/>
                <w:color w:val="000000"/>
              </w:rPr>
            </w:pPr>
          </w:p>
        </w:tc>
        <w:tc>
          <w:tcPr>
            <w:tcW w:w="429" w:type="pct"/>
            <w:tcBorders>
              <w:tl2br w:val="nil"/>
              <w:tr2bl w:val="nil"/>
            </w:tcBorders>
            <w:vAlign w:val="center"/>
          </w:tcPr>
          <w:p w14:paraId="3708DBB8">
            <w:pPr>
              <w:widowControl/>
              <w:spacing w:line="240" w:lineRule="auto"/>
              <w:ind w:firstLine="0" w:firstLineChars="0"/>
              <w:textAlignment w:val="center"/>
              <w:rPr>
                <w:rFonts w:hint="eastAsia" w:cs="宋体"/>
                <w:color w:val="000000"/>
              </w:rPr>
            </w:pPr>
            <w:r>
              <w:rPr>
                <w:rFonts w:hint="eastAsia" w:cs="宋体"/>
                <w:color w:val="000000"/>
                <w:kern w:val="0"/>
                <w:lang w:bidi="ar"/>
              </w:rPr>
              <w:t>场所搜索</w:t>
            </w:r>
          </w:p>
        </w:tc>
        <w:tc>
          <w:tcPr>
            <w:tcW w:w="3289" w:type="pct"/>
            <w:tcBorders>
              <w:tl2br w:val="nil"/>
              <w:tr2bl w:val="nil"/>
            </w:tcBorders>
            <w:vAlign w:val="center"/>
          </w:tcPr>
          <w:p w14:paraId="3AB92B26">
            <w:pPr>
              <w:widowControl/>
              <w:spacing w:line="240" w:lineRule="auto"/>
              <w:ind w:firstLine="0" w:firstLineChars="0"/>
              <w:textAlignment w:val="center"/>
              <w:rPr>
                <w:rFonts w:hint="eastAsia" w:cs="宋体"/>
                <w:color w:val="000000"/>
              </w:rPr>
            </w:pPr>
            <w:r>
              <w:rPr>
                <w:rFonts w:hint="eastAsia" w:cs="宋体"/>
                <w:color w:val="000000"/>
                <w:kern w:val="0"/>
                <w:lang w:bidi="ar"/>
              </w:rPr>
              <w:t>支持模糊匹配搜索、区域筛选、多维度筛选（如场所等级与分类）、容量相关筛选、设施设备配置等条件搜索应急避难场所</w:t>
            </w:r>
          </w:p>
        </w:tc>
      </w:tr>
      <w:tr w14:paraId="10B25B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389B36DC">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137</w:t>
            </w:r>
          </w:p>
        </w:tc>
        <w:tc>
          <w:tcPr>
            <w:tcW w:w="447" w:type="pct"/>
            <w:vMerge w:val="continue"/>
            <w:tcBorders>
              <w:tl2br w:val="nil"/>
              <w:tr2bl w:val="nil"/>
            </w:tcBorders>
            <w:vAlign w:val="center"/>
          </w:tcPr>
          <w:p w14:paraId="78D1138A">
            <w:pPr>
              <w:spacing w:line="240" w:lineRule="auto"/>
              <w:jc w:val="left"/>
              <w:rPr>
                <w:rFonts w:hint="eastAsia" w:cs="宋体"/>
                <w:color w:val="000000"/>
              </w:rPr>
            </w:pPr>
          </w:p>
        </w:tc>
        <w:tc>
          <w:tcPr>
            <w:tcW w:w="453" w:type="pct"/>
            <w:vMerge w:val="continue"/>
            <w:tcBorders>
              <w:tl2br w:val="nil"/>
              <w:tr2bl w:val="nil"/>
            </w:tcBorders>
            <w:vAlign w:val="center"/>
          </w:tcPr>
          <w:p w14:paraId="0B0D70BC">
            <w:pPr>
              <w:spacing w:line="240" w:lineRule="auto"/>
              <w:jc w:val="left"/>
              <w:rPr>
                <w:rFonts w:hint="eastAsia" w:cs="宋体"/>
                <w:color w:val="000000"/>
              </w:rPr>
            </w:pPr>
          </w:p>
        </w:tc>
        <w:tc>
          <w:tcPr>
            <w:tcW w:w="429" w:type="pct"/>
            <w:tcBorders>
              <w:tl2br w:val="nil"/>
              <w:tr2bl w:val="nil"/>
            </w:tcBorders>
            <w:vAlign w:val="center"/>
          </w:tcPr>
          <w:p w14:paraId="72160219">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地图检索</w:t>
            </w:r>
          </w:p>
        </w:tc>
        <w:tc>
          <w:tcPr>
            <w:tcW w:w="3289" w:type="pct"/>
            <w:tcBorders>
              <w:tl2br w:val="nil"/>
              <w:tr2bl w:val="nil"/>
            </w:tcBorders>
            <w:vAlign w:val="center"/>
          </w:tcPr>
          <w:p w14:paraId="63BC06DC">
            <w:pPr>
              <w:widowControl/>
              <w:spacing w:line="240" w:lineRule="auto"/>
              <w:ind w:firstLine="0" w:firstLineChars="0"/>
              <w:textAlignment w:val="center"/>
              <w:rPr>
                <w:rFonts w:hint="eastAsia" w:cs="宋体"/>
                <w:color w:val="000000"/>
              </w:rPr>
            </w:pPr>
            <w:r>
              <w:rPr>
                <w:rFonts w:hint="eastAsia" w:cs="宋体"/>
                <w:color w:val="000000"/>
                <w:kern w:val="0"/>
                <w:lang w:bidi="ar"/>
              </w:rPr>
              <w:t>1、动态加载信息：支持以地图形式直观展示所选区域内的所有避难场所，随着用户缩放地图，系统将智能调整显示的信息量。</w:t>
            </w:r>
            <w:r>
              <w:rPr>
                <w:rFonts w:hint="eastAsia" w:cs="宋体"/>
                <w:color w:val="000000"/>
                <w:kern w:val="0"/>
                <w:lang w:bidi="ar"/>
              </w:rPr>
              <w:br w:type="textWrapping"/>
            </w:r>
            <w:r>
              <w:rPr>
                <w:rFonts w:hint="eastAsia" w:cs="宋体"/>
                <w:color w:val="000000"/>
                <w:kern w:val="0"/>
                <w:lang w:bidi="ar"/>
              </w:rPr>
              <w:t>2、详细信息展示：点击任一浮标，可以查看该场所的详细资料。</w:t>
            </w:r>
            <w:r>
              <w:rPr>
                <w:rFonts w:hint="eastAsia" w:cs="宋体"/>
                <w:color w:val="000000"/>
                <w:kern w:val="0"/>
                <w:lang w:bidi="ar"/>
              </w:rPr>
              <w:br w:type="textWrapping"/>
            </w:r>
            <w:r>
              <w:rPr>
                <w:rFonts w:hint="eastAsia" w:cs="宋体"/>
                <w:color w:val="000000"/>
                <w:kern w:val="0"/>
                <w:lang w:bidi="ar"/>
              </w:rPr>
              <w:t>3、</w:t>
            </w:r>
            <w:r>
              <w:rPr>
                <w:rFonts w:hint="eastAsia" w:cs="宋体"/>
                <w:color w:val="000000"/>
                <w:kern w:val="0"/>
                <w:lang w:eastAsia="zh-CN" w:bidi="ar"/>
              </w:rPr>
              <w:t>附近</w:t>
            </w:r>
            <w:r>
              <w:rPr>
                <w:rFonts w:hint="eastAsia" w:cs="宋体"/>
                <w:color w:val="000000"/>
                <w:kern w:val="0"/>
                <w:lang w:bidi="ar"/>
              </w:rPr>
              <w:t>场所检索：结合位置信息，利用地理围栏技术找出距离最近的避难场所。</w:t>
            </w:r>
            <w:r>
              <w:rPr>
                <w:rFonts w:hint="eastAsia" w:cs="宋体"/>
                <w:color w:val="000000"/>
                <w:kern w:val="0"/>
                <w:lang w:bidi="ar"/>
              </w:rPr>
              <w:br w:type="textWrapping"/>
            </w:r>
            <w:r>
              <w:rPr>
                <w:rFonts w:hint="eastAsia" w:cs="宋体"/>
                <w:color w:val="000000"/>
                <w:kern w:val="0"/>
                <w:lang w:bidi="ar"/>
              </w:rPr>
              <w:t>4、自定义半径检索：用户可以选择不同的距离作为服务覆盖范围的标准。</w:t>
            </w:r>
          </w:p>
        </w:tc>
      </w:tr>
      <w:tr w14:paraId="78434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0" w:hRule="atLeast"/>
        </w:trPr>
        <w:tc>
          <w:tcPr>
            <w:tcW w:w="381" w:type="pct"/>
            <w:tcBorders>
              <w:tl2br w:val="nil"/>
              <w:tr2bl w:val="nil"/>
            </w:tcBorders>
            <w:vAlign w:val="center"/>
          </w:tcPr>
          <w:p w14:paraId="1B78C0A1">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138</w:t>
            </w:r>
          </w:p>
        </w:tc>
        <w:tc>
          <w:tcPr>
            <w:tcW w:w="447" w:type="pct"/>
            <w:vMerge w:val="continue"/>
            <w:tcBorders>
              <w:tl2br w:val="nil"/>
              <w:tr2bl w:val="nil"/>
            </w:tcBorders>
            <w:vAlign w:val="center"/>
          </w:tcPr>
          <w:p w14:paraId="2488C840">
            <w:pPr>
              <w:spacing w:line="240" w:lineRule="auto"/>
              <w:jc w:val="left"/>
              <w:rPr>
                <w:rFonts w:hint="eastAsia" w:cs="宋体"/>
                <w:color w:val="000000"/>
              </w:rPr>
            </w:pPr>
          </w:p>
        </w:tc>
        <w:tc>
          <w:tcPr>
            <w:tcW w:w="453" w:type="pct"/>
            <w:vMerge w:val="continue"/>
            <w:tcBorders>
              <w:tl2br w:val="nil"/>
              <w:tr2bl w:val="nil"/>
            </w:tcBorders>
            <w:vAlign w:val="center"/>
          </w:tcPr>
          <w:p w14:paraId="56120028">
            <w:pPr>
              <w:spacing w:line="240" w:lineRule="auto"/>
              <w:jc w:val="left"/>
              <w:rPr>
                <w:rFonts w:hint="eastAsia" w:cs="宋体"/>
                <w:color w:val="000000"/>
              </w:rPr>
            </w:pPr>
          </w:p>
        </w:tc>
        <w:tc>
          <w:tcPr>
            <w:tcW w:w="429" w:type="pct"/>
            <w:tcBorders>
              <w:tl2br w:val="nil"/>
              <w:tr2bl w:val="nil"/>
            </w:tcBorders>
            <w:vAlign w:val="center"/>
          </w:tcPr>
          <w:p w14:paraId="283DD8F0">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数据统计</w:t>
            </w:r>
          </w:p>
        </w:tc>
        <w:tc>
          <w:tcPr>
            <w:tcW w:w="3289" w:type="pct"/>
            <w:tcBorders>
              <w:tl2br w:val="nil"/>
              <w:tr2bl w:val="nil"/>
            </w:tcBorders>
            <w:vAlign w:val="center"/>
          </w:tcPr>
          <w:p w14:paraId="3AEBFF60">
            <w:pPr>
              <w:widowControl/>
              <w:spacing w:line="240" w:lineRule="auto"/>
              <w:ind w:firstLine="0" w:firstLineChars="0"/>
              <w:textAlignment w:val="center"/>
              <w:rPr>
                <w:rFonts w:hint="eastAsia" w:cs="宋体"/>
                <w:color w:val="000000"/>
              </w:rPr>
            </w:pPr>
            <w:r>
              <w:rPr>
                <w:rFonts w:hint="eastAsia" w:cs="宋体"/>
                <w:color w:val="000000"/>
                <w:kern w:val="0"/>
                <w:lang w:bidi="ar"/>
              </w:rPr>
              <w:t>1、场所数量统计：自动统计当前系统中注册的所有场所总数，帮助管理者了解整体规模。</w:t>
            </w:r>
            <w:r>
              <w:rPr>
                <w:rFonts w:hint="eastAsia" w:cs="宋体"/>
                <w:color w:val="000000"/>
                <w:kern w:val="0"/>
                <w:lang w:bidi="ar"/>
              </w:rPr>
              <w:br w:type="textWrapping"/>
            </w:r>
            <w:r>
              <w:rPr>
                <w:rFonts w:hint="eastAsia" w:cs="宋体"/>
                <w:color w:val="000000"/>
                <w:kern w:val="0"/>
                <w:lang w:bidi="ar"/>
              </w:rPr>
              <w:t>2、级别类型数量统计：针对不同级别的场所或者按类别划分的场所进行数量统计，分析各类别场所的分布情况。</w:t>
            </w:r>
            <w:r>
              <w:rPr>
                <w:rFonts w:hint="eastAsia" w:cs="宋体"/>
                <w:color w:val="000000"/>
                <w:kern w:val="0"/>
                <w:lang w:bidi="ar"/>
              </w:rPr>
              <w:br w:type="textWrapping"/>
            </w:r>
            <w:r>
              <w:rPr>
                <w:rFonts w:hint="eastAsia" w:cs="宋体"/>
                <w:color w:val="000000"/>
                <w:kern w:val="0"/>
                <w:lang w:bidi="ar"/>
              </w:rPr>
              <w:t>3、可避难面积统计：计算并展示所有场所提供的总避难面积，这对于规划紧急疏散路线和评估避难能力至关重要。</w:t>
            </w:r>
            <w:r>
              <w:rPr>
                <w:rFonts w:hint="eastAsia" w:cs="宋体"/>
                <w:color w:val="000000"/>
                <w:kern w:val="0"/>
                <w:lang w:bidi="ar"/>
              </w:rPr>
              <w:br w:type="textWrapping"/>
            </w:r>
            <w:r>
              <w:rPr>
                <w:rFonts w:hint="eastAsia" w:cs="宋体"/>
                <w:color w:val="000000"/>
                <w:kern w:val="0"/>
                <w:lang w:bidi="ar"/>
              </w:rPr>
              <w:t>4、可避难人数统计：基于各场所的设计容量，汇总出理论上可以容纳的最大避难人数。</w:t>
            </w:r>
            <w:r>
              <w:rPr>
                <w:rFonts w:hint="eastAsia" w:cs="宋体"/>
                <w:color w:val="000000"/>
                <w:kern w:val="0"/>
                <w:lang w:bidi="ar"/>
              </w:rPr>
              <w:br w:type="textWrapping"/>
            </w:r>
            <w:r>
              <w:rPr>
                <w:rFonts w:hint="eastAsia" w:cs="宋体"/>
                <w:color w:val="000000"/>
                <w:kern w:val="0"/>
                <w:lang w:bidi="ar"/>
              </w:rPr>
              <w:t>5、人均可避难面积计算：通过将总的可避难面积除以可避难人数得出平均每人可获得的避难空间大小，这项指标对于评估避难环境的质量具有重要意义。</w:t>
            </w:r>
          </w:p>
        </w:tc>
      </w:tr>
      <w:tr w14:paraId="007CE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381" w:type="pct"/>
            <w:tcBorders>
              <w:tl2br w:val="nil"/>
              <w:tr2bl w:val="nil"/>
            </w:tcBorders>
            <w:vAlign w:val="center"/>
          </w:tcPr>
          <w:p w14:paraId="63C09477">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139</w:t>
            </w:r>
          </w:p>
        </w:tc>
        <w:tc>
          <w:tcPr>
            <w:tcW w:w="447" w:type="pct"/>
            <w:vMerge w:val="continue"/>
            <w:tcBorders>
              <w:tl2br w:val="nil"/>
              <w:tr2bl w:val="nil"/>
            </w:tcBorders>
            <w:vAlign w:val="center"/>
          </w:tcPr>
          <w:p w14:paraId="10C2B03D">
            <w:pPr>
              <w:spacing w:line="240" w:lineRule="auto"/>
              <w:jc w:val="left"/>
              <w:rPr>
                <w:rFonts w:hint="eastAsia" w:cs="宋体"/>
                <w:color w:val="000000"/>
              </w:rPr>
            </w:pPr>
          </w:p>
        </w:tc>
        <w:tc>
          <w:tcPr>
            <w:tcW w:w="453" w:type="pct"/>
            <w:vMerge w:val="restart"/>
            <w:tcBorders>
              <w:tl2br w:val="nil"/>
              <w:tr2bl w:val="nil"/>
            </w:tcBorders>
            <w:vAlign w:val="center"/>
          </w:tcPr>
          <w:p w14:paraId="0964FB17">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应急物资管理移动轻应用</w:t>
            </w:r>
          </w:p>
        </w:tc>
        <w:tc>
          <w:tcPr>
            <w:tcW w:w="429" w:type="pct"/>
            <w:tcBorders>
              <w:tl2br w:val="nil"/>
              <w:tr2bl w:val="nil"/>
            </w:tcBorders>
            <w:vAlign w:val="center"/>
          </w:tcPr>
          <w:p w14:paraId="7301301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移动轻应用-工作台</w:t>
            </w:r>
          </w:p>
        </w:tc>
        <w:tc>
          <w:tcPr>
            <w:tcW w:w="3289" w:type="pct"/>
            <w:tcBorders>
              <w:tl2br w:val="nil"/>
              <w:tr2bl w:val="nil"/>
            </w:tcBorders>
            <w:vAlign w:val="center"/>
          </w:tcPr>
          <w:p w14:paraId="363EAA10">
            <w:pPr>
              <w:widowControl/>
              <w:spacing w:line="240" w:lineRule="auto"/>
              <w:ind w:firstLine="0" w:firstLineChars="0"/>
              <w:textAlignment w:val="center"/>
              <w:rPr>
                <w:rFonts w:hint="eastAsia" w:cs="宋体"/>
                <w:color w:val="000000"/>
              </w:rPr>
            </w:pPr>
            <w:r>
              <w:rPr>
                <w:rFonts w:hint="eastAsia" w:cs="宋体"/>
                <w:color w:val="000000"/>
                <w:kern w:val="0"/>
                <w:lang w:bidi="ar"/>
              </w:rPr>
              <w:t>1、对接随申办政务云统一登录和消息提醒</w:t>
            </w:r>
            <w:r>
              <w:rPr>
                <w:rFonts w:hint="eastAsia" w:cs="宋体"/>
                <w:color w:val="000000"/>
                <w:kern w:val="0"/>
                <w:lang w:bidi="ar"/>
              </w:rPr>
              <w:br w:type="textWrapping"/>
            </w:r>
            <w:r>
              <w:rPr>
                <w:rFonts w:hint="eastAsia" w:cs="宋体"/>
                <w:color w:val="000000"/>
                <w:kern w:val="0"/>
                <w:lang w:bidi="ar"/>
              </w:rPr>
              <w:t>2、个人待办和消息通知：展示与用户有关的待办和消息通知</w:t>
            </w:r>
          </w:p>
        </w:tc>
      </w:tr>
      <w:tr w14:paraId="4A447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81" w:type="pct"/>
            <w:tcBorders>
              <w:tl2br w:val="nil"/>
              <w:tr2bl w:val="nil"/>
            </w:tcBorders>
            <w:vAlign w:val="center"/>
          </w:tcPr>
          <w:p w14:paraId="3EAD5F5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140</w:t>
            </w:r>
          </w:p>
        </w:tc>
        <w:tc>
          <w:tcPr>
            <w:tcW w:w="447" w:type="pct"/>
            <w:vMerge w:val="continue"/>
            <w:tcBorders>
              <w:tl2br w:val="nil"/>
              <w:tr2bl w:val="nil"/>
            </w:tcBorders>
            <w:vAlign w:val="center"/>
          </w:tcPr>
          <w:p w14:paraId="1BF2B92F">
            <w:pPr>
              <w:spacing w:line="240" w:lineRule="auto"/>
              <w:jc w:val="left"/>
              <w:rPr>
                <w:rFonts w:hint="eastAsia" w:cs="宋体"/>
                <w:color w:val="000000"/>
              </w:rPr>
            </w:pPr>
          </w:p>
        </w:tc>
        <w:tc>
          <w:tcPr>
            <w:tcW w:w="453" w:type="pct"/>
            <w:vMerge w:val="continue"/>
            <w:tcBorders>
              <w:tl2br w:val="nil"/>
              <w:tr2bl w:val="nil"/>
            </w:tcBorders>
            <w:vAlign w:val="center"/>
          </w:tcPr>
          <w:p w14:paraId="40DA2CD2">
            <w:pPr>
              <w:spacing w:line="240" w:lineRule="auto"/>
              <w:jc w:val="left"/>
              <w:rPr>
                <w:rFonts w:hint="eastAsia" w:cs="宋体"/>
                <w:color w:val="000000"/>
              </w:rPr>
            </w:pPr>
          </w:p>
        </w:tc>
        <w:tc>
          <w:tcPr>
            <w:tcW w:w="429" w:type="pct"/>
            <w:tcBorders>
              <w:tl2br w:val="nil"/>
              <w:tr2bl w:val="nil"/>
            </w:tcBorders>
            <w:vAlign w:val="center"/>
          </w:tcPr>
          <w:p w14:paraId="606B24D0">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移动轻应用-物资申请和审批</w:t>
            </w:r>
          </w:p>
        </w:tc>
        <w:tc>
          <w:tcPr>
            <w:tcW w:w="3289" w:type="pct"/>
            <w:tcBorders>
              <w:tl2br w:val="nil"/>
              <w:tr2bl w:val="nil"/>
            </w:tcBorders>
            <w:vAlign w:val="center"/>
          </w:tcPr>
          <w:p w14:paraId="2B96D7CE">
            <w:pPr>
              <w:widowControl/>
              <w:spacing w:line="240" w:lineRule="auto"/>
              <w:ind w:firstLine="0" w:firstLineChars="0"/>
              <w:textAlignment w:val="center"/>
              <w:rPr>
                <w:rFonts w:hint="eastAsia" w:cs="宋体"/>
                <w:color w:val="000000"/>
              </w:rPr>
            </w:pPr>
            <w:r>
              <w:rPr>
                <w:rFonts w:hint="eastAsia" w:cs="宋体"/>
                <w:color w:val="000000"/>
                <w:kern w:val="0"/>
                <w:lang w:bidi="ar"/>
              </w:rPr>
              <w:t>1、物资申请单列表</w:t>
            </w:r>
            <w:r>
              <w:rPr>
                <w:rFonts w:hint="eastAsia" w:cs="宋体"/>
                <w:color w:val="000000"/>
                <w:kern w:val="0"/>
                <w:lang w:bidi="ar"/>
              </w:rPr>
              <w:br w:type="textWrapping"/>
            </w:r>
            <w:r>
              <w:rPr>
                <w:rFonts w:hint="eastAsia" w:cs="宋体"/>
                <w:color w:val="000000"/>
                <w:kern w:val="0"/>
                <w:lang w:bidi="ar"/>
              </w:rPr>
              <w:t>2、新增申请单</w:t>
            </w:r>
            <w:r>
              <w:rPr>
                <w:rFonts w:hint="eastAsia" w:cs="宋体"/>
                <w:color w:val="000000"/>
                <w:kern w:val="0"/>
                <w:lang w:bidi="ar"/>
              </w:rPr>
              <w:br w:type="textWrapping"/>
            </w:r>
            <w:r>
              <w:rPr>
                <w:rFonts w:hint="eastAsia" w:cs="宋体"/>
                <w:color w:val="000000"/>
                <w:kern w:val="0"/>
                <w:lang w:bidi="ar"/>
              </w:rPr>
              <w:t>3、查看申请单详情等信息</w:t>
            </w:r>
            <w:r>
              <w:rPr>
                <w:rFonts w:hint="eastAsia" w:cs="宋体"/>
                <w:color w:val="000000"/>
                <w:kern w:val="0"/>
                <w:lang w:bidi="ar"/>
              </w:rPr>
              <w:br w:type="textWrapping"/>
            </w:r>
            <w:r>
              <w:rPr>
                <w:rFonts w:hint="eastAsia" w:cs="宋体"/>
                <w:color w:val="000000"/>
                <w:kern w:val="0"/>
                <w:lang w:bidi="ar"/>
              </w:rPr>
              <w:t>4、物资申请审批：实现物资申请单的审批。</w:t>
            </w:r>
          </w:p>
        </w:tc>
      </w:tr>
      <w:tr w14:paraId="3CF8A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381" w:type="pct"/>
            <w:tcBorders>
              <w:tl2br w:val="nil"/>
              <w:tr2bl w:val="nil"/>
            </w:tcBorders>
            <w:vAlign w:val="center"/>
          </w:tcPr>
          <w:p w14:paraId="6B63B709">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141</w:t>
            </w:r>
          </w:p>
        </w:tc>
        <w:tc>
          <w:tcPr>
            <w:tcW w:w="447" w:type="pct"/>
            <w:vMerge w:val="continue"/>
            <w:tcBorders>
              <w:tl2br w:val="nil"/>
              <w:tr2bl w:val="nil"/>
            </w:tcBorders>
            <w:vAlign w:val="center"/>
          </w:tcPr>
          <w:p w14:paraId="7E46CAB8">
            <w:pPr>
              <w:spacing w:line="240" w:lineRule="auto"/>
              <w:jc w:val="left"/>
              <w:rPr>
                <w:rFonts w:hint="eastAsia" w:cs="宋体"/>
                <w:color w:val="000000"/>
              </w:rPr>
            </w:pPr>
          </w:p>
        </w:tc>
        <w:tc>
          <w:tcPr>
            <w:tcW w:w="453" w:type="pct"/>
            <w:vMerge w:val="continue"/>
            <w:tcBorders>
              <w:tl2br w:val="nil"/>
              <w:tr2bl w:val="nil"/>
            </w:tcBorders>
            <w:vAlign w:val="center"/>
          </w:tcPr>
          <w:p w14:paraId="7F59D455">
            <w:pPr>
              <w:spacing w:line="240" w:lineRule="auto"/>
              <w:jc w:val="left"/>
              <w:rPr>
                <w:rFonts w:hint="eastAsia" w:cs="宋体"/>
                <w:color w:val="000000"/>
              </w:rPr>
            </w:pPr>
          </w:p>
        </w:tc>
        <w:tc>
          <w:tcPr>
            <w:tcW w:w="429" w:type="pct"/>
            <w:tcBorders>
              <w:tl2br w:val="nil"/>
              <w:tr2bl w:val="nil"/>
            </w:tcBorders>
            <w:vAlign w:val="center"/>
          </w:tcPr>
          <w:p w14:paraId="460740EA">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移动轻应用-仓库管理</w:t>
            </w:r>
          </w:p>
        </w:tc>
        <w:tc>
          <w:tcPr>
            <w:tcW w:w="3289" w:type="pct"/>
            <w:tcBorders>
              <w:tl2br w:val="nil"/>
              <w:tr2bl w:val="nil"/>
            </w:tcBorders>
            <w:vAlign w:val="center"/>
          </w:tcPr>
          <w:p w14:paraId="71ABB6B7">
            <w:pPr>
              <w:widowControl/>
              <w:spacing w:line="240" w:lineRule="auto"/>
              <w:ind w:firstLine="0" w:firstLineChars="0"/>
              <w:textAlignment w:val="center"/>
              <w:rPr>
                <w:rFonts w:hint="eastAsia" w:cs="宋体"/>
                <w:color w:val="000000"/>
              </w:rPr>
            </w:pPr>
            <w:r>
              <w:rPr>
                <w:rFonts w:hint="eastAsia" w:cs="宋体"/>
                <w:color w:val="000000"/>
                <w:kern w:val="0"/>
                <w:lang w:bidi="ar"/>
              </w:rPr>
              <w:t>1、出库：查看出库信息</w:t>
            </w:r>
            <w:r>
              <w:rPr>
                <w:rFonts w:hint="eastAsia" w:cs="宋体"/>
                <w:color w:val="000000"/>
                <w:kern w:val="0"/>
                <w:lang w:bidi="ar"/>
              </w:rPr>
              <w:br w:type="textWrapping"/>
            </w:r>
            <w:r>
              <w:rPr>
                <w:rFonts w:hint="eastAsia" w:cs="宋体"/>
                <w:color w:val="000000"/>
                <w:kern w:val="0"/>
                <w:lang w:bidi="ar"/>
              </w:rPr>
              <w:t>2、入库：查看入库信息</w:t>
            </w:r>
            <w:r>
              <w:rPr>
                <w:rFonts w:hint="eastAsia" w:cs="宋体"/>
                <w:color w:val="000000"/>
                <w:kern w:val="0"/>
                <w:lang w:bidi="ar"/>
              </w:rPr>
              <w:br w:type="textWrapping"/>
            </w:r>
            <w:r>
              <w:rPr>
                <w:rFonts w:hint="eastAsia" w:cs="宋体"/>
                <w:color w:val="000000"/>
                <w:kern w:val="0"/>
                <w:lang w:bidi="ar"/>
              </w:rPr>
              <w:t>3、调拨：查看调拨信息</w:t>
            </w:r>
            <w:r>
              <w:rPr>
                <w:rFonts w:hint="eastAsia" w:cs="宋体"/>
                <w:color w:val="000000"/>
                <w:kern w:val="0"/>
                <w:lang w:bidi="ar"/>
              </w:rPr>
              <w:br w:type="textWrapping"/>
            </w:r>
            <w:r>
              <w:rPr>
                <w:rFonts w:hint="eastAsia" w:cs="宋体"/>
                <w:color w:val="000000"/>
                <w:kern w:val="0"/>
                <w:lang w:bidi="ar"/>
              </w:rPr>
              <w:t>4、盘点：实现对仓库信息及库存物资的盘点</w:t>
            </w:r>
            <w:r>
              <w:rPr>
                <w:rFonts w:hint="eastAsia" w:cs="宋体"/>
                <w:color w:val="000000"/>
                <w:kern w:val="0"/>
                <w:lang w:bidi="ar"/>
              </w:rPr>
              <w:br w:type="textWrapping"/>
            </w:r>
            <w:r>
              <w:rPr>
                <w:rFonts w:hint="eastAsia" w:cs="宋体"/>
                <w:color w:val="000000"/>
                <w:kern w:val="0"/>
                <w:lang w:bidi="ar"/>
              </w:rPr>
              <w:t>5、查询：查询仓库和物资信息。支持扫码方式查询仓库、货架、物资信息。</w:t>
            </w:r>
          </w:p>
        </w:tc>
      </w:tr>
      <w:tr w14:paraId="5912B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4" w:hRule="atLeast"/>
        </w:trPr>
        <w:tc>
          <w:tcPr>
            <w:tcW w:w="381" w:type="pct"/>
            <w:tcBorders>
              <w:tl2br w:val="nil"/>
              <w:tr2bl w:val="nil"/>
            </w:tcBorders>
            <w:vAlign w:val="center"/>
          </w:tcPr>
          <w:p w14:paraId="2E8990B8">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142</w:t>
            </w:r>
          </w:p>
        </w:tc>
        <w:tc>
          <w:tcPr>
            <w:tcW w:w="447" w:type="pct"/>
            <w:vMerge w:val="continue"/>
            <w:tcBorders>
              <w:tl2br w:val="nil"/>
              <w:tr2bl w:val="nil"/>
            </w:tcBorders>
            <w:vAlign w:val="center"/>
          </w:tcPr>
          <w:p w14:paraId="5D574AE8">
            <w:pPr>
              <w:spacing w:line="240" w:lineRule="auto"/>
              <w:jc w:val="left"/>
              <w:rPr>
                <w:rFonts w:hint="eastAsia" w:cs="宋体"/>
                <w:color w:val="000000"/>
              </w:rPr>
            </w:pPr>
          </w:p>
        </w:tc>
        <w:tc>
          <w:tcPr>
            <w:tcW w:w="453" w:type="pct"/>
            <w:vMerge w:val="continue"/>
            <w:tcBorders>
              <w:tl2br w:val="nil"/>
              <w:tr2bl w:val="nil"/>
            </w:tcBorders>
            <w:vAlign w:val="center"/>
          </w:tcPr>
          <w:p w14:paraId="243765BD">
            <w:pPr>
              <w:spacing w:line="240" w:lineRule="auto"/>
              <w:jc w:val="left"/>
              <w:rPr>
                <w:rFonts w:hint="eastAsia" w:cs="宋体"/>
                <w:color w:val="000000"/>
              </w:rPr>
            </w:pPr>
          </w:p>
        </w:tc>
        <w:tc>
          <w:tcPr>
            <w:tcW w:w="429" w:type="pct"/>
            <w:tcBorders>
              <w:tl2br w:val="nil"/>
              <w:tr2bl w:val="nil"/>
            </w:tcBorders>
            <w:vAlign w:val="center"/>
          </w:tcPr>
          <w:p w14:paraId="55485527">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移动轻应用-统计分析</w:t>
            </w:r>
          </w:p>
        </w:tc>
        <w:tc>
          <w:tcPr>
            <w:tcW w:w="3289" w:type="pct"/>
            <w:tcBorders>
              <w:tl2br w:val="nil"/>
              <w:tr2bl w:val="nil"/>
            </w:tcBorders>
            <w:vAlign w:val="center"/>
          </w:tcPr>
          <w:p w14:paraId="1308B669">
            <w:pPr>
              <w:widowControl/>
              <w:spacing w:line="240" w:lineRule="auto"/>
              <w:ind w:firstLine="0" w:firstLineChars="0"/>
              <w:textAlignment w:val="center"/>
              <w:rPr>
                <w:rFonts w:hint="eastAsia" w:cs="宋体"/>
                <w:color w:val="000000"/>
              </w:rPr>
            </w:pPr>
            <w:r>
              <w:rPr>
                <w:rFonts w:hint="eastAsia" w:cs="宋体"/>
                <w:color w:val="000000"/>
                <w:kern w:val="0"/>
                <w:lang w:bidi="ar"/>
              </w:rPr>
              <w:t>1、基本情况：展示采购总数、社会捐赠数、物资总数、累计出库数、仓库总数、服务单位、供货单位、物资种类、库存数量等信息</w:t>
            </w:r>
            <w:r>
              <w:rPr>
                <w:rFonts w:hint="eastAsia" w:cs="宋体"/>
                <w:color w:val="000000"/>
                <w:kern w:val="0"/>
                <w:lang w:bidi="ar"/>
              </w:rPr>
              <w:br w:type="textWrapping"/>
            </w:r>
            <w:r>
              <w:rPr>
                <w:rFonts w:hint="eastAsia" w:cs="宋体"/>
                <w:color w:val="000000"/>
                <w:kern w:val="0"/>
                <w:lang w:bidi="ar"/>
              </w:rPr>
              <w:t>2、统计信息：展示日/周/月/年物资出库入库及采购情况</w:t>
            </w:r>
          </w:p>
        </w:tc>
      </w:tr>
      <w:tr w14:paraId="7F0AF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8" w:hRule="atLeast"/>
        </w:trPr>
        <w:tc>
          <w:tcPr>
            <w:tcW w:w="381" w:type="pct"/>
            <w:tcBorders>
              <w:tl2br w:val="nil"/>
              <w:tr2bl w:val="nil"/>
            </w:tcBorders>
            <w:vAlign w:val="center"/>
          </w:tcPr>
          <w:p w14:paraId="515D09CC">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143</w:t>
            </w:r>
          </w:p>
        </w:tc>
        <w:tc>
          <w:tcPr>
            <w:tcW w:w="447" w:type="pct"/>
            <w:tcBorders>
              <w:tl2br w:val="nil"/>
              <w:tr2bl w:val="nil"/>
            </w:tcBorders>
            <w:vAlign w:val="center"/>
          </w:tcPr>
          <w:p w14:paraId="07269B2B">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密码应用安全</w:t>
            </w:r>
          </w:p>
        </w:tc>
        <w:tc>
          <w:tcPr>
            <w:tcW w:w="453" w:type="pct"/>
            <w:tcBorders>
              <w:tl2br w:val="nil"/>
              <w:tr2bl w:val="nil"/>
            </w:tcBorders>
            <w:vAlign w:val="center"/>
          </w:tcPr>
          <w:p w14:paraId="5F0CAD91">
            <w:pPr>
              <w:spacing w:line="240" w:lineRule="auto"/>
              <w:jc w:val="left"/>
              <w:rPr>
                <w:rFonts w:hint="eastAsia" w:cs="宋体"/>
                <w:color w:val="000000"/>
              </w:rPr>
            </w:pPr>
          </w:p>
        </w:tc>
        <w:tc>
          <w:tcPr>
            <w:tcW w:w="429" w:type="pct"/>
            <w:tcBorders>
              <w:tl2br w:val="nil"/>
              <w:tr2bl w:val="nil"/>
            </w:tcBorders>
            <w:vAlign w:val="center"/>
          </w:tcPr>
          <w:p w14:paraId="13F10E63">
            <w:pPr>
              <w:spacing w:line="240" w:lineRule="auto"/>
              <w:jc w:val="center"/>
              <w:rPr>
                <w:rFonts w:hint="eastAsia" w:cs="宋体"/>
                <w:color w:val="000000"/>
              </w:rPr>
            </w:pPr>
          </w:p>
        </w:tc>
        <w:tc>
          <w:tcPr>
            <w:tcW w:w="3289" w:type="pct"/>
            <w:tcBorders>
              <w:tl2br w:val="nil"/>
              <w:tr2bl w:val="nil"/>
            </w:tcBorders>
            <w:vAlign w:val="center"/>
          </w:tcPr>
          <w:p w14:paraId="19CA70D4">
            <w:pPr>
              <w:widowControl/>
              <w:spacing w:line="240" w:lineRule="auto"/>
              <w:ind w:firstLine="0" w:firstLineChars="0"/>
              <w:textAlignment w:val="center"/>
              <w:rPr>
                <w:rFonts w:hint="eastAsia" w:cs="宋体"/>
                <w:color w:val="000000"/>
              </w:rPr>
            </w:pPr>
            <w:r>
              <w:rPr>
                <w:rFonts w:hint="eastAsia" w:cs="宋体"/>
                <w:color w:val="000000"/>
                <w:kern w:val="0"/>
                <w:lang w:bidi="ar"/>
              </w:rPr>
              <w:t>1、用户身份认证机制：本项目新增应用需调用云平台提供的安全认证网关服务接口，并在终端部署用户证书、服务端部署站点证书，绑定应用用户数字证书和应用用户ID，实现对终端和服务端身份的鉴别。</w:t>
            </w:r>
            <w:r>
              <w:rPr>
                <w:rFonts w:hint="eastAsia" w:cs="宋体"/>
                <w:color w:val="000000"/>
                <w:kern w:val="0"/>
                <w:lang w:bidi="ar"/>
              </w:rPr>
              <w:br w:type="textWrapping"/>
            </w:r>
            <w:r>
              <w:rPr>
                <w:rFonts w:hint="eastAsia" w:cs="宋体"/>
                <w:color w:val="000000"/>
                <w:kern w:val="0"/>
                <w:lang w:bidi="ar"/>
              </w:rPr>
              <w:t>2、用户访问控制信息签名验签：本项目新增应用的用户访问控制信息需调用云平台提供的签名验签服务接口，实现应用系统登录用户的访问控制列表完整性保护。</w:t>
            </w:r>
            <w:r>
              <w:rPr>
                <w:rFonts w:hint="eastAsia" w:cs="宋体"/>
                <w:color w:val="000000"/>
                <w:kern w:val="0"/>
                <w:lang w:bidi="ar"/>
              </w:rPr>
              <w:br w:type="textWrapping"/>
            </w:r>
            <w:r>
              <w:rPr>
                <w:rFonts w:hint="eastAsia" w:cs="宋体"/>
                <w:color w:val="000000"/>
                <w:kern w:val="0"/>
                <w:lang w:bidi="ar"/>
              </w:rPr>
              <w:t>3、应用系统重要数据签名验签：本项目新增应用的重要数据需调用云平台提供的签名验签服务接口，实现登录用户身份鉴别数据、业务日志、重要业务数据的完整性保护。</w:t>
            </w:r>
            <w:r>
              <w:rPr>
                <w:rFonts w:hint="eastAsia" w:cs="宋体"/>
                <w:color w:val="000000"/>
                <w:kern w:val="0"/>
                <w:lang w:bidi="ar"/>
              </w:rPr>
              <w:br w:type="textWrapping"/>
            </w:r>
            <w:r>
              <w:rPr>
                <w:rFonts w:hint="eastAsia" w:cs="宋体"/>
                <w:color w:val="000000"/>
                <w:kern w:val="0"/>
                <w:lang w:bidi="ar"/>
              </w:rPr>
              <w:t>4、应用系统重要数据加解密：本项目新增应用的重要数据需调用云平台提供的数据库加密服务接口，实现登录用户身份鉴别数据、重要业务数据等结构化数据的存储机密性保护。</w:t>
            </w:r>
            <w:r>
              <w:rPr>
                <w:rFonts w:hint="eastAsia" w:cs="宋体"/>
                <w:color w:val="000000"/>
                <w:kern w:val="0"/>
                <w:lang w:bidi="ar"/>
              </w:rPr>
              <w:br w:type="textWrapping"/>
            </w:r>
            <w:r>
              <w:rPr>
                <w:rFonts w:hint="eastAsia" w:cs="宋体"/>
                <w:color w:val="000000"/>
                <w:kern w:val="0"/>
                <w:lang w:bidi="ar"/>
              </w:rPr>
              <w:t>5、业务重要数据安全传输：本项目重要数据安全传输需调用云平台提供的安全认证网关服务接口，实现应用系统通信数据的机密性和完整性保护。</w:t>
            </w:r>
          </w:p>
        </w:tc>
      </w:tr>
    </w:tbl>
    <w:p w14:paraId="1C8F9B5A">
      <w:pPr>
        <w:pStyle w:val="2"/>
        <w:numPr>
          <w:ilvl w:val="0"/>
          <w:numId w:val="0"/>
        </w:numPr>
        <w:spacing w:after="0"/>
        <w:ind w:left="425" w:hanging="425"/>
        <w:rPr>
          <w:rFonts w:hint="eastAsia"/>
          <w:i/>
          <w:iCs/>
          <w:color w:val="FF0000"/>
        </w:rPr>
      </w:pPr>
      <w:r>
        <w:rPr>
          <w:rFonts w:hint="eastAsia"/>
        </w:rPr>
        <w:t>附表二：硬件购置清单</w:t>
      </w:r>
    </w:p>
    <w:tbl>
      <w:tblPr>
        <w:tblStyle w:val="35"/>
        <w:tblW w:w="4994" w:type="pct"/>
        <w:tblInd w:w="0" w:type="dxa"/>
        <w:tblLayout w:type="fixed"/>
        <w:tblCellMar>
          <w:top w:w="0" w:type="dxa"/>
          <w:left w:w="108" w:type="dxa"/>
          <w:bottom w:w="0" w:type="dxa"/>
          <w:right w:w="108" w:type="dxa"/>
        </w:tblCellMar>
      </w:tblPr>
      <w:tblGrid>
        <w:gridCol w:w="568"/>
        <w:gridCol w:w="820"/>
        <w:gridCol w:w="839"/>
        <w:gridCol w:w="4495"/>
        <w:gridCol w:w="787"/>
        <w:gridCol w:w="1009"/>
      </w:tblGrid>
      <w:tr w14:paraId="5D3FBAE1">
        <w:tblPrEx>
          <w:tblCellMar>
            <w:top w:w="0" w:type="dxa"/>
            <w:left w:w="108" w:type="dxa"/>
            <w:bottom w:w="0" w:type="dxa"/>
            <w:right w:w="108" w:type="dxa"/>
          </w:tblCellMar>
        </w:tblPrEx>
        <w:trPr>
          <w:trHeight w:val="272" w:hRule="atLeast"/>
          <w:tblHeader/>
        </w:trPr>
        <w:tc>
          <w:tcPr>
            <w:tcW w:w="333" w:type="pct"/>
            <w:tcBorders>
              <w:top w:val="single" w:color="000000" w:sz="4" w:space="0"/>
              <w:left w:val="single" w:color="000000" w:sz="4" w:space="0"/>
              <w:bottom w:val="single" w:color="000000" w:sz="4" w:space="0"/>
              <w:right w:val="single" w:color="000000" w:sz="4" w:space="0"/>
            </w:tcBorders>
            <w:noWrap/>
            <w:vAlign w:val="center"/>
          </w:tcPr>
          <w:p w14:paraId="07F8CF28">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序号</w:t>
            </w:r>
          </w:p>
        </w:tc>
        <w:tc>
          <w:tcPr>
            <w:tcW w:w="481" w:type="pct"/>
            <w:tcBorders>
              <w:top w:val="single" w:color="000000" w:sz="4" w:space="0"/>
              <w:left w:val="single" w:color="000000" w:sz="4" w:space="0"/>
              <w:bottom w:val="single" w:color="000000" w:sz="4" w:space="0"/>
              <w:right w:val="single" w:color="000000" w:sz="4" w:space="0"/>
            </w:tcBorders>
            <w:vAlign w:val="center"/>
          </w:tcPr>
          <w:p w14:paraId="18692E5C">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产品类别</w:t>
            </w:r>
          </w:p>
        </w:tc>
        <w:tc>
          <w:tcPr>
            <w:tcW w:w="492" w:type="pct"/>
            <w:tcBorders>
              <w:top w:val="single" w:color="000000" w:sz="4" w:space="0"/>
              <w:left w:val="single" w:color="000000" w:sz="4" w:space="0"/>
              <w:bottom w:val="single" w:color="000000" w:sz="4" w:space="0"/>
              <w:right w:val="single" w:color="000000" w:sz="4" w:space="0"/>
            </w:tcBorders>
            <w:vAlign w:val="center"/>
          </w:tcPr>
          <w:p w14:paraId="7E5A97F7">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产品名称</w:t>
            </w:r>
          </w:p>
        </w:tc>
        <w:tc>
          <w:tcPr>
            <w:tcW w:w="2636" w:type="pct"/>
            <w:tcBorders>
              <w:top w:val="single" w:color="000000" w:sz="4" w:space="0"/>
              <w:left w:val="single" w:color="000000" w:sz="4" w:space="0"/>
              <w:bottom w:val="single" w:color="000000" w:sz="4" w:space="0"/>
              <w:right w:val="single" w:color="000000" w:sz="4" w:space="0"/>
            </w:tcBorders>
            <w:vAlign w:val="center"/>
          </w:tcPr>
          <w:p w14:paraId="0A484334">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产品配置</w:t>
            </w:r>
          </w:p>
        </w:tc>
        <w:tc>
          <w:tcPr>
            <w:tcW w:w="462" w:type="pct"/>
            <w:tcBorders>
              <w:top w:val="single" w:color="000000" w:sz="4" w:space="0"/>
              <w:left w:val="single" w:color="000000" w:sz="4" w:space="0"/>
              <w:bottom w:val="single" w:color="000000" w:sz="4" w:space="0"/>
              <w:right w:val="single" w:color="000000" w:sz="4" w:space="0"/>
            </w:tcBorders>
            <w:vAlign w:val="center"/>
          </w:tcPr>
          <w:p w14:paraId="0F39D658">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数量</w:t>
            </w:r>
          </w:p>
        </w:tc>
        <w:tc>
          <w:tcPr>
            <w:tcW w:w="592" w:type="pct"/>
            <w:tcBorders>
              <w:top w:val="single" w:color="000000" w:sz="4" w:space="0"/>
              <w:left w:val="single" w:color="000000" w:sz="4" w:space="0"/>
              <w:bottom w:val="single" w:color="000000" w:sz="4" w:space="0"/>
              <w:right w:val="single" w:color="000000" w:sz="4" w:space="0"/>
            </w:tcBorders>
            <w:vAlign w:val="center"/>
          </w:tcPr>
          <w:p w14:paraId="504DD0F2">
            <w:pPr>
              <w:widowControl/>
              <w:snapToGrid w:val="0"/>
              <w:spacing w:line="240" w:lineRule="auto"/>
              <w:ind w:firstLine="0" w:firstLineChars="0"/>
              <w:jc w:val="center"/>
              <w:rPr>
                <w:rFonts w:hint="eastAsia" w:cs="宋体"/>
                <w:b/>
                <w:bCs/>
                <w:color w:val="000000"/>
                <w:kern w:val="0"/>
              </w:rPr>
            </w:pPr>
            <w:r>
              <w:rPr>
                <w:rFonts w:hint="eastAsia" w:cs="宋体"/>
                <w:b/>
                <w:bCs/>
                <w:color w:val="000000"/>
                <w:kern w:val="0"/>
              </w:rPr>
              <w:t>单位</w:t>
            </w:r>
          </w:p>
        </w:tc>
      </w:tr>
      <w:tr w14:paraId="345C1429">
        <w:tblPrEx>
          <w:tblCellMar>
            <w:top w:w="0" w:type="dxa"/>
            <w:left w:w="108" w:type="dxa"/>
            <w:bottom w:w="0" w:type="dxa"/>
            <w:right w:w="108" w:type="dxa"/>
          </w:tblCellMar>
        </w:tblPrEx>
        <w:trPr>
          <w:trHeight w:val="272" w:hRule="atLeast"/>
        </w:trPr>
        <w:tc>
          <w:tcPr>
            <w:tcW w:w="333" w:type="pct"/>
            <w:tcBorders>
              <w:top w:val="single" w:color="000000" w:sz="4" w:space="0"/>
              <w:left w:val="single" w:color="000000" w:sz="4" w:space="0"/>
              <w:bottom w:val="single" w:color="000000" w:sz="4" w:space="0"/>
              <w:right w:val="single" w:color="000000" w:sz="4" w:space="0"/>
            </w:tcBorders>
            <w:noWrap/>
            <w:vAlign w:val="center"/>
          </w:tcPr>
          <w:p w14:paraId="50AB9B2D">
            <w:pPr>
              <w:widowControl/>
              <w:snapToGrid w:val="0"/>
              <w:spacing w:line="240" w:lineRule="auto"/>
              <w:ind w:firstLine="0" w:firstLineChars="0"/>
              <w:jc w:val="center"/>
              <w:rPr>
                <w:rFonts w:hint="eastAsia" w:cs="宋体"/>
                <w:color w:val="000000"/>
                <w:kern w:val="0"/>
              </w:rPr>
            </w:pPr>
            <w:r>
              <w:rPr>
                <w:rFonts w:hint="eastAsia" w:cs="宋体"/>
                <w:color w:val="000000"/>
                <w:kern w:val="0"/>
              </w:rPr>
              <w:t>1</w:t>
            </w:r>
          </w:p>
        </w:tc>
        <w:tc>
          <w:tcPr>
            <w:tcW w:w="481" w:type="pct"/>
            <w:tcBorders>
              <w:top w:val="single" w:color="000000" w:sz="4" w:space="0"/>
              <w:left w:val="single" w:color="000000" w:sz="4" w:space="0"/>
              <w:bottom w:val="single" w:color="000000" w:sz="4" w:space="0"/>
              <w:right w:val="single" w:color="000000" w:sz="4" w:space="0"/>
            </w:tcBorders>
            <w:vAlign w:val="center"/>
          </w:tcPr>
          <w:p w14:paraId="6105AB27">
            <w:pPr>
              <w:widowControl/>
              <w:snapToGrid w:val="0"/>
              <w:spacing w:line="240" w:lineRule="auto"/>
              <w:ind w:firstLine="0" w:firstLineChars="0"/>
              <w:jc w:val="center"/>
              <w:rPr>
                <w:rFonts w:hint="eastAsia" w:cs="宋体"/>
                <w:color w:val="000000"/>
                <w:kern w:val="0"/>
              </w:rPr>
            </w:pPr>
            <w:r>
              <w:rPr>
                <w:rFonts w:hint="eastAsia" w:cs="宋体"/>
                <w:color w:val="000000"/>
                <w:kern w:val="0"/>
              </w:rPr>
              <w:t>主机</w:t>
            </w:r>
          </w:p>
        </w:tc>
        <w:tc>
          <w:tcPr>
            <w:tcW w:w="492" w:type="pct"/>
            <w:tcBorders>
              <w:top w:val="single" w:color="000000" w:sz="4" w:space="0"/>
              <w:left w:val="single" w:color="000000" w:sz="4" w:space="0"/>
              <w:bottom w:val="single" w:color="000000" w:sz="4" w:space="0"/>
              <w:right w:val="single" w:color="000000" w:sz="4" w:space="0"/>
            </w:tcBorders>
            <w:vAlign w:val="center"/>
          </w:tcPr>
          <w:p w14:paraId="6F8F1826">
            <w:pPr>
              <w:widowControl/>
              <w:snapToGrid w:val="0"/>
              <w:spacing w:line="240" w:lineRule="auto"/>
              <w:ind w:firstLine="0" w:firstLineChars="0"/>
              <w:jc w:val="center"/>
              <w:rPr>
                <w:rFonts w:hint="eastAsia" w:cs="宋体"/>
                <w:color w:val="000000"/>
                <w:kern w:val="0"/>
              </w:rPr>
            </w:pPr>
            <w:r>
              <w:rPr>
                <w:rFonts w:hint="eastAsia" w:cs="宋体"/>
                <w:color w:val="000000"/>
                <w:kern w:val="0"/>
              </w:rPr>
              <w:t>服务器</w:t>
            </w:r>
          </w:p>
        </w:tc>
        <w:tc>
          <w:tcPr>
            <w:tcW w:w="2636" w:type="pct"/>
            <w:tcBorders>
              <w:top w:val="single" w:color="000000" w:sz="4" w:space="0"/>
              <w:left w:val="single" w:color="000000" w:sz="4" w:space="0"/>
              <w:bottom w:val="single" w:color="000000" w:sz="4" w:space="0"/>
              <w:right w:val="single" w:color="000000" w:sz="4" w:space="0"/>
            </w:tcBorders>
            <w:vAlign w:val="center"/>
          </w:tcPr>
          <w:p w14:paraId="20FC1142">
            <w:pPr>
              <w:widowControl/>
              <w:snapToGrid w:val="0"/>
              <w:spacing w:line="240" w:lineRule="auto"/>
              <w:ind w:firstLine="0" w:firstLineChars="0"/>
              <w:jc w:val="left"/>
              <w:rPr>
                <w:rFonts w:hint="eastAsia" w:cs="宋体"/>
                <w:color w:val="000000"/>
                <w:kern w:val="0"/>
              </w:rPr>
            </w:pPr>
            <w:r>
              <w:rPr>
                <w:rFonts w:hint="eastAsia" w:cs="宋体"/>
                <w:color w:val="000000"/>
                <w:kern w:val="0"/>
              </w:rPr>
              <w:t>CPU：16核32线程</w:t>
            </w:r>
            <w:r>
              <w:rPr>
                <w:rFonts w:hint="eastAsia" w:cs="宋体"/>
                <w:color w:val="000000"/>
                <w:kern w:val="0"/>
              </w:rPr>
              <w:br w:type="textWrapping"/>
            </w:r>
            <w:r>
              <w:rPr>
                <w:rFonts w:hint="eastAsia" w:cs="宋体"/>
                <w:color w:val="000000"/>
                <w:kern w:val="0"/>
              </w:rPr>
              <w:t>内存：128G</w:t>
            </w:r>
            <w:r>
              <w:rPr>
                <w:rFonts w:hint="eastAsia" w:cs="宋体"/>
                <w:color w:val="000000"/>
                <w:kern w:val="0"/>
              </w:rPr>
              <w:br w:type="textWrapping"/>
            </w:r>
            <w:r>
              <w:rPr>
                <w:rFonts w:hint="eastAsia" w:cs="宋体"/>
                <w:color w:val="000000"/>
                <w:kern w:val="0"/>
              </w:rPr>
              <w:t>硬盘：1块480G SSD、3块2T SATA</w:t>
            </w:r>
            <w:r>
              <w:rPr>
                <w:rFonts w:hint="eastAsia" w:cs="宋体"/>
                <w:color w:val="000000"/>
                <w:kern w:val="0"/>
              </w:rPr>
              <w:br w:type="textWrapping"/>
            </w:r>
            <w:r>
              <w:rPr>
                <w:rFonts w:hint="eastAsia" w:cs="宋体"/>
                <w:color w:val="000000"/>
                <w:kern w:val="0"/>
              </w:rPr>
              <w:t>网卡：2个万兆网口</w:t>
            </w:r>
            <w:r>
              <w:rPr>
                <w:rFonts w:hint="eastAsia" w:cs="宋体"/>
                <w:color w:val="000000"/>
                <w:kern w:val="0"/>
              </w:rPr>
              <w:br w:type="textWrapping"/>
            </w:r>
            <w:r>
              <w:rPr>
                <w:rFonts w:hint="eastAsia" w:cs="宋体"/>
                <w:color w:val="000000"/>
                <w:kern w:val="0"/>
              </w:rPr>
              <w:t>电源：支持冗余电源</w:t>
            </w:r>
            <w:r>
              <w:rPr>
                <w:rFonts w:hint="eastAsia" w:cs="宋体"/>
                <w:color w:val="000000"/>
                <w:kern w:val="0"/>
              </w:rPr>
              <w:br w:type="textWrapping"/>
            </w:r>
            <w:r>
              <w:rPr>
                <w:rFonts w:hint="eastAsia" w:cs="宋体"/>
                <w:color w:val="000000"/>
                <w:kern w:val="0"/>
              </w:rPr>
              <w:t>机箱：标准机架式</w:t>
            </w:r>
          </w:p>
        </w:tc>
        <w:tc>
          <w:tcPr>
            <w:tcW w:w="462" w:type="pct"/>
            <w:tcBorders>
              <w:top w:val="single" w:color="000000" w:sz="4" w:space="0"/>
              <w:left w:val="single" w:color="000000" w:sz="4" w:space="0"/>
              <w:bottom w:val="single" w:color="000000" w:sz="4" w:space="0"/>
              <w:right w:val="single" w:color="000000" w:sz="4" w:space="0"/>
            </w:tcBorders>
            <w:vAlign w:val="center"/>
          </w:tcPr>
          <w:p w14:paraId="4633229E">
            <w:pPr>
              <w:widowControl/>
              <w:snapToGrid w:val="0"/>
              <w:spacing w:line="240" w:lineRule="auto"/>
              <w:ind w:firstLine="0" w:firstLineChars="0"/>
              <w:jc w:val="center"/>
              <w:rPr>
                <w:rFonts w:hint="eastAsia" w:cs="宋体"/>
                <w:color w:val="000000"/>
                <w:kern w:val="0"/>
              </w:rPr>
            </w:pPr>
            <w:r>
              <w:rPr>
                <w:rFonts w:hint="eastAsia" w:cs="宋体"/>
                <w:color w:val="000000"/>
                <w:kern w:val="0"/>
              </w:rPr>
              <w:t>3</w:t>
            </w:r>
          </w:p>
        </w:tc>
        <w:tc>
          <w:tcPr>
            <w:tcW w:w="592" w:type="pct"/>
            <w:tcBorders>
              <w:top w:val="single" w:color="000000" w:sz="4" w:space="0"/>
              <w:left w:val="single" w:color="000000" w:sz="4" w:space="0"/>
              <w:bottom w:val="single" w:color="000000" w:sz="4" w:space="0"/>
              <w:right w:val="single" w:color="000000" w:sz="4" w:space="0"/>
            </w:tcBorders>
            <w:vAlign w:val="center"/>
          </w:tcPr>
          <w:p w14:paraId="78CE28AD">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r>
      <w:tr w14:paraId="329B33D8">
        <w:tblPrEx>
          <w:tblCellMar>
            <w:top w:w="0" w:type="dxa"/>
            <w:left w:w="108" w:type="dxa"/>
            <w:bottom w:w="0" w:type="dxa"/>
            <w:right w:w="108" w:type="dxa"/>
          </w:tblCellMar>
        </w:tblPrEx>
        <w:trPr>
          <w:trHeight w:val="272" w:hRule="atLeast"/>
        </w:trPr>
        <w:tc>
          <w:tcPr>
            <w:tcW w:w="333" w:type="pct"/>
            <w:tcBorders>
              <w:top w:val="single" w:color="000000" w:sz="4" w:space="0"/>
              <w:left w:val="single" w:color="000000" w:sz="4" w:space="0"/>
              <w:bottom w:val="single" w:color="000000" w:sz="4" w:space="0"/>
              <w:right w:val="single" w:color="000000" w:sz="4" w:space="0"/>
            </w:tcBorders>
            <w:noWrap/>
            <w:vAlign w:val="center"/>
          </w:tcPr>
          <w:p w14:paraId="7DC2870F">
            <w:pPr>
              <w:widowControl/>
              <w:snapToGrid w:val="0"/>
              <w:spacing w:line="240" w:lineRule="auto"/>
              <w:ind w:firstLine="0" w:firstLineChars="0"/>
              <w:jc w:val="center"/>
              <w:rPr>
                <w:rFonts w:hint="eastAsia" w:cs="宋体"/>
                <w:color w:val="000000"/>
                <w:kern w:val="0"/>
              </w:rPr>
            </w:pPr>
            <w:r>
              <w:rPr>
                <w:rFonts w:hint="eastAsia" w:cs="宋体"/>
                <w:color w:val="000000"/>
                <w:kern w:val="0"/>
              </w:rPr>
              <w:t>2</w:t>
            </w:r>
          </w:p>
        </w:tc>
        <w:tc>
          <w:tcPr>
            <w:tcW w:w="481" w:type="pct"/>
            <w:tcBorders>
              <w:top w:val="single" w:color="000000" w:sz="4" w:space="0"/>
              <w:left w:val="single" w:color="000000" w:sz="4" w:space="0"/>
              <w:bottom w:val="single" w:color="000000" w:sz="4" w:space="0"/>
              <w:right w:val="single" w:color="000000" w:sz="4" w:space="0"/>
            </w:tcBorders>
            <w:vAlign w:val="center"/>
          </w:tcPr>
          <w:p w14:paraId="7EB21EEB">
            <w:pPr>
              <w:widowControl/>
              <w:snapToGrid w:val="0"/>
              <w:spacing w:line="240" w:lineRule="auto"/>
              <w:ind w:firstLine="0" w:firstLineChars="0"/>
              <w:jc w:val="center"/>
              <w:rPr>
                <w:rFonts w:hint="eastAsia" w:cs="宋体"/>
                <w:color w:val="000000"/>
                <w:kern w:val="0"/>
              </w:rPr>
            </w:pPr>
            <w:r>
              <w:rPr>
                <w:rFonts w:hint="eastAsia" w:cs="宋体"/>
                <w:color w:val="000000"/>
                <w:kern w:val="0"/>
              </w:rPr>
              <w:t>高空视频监控</w:t>
            </w:r>
          </w:p>
        </w:tc>
        <w:tc>
          <w:tcPr>
            <w:tcW w:w="492" w:type="pct"/>
            <w:tcBorders>
              <w:top w:val="single" w:color="000000" w:sz="4" w:space="0"/>
              <w:left w:val="single" w:color="000000" w:sz="4" w:space="0"/>
              <w:bottom w:val="single" w:color="000000" w:sz="4" w:space="0"/>
              <w:right w:val="single" w:color="000000" w:sz="4" w:space="0"/>
            </w:tcBorders>
            <w:vAlign w:val="center"/>
          </w:tcPr>
          <w:p w14:paraId="2B2E3E35">
            <w:pPr>
              <w:widowControl/>
              <w:snapToGrid w:val="0"/>
              <w:spacing w:line="240" w:lineRule="auto"/>
              <w:ind w:firstLine="0" w:firstLineChars="0"/>
              <w:jc w:val="center"/>
              <w:rPr>
                <w:rFonts w:hint="eastAsia" w:cs="宋体"/>
                <w:color w:val="000000"/>
                <w:kern w:val="0"/>
              </w:rPr>
            </w:pPr>
            <w:r>
              <w:rPr>
                <w:rFonts w:hint="eastAsia" w:cs="宋体"/>
                <w:color w:val="000000"/>
                <w:kern w:val="0"/>
              </w:rPr>
              <w:t>4K双目热成像高清摄像机</w:t>
            </w:r>
          </w:p>
          <w:p w14:paraId="4ED3E8ED">
            <w:pPr>
              <w:widowControl/>
              <w:snapToGrid w:val="0"/>
              <w:spacing w:line="240" w:lineRule="auto"/>
              <w:ind w:firstLine="0" w:firstLineChars="0"/>
              <w:jc w:val="center"/>
              <w:rPr>
                <w:rFonts w:hint="eastAsia" w:cs="宋体"/>
                <w:color w:val="000000"/>
                <w:kern w:val="0"/>
              </w:rPr>
            </w:pPr>
            <w:r>
              <w:rPr>
                <w:rFonts w:hint="eastAsia" w:ascii="宋体" w:hAnsi="宋体" w:eastAsia="宋体" w:cs="宋体"/>
                <w:i w:val="0"/>
                <w:iCs w:val="0"/>
                <w:color w:val="000000"/>
                <w:kern w:val="0"/>
                <w:sz w:val="22"/>
                <w:szCs w:val="22"/>
                <w:u w:val="none"/>
                <w:lang w:val="en-US" w:eastAsia="zh-CN" w:bidi="ar"/>
              </w:rPr>
              <w:t>▲</w:t>
            </w:r>
          </w:p>
        </w:tc>
        <w:tc>
          <w:tcPr>
            <w:tcW w:w="2636" w:type="pct"/>
            <w:tcBorders>
              <w:top w:val="single" w:color="000000" w:sz="4" w:space="0"/>
              <w:left w:val="single" w:color="000000" w:sz="4" w:space="0"/>
              <w:bottom w:val="single" w:color="000000" w:sz="4" w:space="0"/>
              <w:right w:val="single" w:color="000000" w:sz="4" w:space="0"/>
            </w:tcBorders>
            <w:vAlign w:val="center"/>
          </w:tcPr>
          <w:p w14:paraId="03A2F7F0">
            <w:pPr>
              <w:widowControl/>
              <w:snapToGrid w:val="0"/>
              <w:spacing w:line="240" w:lineRule="auto"/>
              <w:ind w:firstLine="0" w:firstLineChars="0"/>
              <w:jc w:val="left"/>
              <w:rPr>
                <w:rFonts w:hint="eastAsia" w:cs="宋体"/>
                <w:color w:val="000000"/>
                <w:kern w:val="0"/>
              </w:rPr>
            </w:pPr>
            <w:r>
              <w:rPr>
                <w:rFonts w:hint="eastAsia" w:cs="宋体"/>
                <w:color w:val="000000"/>
                <w:kern w:val="0"/>
              </w:rPr>
              <w:t>热成像采用非制冷氧化钒焦平面探测器，分辨率 640×512，可见光采用1/1.8" 400 万 CMOS 图像传感器，最大分辨率2688×1520，支持 56 倍光学变倍，云台支持水平范围：0°～360°连续旋转；垂直范围：90°～-27°；支持船只检测、火点侦测、拌线入侵、区域入侵、目标分类等多种智能功能</w:t>
            </w:r>
          </w:p>
        </w:tc>
        <w:tc>
          <w:tcPr>
            <w:tcW w:w="462" w:type="pct"/>
            <w:tcBorders>
              <w:top w:val="single" w:color="000000" w:sz="4" w:space="0"/>
              <w:left w:val="single" w:color="000000" w:sz="4" w:space="0"/>
              <w:bottom w:val="single" w:color="000000" w:sz="4" w:space="0"/>
              <w:right w:val="single" w:color="000000" w:sz="4" w:space="0"/>
            </w:tcBorders>
            <w:vAlign w:val="center"/>
          </w:tcPr>
          <w:p w14:paraId="0AC234F0">
            <w:pPr>
              <w:widowControl/>
              <w:snapToGrid w:val="0"/>
              <w:spacing w:line="240" w:lineRule="auto"/>
              <w:ind w:firstLine="0" w:firstLineChars="0"/>
              <w:jc w:val="center"/>
              <w:rPr>
                <w:rFonts w:hint="eastAsia" w:cs="宋体"/>
                <w:color w:val="000000"/>
                <w:kern w:val="0"/>
              </w:rPr>
            </w:pPr>
            <w:r>
              <w:rPr>
                <w:rFonts w:hint="eastAsia" w:cs="宋体"/>
                <w:color w:val="000000"/>
                <w:kern w:val="0"/>
              </w:rPr>
              <w:t>9</w:t>
            </w:r>
          </w:p>
        </w:tc>
        <w:tc>
          <w:tcPr>
            <w:tcW w:w="592" w:type="pct"/>
            <w:tcBorders>
              <w:top w:val="single" w:color="000000" w:sz="4" w:space="0"/>
              <w:left w:val="single" w:color="000000" w:sz="4" w:space="0"/>
              <w:bottom w:val="single" w:color="000000" w:sz="4" w:space="0"/>
              <w:right w:val="single" w:color="000000" w:sz="4" w:space="0"/>
            </w:tcBorders>
            <w:vAlign w:val="center"/>
          </w:tcPr>
          <w:p w14:paraId="4E99C1BE">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r>
      <w:tr w14:paraId="77141C64">
        <w:tblPrEx>
          <w:tblCellMar>
            <w:top w:w="0" w:type="dxa"/>
            <w:left w:w="108" w:type="dxa"/>
            <w:bottom w:w="0" w:type="dxa"/>
            <w:right w:w="108" w:type="dxa"/>
          </w:tblCellMar>
        </w:tblPrEx>
        <w:trPr>
          <w:trHeight w:val="272" w:hRule="atLeast"/>
        </w:trPr>
        <w:tc>
          <w:tcPr>
            <w:tcW w:w="333" w:type="pct"/>
            <w:tcBorders>
              <w:top w:val="single" w:color="000000" w:sz="4" w:space="0"/>
              <w:left w:val="single" w:color="000000" w:sz="4" w:space="0"/>
              <w:bottom w:val="single" w:color="000000" w:sz="4" w:space="0"/>
              <w:right w:val="single" w:color="000000" w:sz="4" w:space="0"/>
            </w:tcBorders>
            <w:noWrap/>
            <w:vAlign w:val="center"/>
          </w:tcPr>
          <w:p w14:paraId="772E582B">
            <w:pPr>
              <w:widowControl/>
              <w:snapToGrid w:val="0"/>
              <w:spacing w:line="240" w:lineRule="auto"/>
              <w:ind w:firstLine="0" w:firstLineChars="0"/>
              <w:jc w:val="center"/>
              <w:rPr>
                <w:rFonts w:hint="eastAsia" w:cs="宋体"/>
                <w:color w:val="000000"/>
                <w:kern w:val="0"/>
              </w:rPr>
            </w:pPr>
            <w:r>
              <w:rPr>
                <w:rFonts w:hint="eastAsia" w:cs="宋体"/>
                <w:color w:val="000000"/>
                <w:kern w:val="0"/>
              </w:rPr>
              <w:t>3</w:t>
            </w:r>
          </w:p>
        </w:tc>
        <w:tc>
          <w:tcPr>
            <w:tcW w:w="481" w:type="pct"/>
            <w:tcBorders>
              <w:top w:val="single" w:color="000000" w:sz="4" w:space="0"/>
              <w:left w:val="single" w:color="000000" w:sz="4" w:space="0"/>
              <w:bottom w:val="single" w:color="000000" w:sz="4" w:space="0"/>
              <w:right w:val="single" w:color="000000" w:sz="4" w:space="0"/>
            </w:tcBorders>
            <w:vAlign w:val="center"/>
          </w:tcPr>
          <w:p w14:paraId="2DAF467F">
            <w:pPr>
              <w:widowControl/>
              <w:snapToGrid w:val="0"/>
              <w:spacing w:line="240" w:lineRule="auto"/>
              <w:ind w:firstLine="0" w:firstLineChars="0"/>
              <w:jc w:val="center"/>
              <w:rPr>
                <w:rFonts w:hint="eastAsia" w:cs="宋体"/>
                <w:color w:val="000000"/>
                <w:kern w:val="0"/>
              </w:rPr>
            </w:pPr>
            <w:r>
              <w:rPr>
                <w:rFonts w:hint="eastAsia" w:cs="宋体"/>
                <w:color w:val="000000"/>
                <w:kern w:val="0"/>
              </w:rPr>
              <w:t>高空视频监控</w:t>
            </w:r>
          </w:p>
        </w:tc>
        <w:tc>
          <w:tcPr>
            <w:tcW w:w="492" w:type="pct"/>
            <w:tcBorders>
              <w:top w:val="single" w:color="000000" w:sz="4" w:space="0"/>
              <w:left w:val="single" w:color="000000" w:sz="4" w:space="0"/>
              <w:bottom w:val="single" w:color="000000" w:sz="4" w:space="0"/>
              <w:right w:val="single" w:color="000000" w:sz="4" w:space="0"/>
            </w:tcBorders>
            <w:vAlign w:val="center"/>
          </w:tcPr>
          <w:p w14:paraId="2E0B0DE6">
            <w:pPr>
              <w:widowControl/>
              <w:snapToGrid w:val="0"/>
              <w:spacing w:line="240" w:lineRule="auto"/>
              <w:ind w:firstLine="0" w:firstLineChars="0"/>
              <w:jc w:val="center"/>
              <w:rPr>
                <w:rFonts w:hint="eastAsia" w:cs="宋体"/>
                <w:color w:val="000000"/>
                <w:kern w:val="0"/>
              </w:rPr>
            </w:pPr>
            <w:r>
              <w:rPr>
                <w:rFonts w:hint="eastAsia" w:cs="宋体"/>
                <w:color w:val="000000"/>
                <w:kern w:val="0"/>
              </w:rPr>
              <w:t>8K双目热成像高清摄像机</w:t>
            </w:r>
          </w:p>
          <w:p w14:paraId="3ED27322">
            <w:pPr>
              <w:widowControl/>
              <w:snapToGrid w:val="0"/>
              <w:spacing w:line="240" w:lineRule="auto"/>
              <w:ind w:firstLine="0" w:firstLineChars="0"/>
              <w:jc w:val="center"/>
              <w:rPr>
                <w:rFonts w:hint="eastAsia" w:cs="宋体"/>
                <w:color w:val="000000"/>
                <w:kern w:val="0"/>
              </w:rPr>
            </w:pPr>
            <w:r>
              <w:rPr>
                <w:rFonts w:hint="eastAsia" w:ascii="宋体" w:hAnsi="宋体" w:eastAsia="宋体" w:cs="宋体"/>
                <w:i w:val="0"/>
                <w:iCs w:val="0"/>
                <w:color w:val="000000"/>
                <w:kern w:val="0"/>
                <w:sz w:val="22"/>
                <w:szCs w:val="22"/>
                <w:u w:val="none"/>
                <w:lang w:val="en-US" w:eastAsia="zh-CN" w:bidi="ar"/>
              </w:rPr>
              <w:t>▲</w:t>
            </w:r>
          </w:p>
        </w:tc>
        <w:tc>
          <w:tcPr>
            <w:tcW w:w="2636" w:type="pct"/>
            <w:tcBorders>
              <w:top w:val="single" w:color="000000" w:sz="4" w:space="0"/>
              <w:left w:val="single" w:color="000000" w:sz="4" w:space="0"/>
              <w:bottom w:val="single" w:color="000000" w:sz="4" w:space="0"/>
              <w:right w:val="single" w:color="000000" w:sz="4" w:space="0"/>
            </w:tcBorders>
            <w:vAlign w:val="center"/>
          </w:tcPr>
          <w:p w14:paraId="2D34AFBF">
            <w:pPr>
              <w:widowControl/>
              <w:snapToGrid w:val="0"/>
              <w:spacing w:line="240" w:lineRule="auto"/>
              <w:ind w:firstLine="0" w:firstLineChars="0"/>
              <w:jc w:val="left"/>
              <w:rPr>
                <w:rFonts w:hint="eastAsia" w:cs="宋体"/>
                <w:color w:val="000000"/>
                <w:kern w:val="0"/>
              </w:rPr>
            </w:pPr>
            <w:r>
              <w:rPr>
                <w:rFonts w:hint="eastAsia" w:cs="宋体"/>
                <w:color w:val="000000"/>
                <w:kern w:val="0"/>
              </w:rPr>
              <w:t>热成像采用非制冷氧化钒焦平面探测器，分辨率 400×300，热成像云台支持水平 0°～190°旋转，垂直 -5°～180°旋转；可见光采用星光级 1/1.8" 800 万 CMOS 图像传感器，最大分辨率3840×2160，支持 45 倍光学变倍，可见光云台支持水平 0°~360°旋转，垂直-30°~+90°旋转；支持拌线入侵、区域入侵、多种触发规则联动动作、目标过滤等多种智能功能</w:t>
            </w:r>
          </w:p>
        </w:tc>
        <w:tc>
          <w:tcPr>
            <w:tcW w:w="462" w:type="pct"/>
            <w:tcBorders>
              <w:top w:val="single" w:color="000000" w:sz="4" w:space="0"/>
              <w:left w:val="single" w:color="000000" w:sz="4" w:space="0"/>
              <w:bottom w:val="single" w:color="000000" w:sz="4" w:space="0"/>
              <w:right w:val="single" w:color="000000" w:sz="4" w:space="0"/>
            </w:tcBorders>
            <w:vAlign w:val="center"/>
          </w:tcPr>
          <w:p w14:paraId="0C669E46">
            <w:pPr>
              <w:widowControl/>
              <w:snapToGrid w:val="0"/>
              <w:spacing w:line="240" w:lineRule="auto"/>
              <w:ind w:firstLine="0" w:firstLineChars="0"/>
              <w:jc w:val="center"/>
              <w:rPr>
                <w:rFonts w:hint="eastAsia" w:cs="宋体"/>
                <w:color w:val="000000"/>
                <w:kern w:val="0"/>
              </w:rPr>
            </w:pPr>
            <w:r>
              <w:rPr>
                <w:rFonts w:hint="eastAsia" w:cs="宋体"/>
                <w:color w:val="000000"/>
                <w:kern w:val="0"/>
              </w:rPr>
              <w:t>4</w:t>
            </w:r>
          </w:p>
        </w:tc>
        <w:tc>
          <w:tcPr>
            <w:tcW w:w="592" w:type="pct"/>
            <w:tcBorders>
              <w:top w:val="single" w:color="000000" w:sz="4" w:space="0"/>
              <w:left w:val="single" w:color="000000" w:sz="4" w:space="0"/>
              <w:bottom w:val="single" w:color="000000" w:sz="4" w:space="0"/>
              <w:right w:val="single" w:color="000000" w:sz="4" w:space="0"/>
            </w:tcBorders>
            <w:vAlign w:val="center"/>
          </w:tcPr>
          <w:p w14:paraId="41F23C4F">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r>
      <w:tr w14:paraId="4A705374">
        <w:tblPrEx>
          <w:tblCellMar>
            <w:top w:w="0" w:type="dxa"/>
            <w:left w:w="108" w:type="dxa"/>
            <w:bottom w:w="0" w:type="dxa"/>
            <w:right w:w="108" w:type="dxa"/>
          </w:tblCellMar>
        </w:tblPrEx>
        <w:trPr>
          <w:trHeight w:val="272" w:hRule="atLeast"/>
        </w:trPr>
        <w:tc>
          <w:tcPr>
            <w:tcW w:w="333" w:type="pct"/>
            <w:tcBorders>
              <w:top w:val="single" w:color="000000" w:sz="4" w:space="0"/>
              <w:left w:val="single" w:color="000000" w:sz="4" w:space="0"/>
              <w:bottom w:val="single" w:color="000000" w:sz="4" w:space="0"/>
              <w:right w:val="single" w:color="000000" w:sz="4" w:space="0"/>
            </w:tcBorders>
            <w:noWrap/>
            <w:vAlign w:val="center"/>
          </w:tcPr>
          <w:p w14:paraId="307B1944">
            <w:pPr>
              <w:widowControl/>
              <w:snapToGrid w:val="0"/>
              <w:spacing w:line="240" w:lineRule="auto"/>
              <w:ind w:firstLine="0" w:firstLineChars="0"/>
              <w:jc w:val="center"/>
              <w:rPr>
                <w:rFonts w:hint="eastAsia" w:cs="宋体"/>
                <w:color w:val="000000"/>
                <w:kern w:val="0"/>
              </w:rPr>
            </w:pPr>
            <w:r>
              <w:rPr>
                <w:rFonts w:hint="eastAsia" w:cs="宋体"/>
                <w:color w:val="000000"/>
                <w:kern w:val="0"/>
              </w:rPr>
              <w:t>4</w:t>
            </w:r>
          </w:p>
        </w:tc>
        <w:tc>
          <w:tcPr>
            <w:tcW w:w="481" w:type="pct"/>
            <w:tcBorders>
              <w:top w:val="single" w:color="000000" w:sz="4" w:space="0"/>
              <w:left w:val="single" w:color="000000" w:sz="4" w:space="0"/>
              <w:bottom w:val="single" w:color="000000" w:sz="4" w:space="0"/>
              <w:right w:val="single" w:color="000000" w:sz="4" w:space="0"/>
            </w:tcBorders>
            <w:vAlign w:val="center"/>
          </w:tcPr>
          <w:p w14:paraId="0DD9EA5B">
            <w:pPr>
              <w:widowControl/>
              <w:snapToGrid w:val="0"/>
              <w:spacing w:line="240" w:lineRule="auto"/>
              <w:ind w:firstLine="0" w:firstLineChars="0"/>
              <w:jc w:val="center"/>
              <w:rPr>
                <w:rFonts w:hint="eastAsia" w:cs="宋体"/>
                <w:color w:val="000000"/>
                <w:kern w:val="0"/>
              </w:rPr>
            </w:pPr>
            <w:r>
              <w:rPr>
                <w:rFonts w:hint="eastAsia" w:cs="宋体"/>
                <w:color w:val="000000"/>
                <w:kern w:val="0"/>
              </w:rPr>
              <w:t>高空视频监控</w:t>
            </w:r>
          </w:p>
        </w:tc>
        <w:tc>
          <w:tcPr>
            <w:tcW w:w="492" w:type="pct"/>
            <w:tcBorders>
              <w:top w:val="single" w:color="000000" w:sz="4" w:space="0"/>
              <w:left w:val="single" w:color="000000" w:sz="4" w:space="0"/>
              <w:bottom w:val="single" w:color="000000" w:sz="4" w:space="0"/>
              <w:right w:val="single" w:color="000000" w:sz="4" w:space="0"/>
            </w:tcBorders>
            <w:vAlign w:val="center"/>
          </w:tcPr>
          <w:p w14:paraId="600F8405">
            <w:pPr>
              <w:widowControl/>
              <w:snapToGrid w:val="0"/>
              <w:spacing w:line="240" w:lineRule="auto"/>
              <w:ind w:firstLine="0" w:firstLineChars="0"/>
              <w:jc w:val="center"/>
              <w:rPr>
                <w:rFonts w:hint="eastAsia" w:cs="宋体"/>
                <w:color w:val="000000"/>
                <w:kern w:val="0"/>
              </w:rPr>
            </w:pPr>
            <w:r>
              <w:rPr>
                <w:rFonts w:hint="eastAsia" w:cs="宋体"/>
                <w:color w:val="000000"/>
                <w:kern w:val="0"/>
              </w:rPr>
              <w:t>楼顶立杆及安装支架</w:t>
            </w:r>
          </w:p>
        </w:tc>
        <w:tc>
          <w:tcPr>
            <w:tcW w:w="2636" w:type="pct"/>
            <w:tcBorders>
              <w:top w:val="single" w:color="000000" w:sz="4" w:space="0"/>
              <w:left w:val="single" w:color="000000" w:sz="4" w:space="0"/>
              <w:bottom w:val="single" w:color="000000" w:sz="4" w:space="0"/>
              <w:right w:val="single" w:color="000000" w:sz="4" w:space="0"/>
            </w:tcBorders>
            <w:vAlign w:val="center"/>
          </w:tcPr>
          <w:p w14:paraId="210184A7">
            <w:pPr>
              <w:widowControl/>
              <w:snapToGrid w:val="0"/>
              <w:spacing w:line="240" w:lineRule="auto"/>
              <w:ind w:firstLine="0" w:firstLineChars="0"/>
              <w:jc w:val="left"/>
              <w:rPr>
                <w:rFonts w:hint="eastAsia" w:cs="宋体"/>
                <w:color w:val="000000"/>
                <w:kern w:val="0"/>
              </w:rPr>
            </w:pPr>
            <w:r>
              <w:rPr>
                <w:rFonts w:hint="eastAsia" w:cs="宋体"/>
                <w:color w:val="000000"/>
                <w:kern w:val="0"/>
              </w:rPr>
              <w:t>临港中心东楼、西楼，中银金融中心南楼、北楼各1处，含立杆、立杆基础加固安装、摄像机安装支架、就近取电线路及相关辅材</w:t>
            </w:r>
          </w:p>
        </w:tc>
        <w:tc>
          <w:tcPr>
            <w:tcW w:w="462" w:type="pct"/>
            <w:tcBorders>
              <w:top w:val="single" w:color="000000" w:sz="4" w:space="0"/>
              <w:left w:val="single" w:color="000000" w:sz="4" w:space="0"/>
              <w:bottom w:val="single" w:color="000000" w:sz="4" w:space="0"/>
              <w:right w:val="single" w:color="000000" w:sz="4" w:space="0"/>
            </w:tcBorders>
            <w:vAlign w:val="center"/>
          </w:tcPr>
          <w:p w14:paraId="60CAD35A">
            <w:pPr>
              <w:widowControl/>
              <w:snapToGrid w:val="0"/>
              <w:spacing w:line="240" w:lineRule="auto"/>
              <w:ind w:firstLine="0" w:firstLineChars="0"/>
              <w:jc w:val="center"/>
              <w:rPr>
                <w:rFonts w:hint="eastAsia" w:cs="宋体"/>
                <w:color w:val="000000"/>
                <w:kern w:val="0"/>
              </w:rPr>
            </w:pPr>
            <w:r>
              <w:rPr>
                <w:rFonts w:hint="eastAsia" w:cs="宋体"/>
                <w:color w:val="000000"/>
                <w:kern w:val="0"/>
              </w:rPr>
              <w:t>4</w:t>
            </w:r>
          </w:p>
        </w:tc>
        <w:tc>
          <w:tcPr>
            <w:tcW w:w="592" w:type="pct"/>
            <w:tcBorders>
              <w:top w:val="single" w:color="000000" w:sz="4" w:space="0"/>
              <w:left w:val="single" w:color="000000" w:sz="4" w:space="0"/>
              <w:bottom w:val="single" w:color="000000" w:sz="4" w:space="0"/>
              <w:right w:val="single" w:color="000000" w:sz="4" w:space="0"/>
            </w:tcBorders>
            <w:vAlign w:val="center"/>
          </w:tcPr>
          <w:p w14:paraId="4AC926C5">
            <w:pPr>
              <w:widowControl/>
              <w:snapToGrid w:val="0"/>
              <w:spacing w:line="240" w:lineRule="auto"/>
              <w:ind w:firstLine="0" w:firstLineChars="0"/>
              <w:jc w:val="center"/>
              <w:rPr>
                <w:rFonts w:hint="eastAsia" w:cs="宋体"/>
                <w:color w:val="000000"/>
                <w:kern w:val="0"/>
              </w:rPr>
            </w:pPr>
            <w:r>
              <w:rPr>
                <w:rFonts w:hint="eastAsia" w:cs="宋体"/>
                <w:color w:val="000000"/>
                <w:kern w:val="0"/>
              </w:rPr>
              <w:t>项</w:t>
            </w:r>
          </w:p>
        </w:tc>
      </w:tr>
      <w:tr w14:paraId="0F780AB4">
        <w:tblPrEx>
          <w:tblCellMar>
            <w:top w:w="0" w:type="dxa"/>
            <w:left w:w="108" w:type="dxa"/>
            <w:bottom w:w="0" w:type="dxa"/>
            <w:right w:w="108" w:type="dxa"/>
          </w:tblCellMar>
        </w:tblPrEx>
        <w:trPr>
          <w:trHeight w:val="272" w:hRule="atLeast"/>
        </w:trPr>
        <w:tc>
          <w:tcPr>
            <w:tcW w:w="333" w:type="pct"/>
            <w:tcBorders>
              <w:top w:val="single" w:color="000000" w:sz="4" w:space="0"/>
              <w:left w:val="single" w:color="000000" w:sz="4" w:space="0"/>
              <w:bottom w:val="single" w:color="000000" w:sz="4" w:space="0"/>
              <w:right w:val="single" w:color="000000" w:sz="4" w:space="0"/>
            </w:tcBorders>
            <w:noWrap/>
            <w:vAlign w:val="center"/>
          </w:tcPr>
          <w:p w14:paraId="31805AC4">
            <w:pPr>
              <w:widowControl/>
              <w:snapToGrid w:val="0"/>
              <w:spacing w:line="240" w:lineRule="auto"/>
              <w:ind w:firstLine="0" w:firstLineChars="0"/>
              <w:jc w:val="center"/>
              <w:rPr>
                <w:rFonts w:hint="eastAsia" w:cs="宋体"/>
                <w:color w:val="000000"/>
                <w:kern w:val="0"/>
              </w:rPr>
            </w:pPr>
            <w:r>
              <w:rPr>
                <w:rFonts w:hint="eastAsia" w:cs="宋体"/>
                <w:color w:val="000000"/>
                <w:kern w:val="0"/>
              </w:rPr>
              <w:t>5</w:t>
            </w:r>
          </w:p>
        </w:tc>
        <w:tc>
          <w:tcPr>
            <w:tcW w:w="481" w:type="pct"/>
            <w:tcBorders>
              <w:top w:val="single" w:color="000000" w:sz="4" w:space="0"/>
              <w:left w:val="single" w:color="000000" w:sz="4" w:space="0"/>
              <w:bottom w:val="single" w:color="000000" w:sz="4" w:space="0"/>
              <w:right w:val="single" w:color="000000" w:sz="4" w:space="0"/>
            </w:tcBorders>
            <w:vAlign w:val="center"/>
          </w:tcPr>
          <w:p w14:paraId="1EB9FDB4">
            <w:pPr>
              <w:widowControl/>
              <w:snapToGrid w:val="0"/>
              <w:spacing w:line="240" w:lineRule="auto"/>
              <w:ind w:firstLine="0" w:firstLineChars="0"/>
              <w:jc w:val="center"/>
              <w:rPr>
                <w:rFonts w:hint="eastAsia" w:cs="宋体"/>
                <w:color w:val="000000"/>
                <w:kern w:val="0"/>
              </w:rPr>
            </w:pPr>
            <w:r>
              <w:rPr>
                <w:rFonts w:hint="eastAsia" w:cs="宋体"/>
                <w:color w:val="000000"/>
                <w:kern w:val="0"/>
              </w:rPr>
              <w:t>其他</w:t>
            </w:r>
          </w:p>
        </w:tc>
        <w:tc>
          <w:tcPr>
            <w:tcW w:w="492" w:type="pct"/>
            <w:tcBorders>
              <w:top w:val="single" w:color="000000" w:sz="4" w:space="0"/>
              <w:left w:val="single" w:color="000000" w:sz="4" w:space="0"/>
              <w:bottom w:val="single" w:color="000000" w:sz="4" w:space="0"/>
              <w:right w:val="single" w:color="000000" w:sz="4" w:space="0"/>
            </w:tcBorders>
            <w:vAlign w:val="center"/>
          </w:tcPr>
          <w:p w14:paraId="0588D987">
            <w:pPr>
              <w:widowControl/>
              <w:snapToGrid w:val="0"/>
              <w:spacing w:line="240" w:lineRule="auto"/>
              <w:ind w:firstLine="0" w:firstLineChars="0"/>
              <w:jc w:val="center"/>
              <w:rPr>
                <w:rFonts w:hint="eastAsia" w:cs="宋体"/>
                <w:color w:val="000000"/>
                <w:kern w:val="0"/>
              </w:rPr>
            </w:pPr>
            <w:r>
              <w:rPr>
                <w:rFonts w:hint="eastAsia" w:cs="宋体"/>
                <w:color w:val="000000"/>
                <w:kern w:val="0"/>
              </w:rPr>
              <w:t>道路积水监测设备</w:t>
            </w:r>
          </w:p>
        </w:tc>
        <w:tc>
          <w:tcPr>
            <w:tcW w:w="2636" w:type="pct"/>
            <w:tcBorders>
              <w:top w:val="single" w:color="000000" w:sz="4" w:space="0"/>
              <w:left w:val="single" w:color="000000" w:sz="4" w:space="0"/>
              <w:bottom w:val="single" w:color="000000" w:sz="4" w:space="0"/>
              <w:right w:val="single" w:color="000000" w:sz="4" w:space="0"/>
            </w:tcBorders>
            <w:vAlign w:val="center"/>
          </w:tcPr>
          <w:p w14:paraId="4FC04200">
            <w:pPr>
              <w:widowControl/>
              <w:snapToGrid w:val="0"/>
              <w:spacing w:line="240" w:lineRule="auto"/>
              <w:ind w:firstLine="0" w:firstLineChars="0"/>
              <w:jc w:val="left"/>
              <w:rPr>
                <w:rFonts w:hint="eastAsia" w:cs="宋体"/>
                <w:color w:val="000000"/>
                <w:kern w:val="0"/>
              </w:rPr>
            </w:pPr>
            <w:r>
              <w:rPr>
                <w:rFonts w:hint="eastAsia" w:cs="宋体"/>
                <w:color w:val="000000"/>
                <w:kern w:val="0"/>
              </w:rPr>
              <w:t>路侧石型积水监测设备，基于水浸开关原理设计，采用NB-IOT物联网网络进行传输</w:t>
            </w:r>
          </w:p>
        </w:tc>
        <w:tc>
          <w:tcPr>
            <w:tcW w:w="462" w:type="pct"/>
            <w:tcBorders>
              <w:top w:val="single" w:color="000000" w:sz="4" w:space="0"/>
              <w:left w:val="single" w:color="000000" w:sz="4" w:space="0"/>
              <w:bottom w:val="single" w:color="000000" w:sz="4" w:space="0"/>
              <w:right w:val="single" w:color="000000" w:sz="4" w:space="0"/>
            </w:tcBorders>
            <w:vAlign w:val="center"/>
          </w:tcPr>
          <w:p w14:paraId="6E3F5C2D">
            <w:pPr>
              <w:widowControl/>
              <w:snapToGrid w:val="0"/>
              <w:spacing w:line="240" w:lineRule="auto"/>
              <w:ind w:firstLine="0" w:firstLineChars="0"/>
              <w:jc w:val="center"/>
              <w:rPr>
                <w:rFonts w:hint="eastAsia" w:cs="宋体"/>
                <w:color w:val="000000"/>
                <w:kern w:val="0"/>
              </w:rPr>
            </w:pPr>
            <w:r>
              <w:rPr>
                <w:rFonts w:hint="eastAsia" w:cs="宋体"/>
                <w:color w:val="000000"/>
                <w:kern w:val="0"/>
              </w:rPr>
              <w:t>23</w:t>
            </w:r>
          </w:p>
        </w:tc>
        <w:tc>
          <w:tcPr>
            <w:tcW w:w="592" w:type="pct"/>
            <w:tcBorders>
              <w:top w:val="single" w:color="000000" w:sz="4" w:space="0"/>
              <w:left w:val="single" w:color="000000" w:sz="4" w:space="0"/>
              <w:bottom w:val="single" w:color="000000" w:sz="4" w:space="0"/>
              <w:right w:val="single" w:color="000000" w:sz="4" w:space="0"/>
            </w:tcBorders>
            <w:vAlign w:val="center"/>
          </w:tcPr>
          <w:p w14:paraId="197606D1">
            <w:pPr>
              <w:widowControl/>
              <w:snapToGrid w:val="0"/>
              <w:spacing w:line="240" w:lineRule="auto"/>
              <w:ind w:firstLine="0" w:firstLineChars="0"/>
              <w:jc w:val="center"/>
              <w:rPr>
                <w:rFonts w:hint="eastAsia" w:cs="宋体"/>
                <w:color w:val="000000"/>
                <w:kern w:val="0"/>
              </w:rPr>
            </w:pPr>
            <w:r>
              <w:rPr>
                <w:rFonts w:hint="eastAsia" w:cs="宋体"/>
                <w:color w:val="000000"/>
                <w:kern w:val="0"/>
              </w:rPr>
              <w:t>台</w:t>
            </w:r>
          </w:p>
        </w:tc>
      </w:tr>
    </w:tbl>
    <w:p w14:paraId="793C1DF3">
      <w:pPr>
        <w:pStyle w:val="2"/>
        <w:numPr>
          <w:ilvl w:val="0"/>
          <w:numId w:val="0"/>
        </w:numPr>
        <w:spacing w:after="0"/>
        <w:ind w:left="425" w:hanging="425"/>
        <w:rPr>
          <w:rFonts w:hint="eastAsia"/>
          <w:i/>
          <w:iCs/>
          <w:color w:val="FF0000"/>
        </w:rPr>
      </w:pPr>
      <w:r>
        <w:rPr>
          <w:rFonts w:hint="eastAsia"/>
        </w:rPr>
        <w:t>附表三：产品软件购置清单</w:t>
      </w:r>
    </w:p>
    <w:tbl>
      <w:tblPr>
        <w:tblStyle w:val="35"/>
        <w:tblW w:w="4998" w:type="pct"/>
        <w:tblInd w:w="0" w:type="dxa"/>
        <w:tblLayout w:type="fixed"/>
        <w:tblCellMar>
          <w:top w:w="0" w:type="dxa"/>
          <w:left w:w="108" w:type="dxa"/>
          <w:bottom w:w="0" w:type="dxa"/>
          <w:right w:w="108" w:type="dxa"/>
        </w:tblCellMar>
      </w:tblPr>
      <w:tblGrid>
        <w:gridCol w:w="559"/>
        <w:gridCol w:w="839"/>
        <w:gridCol w:w="818"/>
        <w:gridCol w:w="4803"/>
        <w:gridCol w:w="950"/>
        <w:gridCol w:w="556"/>
      </w:tblGrid>
      <w:tr w14:paraId="6E571DB4">
        <w:tblPrEx>
          <w:tblCellMar>
            <w:top w:w="0" w:type="dxa"/>
            <w:left w:w="108" w:type="dxa"/>
            <w:bottom w:w="0" w:type="dxa"/>
            <w:right w:w="108" w:type="dxa"/>
          </w:tblCellMar>
        </w:tblPrEx>
        <w:trPr>
          <w:trHeight w:val="20" w:hRule="atLeast"/>
          <w:tblHeader/>
        </w:trPr>
        <w:tc>
          <w:tcPr>
            <w:tcW w:w="327" w:type="pct"/>
            <w:tcBorders>
              <w:top w:val="single" w:color="000000" w:sz="4" w:space="0"/>
              <w:left w:val="single" w:color="000000" w:sz="4" w:space="0"/>
              <w:bottom w:val="single" w:color="000000" w:sz="4" w:space="0"/>
              <w:right w:val="single" w:color="000000" w:sz="4" w:space="0"/>
            </w:tcBorders>
            <w:vAlign w:val="center"/>
          </w:tcPr>
          <w:p w14:paraId="1F3C80CB">
            <w:pPr>
              <w:widowControl/>
              <w:spacing w:line="240" w:lineRule="auto"/>
              <w:ind w:firstLine="0" w:firstLineChars="0"/>
              <w:jc w:val="center"/>
              <w:rPr>
                <w:rFonts w:hint="eastAsia" w:cs="宋体"/>
                <w:b/>
                <w:bCs/>
                <w:color w:val="000000"/>
                <w:kern w:val="0"/>
              </w:rPr>
            </w:pPr>
            <w:r>
              <w:rPr>
                <w:rFonts w:hint="eastAsia" w:cs="宋体"/>
                <w:b/>
                <w:bCs/>
                <w:color w:val="000000"/>
                <w:kern w:val="0"/>
              </w:rPr>
              <w:t>序号</w:t>
            </w:r>
          </w:p>
        </w:tc>
        <w:tc>
          <w:tcPr>
            <w:tcW w:w="492" w:type="pct"/>
            <w:tcBorders>
              <w:top w:val="single" w:color="000000" w:sz="4" w:space="0"/>
              <w:left w:val="single" w:color="000000" w:sz="4" w:space="0"/>
              <w:bottom w:val="single" w:color="000000" w:sz="4" w:space="0"/>
              <w:right w:val="single" w:color="000000" w:sz="4" w:space="0"/>
            </w:tcBorders>
            <w:vAlign w:val="center"/>
          </w:tcPr>
          <w:p w14:paraId="28988199">
            <w:pPr>
              <w:widowControl/>
              <w:spacing w:line="240" w:lineRule="auto"/>
              <w:ind w:firstLine="0" w:firstLineChars="0"/>
              <w:jc w:val="center"/>
              <w:rPr>
                <w:rFonts w:hint="eastAsia" w:cs="宋体"/>
                <w:b/>
                <w:bCs/>
                <w:color w:val="000000"/>
                <w:kern w:val="0"/>
              </w:rPr>
            </w:pPr>
            <w:r>
              <w:rPr>
                <w:rFonts w:hint="eastAsia" w:cs="宋体"/>
                <w:b/>
                <w:bCs/>
                <w:color w:val="000000"/>
                <w:kern w:val="0"/>
              </w:rPr>
              <w:t>产品类别</w:t>
            </w:r>
          </w:p>
        </w:tc>
        <w:tc>
          <w:tcPr>
            <w:tcW w:w="480" w:type="pct"/>
            <w:tcBorders>
              <w:top w:val="single" w:color="000000" w:sz="4" w:space="0"/>
              <w:left w:val="single" w:color="000000" w:sz="4" w:space="0"/>
              <w:bottom w:val="single" w:color="000000" w:sz="4" w:space="0"/>
              <w:right w:val="single" w:color="000000" w:sz="4" w:space="0"/>
            </w:tcBorders>
            <w:vAlign w:val="center"/>
          </w:tcPr>
          <w:p w14:paraId="0650C374">
            <w:pPr>
              <w:widowControl/>
              <w:spacing w:line="240" w:lineRule="auto"/>
              <w:ind w:firstLine="0" w:firstLineChars="0"/>
              <w:jc w:val="center"/>
              <w:rPr>
                <w:rFonts w:hint="eastAsia" w:cs="宋体"/>
                <w:b/>
                <w:bCs/>
                <w:color w:val="000000"/>
                <w:kern w:val="0"/>
              </w:rPr>
            </w:pPr>
            <w:r>
              <w:rPr>
                <w:rFonts w:hint="eastAsia" w:cs="宋体"/>
                <w:b/>
                <w:bCs/>
                <w:color w:val="000000"/>
                <w:kern w:val="0"/>
              </w:rPr>
              <w:t>产品名称</w:t>
            </w:r>
          </w:p>
        </w:tc>
        <w:tc>
          <w:tcPr>
            <w:tcW w:w="2815" w:type="pct"/>
            <w:tcBorders>
              <w:top w:val="single" w:color="000000" w:sz="4" w:space="0"/>
              <w:left w:val="single" w:color="000000" w:sz="4" w:space="0"/>
              <w:bottom w:val="single" w:color="000000" w:sz="4" w:space="0"/>
              <w:right w:val="single" w:color="000000" w:sz="4" w:space="0"/>
            </w:tcBorders>
            <w:vAlign w:val="center"/>
          </w:tcPr>
          <w:p w14:paraId="5160BC6D">
            <w:pPr>
              <w:widowControl/>
              <w:spacing w:line="240" w:lineRule="auto"/>
              <w:ind w:firstLine="0" w:firstLineChars="0"/>
              <w:jc w:val="center"/>
              <w:rPr>
                <w:rFonts w:hint="eastAsia" w:cs="宋体"/>
                <w:b/>
                <w:bCs/>
                <w:color w:val="000000"/>
                <w:kern w:val="0"/>
              </w:rPr>
            </w:pPr>
            <w:r>
              <w:rPr>
                <w:rFonts w:hint="eastAsia" w:cs="宋体"/>
                <w:b/>
                <w:bCs/>
                <w:color w:val="000000"/>
                <w:kern w:val="0"/>
              </w:rPr>
              <w:t>产品配置</w:t>
            </w:r>
          </w:p>
        </w:tc>
        <w:tc>
          <w:tcPr>
            <w:tcW w:w="557" w:type="pct"/>
            <w:tcBorders>
              <w:top w:val="single" w:color="000000" w:sz="4" w:space="0"/>
              <w:left w:val="single" w:color="000000" w:sz="4" w:space="0"/>
              <w:bottom w:val="single" w:color="000000" w:sz="4" w:space="0"/>
              <w:right w:val="single" w:color="000000" w:sz="4" w:space="0"/>
            </w:tcBorders>
            <w:vAlign w:val="center"/>
          </w:tcPr>
          <w:p w14:paraId="14082F99">
            <w:pPr>
              <w:widowControl/>
              <w:spacing w:line="240" w:lineRule="auto"/>
              <w:ind w:firstLine="0" w:firstLineChars="0"/>
              <w:jc w:val="center"/>
              <w:rPr>
                <w:rFonts w:hint="eastAsia" w:cs="宋体"/>
                <w:b/>
                <w:bCs/>
                <w:color w:val="000000"/>
                <w:kern w:val="0"/>
              </w:rPr>
            </w:pPr>
            <w:r>
              <w:rPr>
                <w:rFonts w:hint="eastAsia" w:cs="宋体"/>
                <w:b/>
                <w:bCs/>
                <w:color w:val="000000"/>
                <w:kern w:val="0"/>
              </w:rPr>
              <w:t>数量</w:t>
            </w:r>
          </w:p>
        </w:tc>
        <w:tc>
          <w:tcPr>
            <w:tcW w:w="326" w:type="pct"/>
            <w:tcBorders>
              <w:top w:val="single" w:color="000000" w:sz="4" w:space="0"/>
              <w:left w:val="single" w:color="000000" w:sz="4" w:space="0"/>
              <w:bottom w:val="single" w:color="000000" w:sz="4" w:space="0"/>
              <w:right w:val="single" w:color="000000" w:sz="4" w:space="0"/>
            </w:tcBorders>
            <w:vAlign w:val="center"/>
          </w:tcPr>
          <w:p w14:paraId="3BDD63EA">
            <w:pPr>
              <w:widowControl/>
              <w:spacing w:line="240" w:lineRule="auto"/>
              <w:ind w:firstLine="0" w:firstLineChars="0"/>
              <w:jc w:val="center"/>
              <w:rPr>
                <w:rFonts w:hint="eastAsia" w:cs="宋体"/>
                <w:b/>
                <w:bCs/>
                <w:color w:val="000000"/>
                <w:kern w:val="0"/>
              </w:rPr>
            </w:pPr>
            <w:r>
              <w:rPr>
                <w:rFonts w:hint="eastAsia" w:cs="宋体"/>
                <w:b/>
                <w:bCs/>
                <w:color w:val="000000"/>
                <w:kern w:val="0"/>
              </w:rPr>
              <w:t>单位</w:t>
            </w:r>
          </w:p>
        </w:tc>
      </w:tr>
      <w:tr w14:paraId="1B465878">
        <w:tblPrEx>
          <w:tblCellMar>
            <w:top w:w="0" w:type="dxa"/>
            <w:left w:w="108" w:type="dxa"/>
            <w:bottom w:w="0" w:type="dxa"/>
            <w:right w:w="108" w:type="dxa"/>
          </w:tblCellMar>
        </w:tblPrEx>
        <w:trPr>
          <w:trHeight w:val="20" w:hRule="atLeast"/>
        </w:trPr>
        <w:tc>
          <w:tcPr>
            <w:tcW w:w="327" w:type="pct"/>
            <w:tcBorders>
              <w:top w:val="single" w:color="000000" w:sz="4" w:space="0"/>
              <w:left w:val="single" w:color="000000" w:sz="4" w:space="0"/>
              <w:bottom w:val="single" w:color="000000" w:sz="4" w:space="0"/>
              <w:right w:val="single" w:color="000000" w:sz="4" w:space="0"/>
            </w:tcBorders>
            <w:noWrap/>
            <w:vAlign w:val="center"/>
          </w:tcPr>
          <w:p w14:paraId="38C0BEA0">
            <w:pPr>
              <w:widowControl/>
              <w:spacing w:line="240" w:lineRule="auto"/>
              <w:ind w:firstLine="0" w:firstLineChars="0"/>
              <w:jc w:val="center"/>
              <w:rPr>
                <w:rFonts w:hint="eastAsia" w:cs="宋体"/>
                <w:color w:val="000000"/>
                <w:kern w:val="0"/>
              </w:rPr>
            </w:pPr>
            <w:r>
              <w:rPr>
                <w:rFonts w:hint="eastAsia" w:cs="宋体"/>
                <w:color w:val="000000"/>
                <w:kern w:val="0"/>
              </w:rPr>
              <w:t>1</w:t>
            </w:r>
          </w:p>
        </w:tc>
        <w:tc>
          <w:tcPr>
            <w:tcW w:w="492" w:type="pct"/>
            <w:tcBorders>
              <w:top w:val="single" w:color="000000" w:sz="4" w:space="0"/>
              <w:left w:val="single" w:color="000000" w:sz="4" w:space="0"/>
              <w:bottom w:val="single" w:color="000000" w:sz="4" w:space="0"/>
              <w:right w:val="single" w:color="000000" w:sz="4" w:space="0"/>
            </w:tcBorders>
            <w:vAlign w:val="center"/>
          </w:tcPr>
          <w:p w14:paraId="6904136C">
            <w:pPr>
              <w:widowControl/>
              <w:spacing w:line="240" w:lineRule="auto"/>
              <w:ind w:firstLine="0" w:firstLineChars="0"/>
              <w:jc w:val="center"/>
              <w:rPr>
                <w:rFonts w:hint="eastAsia" w:cs="宋体"/>
                <w:color w:val="000000"/>
                <w:kern w:val="0"/>
              </w:rPr>
            </w:pPr>
            <w:r>
              <w:rPr>
                <w:rFonts w:hint="eastAsia" w:cs="宋体"/>
                <w:color w:val="000000"/>
                <w:kern w:val="0"/>
              </w:rPr>
              <w:t>视觉中枢平台</w:t>
            </w:r>
          </w:p>
        </w:tc>
        <w:tc>
          <w:tcPr>
            <w:tcW w:w="480" w:type="pct"/>
            <w:tcBorders>
              <w:top w:val="single" w:color="000000" w:sz="4" w:space="0"/>
              <w:left w:val="single" w:color="000000" w:sz="4" w:space="0"/>
              <w:bottom w:val="single" w:color="000000" w:sz="4" w:space="0"/>
              <w:right w:val="single" w:color="000000" w:sz="4" w:space="0"/>
            </w:tcBorders>
            <w:vAlign w:val="center"/>
          </w:tcPr>
          <w:p w14:paraId="5CE80915">
            <w:pPr>
              <w:widowControl/>
              <w:spacing w:line="240" w:lineRule="auto"/>
              <w:ind w:firstLine="0" w:firstLineChars="0"/>
              <w:jc w:val="center"/>
              <w:rPr>
                <w:rFonts w:hint="eastAsia" w:cs="宋体"/>
                <w:color w:val="000000"/>
                <w:kern w:val="0"/>
              </w:rPr>
            </w:pPr>
            <w:r>
              <w:rPr>
                <w:rFonts w:hint="eastAsia" w:cs="宋体"/>
                <w:color w:val="000000"/>
                <w:kern w:val="0"/>
              </w:rPr>
              <w:t>视频管理软件</w:t>
            </w:r>
          </w:p>
          <w:p w14:paraId="723DE630">
            <w:pPr>
              <w:widowControl/>
              <w:spacing w:line="240" w:lineRule="auto"/>
              <w:ind w:firstLine="0" w:firstLineChars="0"/>
              <w:jc w:val="center"/>
              <w:rPr>
                <w:rFonts w:hint="eastAsia" w:cs="宋体"/>
                <w:color w:val="000000"/>
                <w:kern w:val="0"/>
              </w:rPr>
            </w:pPr>
            <w:r>
              <w:rPr>
                <w:rFonts w:hint="eastAsia" w:ascii="宋体" w:hAnsi="宋体" w:eastAsia="宋体" w:cs="宋体"/>
                <w:i w:val="0"/>
                <w:iCs w:val="0"/>
                <w:color w:val="000000"/>
                <w:kern w:val="0"/>
                <w:sz w:val="22"/>
                <w:szCs w:val="22"/>
                <w:u w:val="none"/>
                <w:lang w:val="en-US" w:eastAsia="zh-CN" w:bidi="ar"/>
              </w:rPr>
              <w:t>▲</w:t>
            </w:r>
          </w:p>
        </w:tc>
        <w:tc>
          <w:tcPr>
            <w:tcW w:w="2815" w:type="pct"/>
            <w:tcBorders>
              <w:top w:val="single" w:color="000000" w:sz="4" w:space="0"/>
              <w:left w:val="single" w:color="000000" w:sz="4" w:space="0"/>
              <w:bottom w:val="single" w:color="000000" w:sz="4" w:space="0"/>
              <w:right w:val="single" w:color="000000" w:sz="4" w:space="0"/>
            </w:tcBorders>
            <w:vAlign w:val="center"/>
          </w:tcPr>
          <w:p w14:paraId="10944660">
            <w:pPr>
              <w:widowControl/>
              <w:spacing w:line="240" w:lineRule="auto"/>
              <w:ind w:firstLine="0" w:firstLineChars="0"/>
              <w:jc w:val="left"/>
              <w:rPr>
                <w:rFonts w:hint="eastAsia" w:cs="宋体"/>
                <w:color w:val="000000"/>
                <w:kern w:val="0"/>
              </w:rPr>
            </w:pPr>
            <w:r>
              <w:rPr>
                <w:rFonts w:hint="eastAsia" w:cs="宋体"/>
                <w:color w:val="000000"/>
                <w:kern w:val="0"/>
              </w:rPr>
              <w:t>实现5万路视频点位接入及管理能力，含5万路视频接入授权及所有视频平台对接、本期项目新接入NVR和摄像机的接入工作。</w:t>
            </w:r>
          </w:p>
          <w:p w14:paraId="2D700D40">
            <w:pPr>
              <w:widowControl/>
              <w:spacing w:line="240" w:lineRule="auto"/>
              <w:ind w:firstLine="0" w:firstLineChars="0"/>
              <w:jc w:val="left"/>
              <w:rPr>
                <w:rFonts w:hint="eastAsia" w:cs="宋体"/>
                <w:color w:val="000000"/>
                <w:kern w:val="0"/>
              </w:rPr>
            </w:pPr>
            <w:r>
              <w:rPr>
                <w:rFonts w:hint="eastAsia" w:cs="宋体"/>
                <w:color w:val="000000"/>
                <w:kern w:val="0"/>
              </w:rPr>
              <w:t>实现功能：</w:t>
            </w:r>
          </w:p>
          <w:p w14:paraId="198DC8D3">
            <w:pPr>
              <w:widowControl/>
              <w:spacing w:line="240" w:lineRule="auto"/>
              <w:ind w:firstLine="0" w:firstLineChars="0"/>
              <w:jc w:val="left"/>
              <w:rPr>
                <w:rFonts w:hint="eastAsia" w:cs="宋体"/>
                <w:color w:val="000000"/>
                <w:kern w:val="0"/>
              </w:rPr>
            </w:pPr>
            <w:r>
              <w:rPr>
                <w:rFonts w:hint="eastAsia" w:cs="宋体"/>
                <w:color w:val="000000"/>
                <w:kern w:val="0"/>
              </w:rPr>
              <w:t>支持基于GB/T28181国标平台互联和级联，支持多上级、多下级的国标联网；</w:t>
            </w:r>
          </w:p>
          <w:p w14:paraId="4BCE3B1C">
            <w:pPr>
              <w:widowControl/>
              <w:spacing w:line="240" w:lineRule="auto"/>
              <w:ind w:firstLine="0" w:firstLineChars="0"/>
              <w:jc w:val="left"/>
              <w:rPr>
                <w:rFonts w:hint="eastAsia" w:cs="宋体"/>
                <w:color w:val="000000"/>
                <w:kern w:val="0"/>
              </w:rPr>
            </w:pPr>
            <w:r>
              <w:rPr>
                <w:rFonts w:hint="eastAsia" w:cs="宋体"/>
                <w:color w:val="000000"/>
                <w:kern w:val="0"/>
              </w:rPr>
              <w:t>支持GB/T28181、ONVIF、SDK等多种协议设备接入；</w:t>
            </w:r>
          </w:p>
          <w:p w14:paraId="48E1FAD3">
            <w:pPr>
              <w:widowControl/>
              <w:spacing w:line="240" w:lineRule="auto"/>
              <w:ind w:firstLine="0" w:firstLineChars="0"/>
              <w:jc w:val="left"/>
              <w:rPr>
                <w:rFonts w:hint="eastAsia" w:cs="宋体"/>
                <w:color w:val="000000"/>
                <w:kern w:val="0"/>
              </w:rPr>
            </w:pPr>
            <w:r>
              <w:rPr>
                <w:rFonts w:hint="eastAsia" w:cs="宋体"/>
                <w:color w:val="000000"/>
                <w:kern w:val="0"/>
              </w:rPr>
              <w:t>支持对用户的功能和资源权限进行控制；</w:t>
            </w:r>
          </w:p>
          <w:p w14:paraId="7CDF6C13">
            <w:pPr>
              <w:widowControl/>
              <w:spacing w:line="240" w:lineRule="auto"/>
              <w:ind w:firstLine="0" w:firstLineChars="0"/>
              <w:jc w:val="left"/>
              <w:rPr>
                <w:rFonts w:hint="eastAsia" w:cs="宋体"/>
                <w:color w:val="000000"/>
                <w:kern w:val="0"/>
              </w:rPr>
            </w:pPr>
            <w:r>
              <w:rPr>
                <w:rFonts w:hint="eastAsia" w:cs="宋体"/>
                <w:color w:val="000000"/>
                <w:kern w:val="0"/>
              </w:rPr>
              <w:t>支持高级别用户的资源抢占，支持云台锁定；</w:t>
            </w:r>
          </w:p>
          <w:p w14:paraId="1A43FBDD">
            <w:pPr>
              <w:widowControl/>
              <w:spacing w:line="240" w:lineRule="auto"/>
              <w:ind w:firstLine="0" w:firstLineChars="0"/>
              <w:jc w:val="left"/>
              <w:rPr>
                <w:rFonts w:hint="eastAsia" w:cs="宋体"/>
                <w:color w:val="000000"/>
                <w:kern w:val="0"/>
              </w:rPr>
            </w:pPr>
            <w:r>
              <w:rPr>
                <w:rFonts w:hint="eastAsia" w:cs="宋体"/>
                <w:color w:val="000000"/>
                <w:kern w:val="0"/>
              </w:rPr>
              <w:t>支持Web客户端H5的无插件实时视频播放、历史视频回放；</w:t>
            </w:r>
          </w:p>
          <w:p w14:paraId="4FD71DA5">
            <w:pPr>
              <w:widowControl/>
              <w:spacing w:line="240" w:lineRule="auto"/>
              <w:ind w:firstLine="0" w:firstLineChars="0"/>
              <w:jc w:val="left"/>
              <w:rPr>
                <w:rFonts w:hint="eastAsia" w:cs="宋体"/>
                <w:color w:val="000000"/>
                <w:kern w:val="0"/>
              </w:rPr>
            </w:pPr>
            <w:r>
              <w:rPr>
                <w:rFonts w:hint="eastAsia" w:cs="宋体"/>
                <w:color w:val="000000"/>
                <w:kern w:val="0"/>
              </w:rPr>
              <w:t>支持跨平台、跨区域等复杂场景下的最优转发调度；</w:t>
            </w:r>
          </w:p>
          <w:p w14:paraId="1709F357">
            <w:pPr>
              <w:widowControl/>
              <w:spacing w:line="240" w:lineRule="auto"/>
              <w:ind w:firstLine="0" w:firstLineChars="0"/>
              <w:jc w:val="left"/>
              <w:rPr>
                <w:rFonts w:hint="eastAsia" w:cs="宋体"/>
                <w:color w:val="000000"/>
                <w:kern w:val="0"/>
              </w:rPr>
            </w:pPr>
            <w:r>
              <w:rPr>
                <w:rFonts w:hint="eastAsia" w:cs="宋体"/>
                <w:color w:val="000000"/>
                <w:kern w:val="0"/>
              </w:rPr>
              <w:t>支持面向前端设备、媒体服务、用户等资源的统一监测；</w:t>
            </w:r>
          </w:p>
          <w:p w14:paraId="12A9D242">
            <w:pPr>
              <w:widowControl/>
              <w:spacing w:line="240" w:lineRule="auto"/>
              <w:ind w:firstLine="0" w:firstLineChars="0"/>
              <w:jc w:val="left"/>
              <w:rPr>
                <w:rFonts w:hint="eastAsia" w:cs="宋体"/>
                <w:color w:val="000000"/>
                <w:kern w:val="0"/>
              </w:rPr>
            </w:pPr>
            <w:r>
              <w:rPr>
                <w:rFonts w:hint="eastAsia" w:cs="宋体"/>
                <w:color w:val="000000"/>
                <w:kern w:val="0"/>
              </w:rPr>
              <w:t>支持流媒体节点配置管理；</w:t>
            </w:r>
          </w:p>
          <w:p w14:paraId="555681D4">
            <w:pPr>
              <w:widowControl/>
              <w:spacing w:line="240" w:lineRule="auto"/>
              <w:ind w:firstLine="0" w:firstLineChars="0"/>
              <w:jc w:val="left"/>
              <w:rPr>
                <w:rFonts w:hint="eastAsia" w:cs="宋体"/>
                <w:color w:val="000000"/>
                <w:kern w:val="0"/>
              </w:rPr>
            </w:pPr>
            <w:r>
              <w:rPr>
                <w:rFonts w:hint="eastAsia" w:cs="宋体"/>
                <w:color w:val="000000"/>
                <w:kern w:val="0"/>
              </w:rPr>
              <w:t>支持摄像机信息配置管理；</w:t>
            </w:r>
          </w:p>
          <w:p w14:paraId="4DB795DD">
            <w:pPr>
              <w:widowControl/>
              <w:spacing w:line="240" w:lineRule="auto"/>
              <w:ind w:firstLine="0" w:firstLineChars="0"/>
              <w:jc w:val="left"/>
              <w:rPr>
                <w:rFonts w:hint="eastAsia" w:cs="宋体"/>
                <w:color w:val="000000"/>
                <w:kern w:val="0"/>
              </w:rPr>
            </w:pPr>
            <w:r>
              <w:rPr>
                <w:rFonts w:hint="eastAsia" w:cs="宋体"/>
                <w:color w:val="000000"/>
                <w:kern w:val="0"/>
              </w:rPr>
              <w:t>支持摄像机分组管理；</w:t>
            </w:r>
          </w:p>
          <w:p w14:paraId="12FA36D9">
            <w:pPr>
              <w:widowControl/>
              <w:spacing w:line="240" w:lineRule="auto"/>
              <w:ind w:firstLine="0" w:firstLineChars="0"/>
              <w:jc w:val="left"/>
              <w:rPr>
                <w:rFonts w:hint="eastAsia" w:cs="宋体"/>
                <w:color w:val="000000"/>
                <w:kern w:val="0"/>
              </w:rPr>
            </w:pPr>
            <w:r>
              <w:rPr>
                <w:rFonts w:hint="eastAsia" w:cs="宋体"/>
                <w:color w:val="000000"/>
                <w:kern w:val="0"/>
              </w:rPr>
              <w:t>支持服务器信息， 实时状态，历史统计， 报警展示；</w:t>
            </w:r>
          </w:p>
          <w:p w14:paraId="0090A702">
            <w:pPr>
              <w:widowControl/>
              <w:spacing w:line="240" w:lineRule="auto"/>
              <w:ind w:firstLine="0" w:firstLineChars="0"/>
              <w:jc w:val="left"/>
              <w:rPr>
                <w:rFonts w:hint="eastAsia" w:cs="宋体"/>
                <w:color w:val="000000"/>
                <w:kern w:val="0"/>
              </w:rPr>
            </w:pPr>
            <w:r>
              <w:rPr>
                <w:rFonts w:hint="eastAsia" w:cs="宋体"/>
                <w:color w:val="000000"/>
                <w:kern w:val="0"/>
              </w:rPr>
              <w:t>支持服务信息，状态，报警展示；</w:t>
            </w:r>
          </w:p>
          <w:p w14:paraId="2C456A9B">
            <w:pPr>
              <w:widowControl/>
              <w:spacing w:line="240" w:lineRule="auto"/>
              <w:ind w:firstLine="0" w:firstLineChars="0"/>
              <w:jc w:val="left"/>
              <w:rPr>
                <w:rFonts w:hint="eastAsia" w:cs="宋体"/>
                <w:color w:val="000000"/>
                <w:kern w:val="0"/>
              </w:rPr>
            </w:pPr>
            <w:r>
              <w:rPr>
                <w:rFonts w:hint="eastAsia" w:cs="宋体"/>
                <w:color w:val="000000"/>
                <w:kern w:val="0"/>
              </w:rPr>
              <w:t>支持用户状态查询；</w:t>
            </w:r>
          </w:p>
          <w:p w14:paraId="054D2D42">
            <w:pPr>
              <w:widowControl/>
              <w:spacing w:line="240" w:lineRule="auto"/>
              <w:ind w:firstLine="0" w:firstLineChars="0"/>
              <w:jc w:val="left"/>
              <w:rPr>
                <w:rFonts w:hint="eastAsia" w:cs="宋体"/>
                <w:color w:val="000000"/>
                <w:kern w:val="0"/>
              </w:rPr>
            </w:pPr>
            <w:r>
              <w:rPr>
                <w:rFonts w:hint="eastAsia" w:cs="宋体"/>
                <w:color w:val="000000"/>
                <w:kern w:val="0"/>
              </w:rPr>
              <w:t>支持流状态统计，展示、设</w:t>
            </w:r>
            <w:bookmarkStart w:id="38" w:name="_GoBack"/>
            <w:bookmarkEnd w:id="38"/>
            <w:r>
              <w:rPr>
                <w:rFonts w:hint="eastAsia" w:cs="宋体"/>
                <w:color w:val="000000"/>
                <w:kern w:val="0"/>
              </w:rPr>
              <w:t>备状态统计展示。</w:t>
            </w:r>
          </w:p>
          <w:p w14:paraId="12FB0E34">
            <w:pPr>
              <w:widowControl/>
              <w:spacing w:line="240" w:lineRule="auto"/>
              <w:ind w:firstLine="0" w:firstLineChars="0"/>
              <w:jc w:val="left"/>
              <w:rPr>
                <w:rFonts w:hint="eastAsia" w:cs="宋体"/>
                <w:color w:val="000000"/>
                <w:kern w:val="0"/>
              </w:rPr>
            </w:pPr>
            <w:r>
              <w:rPr>
                <w:rFonts w:hint="eastAsia" w:cs="宋体"/>
                <w:color w:val="000000"/>
                <w:kern w:val="0"/>
              </w:rPr>
              <w:t>单套支持5万路视频监控资源管理能力；</w:t>
            </w:r>
          </w:p>
        </w:tc>
        <w:tc>
          <w:tcPr>
            <w:tcW w:w="557" w:type="pct"/>
            <w:tcBorders>
              <w:top w:val="single" w:color="000000" w:sz="4" w:space="0"/>
              <w:left w:val="single" w:color="000000" w:sz="4" w:space="0"/>
              <w:bottom w:val="single" w:color="000000" w:sz="4" w:space="0"/>
              <w:right w:val="single" w:color="000000" w:sz="4" w:space="0"/>
            </w:tcBorders>
            <w:vAlign w:val="center"/>
          </w:tcPr>
          <w:p w14:paraId="3380C6E3">
            <w:pPr>
              <w:widowControl/>
              <w:spacing w:line="240" w:lineRule="auto"/>
              <w:ind w:firstLine="0" w:firstLineChars="0"/>
              <w:jc w:val="center"/>
              <w:rPr>
                <w:rFonts w:hint="eastAsia" w:cs="宋体"/>
                <w:color w:val="000000"/>
                <w:kern w:val="0"/>
              </w:rPr>
            </w:pPr>
            <w:r>
              <w:rPr>
                <w:rFonts w:hint="eastAsia" w:cs="宋体"/>
                <w:color w:val="000000"/>
                <w:kern w:val="0"/>
              </w:rPr>
              <w:t>1</w:t>
            </w:r>
          </w:p>
        </w:tc>
        <w:tc>
          <w:tcPr>
            <w:tcW w:w="326" w:type="pct"/>
            <w:tcBorders>
              <w:top w:val="single" w:color="000000" w:sz="4" w:space="0"/>
              <w:left w:val="single" w:color="000000" w:sz="4" w:space="0"/>
              <w:bottom w:val="single" w:color="000000" w:sz="4" w:space="0"/>
              <w:right w:val="single" w:color="000000" w:sz="4" w:space="0"/>
            </w:tcBorders>
            <w:vAlign w:val="center"/>
          </w:tcPr>
          <w:p w14:paraId="230F9242">
            <w:pPr>
              <w:widowControl/>
              <w:spacing w:line="240" w:lineRule="auto"/>
              <w:ind w:firstLine="0" w:firstLineChars="0"/>
              <w:jc w:val="center"/>
              <w:rPr>
                <w:rFonts w:hint="eastAsia" w:cs="宋体"/>
                <w:color w:val="000000"/>
                <w:kern w:val="0"/>
              </w:rPr>
            </w:pPr>
            <w:r>
              <w:rPr>
                <w:rFonts w:hint="eastAsia" w:cs="宋体"/>
                <w:color w:val="000000"/>
                <w:kern w:val="0"/>
              </w:rPr>
              <w:t>套</w:t>
            </w:r>
          </w:p>
        </w:tc>
      </w:tr>
      <w:tr w14:paraId="365E21FD">
        <w:tblPrEx>
          <w:tblCellMar>
            <w:top w:w="0" w:type="dxa"/>
            <w:left w:w="108" w:type="dxa"/>
            <w:bottom w:w="0" w:type="dxa"/>
            <w:right w:w="108" w:type="dxa"/>
          </w:tblCellMar>
        </w:tblPrEx>
        <w:trPr>
          <w:trHeight w:val="20" w:hRule="atLeast"/>
        </w:trPr>
        <w:tc>
          <w:tcPr>
            <w:tcW w:w="327" w:type="pct"/>
            <w:tcBorders>
              <w:top w:val="single" w:color="000000" w:sz="4" w:space="0"/>
              <w:left w:val="single" w:color="000000" w:sz="4" w:space="0"/>
              <w:bottom w:val="single" w:color="000000" w:sz="4" w:space="0"/>
              <w:right w:val="single" w:color="000000" w:sz="4" w:space="0"/>
            </w:tcBorders>
            <w:noWrap/>
            <w:vAlign w:val="center"/>
          </w:tcPr>
          <w:p w14:paraId="2AA8B456">
            <w:pPr>
              <w:widowControl/>
              <w:spacing w:line="240" w:lineRule="auto"/>
              <w:ind w:firstLine="0" w:firstLineChars="0"/>
              <w:jc w:val="center"/>
              <w:rPr>
                <w:rFonts w:hint="eastAsia" w:cs="宋体"/>
                <w:color w:val="000000"/>
                <w:kern w:val="0"/>
              </w:rPr>
            </w:pPr>
            <w:r>
              <w:rPr>
                <w:rFonts w:hint="eastAsia" w:cs="宋体"/>
                <w:color w:val="000000"/>
                <w:kern w:val="0"/>
              </w:rPr>
              <w:t>2</w:t>
            </w:r>
          </w:p>
        </w:tc>
        <w:tc>
          <w:tcPr>
            <w:tcW w:w="492" w:type="pct"/>
            <w:tcBorders>
              <w:top w:val="single" w:color="000000" w:sz="4" w:space="0"/>
              <w:left w:val="single" w:color="000000" w:sz="4" w:space="0"/>
              <w:bottom w:val="single" w:color="000000" w:sz="4" w:space="0"/>
              <w:right w:val="single" w:color="000000" w:sz="4" w:space="0"/>
            </w:tcBorders>
            <w:vAlign w:val="center"/>
          </w:tcPr>
          <w:p w14:paraId="11C50B2B">
            <w:pPr>
              <w:widowControl/>
              <w:spacing w:line="240" w:lineRule="auto"/>
              <w:ind w:firstLine="0" w:firstLineChars="0"/>
              <w:jc w:val="center"/>
              <w:rPr>
                <w:rFonts w:hint="eastAsia" w:cs="宋体"/>
                <w:color w:val="000000"/>
                <w:kern w:val="0"/>
              </w:rPr>
            </w:pPr>
            <w:r>
              <w:rPr>
                <w:rFonts w:hint="eastAsia" w:cs="宋体"/>
                <w:color w:val="000000"/>
                <w:kern w:val="0"/>
              </w:rPr>
              <w:t>视觉中枢平台</w:t>
            </w:r>
          </w:p>
        </w:tc>
        <w:tc>
          <w:tcPr>
            <w:tcW w:w="480" w:type="pct"/>
            <w:tcBorders>
              <w:top w:val="single" w:color="000000" w:sz="4" w:space="0"/>
              <w:left w:val="single" w:color="000000" w:sz="4" w:space="0"/>
              <w:bottom w:val="single" w:color="000000" w:sz="4" w:space="0"/>
              <w:right w:val="single" w:color="000000" w:sz="4" w:space="0"/>
            </w:tcBorders>
            <w:vAlign w:val="center"/>
          </w:tcPr>
          <w:p w14:paraId="3674DA9D">
            <w:pPr>
              <w:widowControl/>
              <w:spacing w:line="240" w:lineRule="auto"/>
              <w:ind w:firstLine="0" w:firstLineChars="0"/>
              <w:jc w:val="center"/>
              <w:rPr>
                <w:rFonts w:hint="eastAsia" w:cs="宋体"/>
                <w:color w:val="000000"/>
                <w:kern w:val="0"/>
              </w:rPr>
            </w:pPr>
            <w:r>
              <w:rPr>
                <w:rFonts w:hint="eastAsia" w:cs="宋体"/>
                <w:color w:val="000000"/>
                <w:kern w:val="0"/>
              </w:rPr>
              <w:t>流媒体转发软件</w:t>
            </w:r>
          </w:p>
          <w:p w14:paraId="723849F0">
            <w:pPr>
              <w:widowControl/>
              <w:spacing w:line="240" w:lineRule="auto"/>
              <w:ind w:firstLine="0" w:firstLineChars="0"/>
              <w:jc w:val="center"/>
              <w:rPr>
                <w:rFonts w:hint="eastAsia" w:cs="宋体"/>
                <w:color w:val="000000"/>
                <w:kern w:val="0"/>
              </w:rPr>
            </w:pPr>
            <w:r>
              <w:rPr>
                <w:rFonts w:hint="eastAsia" w:ascii="宋体" w:hAnsi="宋体" w:eastAsia="宋体" w:cs="宋体"/>
                <w:i w:val="0"/>
                <w:iCs w:val="0"/>
                <w:color w:val="000000"/>
                <w:kern w:val="0"/>
                <w:sz w:val="22"/>
                <w:szCs w:val="22"/>
                <w:u w:val="none"/>
                <w:lang w:val="en-US" w:eastAsia="zh-CN" w:bidi="ar"/>
              </w:rPr>
              <w:t>▲</w:t>
            </w:r>
          </w:p>
        </w:tc>
        <w:tc>
          <w:tcPr>
            <w:tcW w:w="2815" w:type="pct"/>
            <w:tcBorders>
              <w:top w:val="single" w:color="000000" w:sz="4" w:space="0"/>
              <w:left w:val="single" w:color="000000" w:sz="4" w:space="0"/>
              <w:bottom w:val="single" w:color="000000" w:sz="4" w:space="0"/>
              <w:right w:val="single" w:color="000000" w:sz="4" w:space="0"/>
            </w:tcBorders>
            <w:vAlign w:val="center"/>
          </w:tcPr>
          <w:p w14:paraId="5FA7DA16">
            <w:pPr>
              <w:widowControl/>
              <w:spacing w:line="240" w:lineRule="auto"/>
              <w:ind w:firstLine="0" w:firstLineChars="0"/>
              <w:jc w:val="left"/>
              <w:rPr>
                <w:rFonts w:hint="eastAsia" w:cs="宋体"/>
                <w:color w:val="000000"/>
                <w:kern w:val="0"/>
              </w:rPr>
            </w:pPr>
            <w:r>
              <w:rPr>
                <w:rFonts w:hint="eastAsia" w:cs="宋体"/>
                <w:color w:val="000000"/>
                <w:kern w:val="0"/>
              </w:rPr>
              <w:t>实现功能：</w:t>
            </w:r>
            <w:r>
              <w:rPr>
                <w:rFonts w:hint="eastAsia" w:cs="宋体"/>
                <w:color w:val="000000"/>
                <w:kern w:val="0"/>
              </w:rPr>
              <w:br w:type="textWrapping"/>
            </w:r>
            <w:r>
              <w:rPr>
                <w:rFonts w:hint="eastAsia" w:cs="宋体"/>
                <w:color w:val="000000"/>
                <w:kern w:val="0"/>
              </w:rPr>
              <w:t>支持GB/T28181、ONVIF等安防标准协议视频接入；</w:t>
            </w:r>
            <w:r>
              <w:rPr>
                <w:rFonts w:hint="eastAsia" w:cs="宋体"/>
                <w:color w:val="000000"/>
                <w:kern w:val="0"/>
              </w:rPr>
              <w:br w:type="textWrapping"/>
            </w:r>
            <w:r>
              <w:rPr>
                <w:rFonts w:hint="eastAsia" w:cs="宋体"/>
                <w:color w:val="000000"/>
                <w:kern w:val="0"/>
              </w:rPr>
              <w:t>支持RTSP、RTMP等视频协议接入；</w:t>
            </w:r>
            <w:r>
              <w:rPr>
                <w:rFonts w:hint="eastAsia" w:cs="宋体"/>
                <w:color w:val="000000"/>
                <w:kern w:val="0"/>
              </w:rPr>
              <w:br w:type="textWrapping"/>
            </w:r>
            <w:r>
              <w:rPr>
                <w:rFonts w:hint="eastAsia" w:cs="宋体"/>
                <w:color w:val="000000"/>
                <w:kern w:val="0"/>
              </w:rPr>
              <w:t>支持主流厂商SDK视频流输入；</w:t>
            </w:r>
            <w:r>
              <w:rPr>
                <w:rFonts w:hint="eastAsia" w:cs="宋体"/>
                <w:color w:val="000000"/>
                <w:kern w:val="0"/>
              </w:rPr>
              <w:br w:type="textWrapping"/>
            </w:r>
            <w:r>
              <w:rPr>
                <w:rFonts w:hint="eastAsia" w:cs="宋体"/>
                <w:color w:val="000000"/>
                <w:kern w:val="0"/>
              </w:rPr>
              <w:t>支持HLS、Http-FLV视频流输入；</w:t>
            </w:r>
            <w:r>
              <w:rPr>
                <w:rFonts w:hint="eastAsia" w:cs="宋体"/>
                <w:color w:val="000000"/>
                <w:kern w:val="0"/>
              </w:rPr>
              <w:br w:type="textWrapping"/>
            </w:r>
            <w:r>
              <w:rPr>
                <w:rFonts w:hint="eastAsia" w:cs="宋体"/>
                <w:color w:val="000000"/>
                <w:kern w:val="0"/>
              </w:rPr>
              <w:t>支持通过视频联网管理节点的统一调度；</w:t>
            </w:r>
            <w:r>
              <w:rPr>
                <w:rFonts w:hint="eastAsia" w:cs="宋体"/>
                <w:color w:val="000000"/>
                <w:kern w:val="0"/>
              </w:rPr>
              <w:br w:type="textWrapping"/>
            </w:r>
            <w:r>
              <w:rPr>
                <w:rFonts w:hint="eastAsia" w:cs="宋体"/>
                <w:color w:val="000000"/>
                <w:kern w:val="0"/>
              </w:rPr>
              <w:t>实现集群化高可用部署，支持负载均衡；</w:t>
            </w:r>
            <w:r>
              <w:rPr>
                <w:rFonts w:hint="eastAsia" w:cs="宋体"/>
                <w:color w:val="000000"/>
                <w:kern w:val="0"/>
              </w:rPr>
              <w:br w:type="textWrapping"/>
            </w:r>
            <w:r>
              <w:rPr>
                <w:rFonts w:hint="eastAsia" w:cs="宋体"/>
                <w:color w:val="000000"/>
                <w:kern w:val="0"/>
              </w:rPr>
              <w:t>支持将高清流媒体实时图像转发给上下级联网系统、监控客户端、电视墙服务等；</w:t>
            </w:r>
            <w:r>
              <w:rPr>
                <w:rFonts w:hint="eastAsia" w:cs="宋体"/>
                <w:color w:val="000000"/>
                <w:kern w:val="0"/>
              </w:rPr>
              <w:br w:type="textWrapping"/>
            </w:r>
            <w:r>
              <w:rPr>
                <w:rFonts w:hint="eastAsia" w:cs="宋体"/>
                <w:color w:val="000000"/>
                <w:kern w:val="0"/>
              </w:rPr>
              <w:t>支持HLS、Http-FLV 、WS-MP4等方式视频输出；</w:t>
            </w:r>
            <w:r>
              <w:rPr>
                <w:rFonts w:hint="eastAsia" w:cs="宋体"/>
                <w:color w:val="000000"/>
                <w:kern w:val="0"/>
              </w:rPr>
              <w:br w:type="textWrapping"/>
            </w:r>
            <w:r>
              <w:rPr>
                <w:rFonts w:hint="eastAsia" w:cs="宋体"/>
                <w:color w:val="000000"/>
                <w:kern w:val="0"/>
              </w:rPr>
              <w:t>支持GB/T28181 RTP、RTP over TCP格式视频输出；</w:t>
            </w:r>
            <w:r>
              <w:rPr>
                <w:rFonts w:hint="eastAsia" w:cs="宋体"/>
                <w:color w:val="000000"/>
                <w:kern w:val="0"/>
              </w:rPr>
              <w:br w:type="textWrapping"/>
            </w:r>
            <w:r>
              <w:rPr>
                <w:rFonts w:hint="eastAsia" w:cs="宋体"/>
                <w:color w:val="000000"/>
                <w:kern w:val="0"/>
              </w:rPr>
              <w:t>单套支持300路1080P高清视频码流。</w:t>
            </w:r>
          </w:p>
        </w:tc>
        <w:tc>
          <w:tcPr>
            <w:tcW w:w="557" w:type="pct"/>
            <w:tcBorders>
              <w:top w:val="single" w:color="000000" w:sz="4" w:space="0"/>
              <w:left w:val="single" w:color="000000" w:sz="4" w:space="0"/>
              <w:bottom w:val="single" w:color="000000" w:sz="4" w:space="0"/>
              <w:right w:val="single" w:color="000000" w:sz="4" w:space="0"/>
            </w:tcBorders>
            <w:vAlign w:val="center"/>
          </w:tcPr>
          <w:p w14:paraId="750E8C52">
            <w:pPr>
              <w:widowControl/>
              <w:spacing w:line="240" w:lineRule="auto"/>
              <w:ind w:firstLine="0" w:firstLineChars="0"/>
              <w:jc w:val="center"/>
              <w:rPr>
                <w:rFonts w:hint="eastAsia" w:cs="宋体"/>
                <w:color w:val="000000"/>
                <w:kern w:val="0"/>
              </w:rPr>
            </w:pPr>
            <w:r>
              <w:rPr>
                <w:rFonts w:hint="eastAsia" w:cs="宋体"/>
                <w:color w:val="000000"/>
                <w:kern w:val="0"/>
              </w:rPr>
              <w:t>2</w:t>
            </w:r>
          </w:p>
        </w:tc>
        <w:tc>
          <w:tcPr>
            <w:tcW w:w="326" w:type="pct"/>
            <w:tcBorders>
              <w:top w:val="single" w:color="000000" w:sz="4" w:space="0"/>
              <w:left w:val="single" w:color="000000" w:sz="4" w:space="0"/>
              <w:bottom w:val="single" w:color="000000" w:sz="4" w:space="0"/>
              <w:right w:val="single" w:color="000000" w:sz="4" w:space="0"/>
            </w:tcBorders>
            <w:vAlign w:val="center"/>
          </w:tcPr>
          <w:p w14:paraId="6956D741">
            <w:pPr>
              <w:widowControl/>
              <w:spacing w:line="240" w:lineRule="auto"/>
              <w:ind w:firstLine="0" w:firstLineChars="0"/>
              <w:jc w:val="center"/>
              <w:rPr>
                <w:rFonts w:hint="eastAsia" w:cs="宋体"/>
                <w:color w:val="000000"/>
                <w:kern w:val="0"/>
              </w:rPr>
            </w:pPr>
            <w:r>
              <w:rPr>
                <w:rFonts w:hint="eastAsia" w:cs="宋体"/>
                <w:color w:val="000000"/>
                <w:kern w:val="0"/>
              </w:rPr>
              <w:t>套</w:t>
            </w:r>
          </w:p>
        </w:tc>
      </w:tr>
      <w:tr w14:paraId="13F03E17">
        <w:tblPrEx>
          <w:tblCellMar>
            <w:top w:w="0" w:type="dxa"/>
            <w:left w:w="108" w:type="dxa"/>
            <w:bottom w:w="0" w:type="dxa"/>
            <w:right w:w="108" w:type="dxa"/>
          </w:tblCellMar>
        </w:tblPrEx>
        <w:trPr>
          <w:trHeight w:val="20" w:hRule="atLeast"/>
        </w:trPr>
        <w:tc>
          <w:tcPr>
            <w:tcW w:w="327" w:type="pct"/>
            <w:tcBorders>
              <w:top w:val="single" w:color="000000" w:sz="4" w:space="0"/>
              <w:left w:val="single" w:color="000000" w:sz="4" w:space="0"/>
              <w:bottom w:val="single" w:color="000000" w:sz="4" w:space="0"/>
              <w:right w:val="single" w:color="000000" w:sz="4" w:space="0"/>
            </w:tcBorders>
            <w:noWrap/>
            <w:vAlign w:val="center"/>
          </w:tcPr>
          <w:p w14:paraId="636E402C">
            <w:pPr>
              <w:widowControl/>
              <w:spacing w:line="240" w:lineRule="auto"/>
              <w:ind w:firstLine="0" w:firstLineChars="0"/>
              <w:jc w:val="center"/>
              <w:rPr>
                <w:rFonts w:hint="eastAsia" w:cs="宋体"/>
                <w:color w:val="000000"/>
                <w:kern w:val="0"/>
              </w:rPr>
            </w:pPr>
            <w:r>
              <w:rPr>
                <w:rFonts w:hint="eastAsia" w:cs="宋体"/>
                <w:color w:val="000000"/>
                <w:kern w:val="0"/>
              </w:rPr>
              <w:t>3</w:t>
            </w:r>
          </w:p>
        </w:tc>
        <w:tc>
          <w:tcPr>
            <w:tcW w:w="492" w:type="pct"/>
            <w:tcBorders>
              <w:top w:val="single" w:color="000000" w:sz="4" w:space="0"/>
              <w:left w:val="single" w:color="000000" w:sz="4" w:space="0"/>
              <w:bottom w:val="single" w:color="000000" w:sz="4" w:space="0"/>
              <w:right w:val="single" w:color="000000" w:sz="4" w:space="0"/>
            </w:tcBorders>
            <w:vAlign w:val="center"/>
          </w:tcPr>
          <w:p w14:paraId="5A054B44">
            <w:pPr>
              <w:widowControl/>
              <w:spacing w:line="240" w:lineRule="auto"/>
              <w:ind w:firstLine="0" w:firstLineChars="0"/>
              <w:jc w:val="center"/>
              <w:rPr>
                <w:rFonts w:hint="eastAsia" w:cs="宋体"/>
                <w:color w:val="000000"/>
                <w:kern w:val="0"/>
              </w:rPr>
            </w:pPr>
            <w:r>
              <w:rPr>
                <w:rFonts w:hint="eastAsia" w:cs="宋体"/>
                <w:color w:val="000000"/>
                <w:kern w:val="0"/>
              </w:rPr>
              <w:t>视觉中枢平台</w:t>
            </w:r>
          </w:p>
        </w:tc>
        <w:tc>
          <w:tcPr>
            <w:tcW w:w="480" w:type="pct"/>
            <w:tcBorders>
              <w:top w:val="single" w:color="000000" w:sz="4" w:space="0"/>
              <w:left w:val="single" w:color="000000" w:sz="4" w:space="0"/>
              <w:bottom w:val="single" w:color="000000" w:sz="4" w:space="0"/>
              <w:right w:val="single" w:color="000000" w:sz="4" w:space="0"/>
            </w:tcBorders>
            <w:vAlign w:val="center"/>
          </w:tcPr>
          <w:p w14:paraId="7D039879">
            <w:pPr>
              <w:widowControl/>
              <w:spacing w:line="240" w:lineRule="auto"/>
              <w:ind w:firstLine="0" w:firstLineChars="0"/>
              <w:jc w:val="center"/>
              <w:rPr>
                <w:rFonts w:hint="eastAsia" w:cs="宋体"/>
                <w:color w:val="000000"/>
                <w:kern w:val="0"/>
              </w:rPr>
            </w:pPr>
            <w:r>
              <w:rPr>
                <w:rFonts w:hint="eastAsia" w:cs="宋体"/>
                <w:color w:val="000000"/>
                <w:kern w:val="0"/>
              </w:rPr>
              <w:t>视频快照软件</w:t>
            </w:r>
          </w:p>
          <w:p w14:paraId="369CBAB6">
            <w:pPr>
              <w:widowControl/>
              <w:spacing w:line="240" w:lineRule="auto"/>
              <w:ind w:firstLine="0" w:firstLineChars="0"/>
              <w:jc w:val="center"/>
              <w:rPr>
                <w:rFonts w:hint="eastAsia" w:cs="宋体"/>
                <w:color w:val="000000"/>
                <w:kern w:val="0"/>
              </w:rPr>
            </w:pPr>
            <w:r>
              <w:rPr>
                <w:rFonts w:hint="eastAsia" w:ascii="宋体" w:hAnsi="宋体" w:eastAsia="宋体" w:cs="宋体"/>
                <w:i w:val="0"/>
                <w:iCs w:val="0"/>
                <w:color w:val="000000"/>
                <w:kern w:val="0"/>
                <w:sz w:val="22"/>
                <w:szCs w:val="22"/>
                <w:u w:val="none"/>
                <w:lang w:val="en-US" w:eastAsia="zh-CN" w:bidi="ar"/>
              </w:rPr>
              <w:t>▲</w:t>
            </w:r>
          </w:p>
        </w:tc>
        <w:tc>
          <w:tcPr>
            <w:tcW w:w="2815" w:type="pct"/>
            <w:tcBorders>
              <w:top w:val="single" w:color="000000" w:sz="4" w:space="0"/>
              <w:left w:val="single" w:color="000000" w:sz="4" w:space="0"/>
              <w:bottom w:val="single" w:color="000000" w:sz="4" w:space="0"/>
              <w:right w:val="single" w:color="000000" w:sz="4" w:space="0"/>
            </w:tcBorders>
            <w:vAlign w:val="center"/>
          </w:tcPr>
          <w:p w14:paraId="558657A0">
            <w:pPr>
              <w:widowControl/>
              <w:spacing w:line="240" w:lineRule="auto"/>
              <w:ind w:firstLine="0" w:firstLineChars="0"/>
              <w:jc w:val="left"/>
              <w:rPr>
                <w:rFonts w:hint="eastAsia" w:cs="宋体"/>
                <w:color w:val="000000"/>
                <w:kern w:val="0"/>
              </w:rPr>
            </w:pPr>
            <w:r>
              <w:rPr>
                <w:rFonts w:hint="eastAsia" w:cs="宋体"/>
                <w:color w:val="000000"/>
                <w:kern w:val="0"/>
              </w:rPr>
              <w:t>支持每日3万级次开流检测获取快照。</w:t>
            </w:r>
            <w:r>
              <w:rPr>
                <w:rFonts w:hint="eastAsia" w:cs="宋体"/>
                <w:color w:val="000000"/>
                <w:kern w:val="0"/>
              </w:rPr>
              <w:br w:type="textWrapping"/>
            </w:r>
            <w:r>
              <w:rPr>
                <w:rFonts w:hint="eastAsia" w:cs="宋体"/>
                <w:color w:val="000000"/>
                <w:kern w:val="0"/>
              </w:rPr>
              <w:t>支持对视频资源进行轮巡检测后截取图片快照，支持每日3万级次开流检测；</w:t>
            </w:r>
            <w:r>
              <w:rPr>
                <w:rFonts w:hint="eastAsia" w:cs="宋体"/>
                <w:color w:val="000000"/>
                <w:kern w:val="0"/>
              </w:rPr>
              <w:br w:type="textWrapping"/>
            </w:r>
            <w:r>
              <w:rPr>
                <w:rFonts w:hint="eastAsia" w:cs="宋体"/>
                <w:color w:val="000000"/>
                <w:kern w:val="0"/>
              </w:rPr>
              <w:t>支持新增轮巡任务，设置任务名称、任务并发、轮巡时段、轮巡间隔、任务描述、执行周期、设备分组；</w:t>
            </w:r>
            <w:r>
              <w:rPr>
                <w:rFonts w:hint="eastAsia" w:cs="宋体"/>
                <w:color w:val="000000"/>
                <w:kern w:val="0"/>
              </w:rPr>
              <w:br w:type="textWrapping"/>
            </w:r>
            <w:r>
              <w:rPr>
                <w:rFonts w:hint="eastAsia" w:cs="宋体"/>
                <w:color w:val="000000"/>
                <w:kern w:val="0"/>
              </w:rPr>
              <w:t>支持编辑和删除已经创建的轮巡任务；</w:t>
            </w:r>
            <w:r>
              <w:rPr>
                <w:rFonts w:hint="eastAsia" w:cs="宋体"/>
                <w:color w:val="000000"/>
                <w:kern w:val="0"/>
              </w:rPr>
              <w:br w:type="textWrapping"/>
            </w:r>
            <w:r>
              <w:rPr>
                <w:rFonts w:hint="eastAsia" w:cs="宋体"/>
                <w:color w:val="000000"/>
                <w:kern w:val="0"/>
              </w:rPr>
              <w:t>支持导出轮巡任务到本地；</w:t>
            </w:r>
            <w:r>
              <w:rPr>
                <w:rFonts w:hint="eastAsia" w:cs="宋体"/>
                <w:color w:val="000000"/>
                <w:kern w:val="0"/>
              </w:rPr>
              <w:br w:type="textWrapping"/>
            </w:r>
            <w:r>
              <w:rPr>
                <w:rFonts w:hint="eastAsia" w:cs="宋体"/>
                <w:color w:val="000000"/>
                <w:kern w:val="0"/>
              </w:rPr>
              <w:t>支持根据任务名称、任务状态查询轮巡任务详情；</w:t>
            </w:r>
            <w:r>
              <w:rPr>
                <w:rFonts w:hint="eastAsia" w:cs="宋体"/>
                <w:color w:val="000000"/>
                <w:kern w:val="0"/>
              </w:rPr>
              <w:br w:type="textWrapping"/>
            </w:r>
            <w:r>
              <w:rPr>
                <w:rFonts w:hint="eastAsia" w:cs="宋体"/>
                <w:color w:val="000000"/>
                <w:kern w:val="0"/>
              </w:rPr>
              <w:t>支持根据设备名称、任务名称、快照结果、操作时间查询轮巡结果；</w:t>
            </w:r>
            <w:r>
              <w:rPr>
                <w:rFonts w:hint="eastAsia" w:cs="宋体"/>
                <w:color w:val="000000"/>
                <w:kern w:val="0"/>
              </w:rPr>
              <w:br w:type="textWrapping"/>
            </w:r>
            <w:r>
              <w:rPr>
                <w:rFonts w:hint="eastAsia" w:cs="宋体"/>
                <w:color w:val="000000"/>
                <w:kern w:val="0"/>
              </w:rPr>
              <w:t>支持查看轮巡当前状态和历史记录；</w:t>
            </w:r>
            <w:r>
              <w:rPr>
                <w:rFonts w:hint="eastAsia" w:cs="宋体"/>
                <w:color w:val="000000"/>
                <w:kern w:val="0"/>
              </w:rPr>
              <w:br w:type="textWrapping"/>
            </w:r>
            <w:r>
              <w:rPr>
                <w:rFonts w:hint="eastAsia" w:cs="宋体"/>
                <w:color w:val="000000"/>
                <w:kern w:val="0"/>
              </w:rPr>
              <w:t>支持快照访问不低于50张/S；</w:t>
            </w:r>
            <w:r>
              <w:rPr>
                <w:rFonts w:hint="eastAsia" w:cs="宋体"/>
                <w:color w:val="000000"/>
                <w:kern w:val="0"/>
              </w:rPr>
              <w:br w:type="textWrapping"/>
            </w:r>
            <w:r>
              <w:rPr>
                <w:rFonts w:hint="eastAsia" w:cs="宋体"/>
                <w:color w:val="000000"/>
                <w:kern w:val="0"/>
              </w:rPr>
              <w:t>支持用户配置存储策略，按每张快照0.5M，支持百万级图片的存储；</w:t>
            </w:r>
          </w:p>
        </w:tc>
        <w:tc>
          <w:tcPr>
            <w:tcW w:w="557" w:type="pct"/>
            <w:tcBorders>
              <w:top w:val="single" w:color="000000" w:sz="4" w:space="0"/>
              <w:left w:val="single" w:color="000000" w:sz="4" w:space="0"/>
              <w:bottom w:val="single" w:color="000000" w:sz="4" w:space="0"/>
              <w:right w:val="single" w:color="000000" w:sz="4" w:space="0"/>
            </w:tcBorders>
            <w:vAlign w:val="center"/>
          </w:tcPr>
          <w:p w14:paraId="7A92F230">
            <w:pPr>
              <w:widowControl/>
              <w:spacing w:line="240" w:lineRule="auto"/>
              <w:ind w:firstLine="0" w:firstLineChars="0"/>
              <w:jc w:val="center"/>
              <w:rPr>
                <w:rFonts w:hint="eastAsia" w:cs="宋体"/>
                <w:color w:val="000000"/>
                <w:kern w:val="0"/>
              </w:rPr>
            </w:pPr>
            <w:r>
              <w:rPr>
                <w:rFonts w:hint="eastAsia" w:cs="宋体"/>
                <w:color w:val="000000"/>
                <w:kern w:val="0"/>
              </w:rPr>
              <w:t>1</w:t>
            </w:r>
          </w:p>
        </w:tc>
        <w:tc>
          <w:tcPr>
            <w:tcW w:w="326" w:type="pct"/>
            <w:tcBorders>
              <w:top w:val="single" w:color="000000" w:sz="4" w:space="0"/>
              <w:left w:val="single" w:color="000000" w:sz="4" w:space="0"/>
              <w:bottom w:val="single" w:color="000000" w:sz="4" w:space="0"/>
              <w:right w:val="single" w:color="000000" w:sz="4" w:space="0"/>
            </w:tcBorders>
            <w:vAlign w:val="center"/>
          </w:tcPr>
          <w:p w14:paraId="0119AFDD">
            <w:pPr>
              <w:widowControl/>
              <w:spacing w:line="240" w:lineRule="auto"/>
              <w:ind w:firstLine="0" w:firstLineChars="0"/>
              <w:jc w:val="center"/>
              <w:rPr>
                <w:rFonts w:hint="eastAsia" w:cs="宋体"/>
                <w:color w:val="000000"/>
                <w:kern w:val="0"/>
              </w:rPr>
            </w:pPr>
            <w:r>
              <w:rPr>
                <w:rFonts w:hint="eastAsia" w:cs="宋体"/>
                <w:color w:val="000000"/>
                <w:kern w:val="0"/>
              </w:rPr>
              <w:t>套</w:t>
            </w:r>
          </w:p>
        </w:tc>
      </w:tr>
      <w:tr w14:paraId="7A239310">
        <w:tblPrEx>
          <w:tblCellMar>
            <w:top w:w="0" w:type="dxa"/>
            <w:left w:w="108" w:type="dxa"/>
            <w:bottom w:w="0" w:type="dxa"/>
            <w:right w:w="108" w:type="dxa"/>
          </w:tblCellMar>
        </w:tblPrEx>
        <w:trPr>
          <w:trHeight w:val="20" w:hRule="atLeast"/>
        </w:trPr>
        <w:tc>
          <w:tcPr>
            <w:tcW w:w="327" w:type="pct"/>
            <w:tcBorders>
              <w:top w:val="single" w:color="000000" w:sz="4" w:space="0"/>
              <w:left w:val="single" w:color="000000" w:sz="4" w:space="0"/>
              <w:bottom w:val="single" w:color="000000" w:sz="4" w:space="0"/>
              <w:right w:val="single" w:color="000000" w:sz="4" w:space="0"/>
            </w:tcBorders>
            <w:noWrap/>
            <w:vAlign w:val="center"/>
          </w:tcPr>
          <w:p w14:paraId="02991719">
            <w:pPr>
              <w:widowControl/>
              <w:spacing w:line="240" w:lineRule="auto"/>
              <w:ind w:firstLine="0" w:firstLineChars="0"/>
              <w:jc w:val="center"/>
              <w:rPr>
                <w:rFonts w:hint="eastAsia" w:cs="宋体"/>
                <w:color w:val="000000"/>
                <w:kern w:val="0"/>
              </w:rPr>
            </w:pPr>
            <w:r>
              <w:rPr>
                <w:rFonts w:hint="eastAsia" w:cs="宋体"/>
                <w:color w:val="000000"/>
                <w:kern w:val="0"/>
              </w:rPr>
              <w:t>4</w:t>
            </w:r>
          </w:p>
        </w:tc>
        <w:tc>
          <w:tcPr>
            <w:tcW w:w="492" w:type="pct"/>
            <w:tcBorders>
              <w:top w:val="single" w:color="000000" w:sz="4" w:space="0"/>
              <w:left w:val="single" w:color="000000" w:sz="4" w:space="0"/>
              <w:bottom w:val="single" w:color="000000" w:sz="4" w:space="0"/>
              <w:right w:val="single" w:color="000000" w:sz="4" w:space="0"/>
            </w:tcBorders>
            <w:vAlign w:val="center"/>
          </w:tcPr>
          <w:p w14:paraId="24894BFE">
            <w:pPr>
              <w:widowControl/>
              <w:spacing w:line="240" w:lineRule="auto"/>
              <w:ind w:firstLine="0" w:firstLineChars="0"/>
              <w:jc w:val="center"/>
              <w:rPr>
                <w:rFonts w:hint="eastAsia" w:cs="宋体"/>
                <w:color w:val="000000"/>
                <w:kern w:val="0"/>
              </w:rPr>
            </w:pPr>
            <w:r>
              <w:rPr>
                <w:rFonts w:hint="eastAsia" w:cs="宋体"/>
                <w:color w:val="000000"/>
                <w:kern w:val="0"/>
              </w:rPr>
              <w:t>视觉中枢平台</w:t>
            </w:r>
          </w:p>
        </w:tc>
        <w:tc>
          <w:tcPr>
            <w:tcW w:w="480" w:type="pct"/>
            <w:tcBorders>
              <w:top w:val="single" w:color="000000" w:sz="4" w:space="0"/>
              <w:left w:val="single" w:color="000000" w:sz="4" w:space="0"/>
              <w:bottom w:val="single" w:color="000000" w:sz="4" w:space="0"/>
              <w:right w:val="single" w:color="000000" w:sz="4" w:space="0"/>
            </w:tcBorders>
            <w:vAlign w:val="center"/>
          </w:tcPr>
          <w:p w14:paraId="2D5470DB">
            <w:pPr>
              <w:widowControl/>
              <w:spacing w:line="240" w:lineRule="auto"/>
              <w:ind w:firstLine="0" w:firstLineChars="0"/>
              <w:jc w:val="center"/>
              <w:rPr>
                <w:rFonts w:hint="eastAsia" w:cs="宋体"/>
                <w:color w:val="000000"/>
                <w:kern w:val="0"/>
              </w:rPr>
            </w:pPr>
            <w:r>
              <w:rPr>
                <w:rFonts w:hint="eastAsia" w:cs="宋体"/>
                <w:color w:val="000000"/>
                <w:kern w:val="0"/>
              </w:rPr>
              <w:t>视频加速软件</w:t>
            </w:r>
          </w:p>
        </w:tc>
        <w:tc>
          <w:tcPr>
            <w:tcW w:w="2815" w:type="pct"/>
            <w:tcBorders>
              <w:top w:val="single" w:color="000000" w:sz="4" w:space="0"/>
              <w:left w:val="single" w:color="000000" w:sz="4" w:space="0"/>
              <w:bottom w:val="single" w:color="000000" w:sz="4" w:space="0"/>
              <w:right w:val="single" w:color="000000" w:sz="4" w:space="0"/>
            </w:tcBorders>
            <w:vAlign w:val="center"/>
          </w:tcPr>
          <w:p w14:paraId="4E722DD5">
            <w:pPr>
              <w:widowControl/>
              <w:spacing w:line="240" w:lineRule="auto"/>
              <w:ind w:firstLine="0" w:firstLineChars="0"/>
              <w:jc w:val="left"/>
              <w:rPr>
                <w:rFonts w:hint="eastAsia" w:cs="宋体"/>
                <w:color w:val="000000"/>
                <w:kern w:val="0"/>
              </w:rPr>
            </w:pPr>
            <w:r>
              <w:rPr>
                <w:rFonts w:hint="eastAsia" w:cs="宋体"/>
                <w:color w:val="000000"/>
                <w:kern w:val="0"/>
              </w:rPr>
              <w:t>提供100路视频加速能力。</w:t>
            </w:r>
            <w:r>
              <w:rPr>
                <w:rFonts w:hint="eastAsia" w:cs="宋体"/>
                <w:color w:val="000000"/>
                <w:kern w:val="0"/>
              </w:rPr>
              <w:br w:type="textWrapping"/>
            </w:r>
            <w:r>
              <w:rPr>
                <w:rFonts w:hint="eastAsia" w:cs="宋体"/>
                <w:color w:val="000000"/>
                <w:kern w:val="0"/>
              </w:rPr>
              <w:t>支持视频静态加速，通过提前配置好加速点位实现秒级开流；</w:t>
            </w:r>
            <w:r>
              <w:rPr>
                <w:rFonts w:hint="eastAsia" w:cs="宋体"/>
                <w:color w:val="000000"/>
                <w:kern w:val="0"/>
              </w:rPr>
              <w:br w:type="textWrapping"/>
            </w:r>
            <w:r>
              <w:rPr>
                <w:rFonts w:hint="eastAsia" w:cs="宋体"/>
                <w:color w:val="000000"/>
                <w:kern w:val="0"/>
              </w:rPr>
              <w:t>支持视频动态加速，设备仅会在进行调阅时提前动态加速；</w:t>
            </w:r>
            <w:r>
              <w:rPr>
                <w:rFonts w:hint="eastAsia" w:cs="宋体"/>
                <w:color w:val="000000"/>
                <w:kern w:val="0"/>
              </w:rPr>
              <w:br w:type="textWrapping"/>
            </w:r>
            <w:r>
              <w:rPr>
                <w:rFonts w:hint="eastAsia" w:cs="宋体"/>
                <w:color w:val="000000"/>
                <w:kern w:val="0"/>
              </w:rPr>
              <w:t>支持视频加速控制，可控制视频加速时长及视频加速点位；</w:t>
            </w:r>
            <w:r>
              <w:rPr>
                <w:rFonts w:hint="eastAsia" w:cs="宋体"/>
                <w:color w:val="000000"/>
                <w:kern w:val="0"/>
              </w:rPr>
              <w:br w:type="textWrapping"/>
            </w:r>
            <w:r>
              <w:rPr>
                <w:rFonts w:hint="eastAsia" w:cs="宋体"/>
                <w:color w:val="000000"/>
                <w:kern w:val="0"/>
              </w:rPr>
              <w:t>支持服务端及客户端预加载视频；</w:t>
            </w:r>
            <w:r>
              <w:rPr>
                <w:rFonts w:hint="eastAsia" w:cs="宋体"/>
                <w:color w:val="000000"/>
                <w:kern w:val="0"/>
              </w:rPr>
              <w:br w:type="textWrapping"/>
            </w:r>
            <w:r>
              <w:rPr>
                <w:rFonts w:hint="eastAsia" w:cs="宋体"/>
                <w:color w:val="000000"/>
                <w:kern w:val="0"/>
              </w:rPr>
              <w:t>支持新增设备到视频加速队列；</w:t>
            </w:r>
            <w:r>
              <w:rPr>
                <w:rFonts w:hint="eastAsia" w:cs="宋体"/>
                <w:color w:val="000000"/>
                <w:kern w:val="0"/>
              </w:rPr>
              <w:br w:type="textWrapping"/>
            </w:r>
            <w:r>
              <w:rPr>
                <w:rFonts w:hint="eastAsia" w:cs="宋体"/>
                <w:color w:val="000000"/>
                <w:kern w:val="0"/>
              </w:rPr>
              <w:t>支持配置加速设备总量、静态设备数量、动态设备数量、释放时间；</w:t>
            </w:r>
            <w:r>
              <w:rPr>
                <w:rFonts w:hint="eastAsia" w:cs="宋体"/>
                <w:color w:val="000000"/>
                <w:kern w:val="0"/>
              </w:rPr>
              <w:br w:type="textWrapping"/>
            </w:r>
            <w:r>
              <w:rPr>
                <w:rFonts w:hint="eastAsia" w:cs="宋体"/>
                <w:color w:val="000000"/>
                <w:kern w:val="0"/>
              </w:rPr>
              <w:t>支持根据设备名称、设备编码、加速类型、取流状态查询；</w:t>
            </w:r>
            <w:r>
              <w:rPr>
                <w:rFonts w:hint="eastAsia" w:cs="宋体"/>
                <w:color w:val="000000"/>
                <w:kern w:val="0"/>
              </w:rPr>
              <w:br w:type="textWrapping"/>
            </w:r>
            <w:r>
              <w:rPr>
                <w:rFonts w:hint="eastAsia" w:cs="宋体"/>
                <w:color w:val="000000"/>
                <w:kern w:val="0"/>
              </w:rPr>
              <w:t>支持统计静态及动态加速启动状态、取流状态、断流状态；</w:t>
            </w:r>
            <w:r>
              <w:rPr>
                <w:rFonts w:hint="eastAsia" w:cs="宋体"/>
                <w:color w:val="000000"/>
                <w:kern w:val="0"/>
              </w:rPr>
              <w:br w:type="textWrapping"/>
            </w:r>
            <w:r>
              <w:rPr>
                <w:rFonts w:hint="eastAsia" w:cs="宋体"/>
                <w:color w:val="000000"/>
                <w:kern w:val="0"/>
              </w:rPr>
              <w:t>单套最大支持100路视频加速；</w:t>
            </w:r>
            <w:r>
              <w:rPr>
                <w:rFonts w:hint="eastAsia" w:cs="宋体"/>
                <w:color w:val="000000"/>
                <w:kern w:val="0"/>
              </w:rPr>
              <w:br w:type="textWrapping"/>
            </w:r>
            <w:r>
              <w:rPr>
                <w:rFonts w:hint="eastAsia" w:cs="宋体"/>
                <w:color w:val="000000"/>
                <w:kern w:val="0"/>
              </w:rPr>
              <w:t>开流时间小于500ms。</w:t>
            </w:r>
          </w:p>
        </w:tc>
        <w:tc>
          <w:tcPr>
            <w:tcW w:w="557" w:type="pct"/>
            <w:tcBorders>
              <w:top w:val="single" w:color="000000" w:sz="4" w:space="0"/>
              <w:left w:val="single" w:color="000000" w:sz="4" w:space="0"/>
              <w:bottom w:val="single" w:color="000000" w:sz="4" w:space="0"/>
              <w:right w:val="single" w:color="000000" w:sz="4" w:space="0"/>
            </w:tcBorders>
            <w:vAlign w:val="center"/>
          </w:tcPr>
          <w:p w14:paraId="1A6829EE">
            <w:pPr>
              <w:widowControl/>
              <w:spacing w:line="240" w:lineRule="auto"/>
              <w:ind w:firstLine="0" w:firstLineChars="0"/>
              <w:jc w:val="center"/>
              <w:rPr>
                <w:rFonts w:hint="eastAsia" w:cs="宋体"/>
                <w:color w:val="000000"/>
                <w:kern w:val="0"/>
              </w:rPr>
            </w:pPr>
            <w:r>
              <w:rPr>
                <w:rFonts w:hint="eastAsia" w:cs="宋体"/>
                <w:color w:val="000000"/>
                <w:kern w:val="0"/>
              </w:rPr>
              <w:t>1</w:t>
            </w:r>
          </w:p>
        </w:tc>
        <w:tc>
          <w:tcPr>
            <w:tcW w:w="326" w:type="pct"/>
            <w:tcBorders>
              <w:top w:val="single" w:color="000000" w:sz="4" w:space="0"/>
              <w:left w:val="single" w:color="000000" w:sz="4" w:space="0"/>
              <w:bottom w:val="single" w:color="000000" w:sz="4" w:space="0"/>
              <w:right w:val="single" w:color="000000" w:sz="4" w:space="0"/>
            </w:tcBorders>
            <w:vAlign w:val="center"/>
          </w:tcPr>
          <w:p w14:paraId="488FBB6F">
            <w:pPr>
              <w:widowControl/>
              <w:spacing w:line="240" w:lineRule="auto"/>
              <w:ind w:firstLine="0" w:firstLineChars="0"/>
              <w:jc w:val="center"/>
              <w:rPr>
                <w:rFonts w:hint="eastAsia" w:cs="宋体"/>
                <w:color w:val="000000"/>
                <w:kern w:val="0"/>
              </w:rPr>
            </w:pPr>
            <w:r>
              <w:rPr>
                <w:rFonts w:hint="eastAsia" w:cs="宋体"/>
                <w:color w:val="000000"/>
                <w:kern w:val="0"/>
              </w:rPr>
              <w:t>套</w:t>
            </w:r>
          </w:p>
        </w:tc>
      </w:tr>
      <w:tr w14:paraId="3733A463">
        <w:tblPrEx>
          <w:tblCellMar>
            <w:top w:w="0" w:type="dxa"/>
            <w:left w:w="108" w:type="dxa"/>
            <w:bottom w:w="0" w:type="dxa"/>
            <w:right w:w="108" w:type="dxa"/>
          </w:tblCellMar>
        </w:tblPrEx>
        <w:trPr>
          <w:trHeight w:val="20" w:hRule="atLeast"/>
        </w:trPr>
        <w:tc>
          <w:tcPr>
            <w:tcW w:w="327" w:type="pct"/>
            <w:tcBorders>
              <w:top w:val="single" w:color="000000" w:sz="4" w:space="0"/>
              <w:left w:val="single" w:color="000000" w:sz="4" w:space="0"/>
              <w:bottom w:val="single" w:color="000000" w:sz="4" w:space="0"/>
              <w:right w:val="single" w:color="000000" w:sz="4" w:space="0"/>
            </w:tcBorders>
            <w:noWrap/>
            <w:vAlign w:val="center"/>
          </w:tcPr>
          <w:p w14:paraId="6BA59D27">
            <w:pPr>
              <w:widowControl/>
              <w:spacing w:line="240" w:lineRule="auto"/>
              <w:ind w:firstLine="0" w:firstLineChars="0"/>
              <w:jc w:val="center"/>
              <w:rPr>
                <w:rFonts w:hint="eastAsia" w:cs="宋体"/>
                <w:color w:val="000000"/>
                <w:kern w:val="0"/>
              </w:rPr>
            </w:pPr>
            <w:r>
              <w:rPr>
                <w:rFonts w:hint="eastAsia" w:cs="宋体"/>
                <w:color w:val="000000"/>
                <w:kern w:val="0"/>
              </w:rPr>
              <w:t>5</w:t>
            </w:r>
          </w:p>
        </w:tc>
        <w:tc>
          <w:tcPr>
            <w:tcW w:w="492" w:type="pct"/>
            <w:tcBorders>
              <w:top w:val="single" w:color="000000" w:sz="4" w:space="0"/>
              <w:left w:val="single" w:color="000000" w:sz="4" w:space="0"/>
              <w:bottom w:val="single" w:color="000000" w:sz="4" w:space="0"/>
              <w:right w:val="single" w:color="000000" w:sz="4" w:space="0"/>
            </w:tcBorders>
            <w:vAlign w:val="center"/>
          </w:tcPr>
          <w:p w14:paraId="16C11C16">
            <w:pPr>
              <w:widowControl/>
              <w:spacing w:line="240" w:lineRule="auto"/>
              <w:ind w:firstLine="0" w:firstLineChars="0"/>
              <w:jc w:val="center"/>
              <w:rPr>
                <w:rFonts w:hint="eastAsia" w:cs="宋体"/>
                <w:color w:val="000000"/>
                <w:kern w:val="0"/>
              </w:rPr>
            </w:pPr>
            <w:r>
              <w:rPr>
                <w:rFonts w:hint="eastAsia" w:cs="宋体"/>
                <w:color w:val="000000"/>
                <w:kern w:val="0"/>
              </w:rPr>
              <w:t>操作系统</w:t>
            </w:r>
          </w:p>
        </w:tc>
        <w:tc>
          <w:tcPr>
            <w:tcW w:w="480" w:type="pct"/>
            <w:tcBorders>
              <w:top w:val="single" w:color="000000" w:sz="4" w:space="0"/>
              <w:left w:val="single" w:color="000000" w:sz="4" w:space="0"/>
              <w:bottom w:val="single" w:color="000000" w:sz="4" w:space="0"/>
              <w:right w:val="single" w:color="000000" w:sz="4" w:space="0"/>
            </w:tcBorders>
            <w:vAlign w:val="center"/>
          </w:tcPr>
          <w:p w14:paraId="024949EA">
            <w:pPr>
              <w:widowControl/>
              <w:spacing w:line="240" w:lineRule="auto"/>
              <w:ind w:firstLine="0" w:firstLineChars="0"/>
              <w:jc w:val="center"/>
              <w:rPr>
                <w:rFonts w:hint="eastAsia" w:cs="宋体"/>
                <w:color w:val="000000"/>
                <w:kern w:val="0"/>
              </w:rPr>
            </w:pPr>
            <w:r>
              <w:rPr>
                <w:rFonts w:hint="eastAsia" w:cs="宋体"/>
                <w:color w:val="000000"/>
                <w:kern w:val="0"/>
              </w:rPr>
              <w:t>服务器操作系统</w:t>
            </w:r>
          </w:p>
        </w:tc>
        <w:tc>
          <w:tcPr>
            <w:tcW w:w="2815" w:type="pct"/>
            <w:tcBorders>
              <w:top w:val="single" w:color="000000" w:sz="4" w:space="0"/>
              <w:left w:val="single" w:color="000000" w:sz="4" w:space="0"/>
              <w:bottom w:val="single" w:color="000000" w:sz="4" w:space="0"/>
              <w:right w:val="single" w:color="000000" w:sz="4" w:space="0"/>
            </w:tcBorders>
            <w:vAlign w:val="center"/>
          </w:tcPr>
          <w:p w14:paraId="10FE63B9">
            <w:pPr>
              <w:widowControl/>
              <w:spacing w:line="240" w:lineRule="auto"/>
              <w:ind w:firstLine="0" w:firstLineChars="0"/>
              <w:jc w:val="center"/>
              <w:rPr>
                <w:rFonts w:hint="eastAsia" w:cs="宋体"/>
                <w:color w:val="000000"/>
                <w:kern w:val="0"/>
              </w:rPr>
            </w:pPr>
            <w:r>
              <w:rPr>
                <w:rFonts w:hint="eastAsia" w:cs="宋体"/>
                <w:color w:val="000000"/>
                <w:kern w:val="0"/>
              </w:rPr>
              <w:t>国产化操作系统</w:t>
            </w:r>
          </w:p>
        </w:tc>
        <w:tc>
          <w:tcPr>
            <w:tcW w:w="557" w:type="pct"/>
            <w:tcBorders>
              <w:top w:val="single" w:color="000000" w:sz="4" w:space="0"/>
              <w:left w:val="single" w:color="000000" w:sz="4" w:space="0"/>
              <w:bottom w:val="single" w:color="000000" w:sz="4" w:space="0"/>
              <w:right w:val="single" w:color="000000" w:sz="4" w:space="0"/>
            </w:tcBorders>
            <w:vAlign w:val="center"/>
          </w:tcPr>
          <w:p w14:paraId="320B1591">
            <w:pPr>
              <w:widowControl/>
              <w:spacing w:line="240" w:lineRule="auto"/>
              <w:ind w:firstLine="0" w:firstLineChars="0"/>
              <w:jc w:val="center"/>
              <w:rPr>
                <w:rFonts w:hint="eastAsia" w:cs="宋体"/>
                <w:color w:val="000000"/>
                <w:kern w:val="0"/>
              </w:rPr>
            </w:pPr>
            <w:r>
              <w:rPr>
                <w:rFonts w:hint="eastAsia" w:cs="宋体"/>
                <w:color w:val="000000"/>
                <w:kern w:val="0"/>
              </w:rPr>
              <w:t>3</w:t>
            </w:r>
          </w:p>
        </w:tc>
        <w:tc>
          <w:tcPr>
            <w:tcW w:w="326" w:type="pct"/>
            <w:tcBorders>
              <w:top w:val="single" w:color="000000" w:sz="4" w:space="0"/>
              <w:left w:val="single" w:color="000000" w:sz="4" w:space="0"/>
              <w:bottom w:val="single" w:color="000000" w:sz="4" w:space="0"/>
              <w:right w:val="single" w:color="000000" w:sz="4" w:space="0"/>
            </w:tcBorders>
            <w:vAlign w:val="center"/>
          </w:tcPr>
          <w:p w14:paraId="5F7E54BE">
            <w:pPr>
              <w:widowControl/>
              <w:spacing w:line="240" w:lineRule="auto"/>
              <w:ind w:firstLine="0" w:firstLineChars="0"/>
              <w:jc w:val="center"/>
              <w:rPr>
                <w:rFonts w:hint="eastAsia" w:cs="宋体"/>
                <w:color w:val="000000"/>
                <w:kern w:val="0"/>
              </w:rPr>
            </w:pPr>
            <w:r>
              <w:rPr>
                <w:rFonts w:hint="eastAsia" w:cs="宋体"/>
                <w:color w:val="000000"/>
                <w:kern w:val="0"/>
              </w:rPr>
              <w:t>套</w:t>
            </w:r>
          </w:p>
        </w:tc>
      </w:tr>
    </w:tbl>
    <w:p w14:paraId="361299C1">
      <w:pPr>
        <w:pStyle w:val="2"/>
        <w:numPr>
          <w:ilvl w:val="0"/>
          <w:numId w:val="0"/>
        </w:numPr>
        <w:spacing w:after="0"/>
        <w:ind w:left="425" w:hanging="425"/>
        <w:rPr>
          <w:rFonts w:hint="eastAsia"/>
        </w:rPr>
      </w:pPr>
      <w:r>
        <w:rPr>
          <w:rFonts w:hint="eastAsia"/>
        </w:rPr>
        <w:t>附表四：安全产品购置清单</w:t>
      </w:r>
    </w:p>
    <w:tbl>
      <w:tblPr>
        <w:tblStyle w:val="35"/>
        <w:tblW w:w="4998" w:type="pct"/>
        <w:tblInd w:w="0" w:type="dxa"/>
        <w:tblLayout w:type="fixed"/>
        <w:tblCellMar>
          <w:top w:w="0" w:type="dxa"/>
          <w:left w:w="108" w:type="dxa"/>
          <w:bottom w:w="0" w:type="dxa"/>
          <w:right w:w="108" w:type="dxa"/>
        </w:tblCellMar>
      </w:tblPr>
      <w:tblGrid>
        <w:gridCol w:w="555"/>
        <w:gridCol w:w="827"/>
        <w:gridCol w:w="841"/>
        <w:gridCol w:w="5265"/>
        <w:gridCol w:w="474"/>
        <w:gridCol w:w="563"/>
      </w:tblGrid>
      <w:tr w14:paraId="3BCC03E5">
        <w:tblPrEx>
          <w:tblCellMar>
            <w:top w:w="0" w:type="dxa"/>
            <w:left w:w="108" w:type="dxa"/>
            <w:bottom w:w="0" w:type="dxa"/>
            <w:right w:w="108" w:type="dxa"/>
          </w:tblCellMar>
        </w:tblPrEx>
        <w:trPr>
          <w:trHeight w:val="20" w:hRule="atLeast"/>
          <w:tblHeader/>
        </w:trPr>
        <w:tc>
          <w:tcPr>
            <w:tcW w:w="326" w:type="pct"/>
            <w:tcBorders>
              <w:top w:val="single" w:color="000000" w:sz="4" w:space="0"/>
              <w:left w:val="single" w:color="000000" w:sz="4" w:space="0"/>
              <w:bottom w:val="single" w:color="000000" w:sz="4" w:space="0"/>
              <w:right w:val="single" w:color="000000" w:sz="4" w:space="0"/>
            </w:tcBorders>
            <w:vAlign w:val="center"/>
          </w:tcPr>
          <w:p w14:paraId="052684E0">
            <w:pPr>
              <w:widowControl/>
              <w:spacing w:line="240" w:lineRule="auto"/>
              <w:ind w:firstLine="0" w:firstLineChars="0"/>
              <w:jc w:val="center"/>
              <w:rPr>
                <w:rFonts w:hint="eastAsia" w:cs="宋体"/>
                <w:b/>
                <w:bCs/>
                <w:color w:val="000000"/>
                <w:kern w:val="0"/>
              </w:rPr>
            </w:pPr>
            <w:r>
              <w:rPr>
                <w:rFonts w:hint="eastAsia" w:cs="宋体"/>
                <w:b/>
                <w:bCs/>
                <w:color w:val="000000"/>
                <w:kern w:val="0"/>
              </w:rPr>
              <w:t xml:space="preserve">序号 </w:t>
            </w:r>
          </w:p>
        </w:tc>
        <w:tc>
          <w:tcPr>
            <w:tcW w:w="485" w:type="pct"/>
            <w:tcBorders>
              <w:top w:val="single" w:color="000000" w:sz="4" w:space="0"/>
              <w:left w:val="single" w:color="000000" w:sz="4" w:space="0"/>
              <w:bottom w:val="single" w:color="000000" w:sz="4" w:space="0"/>
              <w:right w:val="single" w:color="000000" w:sz="4" w:space="0"/>
            </w:tcBorders>
            <w:vAlign w:val="center"/>
          </w:tcPr>
          <w:p w14:paraId="56C5A1B3">
            <w:pPr>
              <w:widowControl/>
              <w:spacing w:line="240" w:lineRule="auto"/>
              <w:ind w:firstLine="0" w:firstLineChars="0"/>
              <w:jc w:val="center"/>
              <w:rPr>
                <w:rFonts w:hint="eastAsia" w:cs="宋体"/>
                <w:b/>
                <w:bCs/>
                <w:color w:val="000000"/>
                <w:kern w:val="0"/>
              </w:rPr>
            </w:pPr>
            <w:r>
              <w:rPr>
                <w:rFonts w:hint="eastAsia" w:cs="宋体"/>
                <w:b/>
                <w:bCs/>
                <w:color w:val="000000"/>
                <w:kern w:val="0"/>
              </w:rPr>
              <w:t>产品</w:t>
            </w:r>
          </w:p>
          <w:p w14:paraId="31C43A80">
            <w:pPr>
              <w:widowControl/>
              <w:spacing w:line="240" w:lineRule="auto"/>
              <w:ind w:firstLine="0" w:firstLineChars="0"/>
              <w:jc w:val="center"/>
              <w:rPr>
                <w:rFonts w:hint="eastAsia" w:cs="宋体"/>
                <w:b/>
                <w:bCs/>
                <w:color w:val="000000"/>
                <w:kern w:val="0"/>
              </w:rPr>
            </w:pPr>
            <w:r>
              <w:rPr>
                <w:rFonts w:hint="eastAsia" w:cs="宋体"/>
                <w:b/>
                <w:bCs/>
                <w:color w:val="000000"/>
                <w:kern w:val="0"/>
              </w:rPr>
              <w:t>类别</w:t>
            </w:r>
          </w:p>
        </w:tc>
        <w:tc>
          <w:tcPr>
            <w:tcW w:w="493" w:type="pct"/>
            <w:tcBorders>
              <w:top w:val="single" w:color="000000" w:sz="4" w:space="0"/>
              <w:left w:val="single" w:color="000000" w:sz="4" w:space="0"/>
              <w:bottom w:val="single" w:color="000000" w:sz="4" w:space="0"/>
              <w:right w:val="single" w:color="000000" w:sz="4" w:space="0"/>
            </w:tcBorders>
            <w:vAlign w:val="center"/>
          </w:tcPr>
          <w:p w14:paraId="75122AAC">
            <w:pPr>
              <w:widowControl/>
              <w:spacing w:line="240" w:lineRule="auto"/>
              <w:ind w:firstLine="0" w:firstLineChars="0"/>
              <w:jc w:val="center"/>
              <w:rPr>
                <w:rFonts w:hint="eastAsia" w:cs="宋体"/>
                <w:b/>
                <w:bCs/>
                <w:color w:val="000000"/>
                <w:kern w:val="0"/>
              </w:rPr>
            </w:pPr>
            <w:r>
              <w:rPr>
                <w:rFonts w:hint="eastAsia" w:cs="宋体"/>
                <w:b/>
                <w:bCs/>
                <w:color w:val="000000"/>
                <w:kern w:val="0"/>
              </w:rPr>
              <w:t>产品</w:t>
            </w:r>
          </w:p>
          <w:p w14:paraId="50051205">
            <w:pPr>
              <w:widowControl/>
              <w:spacing w:line="240" w:lineRule="auto"/>
              <w:ind w:firstLine="0" w:firstLineChars="0"/>
              <w:jc w:val="center"/>
              <w:rPr>
                <w:rFonts w:hint="eastAsia" w:cs="宋体"/>
                <w:b/>
                <w:bCs/>
                <w:color w:val="000000"/>
                <w:kern w:val="0"/>
              </w:rPr>
            </w:pPr>
            <w:r>
              <w:rPr>
                <w:rFonts w:hint="eastAsia" w:cs="宋体"/>
                <w:b/>
                <w:bCs/>
                <w:color w:val="000000"/>
                <w:kern w:val="0"/>
              </w:rPr>
              <w:t>名称</w:t>
            </w:r>
          </w:p>
        </w:tc>
        <w:tc>
          <w:tcPr>
            <w:tcW w:w="3087" w:type="pct"/>
            <w:tcBorders>
              <w:top w:val="single" w:color="000000" w:sz="4" w:space="0"/>
              <w:left w:val="single" w:color="000000" w:sz="4" w:space="0"/>
              <w:bottom w:val="single" w:color="000000" w:sz="4" w:space="0"/>
              <w:right w:val="single" w:color="000000" w:sz="4" w:space="0"/>
            </w:tcBorders>
            <w:vAlign w:val="center"/>
          </w:tcPr>
          <w:p w14:paraId="6D913BA1">
            <w:pPr>
              <w:widowControl/>
              <w:spacing w:line="240" w:lineRule="auto"/>
              <w:ind w:firstLine="0" w:firstLineChars="0"/>
              <w:jc w:val="center"/>
              <w:rPr>
                <w:rFonts w:hint="eastAsia" w:cs="宋体"/>
                <w:b/>
                <w:bCs/>
                <w:color w:val="000000"/>
                <w:kern w:val="0"/>
              </w:rPr>
            </w:pPr>
            <w:r>
              <w:rPr>
                <w:rFonts w:hint="eastAsia" w:cs="宋体"/>
                <w:b/>
                <w:bCs/>
                <w:color w:val="000000"/>
                <w:kern w:val="0"/>
              </w:rPr>
              <w:t xml:space="preserve"> 产品配置 </w:t>
            </w:r>
          </w:p>
        </w:tc>
        <w:tc>
          <w:tcPr>
            <w:tcW w:w="278" w:type="pct"/>
            <w:tcBorders>
              <w:top w:val="single" w:color="000000" w:sz="4" w:space="0"/>
              <w:left w:val="single" w:color="000000" w:sz="4" w:space="0"/>
              <w:bottom w:val="single" w:color="000000" w:sz="4" w:space="0"/>
              <w:right w:val="single" w:color="000000" w:sz="4" w:space="0"/>
            </w:tcBorders>
            <w:vAlign w:val="center"/>
          </w:tcPr>
          <w:p w14:paraId="3E78F0F1">
            <w:pPr>
              <w:widowControl/>
              <w:spacing w:line="240" w:lineRule="auto"/>
              <w:ind w:firstLine="0" w:firstLineChars="0"/>
              <w:jc w:val="center"/>
              <w:rPr>
                <w:rFonts w:hint="eastAsia" w:cs="宋体"/>
                <w:b/>
                <w:bCs/>
                <w:color w:val="000000"/>
                <w:kern w:val="0"/>
              </w:rPr>
            </w:pPr>
            <w:r>
              <w:rPr>
                <w:rFonts w:hint="eastAsia" w:cs="宋体"/>
                <w:b/>
                <w:bCs/>
                <w:color w:val="000000"/>
                <w:kern w:val="0"/>
              </w:rPr>
              <w:t xml:space="preserve">数量 </w:t>
            </w:r>
          </w:p>
        </w:tc>
        <w:tc>
          <w:tcPr>
            <w:tcW w:w="330" w:type="pct"/>
            <w:tcBorders>
              <w:top w:val="single" w:color="000000" w:sz="4" w:space="0"/>
              <w:left w:val="single" w:color="000000" w:sz="4" w:space="0"/>
              <w:bottom w:val="single" w:color="000000" w:sz="4" w:space="0"/>
              <w:right w:val="single" w:color="000000" w:sz="4" w:space="0"/>
            </w:tcBorders>
            <w:vAlign w:val="center"/>
          </w:tcPr>
          <w:p w14:paraId="40C02E95">
            <w:pPr>
              <w:widowControl/>
              <w:spacing w:line="240" w:lineRule="auto"/>
              <w:ind w:firstLine="0" w:firstLineChars="0"/>
              <w:jc w:val="center"/>
              <w:rPr>
                <w:rFonts w:hint="eastAsia" w:cs="宋体"/>
                <w:b/>
                <w:bCs/>
                <w:color w:val="000000"/>
                <w:kern w:val="0"/>
              </w:rPr>
            </w:pPr>
            <w:r>
              <w:rPr>
                <w:rFonts w:hint="eastAsia" w:cs="宋体"/>
                <w:b/>
                <w:bCs/>
                <w:color w:val="000000"/>
                <w:kern w:val="0"/>
              </w:rPr>
              <w:t xml:space="preserve">单位 </w:t>
            </w:r>
          </w:p>
        </w:tc>
      </w:tr>
      <w:tr w14:paraId="2A552F43">
        <w:tblPrEx>
          <w:tblCellMar>
            <w:top w:w="0" w:type="dxa"/>
            <w:left w:w="108" w:type="dxa"/>
            <w:bottom w:w="0" w:type="dxa"/>
            <w:right w:w="108" w:type="dxa"/>
          </w:tblCellMar>
        </w:tblPrEx>
        <w:trPr>
          <w:trHeight w:val="20" w:hRule="atLeast"/>
        </w:trPr>
        <w:tc>
          <w:tcPr>
            <w:tcW w:w="326" w:type="pct"/>
            <w:tcBorders>
              <w:top w:val="single" w:color="000000" w:sz="4" w:space="0"/>
              <w:left w:val="single" w:color="000000" w:sz="4" w:space="0"/>
              <w:bottom w:val="single" w:color="000000" w:sz="4" w:space="0"/>
              <w:right w:val="single" w:color="000000" w:sz="4" w:space="0"/>
            </w:tcBorders>
            <w:noWrap/>
            <w:vAlign w:val="center"/>
          </w:tcPr>
          <w:p w14:paraId="1CBE3405">
            <w:pPr>
              <w:widowControl/>
              <w:spacing w:line="240" w:lineRule="auto"/>
              <w:ind w:firstLine="0" w:firstLineChars="0"/>
              <w:jc w:val="center"/>
              <w:rPr>
                <w:rFonts w:hint="eastAsia" w:cs="宋体"/>
                <w:color w:val="000000"/>
                <w:kern w:val="0"/>
              </w:rPr>
            </w:pPr>
            <w:r>
              <w:rPr>
                <w:rFonts w:hint="eastAsia" w:cs="宋体"/>
                <w:color w:val="000000"/>
                <w:kern w:val="0"/>
              </w:rPr>
              <w:t>1</w:t>
            </w:r>
          </w:p>
        </w:tc>
        <w:tc>
          <w:tcPr>
            <w:tcW w:w="485" w:type="pct"/>
            <w:tcBorders>
              <w:top w:val="single" w:color="000000" w:sz="4" w:space="0"/>
              <w:left w:val="single" w:color="000000" w:sz="4" w:space="0"/>
              <w:bottom w:val="single" w:color="000000" w:sz="4" w:space="0"/>
              <w:right w:val="single" w:color="000000" w:sz="4" w:space="0"/>
            </w:tcBorders>
            <w:vAlign w:val="center"/>
          </w:tcPr>
          <w:p w14:paraId="47DE76C3">
            <w:pPr>
              <w:widowControl/>
              <w:spacing w:line="240" w:lineRule="auto"/>
              <w:ind w:firstLine="0" w:firstLineChars="0"/>
              <w:rPr>
                <w:rFonts w:hint="eastAsia" w:cs="宋体"/>
                <w:color w:val="000000"/>
                <w:kern w:val="0"/>
              </w:rPr>
            </w:pPr>
            <w:r>
              <w:rPr>
                <w:rFonts w:hint="eastAsia" w:cs="宋体"/>
                <w:color w:val="000000"/>
                <w:kern w:val="0"/>
              </w:rPr>
              <w:t>边界安全</w:t>
            </w:r>
          </w:p>
        </w:tc>
        <w:tc>
          <w:tcPr>
            <w:tcW w:w="493" w:type="pct"/>
            <w:tcBorders>
              <w:top w:val="single" w:color="000000" w:sz="4" w:space="0"/>
              <w:left w:val="single" w:color="000000" w:sz="4" w:space="0"/>
              <w:bottom w:val="single" w:color="000000" w:sz="4" w:space="0"/>
              <w:right w:val="single" w:color="000000" w:sz="4" w:space="0"/>
            </w:tcBorders>
            <w:vAlign w:val="center"/>
          </w:tcPr>
          <w:p w14:paraId="23BB0C6B">
            <w:pPr>
              <w:widowControl/>
              <w:spacing w:line="240" w:lineRule="auto"/>
              <w:ind w:firstLine="0" w:firstLineChars="0"/>
              <w:rPr>
                <w:rFonts w:hint="eastAsia" w:cs="宋体"/>
                <w:color w:val="000000"/>
                <w:kern w:val="0"/>
              </w:rPr>
            </w:pPr>
            <w:r>
              <w:rPr>
                <w:rFonts w:hint="eastAsia" w:cs="宋体"/>
                <w:color w:val="000000"/>
                <w:kern w:val="0"/>
              </w:rPr>
              <w:t>视频接入安全网关</w:t>
            </w:r>
          </w:p>
        </w:tc>
        <w:tc>
          <w:tcPr>
            <w:tcW w:w="3087" w:type="pct"/>
            <w:tcBorders>
              <w:top w:val="single" w:color="000000" w:sz="4" w:space="0"/>
              <w:left w:val="single" w:color="000000" w:sz="4" w:space="0"/>
              <w:bottom w:val="single" w:color="000000" w:sz="4" w:space="0"/>
              <w:right w:val="single" w:color="000000" w:sz="4" w:space="0"/>
            </w:tcBorders>
            <w:vAlign w:val="center"/>
          </w:tcPr>
          <w:p w14:paraId="6D542FD6">
            <w:pPr>
              <w:widowControl/>
              <w:spacing w:line="240" w:lineRule="auto"/>
              <w:ind w:firstLine="0" w:firstLineChars="0"/>
              <w:jc w:val="left"/>
              <w:rPr>
                <w:rFonts w:hint="eastAsia" w:cs="宋体"/>
                <w:color w:val="000000"/>
                <w:kern w:val="0"/>
              </w:rPr>
            </w:pPr>
            <w:r>
              <w:rPr>
                <w:rFonts w:hint="eastAsia" w:cs="宋体"/>
                <w:color w:val="000000"/>
                <w:kern w:val="0"/>
              </w:rPr>
              <w:t>软硬件一体化设备，2个万兆光口，6个千兆电口，双电源；支持≥2000台NVR或3万路视频的安全管控要求，功能包括：</w:t>
            </w:r>
            <w:r>
              <w:rPr>
                <w:rFonts w:hint="eastAsia" w:cs="宋体"/>
                <w:color w:val="000000"/>
                <w:kern w:val="0"/>
              </w:rPr>
              <w:br w:type="textWrapping"/>
            </w:r>
            <w:r>
              <w:rPr>
                <w:rFonts w:hint="eastAsia" w:cs="宋体"/>
                <w:color w:val="000000"/>
                <w:kern w:val="0"/>
              </w:rPr>
              <w:t>1、支持前端摄像头准入控制，基于IP地址、MAC地址、生产厂商、设备指纹等准入控制方式；支持告警和阻断模式；</w:t>
            </w:r>
            <w:r>
              <w:rPr>
                <w:rFonts w:hint="eastAsia" w:cs="宋体"/>
                <w:color w:val="000000"/>
                <w:kern w:val="0"/>
              </w:rPr>
              <w:br w:type="textWrapping"/>
            </w:r>
            <w:r>
              <w:rPr>
                <w:rFonts w:hint="eastAsia" w:cs="宋体"/>
                <w:color w:val="000000"/>
                <w:kern w:val="0"/>
              </w:rPr>
              <w:t>2、支持黑名单和白名单信令过滤控制；</w:t>
            </w:r>
            <w:r>
              <w:rPr>
                <w:rFonts w:hint="eastAsia" w:cs="宋体"/>
                <w:color w:val="000000"/>
                <w:kern w:val="0"/>
              </w:rPr>
              <w:br w:type="textWrapping"/>
            </w:r>
            <w:r>
              <w:rPr>
                <w:rFonts w:hint="eastAsia" w:cs="宋体"/>
                <w:color w:val="000000"/>
                <w:kern w:val="0"/>
              </w:rPr>
              <w:t>3、支持资产扫描，自动获取前端设备指纹信息，支持厂商类型特征库，可识别主流厂商前端设备，厂商字典自定义扩展；</w:t>
            </w:r>
            <w:r>
              <w:rPr>
                <w:rFonts w:hint="eastAsia" w:cs="宋体"/>
                <w:color w:val="000000"/>
                <w:kern w:val="0"/>
              </w:rPr>
              <w:br w:type="textWrapping"/>
            </w:r>
            <w:r>
              <w:rPr>
                <w:rFonts w:hint="eastAsia" w:cs="宋体"/>
                <w:color w:val="000000"/>
                <w:kern w:val="0"/>
              </w:rPr>
              <w:t>4、支持组织结构管理，添加多级组织机构；支持资产管理；</w:t>
            </w:r>
            <w:r>
              <w:rPr>
                <w:rFonts w:hint="eastAsia" w:cs="宋体"/>
                <w:color w:val="000000"/>
                <w:kern w:val="0"/>
              </w:rPr>
              <w:br w:type="textWrapping"/>
            </w:r>
            <w:r>
              <w:rPr>
                <w:rFonts w:hint="eastAsia" w:cs="宋体"/>
                <w:color w:val="000000"/>
                <w:kern w:val="0"/>
              </w:rPr>
              <w:t>5、支持链路质量检测；</w:t>
            </w:r>
            <w:r>
              <w:rPr>
                <w:rFonts w:hint="eastAsia" w:cs="宋体"/>
                <w:color w:val="000000"/>
                <w:kern w:val="0"/>
              </w:rPr>
              <w:br w:type="textWrapping"/>
            </w:r>
            <w:r>
              <w:rPr>
                <w:rFonts w:hint="eastAsia" w:cs="宋体"/>
                <w:color w:val="000000"/>
                <w:kern w:val="0"/>
              </w:rPr>
              <w:t>6、支持安全概览，显示资产状态、网络状态、安全状态；</w:t>
            </w:r>
            <w:r>
              <w:rPr>
                <w:rFonts w:hint="eastAsia" w:cs="宋体"/>
                <w:color w:val="000000"/>
                <w:kern w:val="0"/>
              </w:rPr>
              <w:br w:type="textWrapping"/>
            </w:r>
            <w:r>
              <w:rPr>
                <w:rFonts w:hint="eastAsia" w:cs="宋体"/>
                <w:color w:val="000000"/>
                <w:kern w:val="0"/>
              </w:rPr>
              <w:t>7、支持系统管理、用户管理、日志管理、告警统计等功能；</w:t>
            </w:r>
            <w:r>
              <w:rPr>
                <w:rFonts w:hint="eastAsia" w:cs="宋体"/>
                <w:color w:val="000000"/>
                <w:kern w:val="0"/>
              </w:rPr>
              <w:br w:type="textWrapping"/>
            </w:r>
            <w:r>
              <w:rPr>
                <w:rFonts w:hint="eastAsia" w:cs="宋体"/>
                <w:color w:val="000000"/>
                <w:kern w:val="0"/>
              </w:rPr>
              <w:t>8、支持全流量旁路镜像/引流部署方式。</w:t>
            </w:r>
          </w:p>
        </w:tc>
        <w:tc>
          <w:tcPr>
            <w:tcW w:w="278" w:type="pct"/>
            <w:tcBorders>
              <w:top w:val="single" w:color="000000" w:sz="4" w:space="0"/>
              <w:left w:val="single" w:color="000000" w:sz="4" w:space="0"/>
              <w:bottom w:val="single" w:color="000000" w:sz="4" w:space="0"/>
              <w:right w:val="single" w:color="000000" w:sz="4" w:space="0"/>
            </w:tcBorders>
            <w:vAlign w:val="center"/>
          </w:tcPr>
          <w:p w14:paraId="38BA16E8">
            <w:pPr>
              <w:widowControl/>
              <w:spacing w:line="240" w:lineRule="auto"/>
              <w:ind w:firstLine="0" w:firstLineChars="0"/>
              <w:jc w:val="center"/>
              <w:rPr>
                <w:rFonts w:hint="eastAsia" w:cs="宋体"/>
                <w:color w:val="000000"/>
                <w:kern w:val="0"/>
              </w:rPr>
            </w:pPr>
            <w:r>
              <w:rPr>
                <w:rFonts w:hint="eastAsia" w:cs="宋体"/>
                <w:color w:val="000000"/>
                <w:kern w:val="0"/>
              </w:rPr>
              <w:t>1</w:t>
            </w:r>
          </w:p>
        </w:tc>
        <w:tc>
          <w:tcPr>
            <w:tcW w:w="330" w:type="pct"/>
            <w:tcBorders>
              <w:top w:val="single" w:color="000000" w:sz="4" w:space="0"/>
              <w:left w:val="single" w:color="000000" w:sz="4" w:space="0"/>
              <w:bottom w:val="single" w:color="000000" w:sz="4" w:space="0"/>
              <w:right w:val="single" w:color="000000" w:sz="4" w:space="0"/>
            </w:tcBorders>
            <w:vAlign w:val="center"/>
          </w:tcPr>
          <w:p w14:paraId="560D9E24">
            <w:pPr>
              <w:widowControl/>
              <w:spacing w:line="240" w:lineRule="auto"/>
              <w:ind w:firstLine="0" w:firstLineChars="0"/>
              <w:jc w:val="center"/>
              <w:rPr>
                <w:rFonts w:hint="eastAsia" w:cs="宋体"/>
                <w:color w:val="000000"/>
                <w:kern w:val="0"/>
              </w:rPr>
            </w:pPr>
            <w:r>
              <w:rPr>
                <w:rFonts w:hint="eastAsia" w:cs="宋体"/>
                <w:color w:val="000000"/>
                <w:kern w:val="0"/>
              </w:rPr>
              <w:t>台</w:t>
            </w:r>
          </w:p>
        </w:tc>
      </w:tr>
      <w:tr w14:paraId="4E7F649A">
        <w:tblPrEx>
          <w:tblCellMar>
            <w:top w:w="0" w:type="dxa"/>
            <w:left w:w="108" w:type="dxa"/>
            <w:bottom w:w="0" w:type="dxa"/>
            <w:right w:w="108" w:type="dxa"/>
          </w:tblCellMar>
        </w:tblPrEx>
        <w:trPr>
          <w:trHeight w:val="20" w:hRule="atLeast"/>
        </w:trPr>
        <w:tc>
          <w:tcPr>
            <w:tcW w:w="326" w:type="pct"/>
            <w:tcBorders>
              <w:top w:val="single" w:color="000000" w:sz="4" w:space="0"/>
              <w:left w:val="single" w:color="000000" w:sz="4" w:space="0"/>
              <w:bottom w:val="single" w:color="000000" w:sz="4" w:space="0"/>
              <w:right w:val="single" w:color="000000" w:sz="4" w:space="0"/>
            </w:tcBorders>
            <w:noWrap/>
            <w:vAlign w:val="center"/>
          </w:tcPr>
          <w:p w14:paraId="2102F5AF">
            <w:pPr>
              <w:widowControl/>
              <w:spacing w:line="240" w:lineRule="auto"/>
              <w:ind w:firstLine="0" w:firstLineChars="0"/>
              <w:jc w:val="center"/>
              <w:rPr>
                <w:rFonts w:hint="eastAsia" w:cs="宋体"/>
                <w:color w:val="000000"/>
                <w:kern w:val="0"/>
              </w:rPr>
            </w:pPr>
            <w:r>
              <w:rPr>
                <w:rFonts w:hint="eastAsia" w:cs="宋体"/>
                <w:color w:val="000000"/>
                <w:kern w:val="0"/>
              </w:rPr>
              <w:t>2</w:t>
            </w:r>
          </w:p>
        </w:tc>
        <w:tc>
          <w:tcPr>
            <w:tcW w:w="485" w:type="pct"/>
            <w:tcBorders>
              <w:top w:val="single" w:color="000000" w:sz="4" w:space="0"/>
              <w:left w:val="single" w:color="000000" w:sz="4" w:space="0"/>
              <w:bottom w:val="single" w:color="000000" w:sz="4" w:space="0"/>
              <w:right w:val="single" w:color="000000" w:sz="4" w:space="0"/>
            </w:tcBorders>
            <w:vAlign w:val="center"/>
          </w:tcPr>
          <w:p w14:paraId="0997F3F9">
            <w:pPr>
              <w:widowControl/>
              <w:spacing w:line="240" w:lineRule="auto"/>
              <w:ind w:firstLine="0" w:firstLineChars="0"/>
              <w:rPr>
                <w:rFonts w:hint="eastAsia" w:cs="宋体"/>
                <w:color w:val="000000"/>
                <w:kern w:val="0"/>
              </w:rPr>
            </w:pPr>
            <w:r>
              <w:rPr>
                <w:rFonts w:hint="eastAsia" w:cs="宋体"/>
                <w:color w:val="000000"/>
                <w:kern w:val="0"/>
              </w:rPr>
              <w:t>边界安全</w:t>
            </w:r>
          </w:p>
        </w:tc>
        <w:tc>
          <w:tcPr>
            <w:tcW w:w="493" w:type="pct"/>
            <w:tcBorders>
              <w:top w:val="single" w:color="000000" w:sz="4" w:space="0"/>
              <w:left w:val="single" w:color="000000" w:sz="4" w:space="0"/>
              <w:bottom w:val="single" w:color="000000" w:sz="4" w:space="0"/>
              <w:right w:val="single" w:color="000000" w:sz="4" w:space="0"/>
            </w:tcBorders>
            <w:vAlign w:val="center"/>
          </w:tcPr>
          <w:p w14:paraId="2577502E">
            <w:pPr>
              <w:widowControl/>
              <w:spacing w:line="240" w:lineRule="auto"/>
              <w:ind w:firstLine="0" w:firstLineChars="0"/>
              <w:rPr>
                <w:rFonts w:hint="eastAsia" w:cs="宋体"/>
                <w:color w:val="000000"/>
                <w:kern w:val="0"/>
              </w:rPr>
            </w:pPr>
            <w:r>
              <w:rPr>
                <w:rFonts w:hint="eastAsia" w:cs="宋体"/>
                <w:color w:val="000000"/>
                <w:kern w:val="0"/>
              </w:rPr>
              <w:t>视频共享安全网关</w:t>
            </w:r>
          </w:p>
          <w:p w14:paraId="4C3CD4F4">
            <w:pPr>
              <w:widowControl/>
              <w:spacing w:line="240" w:lineRule="auto"/>
              <w:ind w:firstLine="0" w:firstLineChars="0"/>
              <w:rPr>
                <w:rFonts w:hint="eastAsia" w:cs="宋体"/>
                <w:color w:val="000000"/>
                <w:kern w:val="0"/>
              </w:rPr>
            </w:pPr>
            <w:r>
              <w:rPr>
                <w:rFonts w:hint="eastAsia" w:ascii="宋体" w:hAnsi="宋体" w:eastAsia="宋体" w:cs="宋体"/>
                <w:i w:val="0"/>
                <w:iCs w:val="0"/>
                <w:color w:val="000000"/>
                <w:kern w:val="0"/>
                <w:sz w:val="22"/>
                <w:szCs w:val="22"/>
                <w:u w:val="none"/>
                <w:lang w:val="en-US" w:eastAsia="zh-CN" w:bidi="ar"/>
              </w:rPr>
              <w:t>▲</w:t>
            </w:r>
          </w:p>
        </w:tc>
        <w:tc>
          <w:tcPr>
            <w:tcW w:w="3087" w:type="pct"/>
            <w:tcBorders>
              <w:top w:val="single" w:color="000000" w:sz="4" w:space="0"/>
              <w:left w:val="single" w:color="000000" w:sz="4" w:space="0"/>
              <w:bottom w:val="single" w:color="000000" w:sz="4" w:space="0"/>
              <w:right w:val="single" w:color="000000" w:sz="4" w:space="0"/>
            </w:tcBorders>
            <w:vAlign w:val="center"/>
          </w:tcPr>
          <w:p w14:paraId="6D4BBB71">
            <w:pPr>
              <w:widowControl/>
              <w:spacing w:line="240" w:lineRule="auto"/>
              <w:ind w:firstLine="0" w:firstLineChars="0"/>
              <w:jc w:val="left"/>
              <w:rPr>
                <w:rFonts w:hint="eastAsia" w:cs="宋体"/>
                <w:color w:val="000000"/>
                <w:kern w:val="0"/>
              </w:rPr>
            </w:pPr>
            <w:r>
              <w:rPr>
                <w:rFonts w:hint="eastAsia" w:cs="宋体"/>
                <w:color w:val="000000"/>
                <w:kern w:val="0"/>
              </w:rPr>
              <w:t>软硬件一体化设备，≥6个千兆电口，双电源；其主要功能包括：</w:t>
            </w:r>
            <w:r>
              <w:rPr>
                <w:rFonts w:hint="eastAsia" w:cs="宋体"/>
                <w:color w:val="000000"/>
                <w:kern w:val="0"/>
              </w:rPr>
              <w:br w:type="textWrapping"/>
            </w:r>
            <w:r>
              <w:rPr>
                <w:rFonts w:hint="eastAsia" w:cs="宋体"/>
                <w:color w:val="000000"/>
                <w:kern w:val="0"/>
              </w:rPr>
              <w:t>1、共享视频可溯源：支持视频流中插入显性水印，支持视频流中插入隐性水印，支持视频流中插入二维码。</w:t>
            </w:r>
            <w:r>
              <w:rPr>
                <w:rFonts w:hint="eastAsia" w:cs="宋体"/>
                <w:color w:val="000000"/>
                <w:kern w:val="0"/>
              </w:rPr>
              <w:br w:type="textWrapping"/>
            </w:r>
            <w:r>
              <w:rPr>
                <w:rFonts w:hint="eastAsia" w:cs="宋体"/>
                <w:color w:val="000000"/>
                <w:kern w:val="0"/>
              </w:rPr>
              <w:t>2、共享视频防篡改：视频码流插入数据指纹，防止视频传输过程被篡改。提供自动分析工具对视频数据进行一致性校验。</w:t>
            </w:r>
            <w:r>
              <w:rPr>
                <w:rFonts w:hint="eastAsia" w:cs="宋体"/>
                <w:color w:val="000000"/>
                <w:kern w:val="0"/>
              </w:rPr>
              <w:br w:type="textWrapping"/>
            </w:r>
            <w:r>
              <w:rPr>
                <w:rFonts w:hint="eastAsia" w:cs="宋体"/>
                <w:color w:val="000000"/>
                <w:kern w:val="0"/>
              </w:rPr>
              <w:t>3、视频调阅准入控制：支持白名单方式的调阅身份准入控制。</w:t>
            </w:r>
            <w:r>
              <w:rPr>
                <w:rFonts w:hint="eastAsia" w:cs="宋体"/>
                <w:color w:val="000000"/>
                <w:kern w:val="0"/>
              </w:rPr>
              <w:br w:type="textWrapping"/>
            </w:r>
            <w:r>
              <w:rPr>
                <w:rFonts w:hint="eastAsia" w:cs="宋体"/>
                <w:color w:val="000000"/>
                <w:kern w:val="0"/>
              </w:rPr>
              <w:t>4、应用协议防护能力：支持信令流双向访问控制。支持媒体流单向传输控制。支持非法应用协议阻断。</w:t>
            </w:r>
            <w:r>
              <w:rPr>
                <w:rFonts w:hint="eastAsia" w:cs="宋体"/>
                <w:color w:val="000000"/>
                <w:kern w:val="0"/>
              </w:rPr>
              <w:br w:type="textWrapping"/>
            </w:r>
            <w:r>
              <w:rPr>
                <w:rFonts w:hint="eastAsia" w:cs="宋体"/>
                <w:color w:val="000000"/>
                <w:kern w:val="0"/>
              </w:rPr>
              <w:t>5、网络攻击防护：支持多种DDoS攻击、Flood攻击、端口扫描等网络攻击防护方式；</w:t>
            </w:r>
            <w:r>
              <w:rPr>
                <w:rFonts w:hint="eastAsia" w:cs="宋体"/>
                <w:color w:val="000000"/>
                <w:kern w:val="0"/>
              </w:rPr>
              <w:br w:type="textWrapping"/>
            </w:r>
            <w:r>
              <w:rPr>
                <w:rFonts w:hint="eastAsia" w:cs="宋体"/>
                <w:color w:val="000000"/>
                <w:kern w:val="0"/>
              </w:rPr>
              <w:t>6、视频调阅审计：支持视频审计功能，支持音视频点播、设备控制、历史音视频回放、音视频文件下载等审计功能；支持设备控制信令审计，支持球机/云台控制、报警布防/撤 、拉框放大、拉框缩小、看守位控制等控制信令；支持对调阅方IP地址、操作码、操作指令、操作时间等信息的审计；</w:t>
            </w:r>
            <w:r>
              <w:rPr>
                <w:rFonts w:hint="eastAsia" w:cs="宋体"/>
                <w:color w:val="000000"/>
                <w:kern w:val="0"/>
              </w:rPr>
              <w:br w:type="textWrapping"/>
            </w:r>
            <w:r>
              <w:rPr>
                <w:rFonts w:hint="eastAsia" w:cs="宋体"/>
                <w:color w:val="000000"/>
                <w:kern w:val="0"/>
              </w:rPr>
              <w:t>7、丰富的互联互通能力：支持符合GB28181协议的平台对接。支持符合RTSP协议的视频调阅。</w:t>
            </w:r>
          </w:p>
        </w:tc>
        <w:tc>
          <w:tcPr>
            <w:tcW w:w="278" w:type="pct"/>
            <w:tcBorders>
              <w:top w:val="single" w:color="000000" w:sz="4" w:space="0"/>
              <w:left w:val="single" w:color="000000" w:sz="4" w:space="0"/>
              <w:bottom w:val="single" w:color="000000" w:sz="4" w:space="0"/>
              <w:right w:val="single" w:color="000000" w:sz="4" w:space="0"/>
            </w:tcBorders>
            <w:vAlign w:val="center"/>
          </w:tcPr>
          <w:p w14:paraId="21E7588A">
            <w:pPr>
              <w:widowControl/>
              <w:spacing w:line="240" w:lineRule="auto"/>
              <w:ind w:firstLine="0" w:firstLineChars="0"/>
              <w:jc w:val="center"/>
              <w:rPr>
                <w:rFonts w:hint="eastAsia" w:cs="宋体"/>
                <w:color w:val="000000"/>
                <w:kern w:val="0"/>
              </w:rPr>
            </w:pPr>
            <w:r>
              <w:rPr>
                <w:rFonts w:hint="eastAsia" w:cs="宋体"/>
                <w:color w:val="000000"/>
                <w:kern w:val="0"/>
              </w:rPr>
              <w:t>1</w:t>
            </w:r>
          </w:p>
        </w:tc>
        <w:tc>
          <w:tcPr>
            <w:tcW w:w="330" w:type="pct"/>
            <w:tcBorders>
              <w:top w:val="single" w:color="000000" w:sz="4" w:space="0"/>
              <w:left w:val="single" w:color="000000" w:sz="4" w:space="0"/>
              <w:bottom w:val="single" w:color="000000" w:sz="4" w:space="0"/>
              <w:right w:val="single" w:color="000000" w:sz="4" w:space="0"/>
            </w:tcBorders>
            <w:vAlign w:val="center"/>
          </w:tcPr>
          <w:p w14:paraId="433C6885">
            <w:pPr>
              <w:widowControl/>
              <w:spacing w:line="240" w:lineRule="auto"/>
              <w:ind w:firstLine="0" w:firstLineChars="0"/>
              <w:jc w:val="center"/>
              <w:rPr>
                <w:rFonts w:hint="eastAsia" w:cs="宋体"/>
                <w:color w:val="000000"/>
                <w:kern w:val="0"/>
              </w:rPr>
            </w:pPr>
            <w:r>
              <w:rPr>
                <w:rFonts w:hint="eastAsia" w:cs="宋体"/>
                <w:color w:val="000000"/>
                <w:kern w:val="0"/>
              </w:rPr>
              <w:t>台</w:t>
            </w:r>
          </w:p>
        </w:tc>
      </w:tr>
    </w:tbl>
    <w:p w14:paraId="64388E83">
      <w:pPr>
        <w:pStyle w:val="2"/>
        <w:numPr>
          <w:ilvl w:val="0"/>
          <w:numId w:val="0"/>
        </w:numPr>
        <w:spacing w:after="0"/>
        <w:ind w:left="425" w:hanging="425"/>
        <w:rPr>
          <w:rFonts w:hint="eastAsia"/>
        </w:rPr>
      </w:pPr>
      <w:r>
        <w:rPr>
          <w:rFonts w:hint="eastAsia"/>
        </w:rPr>
        <w:t>附表五：租赁服务购置清单</w:t>
      </w:r>
    </w:p>
    <w:tbl>
      <w:tblPr>
        <w:tblStyle w:val="35"/>
        <w:tblW w:w="4998" w:type="pct"/>
        <w:tblInd w:w="0" w:type="dxa"/>
        <w:tblLayout w:type="fixed"/>
        <w:tblCellMar>
          <w:top w:w="0" w:type="dxa"/>
          <w:left w:w="108" w:type="dxa"/>
          <w:bottom w:w="0" w:type="dxa"/>
          <w:right w:w="108" w:type="dxa"/>
        </w:tblCellMar>
      </w:tblPr>
      <w:tblGrid>
        <w:gridCol w:w="588"/>
        <w:gridCol w:w="810"/>
        <w:gridCol w:w="839"/>
        <w:gridCol w:w="5251"/>
        <w:gridCol w:w="464"/>
        <w:gridCol w:w="573"/>
      </w:tblGrid>
      <w:tr w14:paraId="5FF6FE9F">
        <w:tblPrEx>
          <w:tblCellMar>
            <w:top w:w="0" w:type="dxa"/>
            <w:left w:w="108" w:type="dxa"/>
            <w:bottom w:w="0" w:type="dxa"/>
            <w:right w:w="108" w:type="dxa"/>
          </w:tblCellMar>
        </w:tblPrEx>
        <w:trPr>
          <w:trHeight w:val="432" w:hRule="atLeast"/>
        </w:trPr>
        <w:tc>
          <w:tcPr>
            <w:tcW w:w="344" w:type="pct"/>
            <w:tcBorders>
              <w:top w:val="single" w:color="000000" w:sz="4" w:space="0"/>
              <w:left w:val="single" w:color="000000" w:sz="4" w:space="0"/>
              <w:bottom w:val="single" w:color="000000" w:sz="4" w:space="0"/>
              <w:right w:val="single" w:color="000000" w:sz="4" w:space="0"/>
            </w:tcBorders>
            <w:noWrap/>
            <w:vAlign w:val="center"/>
          </w:tcPr>
          <w:p w14:paraId="037FB20A">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 xml:space="preserve">序号 </w:t>
            </w:r>
          </w:p>
        </w:tc>
        <w:tc>
          <w:tcPr>
            <w:tcW w:w="475" w:type="pct"/>
            <w:tcBorders>
              <w:top w:val="single" w:color="000000" w:sz="4" w:space="0"/>
              <w:left w:val="single" w:color="000000" w:sz="4" w:space="0"/>
              <w:bottom w:val="single" w:color="000000" w:sz="4" w:space="0"/>
              <w:right w:val="single" w:color="000000" w:sz="4" w:space="0"/>
            </w:tcBorders>
            <w:vAlign w:val="center"/>
          </w:tcPr>
          <w:p w14:paraId="0D5CBC9A">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 xml:space="preserve">服务类别 </w:t>
            </w:r>
          </w:p>
        </w:tc>
        <w:tc>
          <w:tcPr>
            <w:tcW w:w="492" w:type="pct"/>
            <w:tcBorders>
              <w:top w:val="single" w:color="000000" w:sz="4" w:space="0"/>
              <w:left w:val="single" w:color="000000" w:sz="4" w:space="0"/>
              <w:bottom w:val="single" w:color="000000" w:sz="4" w:space="0"/>
              <w:right w:val="single" w:color="000000" w:sz="4" w:space="0"/>
            </w:tcBorders>
            <w:vAlign w:val="center"/>
          </w:tcPr>
          <w:p w14:paraId="452D47F8">
            <w:pPr>
              <w:widowControl/>
              <w:spacing w:line="240" w:lineRule="auto"/>
              <w:ind w:firstLine="0" w:firstLineChars="0"/>
              <w:jc w:val="center"/>
              <w:textAlignment w:val="center"/>
              <w:rPr>
                <w:rFonts w:hint="eastAsia" w:cs="宋体"/>
                <w:b/>
                <w:bCs/>
                <w:color w:val="000000"/>
                <w:kern w:val="0"/>
                <w:lang w:bidi="ar"/>
              </w:rPr>
            </w:pPr>
            <w:r>
              <w:rPr>
                <w:rFonts w:hint="eastAsia" w:cs="宋体"/>
                <w:b/>
                <w:bCs/>
                <w:color w:val="000000"/>
                <w:kern w:val="0"/>
                <w:lang w:bidi="ar"/>
              </w:rPr>
              <w:t xml:space="preserve"> 服务</w:t>
            </w:r>
          </w:p>
          <w:p w14:paraId="140549C2">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名称</w:t>
            </w:r>
          </w:p>
        </w:tc>
        <w:tc>
          <w:tcPr>
            <w:tcW w:w="3079" w:type="pct"/>
            <w:tcBorders>
              <w:top w:val="single" w:color="000000" w:sz="4" w:space="0"/>
              <w:left w:val="single" w:color="000000" w:sz="4" w:space="0"/>
              <w:bottom w:val="single" w:color="000000" w:sz="4" w:space="0"/>
              <w:right w:val="single" w:color="000000" w:sz="4" w:space="0"/>
            </w:tcBorders>
            <w:vAlign w:val="center"/>
          </w:tcPr>
          <w:p w14:paraId="6BB3DC1D">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 xml:space="preserve"> 服务配置 </w:t>
            </w:r>
          </w:p>
        </w:tc>
        <w:tc>
          <w:tcPr>
            <w:tcW w:w="272" w:type="pct"/>
            <w:tcBorders>
              <w:top w:val="single" w:color="000000" w:sz="4" w:space="0"/>
              <w:left w:val="single" w:color="000000" w:sz="4" w:space="0"/>
              <w:bottom w:val="single" w:color="000000" w:sz="4" w:space="0"/>
              <w:right w:val="single" w:color="000000" w:sz="4" w:space="0"/>
            </w:tcBorders>
            <w:vAlign w:val="center"/>
          </w:tcPr>
          <w:p w14:paraId="2B1F64CE">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 xml:space="preserve">数量 </w:t>
            </w:r>
          </w:p>
        </w:tc>
        <w:tc>
          <w:tcPr>
            <w:tcW w:w="336" w:type="pct"/>
            <w:tcBorders>
              <w:top w:val="single" w:color="000000" w:sz="4" w:space="0"/>
              <w:left w:val="single" w:color="000000" w:sz="4" w:space="0"/>
              <w:bottom w:val="single" w:color="000000" w:sz="4" w:space="0"/>
              <w:right w:val="single" w:color="000000" w:sz="4" w:space="0"/>
            </w:tcBorders>
            <w:vAlign w:val="center"/>
          </w:tcPr>
          <w:p w14:paraId="3F9D5CE3">
            <w:pPr>
              <w:widowControl/>
              <w:spacing w:line="240" w:lineRule="auto"/>
              <w:ind w:firstLine="0" w:firstLineChars="0"/>
              <w:jc w:val="center"/>
              <w:textAlignment w:val="center"/>
              <w:rPr>
                <w:rFonts w:hint="eastAsia" w:cs="宋体"/>
                <w:b/>
                <w:bCs/>
                <w:color w:val="000000"/>
              </w:rPr>
            </w:pPr>
            <w:r>
              <w:rPr>
                <w:rFonts w:hint="eastAsia" w:cs="宋体"/>
                <w:b/>
                <w:bCs/>
                <w:color w:val="000000"/>
                <w:kern w:val="0"/>
                <w:lang w:bidi="ar"/>
              </w:rPr>
              <w:t xml:space="preserve">单位 </w:t>
            </w:r>
          </w:p>
        </w:tc>
      </w:tr>
      <w:tr w14:paraId="13F53D40">
        <w:tblPrEx>
          <w:tblCellMar>
            <w:top w:w="0" w:type="dxa"/>
            <w:left w:w="108" w:type="dxa"/>
            <w:bottom w:w="0" w:type="dxa"/>
            <w:right w:w="108" w:type="dxa"/>
          </w:tblCellMar>
        </w:tblPrEx>
        <w:trPr>
          <w:trHeight w:val="864" w:hRule="atLeast"/>
        </w:trPr>
        <w:tc>
          <w:tcPr>
            <w:tcW w:w="344" w:type="pct"/>
            <w:tcBorders>
              <w:top w:val="single" w:color="000000" w:sz="4" w:space="0"/>
              <w:left w:val="single" w:color="000000" w:sz="4" w:space="0"/>
              <w:bottom w:val="single" w:color="000000" w:sz="4" w:space="0"/>
              <w:right w:val="single" w:color="000000" w:sz="4" w:space="0"/>
            </w:tcBorders>
            <w:noWrap/>
            <w:vAlign w:val="center"/>
          </w:tcPr>
          <w:p w14:paraId="5EC84B6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1</w:t>
            </w:r>
          </w:p>
        </w:tc>
        <w:tc>
          <w:tcPr>
            <w:tcW w:w="475" w:type="pct"/>
            <w:tcBorders>
              <w:top w:val="single" w:color="000000" w:sz="4" w:space="0"/>
              <w:left w:val="single" w:color="000000" w:sz="4" w:space="0"/>
              <w:bottom w:val="single" w:color="000000" w:sz="4" w:space="0"/>
              <w:right w:val="single" w:color="000000" w:sz="4" w:space="0"/>
            </w:tcBorders>
            <w:vAlign w:val="center"/>
          </w:tcPr>
          <w:p w14:paraId="6A758979">
            <w:pPr>
              <w:widowControl/>
              <w:spacing w:line="240" w:lineRule="auto"/>
              <w:ind w:firstLine="0" w:firstLineChars="0"/>
              <w:textAlignment w:val="center"/>
              <w:rPr>
                <w:rFonts w:hint="eastAsia" w:cs="宋体"/>
                <w:color w:val="000000"/>
              </w:rPr>
            </w:pPr>
            <w:r>
              <w:rPr>
                <w:rFonts w:hint="eastAsia" w:cs="宋体"/>
                <w:color w:val="000000"/>
                <w:kern w:val="0"/>
                <w:lang w:bidi="ar"/>
              </w:rPr>
              <w:t>高空视频监控</w:t>
            </w:r>
          </w:p>
        </w:tc>
        <w:tc>
          <w:tcPr>
            <w:tcW w:w="492" w:type="pct"/>
            <w:tcBorders>
              <w:top w:val="single" w:color="000000" w:sz="4" w:space="0"/>
              <w:left w:val="single" w:color="000000" w:sz="4" w:space="0"/>
              <w:bottom w:val="single" w:color="000000" w:sz="4" w:space="0"/>
              <w:right w:val="single" w:color="000000" w:sz="4" w:space="0"/>
            </w:tcBorders>
            <w:vAlign w:val="center"/>
          </w:tcPr>
          <w:p w14:paraId="70BE7E72">
            <w:pPr>
              <w:widowControl/>
              <w:spacing w:line="240" w:lineRule="auto"/>
              <w:ind w:firstLine="0" w:firstLineChars="0"/>
              <w:textAlignment w:val="center"/>
              <w:rPr>
                <w:rFonts w:hint="eastAsia" w:cs="宋体"/>
                <w:color w:val="000000"/>
              </w:rPr>
            </w:pPr>
            <w:r>
              <w:rPr>
                <w:rFonts w:hint="eastAsia" w:cs="宋体"/>
                <w:color w:val="000000"/>
                <w:kern w:val="0"/>
                <w:lang w:bidi="ar"/>
              </w:rPr>
              <w:t>铁塔空间资源租赁</w:t>
            </w:r>
          </w:p>
        </w:tc>
        <w:tc>
          <w:tcPr>
            <w:tcW w:w="3079" w:type="pct"/>
            <w:tcBorders>
              <w:top w:val="single" w:color="000000" w:sz="4" w:space="0"/>
              <w:left w:val="single" w:color="000000" w:sz="4" w:space="0"/>
              <w:bottom w:val="single" w:color="000000" w:sz="4" w:space="0"/>
              <w:right w:val="single" w:color="000000" w:sz="4" w:space="0"/>
            </w:tcBorders>
            <w:vAlign w:val="center"/>
          </w:tcPr>
          <w:p w14:paraId="0A9F3B74">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每个铁塔点位含3年的空间资源租赁（由租赁方提供设备部署空间，并提供抱杆安装支架及供电线路，含日常维护服务）</w:t>
            </w:r>
          </w:p>
        </w:tc>
        <w:tc>
          <w:tcPr>
            <w:tcW w:w="272" w:type="pct"/>
            <w:tcBorders>
              <w:top w:val="single" w:color="000000" w:sz="4" w:space="0"/>
              <w:left w:val="single" w:color="000000" w:sz="4" w:space="0"/>
              <w:bottom w:val="single" w:color="000000" w:sz="4" w:space="0"/>
              <w:right w:val="single" w:color="000000" w:sz="4" w:space="0"/>
            </w:tcBorders>
            <w:vAlign w:val="center"/>
          </w:tcPr>
          <w:p w14:paraId="5D86B24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9</w:t>
            </w:r>
          </w:p>
        </w:tc>
        <w:tc>
          <w:tcPr>
            <w:tcW w:w="336" w:type="pct"/>
            <w:tcBorders>
              <w:top w:val="single" w:color="000000" w:sz="4" w:space="0"/>
              <w:left w:val="single" w:color="000000" w:sz="4" w:space="0"/>
              <w:bottom w:val="single" w:color="000000" w:sz="4" w:space="0"/>
              <w:right w:val="single" w:color="000000" w:sz="4" w:space="0"/>
            </w:tcBorders>
            <w:vAlign w:val="center"/>
          </w:tcPr>
          <w:p w14:paraId="3722D7DE">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项</w:t>
            </w:r>
          </w:p>
        </w:tc>
      </w:tr>
      <w:tr w14:paraId="1D36562A">
        <w:tblPrEx>
          <w:tblCellMar>
            <w:top w:w="0" w:type="dxa"/>
            <w:left w:w="108" w:type="dxa"/>
            <w:bottom w:w="0" w:type="dxa"/>
            <w:right w:w="108" w:type="dxa"/>
          </w:tblCellMar>
        </w:tblPrEx>
        <w:trPr>
          <w:trHeight w:val="648" w:hRule="atLeast"/>
        </w:trPr>
        <w:tc>
          <w:tcPr>
            <w:tcW w:w="344" w:type="pct"/>
            <w:tcBorders>
              <w:top w:val="single" w:color="000000" w:sz="4" w:space="0"/>
              <w:left w:val="single" w:color="000000" w:sz="4" w:space="0"/>
              <w:bottom w:val="single" w:color="000000" w:sz="4" w:space="0"/>
              <w:right w:val="single" w:color="000000" w:sz="4" w:space="0"/>
            </w:tcBorders>
            <w:noWrap/>
            <w:vAlign w:val="center"/>
          </w:tcPr>
          <w:p w14:paraId="4A8345F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2</w:t>
            </w:r>
          </w:p>
        </w:tc>
        <w:tc>
          <w:tcPr>
            <w:tcW w:w="475" w:type="pct"/>
            <w:tcBorders>
              <w:top w:val="single" w:color="000000" w:sz="4" w:space="0"/>
              <w:left w:val="single" w:color="000000" w:sz="4" w:space="0"/>
              <w:bottom w:val="single" w:color="000000" w:sz="4" w:space="0"/>
              <w:right w:val="single" w:color="000000" w:sz="4" w:space="0"/>
            </w:tcBorders>
            <w:vAlign w:val="center"/>
          </w:tcPr>
          <w:p w14:paraId="1E3DCB61">
            <w:pPr>
              <w:widowControl/>
              <w:spacing w:line="240" w:lineRule="auto"/>
              <w:ind w:firstLine="0" w:firstLineChars="0"/>
              <w:textAlignment w:val="center"/>
              <w:rPr>
                <w:rFonts w:hint="eastAsia" w:cs="宋体"/>
                <w:color w:val="000000"/>
              </w:rPr>
            </w:pPr>
            <w:r>
              <w:rPr>
                <w:rFonts w:hint="eastAsia" w:cs="宋体"/>
                <w:color w:val="000000"/>
                <w:kern w:val="0"/>
                <w:lang w:bidi="ar"/>
              </w:rPr>
              <w:t>高空视频监控</w:t>
            </w:r>
          </w:p>
        </w:tc>
        <w:tc>
          <w:tcPr>
            <w:tcW w:w="492" w:type="pct"/>
            <w:tcBorders>
              <w:top w:val="single" w:color="000000" w:sz="4" w:space="0"/>
              <w:left w:val="single" w:color="000000" w:sz="4" w:space="0"/>
              <w:bottom w:val="single" w:color="000000" w:sz="4" w:space="0"/>
              <w:right w:val="single" w:color="000000" w:sz="4" w:space="0"/>
            </w:tcBorders>
            <w:vAlign w:val="center"/>
          </w:tcPr>
          <w:p w14:paraId="4A9CAB34">
            <w:pPr>
              <w:widowControl/>
              <w:spacing w:line="240" w:lineRule="auto"/>
              <w:ind w:firstLine="0" w:firstLineChars="0"/>
              <w:textAlignment w:val="center"/>
              <w:rPr>
                <w:rFonts w:hint="eastAsia" w:cs="宋体"/>
                <w:color w:val="000000"/>
              </w:rPr>
            </w:pPr>
            <w:r>
              <w:rPr>
                <w:rFonts w:hint="eastAsia" w:cs="宋体"/>
                <w:color w:val="000000"/>
                <w:kern w:val="0"/>
                <w:lang w:bidi="ar"/>
              </w:rPr>
              <w:t>楼顶空间资源租赁</w:t>
            </w:r>
          </w:p>
        </w:tc>
        <w:tc>
          <w:tcPr>
            <w:tcW w:w="3079" w:type="pct"/>
            <w:tcBorders>
              <w:top w:val="single" w:color="000000" w:sz="4" w:space="0"/>
              <w:left w:val="single" w:color="000000" w:sz="4" w:space="0"/>
              <w:bottom w:val="single" w:color="000000" w:sz="4" w:space="0"/>
              <w:right w:val="single" w:color="000000" w:sz="4" w:space="0"/>
            </w:tcBorders>
            <w:vAlign w:val="center"/>
          </w:tcPr>
          <w:p w14:paraId="0E8EA9F5">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临港中心东楼、西楼，中银金融中心南楼、北楼各1处，提供立杆及设备安装空间及相关用电服务（含3年的空间租赁服务和电费）</w:t>
            </w:r>
          </w:p>
        </w:tc>
        <w:tc>
          <w:tcPr>
            <w:tcW w:w="272" w:type="pct"/>
            <w:tcBorders>
              <w:top w:val="single" w:color="000000" w:sz="4" w:space="0"/>
              <w:left w:val="single" w:color="000000" w:sz="4" w:space="0"/>
              <w:bottom w:val="single" w:color="000000" w:sz="4" w:space="0"/>
              <w:right w:val="single" w:color="000000" w:sz="4" w:space="0"/>
            </w:tcBorders>
            <w:vAlign w:val="center"/>
          </w:tcPr>
          <w:p w14:paraId="6E5F0482">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4</w:t>
            </w:r>
          </w:p>
        </w:tc>
        <w:tc>
          <w:tcPr>
            <w:tcW w:w="336" w:type="pct"/>
            <w:tcBorders>
              <w:top w:val="single" w:color="000000" w:sz="4" w:space="0"/>
              <w:left w:val="single" w:color="000000" w:sz="4" w:space="0"/>
              <w:bottom w:val="single" w:color="000000" w:sz="4" w:space="0"/>
              <w:right w:val="single" w:color="000000" w:sz="4" w:space="0"/>
            </w:tcBorders>
            <w:vAlign w:val="center"/>
          </w:tcPr>
          <w:p w14:paraId="28F335BC">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项</w:t>
            </w:r>
          </w:p>
        </w:tc>
      </w:tr>
      <w:tr w14:paraId="679D598A">
        <w:tblPrEx>
          <w:tblCellMar>
            <w:top w:w="0" w:type="dxa"/>
            <w:left w:w="108" w:type="dxa"/>
            <w:bottom w:w="0" w:type="dxa"/>
            <w:right w:w="108" w:type="dxa"/>
          </w:tblCellMar>
        </w:tblPrEx>
        <w:trPr>
          <w:trHeight w:val="432" w:hRule="atLeast"/>
        </w:trPr>
        <w:tc>
          <w:tcPr>
            <w:tcW w:w="344" w:type="pct"/>
            <w:tcBorders>
              <w:top w:val="single" w:color="000000" w:sz="4" w:space="0"/>
              <w:left w:val="single" w:color="000000" w:sz="4" w:space="0"/>
              <w:bottom w:val="single" w:color="000000" w:sz="4" w:space="0"/>
              <w:right w:val="single" w:color="000000" w:sz="4" w:space="0"/>
            </w:tcBorders>
            <w:noWrap/>
            <w:vAlign w:val="center"/>
          </w:tcPr>
          <w:p w14:paraId="1CBCA436">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3</w:t>
            </w:r>
          </w:p>
        </w:tc>
        <w:tc>
          <w:tcPr>
            <w:tcW w:w="475" w:type="pct"/>
            <w:tcBorders>
              <w:top w:val="single" w:color="000000" w:sz="4" w:space="0"/>
              <w:left w:val="single" w:color="000000" w:sz="4" w:space="0"/>
              <w:bottom w:val="single" w:color="000000" w:sz="4" w:space="0"/>
              <w:right w:val="single" w:color="000000" w:sz="4" w:space="0"/>
            </w:tcBorders>
            <w:vAlign w:val="center"/>
          </w:tcPr>
          <w:p w14:paraId="4592876C">
            <w:pPr>
              <w:widowControl/>
              <w:spacing w:line="240" w:lineRule="auto"/>
              <w:ind w:firstLine="0" w:firstLineChars="0"/>
              <w:textAlignment w:val="center"/>
              <w:rPr>
                <w:rFonts w:hint="eastAsia" w:cs="宋体"/>
                <w:color w:val="000000"/>
              </w:rPr>
            </w:pPr>
            <w:r>
              <w:rPr>
                <w:rFonts w:hint="eastAsia" w:cs="宋体"/>
                <w:color w:val="000000"/>
                <w:kern w:val="0"/>
                <w:lang w:bidi="ar"/>
              </w:rPr>
              <w:t>高空视频监控</w:t>
            </w:r>
          </w:p>
        </w:tc>
        <w:tc>
          <w:tcPr>
            <w:tcW w:w="492" w:type="pct"/>
            <w:tcBorders>
              <w:top w:val="single" w:color="000000" w:sz="4" w:space="0"/>
              <w:left w:val="single" w:color="000000" w:sz="4" w:space="0"/>
              <w:bottom w:val="single" w:color="000000" w:sz="4" w:space="0"/>
              <w:right w:val="single" w:color="000000" w:sz="4" w:space="0"/>
            </w:tcBorders>
            <w:vAlign w:val="center"/>
          </w:tcPr>
          <w:p w14:paraId="6DBCE308">
            <w:pPr>
              <w:widowControl/>
              <w:spacing w:line="240" w:lineRule="auto"/>
              <w:ind w:firstLine="0" w:firstLineChars="0"/>
              <w:textAlignment w:val="center"/>
              <w:rPr>
                <w:rFonts w:hint="eastAsia" w:cs="宋体"/>
                <w:color w:val="000000"/>
              </w:rPr>
            </w:pPr>
            <w:r>
              <w:rPr>
                <w:rFonts w:hint="eastAsia" w:cs="宋体"/>
                <w:color w:val="000000"/>
                <w:kern w:val="0"/>
                <w:lang w:bidi="ar"/>
              </w:rPr>
              <w:t>通信线路（高空监控）</w:t>
            </w:r>
          </w:p>
        </w:tc>
        <w:tc>
          <w:tcPr>
            <w:tcW w:w="3079" w:type="pct"/>
            <w:tcBorders>
              <w:top w:val="single" w:color="000000" w:sz="4" w:space="0"/>
              <w:left w:val="single" w:color="000000" w:sz="4" w:space="0"/>
              <w:bottom w:val="single" w:color="000000" w:sz="4" w:space="0"/>
              <w:right w:val="single" w:color="000000" w:sz="4" w:space="0"/>
            </w:tcBorders>
            <w:vAlign w:val="center"/>
          </w:tcPr>
          <w:p w14:paraId="32D82973">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租赁20M运营商线路（含相关接入设备和施工，含3年服务费）</w:t>
            </w:r>
          </w:p>
        </w:tc>
        <w:tc>
          <w:tcPr>
            <w:tcW w:w="272" w:type="pct"/>
            <w:tcBorders>
              <w:top w:val="single" w:color="000000" w:sz="4" w:space="0"/>
              <w:left w:val="single" w:color="000000" w:sz="4" w:space="0"/>
              <w:bottom w:val="single" w:color="000000" w:sz="4" w:space="0"/>
              <w:right w:val="single" w:color="000000" w:sz="4" w:space="0"/>
            </w:tcBorders>
            <w:vAlign w:val="center"/>
          </w:tcPr>
          <w:p w14:paraId="708FD34A">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11</w:t>
            </w:r>
          </w:p>
        </w:tc>
        <w:tc>
          <w:tcPr>
            <w:tcW w:w="336" w:type="pct"/>
            <w:tcBorders>
              <w:top w:val="single" w:color="000000" w:sz="4" w:space="0"/>
              <w:left w:val="single" w:color="000000" w:sz="4" w:space="0"/>
              <w:bottom w:val="single" w:color="000000" w:sz="4" w:space="0"/>
              <w:right w:val="single" w:color="000000" w:sz="4" w:space="0"/>
            </w:tcBorders>
            <w:vAlign w:val="center"/>
          </w:tcPr>
          <w:p w14:paraId="6459713D">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路</w:t>
            </w:r>
          </w:p>
        </w:tc>
      </w:tr>
      <w:tr w14:paraId="63093B31">
        <w:tblPrEx>
          <w:tblCellMar>
            <w:top w:w="0" w:type="dxa"/>
            <w:left w:w="108" w:type="dxa"/>
            <w:bottom w:w="0" w:type="dxa"/>
            <w:right w:w="108" w:type="dxa"/>
          </w:tblCellMar>
        </w:tblPrEx>
        <w:trPr>
          <w:trHeight w:val="432" w:hRule="atLeast"/>
        </w:trPr>
        <w:tc>
          <w:tcPr>
            <w:tcW w:w="344" w:type="pct"/>
            <w:tcBorders>
              <w:top w:val="single" w:color="000000" w:sz="4" w:space="0"/>
              <w:left w:val="single" w:color="000000" w:sz="4" w:space="0"/>
              <w:bottom w:val="single" w:color="000000" w:sz="4" w:space="0"/>
              <w:right w:val="single" w:color="000000" w:sz="4" w:space="0"/>
            </w:tcBorders>
            <w:noWrap/>
            <w:vAlign w:val="center"/>
          </w:tcPr>
          <w:p w14:paraId="7CF19965">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4</w:t>
            </w:r>
          </w:p>
        </w:tc>
        <w:tc>
          <w:tcPr>
            <w:tcW w:w="475" w:type="pct"/>
            <w:tcBorders>
              <w:top w:val="single" w:color="000000" w:sz="4" w:space="0"/>
              <w:left w:val="single" w:color="000000" w:sz="4" w:space="0"/>
              <w:bottom w:val="single" w:color="000000" w:sz="4" w:space="0"/>
              <w:right w:val="single" w:color="000000" w:sz="4" w:space="0"/>
            </w:tcBorders>
            <w:vAlign w:val="center"/>
          </w:tcPr>
          <w:p w14:paraId="50776B22">
            <w:pPr>
              <w:widowControl/>
              <w:spacing w:line="240" w:lineRule="auto"/>
              <w:ind w:firstLine="0" w:firstLineChars="0"/>
              <w:textAlignment w:val="center"/>
              <w:rPr>
                <w:rFonts w:hint="eastAsia" w:cs="宋体"/>
                <w:color w:val="000000"/>
              </w:rPr>
            </w:pPr>
            <w:r>
              <w:rPr>
                <w:rFonts w:hint="eastAsia" w:cs="宋体"/>
                <w:color w:val="000000"/>
                <w:kern w:val="0"/>
                <w:lang w:bidi="ar"/>
              </w:rPr>
              <w:t>网络接入线路</w:t>
            </w:r>
          </w:p>
        </w:tc>
        <w:tc>
          <w:tcPr>
            <w:tcW w:w="492" w:type="pct"/>
            <w:tcBorders>
              <w:top w:val="single" w:color="000000" w:sz="4" w:space="0"/>
              <w:left w:val="single" w:color="000000" w:sz="4" w:space="0"/>
              <w:bottom w:val="single" w:color="000000" w:sz="4" w:space="0"/>
              <w:right w:val="single" w:color="000000" w:sz="4" w:space="0"/>
            </w:tcBorders>
            <w:vAlign w:val="center"/>
          </w:tcPr>
          <w:p w14:paraId="71A5E6D2">
            <w:pPr>
              <w:widowControl/>
              <w:spacing w:line="240" w:lineRule="auto"/>
              <w:ind w:firstLine="0" w:firstLineChars="0"/>
              <w:textAlignment w:val="center"/>
              <w:rPr>
                <w:rFonts w:hint="eastAsia" w:cs="宋体"/>
                <w:color w:val="000000"/>
              </w:rPr>
            </w:pPr>
            <w:r>
              <w:rPr>
                <w:rFonts w:hint="eastAsia" w:cs="宋体"/>
                <w:color w:val="000000"/>
                <w:kern w:val="0"/>
                <w:lang w:bidi="ar"/>
              </w:rPr>
              <w:t>通信线路（小区及景区等）</w:t>
            </w:r>
          </w:p>
        </w:tc>
        <w:tc>
          <w:tcPr>
            <w:tcW w:w="3079" w:type="pct"/>
            <w:tcBorders>
              <w:top w:val="single" w:color="000000" w:sz="4" w:space="0"/>
              <w:left w:val="single" w:color="000000" w:sz="4" w:space="0"/>
              <w:bottom w:val="single" w:color="000000" w:sz="4" w:space="0"/>
              <w:right w:val="single" w:color="000000" w:sz="4" w:space="0"/>
            </w:tcBorders>
            <w:vAlign w:val="center"/>
          </w:tcPr>
          <w:p w14:paraId="3383E46E">
            <w:pPr>
              <w:widowControl/>
              <w:spacing w:line="240" w:lineRule="auto"/>
              <w:ind w:firstLine="0" w:firstLineChars="0"/>
              <w:jc w:val="left"/>
              <w:textAlignment w:val="center"/>
              <w:rPr>
                <w:rFonts w:hint="eastAsia" w:cs="宋体"/>
                <w:color w:val="000000"/>
              </w:rPr>
            </w:pPr>
            <w:r>
              <w:rPr>
                <w:rFonts w:hint="eastAsia" w:cs="宋体"/>
                <w:color w:val="000000"/>
                <w:kern w:val="0"/>
                <w:lang w:bidi="ar"/>
              </w:rPr>
              <w:t>敷设光缆至就近网络接入点或租赁20M运营商线路（</w:t>
            </w:r>
            <w:r>
              <w:rPr>
                <w:rFonts w:hint="eastAsia" w:cs="宋体"/>
                <w:color w:val="000000"/>
                <w:kern w:val="0"/>
                <w:lang w:val="en-US" w:eastAsia="zh-CN" w:bidi="ar"/>
              </w:rPr>
              <w:t>对接入和调阅视频量级进行评估，满足需求方调阅需求、安全需求，</w:t>
            </w:r>
            <w:r>
              <w:rPr>
                <w:rFonts w:hint="eastAsia" w:cs="宋体"/>
                <w:color w:val="000000"/>
                <w:kern w:val="0"/>
                <w:lang w:bidi="ar"/>
              </w:rPr>
              <w:t>含相关接入设备和施工，含3年服务费）</w:t>
            </w:r>
          </w:p>
        </w:tc>
        <w:tc>
          <w:tcPr>
            <w:tcW w:w="272" w:type="pct"/>
            <w:tcBorders>
              <w:top w:val="single" w:color="000000" w:sz="4" w:space="0"/>
              <w:left w:val="single" w:color="000000" w:sz="4" w:space="0"/>
              <w:bottom w:val="single" w:color="000000" w:sz="4" w:space="0"/>
              <w:right w:val="single" w:color="000000" w:sz="4" w:space="0"/>
            </w:tcBorders>
            <w:vAlign w:val="center"/>
          </w:tcPr>
          <w:p w14:paraId="26B7E737">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55</w:t>
            </w:r>
          </w:p>
        </w:tc>
        <w:tc>
          <w:tcPr>
            <w:tcW w:w="336" w:type="pct"/>
            <w:tcBorders>
              <w:top w:val="single" w:color="000000" w:sz="4" w:space="0"/>
              <w:left w:val="single" w:color="000000" w:sz="4" w:space="0"/>
              <w:bottom w:val="single" w:color="000000" w:sz="4" w:space="0"/>
              <w:right w:val="single" w:color="000000" w:sz="4" w:space="0"/>
            </w:tcBorders>
            <w:vAlign w:val="center"/>
          </w:tcPr>
          <w:p w14:paraId="6B106E88">
            <w:pPr>
              <w:widowControl/>
              <w:spacing w:line="240" w:lineRule="auto"/>
              <w:ind w:firstLine="0" w:firstLineChars="0"/>
              <w:jc w:val="center"/>
              <w:textAlignment w:val="center"/>
              <w:rPr>
                <w:rFonts w:hint="eastAsia" w:cs="宋体"/>
                <w:color w:val="000000"/>
              </w:rPr>
            </w:pPr>
            <w:r>
              <w:rPr>
                <w:rFonts w:hint="eastAsia" w:cs="宋体"/>
                <w:color w:val="000000"/>
                <w:kern w:val="0"/>
                <w:lang w:bidi="ar"/>
              </w:rPr>
              <w:t>路</w:t>
            </w:r>
          </w:p>
        </w:tc>
      </w:tr>
    </w:tbl>
    <w:p w14:paraId="1B923108">
      <w:pPr>
        <w:rPr>
          <w:rFonts w:hint="eastAsia"/>
        </w:rPr>
      </w:pPr>
    </w:p>
    <w:sectPr>
      <w:footerReference r:id="rId11" w:type="firs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7FFAEFF" w:usb1="F9DFFFFF" w:usb2="0000007F" w:usb3="00000000" w:csb0="203F01FF" w:csb1="DFFF0000"/>
  </w:font>
  <w:font w:name="等线 Light">
    <w:panose1 w:val="02010600030101010101"/>
    <w:charset w:val="86"/>
    <w:family w:val="auto"/>
    <w:pitch w:val="default"/>
    <w:sig w:usb0="A00002BF" w:usb1="38CF7CFA" w:usb2="00000016" w:usb3="00000000" w:csb0="0004000F" w:csb1="00000000"/>
  </w:font>
  <w:font w:name="time">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Microsoft Sans Serif">
    <w:panose1 w:val="020B0604020202020204"/>
    <w:charset w:val="00"/>
    <w:family w:val="swiss"/>
    <w:pitch w:val="default"/>
    <w:sig w:usb0="E5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86C5A">
    <w:pPr>
      <w:ind w:firstLine="0" w:firstLineChars="0"/>
      <w:jc w:val="center"/>
      <w:rPr>
        <w:rFonts w:hint="eastAsia"/>
      </w:rPr>
    </w:pPr>
    <w:r>
      <w:fldChar w:fldCharType="begin"/>
    </w:r>
    <w:r>
      <w:instrText xml:space="preserve">PAGE   \* MERGEFORMAT</w:instrText>
    </w:r>
    <w:r>
      <w:fldChar w:fldCharType="separate"/>
    </w:r>
    <w:r>
      <w:rPr>
        <w:lang w:val="zh-CN"/>
      </w:rPr>
      <w:t>11</w:t>
    </w:r>
    <w:r>
      <w:rPr>
        <w:lang w:val="zh-CN"/>
      </w:rPr>
      <w:fldChar w:fldCharType="end"/>
    </w:r>
  </w:p>
  <w:p w14:paraId="5E21BFE5">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C5016">
    <w:pPr>
      <w:rPr>
        <w:rFonts w:hint="eastAsia"/>
      </w:rPr>
    </w:pPr>
  </w:p>
  <w:p w14:paraId="6BFD11B4">
    <w:pP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51606">
    <w:pPr>
      <w:ind w:firstLine="0" w:firstLineChars="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1BBA5">
    <w:pPr>
      <w:ind w:firstLine="0" w:firstLineChars="0"/>
      <w:jc w:val="center"/>
      <w:rPr>
        <w:rFonts w:hint="eastAsia"/>
        <w:lang w:val="zh-CN"/>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14:paraId="637CD85E">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23C53">
    <w:pPr>
      <w:pStyle w:val="2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589B2">
    <w:pPr>
      <w:rPr>
        <w:rFonts w:hint="eastAsia"/>
      </w:rPr>
    </w:pPr>
  </w:p>
  <w:p w14:paraId="75E6DA86">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47030">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50366A"/>
    <w:multiLevelType w:val="multilevel"/>
    <w:tmpl w:val="6350366A"/>
    <w:lvl w:ilvl="0" w:tentative="0">
      <w:start w:val="1"/>
      <w:numFmt w:val="none"/>
      <w:pStyle w:val="113"/>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2F4AB3"/>
    <w:multiLevelType w:val="multilevel"/>
    <w:tmpl w:val="6A2F4AB3"/>
    <w:lvl w:ilvl="0" w:tentative="0">
      <w:start w:val="1"/>
      <w:numFmt w:val="chineseCountingThousand"/>
      <w:pStyle w:val="2"/>
      <w:suff w:val="nothing"/>
      <w:lvlText w:val="%1、"/>
      <w:lvlJc w:val="left"/>
      <w:pPr>
        <w:ind w:left="425" w:hanging="425"/>
      </w:pPr>
      <w:rPr>
        <w:rFonts w:hint="eastAsia"/>
        <w:sz w:val="32"/>
        <w:szCs w:val="32"/>
      </w:rPr>
    </w:lvl>
    <w:lvl w:ilvl="1" w:tentative="0">
      <w:start w:val="1"/>
      <w:numFmt w:val="decimal"/>
      <w:pStyle w:val="3"/>
      <w:isLgl/>
      <w:suff w:val="nothing"/>
      <w:lvlText w:val="%1.%2、"/>
      <w:lvlJc w:val="left"/>
      <w:pPr>
        <w:ind w:left="1135" w:hanging="567"/>
      </w:pPr>
    </w:lvl>
    <w:lvl w:ilvl="2" w:tentative="0">
      <w:start w:val="1"/>
      <w:numFmt w:val="decimal"/>
      <w:pStyle w:val="4"/>
      <w:isLgl/>
      <w:suff w:val="nothing"/>
      <w:lvlText w:val="%1.%2.%3、"/>
      <w:lvlJc w:val="left"/>
      <w:pPr>
        <w:ind w:left="1069" w:hanging="1069"/>
      </w:pPr>
      <w:rPr>
        <w:rFonts w:hint="default" w:ascii="宋体" w:hAnsi="宋体" w:eastAsia="宋体" w:cs="Arial"/>
      </w:rPr>
    </w:lvl>
    <w:lvl w:ilvl="3" w:tentative="0">
      <w:start w:val="1"/>
      <w:numFmt w:val="decimal"/>
      <w:pStyle w:val="5"/>
      <w:isLgl/>
      <w:suff w:val="nothing"/>
      <w:lvlText w:val="%1.%2.%3.%4、"/>
      <w:lvlJc w:val="left"/>
      <w:pPr>
        <w:ind w:left="3403" w:hanging="851"/>
      </w:pPr>
    </w:lvl>
    <w:lvl w:ilvl="4" w:tentative="0">
      <w:start w:val="1"/>
      <w:numFmt w:val="decimal"/>
      <w:pStyle w:val="6"/>
      <w:isLgl/>
      <w:suff w:val="nothing"/>
      <w:lvlText w:val="%1.%2.%3.%4.%5、"/>
      <w:lvlJc w:val="left"/>
      <w:pPr>
        <w:ind w:left="3544" w:hanging="992"/>
      </w:pPr>
      <w:rPr>
        <w:rFonts w:hint="eastAsia"/>
      </w:rPr>
    </w:lvl>
    <w:lvl w:ilvl="5" w:tentative="0">
      <w:start w:val="1"/>
      <w:numFmt w:val="decimal"/>
      <w:pStyle w:val="7"/>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0C0"/>
    <w:rsid w:val="0000005A"/>
    <w:rsid w:val="00000AED"/>
    <w:rsid w:val="00002DBA"/>
    <w:rsid w:val="00003516"/>
    <w:rsid w:val="0000380E"/>
    <w:rsid w:val="00005AFD"/>
    <w:rsid w:val="00006563"/>
    <w:rsid w:val="000074F1"/>
    <w:rsid w:val="00007A41"/>
    <w:rsid w:val="00007DA7"/>
    <w:rsid w:val="00012EF0"/>
    <w:rsid w:val="000156DE"/>
    <w:rsid w:val="000165AD"/>
    <w:rsid w:val="000171FD"/>
    <w:rsid w:val="000179E9"/>
    <w:rsid w:val="00020C18"/>
    <w:rsid w:val="00021EE6"/>
    <w:rsid w:val="0002280E"/>
    <w:rsid w:val="00022C74"/>
    <w:rsid w:val="00025122"/>
    <w:rsid w:val="000252D5"/>
    <w:rsid w:val="00026997"/>
    <w:rsid w:val="00027A64"/>
    <w:rsid w:val="00032D27"/>
    <w:rsid w:val="00035325"/>
    <w:rsid w:val="00035D5B"/>
    <w:rsid w:val="000378D0"/>
    <w:rsid w:val="00037F2C"/>
    <w:rsid w:val="00042C2A"/>
    <w:rsid w:val="000430EC"/>
    <w:rsid w:val="000447CB"/>
    <w:rsid w:val="00047915"/>
    <w:rsid w:val="00047D06"/>
    <w:rsid w:val="00050FBD"/>
    <w:rsid w:val="0005107A"/>
    <w:rsid w:val="0005192C"/>
    <w:rsid w:val="00052929"/>
    <w:rsid w:val="0005299F"/>
    <w:rsid w:val="000541D7"/>
    <w:rsid w:val="000545C0"/>
    <w:rsid w:val="0005586D"/>
    <w:rsid w:val="00056C0E"/>
    <w:rsid w:val="000574A8"/>
    <w:rsid w:val="000574F8"/>
    <w:rsid w:val="00057A49"/>
    <w:rsid w:val="0006231F"/>
    <w:rsid w:val="00062A05"/>
    <w:rsid w:val="00062EE6"/>
    <w:rsid w:val="0006344E"/>
    <w:rsid w:val="000649E6"/>
    <w:rsid w:val="000666DA"/>
    <w:rsid w:val="0006794B"/>
    <w:rsid w:val="00067DCA"/>
    <w:rsid w:val="00070063"/>
    <w:rsid w:val="0007087A"/>
    <w:rsid w:val="000710EC"/>
    <w:rsid w:val="00072237"/>
    <w:rsid w:val="00072ABE"/>
    <w:rsid w:val="00080B39"/>
    <w:rsid w:val="00083950"/>
    <w:rsid w:val="0008452F"/>
    <w:rsid w:val="00084E8E"/>
    <w:rsid w:val="00085A68"/>
    <w:rsid w:val="00090625"/>
    <w:rsid w:val="00090948"/>
    <w:rsid w:val="00091CD1"/>
    <w:rsid w:val="0009460E"/>
    <w:rsid w:val="000951D4"/>
    <w:rsid w:val="000A2146"/>
    <w:rsid w:val="000A2930"/>
    <w:rsid w:val="000A3276"/>
    <w:rsid w:val="000A3C35"/>
    <w:rsid w:val="000A3E30"/>
    <w:rsid w:val="000A5876"/>
    <w:rsid w:val="000A61D0"/>
    <w:rsid w:val="000A6C67"/>
    <w:rsid w:val="000A6DB8"/>
    <w:rsid w:val="000A7596"/>
    <w:rsid w:val="000B11A8"/>
    <w:rsid w:val="000B1959"/>
    <w:rsid w:val="000B2E1C"/>
    <w:rsid w:val="000B4459"/>
    <w:rsid w:val="000B4B46"/>
    <w:rsid w:val="000B5363"/>
    <w:rsid w:val="000B53BA"/>
    <w:rsid w:val="000B642F"/>
    <w:rsid w:val="000B6C99"/>
    <w:rsid w:val="000C1755"/>
    <w:rsid w:val="000C3F3C"/>
    <w:rsid w:val="000C5A75"/>
    <w:rsid w:val="000C75E9"/>
    <w:rsid w:val="000C75F7"/>
    <w:rsid w:val="000D0AB2"/>
    <w:rsid w:val="000D225C"/>
    <w:rsid w:val="000D36F2"/>
    <w:rsid w:val="000D4B26"/>
    <w:rsid w:val="000D74DB"/>
    <w:rsid w:val="000E24D6"/>
    <w:rsid w:val="000E3072"/>
    <w:rsid w:val="000E5E80"/>
    <w:rsid w:val="000E6072"/>
    <w:rsid w:val="000E6D61"/>
    <w:rsid w:val="000E7A23"/>
    <w:rsid w:val="000F1C29"/>
    <w:rsid w:val="000F1E9E"/>
    <w:rsid w:val="000F2B10"/>
    <w:rsid w:val="000F3F72"/>
    <w:rsid w:val="001055B2"/>
    <w:rsid w:val="001068F0"/>
    <w:rsid w:val="00106AB8"/>
    <w:rsid w:val="00106C9E"/>
    <w:rsid w:val="00106E16"/>
    <w:rsid w:val="0010768B"/>
    <w:rsid w:val="00111701"/>
    <w:rsid w:val="00112A29"/>
    <w:rsid w:val="001167F6"/>
    <w:rsid w:val="00116C86"/>
    <w:rsid w:val="00121ACF"/>
    <w:rsid w:val="00121D8F"/>
    <w:rsid w:val="00122037"/>
    <w:rsid w:val="0012210C"/>
    <w:rsid w:val="00122A7F"/>
    <w:rsid w:val="00123F98"/>
    <w:rsid w:val="001242A5"/>
    <w:rsid w:val="00124531"/>
    <w:rsid w:val="00126EDF"/>
    <w:rsid w:val="00127BBE"/>
    <w:rsid w:val="00131D52"/>
    <w:rsid w:val="001329C1"/>
    <w:rsid w:val="00132C16"/>
    <w:rsid w:val="00136320"/>
    <w:rsid w:val="00136FFA"/>
    <w:rsid w:val="00137AC6"/>
    <w:rsid w:val="00145512"/>
    <w:rsid w:val="001465BD"/>
    <w:rsid w:val="00147B45"/>
    <w:rsid w:val="00150803"/>
    <w:rsid w:val="00151D83"/>
    <w:rsid w:val="001546C9"/>
    <w:rsid w:val="00154FAE"/>
    <w:rsid w:val="00155E77"/>
    <w:rsid w:val="00156A70"/>
    <w:rsid w:val="00160A61"/>
    <w:rsid w:val="00160FC0"/>
    <w:rsid w:val="0016429B"/>
    <w:rsid w:val="00164525"/>
    <w:rsid w:val="00164C50"/>
    <w:rsid w:val="00165CB2"/>
    <w:rsid w:val="00166203"/>
    <w:rsid w:val="00166767"/>
    <w:rsid w:val="00166971"/>
    <w:rsid w:val="001707CB"/>
    <w:rsid w:val="00170C54"/>
    <w:rsid w:val="00171477"/>
    <w:rsid w:val="00172A1A"/>
    <w:rsid w:val="00173251"/>
    <w:rsid w:val="00176BED"/>
    <w:rsid w:val="0017759D"/>
    <w:rsid w:val="001804A5"/>
    <w:rsid w:val="00181C94"/>
    <w:rsid w:val="00182C84"/>
    <w:rsid w:val="00187031"/>
    <w:rsid w:val="00191EA4"/>
    <w:rsid w:val="00192B6C"/>
    <w:rsid w:val="00192C30"/>
    <w:rsid w:val="0019381E"/>
    <w:rsid w:val="00194CF5"/>
    <w:rsid w:val="0019503C"/>
    <w:rsid w:val="00195D94"/>
    <w:rsid w:val="00196F7B"/>
    <w:rsid w:val="001971CB"/>
    <w:rsid w:val="0019795C"/>
    <w:rsid w:val="001A053A"/>
    <w:rsid w:val="001A22A2"/>
    <w:rsid w:val="001A2971"/>
    <w:rsid w:val="001A3D52"/>
    <w:rsid w:val="001A460A"/>
    <w:rsid w:val="001A4A4C"/>
    <w:rsid w:val="001B0230"/>
    <w:rsid w:val="001B13AB"/>
    <w:rsid w:val="001B3907"/>
    <w:rsid w:val="001B3B49"/>
    <w:rsid w:val="001B4907"/>
    <w:rsid w:val="001B4DC5"/>
    <w:rsid w:val="001B5505"/>
    <w:rsid w:val="001C2180"/>
    <w:rsid w:val="001C29CC"/>
    <w:rsid w:val="001C3217"/>
    <w:rsid w:val="001C3B98"/>
    <w:rsid w:val="001C6028"/>
    <w:rsid w:val="001C6365"/>
    <w:rsid w:val="001C7F57"/>
    <w:rsid w:val="001D0E79"/>
    <w:rsid w:val="001D6049"/>
    <w:rsid w:val="001D7339"/>
    <w:rsid w:val="001E2750"/>
    <w:rsid w:val="001E4343"/>
    <w:rsid w:val="001E52BB"/>
    <w:rsid w:val="001E660A"/>
    <w:rsid w:val="001F05D6"/>
    <w:rsid w:val="001F5B0A"/>
    <w:rsid w:val="001F640F"/>
    <w:rsid w:val="001F6794"/>
    <w:rsid w:val="001F6F65"/>
    <w:rsid w:val="002002DF"/>
    <w:rsid w:val="00203A6F"/>
    <w:rsid w:val="00205646"/>
    <w:rsid w:val="002063F7"/>
    <w:rsid w:val="002129E5"/>
    <w:rsid w:val="00212AA4"/>
    <w:rsid w:val="00212E13"/>
    <w:rsid w:val="0021472D"/>
    <w:rsid w:val="002163C8"/>
    <w:rsid w:val="002179FE"/>
    <w:rsid w:val="00220CC0"/>
    <w:rsid w:val="00221A36"/>
    <w:rsid w:val="00223296"/>
    <w:rsid w:val="0022329B"/>
    <w:rsid w:val="002240F7"/>
    <w:rsid w:val="0022486F"/>
    <w:rsid w:val="00225314"/>
    <w:rsid w:val="00225DF4"/>
    <w:rsid w:val="00226C70"/>
    <w:rsid w:val="00230C8A"/>
    <w:rsid w:val="00231F98"/>
    <w:rsid w:val="002324F8"/>
    <w:rsid w:val="002348B0"/>
    <w:rsid w:val="00235CDC"/>
    <w:rsid w:val="00237E76"/>
    <w:rsid w:val="00240BBE"/>
    <w:rsid w:val="00241525"/>
    <w:rsid w:val="00241D87"/>
    <w:rsid w:val="00243C55"/>
    <w:rsid w:val="00243D5E"/>
    <w:rsid w:val="002451EC"/>
    <w:rsid w:val="00245ED4"/>
    <w:rsid w:val="00246B41"/>
    <w:rsid w:val="0025002B"/>
    <w:rsid w:val="002500DE"/>
    <w:rsid w:val="00252457"/>
    <w:rsid w:val="00252581"/>
    <w:rsid w:val="002535B5"/>
    <w:rsid w:val="002538CB"/>
    <w:rsid w:val="002542BD"/>
    <w:rsid w:val="0025774E"/>
    <w:rsid w:val="00257D64"/>
    <w:rsid w:val="0026340A"/>
    <w:rsid w:val="002654EA"/>
    <w:rsid w:val="002704EA"/>
    <w:rsid w:val="0027061A"/>
    <w:rsid w:val="002719CC"/>
    <w:rsid w:val="002730C5"/>
    <w:rsid w:val="0027337C"/>
    <w:rsid w:val="0027602B"/>
    <w:rsid w:val="00277F5E"/>
    <w:rsid w:val="00280084"/>
    <w:rsid w:val="00280490"/>
    <w:rsid w:val="002860B8"/>
    <w:rsid w:val="0029206E"/>
    <w:rsid w:val="00293382"/>
    <w:rsid w:val="00294B17"/>
    <w:rsid w:val="00294F51"/>
    <w:rsid w:val="002A2342"/>
    <w:rsid w:val="002A279E"/>
    <w:rsid w:val="002A4FA3"/>
    <w:rsid w:val="002B3606"/>
    <w:rsid w:val="002B3D80"/>
    <w:rsid w:val="002B4402"/>
    <w:rsid w:val="002B4946"/>
    <w:rsid w:val="002B4C41"/>
    <w:rsid w:val="002B588D"/>
    <w:rsid w:val="002C1839"/>
    <w:rsid w:val="002C214A"/>
    <w:rsid w:val="002C28E8"/>
    <w:rsid w:val="002C3027"/>
    <w:rsid w:val="002C674D"/>
    <w:rsid w:val="002C7648"/>
    <w:rsid w:val="002C7DC4"/>
    <w:rsid w:val="002D0821"/>
    <w:rsid w:val="002D1929"/>
    <w:rsid w:val="002D1B73"/>
    <w:rsid w:val="002D3CB0"/>
    <w:rsid w:val="002D4800"/>
    <w:rsid w:val="002D5B21"/>
    <w:rsid w:val="002D6F6D"/>
    <w:rsid w:val="002E1FE6"/>
    <w:rsid w:val="002E2EA7"/>
    <w:rsid w:val="002E36D2"/>
    <w:rsid w:val="002E748B"/>
    <w:rsid w:val="002F2002"/>
    <w:rsid w:val="002F335D"/>
    <w:rsid w:val="002F4E32"/>
    <w:rsid w:val="002F503F"/>
    <w:rsid w:val="002F51DD"/>
    <w:rsid w:val="002F5D08"/>
    <w:rsid w:val="002F6895"/>
    <w:rsid w:val="002F6D13"/>
    <w:rsid w:val="003038D3"/>
    <w:rsid w:val="003049C7"/>
    <w:rsid w:val="00305F0E"/>
    <w:rsid w:val="0030667A"/>
    <w:rsid w:val="003106DE"/>
    <w:rsid w:val="00311530"/>
    <w:rsid w:val="00312D31"/>
    <w:rsid w:val="00315216"/>
    <w:rsid w:val="0031691C"/>
    <w:rsid w:val="00317AEF"/>
    <w:rsid w:val="00317F49"/>
    <w:rsid w:val="0032089B"/>
    <w:rsid w:val="00323450"/>
    <w:rsid w:val="00323D93"/>
    <w:rsid w:val="0032489B"/>
    <w:rsid w:val="0032525B"/>
    <w:rsid w:val="00326A7A"/>
    <w:rsid w:val="00326FEE"/>
    <w:rsid w:val="003315D7"/>
    <w:rsid w:val="00334DE6"/>
    <w:rsid w:val="0033536D"/>
    <w:rsid w:val="003353FF"/>
    <w:rsid w:val="003366D2"/>
    <w:rsid w:val="00337C79"/>
    <w:rsid w:val="00337FEF"/>
    <w:rsid w:val="0034084C"/>
    <w:rsid w:val="00340D5E"/>
    <w:rsid w:val="003420B5"/>
    <w:rsid w:val="00343646"/>
    <w:rsid w:val="00344CCB"/>
    <w:rsid w:val="00345897"/>
    <w:rsid w:val="00351BFC"/>
    <w:rsid w:val="0035575E"/>
    <w:rsid w:val="003565B4"/>
    <w:rsid w:val="00362E75"/>
    <w:rsid w:val="003631AA"/>
    <w:rsid w:val="003632D5"/>
    <w:rsid w:val="00363575"/>
    <w:rsid w:val="00364EF9"/>
    <w:rsid w:val="00367579"/>
    <w:rsid w:val="0036795B"/>
    <w:rsid w:val="00370A29"/>
    <w:rsid w:val="003722F9"/>
    <w:rsid w:val="00372349"/>
    <w:rsid w:val="00372CBC"/>
    <w:rsid w:val="00373A61"/>
    <w:rsid w:val="00374BDE"/>
    <w:rsid w:val="00376B39"/>
    <w:rsid w:val="003772C0"/>
    <w:rsid w:val="00377BAC"/>
    <w:rsid w:val="00380142"/>
    <w:rsid w:val="00380558"/>
    <w:rsid w:val="00381D3C"/>
    <w:rsid w:val="0038223E"/>
    <w:rsid w:val="00382D92"/>
    <w:rsid w:val="00385AEF"/>
    <w:rsid w:val="003860EA"/>
    <w:rsid w:val="0038781A"/>
    <w:rsid w:val="0039080B"/>
    <w:rsid w:val="0039326E"/>
    <w:rsid w:val="00394E22"/>
    <w:rsid w:val="003967A4"/>
    <w:rsid w:val="00397FA3"/>
    <w:rsid w:val="003A1596"/>
    <w:rsid w:val="003A317E"/>
    <w:rsid w:val="003A345B"/>
    <w:rsid w:val="003A49EE"/>
    <w:rsid w:val="003A674D"/>
    <w:rsid w:val="003A7123"/>
    <w:rsid w:val="003B102E"/>
    <w:rsid w:val="003B2167"/>
    <w:rsid w:val="003B5F5D"/>
    <w:rsid w:val="003B62C8"/>
    <w:rsid w:val="003C0C62"/>
    <w:rsid w:val="003C12DC"/>
    <w:rsid w:val="003C2CDA"/>
    <w:rsid w:val="003D000A"/>
    <w:rsid w:val="003D31E9"/>
    <w:rsid w:val="003D544E"/>
    <w:rsid w:val="003D5980"/>
    <w:rsid w:val="003E0842"/>
    <w:rsid w:val="003E13B0"/>
    <w:rsid w:val="003E2321"/>
    <w:rsid w:val="003E2580"/>
    <w:rsid w:val="003E3DEE"/>
    <w:rsid w:val="003E3EBB"/>
    <w:rsid w:val="003E4A4C"/>
    <w:rsid w:val="003E4CBA"/>
    <w:rsid w:val="003E4D2F"/>
    <w:rsid w:val="003E4EDC"/>
    <w:rsid w:val="003E599D"/>
    <w:rsid w:val="003E5C81"/>
    <w:rsid w:val="003E6965"/>
    <w:rsid w:val="003F00E8"/>
    <w:rsid w:val="003F1936"/>
    <w:rsid w:val="003F1BDD"/>
    <w:rsid w:val="003F3BA3"/>
    <w:rsid w:val="003F3BD5"/>
    <w:rsid w:val="003F400E"/>
    <w:rsid w:val="003F6F35"/>
    <w:rsid w:val="003F7768"/>
    <w:rsid w:val="00400E8C"/>
    <w:rsid w:val="004017DC"/>
    <w:rsid w:val="00401B53"/>
    <w:rsid w:val="00402668"/>
    <w:rsid w:val="00404FEC"/>
    <w:rsid w:val="0040534D"/>
    <w:rsid w:val="00405FAD"/>
    <w:rsid w:val="004117AB"/>
    <w:rsid w:val="00412B2F"/>
    <w:rsid w:val="00415281"/>
    <w:rsid w:val="00415716"/>
    <w:rsid w:val="0041604D"/>
    <w:rsid w:val="00417842"/>
    <w:rsid w:val="00417A6E"/>
    <w:rsid w:val="00420CDF"/>
    <w:rsid w:val="0042285D"/>
    <w:rsid w:val="00427D2B"/>
    <w:rsid w:val="00430B13"/>
    <w:rsid w:val="00430CE5"/>
    <w:rsid w:val="0043153C"/>
    <w:rsid w:val="00431D0F"/>
    <w:rsid w:val="0043481C"/>
    <w:rsid w:val="00444307"/>
    <w:rsid w:val="0044436F"/>
    <w:rsid w:val="004443EB"/>
    <w:rsid w:val="00444432"/>
    <w:rsid w:val="00444673"/>
    <w:rsid w:val="0044621E"/>
    <w:rsid w:val="004478F5"/>
    <w:rsid w:val="00447BF1"/>
    <w:rsid w:val="00450BA4"/>
    <w:rsid w:val="004511FC"/>
    <w:rsid w:val="00456784"/>
    <w:rsid w:val="00456DCA"/>
    <w:rsid w:val="00461140"/>
    <w:rsid w:val="004611DB"/>
    <w:rsid w:val="004658B0"/>
    <w:rsid w:val="0046614B"/>
    <w:rsid w:val="00467FD7"/>
    <w:rsid w:val="00470073"/>
    <w:rsid w:val="004730F8"/>
    <w:rsid w:val="00474353"/>
    <w:rsid w:val="00474555"/>
    <w:rsid w:val="004750F4"/>
    <w:rsid w:val="00476CB1"/>
    <w:rsid w:val="00480A48"/>
    <w:rsid w:val="00482501"/>
    <w:rsid w:val="00482E7D"/>
    <w:rsid w:val="00484395"/>
    <w:rsid w:val="004865FB"/>
    <w:rsid w:val="00486C03"/>
    <w:rsid w:val="00491AB3"/>
    <w:rsid w:val="00497A33"/>
    <w:rsid w:val="004A1112"/>
    <w:rsid w:val="004A1DA0"/>
    <w:rsid w:val="004A1F20"/>
    <w:rsid w:val="004A2393"/>
    <w:rsid w:val="004A3569"/>
    <w:rsid w:val="004A452A"/>
    <w:rsid w:val="004A5F2C"/>
    <w:rsid w:val="004A6E4F"/>
    <w:rsid w:val="004A720D"/>
    <w:rsid w:val="004B00D0"/>
    <w:rsid w:val="004B6084"/>
    <w:rsid w:val="004B7AE0"/>
    <w:rsid w:val="004C0BC4"/>
    <w:rsid w:val="004C260D"/>
    <w:rsid w:val="004C2D47"/>
    <w:rsid w:val="004C4357"/>
    <w:rsid w:val="004C4477"/>
    <w:rsid w:val="004C5730"/>
    <w:rsid w:val="004C60DE"/>
    <w:rsid w:val="004C6397"/>
    <w:rsid w:val="004C668F"/>
    <w:rsid w:val="004C682B"/>
    <w:rsid w:val="004D142C"/>
    <w:rsid w:val="004D29F7"/>
    <w:rsid w:val="004D32F0"/>
    <w:rsid w:val="004D36D8"/>
    <w:rsid w:val="004D4C5C"/>
    <w:rsid w:val="004D5AB0"/>
    <w:rsid w:val="004D5EAE"/>
    <w:rsid w:val="004D7A0E"/>
    <w:rsid w:val="004E06E7"/>
    <w:rsid w:val="004E0AE3"/>
    <w:rsid w:val="004E20D3"/>
    <w:rsid w:val="004E2C82"/>
    <w:rsid w:val="004E4FAE"/>
    <w:rsid w:val="004E62C7"/>
    <w:rsid w:val="004E68FF"/>
    <w:rsid w:val="004E7A1B"/>
    <w:rsid w:val="004F0B7F"/>
    <w:rsid w:val="004F1193"/>
    <w:rsid w:val="004F11DC"/>
    <w:rsid w:val="004F2124"/>
    <w:rsid w:val="004F271B"/>
    <w:rsid w:val="004F3A52"/>
    <w:rsid w:val="004F449F"/>
    <w:rsid w:val="004F4E7E"/>
    <w:rsid w:val="004F63AB"/>
    <w:rsid w:val="004F6B76"/>
    <w:rsid w:val="004F6C7C"/>
    <w:rsid w:val="004F7F1A"/>
    <w:rsid w:val="004F7FBB"/>
    <w:rsid w:val="005042B3"/>
    <w:rsid w:val="005045AB"/>
    <w:rsid w:val="00507D43"/>
    <w:rsid w:val="005103F2"/>
    <w:rsid w:val="00510E2C"/>
    <w:rsid w:val="00511FDC"/>
    <w:rsid w:val="005124C6"/>
    <w:rsid w:val="00513EBC"/>
    <w:rsid w:val="00514CE1"/>
    <w:rsid w:val="00517155"/>
    <w:rsid w:val="00517DB3"/>
    <w:rsid w:val="005200DC"/>
    <w:rsid w:val="005200F2"/>
    <w:rsid w:val="0052369D"/>
    <w:rsid w:val="005271DB"/>
    <w:rsid w:val="00530D2F"/>
    <w:rsid w:val="0053487C"/>
    <w:rsid w:val="005356E1"/>
    <w:rsid w:val="00536A8B"/>
    <w:rsid w:val="00537C28"/>
    <w:rsid w:val="00540418"/>
    <w:rsid w:val="00541A96"/>
    <w:rsid w:val="00541C6A"/>
    <w:rsid w:val="00542C54"/>
    <w:rsid w:val="00546A43"/>
    <w:rsid w:val="00546C70"/>
    <w:rsid w:val="00547258"/>
    <w:rsid w:val="00550CF0"/>
    <w:rsid w:val="005559FE"/>
    <w:rsid w:val="005560D6"/>
    <w:rsid w:val="00556D07"/>
    <w:rsid w:val="005611F2"/>
    <w:rsid w:val="00561734"/>
    <w:rsid w:val="00561952"/>
    <w:rsid w:val="00564B9A"/>
    <w:rsid w:val="00565694"/>
    <w:rsid w:val="00566DD6"/>
    <w:rsid w:val="005714EF"/>
    <w:rsid w:val="005717D9"/>
    <w:rsid w:val="00571CEC"/>
    <w:rsid w:val="00572FCE"/>
    <w:rsid w:val="005750DB"/>
    <w:rsid w:val="005759FC"/>
    <w:rsid w:val="00575B85"/>
    <w:rsid w:val="00576DB9"/>
    <w:rsid w:val="0057738F"/>
    <w:rsid w:val="005805E4"/>
    <w:rsid w:val="0058202F"/>
    <w:rsid w:val="00584221"/>
    <w:rsid w:val="00584EB6"/>
    <w:rsid w:val="00586B68"/>
    <w:rsid w:val="0058774E"/>
    <w:rsid w:val="005878CF"/>
    <w:rsid w:val="00590CA0"/>
    <w:rsid w:val="00595B01"/>
    <w:rsid w:val="00596D98"/>
    <w:rsid w:val="005979A5"/>
    <w:rsid w:val="005A0021"/>
    <w:rsid w:val="005A017B"/>
    <w:rsid w:val="005A2AEC"/>
    <w:rsid w:val="005A412D"/>
    <w:rsid w:val="005A5212"/>
    <w:rsid w:val="005B002D"/>
    <w:rsid w:val="005B0FFF"/>
    <w:rsid w:val="005B19AF"/>
    <w:rsid w:val="005B258C"/>
    <w:rsid w:val="005B61DD"/>
    <w:rsid w:val="005B6735"/>
    <w:rsid w:val="005B7831"/>
    <w:rsid w:val="005C0CD6"/>
    <w:rsid w:val="005C12D9"/>
    <w:rsid w:val="005C2146"/>
    <w:rsid w:val="005C309D"/>
    <w:rsid w:val="005C544B"/>
    <w:rsid w:val="005C5916"/>
    <w:rsid w:val="005C5AEE"/>
    <w:rsid w:val="005C774A"/>
    <w:rsid w:val="005D3734"/>
    <w:rsid w:val="005D4F16"/>
    <w:rsid w:val="005D5A53"/>
    <w:rsid w:val="005D5DA0"/>
    <w:rsid w:val="005D7FBD"/>
    <w:rsid w:val="005E19B4"/>
    <w:rsid w:val="005E1D6B"/>
    <w:rsid w:val="005E227A"/>
    <w:rsid w:val="005E2CF8"/>
    <w:rsid w:val="005E3126"/>
    <w:rsid w:val="005E7075"/>
    <w:rsid w:val="005E75A7"/>
    <w:rsid w:val="005F38E2"/>
    <w:rsid w:val="005F3EE6"/>
    <w:rsid w:val="005F6736"/>
    <w:rsid w:val="00602C10"/>
    <w:rsid w:val="00602EBD"/>
    <w:rsid w:val="00604CF2"/>
    <w:rsid w:val="00606AC6"/>
    <w:rsid w:val="00606DFF"/>
    <w:rsid w:val="00606FB7"/>
    <w:rsid w:val="00610533"/>
    <w:rsid w:val="006110F6"/>
    <w:rsid w:val="00611FA1"/>
    <w:rsid w:val="00612522"/>
    <w:rsid w:val="00612DA6"/>
    <w:rsid w:val="0061365B"/>
    <w:rsid w:val="006138B6"/>
    <w:rsid w:val="00614BC6"/>
    <w:rsid w:val="00614E33"/>
    <w:rsid w:val="006158B8"/>
    <w:rsid w:val="0061706D"/>
    <w:rsid w:val="006173DA"/>
    <w:rsid w:val="00617EF9"/>
    <w:rsid w:val="00620295"/>
    <w:rsid w:val="00622F8E"/>
    <w:rsid w:val="00626AC8"/>
    <w:rsid w:val="00627912"/>
    <w:rsid w:val="0063195F"/>
    <w:rsid w:val="00636C0A"/>
    <w:rsid w:val="00637EC6"/>
    <w:rsid w:val="0064240C"/>
    <w:rsid w:val="00642FF5"/>
    <w:rsid w:val="006430FB"/>
    <w:rsid w:val="00643992"/>
    <w:rsid w:val="00644DBC"/>
    <w:rsid w:val="00646FE6"/>
    <w:rsid w:val="006474CD"/>
    <w:rsid w:val="00647744"/>
    <w:rsid w:val="006479A0"/>
    <w:rsid w:val="006500D9"/>
    <w:rsid w:val="00653B54"/>
    <w:rsid w:val="006541A3"/>
    <w:rsid w:val="00654FAD"/>
    <w:rsid w:val="00655C9F"/>
    <w:rsid w:val="006567FF"/>
    <w:rsid w:val="00656867"/>
    <w:rsid w:val="0066109F"/>
    <w:rsid w:val="00664B26"/>
    <w:rsid w:val="0066596B"/>
    <w:rsid w:val="00670295"/>
    <w:rsid w:val="006704F5"/>
    <w:rsid w:val="00672894"/>
    <w:rsid w:val="00674B47"/>
    <w:rsid w:val="0067609E"/>
    <w:rsid w:val="00676BE1"/>
    <w:rsid w:val="00677749"/>
    <w:rsid w:val="00680E07"/>
    <w:rsid w:val="00682B9D"/>
    <w:rsid w:val="00683806"/>
    <w:rsid w:val="00686AF9"/>
    <w:rsid w:val="006910C0"/>
    <w:rsid w:val="00691954"/>
    <w:rsid w:val="0069320E"/>
    <w:rsid w:val="00693D13"/>
    <w:rsid w:val="00694F58"/>
    <w:rsid w:val="006955BC"/>
    <w:rsid w:val="006959E2"/>
    <w:rsid w:val="00696920"/>
    <w:rsid w:val="00697EB9"/>
    <w:rsid w:val="006A20D4"/>
    <w:rsid w:val="006A268D"/>
    <w:rsid w:val="006A350F"/>
    <w:rsid w:val="006A3957"/>
    <w:rsid w:val="006A39A4"/>
    <w:rsid w:val="006A41D6"/>
    <w:rsid w:val="006A669D"/>
    <w:rsid w:val="006A6E41"/>
    <w:rsid w:val="006B012F"/>
    <w:rsid w:val="006B27CF"/>
    <w:rsid w:val="006B41BD"/>
    <w:rsid w:val="006B5678"/>
    <w:rsid w:val="006B62B2"/>
    <w:rsid w:val="006C1C57"/>
    <w:rsid w:val="006C5760"/>
    <w:rsid w:val="006C6D6F"/>
    <w:rsid w:val="006D0D78"/>
    <w:rsid w:val="006D1128"/>
    <w:rsid w:val="006D2848"/>
    <w:rsid w:val="006D30E0"/>
    <w:rsid w:val="006D427B"/>
    <w:rsid w:val="006D5521"/>
    <w:rsid w:val="006D5FE9"/>
    <w:rsid w:val="006D6CBB"/>
    <w:rsid w:val="006D76A9"/>
    <w:rsid w:val="006D77F4"/>
    <w:rsid w:val="006E0898"/>
    <w:rsid w:val="006E41CD"/>
    <w:rsid w:val="006F3BEC"/>
    <w:rsid w:val="00703C00"/>
    <w:rsid w:val="007057CC"/>
    <w:rsid w:val="007066F2"/>
    <w:rsid w:val="00706AE5"/>
    <w:rsid w:val="0070740A"/>
    <w:rsid w:val="00711F93"/>
    <w:rsid w:val="00712940"/>
    <w:rsid w:val="0071428C"/>
    <w:rsid w:val="00715A16"/>
    <w:rsid w:val="007164B0"/>
    <w:rsid w:val="007166FF"/>
    <w:rsid w:val="007260CC"/>
    <w:rsid w:val="00726543"/>
    <w:rsid w:val="0073353E"/>
    <w:rsid w:val="00736633"/>
    <w:rsid w:val="00741EE7"/>
    <w:rsid w:val="00743A79"/>
    <w:rsid w:val="007444D4"/>
    <w:rsid w:val="0074594D"/>
    <w:rsid w:val="007459F3"/>
    <w:rsid w:val="00746E35"/>
    <w:rsid w:val="007470E2"/>
    <w:rsid w:val="0075232F"/>
    <w:rsid w:val="00753132"/>
    <w:rsid w:val="007550B3"/>
    <w:rsid w:val="00760451"/>
    <w:rsid w:val="0077182A"/>
    <w:rsid w:val="00771913"/>
    <w:rsid w:val="00772718"/>
    <w:rsid w:val="00775BCF"/>
    <w:rsid w:val="007818AA"/>
    <w:rsid w:val="00783140"/>
    <w:rsid w:val="007838B6"/>
    <w:rsid w:val="00783E77"/>
    <w:rsid w:val="007906F1"/>
    <w:rsid w:val="0079243D"/>
    <w:rsid w:val="00794A9B"/>
    <w:rsid w:val="0079583B"/>
    <w:rsid w:val="00796602"/>
    <w:rsid w:val="00797185"/>
    <w:rsid w:val="007976B7"/>
    <w:rsid w:val="00797A7E"/>
    <w:rsid w:val="00797D6F"/>
    <w:rsid w:val="007B014B"/>
    <w:rsid w:val="007B0D88"/>
    <w:rsid w:val="007B306F"/>
    <w:rsid w:val="007B4714"/>
    <w:rsid w:val="007B4E82"/>
    <w:rsid w:val="007C1996"/>
    <w:rsid w:val="007C3773"/>
    <w:rsid w:val="007C3F1F"/>
    <w:rsid w:val="007D2D0D"/>
    <w:rsid w:val="007D3325"/>
    <w:rsid w:val="007D3818"/>
    <w:rsid w:val="007D6DC5"/>
    <w:rsid w:val="007D7425"/>
    <w:rsid w:val="007E1CFF"/>
    <w:rsid w:val="007E320E"/>
    <w:rsid w:val="007E3280"/>
    <w:rsid w:val="007E4A02"/>
    <w:rsid w:val="007E595C"/>
    <w:rsid w:val="007E59A5"/>
    <w:rsid w:val="007F3B8C"/>
    <w:rsid w:val="007F41D0"/>
    <w:rsid w:val="007F4B8B"/>
    <w:rsid w:val="007F5957"/>
    <w:rsid w:val="007F70B6"/>
    <w:rsid w:val="007F74CA"/>
    <w:rsid w:val="00800F1E"/>
    <w:rsid w:val="0080195A"/>
    <w:rsid w:val="0080239C"/>
    <w:rsid w:val="00802841"/>
    <w:rsid w:val="008037D5"/>
    <w:rsid w:val="00805447"/>
    <w:rsid w:val="008054FA"/>
    <w:rsid w:val="0080717A"/>
    <w:rsid w:val="00807DFA"/>
    <w:rsid w:val="0081009F"/>
    <w:rsid w:val="00810152"/>
    <w:rsid w:val="008115AB"/>
    <w:rsid w:val="00812D2C"/>
    <w:rsid w:val="008159F4"/>
    <w:rsid w:val="008167C1"/>
    <w:rsid w:val="008167C6"/>
    <w:rsid w:val="00816B8F"/>
    <w:rsid w:val="00820331"/>
    <w:rsid w:val="00820BF5"/>
    <w:rsid w:val="008212B1"/>
    <w:rsid w:val="0082155A"/>
    <w:rsid w:val="0082209F"/>
    <w:rsid w:val="008223C2"/>
    <w:rsid w:val="008250A2"/>
    <w:rsid w:val="00825D64"/>
    <w:rsid w:val="0082650B"/>
    <w:rsid w:val="008301CE"/>
    <w:rsid w:val="008312E3"/>
    <w:rsid w:val="00831D5B"/>
    <w:rsid w:val="00832DD6"/>
    <w:rsid w:val="00832F0C"/>
    <w:rsid w:val="008336F2"/>
    <w:rsid w:val="008345D9"/>
    <w:rsid w:val="008347CB"/>
    <w:rsid w:val="00835647"/>
    <w:rsid w:val="00837A2E"/>
    <w:rsid w:val="00841558"/>
    <w:rsid w:val="00842A68"/>
    <w:rsid w:val="008435BA"/>
    <w:rsid w:val="0084558B"/>
    <w:rsid w:val="0084654A"/>
    <w:rsid w:val="00847654"/>
    <w:rsid w:val="00851064"/>
    <w:rsid w:val="00855543"/>
    <w:rsid w:val="008566B3"/>
    <w:rsid w:val="008576B7"/>
    <w:rsid w:val="00857F7B"/>
    <w:rsid w:val="00863DA1"/>
    <w:rsid w:val="008654A6"/>
    <w:rsid w:val="00865D86"/>
    <w:rsid w:val="00870495"/>
    <w:rsid w:val="00870EA1"/>
    <w:rsid w:val="008710C5"/>
    <w:rsid w:val="00874438"/>
    <w:rsid w:val="00874E75"/>
    <w:rsid w:val="008767F3"/>
    <w:rsid w:val="00876CEF"/>
    <w:rsid w:val="00877342"/>
    <w:rsid w:val="008803C3"/>
    <w:rsid w:val="00881450"/>
    <w:rsid w:val="008817C7"/>
    <w:rsid w:val="00881875"/>
    <w:rsid w:val="008848A3"/>
    <w:rsid w:val="00884AF1"/>
    <w:rsid w:val="00885F7A"/>
    <w:rsid w:val="00890712"/>
    <w:rsid w:val="00890D81"/>
    <w:rsid w:val="00892955"/>
    <w:rsid w:val="00893628"/>
    <w:rsid w:val="008941EB"/>
    <w:rsid w:val="0089545A"/>
    <w:rsid w:val="00895A02"/>
    <w:rsid w:val="008A01EE"/>
    <w:rsid w:val="008A0DAC"/>
    <w:rsid w:val="008A3B78"/>
    <w:rsid w:val="008A4166"/>
    <w:rsid w:val="008A7DBF"/>
    <w:rsid w:val="008B136C"/>
    <w:rsid w:val="008B55EF"/>
    <w:rsid w:val="008B6910"/>
    <w:rsid w:val="008C0B5C"/>
    <w:rsid w:val="008C1343"/>
    <w:rsid w:val="008C3912"/>
    <w:rsid w:val="008C5598"/>
    <w:rsid w:val="008C69EA"/>
    <w:rsid w:val="008C6F8B"/>
    <w:rsid w:val="008C7AB7"/>
    <w:rsid w:val="008C7FB4"/>
    <w:rsid w:val="008D2C8C"/>
    <w:rsid w:val="008D3040"/>
    <w:rsid w:val="008D3ECD"/>
    <w:rsid w:val="008D5C03"/>
    <w:rsid w:val="008D7580"/>
    <w:rsid w:val="008D7C35"/>
    <w:rsid w:val="008E5698"/>
    <w:rsid w:val="008E5733"/>
    <w:rsid w:val="008E77D2"/>
    <w:rsid w:val="008E78FD"/>
    <w:rsid w:val="008F199D"/>
    <w:rsid w:val="008F38A0"/>
    <w:rsid w:val="008F39C9"/>
    <w:rsid w:val="008F5EB5"/>
    <w:rsid w:val="008F678C"/>
    <w:rsid w:val="008F75A7"/>
    <w:rsid w:val="008F7E5A"/>
    <w:rsid w:val="00900A7F"/>
    <w:rsid w:val="009036EE"/>
    <w:rsid w:val="00905815"/>
    <w:rsid w:val="00905D1D"/>
    <w:rsid w:val="0091016D"/>
    <w:rsid w:val="009108A7"/>
    <w:rsid w:val="00910C98"/>
    <w:rsid w:val="00911910"/>
    <w:rsid w:val="00912A58"/>
    <w:rsid w:val="00913908"/>
    <w:rsid w:val="00913D26"/>
    <w:rsid w:val="0091438B"/>
    <w:rsid w:val="009147E3"/>
    <w:rsid w:val="00920FD2"/>
    <w:rsid w:val="00923A43"/>
    <w:rsid w:val="0092439C"/>
    <w:rsid w:val="0092498E"/>
    <w:rsid w:val="00925B91"/>
    <w:rsid w:val="00934461"/>
    <w:rsid w:val="00934F7E"/>
    <w:rsid w:val="00936A1C"/>
    <w:rsid w:val="00943E35"/>
    <w:rsid w:val="00945278"/>
    <w:rsid w:val="0094658D"/>
    <w:rsid w:val="00947678"/>
    <w:rsid w:val="00947878"/>
    <w:rsid w:val="009504C2"/>
    <w:rsid w:val="0095254A"/>
    <w:rsid w:val="0095273B"/>
    <w:rsid w:val="009559E1"/>
    <w:rsid w:val="009568D5"/>
    <w:rsid w:val="00957CD3"/>
    <w:rsid w:val="0096269B"/>
    <w:rsid w:val="00963FB0"/>
    <w:rsid w:val="00964C86"/>
    <w:rsid w:val="00965E82"/>
    <w:rsid w:val="009664BB"/>
    <w:rsid w:val="009669F8"/>
    <w:rsid w:val="00966F89"/>
    <w:rsid w:val="00973B5D"/>
    <w:rsid w:val="0097755E"/>
    <w:rsid w:val="00981467"/>
    <w:rsid w:val="00981C24"/>
    <w:rsid w:val="009852F6"/>
    <w:rsid w:val="00985DE5"/>
    <w:rsid w:val="00986254"/>
    <w:rsid w:val="0098729E"/>
    <w:rsid w:val="00990067"/>
    <w:rsid w:val="00992977"/>
    <w:rsid w:val="009937D4"/>
    <w:rsid w:val="00993C78"/>
    <w:rsid w:val="009948C7"/>
    <w:rsid w:val="00995850"/>
    <w:rsid w:val="0099796C"/>
    <w:rsid w:val="009A194E"/>
    <w:rsid w:val="009A1EA2"/>
    <w:rsid w:val="009A209E"/>
    <w:rsid w:val="009A3FD7"/>
    <w:rsid w:val="009A6652"/>
    <w:rsid w:val="009A74FD"/>
    <w:rsid w:val="009B25D8"/>
    <w:rsid w:val="009B42E3"/>
    <w:rsid w:val="009B5859"/>
    <w:rsid w:val="009C5D04"/>
    <w:rsid w:val="009C6D07"/>
    <w:rsid w:val="009C7CEC"/>
    <w:rsid w:val="009D0082"/>
    <w:rsid w:val="009D154D"/>
    <w:rsid w:val="009D18EF"/>
    <w:rsid w:val="009D3BE8"/>
    <w:rsid w:val="009D44E0"/>
    <w:rsid w:val="009D573B"/>
    <w:rsid w:val="009D59A0"/>
    <w:rsid w:val="009D716A"/>
    <w:rsid w:val="009E1AC4"/>
    <w:rsid w:val="009E20B8"/>
    <w:rsid w:val="009E29A0"/>
    <w:rsid w:val="009E41B5"/>
    <w:rsid w:val="009E55D7"/>
    <w:rsid w:val="009E627C"/>
    <w:rsid w:val="009F110B"/>
    <w:rsid w:val="009F1498"/>
    <w:rsid w:val="009F1E9F"/>
    <w:rsid w:val="009F3793"/>
    <w:rsid w:val="009F54F2"/>
    <w:rsid w:val="00A0056B"/>
    <w:rsid w:val="00A01657"/>
    <w:rsid w:val="00A01C65"/>
    <w:rsid w:val="00A0213D"/>
    <w:rsid w:val="00A04C73"/>
    <w:rsid w:val="00A0679A"/>
    <w:rsid w:val="00A07A2B"/>
    <w:rsid w:val="00A12375"/>
    <w:rsid w:val="00A125B8"/>
    <w:rsid w:val="00A13124"/>
    <w:rsid w:val="00A15370"/>
    <w:rsid w:val="00A156AB"/>
    <w:rsid w:val="00A16B8D"/>
    <w:rsid w:val="00A21293"/>
    <w:rsid w:val="00A2134B"/>
    <w:rsid w:val="00A21623"/>
    <w:rsid w:val="00A220EB"/>
    <w:rsid w:val="00A22302"/>
    <w:rsid w:val="00A25F1B"/>
    <w:rsid w:val="00A325F3"/>
    <w:rsid w:val="00A33103"/>
    <w:rsid w:val="00A33294"/>
    <w:rsid w:val="00A35DCB"/>
    <w:rsid w:val="00A3690E"/>
    <w:rsid w:val="00A37751"/>
    <w:rsid w:val="00A406B1"/>
    <w:rsid w:val="00A4113E"/>
    <w:rsid w:val="00A42435"/>
    <w:rsid w:val="00A438BA"/>
    <w:rsid w:val="00A446FD"/>
    <w:rsid w:val="00A46F46"/>
    <w:rsid w:val="00A52CB6"/>
    <w:rsid w:val="00A52F99"/>
    <w:rsid w:val="00A538BB"/>
    <w:rsid w:val="00A54164"/>
    <w:rsid w:val="00A56737"/>
    <w:rsid w:val="00A60002"/>
    <w:rsid w:val="00A603D8"/>
    <w:rsid w:val="00A60AE2"/>
    <w:rsid w:val="00A61834"/>
    <w:rsid w:val="00A618B0"/>
    <w:rsid w:val="00A62790"/>
    <w:rsid w:val="00A6291F"/>
    <w:rsid w:val="00A63F53"/>
    <w:rsid w:val="00A7111E"/>
    <w:rsid w:val="00A755B6"/>
    <w:rsid w:val="00A75B1A"/>
    <w:rsid w:val="00A80ED4"/>
    <w:rsid w:val="00A816C4"/>
    <w:rsid w:val="00A82981"/>
    <w:rsid w:val="00A86F10"/>
    <w:rsid w:val="00A87AF2"/>
    <w:rsid w:val="00A90B23"/>
    <w:rsid w:val="00A93193"/>
    <w:rsid w:val="00A93C2B"/>
    <w:rsid w:val="00A94556"/>
    <w:rsid w:val="00A974CB"/>
    <w:rsid w:val="00AA1EAC"/>
    <w:rsid w:val="00AA2A25"/>
    <w:rsid w:val="00AA45E2"/>
    <w:rsid w:val="00AA7AC1"/>
    <w:rsid w:val="00AB19B3"/>
    <w:rsid w:val="00AB6327"/>
    <w:rsid w:val="00AB6B8F"/>
    <w:rsid w:val="00AC0C65"/>
    <w:rsid w:val="00AC0FB2"/>
    <w:rsid w:val="00AC3721"/>
    <w:rsid w:val="00AC41C6"/>
    <w:rsid w:val="00AC70C7"/>
    <w:rsid w:val="00AC76B7"/>
    <w:rsid w:val="00AD0223"/>
    <w:rsid w:val="00AD123A"/>
    <w:rsid w:val="00AD15FF"/>
    <w:rsid w:val="00AD1AA5"/>
    <w:rsid w:val="00AD2920"/>
    <w:rsid w:val="00AD2924"/>
    <w:rsid w:val="00AD2CD5"/>
    <w:rsid w:val="00AD2DFC"/>
    <w:rsid w:val="00AD38C4"/>
    <w:rsid w:val="00AD5A4A"/>
    <w:rsid w:val="00AD60EE"/>
    <w:rsid w:val="00AD6A2B"/>
    <w:rsid w:val="00AD73D4"/>
    <w:rsid w:val="00AE1EA2"/>
    <w:rsid w:val="00AE2874"/>
    <w:rsid w:val="00AE2BA2"/>
    <w:rsid w:val="00AE2F98"/>
    <w:rsid w:val="00AE3602"/>
    <w:rsid w:val="00AE5342"/>
    <w:rsid w:val="00AE5987"/>
    <w:rsid w:val="00AE6472"/>
    <w:rsid w:val="00AF1345"/>
    <w:rsid w:val="00AF38A8"/>
    <w:rsid w:val="00AF63EB"/>
    <w:rsid w:val="00B016D2"/>
    <w:rsid w:val="00B018EC"/>
    <w:rsid w:val="00B060C7"/>
    <w:rsid w:val="00B11AB7"/>
    <w:rsid w:val="00B12213"/>
    <w:rsid w:val="00B13710"/>
    <w:rsid w:val="00B22881"/>
    <w:rsid w:val="00B23EFC"/>
    <w:rsid w:val="00B24B72"/>
    <w:rsid w:val="00B25DB8"/>
    <w:rsid w:val="00B2656C"/>
    <w:rsid w:val="00B266E6"/>
    <w:rsid w:val="00B3094D"/>
    <w:rsid w:val="00B30B04"/>
    <w:rsid w:val="00B311BC"/>
    <w:rsid w:val="00B31810"/>
    <w:rsid w:val="00B31C10"/>
    <w:rsid w:val="00B3446D"/>
    <w:rsid w:val="00B34652"/>
    <w:rsid w:val="00B34F89"/>
    <w:rsid w:val="00B358C8"/>
    <w:rsid w:val="00B36185"/>
    <w:rsid w:val="00B3662F"/>
    <w:rsid w:val="00B373CD"/>
    <w:rsid w:val="00B377C8"/>
    <w:rsid w:val="00B400B8"/>
    <w:rsid w:val="00B404DE"/>
    <w:rsid w:val="00B40765"/>
    <w:rsid w:val="00B4232D"/>
    <w:rsid w:val="00B42682"/>
    <w:rsid w:val="00B43065"/>
    <w:rsid w:val="00B44784"/>
    <w:rsid w:val="00B449D0"/>
    <w:rsid w:val="00B456AB"/>
    <w:rsid w:val="00B46C2A"/>
    <w:rsid w:val="00B47E8B"/>
    <w:rsid w:val="00B51C67"/>
    <w:rsid w:val="00B53F86"/>
    <w:rsid w:val="00B53FDC"/>
    <w:rsid w:val="00B55431"/>
    <w:rsid w:val="00B55CAE"/>
    <w:rsid w:val="00B576C6"/>
    <w:rsid w:val="00B615F2"/>
    <w:rsid w:val="00B61A28"/>
    <w:rsid w:val="00B65C6D"/>
    <w:rsid w:val="00B66B06"/>
    <w:rsid w:val="00B67862"/>
    <w:rsid w:val="00B70634"/>
    <w:rsid w:val="00B70BE4"/>
    <w:rsid w:val="00B73880"/>
    <w:rsid w:val="00B73CF1"/>
    <w:rsid w:val="00B745B3"/>
    <w:rsid w:val="00B7599D"/>
    <w:rsid w:val="00B7648F"/>
    <w:rsid w:val="00B76E13"/>
    <w:rsid w:val="00B771EE"/>
    <w:rsid w:val="00B7765B"/>
    <w:rsid w:val="00B77B4B"/>
    <w:rsid w:val="00B80ABC"/>
    <w:rsid w:val="00B814C2"/>
    <w:rsid w:val="00B8768A"/>
    <w:rsid w:val="00B900FE"/>
    <w:rsid w:val="00B9064C"/>
    <w:rsid w:val="00BA0A14"/>
    <w:rsid w:val="00BA228D"/>
    <w:rsid w:val="00BA398D"/>
    <w:rsid w:val="00BA39D3"/>
    <w:rsid w:val="00BA5C56"/>
    <w:rsid w:val="00BA776F"/>
    <w:rsid w:val="00BB0C0D"/>
    <w:rsid w:val="00BB0D69"/>
    <w:rsid w:val="00BB366E"/>
    <w:rsid w:val="00BB3AF0"/>
    <w:rsid w:val="00BB4F70"/>
    <w:rsid w:val="00BB67FF"/>
    <w:rsid w:val="00BC11B9"/>
    <w:rsid w:val="00BC138C"/>
    <w:rsid w:val="00BC14CF"/>
    <w:rsid w:val="00BC1659"/>
    <w:rsid w:val="00BC2C91"/>
    <w:rsid w:val="00BC3A9C"/>
    <w:rsid w:val="00BC5288"/>
    <w:rsid w:val="00BC6A71"/>
    <w:rsid w:val="00BC6B2F"/>
    <w:rsid w:val="00BD0637"/>
    <w:rsid w:val="00BD08A8"/>
    <w:rsid w:val="00BD1BAC"/>
    <w:rsid w:val="00BD1FA8"/>
    <w:rsid w:val="00BD25A6"/>
    <w:rsid w:val="00BD4C95"/>
    <w:rsid w:val="00BD65FC"/>
    <w:rsid w:val="00BD7660"/>
    <w:rsid w:val="00BE0666"/>
    <w:rsid w:val="00BE24B9"/>
    <w:rsid w:val="00BE2AE8"/>
    <w:rsid w:val="00BE2D55"/>
    <w:rsid w:val="00BE38DD"/>
    <w:rsid w:val="00BE4AB1"/>
    <w:rsid w:val="00BF16C3"/>
    <w:rsid w:val="00BF38E0"/>
    <w:rsid w:val="00BF44FA"/>
    <w:rsid w:val="00BF57E1"/>
    <w:rsid w:val="00C003B4"/>
    <w:rsid w:val="00C00A5F"/>
    <w:rsid w:val="00C042E0"/>
    <w:rsid w:val="00C051D9"/>
    <w:rsid w:val="00C06333"/>
    <w:rsid w:val="00C06F68"/>
    <w:rsid w:val="00C075BA"/>
    <w:rsid w:val="00C10A3A"/>
    <w:rsid w:val="00C1189B"/>
    <w:rsid w:val="00C11E20"/>
    <w:rsid w:val="00C15D16"/>
    <w:rsid w:val="00C20015"/>
    <w:rsid w:val="00C247DD"/>
    <w:rsid w:val="00C25B43"/>
    <w:rsid w:val="00C26A54"/>
    <w:rsid w:val="00C3261C"/>
    <w:rsid w:val="00C3318B"/>
    <w:rsid w:val="00C33C20"/>
    <w:rsid w:val="00C35362"/>
    <w:rsid w:val="00C357EA"/>
    <w:rsid w:val="00C379F8"/>
    <w:rsid w:val="00C37A1C"/>
    <w:rsid w:val="00C42323"/>
    <w:rsid w:val="00C4316E"/>
    <w:rsid w:val="00C453A9"/>
    <w:rsid w:val="00C465D5"/>
    <w:rsid w:val="00C4756A"/>
    <w:rsid w:val="00C47C39"/>
    <w:rsid w:val="00C50649"/>
    <w:rsid w:val="00C50E1F"/>
    <w:rsid w:val="00C51C09"/>
    <w:rsid w:val="00C52BB6"/>
    <w:rsid w:val="00C53471"/>
    <w:rsid w:val="00C55143"/>
    <w:rsid w:val="00C5611B"/>
    <w:rsid w:val="00C5695E"/>
    <w:rsid w:val="00C61528"/>
    <w:rsid w:val="00C63457"/>
    <w:rsid w:val="00C64964"/>
    <w:rsid w:val="00C6631E"/>
    <w:rsid w:val="00C67473"/>
    <w:rsid w:val="00C67AA4"/>
    <w:rsid w:val="00C7148C"/>
    <w:rsid w:val="00C72192"/>
    <w:rsid w:val="00C732E5"/>
    <w:rsid w:val="00C73D0B"/>
    <w:rsid w:val="00C75017"/>
    <w:rsid w:val="00C765B4"/>
    <w:rsid w:val="00C813EA"/>
    <w:rsid w:val="00C81496"/>
    <w:rsid w:val="00C82CE6"/>
    <w:rsid w:val="00C82CEF"/>
    <w:rsid w:val="00C82E22"/>
    <w:rsid w:val="00C85144"/>
    <w:rsid w:val="00C86738"/>
    <w:rsid w:val="00C86A27"/>
    <w:rsid w:val="00C91517"/>
    <w:rsid w:val="00C929BD"/>
    <w:rsid w:val="00C931A2"/>
    <w:rsid w:val="00CA02E1"/>
    <w:rsid w:val="00CA15DA"/>
    <w:rsid w:val="00CA224E"/>
    <w:rsid w:val="00CA41C5"/>
    <w:rsid w:val="00CA42B7"/>
    <w:rsid w:val="00CA4A53"/>
    <w:rsid w:val="00CA51F5"/>
    <w:rsid w:val="00CB218A"/>
    <w:rsid w:val="00CB225A"/>
    <w:rsid w:val="00CB69E6"/>
    <w:rsid w:val="00CB761B"/>
    <w:rsid w:val="00CB7E33"/>
    <w:rsid w:val="00CC13DF"/>
    <w:rsid w:val="00CC1EEE"/>
    <w:rsid w:val="00CC562B"/>
    <w:rsid w:val="00CC6C15"/>
    <w:rsid w:val="00CC7FCF"/>
    <w:rsid w:val="00CD2749"/>
    <w:rsid w:val="00CD2A60"/>
    <w:rsid w:val="00CD306F"/>
    <w:rsid w:val="00CD3971"/>
    <w:rsid w:val="00CD3DAB"/>
    <w:rsid w:val="00CE0DF1"/>
    <w:rsid w:val="00CE3786"/>
    <w:rsid w:val="00CE4027"/>
    <w:rsid w:val="00CE47CC"/>
    <w:rsid w:val="00CE68F6"/>
    <w:rsid w:val="00CE7E27"/>
    <w:rsid w:val="00CF22AC"/>
    <w:rsid w:val="00CF2F0A"/>
    <w:rsid w:val="00CF79E8"/>
    <w:rsid w:val="00D015AA"/>
    <w:rsid w:val="00D021B8"/>
    <w:rsid w:val="00D03D90"/>
    <w:rsid w:val="00D04024"/>
    <w:rsid w:val="00D043EB"/>
    <w:rsid w:val="00D06705"/>
    <w:rsid w:val="00D06A9B"/>
    <w:rsid w:val="00D0750D"/>
    <w:rsid w:val="00D07DD8"/>
    <w:rsid w:val="00D1038F"/>
    <w:rsid w:val="00D10BF7"/>
    <w:rsid w:val="00D10FEB"/>
    <w:rsid w:val="00D140A0"/>
    <w:rsid w:val="00D203D1"/>
    <w:rsid w:val="00D2057A"/>
    <w:rsid w:val="00D21D98"/>
    <w:rsid w:val="00D2317F"/>
    <w:rsid w:val="00D231A9"/>
    <w:rsid w:val="00D24391"/>
    <w:rsid w:val="00D2472B"/>
    <w:rsid w:val="00D253DD"/>
    <w:rsid w:val="00D26FFA"/>
    <w:rsid w:val="00D3215D"/>
    <w:rsid w:val="00D33352"/>
    <w:rsid w:val="00D347D9"/>
    <w:rsid w:val="00D35565"/>
    <w:rsid w:val="00D36A19"/>
    <w:rsid w:val="00D40DCF"/>
    <w:rsid w:val="00D41075"/>
    <w:rsid w:val="00D41C76"/>
    <w:rsid w:val="00D41DD8"/>
    <w:rsid w:val="00D4222C"/>
    <w:rsid w:val="00D425CE"/>
    <w:rsid w:val="00D42F40"/>
    <w:rsid w:val="00D4396C"/>
    <w:rsid w:val="00D4446F"/>
    <w:rsid w:val="00D44B55"/>
    <w:rsid w:val="00D45490"/>
    <w:rsid w:val="00D457B8"/>
    <w:rsid w:val="00D457E1"/>
    <w:rsid w:val="00D47BEB"/>
    <w:rsid w:val="00D50487"/>
    <w:rsid w:val="00D50563"/>
    <w:rsid w:val="00D50F50"/>
    <w:rsid w:val="00D5235F"/>
    <w:rsid w:val="00D52F50"/>
    <w:rsid w:val="00D55A98"/>
    <w:rsid w:val="00D56B49"/>
    <w:rsid w:val="00D6053F"/>
    <w:rsid w:val="00D6073D"/>
    <w:rsid w:val="00D618D6"/>
    <w:rsid w:val="00D62426"/>
    <w:rsid w:val="00D62804"/>
    <w:rsid w:val="00D70F55"/>
    <w:rsid w:val="00D70FA5"/>
    <w:rsid w:val="00D74171"/>
    <w:rsid w:val="00D7474C"/>
    <w:rsid w:val="00D8032C"/>
    <w:rsid w:val="00D80CE2"/>
    <w:rsid w:val="00D81E2F"/>
    <w:rsid w:val="00D83080"/>
    <w:rsid w:val="00D83E66"/>
    <w:rsid w:val="00D84D5F"/>
    <w:rsid w:val="00D851E2"/>
    <w:rsid w:val="00D87FFA"/>
    <w:rsid w:val="00D91419"/>
    <w:rsid w:val="00D92A09"/>
    <w:rsid w:val="00D92D2A"/>
    <w:rsid w:val="00D92EEC"/>
    <w:rsid w:val="00D93470"/>
    <w:rsid w:val="00D9395F"/>
    <w:rsid w:val="00D93D55"/>
    <w:rsid w:val="00D941FA"/>
    <w:rsid w:val="00D94B59"/>
    <w:rsid w:val="00D95315"/>
    <w:rsid w:val="00D95EAB"/>
    <w:rsid w:val="00DA0B39"/>
    <w:rsid w:val="00DA1203"/>
    <w:rsid w:val="00DA2316"/>
    <w:rsid w:val="00DA25E0"/>
    <w:rsid w:val="00DA2700"/>
    <w:rsid w:val="00DA3001"/>
    <w:rsid w:val="00DA3C5D"/>
    <w:rsid w:val="00DA3EFF"/>
    <w:rsid w:val="00DA7769"/>
    <w:rsid w:val="00DB08C6"/>
    <w:rsid w:val="00DB1BC2"/>
    <w:rsid w:val="00DB1CBB"/>
    <w:rsid w:val="00DB2ECA"/>
    <w:rsid w:val="00DB31ED"/>
    <w:rsid w:val="00DB4124"/>
    <w:rsid w:val="00DB4511"/>
    <w:rsid w:val="00DB4F0C"/>
    <w:rsid w:val="00DC0176"/>
    <w:rsid w:val="00DC043F"/>
    <w:rsid w:val="00DC093E"/>
    <w:rsid w:val="00DC0E29"/>
    <w:rsid w:val="00DC0E7A"/>
    <w:rsid w:val="00DC2A65"/>
    <w:rsid w:val="00DC2A86"/>
    <w:rsid w:val="00DC3631"/>
    <w:rsid w:val="00DC37F7"/>
    <w:rsid w:val="00DC6F54"/>
    <w:rsid w:val="00DD0C00"/>
    <w:rsid w:val="00DD0F8C"/>
    <w:rsid w:val="00DD116C"/>
    <w:rsid w:val="00DD23D5"/>
    <w:rsid w:val="00DD2AF1"/>
    <w:rsid w:val="00DD46DA"/>
    <w:rsid w:val="00DD6072"/>
    <w:rsid w:val="00DD62BE"/>
    <w:rsid w:val="00DD77D9"/>
    <w:rsid w:val="00DD7CA4"/>
    <w:rsid w:val="00DE167C"/>
    <w:rsid w:val="00DE3B70"/>
    <w:rsid w:val="00DE5813"/>
    <w:rsid w:val="00DF10B1"/>
    <w:rsid w:val="00DF1FDA"/>
    <w:rsid w:val="00DF3DD0"/>
    <w:rsid w:val="00DF4D50"/>
    <w:rsid w:val="00DF538C"/>
    <w:rsid w:val="00E021C2"/>
    <w:rsid w:val="00E024A3"/>
    <w:rsid w:val="00E0423D"/>
    <w:rsid w:val="00E057B5"/>
    <w:rsid w:val="00E0581E"/>
    <w:rsid w:val="00E079C5"/>
    <w:rsid w:val="00E07CBD"/>
    <w:rsid w:val="00E07F56"/>
    <w:rsid w:val="00E10A16"/>
    <w:rsid w:val="00E1112F"/>
    <w:rsid w:val="00E1318F"/>
    <w:rsid w:val="00E13B3B"/>
    <w:rsid w:val="00E13E29"/>
    <w:rsid w:val="00E16857"/>
    <w:rsid w:val="00E16C3A"/>
    <w:rsid w:val="00E20651"/>
    <w:rsid w:val="00E2107C"/>
    <w:rsid w:val="00E21E70"/>
    <w:rsid w:val="00E224DE"/>
    <w:rsid w:val="00E23DCE"/>
    <w:rsid w:val="00E26363"/>
    <w:rsid w:val="00E272A4"/>
    <w:rsid w:val="00E305F9"/>
    <w:rsid w:val="00E306AC"/>
    <w:rsid w:val="00E34446"/>
    <w:rsid w:val="00E3633B"/>
    <w:rsid w:val="00E36870"/>
    <w:rsid w:val="00E374E1"/>
    <w:rsid w:val="00E417AB"/>
    <w:rsid w:val="00E43D48"/>
    <w:rsid w:val="00E4542D"/>
    <w:rsid w:val="00E45BE0"/>
    <w:rsid w:val="00E46CAD"/>
    <w:rsid w:val="00E47521"/>
    <w:rsid w:val="00E4760C"/>
    <w:rsid w:val="00E507A6"/>
    <w:rsid w:val="00E5375C"/>
    <w:rsid w:val="00E561AD"/>
    <w:rsid w:val="00E57FAF"/>
    <w:rsid w:val="00E60BA9"/>
    <w:rsid w:val="00E63510"/>
    <w:rsid w:val="00E635EA"/>
    <w:rsid w:val="00E655E5"/>
    <w:rsid w:val="00E65F4E"/>
    <w:rsid w:val="00E662E0"/>
    <w:rsid w:val="00E67D5D"/>
    <w:rsid w:val="00E71C7A"/>
    <w:rsid w:val="00E73119"/>
    <w:rsid w:val="00E73E1E"/>
    <w:rsid w:val="00E767FF"/>
    <w:rsid w:val="00E84C91"/>
    <w:rsid w:val="00E84E60"/>
    <w:rsid w:val="00E8556E"/>
    <w:rsid w:val="00E86B2D"/>
    <w:rsid w:val="00E86F4D"/>
    <w:rsid w:val="00E87D08"/>
    <w:rsid w:val="00E90D0E"/>
    <w:rsid w:val="00E91B2D"/>
    <w:rsid w:val="00E92FCA"/>
    <w:rsid w:val="00E95CAA"/>
    <w:rsid w:val="00EA0A39"/>
    <w:rsid w:val="00EA0EB2"/>
    <w:rsid w:val="00EA236F"/>
    <w:rsid w:val="00EA3023"/>
    <w:rsid w:val="00EA3E49"/>
    <w:rsid w:val="00EA3FC8"/>
    <w:rsid w:val="00EA5B8C"/>
    <w:rsid w:val="00EB0DC9"/>
    <w:rsid w:val="00EB1383"/>
    <w:rsid w:val="00EB1CD7"/>
    <w:rsid w:val="00EB252D"/>
    <w:rsid w:val="00EB29FA"/>
    <w:rsid w:val="00EB2CCE"/>
    <w:rsid w:val="00EB385F"/>
    <w:rsid w:val="00EB3E49"/>
    <w:rsid w:val="00EB5FC3"/>
    <w:rsid w:val="00EB6DA9"/>
    <w:rsid w:val="00EC1561"/>
    <w:rsid w:val="00EC462E"/>
    <w:rsid w:val="00EC6CD8"/>
    <w:rsid w:val="00EC786F"/>
    <w:rsid w:val="00ED1866"/>
    <w:rsid w:val="00ED3134"/>
    <w:rsid w:val="00ED38E2"/>
    <w:rsid w:val="00ED5C44"/>
    <w:rsid w:val="00ED635B"/>
    <w:rsid w:val="00EE742D"/>
    <w:rsid w:val="00EF0A22"/>
    <w:rsid w:val="00EF1267"/>
    <w:rsid w:val="00EF180C"/>
    <w:rsid w:val="00EF3B6B"/>
    <w:rsid w:val="00EF4B43"/>
    <w:rsid w:val="00EF6750"/>
    <w:rsid w:val="00EF770B"/>
    <w:rsid w:val="00F02836"/>
    <w:rsid w:val="00F02FB5"/>
    <w:rsid w:val="00F0534E"/>
    <w:rsid w:val="00F05C30"/>
    <w:rsid w:val="00F10F1B"/>
    <w:rsid w:val="00F14179"/>
    <w:rsid w:val="00F15786"/>
    <w:rsid w:val="00F167C5"/>
    <w:rsid w:val="00F20B5A"/>
    <w:rsid w:val="00F21F0B"/>
    <w:rsid w:val="00F236AB"/>
    <w:rsid w:val="00F24EA4"/>
    <w:rsid w:val="00F27087"/>
    <w:rsid w:val="00F2773C"/>
    <w:rsid w:val="00F300B3"/>
    <w:rsid w:val="00F30DB9"/>
    <w:rsid w:val="00F30FB8"/>
    <w:rsid w:val="00F31D68"/>
    <w:rsid w:val="00F33152"/>
    <w:rsid w:val="00F338F2"/>
    <w:rsid w:val="00F349D3"/>
    <w:rsid w:val="00F3533E"/>
    <w:rsid w:val="00F35B84"/>
    <w:rsid w:val="00F402B5"/>
    <w:rsid w:val="00F4072F"/>
    <w:rsid w:val="00F42839"/>
    <w:rsid w:val="00F44CC0"/>
    <w:rsid w:val="00F450BA"/>
    <w:rsid w:val="00F4684B"/>
    <w:rsid w:val="00F46BE9"/>
    <w:rsid w:val="00F47C3B"/>
    <w:rsid w:val="00F506CA"/>
    <w:rsid w:val="00F53A7A"/>
    <w:rsid w:val="00F54FCD"/>
    <w:rsid w:val="00F5785C"/>
    <w:rsid w:val="00F65E3C"/>
    <w:rsid w:val="00F67076"/>
    <w:rsid w:val="00F677FA"/>
    <w:rsid w:val="00F7115A"/>
    <w:rsid w:val="00F717AA"/>
    <w:rsid w:val="00F72714"/>
    <w:rsid w:val="00F744C3"/>
    <w:rsid w:val="00F75EE2"/>
    <w:rsid w:val="00F75F69"/>
    <w:rsid w:val="00F76014"/>
    <w:rsid w:val="00F802D3"/>
    <w:rsid w:val="00F80F94"/>
    <w:rsid w:val="00F81BA2"/>
    <w:rsid w:val="00F823A4"/>
    <w:rsid w:val="00F8412F"/>
    <w:rsid w:val="00F84791"/>
    <w:rsid w:val="00F85995"/>
    <w:rsid w:val="00F85FC5"/>
    <w:rsid w:val="00F86C22"/>
    <w:rsid w:val="00F90CB3"/>
    <w:rsid w:val="00F912A2"/>
    <w:rsid w:val="00F913A3"/>
    <w:rsid w:val="00F925C3"/>
    <w:rsid w:val="00FA0109"/>
    <w:rsid w:val="00FA458B"/>
    <w:rsid w:val="00FA5EC5"/>
    <w:rsid w:val="00FA7016"/>
    <w:rsid w:val="00FA7174"/>
    <w:rsid w:val="00FA793D"/>
    <w:rsid w:val="00FB020E"/>
    <w:rsid w:val="00FB0F17"/>
    <w:rsid w:val="00FB4B9D"/>
    <w:rsid w:val="00FB50ED"/>
    <w:rsid w:val="00FB6E18"/>
    <w:rsid w:val="00FC144B"/>
    <w:rsid w:val="00FC2169"/>
    <w:rsid w:val="00FC28E2"/>
    <w:rsid w:val="00FC3BF6"/>
    <w:rsid w:val="00FC3D22"/>
    <w:rsid w:val="00FC6FE1"/>
    <w:rsid w:val="00FD0C3D"/>
    <w:rsid w:val="00FD2F6B"/>
    <w:rsid w:val="00FE064A"/>
    <w:rsid w:val="00FE0B55"/>
    <w:rsid w:val="00FE1E98"/>
    <w:rsid w:val="00FE2452"/>
    <w:rsid w:val="00FE5469"/>
    <w:rsid w:val="00FE66C2"/>
    <w:rsid w:val="00FE684A"/>
    <w:rsid w:val="00FE6F23"/>
    <w:rsid w:val="00FF0F8C"/>
    <w:rsid w:val="00FF408B"/>
    <w:rsid w:val="00FF43E1"/>
    <w:rsid w:val="03430854"/>
    <w:rsid w:val="039F5FA6"/>
    <w:rsid w:val="09305ADA"/>
    <w:rsid w:val="09353399"/>
    <w:rsid w:val="094E3449"/>
    <w:rsid w:val="09A6701A"/>
    <w:rsid w:val="0E8013B7"/>
    <w:rsid w:val="10D604C6"/>
    <w:rsid w:val="11902A8A"/>
    <w:rsid w:val="11B515E0"/>
    <w:rsid w:val="12E4700C"/>
    <w:rsid w:val="130C7515"/>
    <w:rsid w:val="13A53267"/>
    <w:rsid w:val="13F970D2"/>
    <w:rsid w:val="14AA4136"/>
    <w:rsid w:val="14C447F8"/>
    <w:rsid w:val="14D27FEE"/>
    <w:rsid w:val="150B58A6"/>
    <w:rsid w:val="1572463D"/>
    <w:rsid w:val="163A420B"/>
    <w:rsid w:val="18495BA4"/>
    <w:rsid w:val="19413B26"/>
    <w:rsid w:val="1C6D3688"/>
    <w:rsid w:val="1C974DF7"/>
    <w:rsid w:val="1CC63D0A"/>
    <w:rsid w:val="1DC2081A"/>
    <w:rsid w:val="1DD94266"/>
    <w:rsid w:val="1EC5193C"/>
    <w:rsid w:val="1F9D0947"/>
    <w:rsid w:val="1FFB29C6"/>
    <w:rsid w:val="22AF3620"/>
    <w:rsid w:val="22E70AD4"/>
    <w:rsid w:val="23D41AC5"/>
    <w:rsid w:val="24F1508D"/>
    <w:rsid w:val="266F634F"/>
    <w:rsid w:val="27182EAE"/>
    <w:rsid w:val="291059EA"/>
    <w:rsid w:val="2B0025D7"/>
    <w:rsid w:val="2BBF12EC"/>
    <w:rsid w:val="2BC649D9"/>
    <w:rsid w:val="2CA01C73"/>
    <w:rsid w:val="2D242BB5"/>
    <w:rsid w:val="2EC12FB5"/>
    <w:rsid w:val="2F9004D2"/>
    <w:rsid w:val="2FA72481"/>
    <w:rsid w:val="31E53BD8"/>
    <w:rsid w:val="335C2917"/>
    <w:rsid w:val="348B25D0"/>
    <w:rsid w:val="3515160D"/>
    <w:rsid w:val="368954E4"/>
    <w:rsid w:val="36C450EA"/>
    <w:rsid w:val="38674AE4"/>
    <w:rsid w:val="38DE6E86"/>
    <w:rsid w:val="3B7807FE"/>
    <w:rsid w:val="3C7D00D8"/>
    <w:rsid w:val="3CA06C0C"/>
    <w:rsid w:val="3DB343BD"/>
    <w:rsid w:val="3EA25851"/>
    <w:rsid w:val="3F215862"/>
    <w:rsid w:val="3F6C3757"/>
    <w:rsid w:val="405D6A10"/>
    <w:rsid w:val="41DA6594"/>
    <w:rsid w:val="442E1594"/>
    <w:rsid w:val="444C1A75"/>
    <w:rsid w:val="44A3526F"/>
    <w:rsid w:val="44B032F4"/>
    <w:rsid w:val="45447072"/>
    <w:rsid w:val="457D25F7"/>
    <w:rsid w:val="45BE6EBE"/>
    <w:rsid w:val="468341CD"/>
    <w:rsid w:val="472C2589"/>
    <w:rsid w:val="485E367A"/>
    <w:rsid w:val="4A1125B4"/>
    <w:rsid w:val="4A760AEB"/>
    <w:rsid w:val="4CEE4699"/>
    <w:rsid w:val="4D4909C0"/>
    <w:rsid w:val="4F3162CA"/>
    <w:rsid w:val="50D95873"/>
    <w:rsid w:val="526102AF"/>
    <w:rsid w:val="528444DA"/>
    <w:rsid w:val="533061F0"/>
    <w:rsid w:val="537745D5"/>
    <w:rsid w:val="54E05865"/>
    <w:rsid w:val="552306F6"/>
    <w:rsid w:val="558A6427"/>
    <w:rsid w:val="56214913"/>
    <w:rsid w:val="56E352D5"/>
    <w:rsid w:val="57E435FE"/>
    <w:rsid w:val="582D0655"/>
    <w:rsid w:val="588241FE"/>
    <w:rsid w:val="5951205C"/>
    <w:rsid w:val="59D079E8"/>
    <w:rsid w:val="59D40847"/>
    <w:rsid w:val="5AE37F25"/>
    <w:rsid w:val="5CB23D47"/>
    <w:rsid w:val="5EBC4C8C"/>
    <w:rsid w:val="5FAF09C4"/>
    <w:rsid w:val="608C4642"/>
    <w:rsid w:val="614B3B33"/>
    <w:rsid w:val="618834A8"/>
    <w:rsid w:val="62795572"/>
    <w:rsid w:val="64DD6417"/>
    <w:rsid w:val="66004745"/>
    <w:rsid w:val="693130A1"/>
    <w:rsid w:val="6A204681"/>
    <w:rsid w:val="6A567F20"/>
    <w:rsid w:val="6B5536F3"/>
    <w:rsid w:val="6BF3393F"/>
    <w:rsid w:val="6CD97953"/>
    <w:rsid w:val="6ED30FD7"/>
    <w:rsid w:val="6F266D81"/>
    <w:rsid w:val="6FFF7BD7"/>
    <w:rsid w:val="70451C9F"/>
    <w:rsid w:val="70F71F60"/>
    <w:rsid w:val="7185070D"/>
    <w:rsid w:val="71BE290D"/>
    <w:rsid w:val="72390291"/>
    <w:rsid w:val="727D78FD"/>
    <w:rsid w:val="73CC655F"/>
    <w:rsid w:val="73FA8648"/>
    <w:rsid w:val="745D3C87"/>
    <w:rsid w:val="7479207F"/>
    <w:rsid w:val="75957445"/>
    <w:rsid w:val="75993C83"/>
    <w:rsid w:val="75D01AE1"/>
    <w:rsid w:val="77524363"/>
    <w:rsid w:val="77B917B5"/>
    <w:rsid w:val="77F75380"/>
    <w:rsid w:val="78703975"/>
    <w:rsid w:val="79B7035F"/>
    <w:rsid w:val="7A770574"/>
    <w:rsid w:val="7A937EB0"/>
    <w:rsid w:val="7BDC08A0"/>
    <w:rsid w:val="7BE420FD"/>
    <w:rsid w:val="7D0D296B"/>
    <w:rsid w:val="7D4E0B54"/>
    <w:rsid w:val="7D503E78"/>
    <w:rsid w:val="7E0160D4"/>
    <w:rsid w:val="7EF55007"/>
    <w:rsid w:val="B79A69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2">
    <w:name w:val="heading 1"/>
    <w:basedOn w:val="1"/>
    <w:next w:val="1"/>
    <w:link w:val="76"/>
    <w:qFormat/>
    <w:uiPriority w:val="0"/>
    <w:pPr>
      <w:keepNext/>
      <w:keepLines/>
      <w:numPr>
        <w:ilvl w:val="0"/>
        <w:numId w:val="1"/>
      </w:numPr>
      <w:spacing w:before="120" w:after="120"/>
      <w:ind w:firstLine="0" w:firstLineChars="0"/>
      <w:outlineLvl w:val="0"/>
    </w:pPr>
    <w:rPr>
      <w:rFonts w:eastAsia="黑体"/>
      <w:b/>
      <w:bCs/>
      <w:kern w:val="44"/>
      <w:sz w:val="32"/>
      <w:szCs w:val="28"/>
    </w:rPr>
  </w:style>
  <w:style w:type="paragraph" w:styleId="3">
    <w:name w:val="heading 2"/>
    <w:basedOn w:val="1"/>
    <w:next w:val="1"/>
    <w:link w:val="89"/>
    <w:qFormat/>
    <w:uiPriority w:val="9"/>
    <w:pPr>
      <w:keepNext/>
      <w:keepLines/>
      <w:numPr>
        <w:ilvl w:val="1"/>
        <w:numId w:val="1"/>
      </w:numPr>
      <w:spacing w:before="120" w:after="120"/>
      <w:ind w:firstLine="0" w:firstLineChars="0"/>
      <w:outlineLvl w:val="1"/>
    </w:pPr>
    <w:rPr>
      <w:b/>
      <w:bCs/>
      <w:sz w:val="30"/>
      <w:szCs w:val="32"/>
    </w:rPr>
  </w:style>
  <w:style w:type="paragraph" w:styleId="4">
    <w:name w:val="heading 3"/>
    <w:basedOn w:val="1"/>
    <w:next w:val="1"/>
    <w:link w:val="82"/>
    <w:qFormat/>
    <w:uiPriority w:val="0"/>
    <w:pPr>
      <w:keepNext/>
      <w:keepLines/>
      <w:numPr>
        <w:ilvl w:val="2"/>
        <w:numId w:val="1"/>
      </w:numPr>
      <w:spacing w:before="120" w:after="120"/>
      <w:ind w:firstLine="0" w:firstLineChars="0"/>
      <w:outlineLvl w:val="2"/>
    </w:pPr>
    <w:rPr>
      <w:b/>
      <w:bCs/>
      <w:sz w:val="28"/>
      <w:szCs w:val="28"/>
    </w:rPr>
  </w:style>
  <w:style w:type="paragraph" w:styleId="5">
    <w:name w:val="heading 4"/>
    <w:basedOn w:val="1"/>
    <w:next w:val="1"/>
    <w:link w:val="59"/>
    <w:qFormat/>
    <w:uiPriority w:val="0"/>
    <w:pPr>
      <w:keepNext/>
      <w:keepLines/>
      <w:numPr>
        <w:ilvl w:val="3"/>
        <w:numId w:val="1"/>
      </w:numPr>
      <w:spacing w:before="120" w:after="120"/>
      <w:ind w:left="851" w:firstLine="0" w:firstLineChars="0"/>
      <w:outlineLvl w:val="3"/>
    </w:pPr>
    <w:rPr>
      <w:b/>
      <w:bCs/>
      <w:sz w:val="30"/>
      <w:szCs w:val="30"/>
    </w:rPr>
  </w:style>
  <w:style w:type="paragraph" w:styleId="6">
    <w:name w:val="heading 5"/>
    <w:basedOn w:val="1"/>
    <w:next w:val="1"/>
    <w:link w:val="87"/>
    <w:qFormat/>
    <w:uiPriority w:val="0"/>
    <w:pPr>
      <w:keepNext/>
      <w:keepLines/>
      <w:numPr>
        <w:ilvl w:val="4"/>
        <w:numId w:val="1"/>
      </w:numPr>
      <w:spacing w:before="120" w:after="120"/>
      <w:ind w:left="0" w:firstLine="0" w:firstLineChars="0"/>
      <w:outlineLvl w:val="4"/>
    </w:pPr>
    <w:rPr>
      <w:b/>
      <w:bCs/>
      <w:szCs w:val="28"/>
    </w:rPr>
  </w:style>
  <w:style w:type="paragraph" w:styleId="7">
    <w:name w:val="heading 6"/>
    <w:basedOn w:val="1"/>
    <w:next w:val="1"/>
    <w:link w:val="100"/>
    <w:qFormat/>
    <w:uiPriority w:val="0"/>
    <w:pPr>
      <w:keepNext/>
      <w:keepLines/>
      <w:numPr>
        <w:ilvl w:val="5"/>
        <w:numId w:val="1"/>
      </w:numPr>
      <w:spacing w:before="120" w:after="120"/>
      <w:ind w:firstLine="0" w:firstLineChars="0"/>
      <w:outlineLvl w:val="5"/>
    </w:pPr>
    <w:rPr>
      <w:rFonts w:ascii="Cambria" w:hAnsi="Cambria"/>
      <w:b/>
      <w:bCs/>
    </w:rPr>
  </w:style>
  <w:style w:type="paragraph" w:styleId="8">
    <w:name w:val="heading 7"/>
    <w:basedOn w:val="1"/>
    <w:next w:val="1"/>
    <w:link w:val="73"/>
    <w:qFormat/>
    <w:uiPriority w:val="9"/>
    <w:pPr>
      <w:keepNext/>
      <w:keepLines/>
      <w:spacing w:before="240" w:after="64" w:line="319" w:lineRule="auto"/>
      <w:ind w:firstLine="0" w:firstLineChars="0"/>
      <w:outlineLvl w:val="6"/>
    </w:pPr>
    <w:rPr>
      <w:rFonts w:ascii="Times New Roman" w:hAnsi="Times New Roman"/>
      <w:b/>
      <w:bCs/>
      <w:sz w:val="21"/>
    </w:rPr>
  </w:style>
  <w:style w:type="paragraph" w:styleId="9">
    <w:name w:val="heading 8"/>
    <w:basedOn w:val="1"/>
    <w:next w:val="1"/>
    <w:link w:val="99"/>
    <w:qFormat/>
    <w:uiPriority w:val="9"/>
    <w:pPr>
      <w:keepNext/>
      <w:keepLines/>
      <w:spacing w:before="240" w:after="64" w:line="319" w:lineRule="auto"/>
      <w:ind w:firstLine="0" w:firstLineChars="0"/>
      <w:outlineLvl w:val="7"/>
    </w:pPr>
    <w:rPr>
      <w:rFonts w:ascii="Cambria" w:hAnsi="Cambria"/>
      <w:sz w:val="21"/>
    </w:rPr>
  </w:style>
  <w:style w:type="paragraph" w:styleId="10">
    <w:name w:val="heading 9"/>
    <w:basedOn w:val="1"/>
    <w:next w:val="1"/>
    <w:link w:val="49"/>
    <w:qFormat/>
    <w:uiPriority w:val="9"/>
    <w:pPr>
      <w:keepNext/>
      <w:keepLines/>
      <w:spacing w:before="240" w:after="64" w:line="319" w:lineRule="auto"/>
      <w:ind w:firstLine="0" w:firstLineChars="0"/>
      <w:outlineLvl w:val="8"/>
    </w:pPr>
    <w:rPr>
      <w:rFonts w:ascii="Cambria" w:hAnsi="Cambria"/>
      <w:sz w:val="21"/>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等线" w:hAnsi="等线" w:eastAsia="等线"/>
      <w:szCs w:val="22"/>
    </w:rPr>
  </w:style>
  <w:style w:type="paragraph" w:styleId="12">
    <w:name w:val="Normal Indent"/>
    <w:basedOn w:val="1"/>
    <w:unhideWhenUsed/>
    <w:qFormat/>
    <w:uiPriority w:val="99"/>
    <w:pPr>
      <w:spacing w:line="240" w:lineRule="auto"/>
      <w:ind w:firstLine="420"/>
    </w:pPr>
    <w:rPr>
      <w:rFonts w:ascii="Calibri" w:hAnsi="Calibri"/>
      <w:sz w:val="21"/>
    </w:rPr>
  </w:style>
  <w:style w:type="paragraph" w:styleId="13">
    <w:name w:val="caption"/>
    <w:basedOn w:val="1"/>
    <w:next w:val="1"/>
    <w:link w:val="55"/>
    <w:qFormat/>
    <w:uiPriority w:val="0"/>
    <w:pPr>
      <w:spacing w:afterLines="50"/>
      <w:ind w:firstLine="200"/>
    </w:pPr>
    <w:rPr>
      <w:rFonts w:ascii="Arial" w:hAnsi="Arial" w:eastAsia="黑体"/>
      <w:sz w:val="20"/>
      <w:szCs w:val="20"/>
    </w:rPr>
  </w:style>
  <w:style w:type="paragraph" w:styleId="14">
    <w:name w:val="Document Map"/>
    <w:basedOn w:val="1"/>
    <w:link w:val="92"/>
    <w:qFormat/>
    <w:uiPriority w:val="0"/>
    <w:rPr>
      <w:rFonts w:hAnsi="Times New Roman"/>
      <w:sz w:val="18"/>
      <w:szCs w:val="18"/>
    </w:rPr>
  </w:style>
  <w:style w:type="paragraph" w:styleId="15">
    <w:name w:val="annotation text"/>
    <w:basedOn w:val="1"/>
    <w:link w:val="46"/>
    <w:qFormat/>
    <w:uiPriority w:val="99"/>
    <w:pPr>
      <w:jc w:val="left"/>
    </w:pPr>
    <w:rPr>
      <w:rFonts w:ascii="Times New Roman" w:hAnsi="Times New Roman" w:eastAsia="仿宋"/>
      <w:sz w:val="28"/>
    </w:rPr>
  </w:style>
  <w:style w:type="paragraph" w:styleId="16">
    <w:name w:val="Body Text"/>
    <w:basedOn w:val="1"/>
    <w:link w:val="60"/>
    <w:unhideWhenUsed/>
    <w:qFormat/>
    <w:uiPriority w:val="0"/>
    <w:pPr>
      <w:spacing w:after="120" w:line="240" w:lineRule="auto"/>
      <w:ind w:firstLine="0" w:firstLineChars="0"/>
    </w:pPr>
    <w:rPr>
      <w:rFonts w:ascii="Times New Roman" w:hAnsi="Times New Roman"/>
      <w:sz w:val="21"/>
    </w:rPr>
  </w:style>
  <w:style w:type="paragraph" w:styleId="17">
    <w:name w:val="Body Text Indent"/>
    <w:basedOn w:val="1"/>
    <w:link w:val="86"/>
    <w:qFormat/>
    <w:uiPriority w:val="0"/>
    <w:pPr>
      <w:spacing w:after="120"/>
      <w:ind w:firstLine="200"/>
    </w:pPr>
    <w:rPr>
      <w:rFonts w:ascii="Times New Roman" w:hAnsi="Times New Roman"/>
      <w:sz w:val="21"/>
      <w:szCs w:val="20"/>
    </w:rPr>
  </w:style>
  <w:style w:type="paragraph" w:styleId="18">
    <w:name w:val="toc 5"/>
    <w:basedOn w:val="1"/>
    <w:next w:val="1"/>
    <w:unhideWhenUsed/>
    <w:qFormat/>
    <w:uiPriority w:val="39"/>
    <w:pPr>
      <w:ind w:left="1680" w:leftChars="800"/>
    </w:pPr>
    <w:rPr>
      <w:rFonts w:ascii="等线" w:hAnsi="等线" w:eastAsia="等线"/>
      <w:szCs w:val="22"/>
    </w:rPr>
  </w:style>
  <w:style w:type="paragraph" w:styleId="19">
    <w:name w:val="toc 3"/>
    <w:basedOn w:val="1"/>
    <w:next w:val="1"/>
    <w:qFormat/>
    <w:uiPriority w:val="39"/>
    <w:pPr>
      <w:tabs>
        <w:tab w:val="right" w:leader="dot" w:pos="8302"/>
      </w:tabs>
      <w:ind w:left="840" w:leftChars="400"/>
    </w:pPr>
  </w:style>
  <w:style w:type="paragraph" w:styleId="20">
    <w:name w:val="Plain Text"/>
    <w:basedOn w:val="1"/>
    <w:link w:val="67"/>
    <w:qFormat/>
    <w:uiPriority w:val="0"/>
    <w:pPr>
      <w:spacing w:line="240" w:lineRule="auto"/>
      <w:ind w:firstLine="0" w:firstLineChars="0"/>
    </w:pPr>
    <w:rPr>
      <w:rFonts w:hAnsi="Courier New"/>
      <w:sz w:val="21"/>
      <w:szCs w:val="20"/>
    </w:rPr>
  </w:style>
  <w:style w:type="paragraph" w:styleId="21">
    <w:name w:val="toc 8"/>
    <w:basedOn w:val="1"/>
    <w:next w:val="1"/>
    <w:unhideWhenUsed/>
    <w:qFormat/>
    <w:uiPriority w:val="39"/>
    <w:pPr>
      <w:ind w:left="2940" w:leftChars="1400"/>
    </w:pPr>
    <w:rPr>
      <w:rFonts w:ascii="等线" w:hAnsi="等线" w:eastAsia="等线"/>
      <w:szCs w:val="22"/>
    </w:rPr>
  </w:style>
  <w:style w:type="paragraph" w:styleId="22">
    <w:name w:val="Date"/>
    <w:basedOn w:val="1"/>
    <w:next w:val="1"/>
    <w:link w:val="48"/>
    <w:qFormat/>
    <w:uiPriority w:val="0"/>
    <w:pPr>
      <w:ind w:left="100" w:leftChars="2500"/>
    </w:pPr>
    <w:rPr>
      <w:rFonts w:ascii="Times New Roman" w:hAnsi="Times New Roman"/>
      <w:sz w:val="21"/>
    </w:rPr>
  </w:style>
  <w:style w:type="paragraph" w:styleId="23">
    <w:name w:val="Balloon Text"/>
    <w:basedOn w:val="1"/>
    <w:link w:val="97"/>
    <w:qFormat/>
    <w:uiPriority w:val="0"/>
    <w:rPr>
      <w:rFonts w:ascii="Times New Roman" w:hAnsi="Times New Roman"/>
      <w:sz w:val="18"/>
      <w:szCs w:val="18"/>
    </w:rPr>
  </w:style>
  <w:style w:type="paragraph" w:styleId="24">
    <w:name w:val="footer"/>
    <w:basedOn w:val="1"/>
    <w:link w:val="90"/>
    <w:qFormat/>
    <w:uiPriority w:val="99"/>
    <w:pPr>
      <w:tabs>
        <w:tab w:val="center" w:pos="4153"/>
        <w:tab w:val="right" w:pos="8306"/>
      </w:tabs>
      <w:snapToGrid w:val="0"/>
      <w:jc w:val="center"/>
    </w:pPr>
    <w:rPr>
      <w:rFonts w:ascii="Times New Roman" w:hAnsi="Times New Roman"/>
      <w:sz w:val="18"/>
      <w:szCs w:val="18"/>
    </w:rPr>
  </w:style>
  <w:style w:type="paragraph" w:styleId="25">
    <w:name w:val="header"/>
    <w:basedOn w:val="1"/>
    <w:link w:val="98"/>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styleId="26">
    <w:name w:val="toc 1"/>
    <w:basedOn w:val="1"/>
    <w:next w:val="1"/>
    <w:qFormat/>
    <w:uiPriority w:val="39"/>
  </w:style>
  <w:style w:type="paragraph" w:styleId="27">
    <w:name w:val="toc 4"/>
    <w:basedOn w:val="1"/>
    <w:next w:val="1"/>
    <w:unhideWhenUsed/>
    <w:qFormat/>
    <w:uiPriority w:val="39"/>
    <w:pPr>
      <w:ind w:left="1260" w:leftChars="600"/>
    </w:pPr>
    <w:rPr>
      <w:rFonts w:ascii="等线" w:hAnsi="等线" w:eastAsia="等线"/>
      <w:szCs w:val="22"/>
    </w:rPr>
  </w:style>
  <w:style w:type="paragraph" w:styleId="28">
    <w:name w:val="Subtitle"/>
    <w:basedOn w:val="1"/>
    <w:next w:val="1"/>
    <w:link w:val="88"/>
    <w:qFormat/>
    <w:uiPriority w:val="0"/>
    <w:pPr>
      <w:spacing w:before="240" w:after="60" w:line="312" w:lineRule="auto"/>
      <w:jc w:val="center"/>
      <w:outlineLvl w:val="1"/>
    </w:pPr>
    <w:rPr>
      <w:rFonts w:ascii="Calibri Light" w:hAnsi="Calibri Light"/>
      <w:b/>
      <w:bCs/>
      <w:kern w:val="28"/>
      <w:sz w:val="32"/>
      <w:szCs w:val="32"/>
    </w:rPr>
  </w:style>
  <w:style w:type="paragraph" w:styleId="29">
    <w:name w:val="toc 6"/>
    <w:basedOn w:val="1"/>
    <w:next w:val="1"/>
    <w:unhideWhenUsed/>
    <w:qFormat/>
    <w:uiPriority w:val="39"/>
    <w:pPr>
      <w:ind w:left="2100" w:leftChars="1000"/>
    </w:pPr>
    <w:rPr>
      <w:rFonts w:ascii="等线" w:hAnsi="等线" w:eastAsia="等线"/>
      <w:szCs w:val="22"/>
    </w:rPr>
  </w:style>
  <w:style w:type="paragraph" w:styleId="30">
    <w:name w:val="toc 2"/>
    <w:basedOn w:val="1"/>
    <w:next w:val="1"/>
    <w:qFormat/>
    <w:uiPriority w:val="39"/>
    <w:pPr>
      <w:tabs>
        <w:tab w:val="right" w:leader="dot" w:pos="8302"/>
      </w:tabs>
      <w:ind w:left="420" w:leftChars="200"/>
    </w:pPr>
  </w:style>
  <w:style w:type="paragraph" w:styleId="31">
    <w:name w:val="toc 9"/>
    <w:basedOn w:val="1"/>
    <w:next w:val="1"/>
    <w:unhideWhenUsed/>
    <w:qFormat/>
    <w:uiPriority w:val="39"/>
    <w:pPr>
      <w:ind w:left="3360" w:leftChars="1600"/>
    </w:pPr>
    <w:rPr>
      <w:rFonts w:ascii="等线" w:hAnsi="等线" w:eastAsia="等线"/>
      <w:szCs w:val="22"/>
    </w:rPr>
  </w:style>
  <w:style w:type="paragraph" w:styleId="32">
    <w:name w:val="Normal (Web)"/>
    <w:basedOn w:val="1"/>
    <w:qFormat/>
    <w:uiPriority w:val="99"/>
    <w:pPr>
      <w:widowControl/>
      <w:spacing w:before="100" w:after="100"/>
      <w:jc w:val="left"/>
    </w:pPr>
    <w:rPr>
      <w:rFonts w:hint="eastAsia" w:ascii="Arial Unicode MS" w:hAnsi="Arial Unicode MS" w:eastAsia="Arial Unicode MS"/>
      <w:kern w:val="0"/>
    </w:rPr>
  </w:style>
  <w:style w:type="paragraph" w:styleId="33">
    <w:name w:val="Title"/>
    <w:basedOn w:val="1"/>
    <w:next w:val="1"/>
    <w:link w:val="96"/>
    <w:qFormat/>
    <w:uiPriority w:val="0"/>
    <w:pPr>
      <w:spacing w:before="240" w:after="60" w:line="960" w:lineRule="auto"/>
      <w:jc w:val="center"/>
    </w:pPr>
    <w:rPr>
      <w:rFonts w:ascii="Cambria" w:hAnsi="Cambria" w:eastAsia="黑体"/>
      <w:b/>
      <w:bCs/>
      <w:sz w:val="52"/>
      <w:szCs w:val="32"/>
    </w:rPr>
  </w:style>
  <w:style w:type="paragraph" w:styleId="34">
    <w:name w:val="annotation subject"/>
    <w:basedOn w:val="15"/>
    <w:next w:val="15"/>
    <w:link w:val="84"/>
    <w:qFormat/>
    <w:uiPriority w:val="0"/>
    <w:rPr>
      <w:b/>
      <w:bCs/>
      <w:sz w:val="21"/>
    </w:rPr>
  </w:style>
  <w:style w:type="table" w:styleId="36">
    <w:name w:val="Table Grid"/>
    <w:basedOn w:val="35"/>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FollowedHyperlink"/>
    <w:unhideWhenUsed/>
    <w:qFormat/>
    <w:uiPriority w:val="99"/>
    <w:rPr>
      <w:color w:val="954F72"/>
      <w:u w:val="single"/>
    </w:rPr>
  </w:style>
  <w:style w:type="character" w:styleId="40">
    <w:name w:val="Emphasis"/>
    <w:basedOn w:val="37"/>
    <w:qFormat/>
    <w:uiPriority w:val="0"/>
    <w:rPr>
      <w:i/>
    </w:rPr>
  </w:style>
  <w:style w:type="character" w:styleId="41">
    <w:name w:val="Hyperlink"/>
    <w:qFormat/>
    <w:uiPriority w:val="99"/>
    <w:rPr>
      <w:color w:val="0000FF"/>
      <w:u w:val="single"/>
    </w:rPr>
  </w:style>
  <w:style w:type="character" w:styleId="42">
    <w:name w:val="annotation reference"/>
    <w:qFormat/>
    <w:uiPriority w:val="99"/>
    <w:rPr>
      <w:sz w:val="21"/>
      <w:szCs w:val="21"/>
    </w:rPr>
  </w:style>
  <w:style w:type="character" w:customStyle="1" w:styleId="43">
    <w:name w:val="标题 3 字符1"/>
    <w:qFormat/>
    <w:uiPriority w:val="0"/>
    <w:rPr>
      <w:rFonts w:ascii="宋体" w:hAnsi="宋体"/>
      <w:b/>
      <w:bCs/>
      <w:kern w:val="2"/>
      <w:sz w:val="28"/>
      <w:szCs w:val="28"/>
    </w:rPr>
  </w:style>
  <w:style w:type="character" w:customStyle="1" w:styleId="44">
    <w:name w:val="首行缩进正文 Char"/>
    <w:link w:val="45"/>
    <w:qFormat/>
    <w:uiPriority w:val="0"/>
    <w:rPr>
      <w:kern w:val="2"/>
      <w:sz w:val="24"/>
    </w:rPr>
  </w:style>
  <w:style w:type="paragraph" w:customStyle="1" w:styleId="45">
    <w:name w:val="首行缩进正文"/>
    <w:basedOn w:val="1"/>
    <w:link w:val="44"/>
    <w:qFormat/>
    <w:uiPriority w:val="0"/>
    <w:pPr>
      <w:widowControl/>
      <w:adjustRightInd w:val="0"/>
      <w:snapToGrid w:val="0"/>
      <w:spacing w:afterLines="50" w:line="276" w:lineRule="auto"/>
      <w:ind w:firstLine="420" w:firstLineChars="0"/>
      <w:jc w:val="left"/>
    </w:pPr>
    <w:rPr>
      <w:rFonts w:ascii="Times New Roman" w:hAnsi="Times New Roman"/>
      <w:szCs w:val="20"/>
    </w:rPr>
  </w:style>
  <w:style w:type="character" w:customStyle="1" w:styleId="46">
    <w:name w:val="批注文字 字符1"/>
    <w:link w:val="15"/>
    <w:qFormat/>
    <w:uiPriority w:val="99"/>
    <w:rPr>
      <w:rFonts w:eastAsia="仿宋"/>
      <w:kern w:val="2"/>
      <w:sz w:val="28"/>
      <w:szCs w:val="24"/>
    </w:rPr>
  </w:style>
  <w:style w:type="character" w:customStyle="1" w:styleId="47">
    <w:name w:val="日期 字符"/>
    <w:semiHidden/>
    <w:qFormat/>
    <w:uiPriority w:val="99"/>
    <w:rPr>
      <w:rFonts w:ascii="宋体" w:hAnsi="宋体"/>
      <w:kern w:val="2"/>
      <w:sz w:val="24"/>
      <w:szCs w:val="24"/>
    </w:rPr>
  </w:style>
  <w:style w:type="character" w:customStyle="1" w:styleId="48">
    <w:name w:val="日期 字符1"/>
    <w:link w:val="22"/>
    <w:qFormat/>
    <w:uiPriority w:val="0"/>
    <w:rPr>
      <w:kern w:val="2"/>
      <w:sz w:val="21"/>
      <w:szCs w:val="24"/>
    </w:rPr>
  </w:style>
  <w:style w:type="character" w:customStyle="1" w:styleId="49">
    <w:name w:val="标题 9 字符"/>
    <w:link w:val="10"/>
    <w:qFormat/>
    <w:uiPriority w:val="9"/>
    <w:rPr>
      <w:rFonts w:ascii="Cambria" w:hAnsi="Cambria"/>
      <w:kern w:val="2"/>
      <w:sz w:val="21"/>
      <w:szCs w:val="21"/>
    </w:rPr>
  </w:style>
  <w:style w:type="character" w:customStyle="1" w:styleId="50">
    <w:name w:val="未处理的提及1"/>
    <w:unhideWhenUsed/>
    <w:qFormat/>
    <w:uiPriority w:val="99"/>
    <w:rPr>
      <w:color w:val="605E5C"/>
      <w:shd w:val="clear" w:color="auto" w:fill="E1DFDD"/>
    </w:rPr>
  </w:style>
  <w:style w:type="character" w:customStyle="1" w:styleId="51">
    <w:name w:val="标题 1 字符"/>
    <w:qFormat/>
    <w:uiPriority w:val="9"/>
    <w:rPr>
      <w:rFonts w:ascii="宋体" w:hAnsi="宋体"/>
      <w:b/>
      <w:bCs/>
      <w:kern w:val="44"/>
      <w:sz w:val="44"/>
      <w:szCs w:val="44"/>
    </w:rPr>
  </w:style>
  <w:style w:type="character" w:customStyle="1" w:styleId="52">
    <w:name w:val="标题 3 字符"/>
    <w:semiHidden/>
    <w:qFormat/>
    <w:uiPriority w:val="9"/>
    <w:rPr>
      <w:rFonts w:ascii="宋体" w:hAnsi="宋体"/>
      <w:b/>
      <w:bCs/>
      <w:kern w:val="2"/>
      <w:sz w:val="32"/>
      <w:szCs w:val="32"/>
    </w:rPr>
  </w:style>
  <w:style w:type="character" w:customStyle="1" w:styleId="53">
    <w:name w:val="页脚 字符"/>
    <w:qFormat/>
    <w:uiPriority w:val="99"/>
  </w:style>
  <w:style w:type="character" w:customStyle="1" w:styleId="54">
    <w:name w:val="标题 5 字符"/>
    <w:semiHidden/>
    <w:qFormat/>
    <w:uiPriority w:val="9"/>
    <w:rPr>
      <w:rFonts w:ascii="宋体" w:hAnsi="宋体"/>
      <w:b/>
      <w:bCs/>
      <w:kern w:val="2"/>
      <w:sz w:val="28"/>
      <w:szCs w:val="28"/>
    </w:rPr>
  </w:style>
  <w:style w:type="character" w:customStyle="1" w:styleId="55">
    <w:name w:val="题注 字符"/>
    <w:link w:val="13"/>
    <w:qFormat/>
    <w:locked/>
    <w:uiPriority w:val="0"/>
    <w:rPr>
      <w:rFonts w:ascii="Arial" w:hAnsi="Arial" w:eastAsia="黑体"/>
      <w:kern w:val="2"/>
    </w:rPr>
  </w:style>
  <w:style w:type="character" w:customStyle="1" w:styleId="56">
    <w:name w:val="标题 2 字符"/>
    <w:semiHidden/>
    <w:qFormat/>
    <w:uiPriority w:val="9"/>
    <w:rPr>
      <w:rFonts w:ascii="等线 Light" w:hAnsi="等线 Light" w:eastAsia="等线 Light" w:cs="Times New Roman"/>
      <w:b/>
      <w:bCs/>
      <w:kern w:val="2"/>
      <w:sz w:val="32"/>
      <w:szCs w:val="32"/>
    </w:rPr>
  </w:style>
  <w:style w:type="character" w:customStyle="1" w:styleId="57">
    <w:name w:val="纯文本 字符"/>
    <w:qFormat/>
    <w:uiPriority w:val="0"/>
    <w:rPr>
      <w:rFonts w:ascii="宋体" w:hAnsi="Courier New" w:cs="Courier New"/>
      <w:kern w:val="2"/>
      <w:sz w:val="21"/>
      <w:szCs w:val="21"/>
    </w:rPr>
  </w:style>
  <w:style w:type="character" w:customStyle="1" w:styleId="58">
    <w:name w:val="列表段落 字符"/>
    <w:qFormat/>
    <w:uiPriority w:val="34"/>
    <w:rPr>
      <w:kern w:val="2"/>
      <w:sz w:val="21"/>
      <w:szCs w:val="22"/>
    </w:rPr>
  </w:style>
  <w:style w:type="character" w:customStyle="1" w:styleId="59">
    <w:name w:val="标题 4 字符1"/>
    <w:link w:val="5"/>
    <w:qFormat/>
    <w:uiPriority w:val="0"/>
    <w:rPr>
      <w:rFonts w:ascii="宋体" w:hAnsi="宋体"/>
      <w:b/>
      <w:bCs/>
      <w:kern w:val="2"/>
      <w:sz w:val="30"/>
      <w:szCs w:val="30"/>
    </w:rPr>
  </w:style>
  <w:style w:type="character" w:customStyle="1" w:styleId="60">
    <w:name w:val="正文文本 字符"/>
    <w:link w:val="16"/>
    <w:qFormat/>
    <w:uiPriority w:val="0"/>
    <w:rPr>
      <w:kern w:val="2"/>
      <w:sz w:val="21"/>
      <w:szCs w:val="24"/>
    </w:rPr>
  </w:style>
  <w:style w:type="character" w:customStyle="1" w:styleId="61">
    <w:name w:val="列表段落 字符1"/>
    <w:link w:val="62"/>
    <w:qFormat/>
    <w:uiPriority w:val="34"/>
    <w:rPr>
      <w:kern w:val="2"/>
      <w:sz w:val="21"/>
      <w:szCs w:val="24"/>
    </w:rPr>
  </w:style>
  <w:style w:type="paragraph" w:styleId="62">
    <w:name w:val="List Paragraph"/>
    <w:basedOn w:val="1"/>
    <w:link w:val="61"/>
    <w:qFormat/>
    <w:uiPriority w:val="34"/>
    <w:pPr>
      <w:ind w:firstLine="420"/>
    </w:pPr>
    <w:rPr>
      <w:rFonts w:ascii="Times New Roman" w:hAnsi="Times New Roman"/>
      <w:sz w:val="21"/>
    </w:rPr>
  </w:style>
  <w:style w:type="character" w:customStyle="1" w:styleId="63">
    <w:name w:val="font21"/>
    <w:qFormat/>
    <w:uiPriority w:val="0"/>
    <w:rPr>
      <w:rFonts w:ascii="Calibri" w:hAnsi="Calibri" w:cs="Calibri"/>
      <w:color w:val="000000"/>
      <w:sz w:val="21"/>
      <w:szCs w:val="21"/>
      <w:u w:val="none"/>
    </w:rPr>
  </w:style>
  <w:style w:type="character" w:customStyle="1" w:styleId="64">
    <w:name w:val="*正文 Char"/>
    <w:link w:val="65"/>
    <w:qFormat/>
    <w:uiPriority w:val="0"/>
    <w:rPr>
      <w:rFonts w:ascii="time" w:hAnsi="time"/>
      <w:sz w:val="24"/>
      <w:szCs w:val="24"/>
      <w:lang w:bidi="en-US"/>
    </w:rPr>
  </w:style>
  <w:style w:type="paragraph" w:customStyle="1" w:styleId="65">
    <w:name w:val="*正文"/>
    <w:basedOn w:val="1"/>
    <w:link w:val="64"/>
    <w:qFormat/>
    <w:uiPriority w:val="0"/>
    <w:pPr>
      <w:widowControl/>
      <w:ind w:firstLine="200"/>
      <w:contextualSpacing/>
    </w:pPr>
    <w:rPr>
      <w:rFonts w:ascii="time" w:hAnsi="time"/>
      <w:kern w:val="0"/>
      <w:lang w:bidi="en-US"/>
    </w:rPr>
  </w:style>
  <w:style w:type="character" w:customStyle="1" w:styleId="66">
    <w:name w:val="正文文本缩进 字符"/>
    <w:semiHidden/>
    <w:qFormat/>
    <w:uiPriority w:val="99"/>
    <w:rPr>
      <w:rFonts w:ascii="宋体" w:hAnsi="宋体"/>
      <w:kern w:val="2"/>
      <w:sz w:val="24"/>
      <w:szCs w:val="24"/>
    </w:rPr>
  </w:style>
  <w:style w:type="character" w:customStyle="1" w:styleId="67">
    <w:name w:val="纯文本 字符1"/>
    <w:link w:val="20"/>
    <w:qFormat/>
    <w:locked/>
    <w:uiPriority w:val="0"/>
    <w:rPr>
      <w:rFonts w:ascii="宋体" w:hAnsi="Courier New"/>
      <w:kern w:val="2"/>
      <w:sz w:val="21"/>
    </w:rPr>
  </w:style>
  <w:style w:type="character" w:customStyle="1" w:styleId="68">
    <w:name w:val="my正文 Char"/>
    <w:link w:val="69"/>
    <w:qFormat/>
    <w:uiPriority w:val="0"/>
    <w:rPr>
      <w:kern w:val="2"/>
      <w:sz w:val="21"/>
      <w:szCs w:val="24"/>
    </w:rPr>
  </w:style>
  <w:style w:type="paragraph" w:customStyle="1" w:styleId="69">
    <w:name w:val="my正文"/>
    <w:basedOn w:val="1"/>
    <w:link w:val="68"/>
    <w:qFormat/>
    <w:uiPriority w:val="0"/>
    <w:pPr>
      <w:spacing w:line="240" w:lineRule="auto"/>
      <w:ind w:firstLine="0" w:firstLineChars="0"/>
    </w:pPr>
    <w:rPr>
      <w:rFonts w:ascii="Times New Roman" w:hAnsi="Times New Roman"/>
      <w:sz w:val="21"/>
    </w:rPr>
  </w:style>
  <w:style w:type="character" w:customStyle="1" w:styleId="70">
    <w:name w:val="正文2 字符"/>
    <w:link w:val="71"/>
    <w:qFormat/>
    <w:uiPriority w:val="0"/>
    <w:rPr>
      <w:kern w:val="2"/>
      <w:sz w:val="21"/>
      <w:szCs w:val="24"/>
    </w:rPr>
  </w:style>
  <w:style w:type="paragraph" w:customStyle="1" w:styleId="71">
    <w:name w:val="正文2"/>
    <w:basedOn w:val="1"/>
    <w:link w:val="70"/>
    <w:qFormat/>
    <w:uiPriority w:val="0"/>
    <w:pPr>
      <w:ind w:firstLine="420"/>
    </w:pPr>
    <w:rPr>
      <w:rFonts w:ascii="Times New Roman" w:hAnsi="Times New Roman"/>
      <w:sz w:val="21"/>
    </w:rPr>
  </w:style>
  <w:style w:type="character" w:customStyle="1" w:styleId="72">
    <w:name w:val="font41"/>
    <w:qFormat/>
    <w:uiPriority w:val="0"/>
    <w:rPr>
      <w:rFonts w:hint="eastAsia" w:ascii="宋体" w:hAnsi="宋体" w:eastAsia="宋体" w:cs="宋体"/>
      <w:color w:val="000000"/>
      <w:sz w:val="21"/>
      <w:szCs w:val="21"/>
      <w:u w:val="none"/>
    </w:rPr>
  </w:style>
  <w:style w:type="character" w:customStyle="1" w:styleId="73">
    <w:name w:val="标题 7 字符"/>
    <w:link w:val="8"/>
    <w:qFormat/>
    <w:uiPriority w:val="9"/>
    <w:rPr>
      <w:b/>
      <w:bCs/>
      <w:kern w:val="2"/>
      <w:sz w:val="21"/>
      <w:szCs w:val="24"/>
    </w:rPr>
  </w:style>
  <w:style w:type="character" w:customStyle="1" w:styleId="74">
    <w:name w:val="批注框文本 字符"/>
    <w:semiHidden/>
    <w:qFormat/>
    <w:uiPriority w:val="99"/>
    <w:rPr>
      <w:rFonts w:ascii="宋体" w:hAnsi="宋体"/>
      <w:kern w:val="2"/>
      <w:sz w:val="18"/>
      <w:szCs w:val="18"/>
    </w:rPr>
  </w:style>
  <w:style w:type="character" w:customStyle="1" w:styleId="75">
    <w:name w:val="副标题 Char1"/>
    <w:qFormat/>
    <w:uiPriority w:val="0"/>
    <w:rPr>
      <w:rFonts w:ascii="Calibri Light" w:hAnsi="Calibri Light" w:cs="Times New Roman"/>
      <w:b/>
      <w:bCs/>
      <w:kern w:val="28"/>
      <w:sz w:val="32"/>
      <w:szCs w:val="32"/>
    </w:rPr>
  </w:style>
  <w:style w:type="character" w:customStyle="1" w:styleId="76">
    <w:name w:val="标题 1 字符1"/>
    <w:link w:val="2"/>
    <w:qFormat/>
    <w:uiPriority w:val="0"/>
    <w:rPr>
      <w:rFonts w:ascii="宋体" w:hAnsi="宋体" w:eastAsia="黑体"/>
      <w:b/>
      <w:bCs/>
      <w:kern w:val="44"/>
      <w:sz w:val="32"/>
      <w:szCs w:val="28"/>
    </w:rPr>
  </w:style>
  <w:style w:type="character" w:customStyle="1" w:styleId="77">
    <w:name w:val="批注文字 字符"/>
    <w:qFormat/>
    <w:uiPriority w:val="99"/>
    <w:rPr>
      <w:rFonts w:ascii="宋体" w:hAnsi="宋体"/>
      <w:kern w:val="2"/>
      <w:sz w:val="24"/>
      <w:szCs w:val="24"/>
    </w:rPr>
  </w:style>
  <w:style w:type="character" w:customStyle="1" w:styleId="78">
    <w:name w:val="文档结构图 字符"/>
    <w:semiHidden/>
    <w:qFormat/>
    <w:uiPriority w:val="99"/>
    <w:rPr>
      <w:rFonts w:ascii="Microsoft YaHei UI" w:hAnsi="宋体" w:eastAsia="Microsoft YaHei UI"/>
      <w:kern w:val="2"/>
      <w:sz w:val="18"/>
      <w:szCs w:val="18"/>
    </w:rPr>
  </w:style>
  <w:style w:type="character" w:customStyle="1" w:styleId="79">
    <w:name w:val="标题 6 字符"/>
    <w:semiHidden/>
    <w:qFormat/>
    <w:uiPriority w:val="9"/>
    <w:rPr>
      <w:rFonts w:ascii="等线 Light" w:hAnsi="等线 Light" w:eastAsia="等线 Light" w:cs="Times New Roman"/>
      <w:b/>
      <w:bCs/>
      <w:kern w:val="2"/>
      <w:sz w:val="24"/>
      <w:szCs w:val="24"/>
    </w:rPr>
  </w:style>
  <w:style w:type="character" w:customStyle="1" w:styleId="80">
    <w:name w:val="正文正文2 Char"/>
    <w:link w:val="81"/>
    <w:qFormat/>
    <w:uiPriority w:val="0"/>
    <w:rPr>
      <w:rFonts w:ascii="宋体" w:hAnsi="宋体"/>
      <w:kern w:val="2"/>
      <w:sz w:val="21"/>
      <w:szCs w:val="21"/>
    </w:rPr>
  </w:style>
  <w:style w:type="paragraph" w:customStyle="1" w:styleId="81">
    <w:name w:val="正文正文2"/>
    <w:basedOn w:val="1"/>
    <w:link w:val="80"/>
    <w:qFormat/>
    <w:uiPriority w:val="0"/>
    <w:pPr>
      <w:ind w:firstLine="460"/>
    </w:pPr>
    <w:rPr>
      <w:sz w:val="21"/>
      <w:szCs w:val="21"/>
    </w:rPr>
  </w:style>
  <w:style w:type="character" w:customStyle="1" w:styleId="82">
    <w:name w:val="标题 3 字符2"/>
    <w:link w:val="4"/>
    <w:qFormat/>
    <w:uiPriority w:val="0"/>
    <w:rPr>
      <w:rFonts w:ascii="宋体" w:hAnsi="宋体"/>
      <w:b/>
      <w:bCs/>
      <w:kern w:val="2"/>
      <w:sz w:val="28"/>
      <w:szCs w:val="28"/>
    </w:rPr>
  </w:style>
  <w:style w:type="character" w:customStyle="1" w:styleId="83">
    <w:name w:val="标题 4 字符"/>
    <w:semiHidden/>
    <w:qFormat/>
    <w:uiPriority w:val="9"/>
    <w:rPr>
      <w:rFonts w:ascii="等线 Light" w:hAnsi="等线 Light" w:eastAsia="等线 Light" w:cs="Times New Roman"/>
      <w:b/>
      <w:bCs/>
      <w:kern w:val="2"/>
      <w:sz w:val="28"/>
      <w:szCs w:val="28"/>
    </w:rPr>
  </w:style>
  <w:style w:type="character" w:customStyle="1" w:styleId="84">
    <w:name w:val="批注主题 字符1"/>
    <w:link w:val="34"/>
    <w:qFormat/>
    <w:uiPriority w:val="0"/>
    <w:rPr>
      <w:rFonts w:eastAsia="仿宋"/>
      <w:b/>
      <w:bCs/>
      <w:kern w:val="2"/>
      <w:sz w:val="21"/>
      <w:szCs w:val="24"/>
    </w:rPr>
  </w:style>
  <w:style w:type="character" w:customStyle="1" w:styleId="85">
    <w:name w:val="页眉 字符"/>
    <w:semiHidden/>
    <w:qFormat/>
    <w:uiPriority w:val="99"/>
    <w:rPr>
      <w:rFonts w:ascii="宋体" w:hAnsi="宋体"/>
      <w:kern w:val="2"/>
      <w:sz w:val="18"/>
      <w:szCs w:val="18"/>
    </w:rPr>
  </w:style>
  <w:style w:type="character" w:customStyle="1" w:styleId="86">
    <w:name w:val="正文文本缩进 字符1"/>
    <w:link w:val="17"/>
    <w:qFormat/>
    <w:uiPriority w:val="0"/>
    <w:rPr>
      <w:kern w:val="2"/>
      <w:sz w:val="21"/>
    </w:rPr>
  </w:style>
  <w:style w:type="character" w:customStyle="1" w:styleId="87">
    <w:name w:val="标题 5 字符1"/>
    <w:link w:val="6"/>
    <w:qFormat/>
    <w:uiPriority w:val="0"/>
    <w:rPr>
      <w:rFonts w:ascii="宋体" w:hAnsi="宋体"/>
      <w:b/>
      <w:bCs/>
      <w:kern w:val="2"/>
      <w:sz w:val="24"/>
      <w:szCs w:val="28"/>
    </w:rPr>
  </w:style>
  <w:style w:type="character" w:customStyle="1" w:styleId="88">
    <w:name w:val="副标题 字符1"/>
    <w:link w:val="28"/>
    <w:qFormat/>
    <w:uiPriority w:val="0"/>
    <w:rPr>
      <w:rFonts w:ascii="Calibri Light" w:hAnsi="Calibri Light"/>
      <w:b/>
      <w:bCs/>
      <w:kern w:val="28"/>
      <w:sz w:val="32"/>
      <w:szCs w:val="32"/>
    </w:rPr>
  </w:style>
  <w:style w:type="character" w:customStyle="1" w:styleId="89">
    <w:name w:val="标题 2 字符1"/>
    <w:link w:val="3"/>
    <w:qFormat/>
    <w:uiPriority w:val="9"/>
    <w:rPr>
      <w:rFonts w:ascii="宋体" w:hAnsi="宋体"/>
      <w:b/>
      <w:bCs/>
      <w:kern w:val="2"/>
      <w:sz w:val="30"/>
      <w:szCs w:val="32"/>
    </w:rPr>
  </w:style>
  <w:style w:type="character" w:customStyle="1" w:styleId="90">
    <w:name w:val="页脚 字符1"/>
    <w:link w:val="24"/>
    <w:qFormat/>
    <w:uiPriority w:val="99"/>
    <w:rPr>
      <w:kern w:val="2"/>
      <w:sz w:val="18"/>
      <w:szCs w:val="18"/>
    </w:rPr>
  </w:style>
  <w:style w:type="character" w:customStyle="1" w:styleId="91">
    <w:name w:val="批注主题 字符"/>
    <w:semiHidden/>
    <w:qFormat/>
    <w:uiPriority w:val="99"/>
    <w:rPr>
      <w:rFonts w:ascii="宋体" w:hAnsi="宋体"/>
      <w:b/>
      <w:bCs/>
      <w:kern w:val="2"/>
      <w:sz w:val="24"/>
      <w:szCs w:val="24"/>
    </w:rPr>
  </w:style>
  <w:style w:type="character" w:customStyle="1" w:styleId="92">
    <w:name w:val="文档结构图 字符1"/>
    <w:link w:val="14"/>
    <w:qFormat/>
    <w:uiPriority w:val="0"/>
    <w:rPr>
      <w:rFonts w:ascii="宋体"/>
      <w:kern w:val="2"/>
      <w:sz w:val="18"/>
      <w:szCs w:val="18"/>
    </w:rPr>
  </w:style>
  <w:style w:type="character" w:customStyle="1" w:styleId="93">
    <w:name w:val="font31"/>
    <w:qFormat/>
    <w:uiPriority w:val="0"/>
    <w:rPr>
      <w:rFonts w:hint="eastAsia" w:ascii="宋体" w:hAnsi="宋体" w:eastAsia="宋体" w:cs="宋体"/>
      <w:color w:val="000000"/>
      <w:sz w:val="21"/>
      <w:szCs w:val="21"/>
      <w:u w:val="none"/>
    </w:rPr>
  </w:style>
  <w:style w:type="character" w:customStyle="1" w:styleId="94">
    <w:name w:val="标准正文 Char"/>
    <w:link w:val="95"/>
    <w:qFormat/>
    <w:uiPriority w:val="0"/>
    <w:rPr>
      <w:rFonts w:ascii="Arial" w:hAnsi="Arial"/>
      <w:kern w:val="2"/>
      <w:sz w:val="24"/>
    </w:rPr>
  </w:style>
  <w:style w:type="paragraph" w:customStyle="1" w:styleId="95">
    <w:name w:val="标准正文"/>
    <w:basedOn w:val="17"/>
    <w:link w:val="94"/>
    <w:qFormat/>
    <w:uiPriority w:val="0"/>
    <w:pPr>
      <w:spacing w:before="60" w:after="60"/>
      <w:ind w:firstLine="482" w:firstLineChars="0"/>
    </w:pPr>
    <w:rPr>
      <w:rFonts w:ascii="Arial" w:hAnsi="Arial"/>
      <w:sz w:val="24"/>
    </w:rPr>
  </w:style>
  <w:style w:type="character" w:customStyle="1" w:styleId="96">
    <w:name w:val="标题 字符1"/>
    <w:link w:val="33"/>
    <w:qFormat/>
    <w:uiPriority w:val="0"/>
    <w:rPr>
      <w:rFonts w:ascii="Cambria" w:hAnsi="Cambria" w:eastAsia="黑体"/>
      <w:b/>
      <w:bCs/>
      <w:kern w:val="2"/>
      <w:sz w:val="52"/>
      <w:szCs w:val="32"/>
    </w:rPr>
  </w:style>
  <w:style w:type="character" w:customStyle="1" w:styleId="97">
    <w:name w:val="批注框文本 字符1"/>
    <w:link w:val="23"/>
    <w:qFormat/>
    <w:uiPriority w:val="0"/>
    <w:rPr>
      <w:kern w:val="2"/>
      <w:sz w:val="18"/>
      <w:szCs w:val="18"/>
    </w:rPr>
  </w:style>
  <w:style w:type="character" w:customStyle="1" w:styleId="98">
    <w:name w:val="页眉 字符1"/>
    <w:link w:val="25"/>
    <w:qFormat/>
    <w:uiPriority w:val="99"/>
    <w:rPr>
      <w:kern w:val="2"/>
      <w:sz w:val="18"/>
      <w:szCs w:val="18"/>
    </w:rPr>
  </w:style>
  <w:style w:type="character" w:customStyle="1" w:styleId="99">
    <w:name w:val="标题 8 字符"/>
    <w:link w:val="9"/>
    <w:qFormat/>
    <w:uiPriority w:val="9"/>
    <w:rPr>
      <w:rFonts w:ascii="Cambria" w:hAnsi="Cambria"/>
      <w:kern w:val="2"/>
      <w:sz w:val="21"/>
      <w:szCs w:val="24"/>
    </w:rPr>
  </w:style>
  <w:style w:type="character" w:customStyle="1" w:styleId="100">
    <w:name w:val="标题 6 字符1"/>
    <w:link w:val="7"/>
    <w:qFormat/>
    <w:uiPriority w:val="0"/>
    <w:rPr>
      <w:rFonts w:ascii="Cambria" w:hAnsi="Cambria"/>
      <w:b/>
      <w:bCs/>
      <w:kern w:val="2"/>
      <w:sz w:val="24"/>
      <w:szCs w:val="24"/>
    </w:rPr>
  </w:style>
  <w:style w:type="character" w:customStyle="1" w:styleId="101">
    <w:name w:val="标题 字符"/>
    <w:qFormat/>
    <w:uiPriority w:val="10"/>
    <w:rPr>
      <w:rFonts w:ascii="等线 Light" w:hAnsi="等线 Light" w:eastAsia="等线 Light" w:cs="Times New Roman"/>
      <w:b/>
      <w:bCs/>
      <w:kern w:val="2"/>
      <w:sz w:val="32"/>
      <w:szCs w:val="32"/>
    </w:rPr>
  </w:style>
  <w:style w:type="character" w:customStyle="1" w:styleId="102">
    <w:name w:val="副标题 字符"/>
    <w:qFormat/>
    <w:uiPriority w:val="11"/>
    <w:rPr>
      <w:rFonts w:ascii="等线" w:hAnsi="等线" w:eastAsia="等线" w:cs="Times New Roman"/>
      <w:b/>
      <w:bCs/>
      <w:kern w:val="28"/>
      <w:sz w:val="32"/>
      <w:szCs w:val="32"/>
    </w:rPr>
  </w:style>
  <w:style w:type="paragraph" w:customStyle="1" w:styleId="103">
    <w:name w:val="xl72"/>
    <w:basedOn w:val="1"/>
    <w:qFormat/>
    <w:uiPriority w:val="0"/>
    <w:pPr>
      <w:widowControl/>
      <w:spacing w:before="100" w:beforeAutospacing="1" w:after="100" w:afterAutospacing="1" w:line="240" w:lineRule="auto"/>
      <w:ind w:firstLine="0" w:firstLineChars="0"/>
      <w:jc w:val="center"/>
    </w:pPr>
    <w:rPr>
      <w:rFonts w:cs="宋体"/>
      <w:kern w:val="0"/>
    </w:rPr>
  </w:style>
  <w:style w:type="paragraph" w:customStyle="1" w:styleId="104">
    <w:name w:val="正文（深信服）"/>
    <w:qFormat/>
    <w:uiPriority w:val="0"/>
    <w:pPr>
      <w:spacing w:line="360" w:lineRule="auto"/>
      <w:ind w:firstLine="420"/>
    </w:pPr>
    <w:rPr>
      <w:rFonts w:ascii="Arial" w:hAnsi="Arial" w:eastAsia="宋体" w:cs="Times New Roman"/>
      <w:sz w:val="24"/>
      <w:szCs w:val="21"/>
      <w:shd w:val="clear" w:color="auto" w:fill="FFFFFF"/>
      <w:lang w:val="en-US" w:eastAsia="zh-CN" w:bidi="ar-SA"/>
    </w:rPr>
  </w:style>
  <w:style w:type="paragraph" w:customStyle="1" w:styleId="105">
    <w:name w:val="xl70"/>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06">
    <w:name w:val="_Style 2"/>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paragraph" w:customStyle="1" w:styleId="107">
    <w:name w:val="正文缩进1"/>
    <w:basedOn w:val="1"/>
    <w:qFormat/>
    <w:uiPriority w:val="0"/>
    <w:pPr>
      <w:spacing w:line="240" w:lineRule="auto"/>
      <w:ind w:firstLine="420"/>
    </w:pPr>
    <w:rPr>
      <w:rFonts w:ascii="Times New Roman" w:hAnsi="Times New Roman"/>
      <w:sz w:val="21"/>
      <w:szCs w:val="20"/>
    </w:rPr>
  </w:style>
  <w:style w:type="paragraph" w:customStyle="1" w:styleId="108">
    <w:name w:val="xl68"/>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09">
    <w:name w:val="前言、引言标题"/>
    <w:next w:val="1"/>
    <w:qFormat/>
    <w:uiPriority w:val="99"/>
    <w:pPr>
      <w:shd w:val="clear" w:color="FFFFFF" w:fill="FFFFFF"/>
      <w:tabs>
        <w:tab w:val="left" w:pos="425"/>
      </w:tabs>
      <w:spacing w:before="640" w:after="560"/>
      <w:jc w:val="center"/>
      <w:outlineLvl w:val="0"/>
    </w:pPr>
    <w:rPr>
      <w:rFonts w:ascii="黑体" w:hAnsi="Times New Roman" w:eastAsia="黑体" w:cs="Times New Roman"/>
      <w:sz w:val="32"/>
      <w:lang w:val="en-US" w:eastAsia="zh-CN" w:bidi="ar-SA"/>
    </w:rPr>
  </w:style>
  <w:style w:type="paragraph" w:customStyle="1" w:styleId="110">
    <w:name w:val="Indent Normal"/>
    <w:basedOn w:val="1"/>
    <w:qFormat/>
    <w:uiPriority w:val="0"/>
    <w:pPr>
      <w:ind w:firstLine="150" w:firstLineChars="150"/>
    </w:pPr>
  </w:style>
  <w:style w:type="paragraph" w:customStyle="1" w:styleId="111">
    <w:name w:val="msonormal"/>
    <w:basedOn w:val="1"/>
    <w:qFormat/>
    <w:uiPriority w:val="0"/>
    <w:pPr>
      <w:widowControl/>
      <w:spacing w:before="100" w:beforeAutospacing="1" w:after="100" w:afterAutospacing="1" w:line="240" w:lineRule="auto"/>
      <w:ind w:firstLine="0" w:firstLineChars="0"/>
      <w:jc w:val="left"/>
    </w:pPr>
    <w:rPr>
      <w:rFonts w:cs="宋体"/>
      <w:kern w:val="0"/>
    </w:rPr>
  </w:style>
  <w:style w:type="paragraph" w:customStyle="1" w:styleId="112">
    <w:name w:val="正文 缩进2字符"/>
    <w:basedOn w:val="1"/>
    <w:qFormat/>
    <w:uiPriority w:val="0"/>
    <w:pPr>
      <w:spacing w:afterLines="50" w:line="240" w:lineRule="auto"/>
      <w:ind w:firstLine="0" w:firstLineChars="0"/>
    </w:pPr>
    <w:rPr>
      <w:rFonts w:ascii="Times New Roman" w:hAnsi="Times New Roman" w:cs="宋体"/>
      <w:sz w:val="21"/>
      <w:szCs w:val="20"/>
    </w:rPr>
  </w:style>
  <w:style w:type="paragraph" w:customStyle="1" w:styleId="113">
    <w:name w:val="列项●（二级）"/>
    <w:qFormat/>
    <w:uiPriority w:val="0"/>
    <w:pPr>
      <w:numPr>
        <w:ilvl w:val="0"/>
        <w:numId w:val="2"/>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4">
    <w:name w:val="助手文本"/>
    <w:basedOn w:val="1"/>
    <w:qFormat/>
    <w:uiPriority w:val="0"/>
    <w:pPr>
      <w:autoSpaceDE w:val="0"/>
      <w:autoSpaceDN w:val="0"/>
      <w:adjustRightInd w:val="0"/>
      <w:spacing w:beforeLines="50" w:afterLines="50"/>
      <w:ind w:left="14" w:firstLine="434"/>
      <w:textAlignment w:val="baseline"/>
    </w:pPr>
    <w:rPr>
      <w:rFonts w:ascii="楷体_GB2312" w:eastAsia="楷体_GB2312"/>
      <w:kern w:val="0"/>
      <w:szCs w:val="20"/>
      <w:u w:val="single"/>
    </w:rPr>
  </w:style>
  <w:style w:type="paragraph" w:customStyle="1" w:styleId="115">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16">
    <w:name w:val="段"/>
    <w:qFormat/>
    <w:uiPriority w:val="0"/>
    <w:pPr>
      <w:autoSpaceDE w:val="0"/>
      <w:autoSpaceDN w:val="0"/>
      <w:ind w:firstLine="200" w:firstLineChars="200"/>
      <w:jc w:val="both"/>
    </w:pPr>
    <w:rPr>
      <w:rFonts w:ascii="宋体" w:hAnsi="Times New Roman" w:eastAsia="宋体" w:cs="Calibri"/>
      <w:sz w:val="21"/>
      <w:lang w:val="en-US" w:eastAsia="zh-CN"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cs="宋体"/>
      <w:kern w:val="0"/>
    </w:rPr>
  </w:style>
  <w:style w:type="paragraph" w:customStyle="1" w:styleId="118">
    <w:name w:val="Char Char Char Char Char Char1 Char"/>
    <w:basedOn w:val="1"/>
    <w:qFormat/>
    <w:uiPriority w:val="0"/>
    <w:pPr>
      <w:widowControl/>
      <w:spacing w:after="160" w:line="240" w:lineRule="exact"/>
      <w:jc w:val="left"/>
    </w:pPr>
  </w:style>
  <w:style w:type="paragraph" w:customStyle="1" w:styleId="119">
    <w:name w:val="PM_Body"/>
    <w:basedOn w:val="1"/>
    <w:qFormat/>
    <w:locked/>
    <w:uiPriority w:val="0"/>
    <w:rPr>
      <w:szCs w:val="21"/>
    </w:rPr>
  </w:style>
  <w:style w:type="paragraph" w:customStyle="1" w:styleId="120">
    <w:name w:val="Char Char1"/>
    <w:basedOn w:val="1"/>
    <w:qFormat/>
    <w:uiPriority w:val="0"/>
    <w:pPr>
      <w:widowControl/>
      <w:spacing w:before="120" w:after="120"/>
    </w:pPr>
    <w:rPr>
      <w:rFonts w:ascii="Times New Roman" w:hAnsi="Times New Roman" w:cs="宋体"/>
    </w:rPr>
  </w:style>
  <w:style w:type="paragraph" w:customStyle="1" w:styleId="121">
    <w:name w:val="xl71"/>
    <w:basedOn w:val="1"/>
    <w:qFormat/>
    <w:uiPriority w:val="0"/>
    <w:pPr>
      <w:widowControl/>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22">
    <w:name w:val="修订1"/>
    <w:unhideWhenUsed/>
    <w:qFormat/>
    <w:uiPriority w:val="99"/>
    <w:rPr>
      <w:rFonts w:ascii="宋体" w:hAnsi="宋体" w:eastAsia="宋体" w:cs="Times New Roman"/>
      <w:kern w:val="2"/>
      <w:sz w:val="24"/>
      <w:szCs w:val="24"/>
      <w:lang w:val="en-US" w:eastAsia="zh-CN" w:bidi="ar-SA"/>
    </w:rPr>
  </w:style>
  <w:style w:type="paragraph" w:customStyle="1" w:styleId="123">
    <w:name w:val="列出段落2"/>
    <w:basedOn w:val="1"/>
    <w:qFormat/>
    <w:uiPriority w:val="0"/>
    <w:pPr>
      <w:spacing w:line="240" w:lineRule="auto"/>
      <w:ind w:firstLine="420"/>
    </w:pPr>
    <w:rPr>
      <w:rFonts w:ascii="等线" w:hAnsi="等线" w:eastAsia="等线" w:cs="等线"/>
      <w:sz w:val="21"/>
      <w:szCs w:val="21"/>
    </w:rPr>
  </w:style>
  <w:style w:type="paragraph" w:customStyle="1" w:styleId="124">
    <w:name w:val="xl69"/>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kern w:val="0"/>
      <w:sz w:val="18"/>
      <w:szCs w:val="18"/>
    </w:rPr>
  </w:style>
  <w:style w:type="paragraph" w:customStyle="1" w:styleId="12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26">
    <w:name w:val="文档正文文本（中安网脉）"/>
    <w:basedOn w:val="1"/>
    <w:qFormat/>
    <w:uiPriority w:val="0"/>
    <w:pPr>
      <w:ind w:firstLine="200"/>
    </w:pPr>
    <w:rPr>
      <w:rFonts w:ascii="Times New Roman" w:hAnsi="Times New Roman" w:eastAsia="仿宋_GB2312"/>
      <w:color w:val="000000"/>
      <w:szCs w:val="28"/>
    </w:rPr>
  </w:style>
  <w:style w:type="paragraph" w:customStyle="1" w:styleId="127">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28">
    <w:name w:val="正文样式"/>
    <w:unhideWhenUsed/>
    <w:qFormat/>
    <w:uiPriority w:val="0"/>
    <w:pPr>
      <w:widowControl w:val="0"/>
      <w:adjustRightInd w:val="0"/>
      <w:snapToGrid w:val="0"/>
      <w:spacing w:line="360" w:lineRule="auto"/>
      <w:ind w:firstLine="200" w:firstLineChars="200"/>
      <w:jc w:val="both"/>
    </w:pPr>
    <w:rPr>
      <w:rFonts w:ascii="Times New Roman" w:hAnsi="Times New Roman" w:eastAsia="宋体" w:cs="Times New Roman"/>
      <w:bCs/>
      <w:snapToGrid w:val="0"/>
      <w:sz w:val="24"/>
      <w:szCs w:val="44"/>
      <w:lang w:val="en-US" w:eastAsia="zh-CN" w:bidi="ar-SA"/>
    </w:rPr>
  </w:style>
  <w:style w:type="paragraph" w:customStyle="1" w:styleId="129">
    <w:name w:val="样式 行距: 1.5 倍行距 首行缩进:  2 字符"/>
    <w:basedOn w:val="1"/>
    <w:qFormat/>
    <w:uiPriority w:val="0"/>
    <w:pPr>
      <w:ind w:firstLine="560"/>
      <w:jc w:val="left"/>
    </w:pPr>
    <w:rPr>
      <w:rFonts w:ascii="仿宋" w:hAnsi="仿宋" w:eastAsia="仿宋" w:cs="宋体"/>
      <w:sz w:val="28"/>
      <w:szCs w:val="20"/>
    </w:rPr>
  </w:style>
  <w:style w:type="paragraph" w:customStyle="1" w:styleId="130">
    <w:name w:val="TOC 标题1"/>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table" w:customStyle="1" w:styleId="131">
    <w:name w:val="!我的表格1"/>
    <w:basedOn w:val="3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
    <w:name w:val="网格型1"/>
    <w:basedOn w:val="35"/>
    <w:unhideWhenUsed/>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3">
    <w:name w:val="标题 1 Char"/>
    <w:qFormat/>
    <w:uiPriority w:val="0"/>
    <w:rPr>
      <w:rFonts w:ascii="宋体" w:hAnsi="宋体" w:eastAsia="黑体"/>
      <w:b/>
      <w:bCs/>
      <w:kern w:val="44"/>
      <w:sz w:val="32"/>
      <w:szCs w:val="28"/>
    </w:rPr>
  </w:style>
  <w:style w:type="character" w:customStyle="1" w:styleId="134">
    <w:name w:val="纯文本 Char2"/>
    <w:qFormat/>
    <w:uiPriority w:val="0"/>
    <w:rPr>
      <w:rFonts w:ascii="宋体" w:hAnsi="宋体" w:eastAsia="宋体" w:cs="Times New Roman"/>
      <w:color w:val="000000"/>
      <w:kern w:val="0"/>
      <w:sz w:val="24"/>
      <w:szCs w:val="24"/>
    </w:rPr>
  </w:style>
  <w:style w:type="paragraph" w:customStyle="1" w:styleId="135">
    <w:name w:val="列出段落1"/>
    <w:basedOn w:val="1"/>
    <w:qFormat/>
    <w:uiPriority w:val="34"/>
    <w:pPr>
      <w:spacing w:line="240" w:lineRule="auto"/>
      <w:ind w:firstLine="420"/>
    </w:pPr>
    <w:rPr>
      <w:rFonts w:ascii="Calibri" w:hAnsi="Calibri"/>
      <w:sz w:val="21"/>
      <w:szCs w:val="22"/>
    </w:rPr>
  </w:style>
  <w:style w:type="paragraph" w:customStyle="1" w:styleId="136">
    <w:name w:val="可研正文"/>
    <w:basedOn w:val="1"/>
    <w:qFormat/>
    <w:uiPriority w:val="0"/>
    <w:pPr>
      <w:ind w:firstLine="560"/>
    </w:pPr>
    <w:rPr>
      <w:rFonts w:ascii="仿宋" w:hAnsi="仿宋" w:eastAsia="仿宋"/>
      <w:sz w:val="28"/>
      <w:szCs w:val="28"/>
    </w:rPr>
  </w:style>
  <w:style w:type="paragraph" w:customStyle="1" w:styleId="137">
    <w:name w:val="修订2"/>
    <w:hidden/>
    <w:unhideWhenUsed/>
    <w:qFormat/>
    <w:uiPriority w:val="99"/>
    <w:rPr>
      <w:rFonts w:ascii="宋体" w:hAnsi="宋体" w:eastAsia="宋体" w:cs="Times New Roman"/>
      <w:kern w:val="2"/>
      <w:sz w:val="24"/>
      <w:szCs w:val="24"/>
      <w:lang w:val="en-US" w:eastAsia="zh-CN" w:bidi="ar-SA"/>
    </w:rPr>
  </w:style>
  <w:style w:type="paragraph" w:customStyle="1" w:styleId="138">
    <w:name w:val="修订3"/>
    <w:hidden/>
    <w:unhideWhenUsed/>
    <w:qFormat/>
    <w:uiPriority w:val="99"/>
    <w:rPr>
      <w:rFonts w:ascii="宋体" w:hAnsi="宋体" w:eastAsia="宋体" w:cs="Times New Roman"/>
      <w:kern w:val="2"/>
      <w:sz w:val="24"/>
      <w:szCs w:val="24"/>
      <w:lang w:val="en-US" w:eastAsia="zh-CN" w:bidi="ar-SA"/>
    </w:rPr>
  </w:style>
  <w:style w:type="paragraph" w:customStyle="1" w:styleId="139">
    <w:name w:val="Revision"/>
    <w:hidden/>
    <w:unhideWhenUsed/>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Version="6" SelectedStyle="\APASixthEditionOfficeOnline.xsl" StyleName="APA"/>
</file>

<file path=customXml/item2.xml><?xml version="1.0" encoding="utf-8"?>
<contractReview xmlns="http://schemas.wps.cn/vas-ai-hub/contract-review">
  <reviewItems>
    <reviewItem>
      <errorID>e429e7c7-bec7-41ee-b0ca-7ef07becb7bc</errorID>
      <errorWord>一屏展示、一屏调度、一屏通信、一屏指挥</errorWord>
      <group>L1_AI</group>
      <groupName>深度校对</groupName>
      <ability>L2_AI_Punc</ability>
      <abilityName>标点纠错</abilityName>
      <candidateList>
        <item>“一屏展示、一屏调度、一屏通信、一屏指挥”</item>
      </candidateList>
      <explain/>
      <paraID>66051973</paraID>
      <start>115</start>
      <end>134</end>
      <status>unmodified</status>
      <modifiedWord/>
      <trackRevisions>false</trackRevisions>
    </reviewItem>
    <reviewItem>
      <errorID>e6d3ec1e-1da0-4c46-998d-1b62183144b2</errorID>
      <errorWord>，</errorWord>
      <group>L1_AI</group>
      <groupName>深度校对</groupName>
      <ability>L2_AI_Punc</ability>
      <abilityName>标点纠错</abilityName>
      <candidateList>
        <item>。</item>
      </candidateList>
      <explain/>
      <paraID> 85639CA</paraID>
      <start>61</start>
      <end>62</end>
      <status>unmodified</status>
      <modifiedWord/>
      <trackRevisions>false</trackRevisions>
    </reviewItem>
    <reviewItem>
      <errorID>5a79cdd0-ea37-4243-a677-a5ccce2d328d</errorID>
      <errorWord>，</errorWord>
      <group>L1_AI</group>
      <groupName>深度校对</groupName>
      <ability>L2_AI_Punc</ability>
      <abilityName>标点纠错</abilityName>
      <candidateList>
        <item>。</item>
      </candidateList>
      <explain/>
      <paraID>6EF3C23D</paraID>
      <start>37</start>
      <end>38</end>
      <status>unmodified</status>
      <modifiedWord/>
      <trackRevisions>false</trackRevisions>
    </reviewItem>
    <reviewItem>
      <errorID>3afb0147-8abf-44ab-852c-74bf1c45fc00</errorID>
      <errorWord>并</errorWord>
      <group>L1_AI</group>
      <groupName>深度校对</groupName>
      <ability>L2_AI_Punc</ability>
      <abilityName>标点纠错</abilityName>
      <candidateList>
        <item>，并</item>
      </candidateList>
      <explain/>
      <paraID>186F7F6B</paraID>
      <start>79</start>
      <end>80</end>
      <status>unmodified</status>
      <modifiedWord/>
      <trackRevisions>false</trackRevisions>
    </reviewItem>
    <reviewItem>
      <errorID>699e0a65-b6ef-4c55-b37b-126a5ce82551</errorID>
      <errorWord>。</errorWord>
      <group>L1_AI</group>
      <groupName>深度校对</groupName>
      <ability>L2_AI_Grammar</ability>
      <abilityName>语法纠错</abilityName>
      <candidateList>
        <item>功能。</item>
      </candidateList>
      <explain/>
      <paraID>35EA98A5</paraID>
      <start>65</start>
      <end>66</end>
      <status>unmodified</status>
      <modifiedWord/>
      <trackRevisions>false</trackRevisions>
    </reviewItem>
    <reviewItem>
      <errorID>9d26ae7f-318c-490f-a48c-163a19b6046d</errorID>
      <errorWord>：</errorWord>
      <group>L1_AI</group>
      <groupName>深度校对</groupName>
      <ability>L2_AI_Punc</ability>
      <abilityName>标点纠错</abilityName>
      <candidateList>
        <item>，</item>
      </candidateList>
      <explain/>
      <paraID> DAED675</paraID>
      <start>4</start>
      <end>5</end>
      <status>unmodified</status>
      <modifiedWord/>
      <trackRevisions>false</trackRevisions>
    </reviewItem>
    <reviewItem>
      <errorID>bdf740fb-394b-4a42-b81f-478ea3f6d063</errorID>
      <errorWord>：</errorWord>
      <group>L1_AI</group>
      <groupName>深度校对</groupName>
      <ability>L2_AI_Punc</ability>
      <abilityName>标点纠错</abilityName>
      <candidateList>
        <item>，</item>
      </candidateList>
      <explain/>
      <paraID>6EAF4302</paraID>
      <start>4</start>
      <end>5</end>
      <status>unmodified</status>
      <modifiedWord/>
      <trackRevisions>false</trackRevisions>
    </reviewItem>
    <reviewItem>
      <errorID>f4565491-3513-453c-8032-d47ff73dd2b6</errorID>
      <errorWord>：</errorWord>
      <group>L1_AI</group>
      <groupName>深度校对</groupName>
      <ability>L2_AI_Punc</ability>
      <abilityName>标点纠错</abilityName>
      <candidateList>
        <item>，</item>
      </candidateList>
      <explain/>
      <paraID> 57DDBC0</paraID>
      <start>4</start>
      <end>5</end>
      <status>unmodified</status>
      <modifiedWord/>
      <trackRevisions>false</trackRevisions>
    </reviewItem>
    <reviewItem>
      <errorID>9a1da269-ac4d-4cbf-ae0f-c79df87d25d6</errorID>
      <errorWord>：</errorWord>
      <group>L1_AI</group>
      <groupName>深度校对</groupName>
      <ability>L2_AI_Punc</ability>
      <abilityName>标点纠错</abilityName>
      <candidateList>
        <item>，</item>
      </candidateList>
      <explain/>
      <paraID>22CA56AE</paraID>
      <start>4</start>
      <end>5</end>
      <status>unmodified</status>
      <modifiedWord/>
      <trackRevisions>false</trackRevisions>
    </reviewItem>
    <reviewItem>
      <errorID>aa5bbe11-3a5b-46bf-9c2e-1e4121d4ca31</errorID>
      <errorWord>：</errorWord>
      <group>L1_AI</group>
      <groupName>深度校对</groupName>
      <ability>L2_AI_Punc</ability>
      <abilityName>标点纠错</abilityName>
      <candidateList>
        <item>，</item>
      </candidateList>
      <explain/>
      <paraID>  DE0D68</paraID>
      <start>4</start>
      <end>5</end>
      <status>unmodified</status>
      <modifiedWord/>
      <trackRevisions>false</trackRevisions>
    </reviewItem>
    <reviewItem>
      <errorID>dee845cf-9585-4802-8a30-29f55cfbef5b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EE33F5C</paraID>
      <start>0</start>
      <end>2</end>
      <status>unmodified</status>
      <modifiedWord/>
      <trackRevisions>false</trackRevisions>
    </reviewItem>
    <reviewItem>
      <errorID>431149f7-5a36-4c1e-833a-66c494f1c595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3D8987D4</paraID>
      <start>0</start>
      <end>2</end>
      <status>unmodified</status>
      <modifiedWord/>
      <trackRevisions>false</trackRevisions>
    </reviewItem>
    <reviewItem>
      <errorID>d4194cea-b9ff-4a13-879d-2fba29ad7f79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7566672</paraID>
      <start>0</start>
      <end>3</end>
      <status>unmodified</status>
      <modifiedWord/>
      <trackRevisions>false</trackRevisions>
    </reviewItem>
    <reviewItem>
      <errorID>df52fcbc-366b-4580-b033-806115d8d5a3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CA9169C</paraID>
      <start>0</start>
      <end>3</end>
      <status>unmodified</status>
      <modifiedWord/>
      <trackRevisions>false</trackRevisions>
    </reviewItem>
    <reviewItem>
      <errorID>7243eb3b-993d-4385-81e5-d96fbba49fab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5CD48077</paraID>
      <start>0</start>
      <end>3</end>
      <status>unmodified</status>
      <modifiedWord/>
      <trackRevisions>false</trackRevisions>
    </reviewItem>
    <reviewItem>
      <errorID>96f67b00-4850-4b78-883c-e4b559276211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4DC9983</paraID>
      <start>0</start>
      <end>3</end>
      <status>unmodified</status>
      <modifiedWord/>
      <trackRevisions>false</trackRevisions>
    </reviewItem>
    <reviewItem>
      <errorID>07d8097a-5092-40a5-b667-cd598191cd91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26A9F672</paraID>
      <start>0</start>
      <end>3</end>
      <status>unmodified</status>
      <modifiedWord/>
      <trackRevisions>false</trackRevisions>
    </reviewItem>
    <reviewItem>
      <errorID>918106bd-cfb0-423a-b31d-2efe6445ccac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50D461C8</paraID>
      <start>0</start>
      <end>3</end>
      <status>unmodified</status>
      <modifiedWord/>
      <trackRevisions>false</trackRevisions>
    </reviewItem>
    <reviewItem>
      <errorID>572a6420-240d-4f3a-90f0-55589d2861e8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487ADD6E</paraID>
      <start>0</start>
      <end>3</end>
      <status>unmodified</status>
      <modifiedWord/>
      <trackRevisions>false</trackRevisions>
    </reviewItem>
    <reviewItem>
      <errorID>cc779eaf-c7ea-4553-b2c8-f9ad42e43c5b</errorID>
      <errorWord>、等</errorWord>
      <group>L1_Punc</group>
      <groupName>标点问题</groupName>
      <ability>L2_Punc</ability>
      <abilityName>标点符号检查</abilityName>
      <candidateList>
        <item>等</item>
      </candidateList>
      <explain>“及”“和”“等”连词前不宜使用顿号，建议删除（或使用逗号）。</explain>
      <paraID>487ADD6E</paraID>
      <start>64</start>
      <end>66</end>
      <status>unmodified</status>
      <modifiedWord/>
      <trackRevisions>false</trackRevisions>
    </reviewItem>
    <reviewItem>
      <errorID>7b394c95-8225-4341-bb9e-6187a8bf88df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5EDA4CC0</paraID>
      <start>0</start>
      <end>3</end>
      <status>unmodified</status>
      <modifiedWord/>
      <trackRevisions>false</trackRevisions>
    </reviewItem>
    <reviewItem>
      <errorID>b46b3df1-9497-43db-86eb-ba5c47af997e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47C3326</paraID>
      <start>29</start>
      <end>32</end>
      <status>unmodified</status>
      <modifiedWord/>
      <trackRevisions>false</trackRevisions>
    </reviewItem>
    <reviewItem>
      <errorID>5d592bee-4319-437d-b742-a02f51cf2b39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47C3326</paraID>
      <start>41</start>
      <end>44</end>
      <status>unmodified</status>
      <modifiedWord/>
      <trackRevisions>false</trackRevisions>
    </reviewItem>
    <reviewItem>
      <errorID>13c44a0f-c9e1-421e-8a93-99a0f59f9ea1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47C3326</paraID>
      <start>53</start>
      <end>56</end>
      <status>unmodified</status>
      <modifiedWord/>
      <trackRevisions>false</trackRevisions>
    </reviewItem>
    <reviewItem>
      <errorID>b58a8d2a-9c38-4302-a1a2-7398c9394315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47C3326</paraID>
      <start>65</start>
      <end>68</end>
      <status>unmodified</status>
      <modifiedWord/>
      <trackRevisions>false</trackRevisions>
    </reviewItem>
    <reviewItem>
      <errorID>392b2f59-ac15-4cf5-a194-b3e0e6977933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47C3326</paraID>
      <start>72</start>
      <end>75</end>
      <status>unmodified</status>
      <modifiedWord/>
      <trackRevisions>false</trackRevisions>
    </reviewItem>
    <reviewItem>
      <errorID>b060a7fe-6913-4725-8821-c7c413aa0408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47C3326</paraID>
      <start>81</start>
      <end>84</end>
      <status>unmodified</status>
      <modifiedWord/>
      <trackRevisions>false</trackRevisions>
    </reviewItem>
    <reviewItem>
      <errorID>e9961601-1462-46a2-888f-25d166b84a51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DA9C59A</paraID>
      <start>0</start>
      <end>3</end>
      <status>unmodified</status>
      <modifiedWord/>
      <trackRevisions>false</trackRevisions>
    </reviewItem>
    <reviewItem>
      <errorID>ed2d217f-1c46-40e5-81c9-19c61444fcc0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6655ED39</paraID>
      <start>0</start>
      <end>3</end>
      <status>unmodified</status>
      <modifiedWord/>
      <trackRevisions>false</trackRevisions>
    </reviewItem>
    <reviewItem>
      <errorID>e20c8374-ec75-4819-924d-d046449a4c31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2A2BF401</paraID>
      <start>0</start>
      <end>3</end>
      <status>unmodified</status>
      <modifiedWord/>
      <trackRevisions>false</trackRevisions>
    </reviewItem>
    <reviewItem>
      <errorID>20444d35-b3f8-4ce5-b43e-58f6cebe2ac5</errorID>
      <errorWord>(</errorWord>
      <group>L1_Format</group>
      <groupName>格式问题</groupName>
      <ability>L2_HalfPunc</ability>
      <abilityName>全半角检查</abilityName>
      <candidateList>
        <item>（</item>
      </candidateList>
      <explain>文本全半角错误。</explain>
      <paraID>6EECC53C</paraID>
      <start>20</start>
      <end>21</end>
      <status>unmodified</status>
      <modifiedWord/>
      <trackRevisions>false</trackRevisions>
    </reviewItem>
    <reviewItem>
      <errorID>0ea169a9-87a3-4395-bea1-383573b76427</errorID>
      <errorWord>)</errorWord>
      <group>L1_Format</group>
      <groupName>格式问题</groupName>
      <ability>L2_HalfPunc</ability>
      <abilityName>全半角检查</abilityName>
      <candidateList>
        <item>）</item>
      </candidateList>
      <explain>文本全半角错误。</explain>
      <paraID>6EECC53C</paraID>
      <start>23</start>
      <end>24</end>
      <status>unmodified</status>
      <modifiedWord/>
      <trackRevisions>false</trackRevisions>
    </reviewItem>
    <reviewItem>
      <errorID>a704efc2-fe8f-4731-b61d-dcaa3348ba60</errorID>
      <errorWord>(</errorWord>
      <group>L1_Format</group>
      <groupName>格式问题</groupName>
      <ability>L2_HalfPunc</ability>
      <abilityName>全半角检查</abilityName>
      <candidateList>
        <item>（</item>
      </candidateList>
      <explain>文本全半角错误。</explain>
      <paraID>734FAB65</paraID>
      <start>6</start>
      <end>7</end>
      <status>unmodified</status>
      <modifiedWord/>
      <trackRevisions>false</trackRevisions>
    </reviewItem>
    <reviewItem>
      <errorID>4aacf42a-e1c6-4f62-997a-243f528c5545</errorID>
      <errorWord>)</errorWord>
      <group>L1_Format</group>
      <groupName>格式问题</groupName>
      <ability>L2_HalfPunc</ability>
      <abilityName>全半角检查</abilityName>
      <candidateList>
        <item>）</item>
      </candidateList>
      <explain>文本全半角错误。</explain>
      <paraID>734FAB65</paraID>
      <start>24</start>
      <end>25</end>
      <status>unmodified</status>
      <modifiedWord/>
      <trackRevisions>false</trackRevisions>
    </reviewItem>
    <reviewItem>
      <errorID>6166ba2f-a3fe-4dfc-b012-24b2f32ea866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3F7167DB</paraID>
      <start>0</start>
      <end>3</end>
      <status>unmodified</status>
      <modifiedWord/>
      <trackRevisions>false</trackRevisions>
    </reviewItem>
    <reviewItem>
      <errorID>482150dd-2b18-4e14-9314-eea34eb05e29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AE82682</paraID>
      <start>0</start>
      <end>3</end>
      <status>unmodified</status>
      <modifiedWord/>
      <trackRevisions>false</trackRevisions>
    </reviewItem>
    <reviewItem>
      <errorID>4b57652f-472c-4f6c-a1b1-b33ecf1807e8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458372C1</paraID>
      <start>0</start>
      <end>3</end>
      <status>unmodified</status>
      <modifiedWord/>
      <trackRevisions>false</trackRevisions>
    </reviewItem>
    <reviewItem>
      <errorID>08fa21a0-5211-446b-b1cc-39803afd07aa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45651A79</paraID>
      <start>0</start>
      <end>2</end>
      <status>unmodified</status>
      <modifiedWord/>
      <trackRevisions>false</trackRevisions>
    </reviewItem>
    <reviewItem>
      <errorID>7a9a4e64-08ff-4dfc-a96c-d01014b7968e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390654E5</paraID>
      <start>0</start>
      <end>2</end>
      <status>unmodified</status>
      <modifiedWord/>
      <trackRevisions>false</trackRevisions>
    </reviewItem>
    <reviewItem>
      <errorID>b085697f-c622-419c-9756-7ddfee0f91e7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403F4D66</paraID>
      <start>0</start>
      <end>2</end>
      <status>unmodified</status>
      <modifiedWord/>
      <trackRevisions>false</trackRevisions>
    </reviewItem>
    <reviewItem>
      <errorID>9e73a660-9b28-484e-8ddb-38a3bf633ddb</errorID>
      <errorWord>(</errorWord>
      <group>L1_Format</group>
      <groupName>格式问题</groupName>
      <ability>L2_HalfPunc</ability>
      <abilityName>全半角检查</abilityName>
      <candidateList>
        <item>（</item>
      </candidateList>
      <explain>文本全半角错误。</explain>
      <paraID>43A8C5F4</paraID>
      <start>15</start>
      <end>16</end>
      <status>unmodified</status>
      <modifiedWord/>
      <trackRevisions>false</trackRevisions>
    </reviewItem>
    <reviewItem>
      <errorID>0f7fe09a-5850-4eb8-92cb-0775c63c3ba9</errorID>
      <errorWord>)</errorWord>
      <group>L1_Format</group>
      <groupName>格式问题</groupName>
      <ability>L2_HalfPunc</ability>
      <abilityName>全半角检查</abilityName>
      <candidateList>
        <item>）</item>
      </candidateList>
      <explain>文本全半角错误。</explain>
      <paraID>43A8C5F4</paraID>
      <start>38</start>
      <end>39</end>
      <status>unmodified</status>
      <modifiedWord/>
      <trackRevisions>false</trackRevisions>
    </reviewItem>
    <reviewItem>
      <errorID>5728af52-d190-492e-a509-217a95f22ef3</errorID>
      <errorWord>(</errorWord>
      <group>L1_Format</group>
      <groupName>格式问题</groupName>
      <ability>L2_HalfPunc</ability>
      <abilityName>全半角检查</abilityName>
      <candidateList>
        <item>（</item>
      </candidateList>
      <explain>文本全半角错误。</explain>
      <paraID>43A8C5F4</paraID>
      <start>69</start>
      <end>70</end>
      <status>unmodified</status>
      <modifiedWord/>
      <trackRevisions>false</trackRevisions>
    </reviewItem>
    <reviewItem>
      <errorID>173aa0cb-3379-41b8-a8ce-adaed1e73207</errorID>
      <errorWord>)</errorWord>
      <group>L1_Format</group>
      <groupName>格式问题</groupName>
      <ability>L2_HalfPunc</ability>
      <abilityName>全半角检查</abilityName>
      <candidateList>
        <item>）</item>
      </candidateList>
      <explain>文本全半角错误。</explain>
      <paraID>43A8C5F4</paraID>
      <start>85</start>
      <end>86</end>
      <status>unmodified</status>
      <modifiedWord/>
      <trackRevisions>false</trackRevisions>
    </reviewItem>
    <reviewItem>
      <errorID>43e5cc46-5e7e-48cc-8c12-056b88644e87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7512B6F6</paraID>
      <start>0</start>
      <end>2</end>
      <status>unmodified</status>
      <modifiedWord/>
      <trackRevisions>false</trackRevisions>
    </reviewItem>
    <reviewItem>
      <errorID>c22aceda-f703-44d2-949e-a622fe4afd34</errorID>
      <errorWord>法律、法规</errorWord>
      <group>L1_Word</group>
      <groupName>字词问题</groupName>
      <ability>L2_Typo</ability>
      <abilityName>字词错误</abilityName>
      <candidateList>
        <item>法律法规</item>
      </candidateList>
      <explain/>
      <paraID>7512B6F6</paraID>
      <start>41</start>
      <end>46</end>
      <status>unmodified</status>
      <modifiedWord/>
      <trackRevisions>false</trackRevisions>
    </reviewItem>
    <reviewItem>
      <errorID>b762f906-3658-4e5f-b9d2-7eab4750e1f0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713097E2</paraID>
      <start>0</start>
      <end>2</end>
      <status>unmodified</status>
      <modifiedWord/>
      <trackRevisions>false</trackRevisions>
    </reviewItem>
    <reviewItem>
      <errorID>d6657ce6-2fbd-46ae-bf85-25c97e7a7b7e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7528D58E</paraID>
      <start>0</start>
      <end>2</end>
      <status>unmodified</status>
      <modifiedWord/>
      <trackRevisions>false</trackRevisions>
    </reviewItem>
    <reviewItem>
      <errorID>0dd760ec-08ac-40ef-870d-273b9225f73f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53E76165</paraID>
      <start>0</start>
      <end>2</end>
      <status>unmodified</status>
      <modifiedWord/>
      <trackRevisions>false</trackRevisions>
    </reviewItem>
    <reviewItem>
      <errorID>2f16f614-998f-4432-8e42-5a6149d3e497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20E3A964</paraID>
      <start>0</start>
      <end>2</end>
      <status>unmodified</status>
      <modifiedWord/>
      <trackRevisions>false</trackRevisions>
    </reviewItem>
    <reviewItem>
      <errorID>c0996681-212d-4f45-94e3-c1e67e380e58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42CDAC57</paraID>
      <start>0</start>
      <end>2</end>
      <status>unmodified</status>
      <modifiedWord/>
      <trackRevisions>false</trackRevisions>
    </reviewItem>
    <reviewItem>
      <errorID>e527e96b-553c-409a-876b-75a6fbfde502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6FB2E553</paraID>
      <start>0</start>
      <end>2</end>
      <status>unmodified</status>
      <modifiedWord/>
      <trackRevisions>false</trackRevisions>
    </reviewItem>
    <reviewItem>
      <errorID>6c20b24c-be2e-49a0-8953-c26cad98d8da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5DCA2FC9</paraID>
      <start>0</start>
      <end>2</end>
      <status>unmodified</status>
      <modifiedWord/>
      <trackRevisions>false</trackRevisions>
    </reviewItem>
    <reviewItem>
      <errorID>f8b494ca-3572-4ac3-946e-50bedb7abd8d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6EA4BEB</paraID>
      <start>0</start>
      <end>2</end>
      <status>unmodified</status>
      <modifiedWord/>
      <trackRevisions>false</trackRevisions>
    </reviewItem>
    <reviewItem>
      <errorID>6ca10fda-bf24-41b4-9ea9-d88b9b7167c3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70738D76</paraID>
      <start>0</start>
      <end>2</end>
      <status>unmodified</status>
      <modifiedWord/>
      <trackRevisions>false</trackRevisions>
    </reviewItem>
    <reviewItem>
      <errorID>0bd2ebe1-1a93-4286-8a47-d2b06c036892</errorID>
      <errorWord>,</errorWord>
      <group>L1_Format</group>
      <groupName>格式问题</groupName>
      <ability>L2_HalfPunc</ability>
      <abilityName>全半角检查</abilityName>
      <candidateList>
        <item>，</item>
      </candidateList>
      <explain>文本全半角错误。</explain>
      <paraID>662705F2</paraID>
      <start>84</start>
      <end>85</end>
      <status>unmodified</status>
      <modifiedWord/>
      <trackRevisions>false</trackRevisions>
    </reviewItem>
    <reviewItem>
      <errorID>25dc6fa0-396b-4f04-a1a6-3ecc32033a99</errorID>
      <errorWord>共同协商</errorWord>
      <group>L1_Grammar</group>
      <groupName>语法问题</groupName>
      <ability>L2_Grammar</ability>
      <abilityName>语法错误</abilityName>
      <candidateList>
        <item>协商</item>
      </candidateList>
      <explain/>
      <paraID>66B848DC</paraID>
      <start>54</start>
      <end>58</end>
      <status>unmodified</status>
      <modifiedWord/>
      <trackRevisions>false</trackRevisions>
    </reviewItem>
    <reviewItem>
      <errorID>5d045f80-6576-418e-9eea-0e6c5a56f047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A3C5A6D</paraID>
      <start>0</start>
      <end>2</end>
      <status>unmodified</status>
      <modifiedWord/>
      <trackRevisions>false</trackRevisions>
    </reviewItem>
    <reviewItem>
      <errorID>facce2fd-7a30-4ea2-9ac0-fb89fc246a83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46B4A8E0</paraID>
      <start>0</start>
      <end>2</end>
      <status>unmodified</status>
      <modifiedWord/>
      <trackRevisions>false</trackRevisions>
    </reviewItem>
    <reviewItem>
      <errorID>ddfab231-c18b-4b6a-9715-72ec14757b75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7DBA043B</paraID>
      <start>0</start>
      <end>2</end>
      <status>unmodified</status>
      <modifiedWord/>
      <trackRevisions>false</trackRevisions>
    </reviewItem>
    <reviewItem>
      <errorID>0d3475e7-1985-424a-aa79-9b57b967d9b4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2DBDCA74</paraID>
      <start>0</start>
      <end>2</end>
      <status>unmodified</status>
      <modifiedWord/>
      <trackRevisions>false</trackRevisions>
    </reviewItem>
    <reviewItem>
      <errorID>34e25f7e-7020-4400-9a03-9d2814fa8b03</errorID>
      <errorWord>(</errorWord>
      <group>L1_Format</group>
      <groupName>格式问题</groupName>
      <ability>L2_HalfPunc</ability>
      <abilityName>全半角检查</abilityName>
      <candidateList>
        <item>（</item>
      </candidateList>
      <explain>文本全半角错误。</explain>
      <paraID>47B02AE7</paraID>
      <start>24</start>
      <end>25</end>
      <status>unmodified</status>
      <modifiedWord/>
      <trackRevisions>false</trackRevisions>
    </reviewItem>
    <reviewItem>
      <errorID>657ffe5d-e5ea-4d62-8a6d-dae8c9577b16</errorID>
      <errorWord>)</errorWord>
      <group>L1_Format</group>
      <groupName>格式问题</groupName>
      <ability>L2_HalfPunc</ability>
      <abilityName>全半角检查</abilityName>
      <candidateList>
        <item>）</item>
      </candidateList>
      <explain>文本全半角错误。</explain>
      <paraID>47B02AE7</paraID>
      <start>29</start>
      <end>30</end>
      <status>unmodified</status>
      <modifiedWord/>
      <trackRevisions>false</trackRevisions>
    </reviewItem>
    <reviewItem>
      <errorID>00b364c4-f218-4af4-b61b-185cd130c5ad</errorID>
      <errorWord>(</errorWord>
      <group>L1_Format</group>
      <groupName>格式问题</groupName>
      <ability>L2_HalfPunc</ability>
      <abilityName>全半角检查</abilityName>
      <candidateList>
        <item>（</item>
      </candidateList>
      <explain>文本全半角错误。</explain>
      <paraID>47B02AE7</paraID>
      <start>51</start>
      <end>52</end>
      <status>unmodified</status>
      <modifiedWord/>
      <trackRevisions>false</trackRevisions>
    </reviewItem>
    <reviewItem>
      <errorID>23569383-fdd0-4287-9fd4-e7e4dc0ea297</errorID>
      <errorWord>)</errorWord>
      <group>L1_Format</group>
      <groupName>格式问题</groupName>
      <ability>L2_HalfPunc</ability>
      <abilityName>全半角检查</abilityName>
      <candidateList>
        <item>）</item>
      </candidateList>
      <explain>文本全半角错误。</explain>
      <paraID>47B02AE7</paraID>
      <start>56</start>
      <end>57</end>
      <status>unmodified</status>
      <modifiedWord/>
      <trackRevisions>false</trackRevisions>
    </reviewItem>
    <reviewItem>
      <errorID>702ee127-8ac1-44a8-b822-bbcd12de580a</errorID>
      <errorWord>(</errorWord>
      <group>L1_Format</group>
      <groupName>格式问题</groupName>
      <ability>L2_HalfPunc</ability>
      <abilityName>全半角检查</abilityName>
      <candidateList>
        <item>（</item>
      </candidateList>
      <explain>文本全半角错误。</explain>
      <paraID>47B02AE7</paraID>
      <start>100</start>
      <end>101</end>
      <status>unmodified</status>
      <modifiedWord/>
      <trackRevisions>false</trackRevisions>
    </reviewItem>
    <reviewItem>
      <errorID>461d1b4b-8d42-4a5a-b16c-2ae773d5e87f</errorID>
      <errorWord>)</errorWord>
      <group>L1_Format</group>
      <groupName>格式问题</groupName>
      <ability>L2_HalfPunc</ability>
      <abilityName>全半角检查</abilityName>
      <candidateList>
        <item>）</item>
      </candidateList>
      <explain>文本全半角错误。</explain>
      <paraID>47B02AE7</paraID>
      <start>105</start>
      <end>106</end>
      <status>unmodified</status>
      <modifiedWord/>
      <trackRevisions>false</trackRevisions>
    </reviewItem>
    <reviewItem>
      <errorID>e9019091-2bc7-4b74-a48a-67cb5f221b9a</errorID>
      <errorWord>:</errorWord>
      <group>L1_Format</group>
      <groupName>格式问题</groupName>
      <ability>L2_HalfPunc</ability>
      <abilityName>全半角检查</abilityName>
      <candidateList>
        <item>：</item>
      </candidateList>
      <explain>文本全半角错误。</explain>
      <paraID>1E93601D</paraID>
      <start>6</start>
      <end>7</end>
      <status>unmodified</status>
      <modifiedWord/>
      <trackRevisions>false</trackRevisions>
    </reviewItem>
    <reviewItem>
      <errorID>3d16e06f-1dac-4b05-b819-bd4b02e5b4e5</errorID>
      <errorWord>(</errorWord>
      <group>L1_Format</group>
      <groupName>格式问题</groupName>
      <ability>L2_HalfPunc</ability>
      <abilityName>全半角检查</abilityName>
      <candidateList>
        <item>（</item>
      </candidateList>
      <explain>文本全半角错误。</explain>
      <paraID>1E93601D</paraID>
      <start>21</start>
      <end>22</end>
      <status>unmodified</status>
      <modifiedWord/>
      <trackRevisions>false</trackRevisions>
    </reviewItem>
    <reviewItem>
      <errorID>d87529ac-d22d-41bd-9ccb-34641806e895</errorID>
      <errorWord>)</errorWord>
      <group>L1_Format</group>
      <groupName>格式问题</groupName>
      <ability>L2_HalfPunc</ability>
      <abilityName>全半角检查</abilityName>
      <candidateList>
        <item>）</item>
      </candidateList>
      <explain>文本全半角错误。</explain>
      <paraID>1E93601D</paraID>
      <start>26</start>
      <end>27</end>
      <status>unmodified</status>
      <modifiedWord/>
      <trackRevisions>false</trackRevisions>
    </reviewItem>
    <reviewItem>
      <errorID>4d0c6311-ef34-481a-9813-61c401a540b6</errorID>
      <errorWord>:</errorWord>
      <group>L1_Format</group>
      <groupName>格式问题</groupName>
      <ability>L2_HalfPunc</ability>
      <abilityName>全半角检查</abilityName>
      <candidateList>
        <item>：</item>
      </candidateList>
      <explain>文本全半角错误。</explain>
      <paraID>1E93601D</paraID>
      <start>35</start>
      <end>36</end>
      <status>unmodified</status>
      <modifiedWord/>
      <trackRevisions>false</trackRevisions>
    </reviewItem>
    <reviewItem>
      <errorID>48ef0237-b346-44fc-ae6e-b229cb372c1e</errorID>
      <errorWord>:</errorWord>
      <group>L1_Format</group>
      <groupName>格式问题</groupName>
      <ability>L2_HalfPunc</ability>
      <abilityName>全半角检查</abilityName>
      <candidateList>
        <item>：</item>
      </candidateList>
      <explain>文本全半角错误。</explain>
      <paraID>7E3B4C01</paraID>
      <start>6</start>
      <end>7</end>
      <status>unmodified</status>
      <modifiedWord/>
      <trackRevisions>false</trackRevisions>
    </reviewItem>
    <reviewItem>
      <errorID>d5e58870-c6c6-4290-8b3f-6160eb01d961</errorID>
      <errorWord>(</errorWord>
      <group>L1_Format</group>
      <groupName>格式问题</groupName>
      <ability>L2_HalfPunc</ability>
      <abilityName>全半角检查</abilityName>
      <candidateList>
        <item>（</item>
      </candidateList>
      <explain>文本全半角错误。</explain>
      <paraID>7E3B4C01</paraID>
      <start>22</start>
      <end>23</end>
      <status>unmodified</status>
      <modifiedWord/>
      <trackRevisions>false</trackRevisions>
    </reviewItem>
    <reviewItem>
      <errorID>cc8ab272-6eb5-4b93-852c-6fa5e9411945</errorID>
      <errorWord>)</errorWord>
      <group>L1_Format</group>
      <groupName>格式问题</groupName>
      <ability>L2_HalfPunc</ability>
      <abilityName>全半角检查</abilityName>
      <candidateList>
        <item>）</item>
      </candidateList>
      <explain>文本全半角错误。</explain>
      <paraID>7E3B4C01</paraID>
      <start>27</start>
      <end>28</end>
      <status>unmodified</status>
      <modifiedWord/>
      <trackRevisions>false</trackRevisions>
    </reviewItem>
    <reviewItem>
      <errorID>d8a11d37-4242-4dac-848d-945df3120802</errorID>
      <errorWord>(</errorWord>
      <group>L1_Format</group>
      <groupName>格式问题</groupName>
      <ability>L2_HalfPunc</ability>
      <abilityName>全半角检查</abilityName>
      <candidateList>
        <item>（</item>
      </candidateList>
      <explain>文本全半角错误。</explain>
      <paraID>7E3B4C01</paraID>
      <start>37</start>
      <end>38</end>
      <status>unmodified</status>
      <modifiedWord/>
      <trackRevisions>false</trackRevisions>
    </reviewItem>
    <reviewItem>
      <errorID>cfdf5617-52ef-4460-9a99-15fb37efaa7c</errorID>
      <errorWord>)</errorWord>
      <group>L1_Format</group>
      <groupName>格式问题</groupName>
      <ability>L2_HalfPunc</ability>
      <abilityName>全半角检查</abilityName>
      <candidateList>
        <item>）</item>
      </candidateList>
      <explain>文本全半角错误。</explain>
      <paraID>7E3B4C01</paraID>
      <start>42</start>
      <end>43</end>
      <status>unmodified</status>
      <modifiedWord/>
      <trackRevisions>false</trackRevisions>
    </reviewItem>
    <reviewItem>
      <errorID>046535a0-f72e-4fa3-97b7-66ec05ccca70</errorID>
      <errorWord>(</errorWord>
      <group>L1_Format</group>
      <groupName>格式问题</groupName>
      <ability>L2_HalfPunc</ability>
      <abilityName>全半角检查</abilityName>
      <candidateList>
        <item>（</item>
      </candidateList>
      <explain>文本全半角错误。</explain>
      <paraID>7E3B4C01</paraID>
      <start>56</start>
      <end>57</end>
      <status>unmodified</status>
      <modifiedWord/>
      <trackRevisions>false</trackRevisions>
    </reviewItem>
    <reviewItem>
      <errorID>9f3cf628-e6be-4bfe-8598-182c639ed279</errorID>
      <errorWord>)</errorWord>
      <group>L1_Format</group>
      <groupName>格式问题</groupName>
      <ability>L2_HalfPunc</ability>
      <abilityName>全半角检查</abilityName>
      <candidateList>
        <item>）</item>
      </candidateList>
      <explain>文本全半角错误。</explain>
      <paraID>7E3B4C01</paraID>
      <start>61</start>
      <end>62</end>
      <status>unmodified</status>
      <modifiedWord/>
      <trackRevisions>false</trackRevisions>
    </reviewItem>
    <reviewItem>
      <errorID>f0b3c997-4faf-4cd3-acb8-622433644fc9</errorID>
      <errorWord>:</errorWord>
      <group>L1_Format</group>
      <groupName>格式问题</groupName>
      <ability>L2_HalfPunc</ability>
      <abilityName>全半角检查</abilityName>
      <candidateList>
        <item>：</item>
      </candidateList>
      <explain>文本全半角错误。</explain>
      <paraID>7E3B4C01</paraID>
      <start>158</start>
      <end>159</end>
      <status>unmodified</status>
      <modifiedWord/>
      <trackRevisions>false</trackRevisions>
    </reviewItem>
    <reviewItem>
      <errorID>994d3e5d-9b98-4956-b58e-877d67567efb</errorID>
      <errorWord>(</errorWord>
      <group>L1_Format</group>
      <groupName>格式问题</groupName>
      <ability>L2_HalfPunc</ability>
      <abilityName>全半角检查</abilityName>
      <candidateList>
        <item>（</item>
      </candidateList>
      <explain>文本全半角错误。</explain>
      <paraID>59059284</paraID>
      <start>20</start>
      <end>21</end>
      <status>unmodified</status>
      <modifiedWord/>
      <trackRevisions>false</trackRevisions>
    </reviewItem>
    <reviewItem>
      <errorID>5b2ffdff-c424-4497-a9bf-7c2f17977b59</errorID>
      <errorWord>)</errorWord>
      <group>L1_Format</group>
      <groupName>格式问题</groupName>
      <ability>L2_HalfPunc</ability>
      <abilityName>全半角检查</abilityName>
      <candidateList>
        <item>）</item>
      </candidateList>
      <explain>文本全半角错误。</explain>
      <paraID>59059284</paraID>
      <start>25</start>
      <end>26</end>
      <status>unmodified</status>
      <modifiedWord/>
      <trackRevisions>false</trackRevisions>
    </reviewItem>
    <reviewItem>
      <errorID>dc6ddc9c-543b-4b9a-b12f-7cc3add55720</errorID>
      <errorWord>(</errorWord>
      <group>L1_Format</group>
      <groupName>格式问题</groupName>
      <ability>L2_HalfPunc</ability>
      <abilityName>全半角检查</abilityName>
      <candidateList>
        <item>（</item>
      </candidateList>
      <explain>文本全半角错误。</explain>
      <paraID>59059284</paraID>
      <start>53</start>
      <end>54</end>
      <status>unmodified</status>
      <modifiedWord/>
      <trackRevisions>false</trackRevisions>
    </reviewItem>
    <reviewItem>
      <errorID>eca36299-ea41-46c6-b9a1-c86ab181ee4e</errorID>
      <errorWord>)</errorWord>
      <group>L1_Format</group>
      <groupName>格式问题</groupName>
      <ability>L2_HalfPunc</ability>
      <abilityName>全半角检查</abilityName>
      <candidateList>
        <item>）</item>
      </candidateList>
      <explain>文本全半角错误。</explain>
      <paraID>59059284</paraID>
      <start>58</start>
      <end>59</end>
      <status>unmodified</status>
      <modifiedWord/>
      <trackRevisions>false</trackRevisions>
    </reviewItem>
    <reviewItem>
      <errorID>e94fee7a-7c47-4913-9735-38e8c5dcc1d8</errorID>
      <errorWord>(</errorWord>
      <group>L1_Format</group>
      <groupName>格式问题</groupName>
      <ability>L2_HalfPunc</ability>
      <abilityName>全半角检查</abilityName>
      <candidateList>
        <item>（</item>
      </candidateList>
      <explain>文本全半角错误。</explain>
      <paraID>59059284</paraID>
      <start>71</start>
      <end>72</end>
      <status>unmodified</status>
      <modifiedWord/>
      <trackRevisions>false</trackRevisions>
    </reviewItem>
    <reviewItem>
      <errorID>472a3263-c5d9-4a42-b39b-4d7cd8bda936</errorID>
      <errorWord>)</errorWord>
      <group>L1_Format</group>
      <groupName>格式问题</groupName>
      <ability>L2_HalfPunc</ability>
      <abilityName>全半角检查</abilityName>
      <candidateList>
        <item>）</item>
      </candidateList>
      <explain>文本全半角错误。</explain>
      <paraID>59059284</paraID>
      <start>76</start>
      <end>77</end>
      <status>unmodified</status>
      <modifiedWord/>
      <trackRevisions>false</trackRevisions>
    </reviewItem>
    <reviewItem>
      <errorID>d87744aa-9145-4b29-a90b-95ecf031810e</errorID>
      <errorWord>(</errorWord>
      <group>L1_Format</group>
      <groupName>格式问题</groupName>
      <ability>L2_HalfPunc</ability>
      <abilityName>全半角检查</abilityName>
      <candidateList>
        <item>（</item>
      </candidateList>
      <explain>文本全半角错误。</explain>
      <paraID>59059284</paraID>
      <start>84</start>
      <end>85</end>
      <status>unmodified</status>
      <modifiedWord/>
      <trackRevisions>false</trackRevisions>
    </reviewItem>
    <reviewItem>
      <errorID>0abae0e8-587c-4b40-ba18-ea80e2faa972</errorID>
      <errorWord>)</errorWord>
      <group>L1_Format</group>
      <groupName>格式问题</groupName>
      <ability>L2_HalfPunc</ability>
      <abilityName>全半角检查</abilityName>
      <candidateList>
        <item>）</item>
      </candidateList>
      <explain>文本全半角错误。</explain>
      <paraID>59059284</paraID>
      <start>89</start>
      <end>90</end>
      <status>unmodified</status>
      <modifiedWord/>
      <trackRevisions>false</trackRevisions>
    </reviewItem>
    <reviewItem>
      <errorID>8779420e-450f-4346-a48d-fd8729a3f6b8</errorID>
      <errorWord>,</errorWord>
      <group>L1_Format</group>
      <groupName>格式问题</groupName>
      <ability>L2_HalfPunc</ability>
      <abilityName>全半角检查</abilityName>
      <candidateList>
        <item>，</item>
      </candidateList>
      <explain>文本全半角错误。</explain>
      <paraID>7DED6C7F</paraID>
      <start>17</start>
      <end>18</end>
      <status>unmodified</status>
      <modifiedWord/>
      <trackRevisions>false</trackRevisions>
    </reviewItem>
    <reviewItem>
      <errorID>60336a24-eff9-423d-bdac-bf56c9fae347</errorID>
      <errorWord>(</errorWord>
      <group>L1_Format</group>
      <groupName>格式问题</groupName>
      <ability>L2_HalfPunc</ability>
      <abilityName>全半角检查</abilityName>
      <candidateList>
        <item>（</item>
      </candidateList>
      <explain>文本全半角错误。</explain>
      <paraID>18655CC3</paraID>
      <start>22</start>
      <end>23</end>
      <status>unmodified</status>
      <modifiedWord/>
      <trackRevisions>false</trackRevisions>
    </reviewItem>
    <reviewItem>
      <errorID>fb059156-44d5-4e23-878d-7aaf757491d5</errorID>
      <errorWord>)</errorWord>
      <group>L1_Format</group>
      <groupName>格式问题</groupName>
      <ability>L2_HalfPunc</ability>
      <abilityName>全半角检查</abilityName>
      <candidateList>
        <item>）</item>
      </candidateList>
      <explain>文本全半角错误。</explain>
      <paraID>18655CC3</paraID>
      <start>28</start>
      <end>29</end>
      <status>unmodified</status>
      <modifiedWord/>
      <trackRevisions>false</trackRevisions>
    </reviewItem>
    <reviewItem>
      <errorID>5cea9ddf-d08d-432f-97ed-9b5796e1d3e8</errorID>
      <errorWord>(</errorWord>
      <group>L1_Format</group>
      <groupName>格式问题</groupName>
      <ability>L2_HalfPunc</ability>
      <abilityName>全半角检查</abilityName>
      <candidateList>
        <item>（</item>
      </candidateList>
      <explain>文本全半角错误。</explain>
      <paraID>18655CC3</paraID>
      <start>43</start>
      <end>44</end>
      <status>unmodified</status>
      <modifiedWord/>
      <trackRevisions>false</trackRevisions>
    </reviewItem>
    <reviewItem>
      <errorID>b59422b1-d497-414f-928b-f565d6d4cc07</errorID>
      <errorWord>)</errorWord>
      <group>L1_Format</group>
      <groupName>格式问题</groupName>
      <ability>L2_HalfPunc</ability>
      <abilityName>全半角检查</abilityName>
      <candidateList>
        <item>）</item>
      </candidateList>
      <explain>文本全半角错误。</explain>
      <paraID>18655CC3</paraID>
      <start>49</start>
      <end>50</end>
      <status>unmodified</status>
      <modifiedWord/>
      <trackRevisions>false</trackRevisions>
    </reviewItem>
    <reviewItem>
      <errorID>6bc23c09-a6b5-45cc-967d-ea86acc119b8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2AA1DF08</paraID>
      <start>0</start>
      <end>2</end>
      <status>unmodified</status>
      <modifiedWord/>
      <trackRevisions>false</trackRevisions>
    </reviewItem>
    <reviewItem>
      <errorID>222dff90-f23f-453c-b2e8-0bcf738d3ea4</errorID>
      <errorWord>针对于</errorWord>
      <group>L1_Word</group>
      <groupName>字词问题</groupName>
      <ability>L2_Typo</ability>
      <abilityName>字词错误</abilityName>
      <candidateList>
        <item>针对</item>
      </candidateList>
      <explain>〈动〉对准：～儿童的心理特点进行教育｜这些不都是～某个人的。</explain>
      <paraID>2AA1DF08</paraID>
      <start>182</start>
      <end>185</end>
      <status>unmodified</status>
      <modifiedWord/>
      <trackRevisions>false</trackRevisions>
    </reviewItem>
    <reviewItem>
      <errorID>c7aa0604-6acb-4c05-8911-37746f08f39e</errorID>
      <errorWord>针对于</errorWord>
      <group>L1_Word</group>
      <groupName>字词问题</groupName>
      <ability>L2_Typo</ability>
      <abilityName>字词错误</abilityName>
      <candidateList>
        <item>针对</item>
      </candidateList>
      <explain>〈动〉对准：～儿童的心理特点进行教育｜这些不都是～某个人的。</explain>
      <paraID>2AA1DF08</paraID>
      <start>449</start>
      <end>452</end>
      <status>unmodified</status>
      <modifiedWord/>
      <trackRevisions>false</trackRevisions>
    </reviewItem>
    <reviewItem>
      <errorID>6bf05733-044c-4bcb-b980-47f3941ee0d0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2AA1DF08</paraID>
      <start>497</start>
      <end>498</end>
      <status>unmodified</status>
      <modifiedWord/>
      <trackRevisions>false</trackRevisions>
    </reviewItem>
    <reviewItem>
      <errorID>a89857c2-c2b2-4581-85d6-32a68d18c1f9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61499D54</paraID>
      <start>0</start>
      <end>2</end>
      <status>unmodified</status>
      <modifiedWord/>
      <trackRevisions>false</trackRevisions>
    </reviewItem>
    <reviewItem>
      <errorID>82f5d730-a4fd-443b-8796-4e0db9eb63ff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27FC8FB3</paraID>
      <start>0</start>
      <end>2</end>
      <status>unmodified</status>
      <modifiedWord/>
      <trackRevisions>false</trackRevisions>
    </reviewItem>
    <reviewItem>
      <errorID>f0a1c8d6-044c-4bf0-a5eb-dc3d47cfbc11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2D234985</paraID>
      <start>0</start>
      <end>2</end>
      <status>unmodified</status>
      <modifiedWord/>
      <trackRevisions>false</trackRevisions>
    </reviewItem>
    <reviewItem>
      <errorID>b3f2ca8c-1ec5-41e3-b6fa-eba657deb91b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756A7AEF</paraID>
      <start>0</start>
      <end>2</end>
      <status>unmodified</status>
      <modifiedWord/>
      <trackRevisions>false</trackRevisions>
    </reviewItem>
    <reviewItem>
      <errorID>3029861d-8c7b-43d5-a976-f2e9c31d08d1</errorID>
      <errorWord>车</errorWord>
      <group>L1_Word</group>
      <groupName>字词问题</groupName>
      <ability>L2_Typo</ability>
      <abilityName>字词错误</abilityName>
      <candidateList>
        <item>车辆</item>
      </candidateList>
      <explain>〈名〉各种车的总称。</explain>
      <paraID>756A7AEF</paraID>
      <start>168</start>
      <end>169</end>
      <status>unmodified</status>
      <modifiedWord/>
      <trackRevisions>false</trackRevisions>
    </reviewItem>
    <reviewItem>
      <errorID>15119203-6929-475d-81a9-9f334cf96d68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19F1E744</paraID>
      <start>0</start>
      <end>2</end>
      <status>unmodified</status>
      <modifiedWord/>
      <trackRevisions>false</trackRevisions>
    </reviewItem>
    <reviewItem>
      <errorID>ddf802c4-1bb4-4cca-be4f-4c21168154c9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49EDA74C</paraID>
      <start>0</start>
      <end>2</end>
      <status>unmodified</status>
      <modifiedWord/>
      <trackRevisions>false</trackRevisions>
    </reviewItem>
    <reviewItem>
      <errorID>e63633be-47ba-46a7-b1d0-a98f3274663f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6341D4FD</paraID>
      <start>0</start>
      <end>2</end>
      <status>unmodified</status>
      <modifiedWord/>
      <trackRevisions>false</trackRevisions>
    </reviewItem>
    <reviewItem>
      <errorID>995a0fc3-9f3f-47d9-a2af-8f7bc0e3912c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21D19FAF</paraID>
      <start>0</start>
      <end>2</end>
      <status>unmodified</status>
      <modifiedWord/>
      <trackRevisions>false</trackRevisions>
    </reviewItem>
    <reviewItem>
      <errorID>e7473878-7310-4f54-afab-8bfca2463782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103C9335</paraID>
      <start>0</start>
      <end>2</end>
      <status>unmodified</status>
      <modifiedWord/>
      <trackRevisions>false</trackRevisions>
    </reviewItem>
    <reviewItem>
      <errorID>9ca388d1-1cdb-4322-a812-879f4b9aad9e</errorID>
      <errorWord>中的</errorWord>
      <group>L1_Word</group>
      <groupName>字词问题</groupName>
      <ability>L2_Typo</ability>
      <abilityName>字词错误</abilityName>
      <candidateList>
        <item>中</item>
      </candidateList>
      <explain>〈动〉❶正对上；恰好合上：～选｜猜～了｜三枪都打～了目标。❷受到；遭受：～毒｜～暑｜胳膊上～了一枪。</explain>
      <paraID>44071ED4</paraID>
      <start>985</start>
      <end>987</end>
      <status>unmodified</status>
      <modifiedWord/>
      <trackRevisions>false</trackRevisions>
    </reviewItem>
    <reviewItem>
      <errorID>7769b16e-777c-432d-83eb-544c9d998a34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4F4D12C9</paraID>
      <start>0</start>
      <end>2</end>
      <status>unmodified</status>
      <modifiedWord/>
      <trackRevisions>false</trackRevisions>
    </reviewItem>
    <reviewItem>
      <errorID>4e4943cc-5ea4-4b58-9b72-794048c92e26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6B058FA7</paraID>
      <start>0</start>
      <end>2</end>
      <status>unmodified</status>
      <modifiedWord/>
      <trackRevisions>false</trackRevisions>
    </reviewItem>
    <reviewItem>
      <errorID>f0bf62e1-cb71-4f5b-b923-a4193634c4b7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1D315F53</paraID>
      <start>0</start>
      <end>2</end>
      <status>unmodified</status>
      <modifiedWord/>
      <trackRevisions>false</trackRevisions>
    </reviewItem>
    <reviewItem>
      <errorID>a1b4ddd9-b79a-4f20-a462-2f102b8b905b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ABF5D47</paraID>
      <start>0</start>
      <end>2</end>
      <status>unmodified</status>
      <modifiedWord/>
      <trackRevisions>false</trackRevisions>
    </reviewItem>
    <reviewItem>
      <errorID>fe37d9f0-4d05-434f-91c6-7a6929f33445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38198186</paraID>
      <start>0</start>
      <end>2</end>
      <status>unmodified</status>
      <modifiedWord/>
      <trackRevisions>false</trackRevisions>
    </reviewItem>
    <reviewItem>
      <errorID>f3a06ddd-d40e-484c-9e89-1094268cc21e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6BB26AA7</paraID>
      <start>0</start>
      <end>2</end>
      <status>unmodified</status>
      <modifiedWord/>
      <trackRevisions>false</trackRevisions>
    </reviewItem>
    <reviewItem>
      <errorID>157a29ef-29e8-41a7-88fd-c34c053766c5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5FF1DD61</paraID>
      <start>0</start>
      <end>2</end>
      <status>unmodified</status>
      <modifiedWord/>
      <trackRevisions>false</trackRevisions>
    </reviewItem>
    <reviewItem>
      <errorID>3ba5fb4b-be19-4309-8034-6679305eb0db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851E767</paraID>
      <start>0</start>
      <end>2</end>
      <status>unmodified</status>
      <modifiedWord/>
      <trackRevisions>false</trackRevisions>
    </reviewItem>
    <reviewItem>
      <errorID>0ae8ed2f-4138-4db4-9620-84850799fcae</errorID>
      <errorWord>(</errorWord>
      <group>L1_Format</group>
      <groupName>格式问题</groupName>
      <ability>L2_HalfPunc</ability>
      <abilityName>全半角检查</abilityName>
      <candidateList>
        <item>（</item>
      </candidateList>
      <explain>文本全半角错误。</explain>
      <paraID>2AC599E8</paraID>
      <start>9</start>
      <end>10</end>
      <status>unmodified</status>
      <modifiedWord/>
      <trackRevisions>false</trackRevisions>
    </reviewItem>
    <reviewItem>
      <errorID>0e4c465b-2727-47a7-9991-43a469046a2c</errorID>
      <errorWord>)</errorWord>
      <group>L1_Format</group>
      <groupName>格式问题</groupName>
      <ability>L2_HalfPunc</ability>
      <abilityName>全半角检查</abilityName>
      <candidateList>
        <item>）</item>
      </candidateList>
      <explain>文本全半角错误。</explain>
      <paraID>2AC599E8</paraID>
      <start>19</start>
      <end>20</end>
      <status>unmodified</status>
      <modifiedWord/>
      <trackRevisions>false</trackRevisions>
    </reviewItem>
    <reviewItem>
      <errorID>f18d115d-2fa7-4471-86c9-87835c2b312c</errorID>
      <errorWord>(</errorWord>
      <group>L1_Format</group>
      <groupName>格式问题</groupName>
      <ability>L2_HalfPunc</ability>
      <abilityName>全半角检查</abilityName>
      <candidateList>
        <item>（</item>
      </candidateList>
      <explain>文本全半角错误。</explain>
      <paraID>2AC599E8</paraID>
      <start>26</start>
      <end>27</end>
      <status>unmodified</status>
      <modifiedWord/>
      <trackRevisions>false</trackRevisions>
    </reviewItem>
    <reviewItem>
      <errorID>31e8a846-9547-4ef8-b020-2a25dfe7cd30</errorID>
      <errorWord>)</errorWord>
      <group>L1_Format</group>
      <groupName>格式问题</groupName>
      <ability>L2_HalfPunc</ability>
      <abilityName>全半角检查</abilityName>
      <candidateList>
        <item>）</item>
      </candidateList>
      <explain>文本全半角错误。</explain>
      <paraID>2AC599E8</paraID>
      <start>49</start>
      <end>50</end>
      <status>unmodified</status>
      <modifiedWord/>
      <trackRevisions>false</trackRevisions>
    </reviewItem>
    <reviewItem>
      <errorID>ced788de-3843-418c-adfc-a6d20a87f17c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5E2327B7</paraID>
      <start>0</start>
      <end>2</end>
      <status>unmodified</status>
      <modifiedWord/>
      <trackRevisions>false</trackRevisions>
    </reviewItem>
    <reviewItem>
      <errorID>1e36f0b7-412c-4418-a25b-0ca3b4424ac1</errorID>
      <errorWord>:</errorWord>
      <group>L1_Format</group>
      <groupName>格式问题</groupName>
      <ability>L2_HalfPunc</ability>
      <abilityName>全半角检查</abilityName>
      <candidateList>
        <item>：</item>
      </candidateList>
      <explain>文本全半角错误。</explain>
      <paraID>5E2327B7</paraID>
      <start>8</start>
      <end>9</end>
      <status>unmodified</status>
      <modifiedWord/>
      <trackRevisions>false</trackRevisions>
    </reviewItem>
    <reviewItem>
      <errorID>fcb23200-0a78-4bc4-9c6e-bf3cdaaccfb3</errorID>
      <errorWord>:</errorWord>
      <group>L1_Format</group>
      <groupName>格式问题</groupName>
      <ability>L2_HalfPunc</ability>
      <abilityName>全半角检查</abilityName>
      <candidateList>
        <item>：</item>
      </candidateList>
      <explain>文本全半角错误。</explain>
      <paraID>5E2327B7</paraID>
      <start>66</start>
      <end>67</end>
      <status>unmodified</status>
      <modifiedWord/>
      <trackRevisions>false</trackRevisions>
    </reviewItem>
    <reviewItem>
      <errorID>4c0da6fb-44e8-4aac-a4ec-38a3914ef91d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5A59F8A2</paraID>
      <start>0</start>
      <end>2</end>
      <status>unmodified</status>
      <modifiedWord/>
      <trackRevisions>false</trackRevisions>
    </reviewItem>
    <reviewItem>
      <errorID>d9c6e7d3-b79a-48f7-b7de-48beb0acf63d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909016E</paraID>
      <start>0</start>
      <end>2</end>
      <status>unmodified</status>
      <modifiedWord/>
      <trackRevisions>false</trackRevisions>
    </reviewItem>
    <reviewItem>
      <errorID>0cee1500-9ed5-4844-92ea-84e65f7f5e1a</errorID>
      <errorWord>,</errorWord>
      <group>L1_Format</group>
      <groupName>格式问题</groupName>
      <ability>L2_HalfPunc</ability>
      <abilityName>全半角检查</abilityName>
      <candidateList>
        <item>，</item>
      </candidateList>
      <explain>文本全半角错误。</explain>
      <paraID> 909016E</paraID>
      <start>575</start>
      <end>576</end>
      <status>unmodified</status>
      <modifiedWord/>
      <trackRevisions>false</trackRevisions>
    </reviewItem>
    <reviewItem>
      <errorID>21467a3a-0905-4698-a770-92146789a5f0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4B23B9F2</paraID>
      <start>0</start>
      <end>2</end>
      <status>unmodified</status>
      <modifiedWord/>
      <trackRevisions>false</trackRevisions>
    </reviewItem>
    <reviewItem>
      <errorID>ba92e186-2893-48e3-97a8-c22ca197e6f9</errorID>
      <errorWord>|</errorWord>
      <group>L1_Format</group>
      <groupName>格式问题</groupName>
      <ability>L2_HalfPunc</ability>
      <abilityName>全半角检查</abilityName>
      <candidateList>
        <item>｜</item>
      </candidateList>
      <explain>文本全半角错误。</explain>
      <paraID> 28117B5</paraID>
      <start>57</start>
      <end>58</end>
      <status>unmodified</status>
      <modifiedWord/>
      <trackRevisions>false</trackRevisions>
    </reviewItem>
    <reviewItem>
      <errorID>5bdc864d-6189-44f7-9448-b53d9d15e193</errorID>
      <errorWord>|</errorWord>
      <group>L1_Format</group>
      <groupName>格式问题</groupName>
      <ability>L2_HalfPunc</ability>
      <abilityName>全半角检查</abilityName>
      <candidateList>
        <item>｜</item>
      </candidateList>
      <explain>文本全半角错误。</explain>
      <paraID> 28117B5</paraID>
      <start>62</start>
      <end>63</end>
      <status>unmodified</status>
      <modifiedWord/>
      <trackRevisions>false</trackRevisions>
    </reviewItem>
    <reviewItem>
      <errorID>1e81264e-cfdc-4c16-94d6-4879b15f608d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334D857</paraID>
      <start>0</start>
      <end>2</end>
      <status>unmodified</status>
      <modifiedWord/>
      <trackRevisions>false</trackRevisions>
    </reviewItem>
    <reviewItem>
      <errorID>ae76175c-f35d-4b63-bfed-c07111168205</errorID>
      <errorWord>晰</errorWord>
      <group>L1_Word</group>
      <groupName>字词问题</groupName>
      <ability>L2_Typo</ability>
      <abilityName>字词错误</abilityName>
      <candidateList>
        <item>晰地</item>
      </candidateList>
      <explain/>
      <paraID> 334D857</paraID>
      <start>48</start>
      <end>49</end>
      <status>unmodified</status>
      <modifiedWord/>
      <trackRevisions>false</trackRevisions>
    </reviewItem>
    <reviewItem>
      <errorID>5ae0a122-dff6-41f0-9a62-5393a20994f9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9F0046C</paraID>
      <start>0</start>
      <end>2</end>
      <status>unmodified</status>
      <modifiedWord/>
      <trackRevisions>false</trackRevisions>
    </reviewItem>
    <reviewItem>
      <errorID>e6f12c05-5459-44ae-9e6d-2c1a3455ce88</errorID>
      <errorWord>晰</errorWord>
      <group>L1_Word</group>
      <groupName>字词问题</groupName>
      <ability>L2_Typo</ability>
      <abilityName>字词错误</abilityName>
      <candidateList>
        <item>晰地</item>
      </candidateList>
      <explain/>
      <paraID> 9F0046C</paraID>
      <start>46</start>
      <end>47</end>
      <status>unmodified</status>
      <modifiedWord/>
      <trackRevisions>false</trackRevisions>
    </reviewItem>
    <reviewItem>
      <errorID>e9ee811b-db39-4ca5-b3ed-365a6519343a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3E012D52</paraID>
      <start>0</start>
      <end>2</end>
      <status>unmodified</status>
      <modifiedWord/>
      <trackRevisions>false</trackRevisions>
    </reviewItem>
    <reviewItem>
      <errorID>89e341c3-40fc-4cd1-80c5-741a4ac05425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5E0530F9</paraID>
      <start>0</start>
      <end>2</end>
      <status>unmodified</status>
      <modifiedWord/>
      <trackRevisions>false</trackRevisions>
    </reviewItem>
    <reviewItem>
      <errorID>f193351d-1569-4050-a644-7ba520d24138</errorID>
      <errorWord>地址</errorWord>
      <group>L1_Word</group>
      <groupName>字词问题</groupName>
      <ability>L2_Typo</ability>
      <abilityName>字词错误</abilityName>
      <candidateList>
        <item>地理</item>
      </candidateList>
      <explain/>
      <paraID>5E0530F9</paraID>
      <start>163</start>
      <end>165</end>
      <status>unmodified</status>
      <modifiedWord/>
      <trackRevisions>false</trackRevisions>
    </reviewItem>
    <reviewItem>
      <errorID>8e439ba2-0a5f-4a9d-bf40-0def1beb5fbe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1F3EECED</paraID>
      <start>0</start>
      <end>2</end>
      <status>unmodified</status>
      <modifiedWord/>
      <trackRevisions>false</trackRevisions>
    </reviewItem>
    <reviewItem>
      <errorID>31d23b28-62bc-4b39-a586-19b8ca5dfb6b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1BF2270C</paraID>
      <start>0</start>
      <end>2</end>
      <status>unmodified</status>
      <modifiedWord/>
      <trackRevisions>false</trackRevisions>
    </reviewItem>
    <reviewItem>
      <errorID>d820bfa9-6f4c-4216-9520-c4d377c2af32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6A50AA17</paraID>
      <start>0</start>
      <end>2</end>
      <status>unmodified</status>
      <modifiedWord/>
      <trackRevisions>false</trackRevisions>
    </reviewItem>
    <reviewItem>
      <errorID>f6cb5ce0-2331-4eb0-a616-b681ac034488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3E98F5ED</paraID>
      <start>0</start>
      <end>2</end>
      <status>unmodified</status>
      <modifiedWord/>
      <trackRevisions>false</trackRevisions>
    </reviewItem>
    <reviewItem>
      <errorID>5489776e-fac5-443f-a3cc-6dc8fd4f40c3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3EB6CA72</paraID>
      <start>0</start>
      <end>2</end>
      <status>unmodified</status>
      <modifiedWord/>
      <trackRevisions>false</trackRevisions>
    </reviewItem>
    <reviewItem>
      <errorID>0db2a1a3-4d9a-46b2-a5a4-40d3aa452635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28210E8F</paraID>
      <start>0</start>
      <end>2</end>
      <status>unmodified</status>
      <modifiedWord/>
      <trackRevisions>false</trackRevisions>
    </reviewItem>
    <reviewItem>
      <errorID>83278f6e-1251-40fc-8252-d7936d78e28f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1749196A</paraID>
      <start>0</start>
      <end>2</end>
      <status>unmodified</status>
      <modifiedWord/>
      <trackRevisions>false</trackRevisions>
    </reviewItem>
    <reviewItem>
      <errorID>21d940bd-2f56-44d6-a5a8-d919599fbbaa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5AA69A42</paraID>
      <start>0</start>
      <end>2</end>
      <status>unmodified</status>
      <modifiedWord/>
      <trackRevisions>false</trackRevisions>
    </reviewItem>
    <reviewItem>
      <errorID>b169aec8-0538-43cb-b322-2224d1df89ae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A7E4C3A</paraID>
      <start>0</start>
      <end>2</end>
      <status>unmodified</status>
      <modifiedWord/>
      <trackRevisions>false</trackRevisions>
    </reviewItem>
    <reviewItem>
      <errorID>a8f34078-6fb6-4997-83fa-b91a9a45ed70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2EF7B143</paraID>
      <start>0</start>
      <end>2</end>
      <status>unmodified</status>
      <modifiedWord/>
      <trackRevisions>false</trackRevisions>
    </reviewItem>
    <reviewItem>
      <errorID>ccd53980-ca57-4891-8618-01af769cc913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258C9477</paraID>
      <start>0</start>
      <end>2</end>
      <status>unmodified</status>
      <modifiedWord/>
      <trackRevisions>false</trackRevisions>
    </reviewItem>
    <reviewItem>
      <errorID>408fcabe-5086-4ef6-b014-b8f1b80b0b43</errorID>
      <errorWord>路线</errorWord>
      <group>L1_Word</group>
      <groupName>字词问题</groupName>
      <ability>L2_Typo</ability>
      <abilityName>字词错误</abilityName>
      <candidateList>
        <item>线路</item>
      </candidateList>
      <explain/>
      <paraID>258C9477</paraID>
      <start>2</start>
      <end>4</end>
      <status>unmodified</status>
      <modifiedWord/>
      <trackRevisions>false</trackRevisions>
    </reviewItem>
    <reviewItem>
      <errorID>14137504-581a-48dd-992c-8ad84ca97c40</errorID>
      <errorWord>路线</errorWord>
      <group>L1_Word</group>
      <groupName>字词问题</groupName>
      <ability>L2_Typo</ability>
      <abilityName>字词错误</abilityName>
      <candidateList>
        <item>线路</item>
      </candidateList>
      <explain/>
      <paraID>258C9477</paraID>
      <start>182</start>
      <end>184</end>
      <status>unmodified</status>
      <modifiedWord/>
      <trackRevisions>false</trackRevisions>
    </reviewItem>
    <reviewItem>
      <errorID>4cbc4f52-f08f-492a-96a3-6f9f77c776a6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3107AA2B</paraID>
      <start>0</start>
      <end>2</end>
      <status>unmodified</status>
      <modifiedWord/>
      <trackRevisions>false</trackRevisions>
    </reviewItem>
    <reviewItem>
      <errorID>0e8c8aa0-41f1-4206-a73b-bcb8858adb12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35472E1B</paraID>
      <start>0</start>
      <end>2</end>
      <status>unmodified</status>
      <modifiedWord/>
      <trackRevisions>false</trackRevisions>
    </reviewItem>
    <reviewItem>
      <errorID>8cb72c2a-3e1f-43f1-962c-0a5aa4578c35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1CB23E70</paraID>
      <start>0</start>
      <end>2</end>
      <status>unmodified</status>
      <modifiedWord/>
      <trackRevisions>false</trackRevisions>
    </reviewItem>
    <reviewItem>
      <errorID>655d1ffa-e275-4d58-a66d-edda971bf187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6347EE91</paraID>
      <start>0</start>
      <end>2</end>
      <status>unmodified</status>
      <modifiedWord/>
      <trackRevisions>false</trackRevisions>
    </reviewItem>
    <reviewItem>
      <errorID>0281fe31-a336-4473-82c5-b913ffe9ac83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2C4C8BFB</paraID>
      <start>0</start>
      <end>2</end>
      <status>unmodified</status>
      <modifiedWord/>
      <trackRevisions>false</trackRevisions>
    </reviewItem>
    <reviewItem>
      <errorID>b0a57959-cfff-4cbd-826e-5e9c7be45191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AEF9B8B</paraID>
      <start>0</start>
      <end>2</end>
      <status>unmodified</status>
      <modifiedWord/>
      <trackRevisions>false</trackRevisions>
    </reviewItem>
    <reviewItem>
      <errorID>4ae89527-f44b-4730-b4d2-84ae6af26e2d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AD29482</paraID>
      <start>0</start>
      <end>2</end>
      <status>unmodified</status>
      <modifiedWord/>
      <trackRevisions>false</trackRevisions>
    </reviewItem>
    <reviewItem>
      <errorID>0b323cbe-9706-4599-90ac-befe038e2ab6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226BDA36</paraID>
      <start>0</start>
      <end>2</end>
      <status>unmodified</status>
      <modifiedWord/>
      <trackRevisions>false</trackRevisions>
    </reviewItem>
    <reviewItem>
      <errorID>6db0617e-50ec-4cd9-8cdb-06dd93e629a0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220C493B</paraID>
      <start>0</start>
      <end>2</end>
      <status>unmodified</status>
      <modifiedWord/>
      <trackRevisions>false</trackRevisions>
    </reviewItem>
    <reviewItem>
      <errorID>671ca1fe-bea1-4a36-8781-0abdbc62e4c1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76F6B10</paraID>
      <start>0</start>
      <end>2</end>
      <status>unmodified</status>
      <modifiedWord/>
      <trackRevisions>false</trackRevisions>
    </reviewItem>
    <reviewItem>
      <errorID>ad9c658f-55fc-490d-8cb0-54d57ea2a4a9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68DA5392</paraID>
      <start>0</start>
      <end>2</end>
      <status>unmodified</status>
      <modifiedWord/>
      <trackRevisions>false</trackRevisions>
    </reviewItem>
    <reviewItem>
      <errorID>6cb37e9c-2f04-4cf0-aeab-c702d864432c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39B6E40A</paraID>
      <start>0</start>
      <end>2</end>
      <status>unmodified</status>
      <modifiedWord/>
      <trackRevisions>false</trackRevisions>
    </reviewItem>
    <reviewItem>
      <errorID>ad929d7b-8687-4137-9dfd-453fdeae7d6f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21DB346A</paraID>
      <start>0</start>
      <end>2</end>
      <status>unmodified</status>
      <modifiedWord/>
      <trackRevisions>false</trackRevisions>
    </reviewItem>
    <reviewItem>
      <errorID>944ac1a9-48f7-4373-8210-7de54f33084f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2DDFE223</paraID>
      <start>0</start>
      <end>2</end>
      <status>unmodified</status>
      <modifiedWord/>
      <trackRevisions>false</trackRevisions>
    </reviewItem>
    <reviewItem>
      <errorID>a503d80f-d4d5-4baa-9f89-d38bacd33eb7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4132E1AD</paraID>
      <start>0</start>
      <end>2</end>
      <status>unmodified</status>
      <modifiedWord/>
      <trackRevisions>false</trackRevisions>
    </reviewItem>
    <reviewItem>
      <errorID>0011b39a-66ec-4990-b28b-aaf8bcf2b50a</errorID>
      <errorWord>,</errorWord>
      <group>L1_Format</group>
      <groupName>格式问题</groupName>
      <ability>L2_HalfPunc</ability>
      <abilityName>全半角检查</abilityName>
      <candidateList>
        <item>，</item>
      </candidateList>
      <explain>文本全半角错误。</explain>
      <paraID>4132E1AD</paraID>
      <start>105</start>
      <end>106</end>
      <status>unmodified</status>
      <modifiedWord/>
      <trackRevisions>false</trackRevisions>
    </reviewItem>
    <reviewItem>
      <errorID>8a52bfaa-aba8-4274-b227-078dd213976a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63574C71</paraID>
      <start>0</start>
      <end>2</end>
      <status>unmodified</status>
      <modifiedWord/>
      <trackRevisions>false</trackRevisions>
    </reviewItem>
    <reviewItem>
      <errorID>d9f64b60-bc4d-4895-a349-6f7e419b30b4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1B59ECF0</paraID>
      <start>0</start>
      <end>2</end>
      <status>unmodified</status>
      <modifiedWord/>
      <trackRevisions>false</trackRevisions>
    </reviewItem>
    <reviewItem>
      <errorID>d4debf67-fffe-41b2-9d3e-d13915989f19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4A4A2F8F</paraID>
      <start>0</start>
      <end>2</end>
      <status>unmodified</status>
      <modifiedWord/>
      <trackRevisions>false</trackRevisions>
    </reviewItem>
    <reviewItem>
      <errorID>242e8fa0-02f3-4db7-ba3f-38066e2ca6ea</errorID>
      <errorWord>查询如</errorWord>
      <group>L1_Word</group>
      <groupName>字词问题</groupName>
      <ability>L2_Typo</ability>
      <abilityName>字词错误</abilityName>
      <candidateList>
        <item>查询</item>
      </candidateList>
      <explain>〈动〉查问▲。</explain>
      <paraID>2A9C8A67</paraID>
      <start>44</start>
      <end>47</end>
      <status>unmodified</status>
      <modifiedWord/>
      <trackRevisions>false</trackRevisions>
    </reviewItem>
    <reviewItem>
      <errorID>97ee591e-1445-4113-b1f0-41ceeb63b153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189FDD99</paraID>
      <start>0</start>
      <end>2</end>
      <status>unmodified</status>
      <modifiedWord/>
      <trackRevisions>false</trackRevisions>
    </reviewItem>
    <reviewItem>
      <errorID>3e46994c-9f77-4ec1-b9e8-0b3ff55515a0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4552262E</paraID>
      <start>0</start>
      <end>2</end>
      <status>unmodified</status>
      <modifiedWord/>
      <trackRevisions>false</trackRevisions>
    </reviewItem>
    <reviewItem>
      <errorID>3a8ab9e4-cd00-4163-9340-bfe8d904d1cc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341C1345</paraID>
      <start>0</start>
      <end>2</end>
      <status>unmodified</status>
      <modifiedWord/>
      <trackRevisions>false</trackRevisions>
    </reviewItem>
    <reviewItem>
      <errorID>3b1f9bc1-c0e4-443c-8528-3bba2212e233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3A158523</paraID>
      <start>0</start>
      <end>2</end>
      <status>unmodified</status>
      <modifiedWord/>
      <trackRevisions>false</trackRevisions>
    </reviewItem>
    <reviewItem>
      <errorID>88ccc204-e729-4e34-af16-a3db0525435e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5F44BD1F</paraID>
      <start>0</start>
      <end>2</end>
      <status>unmodified</status>
      <modifiedWord/>
      <trackRevisions>false</trackRevisions>
    </reviewItem>
    <reviewItem>
      <errorID>81912723-d812-41fd-802d-f62a09abd476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7C7BDE4B</paraID>
      <start>0</start>
      <end>2</end>
      <status>unmodified</status>
      <modifiedWord/>
      <trackRevisions>false</trackRevisions>
    </reviewItem>
    <reviewItem>
      <errorID>c1ef8ef9-3dc2-4ac5-9aec-438d14cc9a4c</errorID>
      <errorWord>人</errorWord>
      <group>L1_Word</group>
      <groupName>字词问题</groupName>
      <ability>L2_Typo</ability>
      <abilityName>字词错误</abilityName>
      <candidateList>
        <item>人员</item>
      </candidateList>
      <explain>〈名〉担任某种职务的人：机关工作～｜值班～｜～配备。</explain>
      <paraID>7C7BDE4B</paraID>
      <start>23</start>
      <end>24</end>
      <status>unmodified</status>
      <modifiedWord/>
      <trackRevisions>false</trackRevisions>
    </reviewItem>
    <reviewItem>
      <errorID>a3be0381-85af-4b0b-a6c4-29a3f2c79992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9278DE7</paraID>
      <start>0</start>
      <end>2</end>
      <status>unmodified</status>
      <modifiedWord/>
      <trackRevisions>false</trackRevisions>
    </reviewItem>
    <reviewItem>
      <errorID>23a10d6c-bf37-42f5-8e67-c70f1ac6f7fa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696C2C38</paraID>
      <start>0</start>
      <end>2</end>
      <status>unmodified</status>
      <modifiedWord/>
      <trackRevisions>false</trackRevisions>
    </reviewItem>
    <reviewItem>
      <errorID>2e2e7caf-3509-428b-8f01-1d4b87e64b04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63FD48E1</paraID>
      <start>0</start>
      <end>2</end>
      <status>unmodified</status>
      <modifiedWord/>
      <trackRevisions>false</trackRevisions>
    </reviewItem>
    <reviewItem>
      <errorID>4920cc87-55f2-4cea-9e47-96ab4267bd15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68CBE252</paraID>
      <start>0</start>
      <end>2</end>
      <status>unmodified</status>
      <modifiedWord/>
      <trackRevisions>false</trackRevisions>
    </reviewItem>
    <reviewItem>
      <errorID>054a0343-4720-4582-81b5-05c345fbc7ff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7147D480</paraID>
      <start>0</start>
      <end>2</end>
      <status>unmodified</status>
      <modifiedWord/>
      <trackRevisions>false</trackRevisions>
    </reviewItem>
    <reviewItem>
      <errorID>fcd091f4-7dbd-49c5-9a9e-bcb2c1564b3b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5346AAF7</paraID>
      <start>0</start>
      <end>2</end>
      <status>unmodified</status>
      <modifiedWord/>
      <trackRevisions>false</trackRevisions>
    </reviewItem>
    <reviewItem>
      <errorID>6ebd1965-049f-45ce-a1f5-25d9cf341ef9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14CB01D5</paraID>
      <start>0</start>
      <end>2</end>
      <status>unmodified</status>
      <modifiedWord/>
      <trackRevisions>false</trackRevisions>
    </reviewItem>
    <reviewItem>
      <errorID>affb9e57-921e-4651-a731-4993af9b52c4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341D882E</paraID>
      <start>0</start>
      <end>2</end>
      <status>unmodified</status>
      <modifiedWord/>
      <trackRevisions>false</trackRevisions>
    </reviewItem>
    <reviewItem>
      <errorID>76a1ea3f-d245-4f76-9716-dd4798130bc6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7E7186BA</paraID>
      <start>0</start>
      <end>2</end>
      <status>unmodified</status>
      <modifiedWord/>
      <trackRevisions>false</trackRevisions>
    </reviewItem>
    <reviewItem>
      <errorID>6d72cb4e-935b-4bcf-b3f5-2564977265ab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72809C1B</paraID>
      <start>0</start>
      <end>2</end>
      <status>unmodified</status>
      <modifiedWord/>
      <trackRevisions>false</trackRevisions>
    </reviewItem>
    <reviewItem>
      <errorID>28eee058-e880-4099-bb8e-f0408ffbf5cf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232CBCF0</paraID>
      <start>0</start>
      <end>2</end>
      <status>unmodified</status>
      <modifiedWord/>
      <trackRevisions>false</trackRevisions>
    </reviewItem>
    <reviewItem>
      <errorID>f2520cd5-a29b-4548-9437-0395f80d993c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68A900C3</paraID>
      <start>0</start>
      <end>2</end>
      <status>unmodified</status>
      <modifiedWord/>
      <trackRevisions>false</trackRevisions>
    </reviewItem>
    <reviewItem>
      <errorID>19886e48-1894-4e1d-af5e-6c5e3fa4acaa</errorID>
      <errorWord>帐管理</errorWord>
      <group>L1_Word</group>
      <groupName>字词问题</groupName>
      <ability>L2_Alias</ability>
      <abilityName>也作/曾用词</abilityName>
      <candidateList>
        <item>账管理</item>
      </candidateList>
      <explain>词汇[帐管理]为不规范表述或旧称，其规范书面表述为[账管理]。</explain>
      <paraID>68A900C3</paraID>
      <start>314</start>
      <end>317</end>
      <status>unmodified</status>
      <modifiedWord/>
      <trackRevisions>false</trackRevisions>
    </reviewItem>
    <reviewItem>
      <errorID>45e419ee-0330-4e5b-8c44-cba329e2fc57</errorID>
      <errorWord>帐管理</errorWord>
      <group>L1_Word</group>
      <groupName>字词问题</groupName>
      <ability>L2_Alias</ability>
      <abilityName>也作/曾用词</abilityName>
      <candidateList>
        <item>账管理</item>
      </candidateList>
      <explain>词汇[帐管理]为不规范表述或旧称，其规范书面表述为[账管理]。</explain>
      <paraID>68A900C3</paraID>
      <start>330</start>
      <end>333</end>
      <status>unmodified</status>
      <modifiedWord/>
      <trackRevisions>false</trackRevisions>
    </reviewItem>
    <reviewItem>
      <errorID>4495dc5e-064c-4502-ae3e-ce7eac070518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210A7DCF</paraID>
      <start>0</start>
      <end>2</end>
      <status>unmodified</status>
      <modifiedWord/>
      <trackRevisions>false</trackRevisions>
    </reviewItem>
    <reviewItem>
      <errorID>971840cb-2414-4e71-91bc-841fd818b78c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6BE0C8A5</paraID>
      <start>0</start>
      <end>2</end>
      <status>unmodified</status>
      <modifiedWord/>
      <trackRevisions>false</trackRevisions>
    </reviewItem>
    <reviewItem>
      <errorID>6c82488d-4194-46c0-84af-20448f7f3111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75187633</paraID>
      <start>0</start>
      <end>2</end>
      <status>unmodified</status>
      <modifiedWord/>
      <trackRevisions>false</trackRevisions>
    </reviewItem>
    <reviewItem>
      <errorID>d078affb-116e-4259-9aff-06645c23dba8</errorID>
      <errorWord>"</errorWord>
      <group>L1_Format</group>
      <groupName>格式问题</groupName>
      <ability>L2_HalfPunc</ability>
      <abilityName>全半角检查</abilityName>
      <candidateList>
        <item>“</item>
      </candidateList>
      <explain>文本全半角错误。</explain>
      <paraID>45DB37CF</paraID>
      <start>0</start>
      <end>1</end>
      <status>unmodified</status>
      <modifiedWord/>
      <trackRevisions>false</trackRevisions>
    </reviewItem>
    <reviewItem>
      <errorID>35647f54-9edf-49c7-b5fd-f3c7afd8a585</errorID>
      <errorWord>"</errorWord>
      <group>L1_Format</group>
      <groupName>格式问题</groupName>
      <ability>L2_HalfPunc</ability>
      <abilityName>全半角检查</abilityName>
      <candidateList>
        <item>”</item>
      </candidateList>
      <explain>文本全半角错误。</explain>
      <paraID>45DB37CF</paraID>
      <start>9</start>
      <end>10</end>
      <status>unmodified</status>
      <modifiedWord/>
      <trackRevisions>false</trackRevisions>
    </reviewItem>
    <reviewItem>
      <errorID>97575711-750b-49dc-959d-d4c06eeab636</errorID>
      <errorWord>"</errorWord>
      <group>L1_Format</group>
      <groupName>格式问题</groupName>
      <ability>L2_HalfPunc</ability>
      <abilityName>全半角检查</abilityName>
      <candidateList>
        <item>“</item>
      </candidateList>
      <explain>文本全半角错误。</explain>
      <paraID>57AA2EFD</paraID>
      <start>0</start>
      <end>1</end>
      <status>unmodified</status>
      <modifiedWord/>
      <trackRevisions>false</trackRevisions>
    </reviewItem>
    <reviewItem>
      <errorID>ea4f1e80-c40b-48c2-9860-b9f55e52984f</errorID>
      <errorWord>"</errorWord>
      <group>L1_Format</group>
      <groupName>格式问题</groupName>
      <ability>L2_HalfPunc</ability>
      <abilityName>全半角检查</abilityName>
      <candidateList>
        <item>”</item>
      </candidateList>
      <explain>文本全半角错误。</explain>
      <paraID>57AA2EFD</paraID>
      <start>5</start>
      <end>6</end>
      <status>unmodified</status>
      <modifiedWord/>
      <trackRevisions>false</trackRevisions>
    </reviewItem>
    <reviewItem>
      <errorID>a5ce77c2-d2ef-4800-8883-33873cd92b7a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63D6A549</paraID>
      <start>0</start>
      <end>2</end>
      <status>unmodified</status>
      <modifiedWord/>
      <trackRevisions>false</trackRevisions>
    </reviewItem>
    <reviewItem>
      <errorID>90c40b0c-3a6a-4fa3-b9ff-4622ae0aceb4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47F3BAFB</paraID>
      <start>0</start>
      <end>2</end>
      <status>unmodified</status>
      <modifiedWord/>
      <trackRevisions>false</trackRevisions>
    </reviewItem>
    <reviewItem>
      <errorID>ce086278-8bdc-4c34-8077-5ac9a04daf38</errorID>
      <errorWord>）</errorWord>
      <group>L1_Word</group>
      <groupName>字词问题</groupName>
      <ability>L2_Typo</ability>
      <abilityName>字词错误</abilityName>
      <candidateList>
        <item>）对</item>
      </candidateList>
      <explain/>
      <paraID>47F3BAFB</paraID>
      <start>98</start>
      <end>99</end>
      <status>unmodified</status>
      <modifiedWord/>
      <trackRevisions>false</trackRevisions>
    </reviewItem>
    <reviewItem>
      <errorID>47e6e117-1e90-4f86-b671-33bb2463614b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42E51C68</paraID>
      <start>0</start>
      <end>2</end>
      <status>unmodified</status>
      <modifiedWord/>
      <trackRevisions>false</trackRevisions>
    </reviewItem>
    <reviewItem>
      <errorID>3a94b61d-bacf-46f4-9583-0662cb16005d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6C60594C</paraID>
      <start>0</start>
      <end>2</end>
      <status>unmodified</status>
      <modifiedWord/>
      <trackRevisions>false</trackRevisions>
    </reviewItem>
    <reviewItem>
      <errorID>c8ba8dfa-48dd-4889-a16a-f59f5fc56a3f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63BC06DC</paraID>
      <start>0</start>
      <end>2</end>
      <status>unmodified</status>
      <modifiedWord/>
      <trackRevisions>false</trackRevisions>
    </reviewItem>
    <reviewItem>
      <errorID>bb36e7ea-e418-47dd-858c-27c445935e0c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3AEBFF60</paraID>
      <start>0</start>
      <end>2</end>
      <status>unmodified</status>
      <modifiedWord/>
      <trackRevisions>false</trackRevisions>
    </reviewItem>
    <reviewItem>
      <errorID>3f51eb87-2432-46f9-859c-85f44d0c8052</errorID>
      <errorWord>-</errorWord>
      <group>L1_Format</group>
      <groupName>格式问题</groupName>
      <ability>L2_HalfPunc</ability>
      <abilityName>全半角检查</abilityName>
      <candidateList>
        <item>－</item>
      </candidateList>
      <explain>文本全半角错误。</explain>
      <paraID>73013015</paraID>
      <start>5</start>
      <end>6</end>
      <status>unmodified</status>
      <modifiedWord/>
      <trackRevisions>false</trackRevisions>
    </reviewItem>
    <reviewItem>
      <errorID>3c531b4c-ad31-417a-998f-6cfd52f1ee3d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363EAA10</paraID>
      <start>0</start>
      <end>2</end>
      <status>unmodified</status>
      <modifiedWord/>
      <trackRevisions>false</trackRevisions>
    </reviewItem>
    <reviewItem>
      <errorID>eed2b713-1d04-4352-a291-3ca9104287ff</errorID>
      <errorWord>-</errorWord>
      <group>L1_Format</group>
      <groupName>格式问题</groupName>
      <ability>L2_HalfPunc</ability>
      <abilityName>全半角检查</abilityName>
      <candidateList>
        <item>－</item>
      </candidateList>
      <explain>文本全半角错误。</explain>
      <paraID>606B24D0</paraID>
      <start>5</start>
      <end>6</end>
      <status>unmodified</status>
      <modifiedWord/>
      <trackRevisions>false</trackRevisions>
    </reviewItem>
    <reviewItem>
      <errorID>bdb4b983-67f2-48d2-8413-9f40324bbeab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2B96D7CE</paraID>
      <start>0</start>
      <end>2</end>
      <status>unmodified</status>
      <modifiedWord/>
      <trackRevisions>false</trackRevisions>
    </reviewItem>
    <reviewItem>
      <errorID>ec156d63-71a4-4887-a29d-67e625636210</errorID>
      <errorWord>-</errorWord>
      <group>L1_Format</group>
      <groupName>格式问题</groupName>
      <ability>L2_HalfPunc</ability>
      <abilityName>全半角检查</abilityName>
      <candidateList>
        <item>－</item>
      </candidateList>
      <explain>文本全半角错误。</explain>
      <paraID>460740EA</paraID>
      <start>5</start>
      <end>6</end>
      <status>unmodified</status>
      <modifiedWord/>
      <trackRevisions>false</trackRevisions>
    </reviewItem>
    <reviewItem>
      <errorID>31e65aa2-500f-49bb-99c0-682258ad32a5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71ABB6B7</paraID>
      <start>0</start>
      <end>2</end>
      <status>unmodified</status>
      <modifiedWord/>
      <trackRevisions>false</trackRevisions>
    </reviewItem>
    <reviewItem>
      <errorID>b2836cdf-ca6d-4b5b-b8d2-cf5c7743bdde</errorID>
      <errorWord>-</errorWord>
      <group>L1_Format</group>
      <groupName>格式问题</groupName>
      <ability>L2_HalfPunc</ability>
      <abilityName>全半角检查</abilityName>
      <candidateList>
        <item>－</item>
      </candidateList>
      <explain>文本全半角错误。</explain>
      <paraID>55485527</paraID>
      <start>5</start>
      <end>6</end>
      <status>unmodified</status>
      <modifiedWord/>
      <trackRevisions>false</trackRevisions>
    </reviewItem>
    <reviewItem>
      <errorID>365b0627-f70a-4903-9d63-8ef8698634ca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1308B669</paraID>
      <start>0</start>
      <end>2</end>
      <status>unmodified</status>
      <modifiedWord/>
      <trackRevisions>false</trackRevisions>
    </reviewItem>
    <reviewItem>
      <errorID>2e19c97a-f1c5-4266-be9e-e12d6973837a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19CA70D4</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1D9AD641-0B16-48B9-B81A-C11DF304B1BF}">
  <ds:schemaRefs/>
</ds:datastoreItem>
</file>

<file path=customXml/itemProps2.xml><?xml version="1.0" encoding="utf-8"?>
<ds:datastoreItem xmlns:ds="http://schemas.openxmlformats.org/officeDocument/2006/customXml" ds:itemID="{cdbbf162-88d3-48a2-8dcb-943294bece22}">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67</Pages>
  <Words>3380</Words>
  <Characters>3537</Characters>
  <Lines>366</Lines>
  <Paragraphs>103</Paragraphs>
  <TotalTime>37</TotalTime>
  <ScaleCrop>false</ScaleCrop>
  <LinksUpToDate>false</LinksUpToDate>
  <CharactersWithSpaces>3541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2022-12-23T17:54:00Z</dcterms:created>
  <dc:creator>gtig_tzb</dc:creator>
  <cp:lastModifiedBy>xuzh</cp:lastModifiedBy>
  <cp:lastPrinted>2020-08-07T04:08:00Z</cp:lastPrinted>
  <dcterms:modified xsi:type="dcterms:W3CDTF">2026-03-23T08:19:36Z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8733122D640E4197A4A0C390F538102B_13</vt:lpwstr>
  </property>
  <property fmtid="{D5CDD505-2E9C-101B-9397-08002B2CF9AE}" pid="4" name="KSOTemplateDocerSaveRecord">
    <vt:lpwstr>eyJoZGlkIjoiMDM3ZTI4M2RhOTU4M2NkZWVmZWEzNGZmZTI5ZWQxM2MiLCJ1c2VySWQiOiI0MTk4NDkwMzcifQ==</vt:lpwstr>
  </property>
</Properties>
</file>