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ind w:firstLine="643"/>
        <w:rPr>
          <w:rFonts w:hint="eastAsia" w:ascii="黑体" w:hAnsi="黑体" w:eastAsia="黑体"/>
          <w:color w:val="auto"/>
        </w:rPr>
      </w:pPr>
      <w:bookmarkStart w:id="33" w:name="_GoBack"/>
      <w:bookmarkEnd w:id="33"/>
      <w:bookmarkStart w:id="0" w:name="_Toc63785461"/>
      <w:r>
        <w:rPr>
          <w:rFonts w:hint="eastAsia" w:ascii="黑体" w:hAnsi="黑体" w:eastAsia="黑体"/>
          <w:color w:val="auto"/>
        </w:rPr>
        <w:t>专业法官会议（2025年升级改造）信息化项目采购需求</w:t>
      </w:r>
    </w:p>
    <w:p>
      <w:pPr>
        <w:pStyle w:val="2"/>
        <w:rPr>
          <w:rFonts w:hint="eastAsia" w:ascii="黑体" w:hAnsi="黑体"/>
          <w:color w:val="auto"/>
        </w:rPr>
      </w:pPr>
      <w:r>
        <w:rPr>
          <w:rFonts w:hint="eastAsia" w:ascii="黑体" w:hAnsi="黑体"/>
          <w:color w:val="auto"/>
        </w:rPr>
        <w:t>项目概况</w:t>
      </w:r>
      <w:bookmarkEnd w:id="0"/>
    </w:p>
    <w:p>
      <w:pPr>
        <w:rPr>
          <w:rFonts w:hint="eastAsia" w:ascii="宋体" w:hAnsi="宋体" w:eastAsia="宋体"/>
          <w:color w:val="auto"/>
        </w:rPr>
      </w:pPr>
      <w:r>
        <w:rPr>
          <w:rFonts w:hint="eastAsia" w:ascii="宋体" w:hAnsi="宋体" w:eastAsia="宋体"/>
          <w:color w:val="auto"/>
        </w:rPr>
        <w:t>项目预算：1114985元</w:t>
      </w:r>
    </w:p>
    <w:p>
      <w:pPr>
        <w:pStyle w:val="9"/>
        <w:ind w:firstLine="480"/>
        <w:rPr>
          <w:rFonts w:hint="eastAsia" w:ascii="宋体" w:hAnsi="宋体" w:eastAsia="宋体"/>
          <w:color w:val="auto"/>
        </w:rPr>
      </w:pPr>
      <w:r>
        <w:rPr>
          <w:rFonts w:hint="eastAsia" w:ascii="宋体" w:hAnsi="宋体" w:eastAsia="宋体"/>
          <w:color w:val="auto"/>
        </w:rPr>
        <w:t>上海市浦东新区人民法院大法庭原有显示设备由标清投影系统作为会场主要显示屏幕，整个会场空间面积约为3</w:t>
      </w:r>
      <w:r>
        <w:rPr>
          <w:rFonts w:ascii="宋体" w:hAnsi="宋体" w:eastAsia="宋体"/>
          <w:color w:val="auto"/>
        </w:rPr>
        <w:t>60</w:t>
      </w:r>
      <w:r>
        <w:rPr>
          <w:rFonts w:hint="eastAsia" w:ascii="宋体" w:hAnsi="宋体" w:eastAsia="宋体"/>
          <w:color w:val="auto"/>
        </w:rPr>
        <w:t>㎡，会场尺寸约为3</w:t>
      </w:r>
      <w:r>
        <w:rPr>
          <w:rFonts w:ascii="宋体" w:hAnsi="宋体" w:eastAsia="宋体"/>
          <w:color w:val="auto"/>
        </w:rPr>
        <w:t>0</w:t>
      </w:r>
      <w:r>
        <w:rPr>
          <w:rFonts w:hint="eastAsia" w:ascii="宋体" w:hAnsi="宋体" w:eastAsia="宋体"/>
          <w:color w:val="auto"/>
        </w:rPr>
        <w:t>米*</w:t>
      </w:r>
      <w:r>
        <w:rPr>
          <w:rFonts w:ascii="宋体" w:hAnsi="宋体" w:eastAsia="宋体"/>
          <w:color w:val="auto"/>
        </w:rPr>
        <w:t>12</w:t>
      </w:r>
      <w:r>
        <w:rPr>
          <w:rFonts w:hint="eastAsia" w:ascii="宋体" w:hAnsi="宋体" w:eastAsia="宋体"/>
          <w:color w:val="auto"/>
        </w:rPr>
        <w:t>米（长*宽），中间隔断分区移门可把会场分为3个区域。现大法庭应用场景包含大型会议场景、报告会议场景、回字型围桌场景、庭审模式场景。原有庭审建设的视频系统无法满足多场景多业务应用需求。在开大型报告会时没有主显示画面，原有系统设备越来越不能满足法院业务、会议正常召开、培训交流的需要，急需对业务用房整体进行全面的升级改造。</w:t>
      </w:r>
    </w:p>
    <w:p>
      <w:pPr>
        <w:rPr>
          <w:rFonts w:hint="eastAsia" w:ascii="宋体" w:hAnsi="宋体" w:eastAsia="宋体"/>
          <w:color w:val="auto"/>
        </w:rPr>
      </w:pPr>
      <w:r>
        <w:rPr>
          <w:rFonts w:ascii="宋体" w:hAnsi="宋体" w:eastAsia="宋体"/>
          <w:color w:val="auto"/>
        </w:rPr>
        <w:t>是否按</w:t>
      </w:r>
      <w:r>
        <w:rPr>
          <w:rFonts w:hint="eastAsia" w:ascii="宋体" w:hAnsi="宋体" w:eastAsia="宋体"/>
          <w:color w:val="auto"/>
        </w:rPr>
        <w:t>XC</w:t>
      </w:r>
      <w:r>
        <w:rPr>
          <w:rFonts w:ascii="宋体" w:hAnsi="宋体" w:eastAsia="宋体"/>
          <w:color w:val="auto"/>
        </w:rPr>
        <w:t>要求建设：</w:t>
      </w:r>
      <w:r>
        <w:rPr>
          <w:rFonts w:hint="eastAsia" w:ascii="宋体" w:hAnsi="宋体" w:eastAsia="宋体"/>
          <w:color w:val="auto"/>
        </w:rPr>
        <w:t>是</w:t>
      </w:r>
    </w:p>
    <w:p>
      <w:pPr>
        <w:pStyle w:val="2"/>
        <w:rPr>
          <w:rFonts w:hint="eastAsia" w:ascii="黑体" w:hAnsi="黑体"/>
          <w:color w:val="auto"/>
        </w:rPr>
      </w:pPr>
      <w:bookmarkStart w:id="1" w:name="_Toc47536644"/>
      <w:bookmarkEnd w:id="1"/>
      <w:bookmarkStart w:id="2" w:name="_Toc47532891"/>
      <w:bookmarkEnd w:id="2"/>
      <w:bookmarkStart w:id="3" w:name="_Toc47539070"/>
      <w:bookmarkEnd w:id="3"/>
      <w:bookmarkStart w:id="4" w:name="_Toc47533256"/>
      <w:bookmarkEnd w:id="4"/>
      <w:bookmarkStart w:id="5" w:name="_Toc47532255"/>
      <w:bookmarkEnd w:id="5"/>
      <w:bookmarkStart w:id="6" w:name="_Toc47531634"/>
      <w:bookmarkEnd w:id="6"/>
      <w:bookmarkStart w:id="7" w:name="_Toc47537134"/>
      <w:bookmarkEnd w:id="7"/>
      <w:bookmarkStart w:id="8" w:name="_Toc47536272"/>
      <w:bookmarkEnd w:id="8"/>
      <w:bookmarkStart w:id="9" w:name="_Toc48223882"/>
      <w:bookmarkStart w:id="10" w:name="_Toc63785463"/>
      <w:r>
        <w:rPr>
          <w:rFonts w:hint="eastAsia" w:ascii="黑体" w:hAnsi="黑体"/>
          <w:color w:val="auto"/>
        </w:rPr>
        <w:t>建设目标</w:t>
      </w:r>
      <w:bookmarkEnd w:id="9"/>
      <w:bookmarkEnd w:id="10"/>
    </w:p>
    <w:p>
      <w:pPr>
        <w:rPr>
          <w:rFonts w:hint="eastAsia" w:ascii="宋体" w:hAnsi="宋体" w:eastAsia="宋体"/>
          <w:color w:val="auto"/>
        </w:rPr>
      </w:pPr>
      <w:r>
        <w:rPr>
          <w:rFonts w:ascii="宋体" w:hAnsi="宋体" w:eastAsia="宋体"/>
          <w:color w:val="auto"/>
        </w:rPr>
        <w:t>从信息可视化与</w:t>
      </w:r>
      <w:r>
        <w:rPr>
          <w:rFonts w:hint="eastAsia" w:ascii="宋体" w:hAnsi="宋体" w:eastAsia="宋体"/>
          <w:color w:val="auto"/>
        </w:rPr>
        <w:t>庭审</w:t>
      </w:r>
      <w:r>
        <w:rPr>
          <w:rFonts w:ascii="宋体" w:hAnsi="宋体" w:eastAsia="宋体"/>
          <w:color w:val="auto"/>
        </w:rPr>
        <w:t>展示系统架构层面，通过</w:t>
      </w:r>
      <w:r>
        <w:rPr>
          <w:rFonts w:hint="eastAsia" w:ascii="宋体" w:hAnsi="宋体" w:eastAsia="宋体"/>
          <w:color w:val="auto"/>
        </w:rPr>
        <w:t>对</w:t>
      </w:r>
      <w:r>
        <w:rPr>
          <w:rFonts w:ascii="宋体" w:hAnsi="宋体" w:eastAsia="宋体"/>
          <w:color w:val="auto"/>
        </w:rPr>
        <w:t>LED 显示</w:t>
      </w:r>
      <w:r>
        <w:rPr>
          <w:rFonts w:hint="eastAsia" w:ascii="宋体" w:hAnsi="宋体" w:eastAsia="宋体"/>
          <w:color w:val="auto"/>
        </w:rPr>
        <w:t>设备及相关配套硬件</w:t>
      </w:r>
      <w:r>
        <w:rPr>
          <w:rFonts w:ascii="宋体" w:hAnsi="宋体" w:eastAsia="宋体"/>
          <w:color w:val="auto"/>
        </w:rPr>
        <w:t>建设，实现庭审</w:t>
      </w:r>
      <w:r>
        <w:rPr>
          <w:rFonts w:hint="eastAsia" w:ascii="宋体" w:hAnsi="宋体" w:eastAsia="宋体"/>
          <w:color w:val="auto"/>
        </w:rPr>
        <w:t>观摩</w:t>
      </w:r>
      <w:r>
        <w:rPr>
          <w:rFonts w:ascii="宋体" w:hAnsi="宋体" w:eastAsia="宋体"/>
          <w:color w:val="auto"/>
        </w:rPr>
        <w:t>、</w:t>
      </w:r>
      <w:r>
        <w:rPr>
          <w:rFonts w:hint="eastAsia" w:ascii="宋体" w:hAnsi="宋体" w:eastAsia="宋体"/>
          <w:color w:val="auto"/>
        </w:rPr>
        <w:t>院内会议</w:t>
      </w:r>
      <w:r>
        <w:rPr>
          <w:rFonts w:ascii="宋体" w:hAnsi="宋体" w:eastAsia="宋体"/>
          <w:color w:val="auto"/>
        </w:rPr>
        <w:t>、信息公示、公共宣传</w:t>
      </w:r>
      <w:r>
        <w:rPr>
          <w:rFonts w:hint="eastAsia" w:ascii="宋体" w:hAnsi="宋体" w:eastAsia="宋体"/>
          <w:color w:val="auto"/>
        </w:rPr>
        <w:t>等场景</w:t>
      </w:r>
      <w:r>
        <w:rPr>
          <w:rFonts w:ascii="宋体" w:hAnsi="宋体" w:eastAsia="宋体"/>
          <w:color w:val="auto"/>
        </w:rPr>
        <w:t>可视化高清</w:t>
      </w:r>
      <w:r>
        <w:rPr>
          <w:rFonts w:hint="eastAsia" w:ascii="宋体" w:hAnsi="宋体" w:eastAsia="宋体"/>
          <w:color w:val="auto"/>
        </w:rPr>
        <w:t>呈现</w:t>
      </w:r>
      <w:r>
        <w:rPr>
          <w:rFonts w:ascii="宋体" w:hAnsi="宋体" w:eastAsia="宋体"/>
          <w:color w:val="auto"/>
        </w:rPr>
        <w:t>，起到夯实</w:t>
      </w:r>
      <w:r>
        <w:rPr>
          <w:rFonts w:hint="eastAsia" w:ascii="宋体" w:hAnsi="宋体" w:eastAsia="宋体"/>
          <w:color w:val="auto"/>
        </w:rPr>
        <w:t>数字</w:t>
      </w:r>
      <w:r>
        <w:rPr>
          <w:rFonts w:ascii="宋体" w:hAnsi="宋体" w:eastAsia="宋体"/>
          <w:color w:val="auto"/>
        </w:rPr>
        <w:t>法院硬件基础、优化司法服务场景、提升审判办公运转质效的作用</w:t>
      </w:r>
      <w:r>
        <w:rPr>
          <w:rFonts w:hint="eastAsia" w:ascii="宋体" w:hAnsi="宋体" w:eastAsia="宋体"/>
          <w:color w:val="auto"/>
        </w:rPr>
        <w:t>。</w:t>
      </w:r>
      <w:r>
        <w:rPr>
          <w:rFonts w:ascii="宋体" w:hAnsi="宋体" w:eastAsia="宋体"/>
          <w:color w:val="auto"/>
        </w:rPr>
        <w:t>全面匹配法院常态化办案、政务交流、公开公示等核心业务需求。</w:t>
      </w:r>
    </w:p>
    <w:p>
      <w:pPr>
        <w:pStyle w:val="2"/>
        <w:rPr>
          <w:rFonts w:hint="eastAsia" w:ascii="黑体" w:hAnsi="黑体"/>
          <w:color w:val="auto"/>
        </w:rPr>
      </w:pPr>
      <w:bookmarkStart w:id="11" w:name="_Toc47539102"/>
      <w:bookmarkEnd w:id="11"/>
      <w:bookmarkStart w:id="12" w:name="_Toc47532923"/>
      <w:bookmarkEnd w:id="12"/>
      <w:bookmarkStart w:id="13" w:name="_Toc47536304"/>
      <w:bookmarkEnd w:id="13"/>
      <w:bookmarkStart w:id="14" w:name="_Toc47533288"/>
      <w:bookmarkEnd w:id="14"/>
      <w:bookmarkStart w:id="15" w:name="_Toc47537166"/>
      <w:bookmarkEnd w:id="15"/>
      <w:bookmarkStart w:id="16" w:name="_Toc47536676"/>
      <w:bookmarkEnd w:id="16"/>
      <w:r>
        <w:rPr>
          <w:rFonts w:hint="eastAsia" w:ascii="黑体" w:hAnsi="黑体"/>
          <w:color w:val="auto"/>
        </w:rPr>
        <w:t>项目建设内容</w:t>
      </w:r>
    </w:p>
    <w:p>
      <w:pPr>
        <w:pStyle w:val="9"/>
        <w:ind w:firstLine="480"/>
        <w:rPr>
          <w:rFonts w:hint="eastAsia" w:ascii="宋体" w:hAnsi="宋体" w:eastAsia="宋体"/>
          <w:color w:val="auto"/>
        </w:rPr>
      </w:pPr>
      <w:r>
        <w:rPr>
          <w:rFonts w:hint="eastAsia" w:ascii="宋体" w:hAnsi="宋体" w:eastAsia="宋体"/>
          <w:color w:val="auto"/>
        </w:rPr>
        <w:t>室内小间距LED及相关配套设备：按照大法庭实际环境，需采用不小于P0.9点间距室内全彩LED屏，LED显示屏设计尺寸：不小于26m</w:t>
      </w:r>
      <w:r>
        <w:rPr>
          <w:rFonts w:ascii="宋体" w:hAnsi="宋体" w:eastAsia="宋体"/>
          <w:color w:val="auto"/>
        </w:rPr>
        <w:t>²</w:t>
      </w:r>
      <w:r>
        <w:rPr>
          <w:rFonts w:hint="eastAsia" w:ascii="宋体" w:hAnsi="宋体" w:eastAsia="宋体"/>
          <w:color w:val="auto"/>
        </w:rPr>
        <w:t>，显示屏舞台上安装。</w:t>
      </w:r>
    </w:p>
    <w:p>
      <w:pPr>
        <w:rPr>
          <w:rFonts w:hint="eastAsia" w:ascii="宋体" w:hAnsi="宋体" w:eastAsia="宋体"/>
          <w:color w:val="auto"/>
        </w:rPr>
      </w:pPr>
      <w:r>
        <w:rPr>
          <w:rFonts w:hint="eastAsia" w:ascii="宋体" w:hAnsi="宋体" w:eastAsia="宋体"/>
          <w:color w:val="auto"/>
        </w:rPr>
        <w:t>辅助显示设备：需根据新的显示系统和会场要求配置不少于2台75寸辅助电视、3台55寸辅助电视。</w:t>
      </w:r>
    </w:p>
    <w:p>
      <w:pPr>
        <w:rPr>
          <w:rFonts w:hint="eastAsia" w:ascii="宋体" w:hAnsi="宋体" w:eastAsia="宋体"/>
          <w:color w:val="auto"/>
        </w:rPr>
      </w:pPr>
      <w:r>
        <w:rPr>
          <w:rFonts w:hint="eastAsia" w:ascii="宋体" w:hAnsi="宋体" w:eastAsia="宋体"/>
          <w:color w:val="auto"/>
        </w:rPr>
        <w:t>1、硬件购置</w:t>
      </w:r>
      <w:r>
        <w:rPr>
          <w:rFonts w:hint="eastAsia" w:ascii="宋体" w:hAnsi="宋体" w:eastAsia="宋体"/>
          <w:color w:val="auto"/>
          <w:lang w:eastAsia="zh-CN"/>
        </w:rPr>
        <w:t>及集成服务</w:t>
      </w:r>
      <w:r>
        <w:rPr>
          <w:rFonts w:hint="eastAsia" w:ascii="宋体" w:hAnsi="宋体" w:eastAsia="宋体"/>
          <w:color w:val="auto"/>
        </w:rPr>
        <w:t>清单：</w:t>
      </w:r>
    </w:p>
    <w:tbl>
      <w:tblPr>
        <w:tblStyle w:val="7"/>
        <w:tblW w:w="5000" w:type="pct"/>
        <w:jc w:val="center"/>
        <w:tblLayout w:type="autofit"/>
        <w:tblCellMar>
          <w:top w:w="0" w:type="dxa"/>
          <w:left w:w="108" w:type="dxa"/>
          <w:bottom w:w="0" w:type="dxa"/>
          <w:right w:w="108" w:type="dxa"/>
        </w:tblCellMar>
      </w:tblPr>
      <w:tblGrid>
        <w:gridCol w:w="696"/>
        <w:gridCol w:w="707"/>
        <w:gridCol w:w="696"/>
        <w:gridCol w:w="5396"/>
        <w:gridCol w:w="576"/>
        <w:gridCol w:w="457"/>
      </w:tblGrid>
      <w:tr>
        <w:tblPrEx>
          <w:tblCellMar>
            <w:top w:w="0" w:type="dxa"/>
            <w:left w:w="108" w:type="dxa"/>
            <w:bottom w:w="0" w:type="dxa"/>
            <w:right w:w="108" w:type="dxa"/>
          </w:tblCellMar>
        </w:tblPrEx>
        <w:trPr>
          <w:trHeight w:val="270" w:hRule="atLeast"/>
          <w:jc w:val="center"/>
        </w:trPr>
        <w:tc>
          <w:tcPr>
            <w:tcW w:w="408" w:type="pct"/>
            <w:tcBorders>
              <w:top w:val="single" w:color="auto" w:sz="4" w:space="0"/>
              <w:left w:val="single" w:color="auto" w:sz="4" w:space="0"/>
              <w:bottom w:val="single" w:color="auto" w:sz="4" w:space="0"/>
              <w:right w:val="single" w:color="auto" w:sz="4" w:space="0"/>
            </w:tcBorders>
            <w:shd w:val="clear" w:color="000000" w:fill="F3F8FC"/>
            <w:noWrap/>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序号</w:t>
            </w:r>
          </w:p>
        </w:tc>
        <w:tc>
          <w:tcPr>
            <w:tcW w:w="415" w:type="pct"/>
            <w:tcBorders>
              <w:top w:val="single" w:color="auto" w:sz="4" w:space="0"/>
              <w:left w:val="nil"/>
              <w:bottom w:val="single" w:color="auto" w:sz="4" w:space="0"/>
              <w:right w:val="single" w:color="auto" w:sz="4" w:space="0"/>
            </w:tcBorders>
            <w:shd w:val="clear" w:color="000000" w:fill="F3F8FC"/>
            <w:noWrap/>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名称</w:t>
            </w:r>
          </w:p>
        </w:tc>
        <w:tc>
          <w:tcPr>
            <w:tcW w:w="408" w:type="pct"/>
            <w:tcBorders>
              <w:top w:val="single" w:color="auto" w:sz="4" w:space="0"/>
              <w:left w:val="nil"/>
              <w:bottom w:val="single" w:color="auto" w:sz="4" w:space="0"/>
              <w:right w:val="single" w:color="auto" w:sz="4" w:space="0"/>
            </w:tcBorders>
            <w:shd w:val="clear" w:color="000000" w:fill="F3F8FC"/>
            <w:noWrap/>
            <w:vAlign w:val="center"/>
          </w:tcPr>
          <w:p>
            <w:pPr>
              <w:spacing w:line="240" w:lineRule="auto"/>
              <w:ind w:firstLine="0" w:firstLineChars="0"/>
              <w:rPr>
                <w:rFonts w:hint="eastAsia" w:ascii="宋体" w:hAnsi="宋体" w:eastAsia="宋体"/>
                <w:color w:val="auto"/>
              </w:rPr>
            </w:pPr>
            <w:r>
              <w:rPr>
                <w:rFonts w:ascii="宋体" w:hAnsi="宋体" w:eastAsia="宋体"/>
                <w:color w:val="auto"/>
              </w:rPr>
              <w:t>类别</w:t>
            </w:r>
          </w:p>
        </w:tc>
        <w:tc>
          <w:tcPr>
            <w:tcW w:w="3163" w:type="pct"/>
            <w:tcBorders>
              <w:top w:val="single" w:color="auto" w:sz="4" w:space="0"/>
              <w:left w:val="nil"/>
              <w:bottom w:val="single" w:color="auto" w:sz="4" w:space="0"/>
              <w:right w:val="single" w:color="auto" w:sz="4" w:space="0"/>
            </w:tcBorders>
            <w:shd w:val="clear" w:color="000000" w:fill="F3F8FC"/>
            <w:vAlign w:val="center"/>
          </w:tcPr>
          <w:p>
            <w:pPr>
              <w:spacing w:line="240" w:lineRule="auto"/>
              <w:ind w:firstLine="0" w:firstLineChars="0"/>
              <w:rPr>
                <w:rFonts w:hint="eastAsia" w:ascii="宋体" w:hAnsi="宋体" w:eastAsia="宋体"/>
                <w:color w:val="auto"/>
              </w:rPr>
            </w:pPr>
            <w:r>
              <w:rPr>
                <w:rFonts w:ascii="宋体" w:hAnsi="宋体" w:eastAsia="宋体"/>
                <w:color w:val="auto"/>
              </w:rPr>
              <w:t>配置要求</w:t>
            </w:r>
          </w:p>
        </w:tc>
        <w:tc>
          <w:tcPr>
            <w:tcW w:w="337" w:type="pct"/>
            <w:tcBorders>
              <w:top w:val="single" w:color="auto" w:sz="4" w:space="0"/>
              <w:left w:val="nil"/>
              <w:bottom w:val="single" w:color="auto" w:sz="4" w:space="0"/>
              <w:right w:val="single" w:color="auto" w:sz="4" w:space="0"/>
            </w:tcBorders>
            <w:shd w:val="clear" w:color="000000" w:fill="F3F8FC"/>
            <w:vAlign w:val="center"/>
          </w:tcPr>
          <w:p>
            <w:pPr>
              <w:spacing w:line="240" w:lineRule="auto"/>
              <w:ind w:firstLine="0" w:firstLineChars="0"/>
              <w:rPr>
                <w:rFonts w:hint="eastAsia" w:ascii="宋体" w:hAnsi="宋体" w:eastAsia="宋体"/>
                <w:color w:val="auto"/>
              </w:rPr>
            </w:pPr>
            <w:r>
              <w:rPr>
                <w:rFonts w:ascii="宋体" w:hAnsi="宋体" w:eastAsia="宋体"/>
                <w:color w:val="auto"/>
              </w:rPr>
              <w:t>数量</w:t>
            </w:r>
          </w:p>
        </w:tc>
        <w:tc>
          <w:tcPr>
            <w:tcW w:w="267" w:type="pct"/>
            <w:tcBorders>
              <w:top w:val="single" w:color="auto" w:sz="4" w:space="0"/>
              <w:left w:val="nil"/>
              <w:bottom w:val="single" w:color="auto" w:sz="4" w:space="0"/>
              <w:right w:val="single" w:color="auto" w:sz="4" w:space="0"/>
            </w:tcBorders>
            <w:shd w:val="clear" w:color="000000" w:fill="F3F8FC"/>
            <w:vAlign w:val="center"/>
          </w:tcPr>
          <w:p>
            <w:pPr>
              <w:spacing w:line="240" w:lineRule="auto"/>
              <w:ind w:firstLine="0" w:firstLineChars="0"/>
              <w:rPr>
                <w:rFonts w:hint="eastAsia" w:ascii="宋体" w:hAnsi="宋体" w:eastAsia="宋体"/>
                <w:color w:val="auto"/>
              </w:rPr>
            </w:pPr>
            <w:r>
              <w:rPr>
                <w:rFonts w:ascii="宋体" w:hAnsi="宋体" w:eastAsia="宋体"/>
                <w:color w:val="auto"/>
              </w:rPr>
              <w:t>单位</w:t>
            </w:r>
          </w:p>
        </w:tc>
      </w:tr>
      <w:tr>
        <w:tblPrEx>
          <w:tblCellMar>
            <w:top w:w="0" w:type="dxa"/>
            <w:left w:w="108" w:type="dxa"/>
            <w:bottom w:w="0" w:type="dxa"/>
            <w:right w:w="108" w:type="dxa"/>
          </w:tblCellMar>
        </w:tblPrEx>
        <w:trPr>
          <w:trHeight w:val="1140" w:hRule="atLeast"/>
          <w:jc w:val="center"/>
        </w:trPr>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1</w:t>
            </w:r>
          </w:p>
        </w:tc>
        <w:tc>
          <w:tcPr>
            <w:tcW w:w="415"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lang w:eastAsia="zh-CN"/>
              </w:rPr>
            </w:pPr>
            <w:r>
              <w:rPr>
                <w:rFonts w:hint="eastAsia" w:ascii="宋体" w:hAnsi="宋体" w:eastAsia="宋体"/>
                <w:color w:val="auto"/>
              </w:rPr>
              <w:t>室内全彩LED屏</w:t>
            </w:r>
            <w:r>
              <w:rPr>
                <w:rFonts w:hint="eastAsia" w:ascii="宋体" w:hAnsi="宋体" w:eastAsia="宋体"/>
                <w:color w:val="auto"/>
                <w:lang w:eastAsia="zh-CN"/>
              </w:rPr>
              <w:t>（核心产品）</w:t>
            </w:r>
          </w:p>
        </w:tc>
        <w:tc>
          <w:tcPr>
            <w:tcW w:w="408"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ascii="宋体" w:hAnsi="宋体" w:eastAsia="宋体"/>
                <w:color w:val="auto"/>
              </w:rPr>
              <w:t>LED显示屏</w:t>
            </w:r>
          </w:p>
        </w:tc>
        <w:tc>
          <w:tcPr>
            <w:tcW w:w="3163"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1.屏体尺寸：宽度≥9.6米，高度≥2.7米，</w:t>
            </w:r>
            <w:r>
              <w:rPr>
                <w:rFonts w:hint="eastAsia" w:ascii="宋体" w:hAnsi="宋体"/>
                <w:color w:val="auto"/>
                <w:sz w:val="21"/>
                <w:szCs w:val="21"/>
              </w:rPr>
              <w:t>★</w:t>
            </w:r>
            <w:r>
              <w:rPr>
                <w:rFonts w:hint="eastAsia" w:ascii="宋体" w:hAnsi="宋体" w:eastAsia="宋体"/>
                <w:color w:val="auto"/>
              </w:rPr>
              <w:t>分辨率不小于10240（宽）*2880（高），</w:t>
            </w:r>
          </w:p>
          <w:p>
            <w:pPr>
              <w:spacing w:line="240" w:lineRule="auto"/>
              <w:ind w:firstLine="0" w:firstLineChars="0"/>
              <w:rPr>
                <w:rFonts w:hint="eastAsia" w:ascii="宋体" w:hAnsi="宋体" w:eastAsia="宋体"/>
                <w:color w:val="auto"/>
                <w:lang w:eastAsia="zh-CN"/>
              </w:rPr>
            </w:pPr>
            <w:r>
              <w:rPr>
                <w:rFonts w:hint="eastAsia" w:ascii="宋体" w:hAnsi="宋体" w:eastAsia="宋体"/>
                <w:color w:val="auto"/>
              </w:rPr>
              <w:t>2.▲</w:t>
            </w:r>
            <w:r>
              <w:rPr>
                <w:rFonts w:ascii="宋体" w:hAnsi="宋体" w:eastAsia="宋体"/>
                <w:color w:val="auto"/>
              </w:rPr>
              <w:t>需采用全金属自然散热结构，箱体内部需无风扇，静音设计，屏体防护：需符合 GB/T 4208-2017 标准防尘等级需≥IP6X，防水等级需≥IPX5</w:t>
            </w:r>
            <w:r>
              <w:rPr>
                <w:rFonts w:hint="eastAsia" w:ascii="宋体" w:hAnsi="宋体" w:eastAsia="宋体"/>
                <w:color w:val="auto"/>
              </w:rPr>
              <w:t>；需提供制造商公开发布的印刷资料（包括技术白皮书Data sheet、技术说明书、产品介绍彩页等）或</w:t>
            </w:r>
            <w:r>
              <w:rPr>
                <w:rFonts w:hint="eastAsia" w:ascii="宋体" w:hAnsi="宋体" w:eastAsia="宋体"/>
                <w:color w:val="auto"/>
                <w:lang w:eastAsia="zh-CN"/>
              </w:rPr>
              <w:t>第三方机构出具的</w:t>
            </w:r>
            <w:r>
              <w:rPr>
                <w:rFonts w:hint="eastAsia" w:ascii="宋体" w:hAnsi="宋体" w:eastAsia="宋体"/>
                <w:color w:val="auto"/>
              </w:rPr>
              <w:t>技术证明文件或检测报告等证明材料</w:t>
            </w:r>
            <w:r>
              <w:rPr>
                <w:rFonts w:hint="eastAsia" w:ascii="宋体" w:hAnsi="宋体" w:eastAsia="宋体"/>
                <w:color w:val="auto"/>
                <w:lang w:eastAsia="zh-CN"/>
              </w:rPr>
              <w:t>，</w:t>
            </w:r>
          </w:p>
          <w:p>
            <w:pPr>
              <w:spacing w:line="240" w:lineRule="auto"/>
              <w:ind w:firstLine="0" w:firstLineChars="0"/>
              <w:rPr>
                <w:rFonts w:hint="eastAsia" w:ascii="宋体" w:hAnsi="宋体" w:eastAsia="宋体"/>
                <w:color w:val="auto"/>
                <w:lang w:eastAsia="zh-CN"/>
              </w:rPr>
            </w:pPr>
            <w:r>
              <w:rPr>
                <w:rFonts w:hint="eastAsia" w:ascii="宋体" w:hAnsi="宋体" w:eastAsia="宋体"/>
                <w:color w:val="auto"/>
              </w:rPr>
              <w:t>3.</w:t>
            </w:r>
            <w:r>
              <w:rPr>
                <w:rFonts w:hint="eastAsia" w:ascii="宋体" w:hAnsi="宋体"/>
                <w:color w:val="auto"/>
                <w:sz w:val="21"/>
                <w:szCs w:val="21"/>
              </w:rPr>
              <w:t>★</w:t>
            </w:r>
            <w:r>
              <w:rPr>
                <w:rFonts w:hint="eastAsia" w:ascii="宋体" w:hAnsi="宋体" w:eastAsia="宋体"/>
                <w:color w:val="auto"/>
              </w:rPr>
              <w:t>物理实像素点间距≤0.94mm；物理实像素点密度：≥1137777点/㎡</w:t>
            </w:r>
            <w:r>
              <w:rPr>
                <w:rFonts w:hint="eastAsia" w:ascii="宋体" w:hAnsi="宋体" w:eastAsia="宋体"/>
                <w:color w:val="auto"/>
                <w:lang w:eastAsia="zh-CN"/>
              </w:rPr>
              <w:t>。</w:t>
            </w:r>
            <w:r>
              <w:rPr>
                <w:rFonts w:hint="eastAsia" w:ascii="宋体" w:hAnsi="宋体" w:eastAsia="宋体"/>
                <w:color w:val="auto"/>
              </w:rPr>
              <w:t>物理实像素箱体分辨率≥640×360dots</w:t>
            </w:r>
            <w:r>
              <w:rPr>
                <w:rFonts w:hint="eastAsia" w:ascii="宋体" w:hAnsi="宋体" w:eastAsia="宋体"/>
                <w:color w:val="auto"/>
                <w:lang w:eastAsia="zh-CN"/>
              </w:rPr>
              <w:t>。</w:t>
            </w:r>
            <w:r>
              <w:rPr>
                <w:rFonts w:hint="eastAsia" w:ascii="宋体" w:hAnsi="宋体"/>
                <w:color w:val="auto"/>
                <w:sz w:val="21"/>
                <w:szCs w:val="21"/>
              </w:rPr>
              <w:t>★</w:t>
            </w:r>
            <w:r>
              <w:rPr>
                <w:rFonts w:hint="eastAsia" w:ascii="宋体" w:hAnsi="宋体" w:eastAsia="宋体"/>
                <w:color w:val="auto"/>
              </w:rPr>
              <w:t>像素组成：每个像素点由独立的红绿蓝发光芯片构成,不接受像素点之间红绿蓝发光芯片复用（不接受虚拟像素及动态像素引擎）。需提供制造商公开发布的印刷资料（包括技术白皮书Data sheet、技术说明书、产品介绍彩页等）或</w:t>
            </w:r>
            <w:r>
              <w:rPr>
                <w:rFonts w:hint="eastAsia" w:ascii="宋体" w:hAnsi="宋体" w:eastAsia="宋体"/>
                <w:color w:val="auto"/>
                <w:lang w:eastAsia="zh-CN"/>
              </w:rPr>
              <w:t>第三方机构出具的</w:t>
            </w:r>
            <w:r>
              <w:rPr>
                <w:rFonts w:hint="eastAsia" w:ascii="宋体" w:hAnsi="宋体" w:eastAsia="宋体"/>
                <w:color w:val="auto"/>
              </w:rPr>
              <w:t>技术证明文件或检测报告等证明材料</w:t>
            </w:r>
            <w:r>
              <w:rPr>
                <w:rFonts w:hint="eastAsia" w:ascii="宋体" w:hAnsi="宋体" w:eastAsia="宋体"/>
                <w:color w:val="auto"/>
                <w:lang w:eastAsia="zh-CN"/>
              </w:rPr>
              <w:t>。</w:t>
            </w:r>
          </w:p>
          <w:p>
            <w:pPr>
              <w:spacing w:line="240" w:lineRule="auto"/>
              <w:ind w:firstLine="0" w:firstLineChars="0"/>
              <w:rPr>
                <w:rFonts w:hint="eastAsia" w:ascii="宋体" w:hAnsi="宋体" w:eastAsia="宋体"/>
                <w:color w:val="auto"/>
              </w:rPr>
            </w:pPr>
            <w:r>
              <w:rPr>
                <w:rFonts w:hint="eastAsia" w:ascii="宋体" w:hAnsi="宋体" w:eastAsia="宋体"/>
                <w:color w:val="auto"/>
              </w:rPr>
              <w:t>4.▲采用RGB晶片全倒装技术，发光晶片单边尺寸≤90μm，COB封装，无引线</w:t>
            </w:r>
            <w:r>
              <w:rPr>
                <w:rFonts w:hint="eastAsia" w:ascii="宋体" w:hAnsi="宋体" w:eastAsia="宋体"/>
                <w:color w:val="auto"/>
                <w:lang w:eastAsia="zh-CN"/>
              </w:rPr>
              <w:t>。</w:t>
            </w:r>
            <w:r>
              <w:rPr>
                <w:rFonts w:hint="eastAsia" w:ascii="宋体" w:hAnsi="宋体" w:eastAsia="宋体"/>
                <w:color w:val="auto"/>
              </w:rPr>
              <w:t>需提供制造商公开发布的印刷资料（包括技术白皮书Data sheet、技术说明书、产品介绍彩页等）或</w:t>
            </w:r>
            <w:r>
              <w:rPr>
                <w:rFonts w:hint="eastAsia" w:ascii="宋体" w:hAnsi="宋体" w:eastAsia="宋体"/>
                <w:color w:val="auto"/>
                <w:lang w:eastAsia="zh-CN"/>
              </w:rPr>
              <w:t>第三方机构出具的</w:t>
            </w:r>
            <w:r>
              <w:rPr>
                <w:rFonts w:hint="eastAsia" w:ascii="宋体" w:hAnsi="宋体" w:eastAsia="宋体"/>
                <w:color w:val="auto"/>
              </w:rPr>
              <w:t>技术证明文件或检测报告等证明材料</w:t>
            </w:r>
            <w:r>
              <w:rPr>
                <w:rFonts w:hint="eastAsia" w:ascii="宋体" w:hAnsi="宋体" w:eastAsia="宋体"/>
                <w:color w:val="auto"/>
                <w:lang w:eastAsia="zh-CN"/>
              </w:rPr>
              <w:t>，</w:t>
            </w:r>
          </w:p>
          <w:p>
            <w:pPr>
              <w:spacing w:line="240" w:lineRule="auto"/>
              <w:ind w:firstLine="0" w:firstLineChars="0"/>
              <w:rPr>
                <w:rFonts w:hint="eastAsia" w:ascii="宋体" w:hAnsi="宋体" w:eastAsia="宋体"/>
                <w:color w:val="auto"/>
                <w:lang w:eastAsia="zh-CN"/>
              </w:rPr>
            </w:pPr>
            <w:r>
              <w:rPr>
                <w:rFonts w:hint="eastAsia" w:ascii="宋体" w:hAnsi="宋体" w:eastAsia="宋体"/>
                <w:color w:val="auto"/>
              </w:rPr>
              <w:t>5.▲共阴设计：LED面板设计按共阴原理设计；需提供制造商公开发布的印刷资料（包括技术白皮书Data sheet、技术说明书、产品介绍彩页等）或</w:t>
            </w:r>
            <w:r>
              <w:rPr>
                <w:rFonts w:hint="eastAsia" w:ascii="宋体" w:hAnsi="宋体" w:eastAsia="宋体"/>
                <w:color w:val="auto"/>
                <w:lang w:eastAsia="zh-CN"/>
              </w:rPr>
              <w:t>第三方机构出具的</w:t>
            </w:r>
            <w:r>
              <w:rPr>
                <w:rFonts w:hint="eastAsia" w:ascii="宋体" w:hAnsi="宋体" w:eastAsia="宋体"/>
                <w:color w:val="auto"/>
              </w:rPr>
              <w:t>技术证明文件或检测报告等证明材料</w:t>
            </w:r>
            <w:r>
              <w:rPr>
                <w:rFonts w:hint="eastAsia" w:ascii="宋体" w:hAnsi="宋体" w:eastAsia="宋体"/>
                <w:color w:val="auto"/>
                <w:lang w:eastAsia="zh-CN"/>
              </w:rPr>
              <w:t>，</w:t>
            </w:r>
          </w:p>
          <w:p>
            <w:pPr>
              <w:spacing w:line="240" w:lineRule="auto"/>
              <w:ind w:firstLine="0" w:firstLineChars="0"/>
              <w:rPr>
                <w:rFonts w:hint="eastAsia" w:ascii="宋体" w:hAnsi="宋体" w:eastAsia="宋体"/>
                <w:color w:val="auto"/>
              </w:rPr>
            </w:pPr>
            <w:r>
              <w:rPr>
                <w:rFonts w:hint="eastAsia" w:ascii="宋体" w:hAnsi="宋体" w:eastAsia="宋体"/>
                <w:color w:val="auto"/>
              </w:rPr>
              <w:t>6.显示屏亮度：≥600cd/m²；视角水平≥170°/垂直≥160°；像素中心距偏差＜1%；对比度≥12000:1；灰度等级≥19bit；平整度/箱体间隙：≤0.1mm；拼装精度：≤0.05mm；</w:t>
            </w:r>
          </w:p>
          <w:p>
            <w:pPr>
              <w:spacing w:line="240" w:lineRule="auto"/>
              <w:ind w:firstLine="0" w:firstLineChars="0"/>
              <w:rPr>
                <w:rFonts w:hint="eastAsia" w:ascii="宋体" w:hAnsi="宋体" w:eastAsia="宋体"/>
                <w:color w:val="auto"/>
              </w:rPr>
            </w:pPr>
            <w:r>
              <w:rPr>
                <w:rFonts w:hint="eastAsia" w:ascii="宋体" w:hAnsi="宋体" w:eastAsia="宋体"/>
                <w:color w:val="auto"/>
              </w:rPr>
              <w:t>7.LED显示屏在开屏或关屏条件下均要求良好的显示效果，要求▲采用高黑场墨色一致性工艺技术；需提供制造商公开发布的印刷资料（包括技术白皮书Data sheet、技术说明书、产品介绍彩页等）或</w:t>
            </w:r>
            <w:r>
              <w:rPr>
                <w:rFonts w:hint="eastAsia" w:ascii="宋体" w:hAnsi="宋体" w:eastAsia="宋体"/>
                <w:color w:val="auto"/>
                <w:lang w:eastAsia="zh-CN"/>
              </w:rPr>
              <w:t>第三方机构出具的</w:t>
            </w:r>
            <w:r>
              <w:rPr>
                <w:rFonts w:hint="eastAsia" w:ascii="宋体" w:hAnsi="宋体" w:eastAsia="宋体"/>
                <w:color w:val="auto"/>
              </w:rPr>
              <w:t>技术证明文件或检测报告等证明材料</w:t>
            </w:r>
            <w:r>
              <w:rPr>
                <w:rFonts w:hint="eastAsia" w:ascii="宋体" w:hAnsi="宋体" w:eastAsia="宋体"/>
                <w:color w:val="auto"/>
                <w:lang w:eastAsia="zh-CN"/>
              </w:rPr>
              <w:t>，</w:t>
            </w:r>
          </w:p>
          <w:p>
            <w:pPr>
              <w:spacing w:line="240" w:lineRule="auto"/>
              <w:ind w:firstLine="0" w:firstLineChars="0"/>
              <w:rPr>
                <w:rFonts w:hint="eastAsia" w:ascii="宋体" w:hAnsi="宋体" w:eastAsia="宋体"/>
                <w:color w:val="auto"/>
              </w:rPr>
            </w:pPr>
            <w:r>
              <w:rPr>
                <w:rFonts w:hint="eastAsia" w:ascii="宋体" w:hAnsi="宋体" w:eastAsia="宋体"/>
                <w:color w:val="auto"/>
              </w:rPr>
              <w:t>8.三防处理：灯板背面和HUB板需喷涂三防漆，具备良好的可靠性；</w:t>
            </w:r>
          </w:p>
          <w:p>
            <w:pPr>
              <w:spacing w:line="240" w:lineRule="auto"/>
              <w:ind w:firstLine="0" w:firstLineChars="0"/>
              <w:rPr>
                <w:rFonts w:hint="eastAsia" w:ascii="宋体" w:hAnsi="宋体" w:eastAsia="宋体"/>
                <w:color w:val="auto"/>
              </w:rPr>
            </w:pPr>
            <w:r>
              <w:rPr>
                <w:rFonts w:hint="eastAsia" w:ascii="宋体" w:hAnsi="宋体" w:eastAsia="宋体"/>
                <w:color w:val="auto"/>
                <w:lang w:val="en-US" w:eastAsia="zh-CN"/>
              </w:rPr>
              <w:t>9</w:t>
            </w:r>
            <w:r>
              <w:rPr>
                <w:rFonts w:hint="eastAsia" w:ascii="宋体" w:hAnsi="宋体" w:eastAsia="宋体"/>
                <w:color w:val="auto"/>
              </w:rPr>
              <w:t>.水平燃烧试验：需符合GB/T 2408-2021塑料燃烧性能的测定水平法和垂直法标准中水平燃烧试验要求，满足HB等级；</w:t>
            </w:r>
          </w:p>
          <w:p>
            <w:pPr>
              <w:spacing w:line="240" w:lineRule="auto"/>
              <w:ind w:firstLine="0" w:firstLineChars="0"/>
              <w:rPr>
                <w:rFonts w:hint="eastAsia" w:ascii="宋体" w:hAnsi="宋体" w:eastAsia="宋体"/>
                <w:color w:val="auto"/>
              </w:rPr>
            </w:pPr>
            <w:r>
              <w:rPr>
                <w:rFonts w:hint="eastAsia" w:ascii="宋体" w:hAnsi="宋体" w:eastAsia="宋体"/>
                <w:color w:val="auto"/>
              </w:rPr>
              <w:t>1</w:t>
            </w:r>
            <w:r>
              <w:rPr>
                <w:rFonts w:hint="eastAsia" w:ascii="宋体" w:hAnsi="宋体" w:eastAsia="宋体"/>
                <w:color w:val="auto"/>
                <w:lang w:val="en-US" w:eastAsia="zh-CN"/>
              </w:rPr>
              <w:t>0</w:t>
            </w:r>
            <w:r>
              <w:rPr>
                <w:rFonts w:hint="eastAsia" w:ascii="宋体" w:hAnsi="宋体" w:eastAsia="宋体"/>
                <w:color w:val="auto"/>
              </w:rPr>
              <w:t>.GaN电源：需支持GaN电源，转换效率＞92%，采用的GaN增强型功率晶体管漏源极最大电压VDS,max≥650V；</w:t>
            </w:r>
          </w:p>
          <w:p>
            <w:pPr>
              <w:spacing w:line="240" w:lineRule="auto"/>
              <w:ind w:firstLine="0" w:firstLineChars="0"/>
              <w:rPr>
                <w:rFonts w:hint="eastAsia" w:ascii="宋体" w:hAnsi="宋体" w:eastAsia="宋体"/>
                <w:color w:val="auto"/>
              </w:rPr>
            </w:pPr>
            <w:r>
              <w:rPr>
                <w:rFonts w:hint="eastAsia" w:ascii="宋体" w:hAnsi="宋体" w:eastAsia="宋体"/>
                <w:color w:val="auto"/>
              </w:rPr>
              <w:t>1</w:t>
            </w:r>
            <w:r>
              <w:rPr>
                <w:rFonts w:hint="eastAsia" w:ascii="宋体" w:hAnsi="宋体" w:eastAsia="宋体"/>
                <w:color w:val="auto"/>
                <w:lang w:val="en-US" w:eastAsia="zh-CN"/>
              </w:rPr>
              <w:t>1</w:t>
            </w:r>
            <w:r>
              <w:rPr>
                <w:rFonts w:hint="eastAsia" w:ascii="宋体" w:hAnsi="宋体" w:eastAsia="宋体"/>
                <w:color w:val="auto"/>
              </w:rPr>
              <w:t>.▲LED显示屏要求具备可减少像素间的光串扰问题的相关技术；需提供制造商公开发布的印刷资料（包括技术白皮书Data sheet、技术说明书、产品介绍彩页等）或</w:t>
            </w:r>
            <w:r>
              <w:rPr>
                <w:rFonts w:hint="eastAsia" w:ascii="宋体" w:hAnsi="宋体" w:eastAsia="宋体"/>
                <w:color w:val="auto"/>
                <w:lang w:eastAsia="zh-CN"/>
              </w:rPr>
              <w:t>第三方机构出具的</w:t>
            </w:r>
            <w:r>
              <w:rPr>
                <w:rFonts w:hint="eastAsia" w:ascii="宋体" w:hAnsi="宋体" w:eastAsia="宋体"/>
                <w:color w:val="auto"/>
              </w:rPr>
              <w:t>技术证明文件或检测报告等证明材料</w:t>
            </w:r>
            <w:r>
              <w:rPr>
                <w:rFonts w:hint="eastAsia" w:ascii="宋体" w:hAnsi="宋体" w:eastAsia="宋体"/>
                <w:color w:val="auto"/>
                <w:lang w:eastAsia="zh-CN"/>
              </w:rPr>
              <w:t>，</w:t>
            </w:r>
          </w:p>
          <w:p>
            <w:pPr>
              <w:spacing w:line="240" w:lineRule="auto"/>
              <w:ind w:firstLine="0" w:firstLineChars="0"/>
              <w:rPr>
                <w:rFonts w:hint="eastAsia" w:ascii="宋体" w:hAnsi="宋体" w:eastAsia="宋体"/>
                <w:color w:val="auto"/>
              </w:rPr>
            </w:pPr>
            <w:r>
              <w:rPr>
                <w:rFonts w:hint="eastAsia" w:ascii="宋体" w:hAnsi="宋体" w:eastAsia="宋体"/>
                <w:color w:val="auto"/>
              </w:rPr>
              <w:t>1</w:t>
            </w:r>
            <w:r>
              <w:rPr>
                <w:rFonts w:hint="eastAsia" w:ascii="宋体" w:hAnsi="宋体" w:eastAsia="宋体"/>
                <w:color w:val="auto"/>
                <w:lang w:val="en-US" w:eastAsia="zh-CN"/>
              </w:rPr>
              <w:t>2</w:t>
            </w:r>
            <w:r>
              <w:rPr>
                <w:rFonts w:hint="eastAsia" w:ascii="宋体" w:hAnsi="宋体" w:eastAsia="宋体"/>
                <w:color w:val="auto"/>
              </w:rPr>
              <w:t>.▲LED显示屏具有多层镀膜工艺，以提升产品的防护性能及产品显示效果；需提供制造商公开发布的印刷资料（包括技术白皮书Data sheet、技术说明书、产品介绍彩页等）或</w:t>
            </w:r>
            <w:r>
              <w:rPr>
                <w:rFonts w:hint="eastAsia" w:ascii="宋体" w:hAnsi="宋体" w:eastAsia="宋体"/>
                <w:color w:val="auto"/>
                <w:lang w:eastAsia="zh-CN"/>
              </w:rPr>
              <w:t>第三方机构出具的</w:t>
            </w:r>
            <w:r>
              <w:rPr>
                <w:rFonts w:hint="eastAsia" w:ascii="宋体" w:hAnsi="宋体" w:eastAsia="宋体"/>
                <w:color w:val="auto"/>
              </w:rPr>
              <w:t>技术证明文件或检测报告等证明材料</w:t>
            </w:r>
            <w:r>
              <w:rPr>
                <w:rFonts w:hint="eastAsia" w:ascii="宋体" w:hAnsi="宋体" w:eastAsia="宋体"/>
                <w:color w:val="auto"/>
                <w:lang w:eastAsia="zh-CN"/>
              </w:rPr>
              <w:t>，</w:t>
            </w:r>
          </w:p>
          <w:p>
            <w:pPr>
              <w:spacing w:line="240" w:lineRule="auto"/>
              <w:ind w:firstLine="0" w:firstLineChars="0"/>
              <w:rPr>
                <w:rFonts w:hint="eastAsia" w:ascii="宋体" w:hAnsi="宋体" w:eastAsia="宋体"/>
                <w:color w:val="auto"/>
              </w:rPr>
            </w:pPr>
            <w:r>
              <w:rPr>
                <w:rFonts w:hint="eastAsia" w:ascii="宋体" w:hAnsi="宋体" w:eastAsia="宋体"/>
                <w:color w:val="auto"/>
              </w:rPr>
              <w:t>1</w:t>
            </w:r>
            <w:r>
              <w:rPr>
                <w:rFonts w:hint="eastAsia" w:ascii="宋体" w:hAnsi="宋体" w:eastAsia="宋体"/>
                <w:color w:val="auto"/>
                <w:lang w:val="en-US" w:eastAsia="zh-CN"/>
              </w:rPr>
              <w:t>3</w:t>
            </w:r>
            <w:r>
              <w:rPr>
                <w:rFonts w:hint="eastAsia" w:ascii="宋体" w:hAnsi="宋体" w:eastAsia="宋体"/>
                <w:color w:val="auto"/>
              </w:rPr>
              <w:t>.从LED显示屏观看效果和后期运维成本方面综合考虑，要求投标LED显示屏▲</w:t>
            </w:r>
            <w:r>
              <w:rPr>
                <w:rFonts w:hint="eastAsia" w:ascii="宋体" w:hAnsi="宋体" w:eastAsia="宋体"/>
                <w:color w:val="auto"/>
                <w:highlight w:val="none"/>
              </w:rPr>
              <w:t>采用芯片级封装LED结构技术，能够有效增强对比度，降低发热量。</w:t>
            </w:r>
            <w:r>
              <w:rPr>
                <w:rFonts w:hint="eastAsia" w:ascii="宋体" w:hAnsi="宋体" w:eastAsia="宋体"/>
                <w:color w:val="auto"/>
              </w:rPr>
              <w:t>需提供制造商公开发布的印刷资料（包括技术白皮书Data sheet、技术说明书、产品介绍彩页等）或</w:t>
            </w:r>
            <w:r>
              <w:rPr>
                <w:rFonts w:hint="eastAsia" w:ascii="宋体" w:hAnsi="宋体" w:eastAsia="宋体"/>
                <w:color w:val="auto"/>
                <w:lang w:eastAsia="zh-CN"/>
              </w:rPr>
              <w:t>第三方机构出具的</w:t>
            </w:r>
            <w:r>
              <w:rPr>
                <w:rFonts w:hint="eastAsia" w:ascii="宋体" w:hAnsi="宋体" w:eastAsia="宋体"/>
                <w:color w:val="auto"/>
              </w:rPr>
              <w:t>技术证明文件或检测报告等证明材料</w:t>
            </w:r>
            <w:r>
              <w:rPr>
                <w:rFonts w:hint="eastAsia" w:ascii="宋体" w:hAnsi="宋体" w:eastAsia="宋体"/>
                <w:color w:val="auto"/>
                <w:lang w:eastAsia="zh-CN"/>
              </w:rPr>
              <w:t>，</w:t>
            </w:r>
          </w:p>
          <w:p>
            <w:pPr>
              <w:spacing w:line="240" w:lineRule="auto"/>
              <w:ind w:firstLine="0" w:firstLineChars="0"/>
              <w:rPr>
                <w:rFonts w:hint="eastAsia" w:ascii="宋体" w:hAnsi="宋体" w:eastAsia="宋体"/>
                <w:color w:val="auto"/>
                <w:lang w:eastAsia="zh-CN"/>
              </w:rPr>
            </w:pPr>
            <w:r>
              <w:rPr>
                <w:rFonts w:hint="eastAsia" w:ascii="宋体" w:hAnsi="宋体" w:eastAsia="宋体"/>
                <w:color w:val="auto"/>
              </w:rPr>
              <w:t>1</w:t>
            </w:r>
            <w:r>
              <w:rPr>
                <w:rFonts w:hint="eastAsia" w:ascii="宋体" w:hAnsi="宋体" w:eastAsia="宋体"/>
                <w:color w:val="auto"/>
                <w:lang w:val="en-US" w:eastAsia="zh-CN"/>
              </w:rPr>
              <w:t>4</w:t>
            </w:r>
            <w:r>
              <w:rPr>
                <w:rFonts w:hint="eastAsia" w:ascii="宋体" w:hAnsi="宋体" w:eastAsia="宋体"/>
                <w:color w:val="auto"/>
              </w:rPr>
              <w:t>.▲LED显示屏所有元器件均需采用完全国产</w:t>
            </w:r>
            <w:r>
              <w:rPr>
                <w:rFonts w:hint="eastAsia" w:ascii="宋体" w:hAnsi="宋体" w:eastAsia="宋体"/>
                <w:color w:val="auto"/>
                <w:lang w:eastAsia="zh-CN"/>
              </w:rPr>
              <w:t>。</w:t>
            </w:r>
            <w:r>
              <w:rPr>
                <w:rFonts w:hint="eastAsia" w:ascii="宋体" w:hAnsi="宋体" w:eastAsia="宋体"/>
                <w:color w:val="auto"/>
              </w:rPr>
              <w:t>需提供制造商公开发布的印刷资料（包括技术白皮书Data sheet、技术说明书、产品介绍彩页等）或</w:t>
            </w:r>
            <w:r>
              <w:rPr>
                <w:rFonts w:hint="eastAsia" w:ascii="宋体" w:hAnsi="宋体" w:eastAsia="宋体"/>
                <w:color w:val="auto"/>
                <w:lang w:eastAsia="zh-CN"/>
              </w:rPr>
              <w:t>第三方机构出具的</w:t>
            </w:r>
            <w:r>
              <w:rPr>
                <w:rFonts w:hint="eastAsia" w:ascii="宋体" w:hAnsi="宋体" w:eastAsia="宋体"/>
                <w:color w:val="auto"/>
              </w:rPr>
              <w:t>技术证明文件或检测报告等证明材料</w:t>
            </w:r>
            <w:r>
              <w:rPr>
                <w:rFonts w:hint="eastAsia" w:ascii="宋体" w:hAnsi="宋体" w:eastAsia="宋体"/>
                <w:color w:val="auto"/>
                <w:lang w:eastAsia="zh-CN"/>
              </w:rPr>
              <w:t>。</w:t>
            </w:r>
          </w:p>
        </w:tc>
        <w:tc>
          <w:tcPr>
            <w:tcW w:w="337"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26</w:t>
            </w:r>
          </w:p>
        </w:tc>
        <w:tc>
          <w:tcPr>
            <w:tcW w:w="267"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w:t>
            </w:r>
          </w:p>
        </w:tc>
      </w:tr>
      <w:tr>
        <w:tblPrEx>
          <w:tblCellMar>
            <w:top w:w="0" w:type="dxa"/>
            <w:left w:w="108" w:type="dxa"/>
            <w:bottom w:w="0" w:type="dxa"/>
            <w:right w:w="108" w:type="dxa"/>
          </w:tblCellMar>
        </w:tblPrEx>
        <w:trPr>
          <w:trHeight w:val="1140" w:hRule="atLeast"/>
          <w:jc w:val="center"/>
        </w:trPr>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2</w:t>
            </w:r>
          </w:p>
        </w:tc>
        <w:tc>
          <w:tcPr>
            <w:tcW w:w="415"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LED显示屏控制系统</w:t>
            </w:r>
          </w:p>
        </w:tc>
        <w:tc>
          <w:tcPr>
            <w:tcW w:w="408"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ascii="宋体" w:hAnsi="宋体" w:eastAsia="宋体"/>
                <w:color w:val="auto"/>
              </w:rPr>
              <w:t>网络音视频服务器</w:t>
            </w:r>
          </w:p>
        </w:tc>
        <w:tc>
          <w:tcPr>
            <w:tcW w:w="3163"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1.视频接口，输入接口：≥8路 HDMI 2.0，≥4路HDMI1.3；</w:t>
            </w:r>
          </w:p>
          <w:p>
            <w:pPr>
              <w:spacing w:line="240" w:lineRule="auto"/>
              <w:ind w:firstLine="0" w:firstLineChars="0"/>
              <w:rPr>
                <w:rFonts w:hint="eastAsia" w:ascii="宋体" w:hAnsi="宋体" w:eastAsia="宋体"/>
                <w:color w:val="auto"/>
              </w:rPr>
            </w:pPr>
            <w:r>
              <w:rPr>
                <w:rFonts w:hint="eastAsia" w:ascii="宋体" w:hAnsi="宋体" w:eastAsia="宋体"/>
                <w:color w:val="auto"/>
              </w:rPr>
              <w:t>2.输出接口：≥7张 10 路网口输出；需包含4K预监卡1张</w:t>
            </w:r>
          </w:p>
          <w:p>
            <w:pPr>
              <w:spacing w:line="240" w:lineRule="auto"/>
              <w:ind w:firstLine="0" w:firstLineChars="0"/>
              <w:rPr>
                <w:rFonts w:hint="eastAsia" w:ascii="宋体" w:hAnsi="宋体" w:eastAsia="宋体"/>
                <w:color w:val="auto"/>
              </w:rPr>
            </w:pPr>
            <w:r>
              <w:rPr>
                <w:rFonts w:hint="eastAsia" w:ascii="宋体" w:hAnsi="宋体" w:eastAsia="宋体"/>
                <w:color w:val="auto"/>
              </w:rPr>
              <w:t>3.▲整机需采用FPGA全硬件图形并行处理技术，并采用模块化板卡硬件设计</w:t>
            </w:r>
            <w:r>
              <w:rPr>
                <w:rFonts w:hint="eastAsia" w:ascii="宋体" w:hAnsi="宋体" w:eastAsia="宋体"/>
                <w:color w:val="auto"/>
                <w:lang w:eastAsia="zh-CN"/>
              </w:rPr>
              <w:t>。</w:t>
            </w:r>
            <w:r>
              <w:rPr>
                <w:rFonts w:hint="eastAsia" w:ascii="宋体" w:hAnsi="宋体" w:eastAsia="宋体"/>
                <w:color w:val="auto"/>
              </w:rPr>
              <w:t>信号输入和输出方面需采用硬件隔离和嵌入式处理，每路信号需独享各自专用的数据传输通道，保证每路信号源的传输质量和抗干扰能力实现端到端的低延迟高质量画面显示；需提供制造商公开发布的印刷资料（包括技术白皮书Data sheet、技术说明书、产品介绍彩页等）或</w:t>
            </w:r>
            <w:r>
              <w:rPr>
                <w:rFonts w:hint="eastAsia" w:ascii="宋体" w:hAnsi="宋体" w:eastAsia="宋体"/>
                <w:color w:val="auto"/>
                <w:lang w:eastAsia="zh-CN"/>
              </w:rPr>
              <w:t>第三方机构出具的</w:t>
            </w:r>
            <w:r>
              <w:rPr>
                <w:rFonts w:hint="eastAsia" w:ascii="宋体" w:hAnsi="宋体" w:eastAsia="宋体"/>
                <w:color w:val="auto"/>
              </w:rPr>
              <w:t>技术证明文件或检测报告等证明材料</w:t>
            </w:r>
            <w:r>
              <w:rPr>
                <w:rFonts w:hint="eastAsia" w:ascii="宋体" w:hAnsi="宋体" w:eastAsia="宋体"/>
                <w:color w:val="auto"/>
                <w:lang w:eastAsia="zh-CN"/>
              </w:rPr>
              <w:t>，</w:t>
            </w:r>
          </w:p>
          <w:p>
            <w:pPr>
              <w:spacing w:line="240" w:lineRule="auto"/>
              <w:ind w:firstLine="0" w:firstLineChars="0"/>
              <w:rPr>
                <w:rFonts w:hint="eastAsia" w:ascii="宋体" w:hAnsi="宋体" w:eastAsia="宋体"/>
                <w:color w:val="auto"/>
              </w:rPr>
            </w:pPr>
            <w:r>
              <w:rPr>
                <w:rFonts w:hint="eastAsia" w:ascii="宋体" w:hAnsi="宋体" w:eastAsia="宋体"/>
                <w:color w:val="auto"/>
              </w:rPr>
              <w:t>4.▲需支持屏幕非规则建屏，单卡单接口建屏，4K子板单路接口带载宽度≥8100像素，高度≥8100像素，2K子板单路接口带载宽度≥4000像素，各接口之间需实现自由拼接，需支持独立拖开、重叠；需提供制造商公开发布的印刷资料（包括技术白皮书Data sheet、技术说明书、产品介绍彩页等）或</w:t>
            </w:r>
            <w:r>
              <w:rPr>
                <w:rFonts w:hint="eastAsia" w:ascii="宋体" w:hAnsi="宋体" w:eastAsia="宋体"/>
                <w:color w:val="auto"/>
                <w:lang w:eastAsia="zh-CN"/>
              </w:rPr>
              <w:t>第三方机构出具的</w:t>
            </w:r>
            <w:r>
              <w:rPr>
                <w:rFonts w:hint="eastAsia" w:ascii="宋体" w:hAnsi="宋体" w:eastAsia="宋体"/>
                <w:color w:val="auto"/>
              </w:rPr>
              <w:t>技术证明文件或检测报告等证明材料</w:t>
            </w:r>
            <w:r>
              <w:rPr>
                <w:rFonts w:hint="eastAsia" w:ascii="宋体" w:hAnsi="宋体" w:eastAsia="宋体"/>
                <w:color w:val="auto"/>
                <w:lang w:eastAsia="zh-CN"/>
              </w:rPr>
              <w:t>，</w:t>
            </w:r>
          </w:p>
          <w:p>
            <w:pPr>
              <w:spacing w:line="240" w:lineRule="auto"/>
              <w:ind w:firstLine="0" w:firstLineChars="0"/>
              <w:rPr>
                <w:rFonts w:hint="eastAsia" w:ascii="宋体" w:hAnsi="宋体" w:eastAsiaTheme="minorEastAsia"/>
                <w:color w:val="auto"/>
                <w:lang w:eastAsia="zh-CN"/>
              </w:rPr>
            </w:pPr>
            <w:r>
              <w:rPr>
                <w:rFonts w:hint="eastAsia" w:ascii="宋体" w:hAnsi="宋体" w:eastAsia="宋体"/>
                <w:color w:val="auto"/>
              </w:rPr>
              <w:t>5.▲</w:t>
            </w:r>
            <w:r>
              <w:rPr>
                <w:rFonts w:hint="eastAsia"/>
                <w:color w:val="auto"/>
              </w:rPr>
              <w:t>“用于统一管理和控制LED设备的综合管理系统（软件）”</w:t>
            </w:r>
            <w:r>
              <w:rPr>
                <w:rFonts w:hint="eastAsia"/>
                <w:color w:val="auto"/>
                <w:lang w:eastAsia="zh-CN"/>
              </w:rPr>
              <w:t>，</w:t>
            </w:r>
            <w:r>
              <w:rPr>
                <w:color w:val="auto"/>
              </w:rPr>
              <w:t>需</w:t>
            </w:r>
            <w:r>
              <w:rPr>
                <w:rFonts w:hint="eastAsia"/>
                <w:color w:val="auto"/>
                <w:szCs w:val="21"/>
              </w:rPr>
              <w:t>提供</w:t>
            </w:r>
            <w:r>
              <w:rPr>
                <w:color w:val="auto"/>
                <w:szCs w:val="21"/>
              </w:rPr>
              <w:t>通过等级保护测评</w:t>
            </w:r>
            <w:r>
              <w:rPr>
                <w:rFonts w:hint="eastAsia"/>
                <w:color w:val="auto"/>
                <w:szCs w:val="21"/>
              </w:rPr>
              <w:t>（三级）的证明材料</w:t>
            </w:r>
            <w:r>
              <w:rPr>
                <w:rFonts w:hint="eastAsia"/>
                <w:color w:val="auto"/>
                <w:szCs w:val="21"/>
                <w:lang w:eastAsia="zh-CN"/>
              </w:rPr>
              <w:t>。</w:t>
            </w:r>
          </w:p>
        </w:tc>
        <w:tc>
          <w:tcPr>
            <w:tcW w:w="337"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1</w:t>
            </w:r>
          </w:p>
        </w:tc>
        <w:tc>
          <w:tcPr>
            <w:tcW w:w="267"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套</w:t>
            </w:r>
          </w:p>
        </w:tc>
      </w:tr>
      <w:tr>
        <w:tblPrEx>
          <w:tblCellMar>
            <w:top w:w="0" w:type="dxa"/>
            <w:left w:w="108" w:type="dxa"/>
            <w:bottom w:w="0" w:type="dxa"/>
            <w:right w:w="108" w:type="dxa"/>
          </w:tblCellMar>
        </w:tblPrEx>
        <w:trPr>
          <w:trHeight w:val="1140" w:hRule="atLeast"/>
          <w:jc w:val="center"/>
        </w:trPr>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3</w:t>
            </w:r>
          </w:p>
        </w:tc>
        <w:tc>
          <w:tcPr>
            <w:tcW w:w="415"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配电箱</w:t>
            </w:r>
          </w:p>
        </w:tc>
        <w:tc>
          <w:tcPr>
            <w:tcW w:w="408"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ascii="宋体" w:hAnsi="宋体" w:eastAsia="宋体"/>
                <w:color w:val="auto"/>
              </w:rPr>
              <w:t>UPS电池柜</w:t>
            </w:r>
          </w:p>
        </w:tc>
        <w:tc>
          <w:tcPr>
            <w:tcW w:w="3163"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1.≥20KW，带远程控制功能</w:t>
            </w:r>
            <w:r>
              <w:rPr>
                <w:rFonts w:hint="eastAsia" w:ascii="宋体" w:hAnsi="宋体" w:eastAsia="宋体"/>
                <w:color w:val="auto"/>
              </w:rPr>
              <w:br w:type="textWrapping"/>
            </w:r>
            <w:r>
              <w:rPr>
                <w:rFonts w:hint="eastAsia" w:ascii="宋体" w:hAnsi="宋体" w:eastAsia="宋体"/>
                <w:color w:val="auto"/>
              </w:rPr>
              <w:t>2.输入输出:380V输入，220V输出 路数:≥6</w:t>
            </w:r>
            <w:r>
              <w:rPr>
                <w:rFonts w:hint="eastAsia" w:ascii="宋体" w:hAnsi="宋体" w:eastAsia="宋体"/>
                <w:color w:val="auto"/>
              </w:rPr>
              <w:br w:type="textWrapping"/>
            </w:r>
            <w:r>
              <w:rPr>
                <w:rFonts w:hint="eastAsia" w:ascii="宋体" w:hAnsi="宋体" w:eastAsia="宋体"/>
                <w:color w:val="auto"/>
              </w:rPr>
              <w:t xml:space="preserve">3.控制类型:PLC 通讯方式:RS232-RS485（TCP/IP） </w:t>
            </w:r>
          </w:p>
        </w:tc>
        <w:tc>
          <w:tcPr>
            <w:tcW w:w="337"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1</w:t>
            </w:r>
          </w:p>
        </w:tc>
        <w:tc>
          <w:tcPr>
            <w:tcW w:w="267"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台</w:t>
            </w:r>
          </w:p>
        </w:tc>
      </w:tr>
      <w:tr>
        <w:tblPrEx>
          <w:tblCellMar>
            <w:top w:w="0" w:type="dxa"/>
            <w:left w:w="108" w:type="dxa"/>
            <w:bottom w:w="0" w:type="dxa"/>
            <w:right w:w="108" w:type="dxa"/>
          </w:tblCellMar>
        </w:tblPrEx>
        <w:trPr>
          <w:trHeight w:val="1140" w:hRule="atLeast"/>
          <w:jc w:val="center"/>
        </w:trPr>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4</w:t>
            </w:r>
          </w:p>
        </w:tc>
        <w:tc>
          <w:tcPr>
            <w:tcW w:w="415"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大屏主动力电缆</w:t>
            </w:r>
          </w:p>
        </w:tc>
        <w:tc>
          <w:tcPr>
            <w:tcW w:w="408"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ascii="宋体" w:hAnsi="宋体" w:eastAsia="宋体"/>
                <w:color w:val="auto"/>
              </w:rPr>
              <w:t>线缆</w:t>
            </w:r>
          </w:p>
        </w:tc>
        <w:tc>
          <w:tcPr>
            <w:tcW w:w="3163"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 xml:space="preserve">1.定制楼层配电箱到LED配电箱电缆YJV4×10+1×6(mm²) </w:t>
            </w:r>
          </w:p>
        </w:tc>
        <w:tc>
          <w:tcPr>
            <w:tcW w:w="337"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100</w:t>
            </w:r>
          </w:p>
        </w:tc>
        <w:tc>
          <w:tcPr>
            <w:tcW w:w="267"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米</w:t>
            </w:r>
          </w:p>
        </w:tc>
      </w:tr>
      <w:tr>
        <w:tblPrEx>
          <w:tblCellMar>
            <w:top w:w="0" w:type="dxa"/>
            <w:left w:w="108" w:type="dxa"/>
            <w:bottom w:w="0" w:type="dxa"/>
            <w:right w:w="108" w:type="dxa"/>
          </w:tblCellMar>
        </w:tblPrEx>
        <w:trPr>
          <w:trHeight w:val="1140" w:hRule="atLeast"/>
          <w:jc w:val="center"/>
        </w:trPr>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5</w:t>
            </w:r>
          </w:p>
        </w:tc>
        <w:tc>
          <w:tcPr>
            <w:tcW w:w="415"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后场辅助75寸电视</w:t>
            </w:r>
          </w:p>
        </w:tc>
        <w:tc>
          <w:tcPr>
            <w:tcW w:w="408"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ascii="宋体" w:hAnsi="宋体" w:eastAsia="宋体"/>
                <w:color w:val="auto"/>
              </w:rPr>
              <w:t>显示屏</w:t>
            </w:r>
          </w:p>
        </w:tc>
        <w:tc>
          <w:tcPr>
            <w:tcW w:w="3163"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1.显示屏参数：≥75英寸；</w:t>
            </w:r>
            <w:r>
              <w:rPr>
                <w:rFonts w:hint="eastAsia" w:ascii="宋体" w:hAnsi="宋体" w:eastAsia="宋体"/>
                <w:color w:val="auto"/>
              </w:rPr>
              <w:br w:type="textWrapping"/>
            </w:r>
            <w:r>
              <w:rPr>
                <w:rFonts w:hint="eastAsia" w:ascii="宋体" w:hAnsi="宋体" w:eastAsia="宋体"/>
                <w:color w:val="auto"/>
              </w:rPr>
              <w:t>2.显示分辨率：≥3840(H) x 2160(V)；</w:t>
            </w:r>
          </w:p>
        </w:tc>
        <w:tc>
          <w:tcPr>
            <w:tcW w:w="337"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2</w:t>
            </w:r>
          </w:p>
        </w:tc>
        <w:tc>
          <w:tcPr>
            <w:tcW w:w="267"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台</w:t>
            </w:r>
          </w:p>
        </w:tc>
      </w:tr>
      <w:tr>
        <w:tblPrEx>
          <w:tblCellMar>
            <w:top w:w="0" w:type="dxa"/>
            <w:left w:w="108" w:type="dxa"/>
            <w:bottom w:w="0" w:type="dxa"/>
            <w:right w:w="108" w:type="dxa"/>
          </w:tblCellMar>
        </w:tblPrEx>
        <w:trPr>
          <w:trHeight w:val="1140" w:hRule="atLeast"/>
          <w:jc w:val="center"/>
        </w:trPr>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6</w:t>
            </w:r>
          </w:p>
        </w:tc>
        <w:tc>
          <w:tcPr>
            <w:tcW w:w="415"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55寸辅助返显屏</w:t>
            </w:r>
          </w:p>
        </w:tc>
        <w:tc>
          <w:tcPr>
            <w:tcW w:w="408"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ascii="宋体" w:hAnsi="宋体" w:eastAsia="宋体"/>
                <w:color w:val="auto"/>
              </w:rPr>
              <w:t>显示屏</w:t>
            </w:r>
          </w:p>
        </w:tc>
        <w:tc>
          <w:tcPr>
            <w:tcW w:w="3163"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1.显示屏参数：≥55英寸；</w:t>
            </w:r>
            <w:r>
              <w:rPr>
                <w:rFonts w:hint="eastAsia" w:ascii="宋体" w:hAnsi="宋体" w:eastAsia="宋体"/>
                <w:color w:val="auto"/>
              </w:rPr>
              <w:br w:type="page"/>
            </w:r>
            <w:r>
              <w:rPr>
                <w:rFonts w:hint="eastAsia" w:ascii="宋体" w:hAnsi="宋体" w:eastAsia="宋体"/>
                <w:color w:val="auto"/>
              </w:rPr>
              <w:t>2.显示分辨率：≥3840(H) x 2160(V)；</w:t>
            </w:r>
            <w:r>
              <w:rPr>
                <w:rFonts w:hint="eastAsia" w:ascii="宋体" w:hAnsi="宋体" w:eastAsia="宋体"/>
                <w:color w:val="auto"/>
              </w:rPr>
              <w:br w:type="page"/>
            </w:r>
          </w:p>
        </w:tc>
        <w:tc>
          <w:tcPr>
            <w:tcW w:w="337"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3</w:t>
            </w:r>
          </w:p>
        </w:tc>
        <w:tc>
          <w:tcPr>
            <w:tcW w:w="267"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台</w:t>
            </w:r>
          </w:p>
        </w:tc>
      </w:tr>
      <w:tr>
        <w:tblPrEx>
          <w:tblCellMar>
            <w:top w:w="0" w:type="dxa"/>
            <w:left w:w="108" w:type="dxa"/>
            <w:bottom w:w="0" w:type="dxa"/>
            <w:right w:w="108" w:type="dxa"/>
          </w:tblCellMar>
        </w:tblPrEx>
        <w:trPr>
          <w:trHeight w:val="1140" w:hRule="atLeast"/>
          <w:jc w:val="center"/>
        </w:trPr>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lang w:val="en-US" w:eastAsia="zh-CN"/>
              </w:rPr>
            </w:pPr>
            <w:r>
              <w:rPr>
                <w:rFonts w:hint="eastAsia" w:ascii="宋体" w:hAnsi="宋体" w:eastAsia="宋体"/>
                <w:color w:val="auto"/>
                <w:lang w:val="en-US" w:eastAsia="zh-CN"/>
              </w:rPr>
              <w:t>7</w:t>
            </w:r>
          </w:p>
        </w:tc>
        <w:tc>
          <w:tcPr>
            <w:tcW w:w="415"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大屏电源线</w:t>
            </w:r>
          </w:p>
        </w:tc>
        <w:tc>
          <w:tcPr>
            <w:tcW w:w="408"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ascii="宋体" w:hAnsi="宋体" w:eastAsia="宋体"/>
                <w:color w:val="auto"/>
              </w:rPr>
              <w:t>线缆</w:t>
            </w:r>
          </w:p>
        </w:tc>
        <w:tc>
          <w:tcPr>
            <w:tcW w:w="3163"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1.定制屏体至配电箱电源线</w:t>
            </w:r>
          </w:p>
        </w:tc>
        <w:tc>
          <w:tcPr>
            <w:tcW w:w="337"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200</w:t>
            </w:r>
          </w:p>
        </w:tc>
        <w:tc>
          <w:tcPr>
            <w:tcW w:w="267"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米</w:t>
            </w:r>
          </w:p>
        </w:tc>
      </w:tr>
      <w:tr>
        <w:tblPrEx>
          <w:tblCellMar>
            <w:top w:w="0" w:type="dxa"/>
            <w:left w:w="108" w:type="dxa"/>
            <w:bottom w:w="0" w:type="dxa"/>
            <w:right w:w="108" w:type="dxa"/>
          </w:tblCellMar>
        </w:tblPrEx>
        <w:trPr>
          <w:trHeight w:val="1140" w:hRule="atLeast"/>
          <w:jc w:val="center"/>
        </w:trPr>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lang w:eastAsia="zh-CN"/>
              </w:rPr>
            </w:pPr>
            <w:r>
              <w:rPr>
                <w:rFonts w:hint="eastAsia" w:ascii="宋体" w:hAnsi="宋体" w:eastAsia="宋体"/>
                <w:color w:val="auto"/>
                <w:lang w:val="en-US" w:eastAsia="zh-CN"/>
              </w:rPr>
              <w:t>8</w:t>
            </w:r>
          </w:p>
        </w:tc>
        <w:tc>
          <w:tcPr>
            <w:tcW w:w="415"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吸顶式麦克风</w:t>
            </w:r>
          </w:p>
        </w:tc>
        <w:tc>
          <w:tcPr>
            <w:tcW w:w="408"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ascii="宋体" w:hAnsi="宋体" w:eastAsia="宋体"/>
                <w:color w:val="auto"/>
              </w:rPr>
              <w:t>话筒</w:t>
            </w:r>
          </w:p>
        </w:tc>
        <w:tc>
          <w:tcPr>
            <w:tcW w:w="3163"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1.设备需支持大于25平米会议室内的全向高清晰录音，能对拾音矩阵采集的语音进行预处理，需支持隐蔽式安装。</w:t>
            </w:r>
            <w:r>
              <w:rPr>
                <w:rFonts w:hint="eastAsia" w:ascii="宋体" w:hAnsi="宋体" w:eastAsia="宋体"/>
                <w:color w:val="auto"/>
              </w:rPr>
              <w:br w:type="textWrapping"/>
            </w:r>
            <w:r>
              <w:rPr>
                <w:rFonts w:hint="eastAsia" w:ascii="宋体" w:hAnsi="宋体" w:eastAsia="宋体"/>
                <w:color w:val="auto"/>
              </w:rPr>
              <w:t>2.供电方式：需支持POE(IEEE 802.3af/at)以及DC（12V～1A）</w:t>
            </w:r>
            <w:r>
              <w:rPr>
                <w:rFonts w:hint="eastAsia" w:ascii="宋体" w:hAnsi="宋体" w:eastAsia="宋体"/>
                <w:color w:val="auto"/>
              </w:rPr>
              <w:br w:type="textWrapping"/>
            </w:r>
            <w:r>
              <w:rPr>
                <w:rFonts w:hint="eastAsia" w:ascii="宋体" w:hAnsi="宋体" w:eastAsia="宋体"/>
                <w:color w:val="auto"/>
              </w:rPr>
              <w:t>3.频率响应：100Hz到16000Hz</w:t>
            </w:r>
            <w:r>
              <w:rPr>
                <w:rFonts w:hint="eastAsia" w:ascii="宋体" w:hAnsi="宋体" w:eastAsia="宋体"/>
                <w:color w:val="auto"/>
              </w:rPr>
              <w:br w:type="textWrapping"/>
            </w:r>
            <w:r>
              <w:rPr>
                <w:rFonts w:hint="eastAsia" w:ascii="宋体" w:hAnsi="宋体" w:eastAsia="宋体"/>
                <w:color w:val="auto"/>
              </w:rPr>
              <w:t>4.拾音角度：不小于30°至150°</w:t>
            </w:r>
          </w:p>
        </w:tc>
        <w:tc>
          <w:tcPr>
            <w:tcW w:w="337"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1</w:t>
            </w:r>
          </w:p>
        </w:tc>
        <w:tc>
          <w:tcPr>
            <w:tcW w:w="267"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台</w:t>
            </w:r>
          </w:p>
        </w:tc>
      </w:tr>
      <w:tr>
        <w:tblPrEx>
          <w:tblCellMar>
            <w:top w:w="0" w:type="dxa"/>
            <w:left w:w="108" w:type="dxa"/>
            <w:bottom w:w="0" w:type="dxa"/>
            <w:right w:w="108" w:type="dxa"/>
          </w:tblCellMar>
        </w:tblPrEx>
        <w:trPr>
          <w:trHeight w:val="1140" w:hRule="atLeast"/>
          <w:jc w:val="center"/>
        </w:trPr>
        <w:tc>
          <w:tcPr>
            <w:tcW w:w="408"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lang w:eastAsia="zh-CN"/>
              </w:rPr>
            </w:pPr>
            <w:r>
              <w:rPr>
                <w:rFonts w:hint="eastAsia" w:ascii="宋体" w:hAnsi="宋体" w:eastAsia="宋体"/>
                <w:color w:val="auto"/>
                <w:lang w:val="en-US" w:eastAsia="zh-CN"/>
              </w:rPr>
              <w:t>9</w:t>
            </w:r>
          </w:p>
        </w:tc>
        <w:tc>
          <w:tcPr>
            <w:tcW w:w="415"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集成服务</w:t>
            </w:r>
          </w:p>
        </w:tc>
        <w:tc>
          <w:tcPr>
            <w:tcW w:w="408"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服务</w:t>
            </w:r>
          </w:p>
        </w:tc>
        <w:tc>
          <w:tcPr>
            <w:tcW w:w="3163"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1.硬件系统集成：负责项目中所有物理设备的安装与连通。包含项目涉及的显示设备、扩声设备、信号处理设备、中控设备及各类终端等。</w:t>
            </w:r>
          </w:p>
          <w:p>
            <w:pPr>
              <w:spacing w:line="240" w:lineRule="auto"/>
              <w:ind w:firstLine="0" w:firstLineChars="0"/>
              <w:rPr>
                <w:rFonts w:hint="eastAsia" w:ascii="宋体" w:hAnsi="宋体" w:eastAsia="宋体"/>
                <w:color w:val="auto"/>
              </w:rPr>
            </w:pPr>
            <w:r>
              <w:rPr>
                <w:rFonts w:hint="eastAsia" w:ascii="宋体" w:hAnsi="宋体" w:eastAsia="宋体"/>
                <w:color w:val="auto"/>
              </w:rPr>
              <w:t>2.服务内容包括：设备上架、物理连接、通电测试、设备调试，以及IP地址分配和基本网络配置。</w:t>
            </w:r>
          </w:p>
          <w:p>
            <w:pPr>
              <w:spacing w:line="240" w:lineRule="auto"/>
              <w:ind w:firstLine="0" w:firstLineChars="0"/>
              <w:rPr>
                <w:rFonts w:hint="eastAsia" w:ascii="宋体" w:hAnsi="宋体" w:eastAsia="宋体"/>
                <w:color w:val="auto"/>
              </w:rPr>
            </w:pPr>
            <w:r>
              <w:rPr>
                <w:rFonts w:hint="eastAsia" w:ascii="宋体" w:hAnsi="宋体" w:eastAsia="宋体"/>
                <w:color w:val="auto"/>
              </w:rPr>
              <w:t>3.系统对接与联调：开发、安装接口实现不同厂家系统间的数据交换与业务协同。</w:t>
            </w:r>
          </w:p>
          <w:p>
            <w:pPr>
              <w:spacing w:line="240" w:lineRule="auto"/>
              <w:ind w:firstLine="0" w:firstLineChars="0"/>
              <w:rPr>
                <w:rFonts w:hint="eastAsia" w:ascii="宋体" w:hAnsi="宋体" w:eastAsia="宋体"/>
                <w:color w:val="auto"/>
              </w:rPr>
            </w:pPr>
            <w:r>
              <w:rPr>
                <w:rFonts w:hint="eastAsia" w:ascii="宋体" w:hAnsi="宋体" w:eastAsia="宋体"/>
                <w:color w:val="auto"/>
              </w:rPr>
              <w:t>4.系统测试与验证：对整合后的系统进行全面的功能、性能、安全性测试，确保系统稳定可靠。</w:t>
            </w:r>
          </w:p>
          <w:p>
            <w:pPr>
              <w:spacing w:line="240" w:lineRule="auto"/>
              <w:ind w:firstLine="0" w:firstLineChars="0"/>
              <w:rPr>
                <w:rFonts w:hint="eastAsia" w:ascii="宋体" w:hAnsi="宋体" w:eastAsia="宋体"/>
                <w:color w:val="auto"/>
              </w:rPr>
            </w:pPr>
            <w:r>
              <w:rPr>
                <w:rFonts w:hint="eastAsia" w:ascii="宋体" w:hAnsi="宋体" w:eastAsia="宋体"/>
                <w:color w:val="auto"/>
              </w:rPr>
              <w:t>5.用户培训：对法官、书记员等最终用户和设备运维人员进行系统操作及日常维护培训。</w:t>
            </w:r>
          </w:p>
        </w:tc>
        <w:tc>
          <w:tcPr>
            <w:tcW w:w="337"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1</w:t>
            </w:r>
          </w:p>
        </w:tc>
        <w:tc>
          <w:tcPr>
            <w:tcW w:w="267"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rPr>
                <w:rFonts w:hint="eastAsia" w:ascii="宋体" w:hAnsi="宋体" w:eastAsia="宋体"/>
                <w:color w:val="auto"/>
              </w:rPr>
            </w:pPr>
            <w:r>
              <w:rPr>
                <w:rFonts w:hint="eastAsia" w:ascii="宋体" w:hAnsi="宋体" w:eastAsia="宋体"/>
                <w:color w:val="auto"/>
              </w:rPr>
              <w:t>项</w:t>
            </w:r>
          </w:p>
        </w:tc>
      </w:tr>
    </w:tbl>
    <w:p>
      <w:pPr>
        <w:pStyle w:val="2"/>
        <w:rPr>
          <w:rFonts w:hint="eastAsia" w:ascii="黑体" w:hAnsi="黑体"/>
          <w:color w:val="auto"/>
        </w:rPr>
      </w:pPr>
      <w:bookmarkStart w:id="17" w:name="_Toc63785503"/>
      <w:r>
        <w:rPr>
          <w:rFonts w:hint="eastAsia" w:ascii="黑体" w:hAnsi="黑体"/>
          <w:color w:val="auto"/>
        </w:rPr>
        <w:t>其他工作要求</w:t>
      </w:r>
      <w:bookmarkEnd w:id="17"/>
    </w:p>
    <w:p>
      <w:pPr>
        <w:pStyle w:val="3"/>
        <w:rPr>
          <w:rFonts w:hint="eastAsia" w:ascii="宋体" w:hAnsi="宋体" w:eastAsia="宋体"/>
          <w:color w:val="auto"/>
        </w:rPr>
      </w:pPr>
      <w:r>
        <w:rPr>
          <w:rFonts w:ascii="宋体" w:hAnsi="宋体" w:eastAsia="宋体"/>
          <w:color w:val="auto"/>
        </w:rPr>
        <w:t>现场考察</w:t>
      </w:r>
    </w:p>
    <w:p>
      <w:pPr>
        <w:pStyle w:val="10"/>
        <w:spacing w:beforeLines="0" w:afterLines="0"/>
        <w:ind w:firstLine="480"/>
        <w:rPr>
          <w:rFonts w:hint="eastAsia" w:ascii="宋体" w:hAnsi="宋体" w:cs="Arial"/>
          <w:color w:val="auto"/>
        </w:rPr>
      </w:pPr>
      <w:r>
        <w:rPr>
          <w:rFonts w:hint="eastAsia" w:ascii="宋体" w:hAnsi="宋体" w:cs="Arial"/>
          <w:color w:val="auto"/>
        </w:rPr>
        <w:t>项目</w:t>
      </w:r>
      <w:r>
        <w:rPr>
          <w:rFonts w:ascii="宋体" w:hAnsi="宋体" w:cs="Arial"/>
          <w:color w:val="auto"/>
        </w:rPr>
        <w:t>组织现场</w:t>
      </w:r>
      <w:r>
        <w:rPr>
          <w:rFonts w:hint="eastAsia" w:ascii="宋体" w:hAnsi="宋体" w:cs="Arial"/>
          <w:color w:val="auto"/>
        </w:rPr>
        <w:t>考察，考察</w:t>
      </w:r>
      <w:r>
        <w:rPr>
          <w:rFonts w:ascii="宋体" w:hAnsi="宋体" w:cs="Arial"/>
          <w:color w:val="auto"/>
        </w:rPr>
        <w:t>时</w:t>
      </w:r>
      <w:r>
        <w:rPr>
          <w:rFonts w:ascii="宋体" w:hAnsi="宋体" w:cs="Arial"/>
          <w:color w:val="auto"/>
          <w:highlight w:val="none"/>
        </w:rPr>
        <w:t>间：2026 年</w:t>
      </w:r>
      <w:r>
        <w:rPr>
          <w:rFonts w:hint="eastAsia" w:ascii="宋体" w:hAnsi="宋体" w:cs="Arial"/>
          <w:color w:val="auto"/>
          <w:highlight w:val="none"/>
          <w:lang w:val="en-US" w:eastAsia="zh-CN"/>
        </w:rPr>
        <w:t>6</w:t>
      </w:r>
      <w:r>
        <w:rPr>
          <w:rFonts w:ascii="宋体" w:hAnsi="宋体" w:cs="Arial"/>
          <w:color w:val="auto"/>
          <w:highlight w:val="none"/>
        </w:rPr>
        <w:t>月</w:t>
      </w:r>
      <w:r>
        <w:rPr>
          <w:rFonts w:hint="eastAsia" w:ascii="宋体" w:hAnsi="宋体" w:cs="Arial"/>
          <w:color w:val="auto"/>
          <w:highlight w:val="none"/>
          <w:lang w:val="en-US" w:eastAsia="zh-CN"/>
        </w:rPr>
        <w:t>2</w:t>
      </w:r>
      <w:r>
        <w:rPr>
          <w:rFonts w:ascii="宋体" w:hAnsi="宋体" w:cs="Arial"/>
          <w:color w:val="auto"/>
          <w:highlight w:val="none"/>
        </w:rPr>
        <w:t>日，</w:t>
      </w:r>
      <w:r>
        <w:rPr>
          <w:rFonts w:ascii="宋体" w:hAnsi="宋体" w:cs="Arial"/>
          <w:color w:val="auto"/>
        </w:rPr>
        <w:t>现场考察地点：上海市浦东新区丁香路611号，现场联系人：</w:t>
      </w:r>
      <w:r>
        <w:rPr>
          <w:rFonts w:hint="eastAsia" w:ascii="宋体" w:hAnsi="宋体" w:cs="Arial"/>
          <w:color w:val="auto"/>
        </w:rPr>
        <w:t>朱建瑧</w:t>
      </w:r>
      <w:r>
        <w:rPr>
          <w:rFonts w:ascii="宋体" w:hAnsi="宋体" w:cs="Arial"/>
          <w:color w:val="auto"/>
        </w:rPr>
        <w:t>，联系电话：</w:t>
      </w:r>
      <w:r>
        <w:rPr>
          <w:rFonts w:hint="eastAsia" w:ascii="宋体" w:hAnsi="宋体" w:cs="Arial"/>
          <w:color w:val="auto"/>
        </w:rPr>
        <w:t>19901797172</w:t>
      </w:r>
      <w:r>
        <w:rPr>
          <w:rFonts w:ascii="宋体" w:hAnsi="宋体" w:cs="Arial"/>
          <w:color w:val="auto"/>
        </w:rPr>
        <w:t>。</w:t>
      </w:r>
    </w:p>
    <w:p>
      <w:pPr>
        <w:pStyle w:val="3"/>
        <w:rPr>
          <w:rFonts w:hint="eastAsia" w:ascii="宋体" w:hAnsi="宋体" w:eastAsia="宋体"/>
          <w:color w:val="auto"/>
        </w:rPr>
      </w:pPr>
      <w:r>
        <w:rPr>
          <w:rFonts w:hint="eastAsia" w:ascii="宋体" w:hAnsi="宋体" w:eastAsia="宋体"/>
          <w:color w:val="auto"/>
        </w:rPr>
        <w:t>服务要求</w:t>
      </w:r>
    </w:p>
    <w:p>
      <w:pPr>
        <w:pStyle w:val="10"/>
        <w:spacing w:beforeLines="0" w:afterLines="0"/>
        <w:ind w:firstLine="480"/>
        <w:rPr>
          <w:rFonts w:hint="eastAsia" w:ascii="宋体" w:hAnsi="宋体" w:cs="Arial"/>
          <w:color w:val="auto"/>
        </w:rPr>
      </w:pPr>
      <w:r>
        <w:rPr>
          <w:rFonts w:hint="eastAsia" w:ascii="宋体" w:hAnsi="宋体" w:cs="Arial"/>
          <w:color w:val="auto"/>
        </w:rPr>
        <w:t>投标文件需符合浦东法院与现有系统现状对接的要求，结合浦东法院统一庭审会议系统的建设规划，对本次服务改造场所的庭审会议系统方面进行整体描述，需提供详细对接方案及会议系统保障措施。投标人在投标方案中应予以进行详细设计，其详实程度将影响投标人的需求理解得分。</w:t>
      </w:r>
    </w:p>
    <w:p>
      <w:pPr>
        <w:pStyle w:val="10"/>
        <w:spacing w:beforeLines="0" w:afterLines="0"/>
        <w:ind w:firstLine="480"/>
        <w:rPr>
          <w:rFonts w:hint="eastAsia" w:ascii="宋体" w:hAnsi="宋体" w:cs="Arial"/>
          <w:color w:val="auto"/>
        </w:rPr>
      </w:pPr>
      <w:r>
        <w:rPr>
          <w:rFonts w:hint="eastAsia" w:ascii="宋体" w:hAnsi="宋体" w:cs="Arial"/>
          <w:color w:val="auto"/>
        </w:rPr>
        <w:t>供应商</w:t>
      </w:r>
      <w:r>
        <w:rPr>
          <w:rFonts w:hint="eastAsia" w:ascii="宋体" w:hAnsi="宋体" w:cs="Arial"/>
          <w:color w:val="auto"/>
          <w:lang w:eastAsia="zh-CN"/>
        </w:rPr>
        <w:t>需高度重视现场考察环节，就</w:t>
      </w:r>
      <w:r>
        <w:rPr>
          <w:rFonts w:hint="eastAsia" w:ascii="宋体" w:hAnsi="宋体" w:cs="Arial"/>
          <w:color w:val="auto"/>
        </w:rPr>
        <w:t>显示系统如何接入利旧显示系统，提供具体可行性方案和完整的系统图。</w:t>
      </w:r>
    </w:p>
    <w:p>
      <w:pPr>
        <w:pStyle w:val="3"/>
        <w:rPr>
          <w:rFonts w:hint="eastAsia" w:ascii="宋体" w:hAnsi="宋体" w:eastAsia="宋体"/>
          <w:color w:val="auto"/>
        </w:rPr>
      </w:pPr>
      <w:bookmarkStart w:id="18" w:name="_Toc62219358"/>
      <w:bookmarkEnd w:id="18"/>
      <w:bookmarkStart w:id="19" w:name="_Toc62209488"/>
      <w:bookmarkEnd w:id="19"/>
      <w:bookmarkStart w:id="20" w:name="_Toc63785439"/>
      <w:bookmarkEnd w:id="20"/>
      <w:bookmarkStart w:id="21" w:name="_Toc61968111"/>
      <w:bookmarkEnd w:id="21"/>
      <w:bookmarkStart w:id="22" w:name="_Toc63762370"/>
      <w:bookmarkEnd w:id="22"/>
      <w:bookmarkStart w:id="23" w:name="_Toc63585480"/>
      <w:bookmarkEnd w:id="23"/>
      <w:bookmarkStart w:id="24" w:name="_Toc63785504"/>
      <w:bookmarkEnd w:id="24"/>
      <w:bookmarkStart w:id="25" w:name="_Toc63151871"/>
      <w:bookmarkEnd w:id="25"/>
      <w:bookmarkStart w:id="26" w:name="_Toc63785505"/>
      <w:r>
        <w:rPr>
          <w:rFonts w:hint="eastAsia" w:ascii="宋体" w:hAnsi="宋体" w:eastAsia="宋体"/>
          <w:color w:val="auto"/>
        </w:rPr>
        <w:t>售后服务要求</w:t>
      </w:r>
      <w:bookmarkEnd w:id="26"/>
    </w:p>
    <w:p>
      <w:pPr>
        <w:pStyle w:val="11"/>
        <w:snapToGrid w:val="0"/>
        <w:spacing w:line="360" w:lineRule="auto"/>
        <w:ind w:firstLine="480"/>
        <w:rPr>
          <w:rFonts w:hint="eastAsia" w:ascii="宋体" w:hAnsi="宋体" w:eastAsia="宋体"/>
          <w:color w:val="auto"/>
          <w:sz w:val="24"/>
          <w:szCs w:val="24"/>
        </w:rPr>
      </w:pPr>
      <w:bookmarkStart w:id="27" w:name="_Toc63785506"/>
      <w:r>
        <w:rPr>
          <w:rFonts w:hint="eastAsia" w:ascii="宋体" w:hAnsi="宋体" w:eastAsia="宋体"/>
          <w:color w:val="auto"/>
          <w:sz w:val="24"/>
          <w:szCs w:val="24"/>
        </w:rPr>
        <w:t>本项目从系统验收通过之日起5年内提供</w:t>
      </w:r>
      <w:r>
        <w:rPr>
          <w:rFonts w:ascii="宋体" w:hAnsi="宋体" w:eastAsia="宋体"/>
          <w:color w:val="auto"/>
          <w:sz w:val="24"/>
          <w:szCs w:val="24"/>
        </w:rPr>
        <w:t>7*24小时免费技术支持</w:t>
      </w:r>
      <w:r>
        <w:rPr>
          <w:rFonts w:hint="eastAsia" w:ascii="宋体" w:hAnsi="宋体" w:eastAsia="宋体"/>
          <w:color w:val="auto"/>
          <w:sz w:val="24"/>
          <w:szCs w:val="24"/>
        </w:rPr>
        <w:t>和售后服务，5年后进入有偿维护期。</w:t>
      </w:r>
    </w:p>
    <w:p>
      <w:pPr>
        <w:pStyle w:val="11"/>
        <w:snapToGrid w:val="0"/>
        <w:spacing w:line="360" w:lineRule="auto"/>
        <w:ind w:firstLine="480"/>
        <w:rPr>
          <w:rFonts w:hint="eastAsia" w:ascii="宋体" w:hAnsi="宋体" w:eastAsia="宋体"/>
          <w:color w:val="auto"/>
          <w:sz w:val="24"/>
          <w:szCs w:val="24"/>
        </w:rPr>
      </w:pPr>
      <w:r>
        <w:rPr>
          <w:rFonts w:hint="eastAsia" w:ascii="宋体" w:hAnsi="宋体" w:eastAsia="宋体"/>
          <w:color w:val="auto"/>
          <w:sz w:val="24"/>
          <w:szCs w:val="24"/>
        </w:rPr>
        <w:t>在质量保证期内，供应商将按照售后服务的承诺提供保修和运行维护服务，如果厂商对信息系统中软、硬件设备等产品中的部分保修期超过上述期限的，则按照厂商的规定进行免费保修。</w:t>
      </w:r>
    </w:p>
    <w:p>
      <w:pPr>
        <w:pStyle w:val="11"/>
        <w:snapToGrid w:val="0"/>
        <w:spacing w:line="360" w:lineRule="auto"/>
        <w:ind w:firstLine="480"/>
        <w:rPr>
          <w:rFonts w:hint="eastAsia" w:ascii="宋体" w:hAnsi="宋体" w:eastAsia="宋体"/>
          <w:color w:val="auto"/>
          <w:sz w:val="24"/>
          <w:szCs w:val="24"/>
        </w:rPr>
      </w:pPr>
      <w:r>
        <w:rPr>
          <w:rFonts w:hint="eastAsia" w:ascii="宋体" w:hAnsi="宋体" w:eastAsia="宋体"/>
          <w:color w:val="auto"/>
          <w:sz w:val="24"/>
          <w:szCs w:val="24"/>
        </w:rPr>
        <w:t>在质量保证期内，供应商负责信息系统的运行维护工作，确保信息系统安全、稳定、可靠地运行。本项目涉及的运行维护工作范围为：所建设的整体设备。</w:t>
      </w:r>
    </w:p>
    <w:p>
      <w:pPr>
        <w:pStyle w:val="3"/>
        <w:rPr>
          <w:rFonts w:hint="eastAsia" w:ascii="宋体" w:hAnsi="宋体" w:eastAsia="宋体"/>
          <w:color w:val="auto"/>
        </w:rPr>
      </w:pPr>
      <w:r>
        <w:rPr>
          <w:rFonts w:hint="eastAsia" w:ascii="宋体" w:hAnsi="宋体" w:eastAsia="宋体"/>
          <w:color w:val="auto"/>
        </w:rPr>
        <w:t>应急响应要求</w:t>
      </w:r>
      <w:bookmarkEnd w:id="27"/>
    </w:p>
    <w:p>
      <w:pPr>
        <w:pStyle w:val="11"/>
        <w:snapToGrid w:val="0"/>
        <w:spacing w:line="360" w:lineRule="auto"/>
        <w:ind w:firstLine="480"/>
        <w:rPr>
          <w:rFonts w:hint="eastAsia" w:ascii="宋体" w:hAnsi="宋体" w:eastAsia="宋体"/>
          <w:color w:val="auto"/>
          <w:sz w:val="24"/>
          <w:szCs w:val="24"/>
        </w:rPr>
      </w:pPr>
      <w:bookmarkStart w:id="28" w:name="_Toc63785507"/>
      <w:r>
        <w:rPr>
          <w:rFonts w:hint="eastAsia" w:ascii="宋体" w:hAnsi="宋体" w:eastAsia="宋体"/>
          <w:color w:val="auto"/>
          <w:sz w:val="24"/>
          <w:szCs w:val="24"/>
        </w:rPr>
        <w:t>供应商对系统故障应能够实时响应，若系统发生故障，接到通知后</w:t>
      </w:r>
      <w:r>
        <w:rPr>
          <w:rFonts w:ascii="宋体" w:hAnsi="宋体" w:eastAsia="宋体"/>
          <w:color w:val="auto"/>
          <w:sz w:val="24"/>
          <w:szCs w:val="24"/>
        </w:rPr>
        <w:t>30分钟之内响应，专业工程师</w:t>
      </w:r>
      <w:r>
        <w:rPr>
          <w:rFonts w:hint="eastAsia" w:ascii="宋体" w:hAnsi="宋体" w:eastAsia="宋体"/>
          <w:color w:val="auto"/>
          <w:sz w:val="24"/>
          <w:szCs w:val="24"/>
        </w:rPr>
        <w:t>必须1</w:t>
      </w:r>
      <w:r>
        <w:rPr>
          <w:rFonts w:ascii="宋体" w:hAnsi="宋体" w:eastAsia="宋体"/>
          <w:color w:val="auto"/>
          <w:sz w:val="24"/>
          <w:szCs w:val="24"/>
        </w:rPr>
        <w:t>小时内到达现场</w:t>
      </w:r>
      <w:r>
        <w:rPr>
          <w:rFonts w:hint="eastAsia" w:ascii="宋体" w:hAnsi="宋体" w:eastAsia="宋体"/>
          <w:color w:val="auto"/>
          <w:sz w:val="24"/>
          <w:szCs w:val="24"/>
        </w:rPr>
        <w:t>。特殊故障与客户沟通协商后，按照协商的方式制定解决方案并进行处理。</w:t>
      </w:r>
    </w:p>
    <w:p>
      <w:pPr>
        <w:pStyle w:val="11"/>
        <w:snapToGrid w:val="0"/>
        <w:spacing w:line="360" w:lineRule="auto"/>
        <w:ind w:firstLine="480"/>
        <w:rPr>
          <w:rFonts w:hint="eastAsia" w:ascii="宋体" w:hAnsi="宋体" w:eastAsia="宋体"/>
          <w:color w:val="auto"/>
          <w:sz w:val="24"/>
          <w:szCs w:val="24"/>
        </w:rPr>
      </w:pPr>
      <w:r>
        <w:rPr>
          <w:rFonts w:hint="eastAsia" w:ascii="宋体" w:hAnsi="宋体" w:eastAsia="宋体"/>
          <w:color w:val="auto"/>
          <w:sz w:val="24"/>
          <w:szCs w:val="24"/>
        </w:rPr>
        <w:t>具体故障级别及对应的应急响应要求如下：</w:t>
      </w:r>
    </w:p>
    <w:p>
      <w:pPr>
        <w:pStyle w:val="11"/>
        <w:snapToGrid w:val="0"/>
        <w:spacing w:line="360" w:lineRule="auto"/>
        <w:ind w:firstLine="480"/>
        <w:rPr>
          <w:rFonts w:hint="eastAsia" w:ascii="宋体" w:hAnsi="宋体" w:eastAsia="宋体"/>
          <w:color w:val="auto"/>
          <w:sz w:val="24"/>
          <w:szCs w:val="24"/>
        </w:rPr>
      </w:pPr>
      <w:r>
        <w:rPr>
          <w:rFonts w:hint="eastAsia" w:ascii="宋体" w:hAnsi="宋体" w:eastAsia="宋体"/>
          <w:color w:val="auto"/>
          <w:sz w:val="24"/>
          <w:szCs w:val="24"/>
        </w:rPr>
        <w:t>一级故障：在</w:t>
      </w:r>
      <w:r>
        <w:rPr>
          <w:rFonts w:ascii="宋体" w:hAnsi="宋体" w:eastAsia="宋体"/>
          <w:color w:val="auto"/>
          <w:sz w:val="24"/>
          <w:szCs w:val="24"/>
        </w:rPr>
        <w:t>1小时内确诊，总故障解决时间不超过4小时。</w:t>
      </w:r>
    </w:p>
    <w:p>
      <w:pPr>
        <w:pStyle w:val="11"/>
        <w:snapToGrid w:val="0"/>
        <w:spacing w:line="360" w:lineRule="auto"/>
        <w:ind w:firstLine="480"/>
        <w:rPr>
          <w:rFonts w:hint="eastAsia" w:ascii="宋体" w:hAnsi="宋体" w:eastAsia="宋体"/>
          <w:color w:val="auto"/>
          <w:sz w:val="24"/>
          <w:szCs w:val="24"/>
        </w:rPr>
      </w:pPr>
      <w:r>
        <w:rPr>
          <w:rFonts w:hint="eastAsia" w:ascii="宋体" w:hAnsi="宋体" w:eastAsia="宋体"/>
          <w:color w:val="auto"/>
          <w:sz w:val="24"/>
          <w:szCs w:val="24"/>
        </w:rPr>
        <w:t>二级故障：在</w:t>
      </w:r>
      <w:r>
        <w:rPr>
          <w:rFonts w:ascii="宋体" w:hAnsi="宋体" w:eastAsia="宋体"/>
          <w:color w:val="auto"/>
          <w:sz w:val="24"/>
          <w:szCs w:val="24"/>
        </w:rPr>
        <w:t>2小时内确诊，并在4小时内由专家到达现场确诊并解决，总故障解决时间不超过8小时；</w:t>
      </w:r>
    </w:p>
    <w:p>
      <w:pPr>
        <w:pStyle w:val="11"/>
        <w:snapToGrid w:val="0"/>
        <w:spacing w:line="360" w:lineRule="auto"/>
        <w:ind w:firstLine="480"/>
        <w:rPr>
          <w:rFonts w:hint="eastAsia" w:ascii="宋体" w:hAnsi="宋体" w:eastAsia="宋体"/>
          <w:color w:val="auto"/>
          <w:sz w:val="24"/>
          <w:szCs w:val="24"/>
        </w:rPr>
      </w:pPr>
      <w:r>
        <w:rPr>
          <w:rFonts w:hint="eastAsia" w:ascii="宋体" w:hAnsi="宋体" w:eastAsia="宋体"/>
          <w:color w:val="auto"/>
          <w:sz w:val="24"/>
          <w:szCs w:val="24"/>
        </w:rPr>
        <w:t>三、四级故障：在</w:t>
      </w:r>
      <w:r>
        <w:rPr>
          <w:rFonts w:ascii="宋体" w:hAnsi="宋体" w:eastAsia="宋体"/>
          <w:color w:val="auto"/>
          <w:sz w:val="24"/>
          <w:szCs w:val="24"/>
        </w:rPr>
        <w:t>4小时内确诊故障，总故障解决时间不超过16小时。</w:t>
      </w:r>
    </w:p>
    <w:p>
      <w:pPr>
        <w:pStyle w:val="3"/>
        <w:rPr>
          <w:rFonts w:hint="eastAsia" w:ascii="宋体" w:hAnsi="宋体" w:eastAsia="宋体"/>
          <w:color w:val="auto"/>
        </w:rPr>
      </w:pPr>
      <w:r>
        <w:rPr>
          <w:rFonts w:hint="eastAsia" w:ascii="宋体" w:hAnsi="宋体" w:eastAsia="宋体"/>
          <w:color w:val="auto"/>
        </w:rPr>
        <w:t>培训要求</w:t>
      </w:r>
      <w:bookmarkEnd w:id="28"/>
    </w:p>
    <w:p>
      <w:pPr>
        <w:rPr>
          <w:rFonts w:hint="eastAsia" w:ascii="宋体" w:hAnsi="宋体" w:eastAsia="宋体"/>
          <w:color w:val="auto"/>
        </w:rPr>
      </w:pPr>
      <w:r>
        <w:rPr>
          <w:rFonts w:hint="eastAsia" w:ascii="宋体" w:hAnsi="宋体" w:eastAsia="宋体"/>
          <w:color w:val="auto"/>
        </w:rPr>
        <w:t>对系统使用单位提供业务操作培训，应提供详细培训方案。</w:t>
      </w:r>
    </w:p>
    <w:p>
      <w:pPr>
        <w:rPr>
          <w:rFonts w:hint="eastAsia" w:ascii="宋体" w:hAnsi="宋体" w:eastAsia="宋体"/>
          <w:color w:val="auto"/>
        </w:rPr>
      </w:pPr>
      <w:r>
        <w:rPr>
          <w:rFonts w:hint="eastAsia" w:ascii="宋体" w:hAnsi="宋体" w:eastAsia="宋体"/>
          <w:color w:val="auto"/>
        </w:rPr>
        <w:t>(1)在验收通过的1年内，提供2次与项目相关的必要培训。</w:t>
      </w:r>
    </w:p>
    <w:p>
      <w:pPr>
        <w:rPr>
          <w:rFonts w:hint="eastAsia" w:ascii="宋体" w:hAnsi="宋体" w:eastAsia="宋体"/>
          <w:color w:val="auto"/>
        </w:rPr>
      </w:pPr>
      <w:r>
        <w:rPr>
          <w:rFonts w:hint="eastAsia" w:ascii="宋体" w:hAnsi="宋体" w:eastAsia="宋体"/>
          <w:color w:val="auto"/>
        </w:rPr>
        <w:t>(2)供应商需要开展分层次的人员培训工作，每次培训后应对参加培训人员进行测试，评估培训成果。培训应具有培训教材、培训环境和高水平的培训讲师。</w:t>
      </w:r>
    </w:p>
    <w:p>
      <w:pPr>
        <w:rPr>
          <w:rFonts w:hint="eastAsia" w:ascii="宋体" w:hAnsi="宋体" w:eastAsia="宋体"/>
          <w:strike/>
          <w:color w:val="auto"/>
          <w:szCs w:val="21"/>
        </w:rPr>
      </w:pPr>
      <w:r>
        <w:rPr>
          <w:rFonts w:hint="eastAsia" w:ascii="宋体" w:hAnsi="宋体" w:eastAsia="宋体"/>
          <w:color w:val="auto"/>
        </w:rPr>
        <w:t>(3)供应商应提供一般用户的基础操作培训和部门信息管理员的日常应用维护的培训，确保用户对象能够掌握对应的操作技能。</w:t>
      </w:r>
    </w:p>
    <w:p>
      <w:pPr>
        <w:pStyle w:val="3"/>
        <w:rPr>
          <w:rFonts w:hint="eastAsia" w:ascii="宋体" w:hAnsi="宋体" w:eastAsia="宋体"/>
          <w:color w:val="auto"/>
        </w:rPr>
      </w:pPr>
      <w:bookmarkStart w:id="29" w:name="_Toc63785509"/>
      <w:r>
        <w:rPr>
          <w:rFonts w:hint="eastAsia" w:ascii="宋体" w:hAnsi="宋体" w:eastAsia="宋体"/>
          <w:color w:val="auto"/>
        </w:rPr>
        <w:t>进度要求</w:t>
      </w:r>
      <w:bookmarkEnd w:id="29"/>
    </w:p>
    <w:p>
      <w:pPr>
        <w:rPr>
          <w:rFonts w:hint="eastAsia" w:ascii="宋体" w:hAnsi="宋体" w:eastAsia="宋体"/>
          <w:color w:val="auto"/>
        </w:rPr>
      </w:pPr>
      <w:r>
        <w:rPr>
          <w:rFonts w:hint="eastAsia" w:ascii="宋体" w:hAnsi="宋体" w:eastAsia="宋体"/>
          <w:color w:val="auto"/>
        </w:rPr>
        <w:t>投标人应根据建设内容，分阶段制定合理的时间进度，并且应根据招标方要求进行调整和细化。</w:t>
      </w:r>
    </w:p>
    <w:p>
      <w:pPr>
        <w:rPr>
          <w:rFonts w:hint="eastAsia" w:ascii="宋体" w:hAnsi="宋体" w:eastAsia="宋体"/>
          <w:color w:val="auto"/>
        </w:rPr>
      </w:pPr>
      <w:r>
        <w:rPr>
          <w:rFonts w:hint="eastAsia" w:ascii="宋体" w:hAnsi="宋体" w:eastAsia="宋体"/>
          <w:color w:val="auto"/>
        </w:rPr>
        <w:t>合同签订后6个月内完成项目建设并通过验收。</w:t>
      </w:r>
    </w:p>
    <w:p>
      <w:pPr>
        <w:pStyle w:val="3"/>
        <w:rPr>
          <w:rFonts w:hint="eastAsia" w:ascii="宋体" w:hAnsi="宋体" w:eastAsia="宋体"/>
          <w:color w:val="auto"/>
        </w:rPr>
      </w:pPr>
      <w:bookmarkStart w:id="30" w:name="_Toc63785510"/>
      <w:r>
        <w:rPr>
          <w:rFonts w:hint="eastAsia" w:ascii="宋体" w:hAnsi="宋体" w:eastAsia="宋体"/>
          <w:color w:val="auto"/>
        </w:rPr>
        <w:t>项目团队要求</w:t>
      </w:r>
      <w:bookmarkEnd w:id="30"/>
    </w:p>
    <w:p>
      <w:pPr>
        <w:rPr>
          <w:rFonts w:hint="eastAsia" w:ascii="宋体" w:hAnsi="宋体" w:eastAsia="宋体" w:cs="Times New Roman"/>
          <w:color w:val="auto"/>
          <w:kern w:val="2"/>
          <w:szCs w:val="24"/>
        </w:rPr>
      </w:pPr>
      <w:r>
        <w:rPr>
          <w:rFonts w:ascii="宋体" w:hAnsi="宋体" w:eastAsia="宋体" w:cs="Times New Roman"/>
          <w:color w:val="auto"/>
          <w:kern w:val="2"/>
          <w:szCs w:val="24"/>
        </w:rPr>
        <w:t>1）投标人须具有稳定的在职技术保障力量，能够提供及时的技术支援或服务，应针对本项目提供不少于</w:t>
      </w:r>
      <w:r>
        <w:rPr>
          <w:rFonts w:hint="eastAsia" w:ascii="宋体" w:hAnsi="宋体" w:eastAsia="宋体" w:cs="Times New Roman"/>
          <w:color w:val="auto"/>
          <w:kern w:val="2"/>
          <w:szCs w:val="24"/>
        </w:rPr>
        <w:t>7</w:t>
      </w:r>
      <w:r>
        <w:rPr>
          <w:rFonts w:ascii="宋体" w:hAnsi="宋体" w:eastAsia="宋体" w:cs="Times New Roman"/>
          <w:color w:val="auto"/>
          <w:kern w:val="2"/>
          <w:szCs w:val="24"/>
        </w:rPr>
        <w:t>人的项目服务团队（包括项目经理、产品经理、技术负责人、研发等），投标单位的相关服务人员需具备相应的服务能力，需提供相关证明。</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276"/>
        <w:gridCol w:w="709"/>
        <w:gridCol w:w="3765"/>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42" w:type="dxa"/>
            <w:noWrap/>
            <w:vAlign w:val="center"/>
          </w:tcPr>
          <w:p>
            <w:pPr>
              <w:widowControl/>
              <w:snapToGrid w:val="0"/>
              <w:spacing w:line="240" w:lineRule="auto"/>
              <w:ind w:firstLine="0" w:firstLineChars="0"/>
              <w:jc w:val="center"/>
              <w:rPr>
                <w:rFonts w:hint="eastAsia" w:ascii="宋体" w:hAnsi="宋体" w:eastAsia="宋体"/>
                <w:b/>
                <w:color w:val="auto"/>
              </w:rPr>
            </w:pPr>
            <w:r>
              <w:rPr>
                <w:rFonts w:hint="eastAsia" w:ascii="宋体" w:hAnsi="宋体" w:eastAsia="宋体"/>
                <w:b/>
                <w:color w:val="auto"/>
              </w:rPr>
              <w:t>角色</w:t>
            </w:r>
          </w:p>
        </w:tc>
        <w:tc>
          <w:tcPr>
            <w:tcW w:w="1276" w:type="dxa"/>
            <w:noWrap/>
            <w:vAlign w:val="center"/>
          </w:tcPr>
          <w:p>
            <w:pPr>
              <w:widowControl/>
              <w:snapToGrid w:val="0"/>
              <w:spacing w:line="240" w:lineRule="auto"/>
              <w:ind w:firstLine="0" w:firstLineChars="0"/>
              <w:jc w:val="center"/>
              <w:rPr>
                <w:rFonts w:hint="eastAsia" w:ascii="宋体" w:hAnsi="宋体" w:eastAsia="宋体"/>
                <w:b/>
                <w:color w:val="auto"/>
              </w:rPr>
            </w:pPr>
            <w:r>
              <w:rPr>
                <w:rFonts w:hint="eastAsia" w:ascii="宋体" w:hAnsi="宋体" w:eastAsia="宋体"/>
                <w:b/>
                <w:color w:val="auto"/>
              </w:rPr>
              <w:t>主要职责</w:t>
            </w:r>
          </w:p>
        </w:tc>
        <w:tc>
          <w:tcPr>
            <w:tcW w:w="709" w:type="dxa"/>
            <w:noWrap/>
            <w:vAlign w:val="center"/>
          </w:tcPr>
          <w:p>
            <w:pPr>
              <w:widowControl/>
              <w:snapToGrid w:val="0"/>
              <w:spacing w:line="240" w:lineRule="auto"/>
              <w:ind w:firstLine="0" w:firstLineChars="0"/>
              <w:jc w:val="center"/>
              <w:rPr>
                <w:rFonts w:hint="eastAsia" w:ascii="宋体" w:hAnsi="宋体" w:eastAsia="宋体"/>
                <w:b/>
                <w:color w:val="auto"/>
              </w:rPr>
            </w:pPr>
            <w:r>
              <w:rPr>
                <w:rFonts w:hint="eastAsia" w:ascii="宋体" w:hAnsi="宋体" w:eastAsia="宋体"/>
                <w:b/>
                <w:color w:val="auto"/>
              </w:rPr>
              <w:t>人员数量</w:t>
            </w:r>
          </w:p>
        </w:tc>
        <w:tc>
          <w:tcPr>
            <w:tcW w:w="3765" w:type="dxa"/>
            <w:vAlign w:val="center"/>
          </w:tcPr>
          <w:p>
            <w:pPr>
              <w:widowControl/>
              <w:snapToGrid w:val="0"/>
              <w:spacing w:line="240" w:lineRule="auto"/>
              <w:ind w:firstLine="0" w:firstLineChars="0"/>
              <w:jc w:val="center"/>
              <w:rPr>
                <w:rFonts w:hint="eastAsia" w:ascii="宋体" w:hAnsi="宋体" w:eastAsia="宋体"/>
                <w:b/>
                <w:color w:val="auto"/>
              </w:rPr>
            </w:pPr>
            <w:r>
              <w:rPr>
                <w:rFonts w:hint="eastAsia" w:ascii="宋体" w:hAnsi="宋体" w:eastAsia="宋体"/>
                <w:b/>
                <w:color w:val="auto"/>
              </w:rPr>
              <w:t>人员要求</w:t>
            </w:r>
          </w:p>
        </w:tc>
        <w:tc>
          <w:tcPr>
            <w:tcW w:w="0" w:type="auto"/>
            <w:noWrap/>
            <w:vAlign w:val="center"/>
          </w:tcPr>
          <w:p>
            <w:pPr>
              <w:widowControl/>
              <w:snapToGrid w:val="0"/>
              <w:spacing w:line="240" w:lineRule="auto"/>
              <w:ind w:firstLine="0" w:firstLineChars="0"/>
              <w:jc w:val="center"/>
              <w:rPr>
                <w:rFonts w:hint="eastAsia" w:ascii="宋体" w:hAnsi="宋体" w:eastAsia="宋体"/>
                <w:b/>
                <w:color w:val="auto"/>
              </w:rPr>
            </w:pPr>
            <w:r>
              <w:rPr>
                <w:rFonts w:hint="eastAsia" w:ascii="宋体" w:hAnsi="宋体" w:eastAsia="宋体"/>
                <w:b/>
                <w:color w:val="auto"/>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42" w:type="dxa"/>
            <w:noWrap/>
            <w:vAlign w:val="center"/>
          </w:tcPr>
          <w:p>
            <w:pPr>
              <w:widowControl/>
              <w:snapToGrid w:val="0"/>
              <w:spacing w:line="240" w:lineRule="auto"/>
              <w:ind w:firstLine="0" w:firstLineChars="0"/>
              <w:jc w:val="center"/>
              <w:rPr>
                <w:rFonts w:hint="eastAsia" w:ascii="宋体" w:hAnsi="宋体" w:eastAsia="宋体"/>
                <w:color w:val="auto"/>
              </w:rPr>
            </w:pPr>
            <w:r>
              <w:rPr>
                <w:rFonts w:hint="eastAsia" w:ascii="宋体" w:hAnsi="宋体" w:eastAsia="宋体"/>
                <w:color w:val="auto"/>
              </w:rPr>
              <w:t>项目经理</w:t>
            </w:r>
          </w:p>
        </w:tc>
        <w:tc>
          <w:tcPr>
            <w:tcW w:w="1276" w:type="dxa"/>
            <w:vAlign w:val="center"/>
          </w:tcPr>
          <w:p>
            <w:pPr>
              <w:widowControl/>
              <w:snapToGrid w:val="0"/>
              <w:spacing w:line="240" w:lineRule="auto"/>
              <w:ind w:firstLine="0" w:firstLineChars="0"/>
              <w:jc w:val="center"/>
              <w:rPr>
                <w:rFonts w:hint="eastAsia" w:ascii="宋体" w:hAnsi="宋体" w:eastAsia="宋体"/>
                <w:color w:val="auto"/>
              </w:rPr>
            </w:pPr>
            <w:r>
              <w:rPr>
                <w:rFonts w:hint="eastAsia" w:ascii="宋体" w:hAnsi="宋体" w:eastAsia="宋体"/>
                <w:color w:val="auto"/>
              </w:rPr>
              <w:t>负责项目质量和进度控制</w:t>
            </w:r>
          </w:p>
        </w:tc>
        <w:tc>
          <w:tcPr>
            <w:tcW w:w="709" w:type="dxa"/>
            <w:noWrap/>
            <w:vAlign w:val="center"/>
          </w:tcPr>
          <w:p>
            <w:pPr>
              <w:widowControl/>
              <w:snapToGrid w:val="0"/>
              <w:spacing w:line="240" w:lineRule="auto"/>
              <w:ind w:firstLine="0" w:firstLineChars="0"/>
              <w:jc w:val="center"/>
              <w:rPr>
                <w:rFonts w:hint="eastAsia" w:ascii="宋体" w:hAnsi="宋体" w:eastAsia="宋体"/>
                <w:color w:val="auto"/>
              </w:rPr>
            </w:pPr>
            <w:r>
              <w:rPr>
                <w:rFonts w:hint="eastAsia" w:ascii="宋体" w:hAnsi="宋体" w:eastAsia="宋体"/>
                <w:color w:val="auto"/>
              </w:rPr>
              <w:t>1人</w:t>
            </w:r>
          </w:p>
        </w:tc>
        <w:tc>
          <w:tcPr>
            <w:tcW w:w="3765" w:type="dxa"/>
            <w:vAlign w:val="center"/>
          </w:tcPr>
          <w:p>
            <w:pPr>
              <w:widowControl/>
              <w:snapToGrid w:val="0"/>
              <w:spacing w:line="240" w:lineRule="auto"/>
              <w:ind w:firstLine="0" w:firstLineChars="0"/>
              <w:jc w:val="center"/>
              <w:rPr>
                <w:rFonts w:hint="eastAsia" w:ascii="宋体" w:hAnsi="宋体" w:eastAsia="宋体"/>
                <w:color w:val="auto"/>
              </w:rPr>
            </w:pPr>
            <w:r>
              <w:rPr>
                <w:rFonts w:hint="eastAsia" w:ascii="宋体" w:hAnsi="宋体"/>
                <w:color w:val="auto"/>
                <w:lang w:val="zh-CN"/>
              </w:rPr>
              <w:t>具有音视频技术高级工程师证书、信息系统项目管理师证书、十年以上工作经历</w:t>
            </w:r>
            <w:r>
              <w:rPr>
                <w:rFonts w:hint="eastAsia" w:ascii="宋体" w:hAnsi="宋体"/>
                <w:color w:val="auto"/>
              </w:rPr>
              <w:t>的</w:t>
            </w:r>
          </w:p>
        </w:tc>
        <w:tc>
          <w:tcPr>
            <w:tcW w:w="0" w:type="auto"/>
            <w:noWrap/>
            <w:vAlign w:val="center"/>
          </w:tcPr>
          <w:p>
            <w:pPr>
              <w:widowControl/>
              <w:snapToGrid w:val="0"/>
              <w:spacing w:line="240" w:lineRule="auto"/>
              <w:ind w:firstLine="0" w:firstLineChars="0"/>
              <w:jc w:val="center"/>
              <w:rPr>
                <w:rFonts w:hint="eastAsia" w:ascii="宋体" w:hAnsi="宋体" w:eastAsia="宋体"/>
                <w:color w:val="auto"/>
              </w:rPr>
            </w:pPr>
            <w:r>
              <w:rPr>
                <w:rFonts w:hint="eastAsia" w:ascii="宋体" w:hAnsi="宋体" w:eastAsia="宋体"/>
                <w:color w:val="auto"/>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42" w:type="dxa"/>
            <w:noWrap/>
            <w:vAlign w:val="center"/>
          </w:tcPr>
          <w:p>
            <w:pPr>
              <w:widowControl/>
              <w:snapToGrid w:val="0"/>
              <w:spacing w:line="240" w:lineRule="auto"/>
              <w:ind w:firstLine="0" w:firstLineChars="0"/>
              <w:jc w:val="center"/>
              <w:rPr>
                <w:rFonts w:hint="eastAsia" w:ascii="宋体" w:hAnsi="宋体" w:eastAsia="宋体"/>
                <w:color w:val="auto"/>
              </w:rPr>
            </w:pPr>
            <w:r>
              <w:rPr>
                <w:rFonts w:hint="eastAsia" w:ascii="宋体" w:hAnsi="宋体" w:eastAsia="宋体"/>
                <w:color w:val="auto"/>
              </w:rPr>
              <w:t>项目技术负责人</w:t>
            </w:r>
          </w:p>
        </w:tc>
        <w:tc>
          <w:tcPr>
            <w:tcW w:w="1276" w:type="dxa"/>
            <w:vAlign w:val="center"/>
          </w:tcPr>
          <w:p>
            <w:pPr>
              <w:widowControl/>
              <w:snapToGrid w:val="0"/>
              <w:spacing w:line="240" w:lineRule="auto"/>
              <w:ind w:firstLine="0" w:firstLineChars="0"/>
              <w:jc w:val="center"/>
              <w:rPr>
                <w:rFonts w:hint="eastAsia" w:ascii="宋体" w:hAnsi="宋体" w:eastAsia="宋体"/>
                <w:color w:val="auto"/>
              </w:rPr>
            </w:pPr>
            <w:r>
              <w:rPr>
                <w:rFonts w:hint="eastAsia" w:ascii="宋体" w:hAnsi="宋体" w:eastAsia="宋体"/>
                <w:color w:val="auto"/>
              </w:rPr>
              <w:t>负责项目技术支持</w:t>
            </w:r>
          </w:p>
        </w:tc>
        <w:tc>
          <w:tcPr>
            <w:tcW w:w="709" w:type="dxa"/>
            <w:noWrap/>
            <w:vAlign w:val="center"/>
          </w:tcPr>
          <w:p>
            <w:pPr>
              <w:widowControl/>
              <w:snapToGrid w:val="0"/>
              <w:spacing w:line="240" w:lineRule="auto"/>
              <w:ind w:firstLine="0" w:firstLineChars="0"/>
              <w:jc w:val="center"/>
              <w:rPr>
                <w:rFonts w:hint="eastAsia" w:ascii="宋体" w:hAnsi="宋体" w:eastAsia="宋体"/>
                <w:color w:val="auto"/>
              </w:rPr>
            </w:pPr>
            <w:r>
              <w:rPr>
                <w:rFonts w:hint="eastAsia" w:ascii="宋体" w:hAnsi="宋体" w:eastAsia="宋体"/>
                <w:color w:val="auto"/>
              </w:rPr>
              <w:t>1人</w:t>
            </w:r>
          </w:p>
        </w:tc>
        <w:tc>
          <w:tcPr>
            <w:tcW w:w="3765" w:type="dxa"/>
            <w:vAlign w:val="center"/>
          </w:tcPr>
          <w:p>
            <w:pPr>
              <w:widowControl/>
              <w:snapToGrid w:val="0"/>
              <w:spacing w:line="240" w:lineRule="auto"/>
              <w:ind w:firstLine="0" w:firstLineChars="0"/>
              <w:jc w:val="center"/>
              <w:rPr>
                <w:rFonts w:hint="eastAsia" w:ascii="宋体" w:hAnsi="宋体" w:eastAsiaTheme="minorEastAsia"/>
                <w:color w:val="auto"/>
              </w:rPr>
            </w:pPr>
            <w:r>
              <w:rPr>
                <w:rFonts w:hint="eastAsia" w:ascii="宋体" w:hAnsi="宋体"/>
                <w:color w:val="auto"/>
                <w:lang w:val="zh-CN"/>
              </w:rPr>
              <w:t>具有音视频技术高级工程师证书</w:t>
            </w:r>
          </w:p>
        </w:tc>
        <w:tc>
          <w:tcPr>
            <w:tcW w:w="0" w:type="auto"/>
            <w:noWrap/>
            <w:vAlign w:val="center"/>
          </w:tcPr>
          <w:p>
            <w:pPr>
              <w:widowControl/>
              <w:snapToGrid w:val="0"/>
              <w:spacing w:line="240" w:lineRule="auto"/>
              <w:ind w:firstLine="0" w:firstLineChars="0"/>
              <w:jc w:val="center"/>
              <w:rPr>
                <w:rFonts w:hint="eastAsia" w:ascii="宋体" w:hAnsi="宋体" w:eastAsia="宋体"/>
                <w:color w:val="auto"/>
              </w:rPr>
            </w:pPr>
            <w:r>
              <w:rPr>
                <w:rFonts w:hint="eastAsia" w:ascii="宋体" w:hAnsi="宋体" w:eastAsia="宋体"/>
                <w:color w:val="auto"/>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42" w:type="dxa"/>
            <w:noWrap/>
            <w:vAlign w:val="center"/>
          </w:tcPr>
          <w:p>
            <w:pPr>
              <w:widowControl/>
              <w:snapToGrid w:val="0"/>
              <w:spacing w:line="240" w:lineRule="auto"/>
              <w:ind w:firstLine="0" w:firstLineChars="0"/>
              <w:jc w:val="center"/>
              <w:rPr>
                <w:rFonts w:hint="eastAsia" w:ascii="宋体" w:hAnsi="宋体" w:eastAsia="宋体"/>
                <w:color w:val="auto"/>
              </w:rPr>
            </w:pPr>
            <w:r>
              <w:rPr>
                <w:rFonts w:hint="eastAsia" w:ascii="宋体" w:hAnsi="宋体" w:eastAsia="宋体"/>
                <w:color w:val="auto"/>
              </w:rPr>
              <w:t>其他人员</w:t>
            </w:r>
          </w:p>
        </w:tc>
        <w:tc>
          <w:tcPr>
            <w:tcW w:w="1276" w:type="dxa"/>
            <w:noWrap/>
            <w:vAlign w:val="center"/>
          </w:tcPr>
          <w:p>
            <w:pPr>
              <w:widowControl/>
              <w:snapToGrid w:val="0"/>
              <w:spacing w:line="240" w:lineRule="auto"/>
              <w:ind w:firstLine="0" w:firstLineChars="0"/>
              <w:jc w:val="center"/>
              <w:rPr>
                <w:rFonts w:hint="eastAsia" w:ascii="宋体" w:hAnsi="宋体" w:eastAsia="宋体"/>
                <w:color w:val="auto"/>
              </w:rPr>
            </w:pPr>
            <w:r>
              <w:rPr>
                <w:rFonts w:hint="eastAsia" w:ascii="宋体" w:hAnsi="宋体" w:eastAsia="宋体"/>
                <w:color w:val="auto"/>
              </w:rPr>
              <w:t>负责项目具体实施</w:t>
            </w:r>
          </w:p>
        </w:tc>
        <w:tc>
          <w:tcPr>
            <w:tcW w:w="709" w:type="dxa"/>
            <w:noWrap/>
            <w:vAlign w:val="center"/>
          </w:tcPr>
          <w:p>
            <w:pPr>
              <w:widowControl/>
              <w:snapToGrid w:val="0"/>
              <w:spacing w:line="240" w:lineRule="auto"/>
              <w:ind w:firstLine="0" w:firstLineChars="0"/>
              <w:jc w:val="center"/>
              <w:rPr>
                <w:rFonts w:hint="eastAsia" w:ascii="宋体" w:hAnsi="宋体" w:eastAsia="宋体"/>
                <w:color w:val="auto"/>
              </w:rPr>
            </w:pPr>
            <w:r>
              <w:rPr>
                <w:rFonts w:hint="eastAsia" w:ascii="宋体" w:hAnsi="宋体" w:eastAsia="宋体"/>
                <w:color w:val="auto"/>
              </w:rPr>
              <w:t>5人</w:t>
            </w:r>
          </w:p>
        </w:tc>
        <w:tc>
          <w:tcPr>
            <w:tcW w:w="3765" w:type="dxa"/>
            <w:vAlign w:val="center"/>
          </w:tcPr>
          <w:p>
            <w:pPr>
              <w:widowControl/>
              <w:snapToGrid w:val="0"/>
              <w:spacing w:line="240" w:lineRule="auto"/>
              <w:ind w:firstLine="0" w:firstLineChars="0"/>
              <w:jc w:val="center"/>
              <w:rPr>
                <w:rFonts w:hint="eastAsia" w:ascii="宋体" w:hAnsi="宋体" w:eastAsia="宋体"/>
                <w:color w:val="auto"/>
              </w:rPr>
            </w:pPr>
            <w:r>
              <w:rPr>
                <w:rFonts w:hint="eastAsia" w:ascii="宋体" w:hAnsi="宋体"/>
                <w:color w:val="auto"/>
              </w:rPr>
              <w:t>资料员、材料员、安全员、造价师、信息安全工程师的</w:t>
            </w:r>
          </w:p>
        </w:tc>
        <w:tc>
          <w:tcPr>
            <w:tcW w:w="0" w:type="auto"/>
            <w:noWrap/>
            <w:vAlign w:val="center"/>
          </w:tcPr>
          <w:p>
            <w:pPr>
              <w:widowControl/>
              <w:snapToGrid w:val="0"/>
              <w:spacing w:line="240" w:lineRule="auto"/>
              <w:ind w:firstLine="0" w:firstLineChars="0"/>
              <w:jc w:val="center"/>
              <w:rPr>
                <w:rFonts w:hint="eastAsia" w:ascii="宋体" w:hAnsi="宋体" w:eastAsia="宋体"/>
                <w:color w:val="auto"/>
              </w:rPr>
            </w:pPr>
            <w:r>
              <w:rPr>
                <w:rFonts w:hint="eastAsia" w:ascii="宋体" w:hAnsi="宋体" w:eastAsia="宋体"/>
                <w:color w:val="auto"/>
              </w:rPr>
              <w:t>不驻场</w:t>
            </w:r>
          </w:p>
        </w:tc>
      </w:tr>
    </w:tbl>
    <w:p>
      <w:pPr>
        <w:pStyle w:val="3"/>
        <w:rPr>
          <w:rFonts w:hint="eastAsia" w:ascii="宋体" w:hAnsi="宋体" w:eastAsia="宋体"/>
          <w:color w:val="auto"/>
        </w:rPr>
      </w:pPr>
      <w:bookmarkStart w:id="31" w:name="_Toc63785512"/>
      <w:r>
        <w:rPr>
          <w:rFonts w:hint="eastAsia" w:ascii="宋体" w:hAnsi="宋体" w:eastAsia="宋体"/>
          <w:color w:val="auto"/>
        </w:rPr>
        <w:t>技术文件要求</w:t>
      </w:r>
    </w:p>
    <w:p>
      <w:pPr>
        <w:pStyle w:val="12"/>
        <w:ind w:firstLine="420"/>
        <w:rPr>
          <w:rFonts w:hint="eastAsia" w:ascii="宋体" w:hAnsi="宋体" w:eastAsia="宋体"/>
          <w:strike/>
          <w:color w:val="auto"/>
        </w:rPr>
      </w:pPr>
      <w:r>
        <w:rPr>
          <w:rFonts w:hint="eastAsia" w:ascii="宋体" w:hAnsi="宋体" w:eastAsia="宋体"/>
          <w:color w:val="auto"/>
        </w:rPr>
        <w:t>投标人提供的书面技术资料应能确保系统正常运行所需的管理、运营及维护有关的全套文件。技术文件应该全面、完整、详细。</w:t>
      </w:r>
      <w:bookmarkEnd w:id="31"/>
    </w:p>
    <w:p>
      <w:pPr>
        <w:pStyle w:val="2"/>
        <w:rPr>
          <w:rFonts w:hint="eastAsia" w:ascii="黑体" w:hAnsi="黑体"/>
          <w:color w:val="auto"/>
        </w:rPr>
      </w:pPr>
      <w:bookmarkStart w:id="32" w:name="_Toc68798863"/>
      <w:r>
        <w:rPr>
          <w:rFonts w:hint="eastAsia" w:ascii="黑体" w:hAnsi="黑体"/>
          <w:color w:val="auto"/>
        </w:rPr>
        <w:t>附录</w:t>
      </w:r>
      <w:bookmarkEnd w:id="32"/>
    </w:p>
    <w:p>
      <w:pPr>
        <w:rPr>
          <w:rFonts w:hint="eastAsia" w:ascii="宋体" w:hAnsi="宋体" w:eastAsia="宋体"/>
          <w:color w:val="auto"/>
        </w:rPr>
      </w:pPr>
      <w:r>
        <w:rPr>
          <w:rFonts w:hint="eastAsia" w:ascii="宋体" w:hAnsi="宋体" w:eastAsia="宋体"/>
          <w:color w:val="auto"/>
        </w:rPr>
        <w:t>1、</w:t>
      </w:r>
      <w:r>
        <w:rPr>
          <w:rFonts w:hint="eastAsia" w:ascii="宋体" w:hAnsi="宋体" w:cs="Arial"/>
          <w:color w:val="auto"/>
        </w:rPr>
        <w:t>最高法院《人民法院信息化建设五年发展规划（2021-2025）》</w:t>
      </w:r>
    </w:p>
    <w:p>
      <w:pPr>
        <w:rPr>
          <w:rFonts w:hint="eastAsia" w:ascii="宋体" w:hAnsi="宋体" w:eastAsia="宋体"/>
          <w:color w:val="auto"/>
        </w:rPr>
      </w:pPr>
      <w:r>
        <w:rPr>
          <w:rFonts w:hint="eastAsia" w:ascii="宋体" w:hAnsi="宋体" w:eastAsia="宋体"/>
          <w:color w:val="auto"/>
        </w:rPr>
        <w:object>
          <v:shape id="_x0000_i1025" o:spt="75" type="#_x0000_t75" style="height:55.15pt;width:76.5pt;" o:ole="t" filled="f" o:preferrelative="t" stroked="f" coordsize="21600,21600">
            <v:path/>
            <v:fill on="f" focussize="0,0"/>
            <v:stroke on="f" joinstyle="miter"/>
            <v:imagedata r:id="rId13" o:title=""/>
            <o:lock v:ext="edit" aspectratio="t"/>
            <w10:wrap type="none"/>
            <w10:anchorlock/>
          </v:shape>
          <o:OLEObject Type="Embed" ProgID="Acrobat.Document.DC" ShapeID="_x0000_i1025" DrawAspect="Icon" ObjectID="_1468075725" r:id="rId12">
            <o:LockedField>false</o:LockedField>
          </o:OLEObject>
        </w:object>
      </w:r>
    </w:p>
    <w:p>
      <w:pPr>
        <w:rPr>
          <w:rFonts w:hint="eastAsia" w:ascii="宋体" w:hAnsi="宋体" w:eastAsia="宋体"/>
          <w:color w:val="auto"/>
        </w:rPr>
      </w:pPr>
      <w:r>
        <w:rPr>
          <w:rFonts w:hint="eastAsia" w:ascii="宋体" w:hAnsi="宋体" w:eastAsia="宋体"/>
          <w:color w:val="auto"/>
        </w:rPr>
        <w:t>2、</w:t>
      </w:r>
      <w:r>
        <w:rPr>
          <w:rFonts w:ascii="宋体" w:hAnsi="宋体" w:cs="Arial"/>
          <w:color w:val="auto"/>
        </w:rPr>
        <w:t>GB/T 50312-2016《综合布线系统工程验收规范》</w:t>
      </w:r>
    </w:p>
    <w:p>
      <w:pPr>
        <w:rPr>
          <w:rFonts w:hint="eastAsia" w:ascii="宋体" w:hAnsi="宋体" w:eastAsia="宋体"/>
          <w:color w:val="auto"/>
        </w:rPr>
      </w:pPr>
      <w:r>
        <w:rPr>
          <w:rFonts w:hint="eastAsia" w:ascii="宋体" w:hAnsi="宋体" w:eastAsia="宋体"/>
          <w:color w:val="auto"/>
        </w:rPr>
        <w:object>
          <v:shape id="_x0000_i1026" o:spt="75" type="#_x0000_t75" style="height:55.15pt;width:76.5pt;" o:ole="t" filled="f" o:preferrelative="t" stroked="f" coordsize="21600,21600">
            <v:path/>
            <v:fill on="f" focussize="0,0"/>
            <v:stroke on="f" joinstyle="miter"/>
            <v:imagedata r:id="rId15" o:title=""/>
            <o:lock v:ext="edit" aspectratio="t"/>
            <w10:wrap type="none"/>
            <w10:anchorlock/>
          </v:shape>
          <o:OLEObject Type="Embed" ProgID="Acrobat.Document.DC" ShapeID="_x0000_i1026" DrawAspect="Icon" ObjectID="_1468075726" r:id="rId14">
            <o:LockedField>false</o:LockedField>
          </o:OLEObject>
        </w:object>
      </w:r>
    </w:p>
    <w:p>
      <w:pPr>
        <w:rPr>
          <w:rFonts w:hint="eastAsia" w:ascii="宋体" w:hAnsi="宋体" w:eastAsia="宋体"/>
          <w:b/>
          <w:bCs/>
          <w:color w:val="auto"/>
        </w:rPr>
      </w:pPr>
      <w:r>
        <w:rPr>
          <w:rFonts w:hint="eastAsia" w:ascii="宋体" w:hAnsi="宋体" w:eastAsia="宋体"/>
          <w:color w:val="auto"/>
        </w:rPr>
        <w:t>3、</w:t>
      </w:r>
      <w:r>
        <w:rPr>
          <w:rFonts w:hint="eastAsia" w:ascii="宋体" w:hAnsi="宋体" w:cs="Arial"/>
          <w:color w:val="auto"/>
        </w:rPr>
        <w:t>FYB/T54003-2017《审判业务综合楼信息化建设指南》</w:t>
      </w:r>
    </w:p>
    <w:p>
      <w:pPr>
        <w:rPr>
          <w:rFonts w:hint="eastAsia" w:ascii="宋体" w:hAnsi="宋体" w:eastAsia="宋体"/>
          <w:color w:val="auto"/>
        </w:rPr>
      </w:pPr>
      <w:r>
        <w:rPr>
          <w:rFonts w:hint="eastAsia" w:ascii="宋体" w:hAnsi="宋体" w:eastAsia="宋体"/>
          <w:color w:val="auto"/>
        </w:rPr>
        <w:object>
          <v:shape id="_x0000_i1027" o:spt="75" type="#_x0000_t75" style="height:55.15pt;width:76.5pt;" o:ole="t" filled="f" o:preferrelative="t" stroked="f" coordsize="21600,21600">
            <v:path/>
            <v:fill on="f" focussize="0,0"/>
            <v:stroke on="f" joinstyle="miter"/>
            <v:imagedata r:id="rId17" o:title=""/>
            <o:lock v:ext="edit" aspectratio="t"/>
            <w10:wrap type="none"/>
            <w10:anchorlock/>
          </v:shape>
          <o:OLEObject Type="Embed" ProgID="Acrobat.Document.DC" ShapeID="_x0000_i1027" DrawAspect="Icon" ObjectID="_1468075727" r:id="rId16">
            <o:LockedField>false</o:LockedField>
          </o:OLEObject>
        </w:object>
      </w:r>
    </w:p>
    <w:p>
      <w:pPr>
        <w:rPr>
          <w:rFonts w:hint="eastAsia" w:ascii="宋体" w:hAnsi="宋体" w:eastAsia="宋体"/>
          <w:b/>
          <w:bCs/>
          <w:color w:val="auto"/>
        </w:rPr>
      </w:pPr>
      <w:r>
        <w:rPr>
          <w:rFonts w:hint="eastAsia" w:ascii="宋体" w:hAnsi="宋体" w:eastAsia="宋体"/>
          <w:color w:val="auto"/>
        </w:rPr>
        <w:t>4、</w:t>
      </w:r>
      <w:r>
        <w:rPr>
          <w:rFonts w:ascii="宋体" w:hAnsi="宋体" w:cs="Arial"/>
          <w:color w:val="auto"/>
        </w:rPr>
        <w:t>GB 50371-2006《厅堂扩声系统设计规范》</w:t>
      </w:r>
    </w:p>
    <w:p>
      <w:pPr>
        <w:rPr>
          <w:rFonts w:hint="eastAsia" w:ascii="宋体" w:hAnsi="宋体" w:eastAsia="宋体"/>
          <w:color w:val="auto"/>
        </w:rPr>
      </w:pPr>
      <w:r>
        <w:rPr>
          <w:rFonts w:hint="eastAsia" w:ascii="宋体" w:hAnsi="宋体" w:eastAsia="宋体"/>
          <w:color w:val="auto"/>
        </w:rPr>
        <w:object>
          <v:shape id="_x0000_i1028" o:spt="75" type="#_x0000_t75" style="height:55.15pt;width:76.5pt;" o:ole="t" filled="f" o:preferrelative="t" stroked="f" coordsize="21600,21600">
            <v:path/>
            <v:fill on="f" focussize="0,0"/>
            <v:stroke on="f" joinstyle="miter"/>
            <v:imagedata r:id="rId19" o:title=""/>
            <o:lock v:ext="edit" aspectratio="t"/>
            <w10:wrap type="none"/>
            <w10:anchorlock/>
          </v:shape>
          <o:OLEObject Type="Embed" ProgID="Acrobat.Document.DC" ShapeID="_x0000_i1028" DrawAspect="Icon" ObjectID="_1468075728" r:id="rId18">
            <o:LockedField>false</o:LockedField>
          </o:OLEObject>
        </w:object>
      </w:r>
    </w:p>
    <w:p>
      <w:pPr>
        <w:rPr>
          <w:color w:val="auto"/>
        </w:rPr>
      </w:pPr>
    </w:p>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文泉驿微米黑">
    <w:panose1 w:val="020B0606030804020204"/>
    <w:charset w:val="86"/>
    <w:family w:val="auto"/>
    <w:pitch w:val="default"/>
    <w:sig w:usb0="E10002EF" w:usb1="6BDFFCFB" w:usb2="00800036" w:usb3="00000000" w:csb0="603E019F" w:csb1="DFD70000"/>
  </w:font>
  <w:font w:name="微软雅黑">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isLgl/>
      <w:suff w:val="nothing"/>
      <w:lvlText w:val="%1.%2.%3、"/>
      <w:lvlJc w:val="left"/>
      <w:pPr>
        <w:ind w:left="1069" w:hanging="1069"/>
      </w:pPr>
      <w:rPr>
        <w:rFonts w:hint="default" w:ascii="宋体" w:hAnsi="宋体" w:eastAsia="宋体" w:cs="Arial"/>
      </w:rPr>
    </w:lvl>
    <w:lvl w:ilvl="3" w:tentative="0">
      <w:start w:val="1"/>
      <w:numFmt w:val="decimal"/>
      <w:isLgl/>
      <w:suff w:val="nothing"/>
      <w:lvlText w:val="%1.%2.%3.%4、"/>
      <w:lvlJc w:val="left"/>
      <w:pPr>
        <w:ind w:left="3403" w:hanging="851"/>
      </w:pPr>
    </w:lvl>
    <w:lvl w:ilvl="4" w:tentative="0">
      <w:start w:val="1"/>
      <w:numFmt w:val="decimal"/>
      <w:isLgl/>
      <w:suff w:val="nothing"/>
      <w:lvlText w:val="%1.%2.%3.%4.%5、"/>
      <w:lvlJc w:val="left"/>
      <w:pPr>
        <w:ind w:left="3544"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D500FB"/>
    <w:rsid w:val="23FD1329"/>
    <w:rsid w:val="3EF7D684"/>
    <w:rsid w:val="58EB4D70"/>
    <w:rsid w:val="5AD500FB"/>
    <w:rsid w:val="726901D2"/>
    <w:rsid w:val="75FE8966"/>
    <w:rsid w:val="7BFFAE8E"/>
    <w:rsid w:val="7ED31B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heme="minorHAnsi" w:hAnsiTheme="minorHAnsi" w:eastAsiaTheme="minorEastAsia" w:cstheme="minorBidi"/>
      <w:sz w:val="24"/>
      <w:lang w:val="en-US" w:eastAsia="zh-CN" w:bidi="ar-SA"/>
    </w:rPr>
  </w:style>
  <w:style w:type="paragraph" w:styleId="2">
    <w:name w:val="heading 1"/>
    <w:basedOn w:val="1"/>
    <w:next w:val="1"/>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qFormat/>
    <w:uiPriority w:val="9"/>
    <w:pPr>
      <w:keepNext/>
      <w:keepLines/>
      <w:numPr>
        <w:ilvl w:val="1"/>
        <w:numId w:val="1"/>
      </w:numPr>
      <w:spacing w:before="120" w:after="120"/>
      <w:ind w:firstLine="0" w:firstLineChars="0"/>
      <w:outlineLvl w:val="1"/>
    </w:pPr>
    <w:rPr>
      <w:b/>
      <w:bCs/>
      <w:sz w:val="30"/>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spacing w:line="240" w:lineRule="auto"/>
      <w:jc w:val="left"/>
    </w:pPr>
    <w:rPr>
      <w:sz w:val="18"/>
      <w:szCs w:val="18"/>
    </w:rPr>
  </w:style>
  <w:style w:type="paragraph" w:styleId="5">
    <w:name w:val="header"/>
    <w:basedOn w:val="1"/>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6">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paragraph" w:customStyle="1" w:styleId="9">
    <w:name w:val="*正文"/>
    <w:basedOn w:val="1"/>
    <w:autoRedefine/>
    <w:qFormat/>
    <w:uiPriority w:val="0"/>
    <w:pPr>
      <w:ind w:firstLine="200"/>
    </w:pPr>
  </w:style>
  <w:style w:type="paragraph" w:customStyle="1" w:styleId="10">
    <w:name w:val="方案文档"/>
    <w:qFormat/>
    <w:uiPriority w:val="0"/>
    <w:pPr>
      <w:spacing w:beforeLines="50" w:afterLines="50" w:line="360" w:lineRule="auto"/>
      <w:ind w:firstLine="200" w:firstLineChars="200"/>
    </w:pPr>
    <w:rPr>
      <w:rFonts w:asciiTheme="minorHAnsi" w:hAnsiTheme="minorHAnsi" w:eastAsiaTheme="minorEastAsia" w:cstheme="minorBidi"/>
      <w:kern w:val="2"/>
      <w:sz w:val="24"/>
      <w:szCs w:val="24"/>
      <w:lang w:val="en-US" w:eastAsia="zh-CN" w:bidi="ar-SA"/>
    </w:rPr>
  </w:style>
  <w:style w:type="paragraph" w:customStyle="1" w:styleId="11">
    <w:name w:val="正文缩进1"/>
    <w:basedOn w:val="1"/>
    <w:autoRedefine/>
    <w:qFormat/>
    <w:uiPriority w:val="0"/>
    <w:pPr>
      <w:spacing w:line="240" w:lineRule="auto"/>
      <w:ind w:firstLine="420"/>
    </w:pPr>
    <w:rPr>
      <w:rFonts w:ascii="Times New Roman" w:hAnsi="Times New Roman"/>
      <w:sz w:val="21"/>
    </w:rPr>
  </w:style>
  <w:style w:type="paragraph" w:customStyle="1" w:styleId="12">
    <w:name w:val="正文正文2"/>
    <w:basedOn w:val="1"/>
    <w:autoRedefine/>
    <w:qFormat/>
    <w:uiPriority w:val="0"/>
    <w:pPr>
      <w:ind w:firstLine="460"/>
    </w:pPr>
    <w:rPr>
      <w:sz w:val="21"/>
      <w:szCs w:val="21"/>
    </w:rPr>
  </w:style>
  <w:style w:type="paragraph" w:styleId="13">
    <w:name w:val="List Paragraph"/>
    <w:basedOn w:val="1"/>
    <w:unhideWhenUsed/>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4.bin"/><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3842</Words>
  <Characters>4321</Characters>
  <Lines>0</Lines>
  <Paragraphs>0</Paragraphs>
  <TotalTime>1001</TotalTime>
  <ScaleCrop>false</ScaleCrop>
  <LinksUpToDate>false</LinksUpToDate>
  <CharactersWithSpaces>4358</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2026-05-19T22:02:00Z</dcterms:created>
  <dc:creator>臻</dc:creator>
  <cp:lastModifiedBy>user</cp:lastModifiedBy>
  <dcterms:modified xsi:type="dcterms:W3CDTF">2026-05-20T09:42:46Z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BCD895B99964C53BCCB90B6A84437CDF_43</vt:lpwstr>
  </property>
  <property fmtid="{D5CDD505-2E9C-101B-9397-08002B2CF9AE}" pid="4" name="KSOTemplateDocerSaveRecord">
    <vt:lpwstr>eyJoZGlkIjoiM2I3ZmVkMGM4ZmY0YTNiZDRhOTY0OGNkY2NiOTRhNWIiLCJ1c2VySWQiOiI3MTA2NjgwODEifQ==</vt:lpwstr>
  </property>
</Properties>
</file>