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7C4A7">
      <w:pPr>
        <w:ind w:firstLine="0" w:firstLineChars="0"/>
        <w:rPr>
          <w:rFonts w:ascii="黑体" w:hAnsi="黑体" w:eastAsia="黑体"/>
          <w:sz w:val="48"/>
          <w:szCs w:val="48"/>
        </w:rPr>
      </w:pPr>
    </w:p>
    <w:p w14:paraId="1FD0CD91">
      <w:pPr>
        <w:pStyle w:val="18"/>
        <w:rPr>
          <w:rFonts w:ascii="黑体" w:hAnsi="黑体" w:eastAsia="黑体"/>
          <w:sz w:val="48"/>
          <w:szCs w:val="48"/>
        </w:rPr>
      </w:pPr>
    </w:p>
    <w:p w14:paraId="01882A3D">
      <w:pPr>
        <w:ind w:firstLine="0" w:firstLineChars="0"/>
        <w:rPr>
          <w:rFonts w:ascii="Times New Roman" w:hAnsi="Times New Roman"/>
          <w:b/>
          <w:sz w:val="56"/>
          <w:szCs w:val="56"/>
        </w:rPr>
      </w:pPr>
      <w:bookmarkStart w:id="0" w:name="_Hlk40877953"/>
    </w:p>
    <w:p w14:paraId="158C6EC3">
      <w:pPr>
        <w:ind w:firstLine="0" w:firstLineChars="0"/>
        <w:rPr>
          <w:rFonts w:ascii="Times New Roman" w:hAnsi="Times New Roman"/>
          <w:b/>
          <w:sz w:val="56"/>
          <w:szCs w:val="56"/>
        </w:rPr>
      </w:pPr>
    </w:p>
    <w:p w14:paraId="36344BB0">
      <w:pPr>
        <w:ind w:firstLine="0" w:firstLineChars="0"/>
        <w:rPr>
          <w:rFonts w:ascii="Times New Roman" w:hAnsi="Times New Roman"/>
          <w:b/>
          <w:sz w:val="56"/>
          <w:szCs w:val="56"/>
        </w:rPr>
      </w:pPr>
    </w:p>
    <w:bookmarkEnd w:id="0"/>
    <w:p w14:paraId="69756466">
      <w:pPr>
        <w:pStyle w:val="142"/>
        <w:spacing w:after="156" w:line="720" w:lineRule="auto"/>
        <w:ind w:firstLine="0" w:firstLineChars="0"/>
        <w:jc w:val="center"/>
        <w:rPr>
          <w:rFonts w:ascii="Times New Roman" w:hAnsi="Times New Roman"/>
          <w:b/>
          <w:sz w:val="56"/>
          <w:szCs w:val="56"/>
          <w:lang w:eastAsia="zh-CN"/>
        </w:rPr>
      </w:pPr>
      <w:r>
        <w:rPr>
          <w:rFonts w:hint="eastAsia" w:ascii="Times New Roman" w:hAnsi="Times New Roman"/>
          <w:b/>
          <w:sz w:val="56"/>
          <w:szCs w:val="56"/>
          <w:lang w:eastAsia="zh-CN"/>
        </w:rPr>
        <w:t>上海市社区事务受理信息系统</w:t>
      </w:r>
    </w:p>
    <w:p w14:paraId="3A259F28">
      <w:pPr>
        <w:pStyle w:val="142"/>
        <w:spacing w:after="156" w:line="720" w:lineRule="auto"/>
        <w:ind w:firstLine="0" w:firstLineChars="0"/>
        <w:jc w:val="center"/>
        <w:rPr>
          <w:rFonts w:ascii="Times New Roman" w:hAnsi="Times New Roman"/>
          <w:b/>
          <w:sz w:val="56"/>
          <w:szCs w:val="56"/>
          <w:lang w:eastAsia="zh-CN"/>
        </w:rPr>
      </w:pPr>
      <w:r>
        <w:rPr>
          <w:rFonts w:hint="eastAsia" w:ascii="Times New Roman" w:hAnsi="Times New Roman"/>
          <w:b/>
          <w:sz w:val="56"/>
          <w:szCs w:val="56"/>
          <w:lang w:eastAsia="zh-CN"/>
        </w:rPr>
        <w:t>建设项目(2026年升级改造)</w:t>
      </w:r>
    </w:p>
    <w:p w14:paraId="66F9CFC8">
      <w:pPr>
        <w:pStyle w:val="142"/>
        <w:spacing w:after="156" w:line="720" w:lineRule="auto"/>
        <w:ind w:firstLine="0" w:firstLineChars="0"/>
        <w:jc w:val="center"/>
        <w:rPr>
          <w:rFonts w:ascii="黑体" w:hAnsi="黑体" w:eastAsia="黑体"/>
          <w:sz w:val="72"/>
          <w:szCs w:val="72"/>
          <w:lang w:eastAsia="zh-CN"/>
        </w:rPr>
      </w:pPr>
      <w:r>
        <w:rPr>
          <w:rFonts w:hint="eastAsia" w:ascii="Times New Roman" w:hAnsi="Times New Roman"/>
          <w:b/>
          <w:sz w:val="56"/>
          <w:szCs w:val="56"/>
          <w:lang w:eastAsia="zh-CN"/>
        </w:rPr>
        <w:t>采购需求</w:t>
      </w:r>
    </w:p>
    <w:p w14:paraId="40DED701">
      <w:pPr>
        <w:ind w:firstLine="0" w:firstLineChars="0"/>
        <w:jc w:val="center"/>
        <w:rPr>
          <w:rFonts w:ascii="黑体" w:hAnsi="黑体" w:eastAsia="黑体"/>
          <w:sz w:val="48"/>
          <w:szCs w:val="48"/>
        </w:rPr>
      </w:pPr>
    </w:p>
    <w:p w14:paraId="352AC8D4">
      <w:pPr>
        <w:ind w:firstLine="0" w:firstLineChars="0"/>
        <w:jc w:val="center"/>
        <w:rPr>
          <w:rFonts w:ascii="黑体" w:hAnsi="黑体" w:eastAsia="黑体"/>
          <w:sz w:val="52"/>
          <w:szCs w:val="52"/>
        </w:rPr>
      </w:pPr>
    </w:p>
    <w:p w14:paraId="79091990">
      <w:pPr>
        <w:ind w:firstLine="1040"/>
        <w:rPr>
          <w:rFonts w:ascii="黑体" w:hAnsi="黑体" w:eastAsia="黑体"/>
          <w:sz w:val="52"/>
          <w:szCs w:val="52"/>
        </w:rPr>
      </w:pPr>
    </w:p>
    <w:p w14:paraId="7372ED33">
      <w:pPr>
        <w:ind w:firstLine="480"/>
      </w:pPr>
    </w:p>
    <w:p w14:paraId="65D0D094">
      <w:pPr>
        <w:ind w:firstLine="480"/>
      </w:pPr>
    </w:p>
    <w:p w14:paraId="3B844F19">
      <w:pPr>
        <w:ind w:firstLine="480"/>
      </w:pPr>
    </w:p>
    <w:p w14:paraId="6EABB77D">
      <w:pPr>
        <w:ind w:firstLine="480"/>
      </w:pPr>
    </w:p>
    <w:p w14:paraId="54F0A995">
      <w:pPr>
        <w:ind w:firstLine="480"/>
      </w:pPr>
    </w:p>
    <w:p w14:paraId="7E1F8E68">
      <w:pPr>
        <w:ind w:firstLine="1040"/>
        <w:rPr>
          <w:rFonts w:ascii="黑体" w:hAnsi="黑体" w:eastAsia="黑体"/>
          <w:sz w:val="52"/>
          <w:szCs w:val="52"/>
        </w:rPr>
      </w:pPr>
    </w:p>
    <w:p w14:paraId="6082666B">
      <w:pPr>
        <w:ind w:firstLine="480"/>
        <w:jc w:val="cente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14:paraId="0B6D84CF">
      <w:pPr>
        <w:pStyle w:val="2"/>
        <w:ind w:hanging="1560"/>
        <w:rPr>
          <w:color w:val="auto"/>
        </w:rPr>
      </w:pPr>
      <w:bookmarkStart w:id="1" w:name="_Toc63785461"/>
      <w:r>
        <w:rPr>
          <w:rFonts w:hint="eastAsia"/>
          <w:color w:val="auto"/>
        </w:rPr>
        <w:t>项目概况</w:t>
      </w:r>
      <w:bookmarkEnd w:id="1"/>
    </w:p>
    <w:p w14:paraId="2C175BB5">
      <w:pPr>
        <w:pStyle w:val="35"/>
        <w:spacing w:after="0"/>
        <w:ind w:firstLine="480"/>
      </w:pPr>
      <w:r>
        <w:rPr>
          <w:rFonts w:hint="eastAsia"/>
        </w:rPr>
        <w:t>项目背景：</w:t>
      </w:r>
    </w:p>
    <w:p w14:paraId="7EBEBB64">
      <w:pPr>
        <w:spacing w:line="360" w:lineRule="auto"/>
        <w:ind w:firstLine="480"/>
      </w:pPr>
      <w:r>
        <w:rPr>
          <w:rFonts w:hint="eastAsia"/>
        </w:rPr>
        <w:t>上海市社区事务受理信息系统（简称“受理系统”）是政府面向居民提供政务服务的综合平台。通过受理系统，</w:t>
      </w:r>
      <w:r>
        <w:t>居民可以</w:t>
      </w:r>
      <w:r>
        <w:rPr>
          <w:rFonts w:hint="eastAsia"/>
        </w:rPr>
        <w:t>就近</w:t>
      </w:r>
      <w:r>
        <w:t>在受理中心</w:t>
      </w:r>
      <w:r>
        <w:rPr>
          <w:rFonts w:hint="eastAsia"/>
        </w:rPr>
        <w:t>或服务延伸点</w:t>
      </w:r>
      <w:r>
        <w:t>办理社保、医保、民政、公安等10</w:t>
      </w:r>
      <w:r>
        <w:rPr>
          <w:rFonts w:hint="eastAsia"/>
        </w:rPr>
        <w:t>多</w:t>
      </w:r>
      <w:r>
        <w:t>个条线部门190</w:t>
      </w:r>
      <w:r>
        <w:rPr>
          <w:rFonts w:hint="eastAsia"/>
        </w:rPr>
        <w:t>多</w:t>
      </w:r>
      <w:r>
        <w:t>项政务服务事项。</w:t>
      </w:r>
      <w:r>
        <w:rPr>
          <w:rFonts w:hint="eastAsia"/>
        </w:rPr>
        <w:t>受理系统作为一个对接多个条线部门业务系统的综合性受理平台，在运行过程中需要根据条线部门的政策变化以及社区事务受理、“一网通办”等重大政务服务改革任务而进行持续性的改造升级。</w:t>
      </w:r>
    </w:p>
    <w:p w14:paraId="76BD88DC">
      <w:pPr>
        <w:spacing w:line="360" w:lineRule="auto"/>
        <w:ind w:firstLine="480"/>
      </w:pPr>
      <w:r>
        <w:rPr>
          <w:rFonts w:hint="eastAsia"/>
        </w:rPr>
        <w:t>2025年，伴随着以大语言模型为代表的AI技术的突破，上海市发布《上海市人民政府办公厅关于印发上海市推进“人工智能+”行动 打造“智慧好办”政务服务实施方案的通知》（沪府办字〔2024〕10号），鼓励人工智能应用到一网通办中，这与市民政局期望通过AI能力赋能受理中心的思路不谋而合。本次项目拟探索利用大语言模型辅助办事，从而降低人工操作风险，提升办事效率。</w:t>
      </w:r>
    </w:p>
    <w:p w14:paraId="1F72DE36">
      <w:pPr>
        <w:spacing w:line="360" w:lineRule="auto"/>
        <w:ind w:firstLine="480"/>
      </w:pPr>
      <w:r>
        <w:rPr>
          <w:rFonts w:hint="eastAsia"/>
        </w:rPr>
        <w:t>根据《上海市持续深化政务服务“一网通办改革行动方案(2024-2026年)》（沪府办发〔2024〕2号），按照一网通办的总体规划，按市府办和大数据中心要求，受理系统需加强一件事能力建设，落实好差评的改造工作；随着医保共济账户、生育补贴、配售型保障性住房等重大民生事项相继准备落地，需要受理系统配合确保事项受理渠道畅通；同时，2026年将引来新的一次受理中心第三方评估工作，受理系统也将完成配合改造。</w:t>
      </w:r>
    </w:p>
    <w:p w14:paraId="04E48115">
      <w:pPr>
        <w:spacing w:line="360" w:lineRule="auto"/>
        <w:ind w:firstLine="480"/>
        <w:rPr>
          <w:rFonts w:ascii="Times New Roman" w:hAnsi="Times New Roman"/>
        </w:rPr>
      </w:pPr>
      <w:r>
        <w:rPr>
          <w:rFonts w:hint="eastAsia"/>
        </w:rPr>
        <w:t>建设期限：</w:t>
      </w:r>
      <w:r>
        <w:rPr>
          <w:rFonts w:ascii="Times New Roman" w:hAnsi="Times New Roman"/>
        </w:rPr>
        <w:t>自合同签订之日起</w:t>
      </w:r>
      <w:r>
        <w:rPr>
          <w:rFonts w:hint="eastAsia" w:ascii="Times New Roman" w:hAnsi="Times New Roman"/>
        </w:rPr>
        <w:t>9个月内</w:t>
      </w:r>
      <w:r>
        <w:rPr>
          <w:rFonts w:ascii="Times New Roman" w:hAnsi="Times New Roman"/>
        </w:rPr>
        <w:t>完成项目上线并验收。（包含至少一个月的试运行）</w:t>
      </w:r>
      <w:r>
        <w:rPr>
          <w:rFonts w:hint="eastAsia" w:ascii="Times New Roman" w:hAnsi="Times New Roman"/>
        </w:rPr>
        <w:t>。</w:t>
      </w:r>
    </w:p>
    <w:p w14:paraId="3F4719F7">
      <w:pPr>
        <w:spacing w:line="360" w:lineRule="auto"/>
        <w:ind w:firstLine="480"/>
      </w:pPr>
      <w:r>
        <w:rPr>
          <w:rFonts w:hint="eastAsia"/>
        </w:rPr>
        <w:t>建设地点：上海市</w:t>
      </w:r>
    </w:p>
    <w:p w14:paraId="7AD6750B">
      <w:pPr>
        <w:spacing w:line="360" w:lineRule="auto"/>
        <w:ind w:firstLine="480"/>
      </w:pPr>
      <w:r>
        <w:t>是否按</w:t>
      </w:r>
      <w:r>
        <w:rPr>
          <w:rFonts w:hint="eastAsia"/>
        </w:rPr>
        <w:t>XC</w:t>
      </w:r>
      <w:r>
        <w:t>要求建设：是</w:t>
      </w:r>
    </w:p>
    <w:p w14:paraId="5255194D">
      <w:pPr>
        <w:spacing w:line="360" w:lineRule="auto"/>
        <w:ind w:firstLine="480"/>
      </w:pPr>
      <w:r>
        <w:rPr>
          <w:rFonts w:hint="eastAsia"/>
        </w:rPr>
        <w:t>运维后所属大系统：社区事务受理系统</w:t>
      </w:r>
    </w:p>
    <w:p w14:paraId="48EA9310">
      <w:pPr>
        <w:spacing w:line="360" w:lineRule="auto"/>
        <w:ind w:firstLine="480"/>
      </w:pPr>
    </w:p>
    <w:p w14:paraId="1D050A1C">
      <w:pPr>
        <w:pStyle w:val="2"/>
        <w:ind w:hanging="1418"/>
        <w:rPr>
          <w:color w:val="auto"/>
        </w:rPr>
      </w:pPr>
      <w:bookmarkStart w:id="2" w:name="_Toc47536644"/>
      <w:bookmarkEnd w:id="2"/>
      <w:bookmarkStart w:id="3" w:name="_Toc47531634"/>
      <w:bookmarkEnd w:id="3"/>
      <w:bookmarkStart w:id="4" w:name="_Toc47537134"/>
      <w:bookmarkEnd w:id="4"/>
      <w:bookmarkStart w:id="5" w:name="_Toc47533256"/>
      <w:bookmarkEnd w:id="5"/>
      <w:bookmarkStart w:id="6" w:name="_Toc47539070"/>
      <w:bookmarkEnd w:id="6"/>
      <w:bookmarkStart w:id="7" w:name="_Toc47532891"/>
      <w:bookmarkEnd w:id="7"/>
      <w:bookmarkStart w:id="8" w:name="_Toc47536272"/>
      <w:bookmarkEnd w:id="8"/>
      <w:bookmarkStart w:id="9" w:name="_Toc47532255"/>
      <w:bookmarkEnd w:id="9"/>
      <w:bookmarkStart w:id="10" w:name="_Toc63785463"/>
      <w:bookmarkStart w:id="11" w:name="_Toc48223882"/>
      <w:r>
        <w:rPr>
          <w:rFonts w:hint="eastAsia"/>
          <w:color w:val="auto"/>
        </w:rPr>
        <w:t>建设目标</w:t>
      </w:r>
      <w:bookmarkEnd w:id="10"/>
      <w:bookmarkEnd w:id="11"/>
    </w:p>
    <w:p w14:paraId="11707ED3">
      <w:pPr>
        <w:spacing w:line="360" w:lineRule="auto"/>
        <w:ind w:firstLine="480"/>
      </w:pPr>
      <w:r>
        <w:rPr>
          <w:rFonts w:hint="eastAsia"/>
        </w:rPr>
        <w:t>本项目的建设目标为：根据上海市“一网通办”的最新要求以及“两个集中”政策的持续要求，作为“一网通办”重要组成部分的受理系统需要进行新一轮升级改造。探索利用大语言模型辅助办事；积极配合完成“好差评”改造，“一件事”优化等工作，助力“一网通办”的高效运行；积极配合完成医保共济账户、生育补贴、配售型保障性住房等重大民生事项按时落地；做好2026年的第三方评估的相关系统改造和数据支持工作，确保受理中心三年一度的大考顺利进行。</w:t>
      </w:r>
    </w:p>
    <w:p w14:paraId="47ABCFE4">
      <w:pPr>
        <w:spacing w:line="360" w:lineRule="auto"/>
        <w:ind w:firstLine="480"/>
      </w:pPr>
      <w:r>
        <w:rPr>
          <w:rFonts w:hint="eastAsia"/>
        </w:rPr>
        <w:t>（一）业务指标</w:t>
      </w:r>
    </w:p>
    <w:tbl>
      <w:tblPr>
        <w:tblStyle w:val="40"/>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660"/>
        <w:gridCol w:w="750"/>
        <w:gridCol w:w="2197"/>
        <w:gridCol w:w="1133"/>
        <w:gridCol w:w="2755"/>
      </w:tblGrid>
      <w:tr w14:paraId="224A8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tblHeader/>
          <w:jc w:val="center"/>
        </w:trPr>
        <w:tc>
          <w:tcPr>
            <w:tcW w:w="693" w:type="dxa"/>
            <w:vAlign w:val="center"/>
          </w:tcPr>
          <w:p w14:paraId="389E7EC5">
            <w:pPr>
              <w:spacing w:line="360" w:lineRule="auto"/>
              <w:ind w:firstLine="0" w:firstLineChars="0"/>
              <w:rPr>
                <w:rFonts w:cs="宋体"/>
                <w:sz w:val="22"/>
                <w:szCs w:val="22"/>
              </w:rPr>
            </w:pPr>
            <w:r>
              <w:rPr>
                <w:rFonts w:hint="eastAsia" w:cs="宋体"/>
                <w:sz w:val="22"/>
                <w:szCs w:val="22"/>
              </w:rPr>
              <w:t>一级指标</w:t>
            </w:r>
          </w:p>
        </w:tc>
        <w:tc>
          <w:tcPr>
            <w:tcW w:w="660" w:type="dxa"/>
            <w:vAlign w:val="center"/>
          </w:tcPr>
          <w:p w14:paraId="394D34AD">
            <w:pPr>
              <w:spacing w:line="360" w:lineRule="auto"/>
              <w:ind w:firstLine="0" w:firstLineChars="0"/>
              <w:rPr>
                <w:rFonts w:cs="宋体"/>
                <w:sz w:val="22"/>
                <w:szCs w:val="22"/>
              </w:rPr>
            </w:pPr>
            <w:r>
              <w:rPr>
                <w:rFonts w:hint="eastAsia" w:cs="宋体"/>
                <w:sz w:val="22"/>
                <w:szCs w:val="22"/>
              </w:rPr>
              <w:t>二级指标</w:t>
            </w:r>
          </w:p>
        </w:tc>
        <w:tc>
          <w:tcPr>
            <w:tcW w:w="750" w:type="dxa"/>
            <w:vAlign w:val="center"/>
          </w:tcPr>
          <w:p w14:paraId="3B14B02B">
            <w:pPr>
              <w:spacing w:line="360" w:lineRule="auto"/>
              <w:ind w:firstLine="0" w:firstLineChars="0"/>
              <w:rPr>
                <w:rFonts w:cs="宋体"/>
                <w:sz w:val="22"/>
                <w:szCs w:val="22"/>
              </w:rPr>
            </w:pPr>
            <w:r>
              <w:rPr>
                <w:rFonts w:hint="eastAsia" w:cs="宋体"/>
                <w:sz w:val="22"/>
                <w:szCs w:val="22"/>
              </w:rPr>
              <w:t>三级指标</w:t>
            </w:r>
          </w:p>
        </w:tc>
        <w:tc>
          <w:tcPr>
            <w:tcW w:w="2197" w:type="dxa"/>
            <w:vAlign w:val="center"/>
          </w:tcPr>
          <w:p w14:paraId="56D38871">
            <w:pPr>
              <w:spacing w:line="360" w:lineRule="auto"/>
              <w:ind w:firstLine="0" w:firstLineChars="0"/>
              <w:rPr>
                <w:rFonts w:cs="宋体"/>
                <w:sz w:val="22"/>
                <w:szCs w:val="22"/>
              </w:rPr>
            </w:pPr>
            <w:r>
              <w:rPr>
                <w:rFonts w:hint="eastAsia" w:cs="宋体"/>
                <w:sz w:val="22"/>
                <w:szCs w:val="22"/>
              </w:rPr>
              <w:t>四级指标</w:t>
            </w:r>
          </w:p>
        </w:tc>
        <w:tc>
          <w:tcPr>
            <w:tcW w:w="1133" w:type="dxa"/>
            <w:vAlign w:val="center"/>
          </w:tcPr>
          <w:p w14:paraId="59F93560">
            <w:pPr>
              <w:spacing w:line="360" w:lineRule="auto"/>
              <w:ind w:firstLine="0" w:firstLineChars="0"/>
              <w:rPr>
                <w:rFonts w:cs="宋体"/>
                <w:sz w:val="22"/>
                <w:szCs w:val="22"/>
              </w:rPr>
            </w:pPr>
            <w:r>
              <w:rPr>
                <w:rFonts w:hint="eastAsia" w:cs="宋体"/>
                <w:sz w:val="22"/>
                <w:szCs w:val="22"/>
              </w:rPr>
              <w:t>目标值</w:t>
            </w:r>
          </w:p>
        </w:tc>
        <w:tc>
          <w:tcPr>
            <w:tcW w:w="2755" w:type="dxa"/>
            <w:vAlign w:val="center"/>
          </w:tcPr>
          <w:p w14:paraId="3DD7178E">
            <w:pPr>
              <w:spacing w:line="360" w:lineRule="auto"/>
              <w:ind w:firstLine="0" w:firstLineChars="0"/>
              <w:rPr>
                <w:rFonts w:cs="宋体"/>
                <w:sz w:val="22"/>
                <w:szCs w:val="22"/>
              </w:rPr>
            </w:pPr>
            <w:r>
              <w:rPr>
                <w:rFonts w:hint="eastAsia" w:cs="宋体"/>
                <w:sz w:val="22"/>
                <w:szCs w:val="22"/>
              </w:rPr>
              <w:t>备注</w:t>
            </w:r>
          </w:p>
        </w:tc>
      </w:tr>
      <w:tr w14:paraId="416B0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3" w:type="dxa"/>
            <w:vMerge w:val="restart"/>
            <w:vAlign w:val="center"/>
          </w:tcPr>
          <w:p w14:paraId="2B826AC6">
            <w:pPr>
              <w:spacing w:line="360" w:lineRule="auto"/>
              <w:ind w:firstLine="0" w:firstLineChars="0"/>
              <w:rPr>
                <w:rFonts w:cs="宋体"/>
                <w:sz w:val="22"/>
                <w:szCs w:val="22"/>
              </w:rPr>
            </w:pPr>
            <w:r>
              <w:rPr>
                <w:rFonts w:hint="eastAsia" w:cs="宋体"/>
                <w:sz w:val="22"/>
                <w:szCs w:val="22"/>
              </w:rPr>
              <w:t>通用指标</w:t>
            </w:r>
          </w:p>
        </w:tc>
        <w:tc>
          <w:tcPr>
            <w:tcW w:w="660" w:type="dxa"/>
            <w:vMerge w:val="restart"/>
            <w:vAlign w:val="center"/>
          </w:tcPr>
          <w:p w14:paraId="7BE19A97">
            <w:pPr>
              <w:spacing w:line="360" w:lineRule="auto"/>
              <w:ind w:firstLine="0" w:firstLineChars="0"/>
              <w:rPr>
                <w:rFonts w:cs="宋体"/>
                <w:sz w:val="22"/>
                <w:szCs w:val="22"/>
              </w:rPr>
            </w:pPr>
            <w:r>
              <w:rPr>
                <w:rFonts w:hint="eastAsia" w:cs="宋体"/>
                <w:sz w:val="22"/>
                <w:szCs w:val="22"/>
              </w:rPr>
              <w:t>产出指标</w:t>
            </w:r>
          </w:p>
        </w:tc>
        <w:tc>
          <w:tcPr>
            <w:tcW w:w="750" w:type="dxa"/>
            <w:vAlign w:val="center"/>
          </w:tcPr>
          <w:p w14:paraId="3D66ADBF">
            <w:pPr>
              <w:spacing w:line="360" w:lineRule="auto"/>
              <w:ind w:firstLine="0" w:firstLineChars="0"/>
              <w:rPr>
                <w:rFonts w:cs="宋体"/>
                <w:sz w:val="22"/>
                <w:szCs w:val="22"/>
              </w:rPr>
            </w:pPr>
            <w:r>
              <w:rPr>
                <w:rFonts w:hint="eastAsia" w:cs="宋体"/>
                <w:sz w:val="22"/>
                <w:szCs w:val="22"/>
              </w:rPr>
              <w:t>产出质量</w:t>
            </w:r>
          </w:p>
        </w:tc>
        <w:tc>
          <w:tcPr>
            <w:tcW w:w="2197" w:type="dxa"/>
            <w:vAlign w:val="center"/>
          </w:tcPr>
          <w:p w14:paraId="7503C26F">
            <w:pPr>
              <w:spacing w:line="360" w:lineRule="auto"/>
              <w:ind w:firstLine="0" w:firstLineChars="0"/>
              <w:rPr>
                <w:rFonts w:cs="宋体"/>
                <w:sz w:val="22"/>
                <w:szCs w:val="22"/>
              </w:rPr>
            </w:pPr>
            <w:r>
              <w:rPr>
                <w:rFonts w:hint="eastAsia" w:cs="宋体"/>
                <w:sz w:val="22"/>
                <w:szCs w:val="22"/>
              </w:rPr>
              <w:t>一次性验收合格率</w:t>
            </w:r>
          </w:p>
        </w:tc>
        <w:tc>
          <w:tcPr>
            <w:tcW w:w="1133" w:type="dxa"/>
            <w:vAlign w:val="center"/>
          </w:tcPr>
          <w:p w14:paraId="0F3D64D1">
            <w:pPr>
              <w:spacing w:line="360" w:lineRule="auto"/>
              <w:ind w:firstLine="0" w:firstLineChars="0"/>
              <w:rPr>
                <w:rFonts w:cs="宋体"/>
                <w:sz w:val="22"/>
                <w:szCs w:val="22"/>
              </w:rPr>
            </w:pPr>
            <w:r>
              <w:rPr>
                <w:rFonts w:hint="eastAsia" w:cs="宋体"/>
                <w:sz w:val="22"/>
                <w:szCs w:val="22"/>
              </w:rPr>
              <w:t>=100%</w:t>
            </w:r>
          </w:p>
        </w:tc>
        <w:tc>
          <w:tcPr>
            <w:tcW w:w="2755" w:type="dxa"/>
            <w:vAlign w:val="center"/>
          </w:tcPr>
          <w:p w14:paraId="6D8FDFBF">
            <w:pPr>
              <w:spacing w:line="360" w:lineRule="auto"/>
              <w:ind w:firstLine="0" w:firstLineChars="0"/>
              <w:rPr>
                <w:rFonts w:cs="宋体"/>
                <w:sz w:val="22"/>
                <w:szCs w:val="22"/>
              </w:rPr>
            </w:pPr>
            <w:r>
              <w:rPr>
                <w:rFonts w:hint="eastAsia" w:cs="宋体"/>
                <w:sz w:val="22"/>
                <w:szCs w:val="22"/>
              </w:rPr>
              <w:t>做好项目过程管理，争取一次性通过验收</w:t>
            </w:r>
          </w:p>
        </w:tc>
      </w:tr>
      <w:tr w14:paraId="517EB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93" w:type="dxa"/>
            <w:vMerge w:val="continue"/>
            <w:vAlign w:val="center"/>
          </w:tcPr>
          <w:p w14:paraId="315DDEAA">
            <w:pPr>
              <w:spacing w:line="360" w:lineRule="auto"/>
              <w:ind w:firstLine="0" w:firstLineChars="0"/>
              <w:rPr>
                <w:rFonts w:cs="宋体"/>
                <w:sz w:val="22"/>
                <w:szCs w:val="22"/>
              </w:rPr>
            </w:pPr>
            <w:r>
              <w:rPr>
                <w:rFonts w:hint="eastAsia" w:cs="宋体"/>
                <w:sz w:val="22"/>
                <w:szCs w:val="22"/>
              </w:rPr>
              <w:t>通用指标</w:t>
            </w:r>
          </w:p>
        </w:tc>
        <w:tc>
          <w:tcPr>
            <w:tcW w:w="660" w:type="dxa"/>
            <w:vMerge w:val="continue"/>
            <w:vAlign w:val="center"/>
          </w:tcPr>
          <w:p w14:paraId="438D9438">
            <w:pPr>
              <w:spacing w:line="360" w:lineRule="auto"/>
              <w:ind w:firstLine="0" w:firstLineChars="0"/>
              <w:rPr>
                <w:rFonts w:cs="宋体"/>
                <w:sz w:val="22"/>
                <w:szCs w:val="22"/>
              </w:rPr>
            </w:pPr>
            <w:r>
              <w:rPr>
                <w:rFonts w:hint="eastAsia" w:cs="宋体"/>
                <w:sz w:val="22"/>
                <w:szCs w:val="22"/>
              </w:rPr>
              <w:t>产出指标</w:t>
            </w:r>
          </w:p>
        </w:tc>
        <w:tc>
          <w:tcPr>
            <w:tcW w:w="750" w:type="dxa"/>
            <w:vAlign w:val="center"/>
          </w:tcPr>
          <w:p w14:paraId="45813E69">
            <w:pPr>
              <w:spacing w:line="360" w:lineRule="auto"/>
              <w:ind w:firstLine="0" w:firstLineChars="0"/>
              <w:rPr>
                <w:rFonts w:cs="宋体"/>
                <w:sz w:val="22"/>
                <w:szCs w:val="22"/>
              </w:rPr>
            </w:pPr>
            <w:r>
              <w:rPr>
                <w:rFonts w:hint="eastAsia" w:cs="宋体"/>
                <w:sz w:val="22"/>
                <w:szCs w:val="22"/>
              </w:rPr>
              <w:t>产出时效</w:t>
            </w:r>
          </w:p>
        </w:tc>
        <w:tc>
          <w:tcPr>
            <w:tcW w:w="2197" w:type="dxa"/>
            <w:vAlign w:val="center"/>
          </w:tcPr>
          <w:p w14:paraId="5B2208E2">
            <w:pPr>
              <w:spacing w:line="360" w:lineRule="auto"/>
              <w:ind w:firstLine="0" w:firstLineChars="0"/>
              <w:rPr>
                <w:rFonts w:cs="宋体"/>
                <w:sz w:val="22"/>
                <w:szCs w:val="22"/>
              </w:rPr>
            </w:pPr>
            <w:r>
              <w:rPr>
                <w:rFonts w:hint="eastAsia" w:cs="宋体"/>
                <w:sz w:val="22"/>
                <w:szCs w:val="22"/>
              </w:rPr>
              <w:t>项目建设周期</w:t>
            </w:r>
          </w:p>
        </w:tc>
        <w:tc>
          <w:tcPr>
            <w:tcW w:w="1133" w:type="dxa"/>
            <w:vAlign w:val="center"/>
          </w:tcPr>
          <w:p w14:paraId="4A2D3063">
            <w:pPr>
              <w:spacing w:line="360" w:lineRule="auto"/>
              <w:ind w:firstLine="0" w:firstLineChars="0"/>
              <w:rPr>
                <w:rFonts w:cs="宋体"/>
                <w:sz w:val="22"/>
                <w:szCs w:val="22"/>
              </w:rPr>
            </w:pPr>
            <w:r>
              <w:rPr>
                <w:rFonts w:hint="eastAsia" w:cs="宋体"/>
                <w:sz w:val="22"/>
                <w:szCs w:val="22"/>
              </w:rPr>
              <w:t>≤12个月</w:t>
            </w:r>
          </w:p>
        </w:tc>
        <w:tc>
          <w:tcPr>
            <w:tcW w:w="2755" w:type="dxa"/>
            <w:vAlign w:val="center"/>
          </w:tcPr>
          <w:p w14:paraId="387D963B">
            <w:pPr>
              <w:spacing w:line="360" w:lineRule="auto"/>
              <w:ind w:firstLine="0" w:firstLineChars="0"/>
              <w:rPr>
                <w:rFonts w:cs="宋体"/>
                <w:sz w:val="22"/>
                <w:szCs w:val="22"/>
              </w:rPr>
            </w:pPr>
            <w:r>
              <w:rPr>
                <w:rFonts w:hint="eastAsia" w:cs="宋体"/>
                <w:sz w:val="22"/>
                <w:szCs w:val="22"/>
              </w:rPr>
              <w:t>项目将在2026年执行，需要在年内完成，建设周期小于12个月</w:t>
            </w:r>
          </w:p>
        </w:tc>
      </w:tr>
      <w:tr w14:paraId="4E224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93" w:type="dxa"/>
            <w:vMerge w:val="continue"/>
            <w:vAlign w:val="center"/>
          </w:tcPr>
          <w:p w14:paraId="2B25A4B9">
            <w:pPr>
              <w:spacing w:line="360" w:lineRule="auto"/>
              <w:ind w:firstLine="0" w:firstLineChars="0"/>
              <w:rPr>
                <w:rFonts w:cs="宋体"/>
                <w:sz w:val="22"/>
                <w:szCs w:val="22"/>
              </w:rPr>
            </w:pPr>
            <w:r>
              <w:rPr>
                <w:rFonts w:hint="eastAsia" w:cs="宋体"/>
                <w:sz w:val="22"/>
                <w:szCs w:val="22"/>
              </w:rPr>
              <w:t>通用指标</w:t>
            </w:r>
          </w:p>
        </w:tc>
        <w:tc>
          <w:tcPr>
            <w:tcW w:w="660" w:type="dxa"/>
            <w:vMerge w:val="restart"/>
            <w:vAlign w:val="center"/>
          </w:tcPr>
          <w:p w14:paraId="005E02C4">
            <w:pPr>
              <w:spacing w:line="360" w:lineRule="auto"/>
              <w:ind w:firstLine="0" w:firstLineChars="0"/>
              <w:rPr>
                <w:rFonts w:cs="宋体"/>
                <w:sz w:val="22"/>
                <w:szCs w:val="22"/>
              </w:rPr>
            </w:pPr>
            <w:r>
              <w:rPr>
                <w:rFonts w:hint="eastAsia" w:cs="宋体"/>
                <w:sz w:val="22"/>
                <w:szCs w:val="22"/>
              </w:rPr>
              <w:t>应用系统</w:t>
            </w:r>
          </w:p>
        </w:tc>
        <w:tc>
          <w:tcPr>
            <w:tcW w:w="750" w:type="dxa"/>
            <w:vMerge w:val="restart"/>
            <w:vAlign w:val="center"/>
          </w:tcPr>
          <w:p w14:paraId="515DFA05">
            <w:pPr>
              <w:spacing w:line="360" w:lineRule="auto"/>
              <w:ind w:firstLine="0" w:firstLineChars="0"/>
              <w:rPr>
                <w:rFonts w:cs="宋体"/>
                <w:sz w:val="22"/>
                <w:szCs w:val="22"/>
              </w:rPr>
            </w:pPr>
            <w:r>
              <w:rPr>
                <w:rFonts w:hint="eastAsia" w:cs="宋体"/>
                <w:sz w:val="22"/>
                <w:szCs w:val="22"/>
              </w:rPr>
              <w:t>用户使用情况</w:t>
            </w:r>
          </w:p>
        </w:tc>
        <w:tc>
          <w:tcPr>
            <w:tcW w:w="2197" w:type="dxa"/>
            <w:vAlign w:val="center"/>
          </w:tcPr>
          <w:p w14:paraId="060FBFEC">
            <w:pPr>
              <w:spacing w:line="360" w:lineRule="auto"/>
              <w:ind w:firstLine="0" w:firstLineChars="0"/>
              <w:rPr>
                <w:rFonts w:cs="宋体"/>
                <w:sz w:val="22"/>
                <w:szCs w:val="22"/>
              </w:rPr>
            </w:pPr>
            <w:r>
              <w:rPr>
                <w:rFonts w:hint="eastAsia" w:cs="宋体"/>
                <w:sz w:val="22"/>
                <w:szCs w:val="22"/>
              </w:rPr>
              <w:t>月活跃用户量</w:t>
            </w:r>
          </w:p>
        </w:tc>
        <w:tc>
          <w:tcPr>
            <w:tcW w:w="1133" w:type="dxa"/>
            <w:vAlign w:val="center"/>
          </w:tcPr>
          <w:p w14:paraId="79444EBF">
            <w:pPr>
              <w:spacing w:line="360" w:lineRule="auto"/>
              <w:ind w:firstLine="0" w:firstLineChars="0"/>
              <w:rPr>
                <w:rFonts w:cs="宋体"/>
                <w:sz w:val="22"/>
                <w:szCs w:val="22"/>
              </w:rPr>
            </w:pPr>
            <w:r>
              <w:rPr>
                <w:rFonts w:hint="eastAsia" w:cs="宋体"/>
                <w:sz w:val="22"/>
                <w:szCs w:val="22"/>
              </w:rPr>
              <w:t>≥10000</w:t>
            </w:r>
          </w:p>
        </w:tc>
        <w:tc>
          <w:tcPr>
            <w:tcW w:w="2755" w:type="dxa"/>
            <w:vAlign w:val="center"/>
          </w:tcPr>
          <w:p w14:paraId="5D8AAC2E">
            <w:pPr>
              <w:spacing w:line="360" w:lineRule="auto"/>
              <w:ind w:firstLine="0" w:firstLineChars="0"/>
              <w:rPr>
                <w:rFonts w:cs="宋体"/>
                <w:sz w:val="22"/>
                <w:szCs w:val="22"/>
              </w:rPr>
            </w:pPr>
            <w:r>
              <w:rPr>
                <w:rFonts w:hint="eastAsia" w:cs="宋体"/>
                <w:sz w:val="22"/>
                <w:szCs w:val="22"/>
              </w:rPr>
              <w:t>按照2000多个窗口全年午休登录测算</w:t>
            </w:r>
          </w:p>
        </w:tc>
      </w:tr>
      <w:tr w14:paraId="04003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93" w:type="dxa"/>
            <w:vMerge w:val="continue"/>
            <w:vAlign w:val="center"/>
          </w:tcPr>
          <w:p w14:paraId="63FAB3B9">
            <w:pPr>
              <w:spacing w:line="360" w:lineRule="auto"/>
              <w:ind w:firstLine="0" w:firstLineChars="0"/>
              <w:rPr>
                <w:rFonts w:cs="宋体"/>
                <w:sz w:val="22"/>
                <w:szCs w:val="22"/>
              </w:rPr>
            </w:pPr>
            <w:r>
              <w:rPr>
                <w:rFonts w:hint="eastAsia" w:cs="宋体"/>
                <w:sz w:val="22"/>
                <w:szCs w:val="22"/>
              </w:rPr>
              <w:t>通用指标</w:t>
            </w:r>
          </w:p>
        </w:tc>
        <w:tc>
          <w:tcPr>
            <w:tcW w:w="660" w:type="dxa"/>
            <w:vMerge w:val="continue"/>
            <w:vAlign w:val="center"/>
          </w:tcPr>
          <w:p w14:paraId="63E73858">
            <w:pPr>
              <w:spacing w:line="360" w:lineRule="auto"/>
              <w:ind w:firstLine="0" w:firstLineChars="0"/>
              <w:rPr>
                <w:rFonts w:cs="宋体"/>
                <w:sz w:val="22"/>
                <w:szCs w:val="22"/>
              </w:rPr>
            </w:pPr>
            <w:r>
              <w:rPr>
                <w:rFonts w:hint="eastAsia" w:cs="宋体"/>
                <w:sz w:val="22"/>
                <w:szCs w:val="22"/>
              </w:rPr>
              <w:t>应用系统</w:t>
            </w:r>
          </w:p>
        </w:tc>
        <w:tc>
          <w:tcPr>
            <w:tcW w:w="750" w:type="dxa"/>
            <w:vMerge w:val="continue"/>
            <w:vAlign w:val="center"/>
          </w:tcPr>
          <w:p w14:paraId="0906C5E3">
            <w:pPr>
              <w:spacing w:line="360" w:lineRule="auto"/>
              <w:ind w:firstLine="0" w:firstLineChars="0"/>
              <w:rPr>
                <w:rFonts w:cs="宋体"/>
                <w:sz w:val="22"/>
                <w:szCs w:val="22"/>
              </w:rPr>
            </w:pPr>
            <w:r>
              <w:rPr>
                <w:rFonts w:hint="eastAsia" w:cs="宋体"/>
                <w:sz w:val="22"/>
                <w:szCs w:val="22"/>
              </w:rPr>
              <w:t>用户使用情况</w:t>
            </w:r>
          </w:p>
        </w:tc>
        <w:tc>
          <w:tcPr>
            <w:tcW w:w="2197" w:type="dxa"/>
            <w:vAlign w:val="center"/>
          </w:tcPr>
          <w:p w14:paraId="02C88585">
            <w:pPr>
              <w:spacing w:line="360" w:lineRule="auto"/>
              <w:ind w:firstLine="0" w:firstLineChars="0"/>
              <w:rPr>
                <w:rFonts w:cs="宋体"/>
                <w:sz w:val="22"/>
                <w:szCs w:val="22"/>
              </w:rPr>
            </w:pPr>
            <w:r>
              <w:rPr>
                <w:rFonts w:hint="eastAsia" w:cs="宋体"/>
                <w:sz w:val="22"/>
                <w:szCs w:val="22"/>
              </w:rPr>
              <w:t>系统用户量</w:t>
            </w:r>
          </w:p>
        </w:tc>
        <w:tc>
          <w:tcPr>
            <w:tcW w:w="1133" w:type="dxa"/>
            <w:vAlign w:val="center"/>
          </w:tcPr>
          <w:p w14:paraId="228B1532">
            <w:pPr>
              <w:spacing w:line="360" w:lineRule="auto"/>
              <w:ind w:firstLine="0" w:firstLineChars="0"/>
              <w:rPr>
                <w:rFonts w:cs="宋体"/>
                <w:sz w:val="22"/>
                <w:szCs w:val="22"/>
              </w:rPr>
            </w:pPr>
            <w:r>
              <w:rPr>
                <w:rFonts w:hint="eastAsia" w:cs="宋体"/>
                <w:sz w:val="22"/>
                <w:szCs w:val="22"/>
              </w:rPr>
              <w:t>≥8000</w:t>
            </w:r>
          </w:p>
        </w:tc>
        <w:tc>
          <w:tcPr>
            <w:tcW w:w="2755" w:type="dxa"/>
            <w:vAlign w:val="center"/>
          </w:tcPr>
          <w:p w14:paraId="54A75BBE">
            <w:pPr>
              <w:spacing w:line="360" w:lineRule="auto"/>
              <w:ind w:firstLine="0" w:firstLineChars="0"/>
              <w:rPr>
                <w:rFonts w:cs="宋体"/>
                <w:sz w:val="22"/>
                <w:szCs w:val="22"/>
              </w:rPr>
            </w:pPr>
            <w:r>
              <w:rPr>
                <w:rFonts w:hint="eastAsia" w:cs="宋体"/>
                <w:sz w:val="22"/>
                <w:szCs w:val="22"/>
              </w:rPr>
              <w:t>按照受理系统最主要的子系统——操作平台测算</w:t>
            </w:r>
          </w:p>
        </w:tc>
      </w:tr>
      <w:tr w14:paraId="5F64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3" w:type="dxa"/>
            <w:vMerge w:val="restart"/>
            <w:vAlign w:val="center"/>
          </w:tcPr>
          <w:p w14:paraId="2C9D3C40">
            <w:pPr>
              <w:spacing w:line="360" w:lineRule="auto"/>
              <w:ind w:firstLine="0" w:firstLineChars="0"/>
              <w:rPr>
                <w:rFonts w:cs="宋体"/>
                <w:sz w:val="22"/>
                <w:szCs w:val="22"/>
              </w:rPr>
            </w:pPr>
            <w:r>
              <w:rPr>
                <w:rFonts w:hint="eastAsia" w:cs="宋体"/>
                <w:sz w:val="22"/>
                <w:szCs w:val="22"/>
              </w:rPr>
              <w:t>业务指标</w:t>
            </w:r>
          </w:p>
        </w:tc>
        <w:tc>
          <w:tcPr>
            <w:tcW w:w="660" w:type="dxa"/>
            <w:vMerge w:val="restart"/>
            <w:vAlign w:val="center"/>
          </w:tcPr>
          <w:p w14:paraId="4235C141">
            <w:pPr>
              <w:spacing w:line="360" w:lineRule="auto"/>
              <w:ind w:firstLine="0" w:firstLineChars="0"/>
              <w:rPr>
                <w:rFonts w:cs="宋体"/>
                <w:sz w:val="22"/>
                <w:szCs w:val="22"/>
              </w:rPr>
            </w:pPr>
            <w:r>
              <w:rPr>
                <w:rFonts w:hint="eastAsia" w:cs="宋体"/>
                <w:sz w:val="22"/>
                <w:szCs w:val="22"/>
              </w:rPr>
              <w:t>效益指标</w:t>
            </w:r>
          </w:p>
        </w:tc>
        <w:tc>
          <w:tcPr>
            <w:tcW w:w="750" w:type="dxa"/>
            <w:vMerge w:val="restart"/>
            <w:vAlign w:val="center"/>
          </w:tcPr>
          <w:p w14:paraId="57CFDA11">
            <w:pPr>
              <w:spacing w:line="360" w:lineRule="auto"/>
              <w:ind w:firstLine="0" w:firstLineChars="0"/>
              <w:rPr>
                <w:rFonts w:cs="宋体"/>
                <w:sz w:val="22"/>
                <w:szCs w:val="22"/>
              </w:rPr>
            </w:pPr>
            <w:r>
              <w:rPr>
                <w:rFonts w:hint="eastAsia" w:cs="宋体"/>
                <w:sz w:val="22"/>
                <w:szCs w:val="22"/>
              </w:rPr>
              <w:t>社会效益</w:t>
            </w:r>
          </w:p>
        </w:tc>
        <w:tc>
          <w:tcPr>
            <w:tcW w:w="2197" w:type="dxa"/>
            <w:vAlign w:val="center"/>
          </w:tcPr>
          <w:p w14:paraId="1F3B2607">
            <w:pPr>
              <w:spacing w:line="360" w:lineRule="auto"/>
              <w:ind w:firstLine="0" w:firstLineChars="0"/>
              <w:rPr>
                <w:rFonts w:cs="宋体"/>
                <w:sz w:val="22"/>
                <w:szCs w:val="22"/>
              </w:rPr>
            </w:pPr>
            <w:r>
              <w:rPr>
                <w:rFonts w:hint="eastAsia" w:cs="宋体"/>
                <w:sz w:val="22"/>
                <w:szCs w:val="22"/>
              </w:rPr>
              <w:t>服务事项月办件量</w:t>
            </w:r>
          </w:p>
        </w:tc>
        <w:tc>
          <w:tcPr>
            <w:tcW w:w="1133" w:type="dxa"/>
            <w:vAlign w:val="center"/>
          </w:tcPr>
          <w:p w14:paraId="063BEB4C">
            <w:pPr>
              <w:spacing w:line="360" w:lineRule="auto"/>
              <w:ind w:firstLine="0" w:firstLineChars="0"/>
              <w:rPr>
                <w:rFonts w:cs="宋体"/>
                <w:sz w:val="22"/>
                <w:szCs w:val="22"/>
              </w:rPr>
            </w:pPr>
            <w:r>
              <w:rPr>
                <w:rFonts w:hint="eastAsia" w:cs="宋体"/>
                <w:sz w:val="22"/>
                <w:szCs w:val="22"/>
              </w:rPr>
              <w:t>≥600000件</w:t>
            </w:r>
          </w:p>
        </w:tc>
        <w:tc>
          <w:tcPr>
            <w:tcW w:w="2755" w:type="dxa"/>
            <w:vAlign w:val="center"/>
          </w:tcPr>
          <w:p w14:paraId="198DF09C">
            <w:pPr>
              <w:spacing w:line="360" w:lineRule="auto"/>
              <w:ind w:firstLine="0" w:firstLineChars="0"/>
              <w:rPr>
                <w:rFonts w:cs="宋体"/>
                <w:sz w:val="22"/>
                <w:szCs w:val="22"/>
              </w:rPr>
            </w:pPr>
          </w:p>
        </w:tc>
      </w:tr>
      <w:tr w14:paraId="5B7A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3" w:type="dxa"/>
            <w:vMerge w:val="continue"/>
            <w:vAlign w:val="center"/>
          </w:tcPr>
          <w:p w14:paraId="337CEB7B">
            <w:pPr>
              <w:spacing w:line="360" w:lineRule="auto"/>
              <w:ind w:firstLine="0" w:firstLineChars="0"/>
              <w:rPr>
                <w:rFonts w:cs="宋体"/>
                <w:sz w:val="22"/>
                <w:szCs w:val="22"/>
              </w:rPr>
            </w:pPr>
            <w:r>
              <w:rPr>
                <w:rFonts w:hint="eastAsia" w:cs="宋体"/>
                <w:sz w:val="22"/>
                <w:szCs w:val="22"/>
              </w:rPr>
              <w:t>业务指标</w:t>
            </w:r>
          </w:p>
        </w:tc>
        <w:tc>
          <w:tcPr>
            <w:tcW w:w="660" w:type="dxa"/>
            <w:vMerge w:val="continue"/>
            <w:vAlign w:val="center"/>
          </w:tcPr>
          <w:p w14:paraId="218FBAD1">
            <w:pPr>
              <w:spacing w:line="360" w:lineRule="auto"/>
              <w:ind w:firstLine="0" w:firstLineChars="0"/>
              <w:rPr>
                <w:rFonts w:cs="宋体"/>
                <w:sz w:val="22"/>
                <w:szCs w:val="22"/>
              </w:rPr>
            </w:pPr>
            <w:r>
              <w:rPr>
                <w:rFonts w:hint="eastAsia" w:cs="宋体"/>
                <w:sz w:val="22"/>
                <w:szCs w:val="22"/>
              </w:rPr>
              <w:t>效益指标</w:t>
            </w:r>
          </w:p>
        </w:tc>
        <w:tc>
          <w:tcPr>
            <w:tcW w:w="750" w:type="dxa"/>
            <w:vMerge w:val="continue"/>
            <w:vAlign w:val="center"/>
          </w:tcPr>
          <w:p w14:paraId="6F9DC449">
            <w:pPr>
              <w:spacing w:line="360" w:lineRule="auto"/>
              <w:ind w:firstLine="0" w:firstLineChars="0"/>
              <w:rPr>
                <w:rFonts w:cs="宋体"/>
                <w:sz w:val="22"/>
                <w:szCs w:val="22"/>
              </w:rPr>
            </w:pPr>
            <w:r>
              <w:rPr>
                <w:rFonts w:hint="eastAsia" w:cs="宋体"/>
                <w:sz w:val="22"/>
                <w:szCs w:val="22"/>
              </w:rPr>
              <w:t>社会效益</w:t>
            </w:r>
          </w:p>
        </w:tc>
        <w:tc>
          <w:tcPr>
            <w:tcW w:w="2197" w:type="dxa"/>
            <w:vAlign w:val="center"/>
          </w:tcPr>
          <w:p w14:paraId="6534D883">
            <w:pPr>
              <w:spacing w:line="360" w:lineRule="auto"/>
              <w:ind w:firstLine="0" w:firstLineChars="0"/>
              <w:rPr>
                <w:rFonts w:cs="宋体"/>
                <w:sz w:val="22"/>
                <w:szCs w:val="22"/>
              </w:rPr>
            </w:pPr>
            <w:r>
              <w:rPr>
                <w:rFonts w:hint="eastAsia" w:cs="宋体"/>
                <w:sz w:val="22"/>
                <w:szCs w:val="22"/>
              </w:rPr>
              <w:t>服务事项月全市通办月办件量</w:t>
            </w:r>
          </w:p>
        </w:tc>
        <w:tc>
          <w:tcPr>
            <w:tcW w:w="1133" w:type="dxa"/>
            <w:vAlign w:val="center"/>
          </w:tcPr>
          <w:p w14:paraId="4D31C7CD">
            <w:pPr>
              <w:spacing w:line="360" w:lineRule="auto"/>
              <w:ind w:firstLine="0" w:firstLineChars="0"/>
              <w:rPr>
                <w:rFonts w:cs="宋体"/>
                <w:sz w:val="22"/>
                <w:szCs w:val="22"/>
              </w:rPr>
            </w:pPr>
            <w:r>
              <w:rPr>
                <w:rFonts w:hint="eastAsia" w:cs="宋体"/>
                <w:sz w:val="22"/>
                <w:szCs w:val="22"/>
              </w:rPr>
              <w:t>≥100000件</w:t>
            </w:r>
          </w:p>
        </w:tc>
        <w:tc>
          <w:tcPr>
            <w:tcW w:w="2755" w:type="dxa"/>
            <w:vAlign w:val="center"/>
          </w:tcPr>
          <w:p w14:paraId="47BC1A75">
            <w:pPr>
              <w:spacing w:line="360" w:lineRule="auto"/>
              <w:ind w:firstLine="0" w:firstLineChars="0"/>
              <w:rPr>
                <w:rFonts w:cs="宋体"/>
                <w:sz w:val="22"/>
                <w:szCs w:val="22"/>
              </w:rPr>
            </w:pPr>
          </w:p>
        </w:tc>
      </w:tr>
      <w:tr w14:paraId="0E9A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693" w:type="dxa"/>
            <w:vMerge w:val="continue"/>
            <w:vAlign w:val="center"/>
          </w:tcPr>
          <w:p w14:paraId="13C9FDC1">
            <w:pPr>
              <w:spacing w:line="360" w:lineRule="auto"/>
              <w:ind w:firstLine="0" w:firstLineChars="0"/>
              <w:rPr>
                <w:rFonts w:cs="宋体"/>
                <w:sz w:val="22"/>
                <w:szCs w:val="22"/>
              </w:rPr>
            </w:pPr>
            <w:r>
              <w:rPr>
                <w:rFonts w:hint="eastAsia" w:cs="宋体"/>
                <w:sz w:val="22"/>
                <w:szCs w:val="22"/>
              </w:rPr>
              <w:t>业务指标</w:t>
            </w:r>
          </w:p>
        </w:tc>
        <w:tc>
          <w:tcPr>
            <w:tcW w:w="660" w:type="dxa"/>
            <w:vMerge w:val="continue"/>
            <w:vAlign w:val="center"/>
          </w:tcPr>
          <w:p w14:paraId="02E260FF">
            <w:pPr>
              <w:spacing w:line="360" w:lineRule="auto"/>
              <w:ind w:firstLine="0" w:firstLineChars="0"/>
              <w:rPr>
                <w:rFonts w:cs="宋体"/>
                <w:sz w:val="22"/>
                <w:szCs w:val="22"/>
              </w:rPr>
            </w:pPr>
            <w:r>
              <w:rPr>
                <w:rFonts w:hint="eastAsia" w:cs="宋体"/>
                <w:sz w:val="22"/>
                <w:szCs w:val="22"/>
              </w:rPr>
              <w:t>效益指标</w:t>
            </w:r>
          </w:p>
        </w:tc>
        <w:tc>
          <w:tcPr>
            <w:tcW w:w="750" w:type="dxa"/>
            <w:vAlign w:val="center"/>
          </w:tcPr>
          <w:p w14:paraId="1871B2F2">
            <w:pPr>
              <w:spacing w:line="360" w:lineRule="auto"/>
              <w:ind w:firstLine="0" w:firstLineChars="0"/>
              <w:rPr>
                <w:rFonts w:cs="宋体"/>
                <w:sz w:val="22"/>
                <w:szCs w:val="22"/>
              </w:rPr>
            </w:pPr>
            <w:r>
              <w:rPr>
                <w:rFonts w:hint="eastAsia" w:cs="宋体"/>
                <w:sz w:val="22"/>
                <w:szCs w:val="22"/>
              </w:rPr>
              <w:t>经济效益</w:t>
            </w:r>
          </w:p>
        </w:tc>
        <w:tc>
          <w:tcPr>
            <w:tcW w:w="2197" w:type="dxa"/>
            <w:vAlign w:val="center"/>
          </w:tcPr>
          <w:p w14:paraId="6F0E1009">
            <w:pPr>
              <w:spacing w:line="360" w:lineRule="auto"/>
              <w:ind w:firstLine="0" w:firstLineChars="0"/>
              <w:rPr>
                <w:rFonts w:cs="宋体"/>
                <w:sz w:val="22"/>
                <w:szCs w:val="22"/>
              </w:rPr>
            </w:pPr>
            <w:r>
              <w:rPr>
                <w:rFonts w:hint="eastAsia" w:cs="宋体"/>
                <w:sz w:val="22"/>
                <w:szCs w:val="22"/>
              </w:rPr>
              <w:t>远程虚拟窗口月办件量（含咨询）</w:t>
            </w:r>
          </w:p>
        </w:tc>
        <w:tc>
          <w:tcPr>
            <w:tcW w:w="1133" w:type="dxa"/>
            <w:vAlign w:val="center"/>
          </w:tcPr>
          <w:p w14:paraId="4FCC7209">
            <w:pPr>
              <w:spacing w:line="360" w:lineRule="auto"/>
              <w:ind w:firstLine="0" w:firstLineChars="0"/>
              <w:rPr>
                <w:rFonts w:cs="宋体"/>
                <w:sz w:val="22"/>
                <w:szCs w:val="22"/>
              </w:rPr>
            </w:pPr>
            <w:r>
              <w:rPr>
                <w:rFonts w:hint="eastAsia" w:cs="宋体"/>
                <w:sz w:val="22"/>
                <w:szCs w:val="22"/>
              </w:rPr>
              <w:t>≥8000件</w:t>
            </w:r>
          </w:p>
        </w:tc>
        <w:tc>
          <w:tcPr>
            <w:tcW w:w="2755" w:type="dxa"/>
            <w:vAlign w:val="center"/>
          </w:tcPr>
          <w:p w14:paraId="105A2AE3">
            <w:pPr>
              <w:spacing w:line="360" w:lineRule="auto"/>
              <w:ind w:firstLine="0" w:firstLineChars="0"/>
              <w:rPr>
                <w:rFonts w:cs="宋体"/>
                <w:sz w:val="22"/>
                <w:szCs w:val="22"/>
              </w:rPr>
            </w:pPr>
          </w:p>
        </w:tc>
      </w:tr>
      <w:tr w14:paraId="00F85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3" w:type="dxa"/>
            <w:vMerge w:val="continue"/>
            <w:vAlign w:val="center"/>
          </w:tcPr>
          <w:p w14:paraId="1D207436">
            <w:pPr>
              <w:spacing w:line="360" w:lineRule="auto"/>
              <w:ind w:firstLine="0" w:firstLineChars="0"/>
              <w:rPr>
                <w:rFonts w:cs="宋体"/>
                <w:sz w:val="22"/>
                <w:szCs w:val="22"/>
              </w:rPr>
            </w:pPr>
            <w:r>
              <w:rPr>
                <w:rFonts w:hint="eastAsia" w:cs="宋体"/>
                <w:sz w:val="22"/>
                <w:szCs w:val="22"/>
              </w:rPr>
              <w:t>业务指标</w:t>
            </w:r>
          </w:p>
        </w:tc>
        <w:tc>
          <w:tcPr>
            <w:tcW w:w="660" w:type="dxa"/>
            <w:vAlign w:val="center"/>
          </w:tcPr>
          <w:p w14:paraId="6B4541FD">
            <w:pPr>
              <w:spacing w:line="360" w:lineRule="auto"/>
              <w:ind w:firstLine="0" w:firstLineChars="0"/>
              <w:rPr>
                <w:rFonts w:cs="宋体"/>
                <w:sz w:val="22"/>
                <w:szCs w:val="22"/>
              </w:rPr>
            </w:pPr>
            <w:r>
              <w:rPr>
                <w:rFonts w:hint="eastAsia" w:cs="宋体"/>
                <w:sz w:val="22"/>
                <w:szCs w:val="22"/>
              </w:rPr>
              <w:t>产出指标</w:t>
            </w:r>
          </w:p>
        </w:tc>
        <w:tc>
          <w:tcPr>
            <w:tcW w:w="750" w:type="dxa"/>
            <w:vAlign w:val="center"/>
          </w:tcPr>
          <w:p w14:paraId="56503F89">
            <w:pPr>
              <w:spacing w:line="360" w:lineRule="auto"/>
              <w:ind w:firstLine="0" w:firstLineChars="0"/>
              <w:rPr>
                <w:rFonts w:cs="宋体"/>
                <w:sz w:val="22"/>
                <w:szCs w:val="22"/>
              </w:rPr>
            </w:pPr>
            <w:r>
              <w:rPr>
                <w:rFonts w:hint="eastAsia" w:cs="宋体"/>
                <w:sz w:val="22"/>
                <w:szCs w:val="22"/>
              </w:rPr>
              <w:t>产出数量</w:t>
            </w:r>
          </w:p>
        </w:tc>
        <w:tc>
          <w:tcPr>
            <w:tcW w:w="2197" w:type="dxa"/>
            <w:vAlign w:val="center"/>
          </w:tcPr>
          <w:p w14:paraId="408CF525">
            <w:pPr>
              <w:spacing w:line="360" w:lineRule="auto"/>
              <w:ind w:firstLine="0" w:firstLineChars="0"/>
              <w:rPr>
                <w:rFonts w:cs="宋体"/>
                <w:sz w:val="22"/>
                <w:szCs w:val="22"/>
              </w:rPr>
            </w:pPr>
            <w:r>
              <w:rPr>
                <w:rFonts w:hint="eastAsia" w:cs="宋体"/>
                <w:sz w:val="22"/>
                <w:szCs w:val="22"/>
              </w:rPr>
              <w:t>新增或优化调整事项数</w:t>
            </w:r>
          </w:p>
        </w:tc>
        <w:tc>
          <w:tcPr>
            <w:tcW w:w="1133" w:type="dxa"/>
            <w:vAlign w:val="center"/>
          </w:tcPr>
          <w:p w14:paraId="0C0EBD1D">
            <w:pPr>
              <w:spacing w:line="360" w:lineRule="auto"/>
              <w:ind w:firstLine="0" w:firstLineChars="0"/>
              <w:rPr>
                <w:rFonts w:cs="宋体"/>
                <w:sz w:val="22"/>
                <w:szCs w:val="22"/>
              </w:rPr>
            </w:pPr>
            <w:r>
              <w:rPr>
                <w:rFonts w:hint="eastAsia" w:cs="宋体"/>
                <w:sz w:val="22"/>
                <w:szCs w:val="22"/>
              </w:rPr>
              <w:t>≥20项</w:t>
            </w:r>
          </w:p>
        </w:tc>
        <w:tc>
          <w:tcPr>
            <w:tcW w:w="2755" w:type="dxa"/>
            <w:vAlign w:val="center"/>
          </w:tcPr>
          <w:p w14:paraId="03DDC663">
            <w:pPr>
              <w:spacing w:line="360" w:lineRule="auto"/>
              <w:ind w:firstLine="0" w:firstLineChars="0"/>
              <w:rPr>
                <w:rFonts w:cs="宋体"/>
                <w:sz w:val="22"/>
                <w:szCs w:val="22"/>
              </w:rPr>
            </w:pPr>
            <w:r>
              <w:rPr>
                <w:rFonts w:hint="eastAsia" w:cs="宋体"/>
                <w:sz w:val="22"/>
                <w:szCs w:val="22"/>
              </w:rPr>
              <w:t>受理系统每年需要新增或调整的事项数量</w:t>
            </w:r>
          </w:p>
        </w:tc>
      </w:tr>
    </w:tbl>
    <w:p w14:paraId="57047D90">
      <w:pPr>
        <w:spacing w:line="360" w:lineRule="auto"/>
        <w:ind w:firstLine="480"/>
      </w:pPr>
    </w:p>
    <w:p w14:paraId="13FFE9C9">
      <w:pPr>
        <w:spacing w:line="360" w:lineRule="auto"/>
        <w:ind w:firstLine="480"/>
      </w:pPr>
      <w:r>
        <w:rPr>
          <w:rFonts w:hint="eastAsia"/>
        </w:rPr>
        <w:t>（二）技术指标</w:t>
      </w:r>
    </w:p>
    <w:tbl>
      <w:tblPr>
        <w:tblStyle w:val="40"/>
        <w:tblW w:w="8188" w:type="dxa"/>
        <w:jc w:val="center"/>
        <w:tblLayout w:type="fixed"/>
        <w:tblCellMar>
          <w:top w:w="0" w:type="dxa"/>
          <w:left w:w="108" w:type="dxa"/>
          <w:bottom w:w="0" w:type="dxa"/>
          <w:right w:w="108" w:type="dxa"/>
        </w:tblCellMar>
      </w:tblPr>
      <w:tblGrid>
        <w:gridCol w:w="693"/>
        <w:gridCol w:w="660"/>
        <w:gridCol w:w="750"/>
        <w:gridCol w:w="2197"/>
        <w:gridCol w:w="1133"/>
        <w:gridCol w:w="2755"/>
      </w:tblGrid>
      <w:tr w14:paraId="32640CEB">
        <w:tblPrEx>
          <w:tblCellMar>
            <w:top w:w="0" w:type="dxa"/>
            <w:left w:w="108" w:type="dxa"/>
            <w:bottom w:w="0" w:type="dxa"/>
            <w:right w:w="108" w:type="dxa"/>
          </w:tblCellMar>
        </w:tblPrEx>
        <w:trPr>
          <w:cantSplit/>
          <w:trHeight w:val="248" w:hRule="atLeast"/>
          <w:tblHeader/>
          <w:jc w:val="center"/>
        </w:trPr>
        <w:tc>
          <w:tcPr>
            <w:tcW w:w="693" w:type="dxa"/>
            <w:tcBorders>
              <w:top w:val="single" w:color="000000" w:sz="4" w:space="0"/>
              <w:left w:val="single" w:color="000000" w:sz="4" w:space="0"/>
              <w:bottom w:val="single" w:color="auto" w:sz="4" w:space="0"/>
              <w:right w:val="single" w:color="auto" w:sz="4" w:space="0"/>
            </w:tcBorders>
            <w:vAlign w:val="center"/>
          </w:tcPr>
          <w:p w14:paraId="458EA79E">
            <w:pPr>
              <w:spacing w:line="360" w:lineRule="auto"/>
              <w:ind w:firstLine="0" w:firstLineChars="0"/>
              <w:rPr>
                <w:rFonts w:cs="宋体"/>
                <w:sz w:val="22"/>
                <w:szCs w:val="22"/>
              </w:rPr>
            </w:pPr>
            <w:r>
              <w:rPr>
                <w:rFonts w:hint="eastAsia" w:cs="宋体"/>
                <w:sz w:val="22"/>
                <w:szCs w:val="22"/>
              </w:rPr>
              <w:t>一级指标</w:t>
            </w:r>
          </w:p>
        </w:tc>
        <w:tc>
          <w:tcPr>
            <w:tcW w:w="660" w:type="dxa"/>
            <w:tcBorders>
              <w:top w:val="single" w:color="000000" w:sz="4" w:space="0"/>
              <w:left w:val="single" w:color="auto" w:sz="4" w:space="0"/>
              <w:bottom w:val="single" w:color="auto" w:sz="4" w:space="0"/>
              <w:right w:val="single" w:color="000000" w:sz="4" w:space="0"/>
            </w:tcBorders>
            <w:vAlign w:val="center"/>
          </w:tcPr>
          <w:p w14:paraId="5CBEE58B">
            <w:pPr>
              <w:spacing w:line="360" w:lineRule="auto"/>
              <w:ind w:firstLine="0" w:firstLineChars="0"/>
              <w:rPr>
                <w:rFonts w:cs="宋体"/>
                <w:sz w:val="22"/>
                <w:szCs w:val="22"/>
              </w:rPr>
            </w:pPr>
            <w:r>
              <w:rPr>
                <w:rFonts w:hint="eastAsia" w:cs="宋体"/>
                <w:sz w:val="22"/>
                <w:szCs w:val="22"/>
              </w:rPr>
              <w:t>二级指标</w:t>
            </w:r>
          </w:p>
        </w:tc>
        <w:tc>
          <w:tcPr>
            <w:tcW w:w="750" w:type="dxa"/>
            <w:tcBorders>
              <w:top w:val="single" w:color="000000" w:sz="4" w:space="0"/>
              <w:left w:val="single" w:color="000000" w:sz="4" w:space="0"/>
              <w:bottom w:val="single" w:color="000000" w:sz="4" w:space="0"/>
              <w:right w:val="single" w:color="000000" w:sz="4" w:space="0"/>
            </w:tcBorders>
            <w:vAlign w:val="center"/>
          </w:tcPr>
          <w:p w14:paraId="383ED5DD">
            <w:pPr>
              <w:spacing w:line="360" w:lineRule="auto"/>
              <w:ind w:firstLine="0" w:firstLineChars="0"/>
              <w:rPr>
                <w:rFonts w:cs="宋体"/>
                <w:sz w:val="22"/>
                <w:szCs w:val="22"/>
              </w:rPr>
            </w:pPr>
            <w:r>
              <w:rPr>
                <w:rFonts w:hint="eastAsia" w:cs="宋体"/>
                <w:sz w:val="22"/>
                <w:szCs w:val="22"/>
              </w:rPr>
              <w:t>三级指标</w:t>
            </w:r>
          </w:p>
        </w:tc>
        <w:tc>
          <w:tcPr>
            <w:tcW w:w="2197" w:type="dxa"/>
            <w:tcBorders>
              <w:top w:val="single" w:color="000000" w:sz="4" w:space="0"/>
              <w:left w:val="single" w:color="000000" w:sz="4" w:space="0"/>
              <w:bottom w:val="single" w:color="000000" w:sz="4" w:space="0"/>
              <w:right w:val="single" w:color="000000" w:sz="4" w:space="0"/>
            </w:tcBorders>
            <w:vAlign w:val="center"/>
          </w:tcPr>
          <w:p w14:paraId="4677DC5E">
            <w:pPr>
              <w:spacing w:line="360" w:lineRule="auto"/>
              <w:ind w:firstLine="0" w:firstLineChars="0"/>
              <w:rPr>
                <w:rFonts w:cs="宋体"/>
                <w:sz w:val="22"/>
                <w:szCs w:val="22"/>
              </w:rPr>
            </w:pPr>
            <w:r>
              <w:rPr>
                <w:rFonts w:hint="eastAsia" w:cs="宋体"/>
                <w:sz w:val="22"/>
                <w:szCs w:val="22"/>
              </w:rPr>
              <w:t>四级指标</w:t>
            </w:r>
          </w:p>
        </w:tc>
        <w:tc>
          <w:tcPr>
            <w:tcW w:w="1133" w:type="dxa"/>
            <w:tcBorders>
              <w:top w:val="single" w:color="000000" w:sz="4" w:space="0"/>
              <w:left w:val="single" w:color="000000" w:sz="4" w:space="0"/>
              <w:bottom w:val="single" w:color="000000" w:sz="4" w:space="0"/>
              <w:right w:val="single" w:color="000000" w:sz="4" w:space="0"/>
            </w:tcBorders>
            <w:vAlign w:val="center"/>
          </w:tcPr>
          <w:p w14:paraId="02C4BA40">
            <w:pPr>
              <w:spacing w:line="360" w:lineRule="auto"/>
              <w:ind w:firstLine="0" w:firstLineChars="0"/>
              <w:rPr>
                <w:rFonts w:cs="宋体"/>
                <w:sz w:val="22"/>
                <w:szCs w:val="22"/>
              </w:rPr>
            </w:pPr>
            <w:r>
              <w:rPr>
                <w:rFonts w:hint="eastAsia" w:cs="宋体"/>
                <w:sz w:val="22"/>
                <w:szCs w:val="22"/>
              </w:rPr>
              <w:t>目标值</w:t>
            </w:r>
          </w:p>
        </w:tc>
        <w:tc>
          <w:tcPr>
            <w:tcW w:w="2755" w:type="dxa"/>
            <w:tcBorders>
              <w:top w:val="single" w:color="000000" w:sz="4" w:space="0"/>
              <w:left w:val="single" w:color="000000" w:sz="4" w:space="0"/>
              <w:bottom w:val="single" w:color="000000" w:sz="4" w:space="0"/>
              <w:right w:val="single" w:color="000000" w:sz="4" w:space="0"/>
            </w:tcBorders>
            <w:vAlign w:val="center"/>
          </w:tcPr>
          <w:p w14:paraId="0D93AE30">
            <w:pPr>
              <w:spacing w:line="360" w:lineRule="auto"/>
              <w:ind w:firstLine="0" w:firstLineChars="0"/>
              <w:rPr>
                <w:rFonts w:cs="宋体"/>
                <w:sz w:val="22"/>
                <w:szCs w:val="22"/>
              </w:rPr>
            </w:pPr>
            <w:r>
              <w:rPr>
                <w:rFonts w:hint="eastAsia" w:cs="宋体"/>
                <w:sz w:val="22"/>
                <w:szCs w:val="22"/>
              </w:rPr>
              <w:t>备注</w:t>
            </w:r>
          </w:p>
        </w:tc>
      </w:tr>
      <w:tr w14:paraId="0E03C6D1">
        <w:tblPrEx>
          <w:tblCellMar>
            <w:top w:w="0" w:type="dxa"/>
            <w:left w:w="108" w:type="dxa"/>
            <w:bottom w:w="0" w:type="dxa"/>
            <w:right w:w="108" w:type="dxa"/>
          </w:tblCellMar>
        </w:tblPrEx>
        <w:trPr>
          <w:trHeight w:val="235" w:hRule="atLeast"/>
          <w:jc w:val="center"/>
        </w:trPr>
        <w:tc>
          <w:tcPr>
            <w:tcW w:w="693" w:type="dxa"/>
            <w:vMerge w:val="restart"/>
            <w:tcBorders>
              <w:top w:val="single" w:color="auto" w:sz="4" w:space="0"/>
              <w:left w:val="single" w:color="000000" w:sz="4" w:space="0"/>
              <w:right w:val="single" w:color="auto" w:sz="4" w:space="0"/>
            </w:tcBorders>
            <w:vAlign w:val="center"/>
          </w:tcPr>
          <w:p w14:paraId="44B17EA6">
            <w:pPr>
              <w:spacing w:line="360" w:lineRule="auto"/>
              <w:ind w:firstLine="0" w:firstLineChars="0"/>
              <w:rPr>
                <w:rFonts w:cs="宋体"/>
                <w:sz w:val="22"/>
                <w:szCs w:val="22"/>
              </w:rPr>
            </w:pPr>
            <w:r>
              <w:rPr>
                <w:rFonts w:hint="eastAsia" w:cs="宋体"/>
                <w:sz w:val="22"/>
                <w:szCs w:val="22"/>
              </w:rPr>
              <w:t>通用指标</w:t>
            </w:r>
          </w:p>
        </w:tc>
        <w:tc>
          <w:tcPr>
            <w:tcW w:w="660" w:type="dxa"/>
            <w:vMerge w:val="restart"/>
            <w:tcBorders>
              <w:top w:val="single" w:color="000000" w:sz="4" w:space="0"/>
              <w:left w:val="single" w:color="auto" w:sz="4" w:space="0"/>
              <w:right w:val="single" w:color="000000" w:sz="4" w:space="0"/>
            </w:tcBorders>
            <w:vAlign w:val="center"/>
          </w:tcPr>
          <w:p w14:paraId="29D05EC2">
            <w:pPr>
              <w:spacing w:line="360" w:lineRule="auto"/>
              <w:ind w:firstLine="0" w:firstLineChars="0"/>
              <w:rPr>
                <w:rFonts w:cs="宋体"/>
                <w:sz w:val="22"/>
                <w:szCs w:val="22"/>
              </w:rPr>
            </w:pPr>
            <w:r>
              <w:rPr>
                <w:rFonts w:hint="eastAsia" w:cs="宋体"/>
                <w:sz w:val="22"/>
                <w:szCs w:val="22"/>
              </w:rPr>
              <w:t>产出指标</w:t>
            </w:r>
          </w:p>
        </w:tc>
        <w:tc>
          <w:tcPr>
            <w:tcW w:w="750" w:type="dxa"/>
            <w:tcBorders>
              <w:top w:val="single" w:color="000000" w:sz="4" w:space="0"/>
              <w:left w:val="single" w:color="000000" w:sz="4" w:space="0"/>
              <w:right w:val="single" w:color="000000" w:sz="4" w:space="0"/>
            </w:tcBorders>
            <w:vAlign w:val="center"/>
          </w:tcPr>
          <w:p w14:paraId="0B8D3F4D">
            <w:pPr>
              <w:spacing w:line="360" w:lineRule="auto"/>
              <w:ind w:firstLine="0" w:firstLineChars="0"/>
              <w:rPr>
                <w:rFonts w:cs="宋体"/>
                <w:sz w:val="22"/>
                <w:szCs w:val="22"/>
              </w:rPr>
            </w:pPr>
            <w:r>
              <w:rPr>
                <w:rFonts w:hint="eastAsia" w:cs="宋体"/>
                <w:sz w:val="22"/>
                <w:szCs w:val="22"/>
              </w:rPr>
              <w:t>产出数量</w:t>
            </w:r>
          </w:p>
        </w:tc>
        <w:tc>
          <w:tcPr>
            <w:tcW w:w="2197" w:type="dxa"/>
            <w:tcBorders>
              <w:top w:val="single" w:color="000000" w:sz="4" w:space="0"/>
              <w:left w:val="single" w:color="000000" w:sz="4" w:space="0"/>
              <w:bottom w:val="single" w:color="000000" w:sz="4" w:space="0"/>
              <w:right w:val="single" w:color="000000" w:sz="4" w:space="0"/>
            </w:tcBorders>
            <w:vAlign w:val="center"/>
          </w:tcPr>
          <w:p w14:paraId="68459165">
            <w:pPr>
              <w:spacing w:line="360" w:lineRule="auto"/>
              <w:ind w:firstLine="0" w:firstLineChars="0"/>
              <w:rPr>
                <w:rFonts w:cs="宋体"/>
                <w:sz w:val="22"/>
                <w:szCs w:val="22"/>
              </w:rPr>
            </w:pPr>
            <w:r>
              <w:rPr>
                <w:rFonts w:hint="eastAsia" w:cs="宋体"/>
                <w:sz w:val="22"/>
                <w:szCs w:val="22"/>
              </w:rPr>
              <w:t>软件开发完成率</w:t>
            </w:r>
          </w:p>
        </w:tc>
        <w:tc>
          <w:tcPr>
            <w:tcW w:w="1133" w:type="dxa"/>
            <w:tcBorders>
              <w:top w:val="single" w:color="000000" w:sz="4" w:space="0"/>
              <w:left w:val="single" w:color="000000" w:sz="4" w:space="0"/>
              <w:bottom w:val="single" w:color="000000" w:sz="4" w:space="0"/>
              <w:right w:val="single" w:color="000000" w:sz="4" w:space="0"/>
            </w:tcBorders>
            <w:vAlign w:val="center"/>
          </w:tcPr>
          <w:p w14:paraId="0FD5BADF">
            <w:pPr>
              <w:spacing w:line="360" w:lineRule="auto"/>
              <w:ind w:firstLine="0" w:firstLineChars="0"/>
              <w:rPr>
                <w:rFonts w:cs="宋体"/>
                <w:sz w:val="22"/>
                <w:szCs w:val="22"/>
              </w:rPr>
            </w:pPr>
            <w:r>
              <w:rPr>
                <w:rFonts w:hint="eastAsia" w:cs="宋体"/>
                <w:sz w:val="22"/>
                <w:szCs w:val="22"/>
              </w:rPr>
              <w:t>=100</w:t>
            </w:r>
          </w:p>
        </w:tc>
        <w:tc>
          <w:tcPr>
            <w:tcW w:w="2755" w:type="dxa"/>
            <w:tcBorders>
              <w:top w:val="single" w:color="000000" w:sz="4" w:space="0"/>
              <w:left w:val="single" w:color="000000" w:sz="4" w:space="0"/>
              <w:bottom w:val="single" w:color="000000" w:sz="4" w:space="0"/>
              <w:right w:val="single" w:color="000000" w:sz="4" w:space="0"/>
            </w:tcBorders>
            <w:vAlign w:val="center"/>
          </w:tcPr>
          <w:p w14:paraId="30EB3004">
            <w:pPr>
              <w:spacing w:line="360" w:lineRule="auto"/>
              <w:ind w:firstLine="0" w:firstLineChars="0"/>
              <w:rPr>
                <w:rFonts w:cs="宋体"/>
                <w:sz w:val="22"/>
                <w:szCs w:val="22"/>
              </w:rPr>
            </w:pPr>
            <w:r>
              <w:rPr>
                <w:rFonts w:hint="eastAsia" w:cs="宋体"/>
                <w:sz w:val="22"/>
                <w:szCs w:val="22"/>
              </w:rPr>
              <w:t>按时按质完成项目要求的所有开发工作</w:t>
            </w:r>
          </w:p>
        </w:tc>
      </w:tr>
      <w:tr w14:paraId="07680C30">
        <w:tblPrEx>
          <w:tblCellMar>
            <w:top w:w="0" w:type="dxa"/>
            <w:left w:w="108" w:type="dxa"/>
            <w:bottom w:w="0" w:type="dxa"/>
            <w:right w:w="108" w:type="dxa"/>
          </w:tblCellMar>
        </w:tblPrEx>
        <w:trPr>
          <w:trHeight w:val="90" w:hRule="atLeast"/>
          <w:jc w:val="center"/>
        </w:trPr>
        <w:tc>
          <w:tcPr>
            <w:tcW w:w="693" w:type="dxa"/>
            <w:vMerge w:val="continue"/>
            <w:tcBorders>
              <w:left w:val="single" w:color="000000" w:sz="4" w:space="0"/>
              <w:bottom w:val="single" w:color="auto" w:sz="4" w:space="0"/>
              <w:right w:val="single" w:color="auto" w:sz="4" w:space="0"/>
            </w:tcBorders>
            <w:vAlign w:val="center"/>
          </w:tcPr>
          <w:p w14:paraId="2BAE71D1">
            <w:pPr>
              <w:spacing w:line="360" w:lineRule="auto"/>
              <w:ind w:firstLine="0" w:firstLineChars="0"/>
              <w:rPr>
                <w:rFonts w:cs="宋体"/>
                <w:sz w:val="22"/>
                <w:szCs w:val="22"/>
              </w:rPr>
            </w:pPr>
            <w:r>
              <w:rPr>
                <w:rFonts w:hint="eastAsia" w:cs="宋体"/>
                <w:sz w:val="22"/>
                <w:szCs w:val="22"/>
              </w:rPr>
              <w:t>通用指标</w:t>
            </w:r>
          </w:p>
        </w:tc>
        <w:tc>
          <w:tcPr>
            <w:tcW w:w="660" w:type="dxa"/>
            <w:vMerge w:val="continue"/>
            <w:tcBorders>
              <w:top w:val="single" w:color="000000" w:sz="4" w:space="0"/>
              <w:left w:val="single" w:color="auto" w:sz="4" w:space="0"/>
              <w:right w:val="single" w:color="000000" w:sz="4" w:space="0"/>
            </w:tcBorders>
            <w:vAlign w:val="center"/>
          </w:tcPr>
          <w:p w14:paraId="6DE85297">
            <w:pPr>
              <w:spacing w:line="360" w:lineRule="auto"/>
              <w:ind w:firstLine="0" w:firstLineChars="0"/>
              <w:rPr>
                <w:rFonts w:cs="宋体"/>
                <w:sz w:val="22"/>
                <w:szCs w:val="22"/>
              </w:rPr>
            </w:pPr>
            <w:r>
              <w:rPr>
                <w:rFonts w:hint="eastAsia" w:cs="宋体"/>
                <w:sz w:val="22"/>
                <w:szCs w:val="22"/>
              </w:rPr>
              <w:t>产出指标</w:t>
            </w:r>
          </w:p>
        </w:tc>
        <w:tc>
          <w:tcPr>
            <w:tcW w:w="750" w:type="dxa"/>
            <w:vMerge w:val="restart"/>
            <w:tcBorders>
              <w:top w:val="single" w:color="000000" w:sz="4" w:space="0"/>
              <w:left w:val="single" w:color="000000" w:sz="4" w:space="0"/>
              <w:right w:val="single" w:color="000000" w:sz="4" w:space="0"/>
            </w:tcBorders>
            <w:vAlign w:val="center"/>
          </w:tcPr>
          <w:p w14:paraId="2EDACD72">
            <w:pPr>
              <w:spacing w:line="360" w:lineRule="auto"/>
              <w:ind w:firstLine="0" w:firstLineChars="0"/>
              <w:rPr>
                <w:rFonts w:cs="宋体"/>
                <w:sz w:val="22"/>
                <w:szCs w:val="22"/>
              </w:rPr>
            </w:pPr>
            <w:r>
              <w:rPr>
                <w:rFonts w:hint="eastAsia" w:cs="宋体"/>
                <w:sz w:val="22"/>
                <w:szCs w:val="22"/>
              </w:rPr>
              <w:t>产出质量</w:t>
            </w:r>
          </w:p>
        </w:tc>
        <w:tc>
          <w:tcPr>
            <w:tcW w:w="2197" w:type="dxa"/>
            <w:tcBorders>
              <w:top w:val="single" w:color="000000" w:sz="4" w:space="0"/>
              <w:left w:val="single" w:color="000000" w:sz="4" w:space="0"/>
              <w:bottom w:val="single" w:color="000000" w:sz="4" w:space="0"/>
              <w:right w:val="single" w:color="000000" w:sz="4" w:space="0"/>
            </w:tcBorders>
            <w:vAlign w:val="center"/>
          </w:tcPr>
          <w:p w14:paraId="1C7DB392">
            <w:pPr>
              <w:spacing w:line="360" w:lineRule="auto"/>
              <w:ind w:firstLine="0" w:firstLineChars="0"/>
              <w:rPr>
                <w:rFonts w:cs="宋体"/>
                <w:sz w:val="22"/>
                <w:szCs w:val="22"/>
              </w:rPr>
            </w:pPr>
            <w:r>
              <w:rPr>
                <w:rFonts w:hint="eastAsia" w:cs="宋体"/>
                <w:sz w:val="22"/>
                <w:szCs w:val="22"/>
              </w:rPr>
              <w:t>安全事件发生次数</w:t>
            </w:r>
          </w:p>
        </w:tc>
        <w:tc>
          <w:tcPr>
            <w:tcW w:w="1133" w:type="dxa"/>
            <w:tcBorders>
              <w:top w:val="single" w:color="000000" w:sz="4" w:space="0"/>
              <w:left w:val="single" w:color="000000" w:sz="4" w:space="0"/>
              <w:bottom w:val="single" w:color="000000" w:sz="4" w:space="0"/>
              <w:right w:val="single" w:color="000000" w:sz="4" w:space="0"/>
            </w:tcBorders>
            <w:vAlign w:val="center"/>
          </w:tcPr>
          <w:p w14:paraId="7ED905C9">
            <w:pPr>
              <w:spacing w:line="360" w:lineRule="auto"/>
              <w:ind w:firstLine="0" w:firstLineChars="0"/>
              <w:rPr>
                <w:rFonts w:cs="宋体"/>
                <w:sz w:val="22"/>
                <w:szCs w:val="22"/>
              </w:rPr>
            </w:pPr>
            <w:r>
              <w:rPr>
                <w:rFonts w:hint="eastAsia" w:cs="宋体"/>
                <w:sz w:val="22"/>
                <w:szCs w:val="22"/>
              </w:rPr>
              <w:t>0</w:t>
            </w:r>
          </w:p>
        </w:tc>
        <w:tc>
          <w:tcPr>
            <w:tcW w:w="2755" w:type="dxa"/>
            <w:tcBorders>
              <w:top w:val="single" w:color="000000" w:sz="4" w:space="0"/>
              <w:left w:val="single" w:color="000000" w:sz="4" w:space="0"/>
              <w:bottom w:val="single" w:color="000000" w:sz="4" w:space="0"/>
              <w:right w:val="single" w:color="000000" w:sz="4" w:space="0"/>
            </w:tcBorders>
            <w:vAlign w:val="center"/>
          </w:tcPr>
          <w:p w14:paraId="24C28E93">
            <w:pPr>
              <w:spacing w:line="360" w:lineRule="auto"/>
              <w:ind w:firstLine="0" w:firstLineChars="0"/>
              <w:rPr>
                <w:rFonts w:cs="宋体"/>
                <w:sz w:val="22"/>
                <w:szCs w:val="22"/>
              </w:rPr>
            </w:pPr>
            <w:r>
              <w:rPr>
                <w:rFonts w:hint="eastAsia" w:cs="宋体"/>
                <w:sz w:val="22"/>
                <w:szCs w:val="22"/>
              </w:rPr>
              <w:t>做好安全防护工作，不发生重大的安全事件</w:t>
            </w:r>
          </w:p>
        </w:tc>
      </w:tr>
      <w:tr w14:paraId="677D4C24">
        <w:tblPrEx>
          <w:tblCellMar>
            <w:top w:w="0" w:type="dxa"/>
            <w:left w:w="108" w:type="dxa"/>
            <w:bottom w:w="0" w:type="dxa"/>
            <w:right w:w="108" w:type="dxa"/>
          </w:tblCellMar>
        </w:tblPrEx>
        <w:trPr>
          <w:trHeight w:val="869" w:hRule="atLeast"/>
          <w:jc w:val="center"/>
        </w:trPr>
        <w:tc>
          <w:tcPr>
            <w:tcW w:w="693" w:type="dxa"/>
            <w:vMerge w:val="continue"/>
            <w:tcBorders>
              <w:left w:val="single" w:color="000000" w:sz="4" w:space="0"/>
              <w:bottom w:val="single" w:color="auto" w:sz="4" w:space="0"/>
              <w:right w:val="single" w:color="auto" w:sz="4" w:space="0"/>
            </w:tcBorders>
            <w:vAlign w:val="center"/>
          </w:tcPr>
          <w:p w14:paraId="085F441D">
            <w:pPr>
              <w:spacing w:line="360" w:lineRule="auto"/>
              <w:ind w:firstLine="0" w:firstLineChars="0"/>
              <w:rPr>
                <w:rFonts w:cs="宋体"/>
                <w:sz w:val="22"/>
                <w:szCs w:val="22"/>
              </w:rPr>
            </w:pPr>
            <w:r>
              <w:rPr>
                <w:rFonts w:hint="eastAsia" w:cs="宋体"/>
                <w:sz w:val="22"/>
                <w:szCs w:val="22"/>
              </w:rPr>
              <w:t>通用指标</w:t>
            </w:r>
          </w:p>
        </w:tc>
        <w:tc>
          <w:tcPr>
            <w:tcW w:w="660" w:type="dxa"/>
            <w:vMerge w:val="continue"/>
            <w:tcBorders>
              <w:top w:val="single" w:color="000000" w:sz="4" w:space="0"/>
              <w:left w:val="single" w:color="auto" w:sz="4" w:space="0"/>
              <w:right w:val="single" w:color="000000" w:sz="4" w:space="0"/>
            </w:tcBorders>
            <w:vAlign w:val="center"/>
          </w:tcPr>
          <w:p w14:paraId="3F889FCB">
            <w:pPr>
              <w:spacing w:line="360" w:lineRule="auto"/>
              <w:ind w:firstLine="0" w:firstLineChars="0"/>
              <w:rPr>
                <w:rFonts w:cs="宋体"/>
                <w:sz w:val="22"/>
                <w:szCs w:val="22"/>
              </w:rPr>
            </w:pPr>
            <w:r>
              <w:rPr>
                <w:rFonts w:hint="eastAsia" w:cs="宋体"/>
                <w:sz w:val="22"/>
                <w:szCs w:val="22"/>
              </w:rPr>
              <w:t>产出指标</w:t>
            </w:r>
          </w:p>
        </w:tc>
        <w:tc>
          <w:tcPr>
            <w:tcW w:w="750" w:type="dxa"/>
            <w:vMerge w:val="continue"/>
            <w:tcBorders>
              <w:top w:val="single" w:color="000000" w:sz="4" w:space="0"/>
              <w:left w:val="single" w:color="000000" w:sz="4" w:space="0"/>
              <w:right w:val="single" w:color="000000" w:sz="4" w:space="0"/>
            </w:tcBorders>
            <w:vAlign w:val="center"/>
          </w:tcPr>
          <w:p w14:paraId="6F4D9EAB">
            <w:pPr>
              <w:spacing w:line="360" w:lineRule="auto"/>
              <w:ind w:firstLine="0" w:firstLineChars="0"/>
              <w:rPr>
                <w:rFonts w:cs="宋体"/>
                <w:sz w:val="22"/>
                <w:szCs w:val="22"/>
              </w:rPr>
            </w:pPr>
            <w:r>
              <w:rPr>
                <w:rFonts w:hint="eastAsia" w:cs="宋体"/>
                <w:sz w:val="22"/>
                <w:szCs w:val="22"/>
              </w:rPr>
              <w:t>产出质量</w:t>
            </w:r>
          </w:p>
        </w:tc>
        <w:tc>
          <w:tcPr>
            <w:tcW w:w="2197" w:type="dxa"/>
            <w:tcBorders>
              <w:top w:val="single" w:color="000000" w:sz="4" w:space="0"/>
              <w:left w:val="single" w:color="000000" w:sz="4" w:space="0"/>
              <w:bottom w:val="single" w:color="000000" w:sz="4" w:space="0"/>
              <w:right w:val="single" w:color="000000" w:sz="4" w:space="0"/>
            </w:tcBorders>
            <w:vAlign w:val="center"/>
          </w:tcPr>
          <w:p w14:paraId="3924310A">
            <w:pPr>
              <w:spacing w:line="360" w:lineRule="auto"/>
              <w:ind w:firstLine="0" w:firstLineChars="0"/>
              <w:rPr>
                <w:rFonts w:cs="宋体"/>
                <w:sz w:val="22"/>
                <w:szCs w:val="22"/>
              </w:rPr>
            </w:pPr>
            <w:r>
              <w:rPr>
                <w:rFonts w:hint="eastAsia" w:cs="宋体"/>
                <w:sz w:val="22"/>
                <w:szCs w:val="22"/>
              </w:rPr>
              <w:t>系统可靠性</w:t>
            </w:r>
          </w:p>
        </w:tc>
        <w:tc>
          <w:tcPr>
            <w:tcW w:w="1133" w:type="dxa"/>
            <w:tcBorders>
              <w:top w:val="single" w:color="000000" w:sz="4" w:space="0"/>
              <w:left w:val="single" w:color="000000" w:sz="4" w:space="0"/>
              <w:bottom w:val="single" w:color="000000" w:sz="4" w:space="0"/>
              <w:right w:val="single" w:color="000000" w:sz="4" w:space="0"/>
            </w:tcBorders>
            <w:vAlign w:val="center"/>
          </w:tcPr>
          <w:p w14:paraId="00B69113">
            <w:pPr>
              <w:spacing w:line="360" w:lineRule="auto"/>
              <w:ind w:firstLine="0" w:firstLineChars="0"/>
              <w:rPr>
                <w:rFonts w:cs="宋体"/>
                <w:sz w:val="22"/>
                <w:szCs w:val="22"/>
              </w:rPr>
            </w:pPr>
            <w:r>
              <w:rPr>
                <w:rFonts w:hint="eastAsia" w:cs="宋体"/>
                <w:sz w:val="22"/>
                <w:szCs w:val="22"/>
              </w:rPr>
              <w:t>≥99.99</w:t>
            </w:r>
          </w:p>
        </w:tc>
        <w:tc>
          <w:tcPr>
            <w:tcW w:w="2755" w:type="dxa"/>
            <w:tcBorders>
              <w:top w:val="single" w:color="000000" w:sz="4" w:space="0"/>
              <w:left w:val="single" w:color="000000" w:sz="4" w:space="0"/>
              <w:bottom w:val="single" w:color="000000" w:sz="4" w:space="0"/>
              <w:right w:val="single" w:color="000000" w:sz="4" w:space="0"/>
            </w:tcBorders>
            <w:vAlign w:val="center"/>
          </w:tcPr>
          <w:p w14:paraId="052C4130">
            <w:pPr>
              <w:spacing w:line="360" w:lineRule="auto"/>
              <w:ind w:firstLine="0" w:firstLineChars="0"/>
              <w:rPr>
                <w:rFonts w:cs="宋体"/>
                <w:sz w:val="22"/>
                <w:szCs w:val="22"/>
              </w:rPr>
            </w:pPr>
            <w:r>
              <w:rPr>
                <w:rFonts w:hint="eastAsia" w:cs="宋体"/>
                <w:sz w:val="22"/>
                <w:szCs w:val="22"/>
              </w:rPr>
              <w:t>考察设备系统不间断运行情况。指标值=测试期设备系统连续运行时间/测试期时间*100%</w:t>
            </w:r>
          </w:p>
        </w:tc>
      </w:tr>
      <w:tr w14:paraId="53642A42">
        <w:tblPrEx>
          <w:tblCellMar>
            <w:top w:w="0" w:type="dxa"/>
            <w:left w:w="108" w:type="dxa"/>
            <w:bottom w:w="0" w:type="dxa"/>
            <w:right w:w="108" w:type="dxa"/>
          </w:tblCellMar>
        </w:tblPrEx>
        <w:trPr>
          <w:trHeight w:val="90" w:hRule="atLeast"/>
          <w:jc w:val="center"/>
        </w:trPr>
        <w:tc>
          <w:tcPr>
            <w:tcW w:w="693" w:type="dxa"/>
            <w:vMerge w:val="continue"/>
            <w:tcBorders>
              <w:left w:val="single" w:color="000000" w:sz="4" w:space="0"/>
              <w:bottom w:val="single" w:color="auto" w:sz="4" w:space="0"/>
              <w:right w:val="single" w:color="auto" w:sz="4" w:space="0"/>
            </w:tcBorders>
            <w:vAlign w:val="center"/>
          </w:tcPr>
          <w:p w14:paraId="2ADAD05E">
            <w:pPr>
              <w:spacing w:line="360" w:lineRule="auto"/>
              <w:ind w:firstLine="0" w:firstLineChars="0"/>
              <w:rPr>
                <w:rFonts w:cs="宋体"/>
                <w:sz w:val="22"/>
                <w:szCs w:val="22"/>
              </w:rPr>
            </w:pPr>
            <w:r>
              <w:rPr>
                <w:rFonts w:hint="eastAsia" w:cs="宋体"/>
                <w:sz w:val="22"/>
                <w:szCs w:val="22"/>
              </w:rPr>
              <w:t>通用指标</w:t>
            </w:r>
          </w:p>
        </w:tc>
        <w:tc>
          <w:tcPr>
            <w:tcW w:w="660" w:type="dxa"/>
            <w:vMerge w:val="continue"/>
            <w:tcBorders>
              <w:top w:val="single" w:color="000000" w:sz="4" w:space="0"/>
              <w:left w:val="single" w:color="auto" w:sz="4" w:space="0"/>
              <w:right w:val="single" w:color="000000" w:sz="4" w:space="0"/>
            </w:tcBorders>
            <w:vAlign w:val="center"/>
          </w:tcPr>
          <w:p w14:paraId="72B333A3">
            <w:pPr>
              <w:spacing w:line="360" w:lineRule="auto"/>
              <w:ind w:firstLine="0" w:firstLineChars="0"/>
              <w:rPr>
                <w:rFonts w:cs="宋体"/>
                <w:sz w:val="22"/>
                <w:szCs w:val="22"/>
              </w:rPr>
            </w:pPr>
            <w:r>
              <w:rPr>
                <w:rFonts w:hint="eastAsia" w:cs="宋体"/>
                <w:sz w:val="22"/>
                <w:szCs w:val="22"/>
              </w:rPr>
              <w:t>产出指标</w:t>
            </w:r>
          </w:p>
        </w:tc>
        <w:tc>
          <w:tcPr>
            <w:tcW w:w="750" w:type="dxa"/>
            <w:vMerge w:val="continue"/>
            <w:tcBorders>
              <w:top w:val="single" w:color="000000" w:sz="4" w:space="0"/>
              <w:left w:val="single" w:color="000000" w:sz="4" w:space="0"/>
              <w:right w:val="single" w:color="000000" w:sz="4" w:space="0"/>
            </w:tcBorders>
            <w:vAlign w:val="center"/>
          </w:tcPr>
          <w:p w14:paraId="13F936BB">
            <w:pPr>
              <w:spacing w:line="360" w:lineRule="auto"/>
              <w:ind w:firstLine="0" w:firstLineChars="0"/>
              <w:rPr>
                <w:rFonts w:cs="宋体"/>
                <w:sz w:val="22"/>
                <w:szCs w:val="22"/>
              </w:rPr>
            </w:pPr>
            <w:r>
              <w:rPr>
                <w:rFonts w:hint="eastAsia" w:cs="宋体"/>
                <w:sz w:val="22"/>
                <w:szCs w:val="22"/>
              </w:rPr>
              <w:t>产出质量</w:t>
            </w:r>
          </w:p>
        </w:tc>
        <w:tc>
          <w:tcPr>
            <w:tcW w:w="2197" w:type="dxa"/>
            <w:tcBorders>
              <w:top w:val="single" w:color="000000" w:sz="4" w:space="0"/>
              <w:left w:val="single" w:color="000000" w:sz="4" w:space="0"/>
              <w:bottom w:val="single" w:color="000000" w:sz="4" w:space="0"/>
              <w:right w:val="single" w:color="000000" w:sz="4" w:space="0"/>
            </w:tcBorders>
            <w:vAlign w:val="center"/>
          </w:tcPr>
          <w:p w14:paraId="6DF07412">
            <w:pPr>
              <w:spacing w:line="360" w:lineRule="auto"/>
              <w:ind w:firstLine="0" w:firstLineChars="0"/>
              <w:rPr>
                <w:rFonts w:cs="宋体"/>
                <w:sz w:val="22"/>
                <w:szCs w:val="22"/>
              </w:rPr>
            </w:pPr>
            <w:r>
              <w:rPr>
                <w:rFonts w:hint="eastAsia" w:cs="宋体"/>
                <w:sz w:val="22"/>
                <w:szCs w:val="22"/>
              </w:rPr>
              <w:t>密码测试达标</w:t>
            </w:r>
          </w:p>
        </w:tc>
        <w:tc>
          <w:tcPr>
            <w:tcW w:w="1133" w:type="dxa"/>
            <w:tcBorders>
              <w:top w:val="single" w:color="000000" w:sz="4" w:space="0"/>
              <w:left w:val="single" w:color="000000" w:sz="4" w:space="0"/>
              <w:bottom w:val="single" w:color="000000" w:sz="4" w:space="0"/>
              <w:right w:val="single" w:color="000000" w:sz="4" w:space="0"/>
            </w:tcBorders>
            <w:vAlign w:val="center"/>
          </w:tcPr>
          <w:p w14:paraId="49189F03">
            <w:pPr>
              <w:spacing w:line="360" w:lineRule="auto"/>
              <w:ind w:firstLine="0" w:firstLineChars="0"/>
              <w:rPr>
                <w:rFonts w:cs="宋体"/>
                <w:sz w:val="22"/>
                <w:szCs w:val="22"/>
              </w:rPr>
            </w:pPr>
            <w:r>
              <w:rPr>
                <w:rFonts w:hint="eastAsia" w:cs="宋体"/>
                <w:sz w:val="22"/>
                <w:szCs w:val="22"/>
              </w:rPr>
              <w:t>通过</w:t>
            </w:r>
          </w:p>
        </w:tc>
        <w:tc>
          <w:tcPr>
            <w:tcW w:w="2755" w:type="dxa"/>
            <w:tcBorders>
              <w:top w:val="single" w:color="000000" w:sz="4" w:space="0"/>
              <w:left w:val="single" w:color="000000" w:sz="4" w:space="0"/>
              <w:bottom w:val="single" w:color="000000" w:sz="4" w:space="0"/>
              <w:right w:val="single" w:color="000000" w:sz="4" w:space="0"/>
            </w:tcBorders>
            <w:vAlign w:val="center"/>
          </w:tcPr>
          <w:p w14:paraId="31CDB79B">
            <w:pPr>
              <w:spacing w:line="360" w:lineRule="auto"/>
              <w:ind w:firstLine="0" w:firstLineChars="0"/>
              <w:rPr>
                <w:rFonts w:cs="宋体"/>
                <w:sz w:val="22"/>
                <w:szCs w:val="22"/>
              </w:rPr>
            </w:pPr>
            <w:r>
              <w:rPr>
                <w:rFonts w:hint="eastAsia" w:cs="宋体"/>
                <w:sz w:val="22"/>
                <w:szCs w:val="22"/>
              </w:rPr>
              <w:t>完成密码改造，通过密码应用测试</w:t>
            </w:r>
          </w:p>
        </w:tc>
      </w:tr>
      <w:tr w14:paraId="2C5AC216">
        <w:tblPrEx>
          <w:tblCellMar>
            <w:top w:w="0" w:type="dxa"/>
            <w:left w:w="108" w:type="dxa"/>
            <w:bottom w:w="0" w:type="dxa"/>
            <w:right w:w="108" w:type="dxa"/>
          </w:tblCellMar>
        </w:tblPrEx>
        <w:trPr>
          <w:trHeight w:val="522" w:hRule="atLeast"/>
          <w:jc w:val="center"/>
        </w:trPr>
        <w:tc>
          <w:tcPr>
            <w:tcW w:w="693" w:type="dxa"/>
            <w:vMerge w:val="continue"/>
            <w:tcBorders>
              <w:left w:val="single" w:color="000000" w:sz="4" w:space="0"/>
              <w:bottom w:val="single" w:color="auto" w:sz="4" w:space="0"/>
              <w:right w:val="single" w:color="auto" w:sz="4" w:space="0"/>
            </w:tcBorders>
            <w:vAlign w:val="center"/>
          </w:tcPr>
          <w:p w14:paraId="0E19DB8C">
            <w:pPr>
              <w:spacing w:line="360" w:lineRule="auto"/>
              <w:ind w:firstLine="0" w:firstLineChars="0"/>
              <w:rPr>
                <w:rFonts w:cs="宋体"/>
                <w:sz w:val="22"/>
                <w:szCs w:val="22"/>
              </w:rPr>
            </w:pPr>
            <w:r>
              <w:rPr>
                <w:rFonts w:hint="eastAsia" w:cs="宋体"/>
                <w:sz w:val="22"/>
                <w:szCs w:val="22"/>
              </w:rPr>
              <w:t>通用指标</w:t>
            </w:r>
          </w:p>
        </w:tc>
        <w:tc>
          <w:tcPr>
            <w:tcW w:w="660" w:type="dxa"/>
            <w:vMerge w:val="continue"/>
            <w:tcBorders>
              <w:top w:val="single" w:color="000000" w:sz="4" w:space="0"/>
              <w:left w:val="single" w:color="auto" w:sz="4" w:space="0"/>
              <w:right w:val="single" w:color="000000" w:sz="4" w:space="0"/>
            </w:tcBorders>
            <w:vAlign w:val="center"/>
          </w:tcPr>
          <w:p w14:paraId="016C8C3F">
            <w:pPr>
              <w:spacing w:line="360" w:lineRule="auto"/>
              <w:ind w:firstLine="0" w:firstLineChars="0"/>
              <w:rPr>
                <w:rFonts w:cs="宋体"/>
                <w:sz w:val="22"/>
                <w:szCs w:val="22"/>
              </w:rPr>
            </w:pPr>
            <w:r>
              <w:rPr>
                <w:rFonts w:hint="eastAsia" w:cs="宋体"/>
                <w:sz w:val="22"/>
                <w:szCs w:val="22"/>
              </w:rPr>
              <w:t>产出指标</w:t>
            </w:r>
          </w:p>
        </w:tc>
        <w:tc>
          <w:tcPr>
            <w:tcW w:w="750" w:type="dxa"/>
            <w:vMerge w:val="continue"/>
            <w:tcBorders>
              <w:top w:val="single" w:color="000000" w:sz="4" w:space="0"/>
              <w:left w:val="single" w:color="000000" w:sz="4" w:space="0"/>
              <w:right w:val="single" w:color="000000" w:sz="4" w:space="0"/>
            </w:tcBorders>
            <w:vAlign w:val="center"/>
          </w:tcPr>
          <w:p w14:paraId="79C8ED0B">
            <w:pPr>
              <w:spacing w:line="360" w:lineRule="auto"/>
              <w:ind w:firstLine="0" w:firstLineChars="0"/>
              <w:rPr>
                <w:rFonts w:cs="宋体"/>
                <w:sz w:val="22"/>
                <w:szCs w:val="22"/>
              </w:rPr>
            </w:pPr>
            <w:r>
              <w:rPr>
                <w:rFonts w:hint="eastAsia" w:cs="宋体"/>
                <w:sz w:val="22"/>
                <w:szCs w:val="22"/>
              </w:rPr>
              <w:t>产出质量</w:t>
            </w:r>
          </w:p>
        </w:tc>
        <w:tc>
          <w:tcPr>
            <w:tcW w:w="2197" w:type="dxa"/>
            <w:tcBorders>
              <w:top w:val="single" w:color="000000" w:sz="4" w:space="0"/>
              <w:left w:val="single" w:color="000000" w:sz="4" w:space="0"/>
              <w:bottom w:val="single" w:color="000000" w:sz="4" w:space="0"/>
              <w:right w:val="single" w:color="000000" w:sz="4" w:space="0"/>
            </w:tcBorders>
            <w:vAlign w:val="center"/>
          </w:tcPr>
          <w:p w14:paraId="578FB4FE">
            <w:pPr>
              <w:spacing w:line="360" w:lineRule="auto"/>
              <w:ind w:firstLine="0" w:firstLineChars="0"/>
              <w:rPr>
                <w:rFonts w:cs="宋体"/>
                <w:sz w:val="22"/>
                <w:szCs w:val="22"/>
              </w:rPr>
            </w:pPr>
            <w:r>
              <w:rPr>
                <w:rFonts w:hint="eastAsia" w:cs="宋体"/>
                <w:sz w:val="22"/>
                <w:szCs w:val="22"/>
              </w:rPr>
              <w:t>软件测试达标</w:t>
            </w:r>
          </w:p>
        </w:tc>
        <w:tc>
          <w:tcPr>
            <w:tcW w:w="1133" w:type="dxa"/>
            <w:tcBorders>
              <w:top w:val="single" w:color="000000" w:sz="4" w:space="0"/>
              <w:left w:val="single" w:color="000000" w:sz="4" w:space="0"/>
              <w:bottom w:val="single" w:color="000000" w:sz="4" w:space="0"/>
              <w:right w:val="single" w:color="000000" w:sz="4" w:space="0"/>
            </w:tcBorders>
            <w:vAlign w:val="center"/>
          </w:tcPr>
          <w:p w14:paraId="5321C006">
            <w:pPr>
              <w:spacing w:line="360" w:lineRule="auto"/>
              <w:ind w:firstLine="0" w:firstLineChars="0"/>
              <w:rPr>
                <w:rFonts w:cs="宋体"/>
                <w:sz w:val="22"/>
                <w:szCs w:val="22"/>
              </w:rPr>
            </w:pPr>
            <w:r>
              <w:rPr>
                <w:rFonts w:hint="eastAsia" w:cs="宋体"/>
                <w:sz w:val="22"/>
                <w:szCs w:val="22"/>
              </w:rPr>
              <w:t>通过</w:t>
            </w:r>
          </w:p>
        </w:tc>
        <w:tc>
          <w:tcPr>
            <w:tcW w:w="2755" w:type="dxa"/>
            <w:tcBorders>
              <w:top w:val="single" w:color="000000" w:sz="4" w:space="0"/>
              <w:left w:val="single" w:color="000000" w:sz="4" w:space="0"/>
              <w:bottom w:val="single" w:color="000000" w:sz="4" w:space="0"/>
              <w:right w:val="single" w:color="000000" w:sz="4" w:space="0"/>
            </w:tcBorders>
            <w:vAlign w:val="center"/>
          </w:tcPr>
          <w:p w14:paraId="4AD9A3F8">
            <w:pPr>
              <w:spacing w:line="360" w:lineRule="auto"/>
              <w:ind w:firstLine="0" w:firstLineChars="0"/>
              <w:rPr>
                <w:rFonts w:cs="宋体"/>
                <w:sz w:val="22"/>
                <w:szCs w:val="22"/>
              </w:rPr>
            </w:pPr>
            <w:r>
              <w:rPr>
                <w:rFonts w:hint="eastAsia" w:cs="宋体"/>
                <w:sz w:val="22"/>
                <w:szCs w:val="22"/>
              </w:rPr>
              <w:t>完成所有应用系统开发任务，通过第三方软件测试</w:t>
            </w:r>
          </w:p>
        </w:tc>
      </w:tr>
      <w:tr w14:paraId="3759C43B">
        <w:tblPrEx>
          <w:tblCellMar>
            <w:top w:w="0" w:type="dxa"/>
            <w:left w:w="108" w:type="dxa"/>
            <w:bottom w:w="0" w:type="dxa"/>
            <w:right w:w="108" w:type="dxa"/>
          </w:tblCellMar>
        </w:tblPrEx>
        <w:trPr>
          <w:trHeight w:val="90" w:hRule="atLeast"/>
          <w:jc w:val="center"/>
        </w:trPr>
        <w:tc>
          <w:tcPr>
            <w:tcW w:w="693" w:type="dxa"/>
            <w:vMerge w:val="continue"/>
            <w:tcBorders>
              <w:left w:val="single" w:color="000000" w:sz="4" w:space="0"/>
              <w:bottom w:val="single" w:color="auto" w:sz="4" w:space="0"/>
              <w:right w:val="single" w:color="auto" w:sz="4" w:space="0"/>
            </w:tcBorders>
            <w:vAlign w:val="center"/>
          </w:tcPr>
          <w:p w14:paraId="0C2CF4E8">
            <w:pPr>
              <w:spacing w:line="360" w:lineRule="auto"/>
              <w:ind w:firstLine="0" w:firstLineChars="0"/>
              <w:rPr>
                <w:rFonts w:cs="宋体"/>
                <w:sz w:val="22"/>
                <w:szCs w:val="22"/>
              </w:rPr>
            </w:pPr>
            <w:r>
              <w:rPr>
                <w:rFonts w:hint="eastAsia" w:cs="宋体"/>
                <w:sz w:val="22"/>
                <w:szCs w:val="22"/>
              </w:rPr>
              <w:t>通用指标</w:t>
            </w:r>
          </w:p>
        </w:tc>
        <w:tc>
          <w:tcPr>
            <w:tcW w:w="660" w:type="dxa"/>
            <w:vMerge w:val="continue"/>
            <w:tcBorders>
              <w:top w:val="single" w:color="000000" w:sz="4" w:space="0"/>
              <w:left w:val="single" w:color="auto" w:sz="4" w:space="0"/>
              <w:right w:val="single" w:color="000000" w:sz="4" w:space="0"/>
            </w:tcBorders>
            <w:vAlign w:val="center"/>
          </w:tcPr>
          <w:p w14:paraId="7DD4444D">
            <w:pPr>
              <w:spacing w:line="360" w:lineRule="auto"/>
              <w:ind w:firstLine="0" w:firstLineChars="0"/>
              <w:rPr>
                <w:rFonts w:cs="宋体"/>
                <w:sz w:val="22"/>
                <w:szCs w:val="22"/>
              </w:rPr>
            </w:pPr>
            <w:r>
              <w:rPr>
                <w:rFonts w:hint="eastAsia" w:cs="宋体"/>
                <w:sz w:val="22"/>
                <w:szCs w:val="22"/>
              </w:rPr>
              <w:t>产出指标</w:t>
            </w:r>
          </w:p>
        </w:tc>
        <w:tc>
          <w:tcPr>
            <w:tcW w:w="750" w:type="dxa"/>
            <w:vMerge w:val="continue"/>
            <w:tcBorders>
              <w:top w:val="single" w:color="000000" w:sz="4" w:space="0"/>
              <w:left w:val="single" w:color="000000" w:sz="4" w:space="0"/>
              <w:right w:val="single" w:color="000000" w:sz="4" w:space="0"/>
            </w:tcBorders>
            <w:vAlign w:val="center"/>
          </w:tcPr>
          <w:p w14:paraId="3098D95E">
            <w:pPr>
              <w:spacing w:line="360" w:lineRule="auto"/>
              <w:ind w:firstLine="0" w:firstLineChars="0"/>
              <w:rPr>
                <w:rFonts w:cs="宋体"/>
                <w:sz w:val="22"/>
                <w:szCs w:val="22"/>
              </w:rPr>
            </w:pPr>
            <w:r>
              <w:rPr>
                <w:rFonts w:hint="eastAsia" w:cs="宋体"/>
                <w:sz w:val="22"/>
                <w:szCs w:val="22"/>
              </w:rPr>
              <w:t>产出质量</w:t>
            </w:r>
          </w:p>
        </w:tc>
        <w:tc>
          <w:tcPr>
            <w:tcW w:w="2197" w:type="dxa"/>
            <w:tcBorders>
              <w:top w:val="single" w:color="000000" w:sz="4" w:space="0"/>
              <w:left w:val="single" w:color="000000" w:sz="4" w:space="0"/>
              <w:bottom w:val="single" w:color="000000" w:sz="4" w:space="0"/>
              <w:right w:val="single" w:color="000000" w:sz="4" w:space="0"/>
            </w:tcBorders>
            <w:vAlign w:val="center"/>
          </w:tcPr>
          <w:p w14:paraId="553DCF4B">
            <w:pPr>
              <w:spacing w:line="360" w:lineRule="auto"/>
              <w:ind w:firstLine="0" w:firstLineChars="0"/>
              <w:rPr>
                <w:rFonts w:cs="宋体"/>
                <w:sz w:val="22"/>
                <w:szCs w:val="22"/>
              </w:rPr>
            </w:pPr>
            <w:r>
              <w:rPr>
                <w:rFonts w:hint="eastAsia" w:cs="宋体"/>
                <w:sz w:val="22"/>
                <w:szCs w:val="22"/>
              </w:rPr>
              <w:t>安全测试达标</w:t>
            </w:r>
          </w:p>
        </w:tc>
        <w:tc>
          <w:tcPr>
            <w:tcW w:w="1133" w:type="dxa"/>
            <w:tcBorders>
              <w:top w:val="single" w:color="000000" w:sz="4" w:space="0"/>
              <w:left w:val="single" w:color="000000" w:sz="4" w:space="0"/>
              <w:bottom w:val="single" w:color="000000" w:sz="4" w:space="0"/>
              <w:right w:val="single" w:color="000000" w:sz="4" w:space="0"/>
            </w:tcBorders>
            <w:vAlign w:val="center"/>
          </w:tcPr>
          <w:p w14:paraId="49088454">
            <w:pPr>
              <w:spacing w:line="360" w:lineRule="auto"/>
              <w:ind w:firstLine="0" w:firstLineChars="0"/>
              <w:rPr>
                <w:rFonts w:cs="宋体"/>
                <w:sz w:val="22"/>
                <w:szCs w:val="22"/>
              </w:rPr>
            </w:pPr>
            <w:r>
              <w:rPr>
                <w:rFonts w:hint="eastAsia" w:cs="宋体"/>
                <w:sz w:val="22"/>
                <w:szCs w:val="22"/>
              </w:rPr>
              <w:t>通过</w:t>
            </w:r>
          </w:p>
        </w:tc>
        <w:tc>
          <w:tcPr>
            <w:tcW w:w="2755" w:type="dxa"/>
            <w:tcBorders>
              <w:top w:val="single" w:color="000000" w:sz="4" w:space="0"/>
              <w:left w:val="single" w:color="000000" w:sz="4" w:space="0"/>
              <w:bottom w:val="single" w:color="000000" w:sz="4" w:space="0"/>
              <w:right w:val="single" w:color="000000" w:sz="4" w:space="0"/>
            </w:tcBorders>
            <w:vAlign w:val="center"/>
          </w:tcPr>
          <w:p w14:paraId="3CF014A7">
            <w:pPr>
              <w:spacing w:line="360" w:lineRule="auto"/>
              <w:ind w:firstLine="0" w:firstLineChars="0"/>
              <w:rPr>
                <w:rFonts w:cs="宋体"/>
                <w:sz w:val="22"/>
                <w:szCs w:val="22"/>
              </w:rPr>
            </w:pPr>
            <w:r>
              <w:rPr>
                <w:rFonts w:hint="eastAsia" w:cs="宋体"/>
                <w:sz w:val="22"/>
                <w:szCs w:val="22"/>
              </w:rPr>
              <w:t>做好安全防护，通过第三方安全测试</w:t>
            </w:r>
          </w:p>
        </w:tc>
      </w:tr>
      <w:tr w14:paraId="2C69C078">
        <w:tblPrEx>
          <w:tblCellMar>
            <w:top w:w="0" w:type="dxa"/>
            <w:left w:w="108" w:type="dxa"/>
            <w:bottom w:w="0" w:type="dxa"/>
            <w:right w:w="108" w:type="dxa"/>
          </w:tblCellMar>
        </w:tblPrEx>
        <w:trPr>
          <w:trHeight w:val="409" w:hRule="atLeast"/>
          <w:jc w:val="center"/>
        </w:trPr>
        <w:tc>
          <w:tcPr>
            <w:tcW w:w="693" w:type="dxa"/>
            <w:vMerge w:val="continue"/>
            <w:tcBorders>
              <w:left w:val="single" w:color="000000" w:sz="4" w:space="0"/>
              <w:bottom w:val="single" w:color="auto" w:sz="4" w:space="0"/>
              <w:right w:val="single" w:color="auto" w:sz="4" w:space="0"/>
            </w:tcBorders>
            <w:vAlign w:val="center"/>
          </w:tcPr>
          <w:p w14:paraId="4ACD47C4">
            <w:pPr>
              <w:spacing w:line="360" w:lineRule="auto"/>
              <w:ind w:firstLine="0" w:firstLineChars="0"/>
              <w:rPr>
                <w:rFonts w:cs="宋体"/>
                <w:sz w:val="22"/>
                <w:szCs w:val="22"/>
              </w:rPr>
            </w:pPr>
            <w:r>
              <w:rPr>
                <w:rFonts w:hint="eastAsia" w:cs="宋体"/>
                <w:sz w:val="22"/>
                <w:szCs w:val="22"/>
              </w:rPr>
              <w:t>通用指标</w:t>
            </w:r>
          </w:p>
        </w:tc>
        <w:tc>
          <w:tcPr>
            <w:tcW w:w="660" w:type="dxa"/>
            <w:vMerge w:val="restart"/>
            <w:tcBorders>
              <w:top w:val="single" w:color="000000" w:sz="4" w:space="0"/>
              <w:left w:val="single" w:color="auto" w:sz="4" w:space="0"/>
              <w:right w:val="single" w:color="000000" w:sz="4" w:space="0"/>
            </w:tcBorders>
            <w:vAlign w:val="center"/>
          </w:tcPr>
          <w:p w14:paraId="6E801695">
            <w:pPr>
              <w:spacing w:line="360" w:lineRule="auto"/>
              <w:ind w:firstLine="0" w:firstLineChars="0"/>
              <w:rPr>
                <w:rFonts w:cs="宋体"/>
                <w:sz w:val="22"/>
                <w:szCs w:val="22"/>
              </w:rPr>
            </w:pPr>
            <w:r>
              <w:rPr>
                <w:rFonts w:hint="eastAsia" w:cs="宋体"/>
                <w:sz w:val="22"/>
                <w:szCs w:val="22"/>
              </w:rPr>
              <w:t>支撑系统/数据库/中间件</w:t>
            </w:r>
          </w:p>
        </w:tc>
        <w:tc>
          <w:tcPr>
            <w:tcW w:w="750" w:type="dxa"/>
            <w:vMerge w:val="restart"/>
            <w:tcBorders>
              <w:top w:val="single" w:color="000000" w:sz="4" w:space="0"/>
              <w:left w:val="single" w:color="000000" w:sz="4" w:space="0"/>
              <w:right w:val="single" w:color="000000" w:sz="4" w:space="0"/>
            </w:tcBorders>
            <w:vAlign w:val="center"/>
          </w:tcPr>
          <w:p w14:paraId="5866BFAF">
            <w:pPr>
              <w:spacing w:line="360" w:lineRule="auto"/>
              <w:ind w:firstLine="0" w:firstLineChars="0"/>
              <w:rPr>
                <w:rFonts w:cs="宋体"/>
                <w:sz w:val="22"/>
                <w:szCs w:val="22"/>
              </w:rPr>
            </w:pPr>
            <w:r>
              <w:rPr>
                <w:rFonts w:hint="eastAsia" w:cs="宋体"/>
                <w:sz w:val="22"/>
                <w:szCs w:val="22"/>
              </w:rPr>
              <w:t>操作系统或数据库或中间件水平</w:t>
            </w:r>
          </w:p>
        </w:tc>
        <w:tc>
          <w:tcPr>
            <w:tcW w:w="2197" w:type="dxa"/>
            <w:tcBorders>
              <w:top w:val="single" w:color="000000" w:sz="4" w:space="0"/>
              <w:left w:val="single" w:color="000000" w:sz="4" w:space="0"/>
              <w:bottom w:val="single" w:color="000000" w:sz="4" w:space="0"/>
              <w:right w:val="single" w:color="000000" w:sz="4" w:space="0"/>
            </w:tcBorders>
            <w:vAlign w:val="center"/>
          </w:tcPr>
          <w:p w14:paraId="4E9F93E9">
            <w:pPr>
              <w:spacing w:line="360" w:lineRule="auto"/>
              <w:ind w:firstLine="0" w:firstLineChars="0"/>
              <w:rPr>
                <w:rFonts w:cs="宋体"/>
                <w:sz w:val="22"/>
                <w:szCs w:val="22"/>
              </w:rPr>
            </w:pPr>
            <w:r>
              <w:rPr>
                <w:rFonts w:hint="eastAsia" w:cs="宋体"/>
                <w:sz w:val="22"/>
                <w:szCs w:val="22"/>
              </w:rPr>
              <w:t>系统、数据库或中间件月调用频率</w:t>
            </w:r>
          </w:p>
        </w:tc>
        <w:tc>
          <w:tcPr>
            <w:tcW w:w="1133" w:type="dxa"/>
            <w:tcBorders>
              <w:top w:val="single" w:color="000000" w:sz="4" w:space="0"/>
              <w:left w:val="single" w:color="000000" w:sz="4" w:space="0"/>
              <w:bottom w:val="single" w:color="000000" w:sz="4" w:space="0"/>
              <w:right w:val="single" w:color="000000" w:sz="4" w:space="0"/>
            </w:tcBorders>
            <w:vAlign w:val="center"/>
          </w:tcPr>
          <w:p w14:paraId="738C3688">
            <w:pPr>
              <w:spacing w:line="360" w:lineRule="auto"/>
              <w:ind w:firstLine="0" w:firstLineChars="0"/>
              <w:rPr>
                <w:rFonts w:cs="宋体"/>
                <w:sz w:val="22"/>
                <w:szCs w:val="22"/>
              </w:rPr>
            </w:pPr>
            <w:r>
              <w:rPr>
                <w:rFonts w:hint="eastAsia" w:cs="宋体"/>
                <w:sz w:val="22"/>
                <w:szCs w:val="22"/>
              </w:rPr>
              <w:t>≥8000000</w:t>
            </w:r>
          </w:p>
        </w:tc>
        <w:tc>
          <w:tcPr>
            <w:tcW w:w="2755" w:type="dxa"/>
            <w:tcBorders>
              <w:top w:val="single" w:color="000000" w:sz="4" w:space="0"/>
              <w:left w:val="single" w:color="000000" w:sz="4" w:space="0"/>
              <w:bottom w:val="single" w:color="000000" w:sz="4" w:space="0"/>
              <w:right w:val="single" w:color="000000" w:sz="4" w:space="0"/>
            </w:tcBorders>
            <w:vAlign w:val="center"/>
          </w:tcPr>
          <w:p w14:paraId="127F6B3D">
            <w:pPr>
              <w:spacing w:line="360" w:lineRule="auto"/>
              <w:ind w:firstLine="0" w:firstLineChars="0"/>
              <w:rPr>
                <w:rFonts w:cs="宋体"/>
                <w:sz w:val="22"/>
                <w:szCs w:val="22"/>
              </w:rPr>
            </w:pPr>
            <w:r>
              <w:rPr>
                <w:rFonts w:hint="eastAsia" w:cs="宋体"/>
                <w:sz w:val="22"/>
                <w:szCs w:val="22"/>
              </w:rPr>
              <w:t>包括系统访问、接口调用、数据库调用的总次数</w:t>
            </w:r>
          </w:p>
        </w:tc>
      </w:tr>
      <w:tr w14:paraId="04F3A716">
        <w:tblPrEx>
          <w:tblCellMar>
            <w:top w:w="0" w:type="dxa"/>
            <w:left w:w="108" w:type="dxa"/>
            <w:bottom w:w="0" w:type="dxa"/>
            <w:right w:w="108" w:type="dxa"/>
          </w:tblCellMar>
        </w:tblPrEx>
        <w:trPr>
          <w:trHeight w:val="1973" w:hRule="atLeast"/>
          <w:jc w:val="center"/>
        </w:trPr>
        <w:tc>
          <w:tcPr>
            <w:tcW w:w="693" w:type="dxa"/>
            <w:vMerge w:val="continue"/>
            <w:tcBorders>
              <w:left w:val="single" w:color="000000" w:sz="4" w:space="0"/>
              <w:bottom w:val="single" w:color="auto" w:sz="4" w:space="0"/>
              <w:right w:val="single" w:color="auto" w:sz="4" w:space="0"/>
            </w:tcBorders>
            <w:vAlign w:val="center"/>
          </w:tcPr>
          <w:p w14:paraId="14E7BB0F">
            <w:pPr>
              <w:spacing w:line="360" w:lineRule="auto"/>
              <w:ind w:firstLine="0" w:firstLineChars="0"/>
              <w:rPr>
                <w:rFonts w:cs="宋体"/>
                <w:sz w:val="22"/>
                <w:szCs w:val="22"/>
              </w:rPr>
            </w:pPr>
            <w:r>
              <w:rPr>
                <w:rFonts w:hint="eastAsia" w:cs="宋体"/>
                <w:sz w:val="22"/>
                <w:szCs w:val="22"/>
              </w:rPr>
              <w:t>通用指标</w:t>
            </w:r>
          </w:p>
        </w:tc>
        <w:tc>
          <w:tcPr>
            <w:tcW w:w="660" w:type="dxa"/>
            <w:vMerge w:val="continue"/>
            <w:tcBorders>
              <w:left w:val="single" w:color="auto" w:sz="4" w:space="0"/>
              <w:bottom w:val="single" w:color="000000" w:sz="4" w:space="0"/>
              <w:right w:val="single" w:color="000000" w:sz="4" w:space="0"/>
            </w:tcBorders>
            <w:vAlign w:val="center"/>
          </w:tcPr>
          <w:p w14:paraId="6E421532">
            <w:pPr>
              <w:spacing w:line="360" w:lineRule="auto"/>
              <w:ind w:firstLine="0" w:firstLineChars="0"/>
              <w:rPr>
                <w:rFonts w:cs="宋体"/>
                <w:sz w:val="22"/>
                <w:szCs w:val="22"/>
              </w:rPr>
            </w:pPr>
            <w:r>
              <w:rPr>
                <w:rFonts w:hint="eastAsia" w:cs="宋体"/>
                <w:sz w:val="22"/>
                <w:szCs w:val="22"/>
              </w:rPr>
              <w:t>支撑系统/数据库/中间件</w:t>
            </w:r>
          </w:p>
        </w:tc>
        <w:tc>
          <w:tcPr>
            <w:tcW w:w="750" w:type="dxa"/>
            <w:vMerge w:val="continue"/>
            <w:tcBorders>
              <w:left w:val="single" w:color="000000" w:sz="4" w:space="0"/>
              <w:bottom w:val="single" w:color="000000" w:sz="4" w:space="0"/>
              <w:right w:val="single" w:color="000000" w:sz="4" w:space="0"/>
            </w:tcBorders>
            <w:vAlign w:val="center"/>
          </w:tcPr>
          <w:p w14:paraId="4DEAB169">
            <w:pPr>
              <w:spacing w:line="360" w:lineRule="auto"/>
              <w:ind w:firstLine="0" w:firstLineChars="0"/>
              <w:rPr>
                <w:rFonts w:cs="宋体"/>
                <w:sz w:val="22"/>
                <w:szCs w:val="22"/>
              </w:rPr>
            </w:pPr>
            <w:r>
              <w:rPr>
                <w:rFonts w:hint="eastAsia" w:cs="宋体"/>
                <w:sz w:val="22"/>
                <w:szCs w:val="22"/>
              </w:rPr>
              <w:t>操作系统或数据库或中间件水平</w:t>
            </w:r>
          </w:p>
        </w:tc>
        <w:tc>
          <w:tcPr>
            <w:tcW w:w="2197" w:type="dxa"/>
            <w:tcBorders>
              <w:top w:val="single" w:color="000000" w:sz="4" w:space="0"/>
              <w:left w:val="single" w:color="000000" w:sz="4" w:space="0"/>
              <w:bottom w:val="single" w:color="000000" w:sz="4" w:space="0"/>
              <w:right w:val="single" w:color="000000" w:sz="4" w:space="0"/>
            </w:tcBorders>
            <w:vAlign w:val="center"/>
          </w:tcPr>
          <w:p w14:paraId="17231151">
            <w:pPr>
              <w:spacing w:line="360" w:lineRule="auto"/>
              <w:ind w:firstLine="0" w:firstLineChars="0"/>
              <w:rPr>
                <w:rFonts w:cs="宋体"/>
                <w:sz w:val="22"/>
                <w:szCs w:val="22"/>
              </w:rPr>
            </w:pPr>
            <w:r>
              <w:rPr>
                <w:rFonts w:hint="eastAsia" w:cs="宋体"/>
                <w:sz w:val="22"/>
                <w:szCs w:val="22"/>
              </w:rPr>
              <w:t>系统、数据库或中间件数量</w:t>
            </w:r>
          </w:p>
        </w:tc>
        <w:tc>
          <w:tcPr>
            <w:tcW w:w="1133" w:type="dxa"/>
            <w:tcBorders>
              <w:top w:val="single" w:color="000000" w:sz="4" w:space="0"/>
              <w:left w:val="single" w:color="000000" w:sz="4" w:space="0"/>
              <w:bottom w:val="single" w:color="000000" w:sz="4" w:space="0"/>
              <w:right w:val="single" w:color="000000" w:sz="4" w:space="0"/>
            </w:tcBorders>
            <w:vAlign w:val="center"/>
          </w:tcPr>
          <w:p w14:paraId="7FA409A2">
            <w:pPr>
              <w:spacing w:line="360" w:lineRule="auto"/>
              <w:ind w:firstLine="0" w:firstLineChars="0"/>
              <w:rPr>
                <w:rFonts w:cs="宋体"/>
                <w:sz w:val="22"/>
                <w:szCs w:val="22"/>
              </w:rPr>
            </w:pPr>
            <w:r>
              <w:rPr>
                <w:rFonts w:hint="eastAsia" w:cs="宋体"/>
                <w:sz w:val="22"/>
                <w:szCs w:val="22"/>
              </w:rPr>
              <w:t>≥70</w:t>
            </w:r>
          </w:p>
        </w:tc>
        <w:tc>
          <w:tcPr>
            <w:tcW w:w="2755" w:type="dxa"/>
            <w:tcBorders>
              <w:top w:val="single" w:color="000000" w:sz="4" w:space="0"/>
              <w:left w:val="single" w:color="000000" w:sz="4" w:space="0"/>
              <w:bottom w:val="single" w:color="000000" w:sz="4" w:space="0"/>
              <w:right w:val="single" w:color="000000" w:sz="4" w:space="0"/>
            </w:tcBorders>
            <w:vAlign w:val="center"/>
          </w:tcPr>
          <w:p w14:paraId="1902CEB7">
            <w:pPr>
              <w:spacing w:line="360" w:lineRule="auto"/>
              <w:ind w:firstLine="0" w:firstLineChars="0"/>
              <w:rPr>
                <w:rFonts w:cs="宋体"/>
                <w:sz w:val="22"/>
                <w:szCs w:val="22"/>
              </w:rPr>
            </w:pPr>
            <w:r>
              <w:rPr>
                <w:rFonts w:hint="eastAsia" w:cs="宋体"/>
                <w:sz w:val="22"/>
                <w:szCs w:val="22"/>
              </w:rPr>
              <w:t>/</w:t>
            </w:r>
          </w:p>
        </w:tc>
      </w:tr>
      <w:tr w14:paraId="77DA3A2A">
        <w:tblPrEx>
          <w:tblCellMar>
            <w:top w:w="0" w:type="dxa"/>
            <w:left w:w="108" w:type="dxa"/>
            <w:bottom w:w="0" w:type="dxa"/>
            <w:right w:w="108" w:type="dxa"/>
          </w:tblCellMar>
        </w:tblPrEx>
        <w:trPr>
          <w:trHeight w:val="90" w:hRule="atLeast"/>
          <w:jc w:val="center"/>
        </w:trPr>
        <w:tc>
          <w:tcPr>
            <w:tcW w:w="693" w:type="dxa"/>
            <w:vMerge w:val="continue"/>
            <w:tcBorders>
              <w:left w:val="single" w:color="000000" w:sz="4" w:space="0"/>
              <w:bottom w:val="single" w:color="auto" w:sz="4" w:space="0"/>
              <w:right w:val="single" w:color="auto" w:sz="4" w:space="0"/>
            </w:tcBorders>
            <w:vAlign w:val="center"/>
          </w:tcPr>
          <w:p w14:paraId="7F083FF7">
            <w:pPr>
              <w:spacing w:line="360" w:lineRule="auto"/>
              <w:ind w:firstLine="0" w:firstLineChars="0"/>
              <w:rPr>
                <w:rFonts w:cs="宋体"/>
                <w:sz w:val="22"/>
                <w:szCs w:val="22"/>
              </w:rPr>
            </w:pPr>
            <w:r>
              <w:rPr>
                <w:rFonts w:hint="eastAsia" w:cs="宋体"/>
                <w:sz w:val="22"/>
                <w:szCs w:val="22"/>
              </w:rPr>
              <w:t>通用指标</w:t>
            </w:r>
          </w:p>
        </w:tc>
        <w:tc>
          <w:tcPr>
            <w:tcW w:w="660" w:type="dxa"/>
            <w:vMerge w:val="restart"/>
            <w:tcBorders>
              <w:top w:val="single" w:color="000000" w:sz="4" w:space="0"/>
              <w:left w:val="single" w:color="auto" w:sz="4" w:space="0"/>
              <w:right w:val="single" w:color="000000" w:sz="4" w:space="0"/>
            </w:tcBorders>
            <w:vAlign w:val="center"/>
          </w:tcPr>
          <w:p w14:paraId="347329C0">
            <w:pPr>
              <w:spacing w:line="360" w:lineRule="auto"/>
              <w:ind w:firstLine="0" w:firstLineChars="0"/>
              <w:rPr>
                <w:rFonts w:cs="宋体"/>
                <w:sz w:val="22"/>
                <w:szCs w:val="22"/>
              </w:rPr>
            </w:pPr>
            <w:r>
              <w:rPr>
                <w:rFonts w:hint="eastAsia" w:cs="宋体"/>
                <w:sz w:val="22"/>
                <w:szCs w:val="22"/>
              </w:rPr>
              <w:t>共性平台</w:t>
            </w:r>
          </w:p>
        </w:tc>
        <w:tc>
          <w:tcPr>
            <w:tcW w:w="750" w:type="dxa"/>
            <w:vMerge w:val="restart"/>
            <w:tcBorders>
              <w:top w:val="single" w:color="000000" w:sz="4" w:space="0"/>
              <w:left w:val="single" w:color="000000" w:sz="4" w:space="0"/>
              <w:right w:val="single" w:color="000000" w:sz="4" w:space="0"/>
            </w:tcBorders>
            <w:vAlign w:val="center"/>
          </w:tcPr>
          <w:p w14:paraId="475DA583">
            <w:pPr>
              <w:spacing w:line="360" w:lineRule="auto"/>
              <w:ind w:firstLine="0" w:firstLineChars="0"/>
              <w:rPr>
                <w:rFonts w:cs="宋体"/>
                <w:sz w:val="22"/>
                <w:szCs w:val="22"/>
              </w:rPr>
            </w:pPr>
            <w:r>
              <w:rPr>
                <w:rFonts w:hint="eastAsia" w:cs="宋体"/>
                <w:sz w:val="22"/>
                <w:szCs w:val="22"/>
              </w:rPr>
              <w:t>平台整合能力</w:t>
            </w:r>
          </w:p>
        </w:tc>
        <w:tc>
          <w:tcPr>
            <w:tcW w:w="2197" w:type="dxa"/>
            <w:tcBorders>
              <w:top w:val="single" w:color="000000" w:sz="4" w:space="0"/>
              <w:left w:val="single" w:color="000000" w:sz="4" w:space="0"/>
              <w:bottom w:val="single" w:color="000000" w:sz="4" w:space="0"/>
              <w:right w:val="single" w:color="000000" w:sz="4" w:space="0"/>
            </w:tcBorders>
            <w:vAlign w:val="center"/>
          </w:tcPr>
          <w:p w14:paraId="72358A4D">
            <w:pPr>
              <w:spacing w:line="360" w:lineRule="auto"/>
              <w:ind w:firstLine="0" w:firstLineChars="0"/>
              <w:rPr>
                <w:rFonts w:cs="宋体"/>
                <w:sz w:val="22"/>
                <w:szCs w:val="22"/>
              </w:rPr>
            </w:pPr>
            <w:r>
              <w:rPr>
                <w:rFonts w:hint="eastAsia" w:cs="宋体"/>
                <w:sz w:val="22"/>
                <w:szCs w:val="22"/>
              </w:rPr>
              <w:t>统筹对接系统数量</w:t>
            </w:r>
          </w:p>
        </w:tc>
        <w:tc>
          <w:tcPr>
            <w:tcW w:w="1133" w:type="dxa"/>
            <w:tcBorders>
              <w:top w:val="single" w:color="000000" w:sz="4" w:space="0"/>
              <w:left w:val="single" w:color="000000" w:sz="4" w:space="0"/>
              <w:bottom w:val="single" w:color="000000" w:sz="4" w:space="0"/>
              <w:right w:val="single" w:color="000000" w:sz="4" w:space="0"/>
            </w:tcBorders>
            <w:vAlign w:val="center"/>
          </w:tcPr>
          <w:p w14:paraId="18BF3D3E">
            <w:pPr>
              <w:spacing w:line="360" w:lineRule="auto"/>
              <w:ind w:firstLine="0" w:firstLineChars="0"/>
              <w:rPr>
                <w:rFonts w:cs="宋体"/>
                <w:sz w:val="22"/>
                <w:szCs w:val="22"/>
              </w:rPr>
            </w:pPr>
            <w:r>
              <w:rPr>
                <w:rFonts w:hint="eastAsia" w:cs="宋体"/>
                <w:sz w:val="22"/>
                <w:szCs w:val="22"/>
              </w:rPr>
              <w:t>≥30</w:t>
            </w:r>
          </w:p>
        </w:tc>
        <w:tc>
          <w:tcPr>
            <w:tcW w:w="2755" w:type="dxa"/>
            <w:tcBorders>
              <w:top w:val="single" w:color="000000" w:sz="4" w:space="0"/>
              <w:left w:val="single" w:color="000000" w:sz="4" w:space="0"/>
              <w:bottom w:val="single" w:color="000000" w:sz="4" w:space="0"/>
              <w:right w:val="single" w:color="000000" w:sz="4" w:space="0"/>
            </w:tcBorders>
            <w:vAlign w:val="center"/>
          </w:tcPr>
          <w:p w14:paraId="281EE5BA">
            <w:pPr>
              <w:spacing w:line="360" w:lineRule="auto"/>
              <w:ind w:firstLine="0" w:firstLineChars="0"/>
              <w:rPr>
                <w:rFonts w:cs="宋体"/>
                <w:sz w:val="22"/>
                <w:szCs w:val="22"/>
              </w:rPr>
            </w:pPr>
            <w:r>
              <w:rPr>
                <w:rFonts w:hint="eastAsia" w:cs="宋体"/>
                <w:sz w:val="22"/>
                <w:szCs w:val="22"/>
              </w:rPr>
              <w:t>受理系统对接的委办局业务系统以及一网通办平台下各个子系统的数量</w:t>
            </w:r>
          </w:p>
        </w:tc>
      </w:tr>
      <w:tr w14:paraId="4424F03B">
        <w:tblPrEx>
          <w:tblCellMar>
            <w:top w:w="0" w:type="dxa"/>
            <w:left w:w="108" w:type="dxa"/>
            <w:bottom w:w="0" w:type="dxa"/>
            <w:right w:w="108" w:type="dxa"/>
          </w:tblCellMar>
        </w:tblPrEx>
        <w:trPr>
          <w:trHeight w:val="90" w:hRule="atLeast"/>
          <w:jc w:val="center"/>
        </w:trPr>
        <w:tc>
          <w:tcPr>
            <w:tcW w:w="693" w:type="dxa"/>
            <w:vMerge w:val="continue"/>
            <w:tcBorders>
              <w:left w:val="single" w:color="000000" w:sz="4" w:space="0"/>
              <w:bottom w:val="single" w:color="auto" w:sz="4" w:space="0"/>
              <w:right w:val="single" w:color="auto" w:sz="4" w:space="0"/>
            </w:tcBorders>
            <w:vAlign w:val="center"/>
          </w:tcPr>
          <w:p w14:paraId="36C1BD49">
            <w:pPr>
              <w:spacing w:line="360" w:lineRule="auto"/>
              <w:ind w:firstLine="0" w:firstLineChars="0"/>
              <w:rPr>
                <w:rFonts w:cs="宋体"/>
                <w:sz w:val="22"/>
                <w:szCs w:val="22"/>
              </w:rPr>
            </w:pPr>
            <w:r>
              <w:rPr>
                <w:rFonts w:hint="eastAsia" w:cs="宋体"/>
                <w:sz w:val="22"/>
                <w:szCs w:val="22"/>
              </w:rPr>
              <w:t>通用指标</w:t>
            </w:r>
          </w:p>
        </w:tc>
        <w:tc>
          <w:tcPr>
            <w:tcW w:w="660" w:type="dxa"/>
            <w:vMerge w:val="continue"/>
            <w:tcBorders>
              <w:left w:val="single" w:color="auto" w:sz="4" w:space="0"/>
              <w:bottom w:val="single" w:color="000000" w:sz="4" w:space="0"/>
              <w:right w:val="single" w:color="000000" w:sz="4" w:space="0"/>
            </w:tcBorders>
            <w:vAlign w:val="center"/>
          </w:tcPr>
          <w:p w14:paraId="11B8C031">
            <w:pPr>
              <w:spacing w:line="360" w:lineRule="auto"/>
              <w:ind w:firstLine="0" w:firstLineChars="0"/>
              <w:rPr>
                <w:rFonts w:cs="宋体"/>
                <w:sz w:val="22"/>
                <w:szCs w:val="22"/>
              </w:rPr>
            </w:pPr>
            <w:r>
              <w:rPr>
                <w:rFonts w:hint="eastAsia" w:cs="宋体"/>
                <w:sz w:val="22"/>
                <w:szCs w:val="22"/>
              </w:rPr>
              <w:t>共性平台</w:t>
            </w:r>
          </w:p>
        </w:tc>
        <w:tc>
          <w:tcPr>
            <w:tcW w:w="750" w:type="dxa"/>
            <w:vMerge w:val="continue"/>
            <w:tcBorders>
              <w:left w:val="single" w:color="000000" w:sz="4" w:space="0"/>
              <w:bottom w:val="single" w:color="000000" w:sz="4" w:space="0"/>
              <w:right w:val="single" w:color="000000" w:sz="4" w:space="0"/>
            </w:tcBorders>
            <w:vAlign w:val="center"/>
          </w:tcPr>
          <w:p w14:paraId="03F25D91">
            <w:pPr>
              <w:spacing w:line="360" w:lineRule="auto"/>
              <w:ind w:firstLine="0" w:firstLineChars="0"/>
              <w:rPr>
                <w:rFonts w:cs="宋体"/>
                <w:sz w:val="22"/>
                <w:szCs w:val="22"/>
              </w:rPr>
            </w:pPr>
            <w:r>
              <w:rPr>
                <w:rFonts w:hint="eastAsia" w:cs="宋体"/>
                <w:sz w:val="22"/>
                <w:szCs w:val="22"/>
              </w:rPr>
              <w:t>平台整合能力</w:t>
            </w:r>
          </w:p>
        </w:tc>
        <w:tc>
          <w:tcPr>
            <w:tcW w:w="2197" w:type="dxa"/>
            <w:tcBorders>
              <w:top w:val="single" w:color="000000" w:sz="4" w:space="0"/>
              <w:left w:val="single" w:color="000000" w:sz="4" w:space="0"/>
              <w:bottom w:val="single" w:color="000000" w:sz="4" w:space="0"/>
              <w:right w:val="single" w:color="000000" w:sz="4" w:space="0"/>
            </w:tcBorders>
            <w:vAlign w:val="center"/>
          </w:tcPr>
          <w:p w14:paraId="400D99B3">
            <w:pPr>
              <w:spacing w:line="360" w:lineRule="auto"/>
              <w:ind w:firstLine="0" w:firstLineChars="0"/>
              <w:rPr>
                <w:rFonts w:cs="宋体"/>
                <w:sz w:val="22"/>
                <w:szCs w:val="22"/>
              </w:rPr>
            </w:pPr>
            <w:r>
              <w:rPr>
                <w:rFonts w:hint="eastAsia" w:cs="宋体"/>
                <w:sz w:val="22"/>
                <w:szCs w:val="22"/>
              </w:rPr>
              <w:t>覆盖部门数量</w:t>
            </w:r>
          </w:p>
        </w:tc>
        <w:tc>
          <w:tcPr>
            <w:tcW w:w="1133" w:type="dxa"/>
            <w:tcBorders>
              <w:top w:val="single" w:color="000000" w:sz="4" w:space="0"/>
              <w:left w:val="single" w:color="000000" w:sz="4" w:space="0"/>
              <w:bottom w:val="single" w:color="000000" w:sz="4" w:space="0"/>
              <w:right w:val="single" w:color="000000" w:sz="4" w:space="0"/>
            </w:tcBorders>
            <w:vAlign w:val="center"/>
          </w:tcPr>
          <w:p w14:paraId="5ABBDEB5">
            <w:pPr>
              <w:spacing w:line="360" w:lineRule="auto"/>
              <w:ind w:firstLine="0" w:firstLineChars="0"/>
              <w:rPr>
                <w:rFonts w:cs="宋体"/>
                <w:sz w:val="22"/>
                <w:szCs w:val="22"/>
              </w:rPr>
            </w:pPr>
            <w:r>
              <w:rPr>
                <w:rFonts w:hint="eastAsia" w:cs="宋体"/>
                <w:sz w:val="22"/>
                <w:szCs w:val="22"/>
              </w:rPr>
              <w:t>≥10</w:t>
            </w:r>
          </w:p>
        </w:tc>
        <w:tc>
          <w:tcPr>
            <w:tcW w:w="2755" w:type="dxa"/>
            <w:tcBorders>
              <w:top w:val="single" w:color="000000" w:sz="4" w:space="0"/>
              <w:left w:val="single" w:color="000000" w:sz="4" w:space="0"/>
              <w:bottom w:val="single" w:color="000000" w:sz="4" w:space="0"/>
              <w:right w:val="single" w:color="000000" w:sz="4" w:space="0"/>
            </w:tcBorders>
            <w:vAlign w:val="center"/>
          </w:tcPr>
          <w:p w14:paraId="097766BA">
            <w:pPr>
              <w:spacing w:line="360" w:lineRule="auto"/>
              <w:ind w:firstLine="0" w:firstLineChars="0"/>
              <w:rPr>
                <w:rFonts w:cs="宋体"/>
                <w:sz w:val="22"/>
                <w:szCs w:val="22"/>
              </w:rPr>
            </w:pPr>
            <w:r>
              <w:rPr>
                <w:rFonts w:hint="eastAsia" w:cs="宋体"/>
                <w:sz w:val="22"/>
                <w:szCs w:val="22"/>
              </w:rPr>
              <w:t>受理系统承接的事项所属的条线部门数量</w:t>
            </w:r>
          </w:p>
        </w:tc>
      </w:tr>
    </w:tbl>
    <w:p w14:paraId="3C9E02EC">
      <w:pPr>
        <w:spacing w:line="360" w:lineRule="auto"/>
        <w:ind w:firstLine="480"/>
      </w:pPr>
    </w:p>
    <w:p w14:paraId="7FF9E1AC">
      <w:pPr>
        <w:spacing w:line="360" w:lineRule="auto"/>
        <w:ind w:firstLine="480"/>
      </w:pPr>
      <w:r>
        <w:rPr>
          <w:rFonts w:hint="eastAsia"/>
        </w:rPr>
        <w:t>（三）绩效目标</w:t>
      </w:r>
    </w:p>
    <w:p w14:paraId="5E46DBA5">
      <w:pPr>
        <w:spacing w:line="360" w:lineRule="auto"/>
        <w:ind w:firstLine="480"/>
      </w:pPr>
      <w:r>
        <w:rPr>
          <w:rFonts w:hint="eastAsia"/>
        </w:rPr>
        <w:t>1、改善居民办事体验，增加居民对改革的获得感。</w:t>
      </w:r>
    </w:p>
    <w:p w14:paraId="3327BA5E">
      <w:pPr>
        <w:spacing w:line="360" w:lineRule="auto"/>
        <w:ind w:firstLine="480"/>
      </w:pPr>
      <w:r>
        <w:rPr>
          <w:rFonts w:hint="eastAsia"/>
        </w:rPr>
        <w:t>通过本项目建设，实现一件事的优化，好差评改造，同时配合多个条线完成事项的新增和变更，确保各条线事项可以顺利通过受理中心全市通办、全年无休的服务网络惠及全市居民，有效提升社区事务受理一网通办能力，不断提高居民对改革的获得感。</w:t>
      </w:r>
    </w:p>
    <w:p w14:paraId="498B89A3">
      <w:pPr>
        <w:spacing w:line="360" w:lineRule="auto"/>
        <w:ind w:firstLine="480"/>
      </w:pPr>
      <w:r>
        <w:rPr>
          <w:rFonts w:hint="eastAsia"/>
        </w:rPr>
        <w:t>2、优化系统运行效率，助力受理中心提升服务效率。</w:t>
      </w:r>
    </w:p>
    <w:p w14:paraId="6E005B5E">
      <w:pPr>
        <w:spacing w:line="360" w:lineRule="auto"/>
        <w:ind w:firstLine="480"/>
      </w:pPr>
      <w:r>
        <w:rPr>
          <w:rFonts w:hint="eastAsia"/>
        </w:rPr>
        <w:t>优化运管分析平台、操作平台，对受理系统自身功能进行增补，提升系统运行效率。同时探索利用大语言模型辅助办事，助力受理中心提升服务效率。</w:t>
      </w:r>
    </w:p>
    <w:p w14:paraId="7C901874">
      <w:pPr>
        <w:spacing w:line="360" w:lineRule="auto"/>
        <w:ind w:firstLine="480"/>
      </w:pPr>
    </w:p>
    <w:p w14:paraId="6477F382">
      <w:pPr>
        <w:pStyle w:val="2"/>
        <w:ind w:hanging="1418"/>
        <w:rPr>
          <w:color w:val="auto"/>
        </w:rPr>
      </w:pPr>
      <w:bookmarkStart w:id="12" w:name="_Toc47536676"/>
      <w:bookmarkEnd w:id="12"/>
      <w:bookmarkStart w:id="13" w:name="_Toc47537166"/>
      <w:bookmarkEnd w:id="13"/>
      <w:bookmarkStart w:id="14" w:name="_Toc47539102"/>
      <w:bookmarkEnd w:id="14"/>
      <w:bookmarkStart w:id="15" w:name="_Toc47532923"/>
      <w:bookmarkEnd w:id="15"/>
      <w:bookmarkStart w:id="16" w:name="_Toc47533288"/>
      <w:bookmarkEnd w:id="16"/>
      <w:bookmarkStart w:id="17" w:name="_Toc47536304"/>
      <w:bookmarkEnd w:id="17"/>
      <w:r>
        <w:rPr>
          <w:rFonts w:hint="eastAsia"/>
          <w:color w:val="auto"/>
        </w:rPr>
        <w:t>项目建设内容</w:t>
      </w:r>
    </w:p>
    <w:p w14:paraId="6AF43BFE">
      <w:pPr>
        <w:pStyle w:val="3"/>
      </w:pPr>
      <w:r>
        <w:rPr>
          <w:rFonts w:hint="eastAsia"/>
        </w:rPr>
        <w:t>技术路线设计</w:t>
      </w:r>
    </w:p>
    <w:p w14:paraId="7E66DCCB">
      <w:pPr>
        <w:spacing w:line="360" w:lineRule="auto"/>
        <w:ind w:firstLine="480"/>
      </w:pPr>
      <w:r>
        <w:rPr>
          <w:rFonts w:hint="eastAsia"/>
        </w:rPr>
        <w:t>本次项目建设在受理系统3</w:t>
      </w:r>
      <w:r>
        <w:t>.0</w:t>
      </w:r>
      <w:r>
        <w:rPr>
          <w:rFonts w:hint="eastAsia"/>
        </w:rPr>
        <w:t>基础上，遵循现有总体架构进行升级改造，具体如下：</w:t>
      </w:r>
    </w:p>
    <w:p w14:paraId="7AB233AA">
      <w:pPr>
        <w:numPr>
          <w:ilvl w:val="0"/>
          <w:numId w:val="3"/>
        </w:numPr>
        <w:spacing w:line="360" w:lineRule="auto"/>
        <w:ind w:firstLineChars="0"/>
      </w:pPr>
      <w:r>
        <w:rPr>
          <w:rFonts w:hint="eastAsia"/>
        </w:rPr>
        <w:t>采用微服务架构，基于JavaEE规范的总体技术路线进行设计开发。</w:t>
      </w:r>
    </w:p>
    <w:p w14:paraId="6E988B58">
      <w:pPr>
        <w:numPr>
          <w:ilvl w:val="0"/>
          <w:numId w:val="3"/>
        </w:numPr>
        <w:spacing w:line="360" w:lineRule="auto"/>
        <w:ind w:firstLineChars="0"/>
      </w:pPr>
      <w:r>
        <w:rPr>
          <w:rFonts w:hint="eastAsia"/>
        </w:rPr>
        <w:t>采用基于B/S模式的开发架构。</w:t>
      </w:r>
    </w:p>
    <w:p w14:paraId="200635FB">
      <w:pPr>
        <w:numPr>
          <w:ilvl w:val="0"/>
          <w:numId w:val="3"/>
        </w:numPr>
        <w:spacing w:line="360" w:lineRule="auto"/>
        <w:ind w:firstLineChars="0"/>
      </w:pPr>
      <w:r>
        <w:rPr>
          <w:rFonts w:hint="eastAsia"/>
        </w:rPr>
        <w:t>受理系统与条线部门业务系统之间的接口，支持根据情况采用Webservice接口技术和RESTFUL接口技术。</w:t>
      </w:r>
    </w:p>
    <w:p w14:paraId="163BBA35">
      <w:pPr>
        <w:spacing w:line="360" w:lineRule="auto"/>
        <w:ind w:left="480" w:firstLine="0" w:firstLineChars="0"/>
      </w:pPr>
      <w:r>
        <w:rPr>
          <w:rFonts w:hint="eastAsia"/>
        </w:rPr>
        <w:t>（四）遵循上海“一网通办”平台对接技术规范。</w:t>
      </w:r>
    </w:p>
    <w:p w14:paraId="1321C792">
      <w:pPr>
        <w:spacing w:line="360" w:lineRule="auto"/>
        <w:ind w:firstLine="480"/>
      </w:pPr>
      <w:r>
        <w:rPr>
          <w:rFonts w:hint="eastAsia"/>
        </w:rPr>
        <w:t>（五）本项目拟部署于上海市电子政务云，采用云计算及虚拟化技术，充分利用云资源环境。</w:t>
      </w:r>
    </w:p>
    <w:p w14:paraId="7DE69D3E">
      <w:pPr>
        <w:pStyle w:val="3"/>
      </w:pPr>
      <w:r>
        <w:rPr>
          <w:rFonts w:hint="eastAsia"/>
        </w:rPr>
        <w:t>项目建设清单</w:t>
      </w:r>
    </w:p>
    <w:p w14:paraId="32BB6D25">
      <w:pPr>
        <w:pStyle w:val="4"/>
      </w:pPr>
      <w:r>
        <w:rPr>
          <w:rFonts w:hint="eastAsia"/>
        </w:rPr>
        <w:t>一网通办常规任务</w:t>
      </w:r>
    </w:p>
    <w:tbl>
      <w:tblPr>
        <w:tblStyle w:val="40"/>
        <w:tblW w:w="7378" w:type="dxa"/>
        <w:jc w:val="center"/>
        <w:tblLayout w:type="autofit"/>
        <w:tblCellMar>
          <w:top w:w="0" w:type="dxa"/>
          <w:left w:w="108" w:type="dxa"/>
          <w:bottom w:w="0" w:type="dxa"/>
          <w:right w:w="108" w:type="dxa"/>
        </w:tblCellMar>
      </w:tblPr>
      <w:tblGrid>
        <w:gridCol w:w="675"/>
        <w:gridCol w:w="1875"/>
        <w:gridCol w:w="4828"/>
      </w:tblGrid>
      <w:tr w14:paraId="1EE1E69B">
        <w:tblPrEx>
          <w:tblCellMar>
            <w:top w:w="0" w:type="dxa"/>
            <w:left w:w="108" w:type="dxa"/>
            <w:bottom w:w="0" w:type="dxa"/>
            <w:right w:w="108" w:type="dxa"/>
          </w:tblCellMar>
        </w:tblPrEx>
        <w:trPr>
          <w:trHeight w:val="27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5CF05D0A">
            <w:pPr>
              <w:widowControl/>
              <w:ind w:firstLine="0" w:firstLineChars="0"/>
              <w:jc w:val="left"/>
              <w:textAlignment w:val="center"/>
              <w:rPr>
                <w:rFonts w:cs="宋体"/>
                <w:b/>
                <w:bCs/>
                <w:sz w:val="22"/>
                <w:szCs w:val="22"/>
              </w:rPr>
            </w:pPr>
            <w:r>
              <w:rPr>
                <w:rFonts w:hint="eastAsia" w:cs="宋体"/>
                <w:b/>
                <w:bCs/>
                <w:kern w:val="0"/>
                <w:sz w:val="22"/>
                <w:szCs w:val="22"/>
              </w:rPr>
              <w:t>序号</w:t>
            </w:r>
          </w:p>
        </w:tc>
        <w:tc>
          <w:tcPr>
            <w:tcW w:w="1875" w:type="dxa"/>
            <w:tcBorders>
              <w:top w:val="single" w:color="000000" w:sz="4" w:space="0"/>
              <w:left w:val="single" w:color="000000" w:sz="4" w:space="0"/>
              <w:bottom w:val="single" w:color="000000" w:sz="4" w:space="0"/>
              <w:right w:val="single" w:color="000000" w:sz="4" w:space="0"/>
            </w:tcBorders>
            <w:vAlign w:val="center"/>
          </w:tcPr>
          <w:p w14:paraId="0895D440">
            <w:pPr>
              <w:widowControl/>
              <w:ind w:firstLine="0" w:firstLineChars="0"/>
              <w:jc w:val="center"/>
              <w:textAlignment w:val="center"/>
              <w:rPr>
                <w:rFonts w:cs="宋体"/>
                <w:b/>
                <w:bCs/>
                <w:sz w:val="22"/>
                <w:szCs w:val="22"/>
              </w:rPr>
            </w:pPr>
            <w:r>
              <w:rPr>
                <w:rFonts w:hint="eastAsia" w:cs="宋体"/>
                <w:b/>
                <w:bCs/>
                <w:kern w:val="0"/>
                <w:sz w:val="22"/>
                <w:szCs w:val="22"/>
              </w:rPr>
              <w:t>功能名称</w:t>
            </w:r>
          </w:p>
        </w:tc>
        <w:tc>
          <w:tcPr>
            <w:tcW w:w="4828" w:type="dxa"/>
            <w:tcBorders>
              <w:top w:val="single" w:color="000000" w:sz="4" w:space="0"/>
              <w:left w:val="single" w:color="000000" w:sz="4" w:space="0"/>
              <w:bottom w:val="single" w:color="000000" w:sz="4" w:space="0"/>
              <w:right w:val="single" w:color="000000" w:sz="4" w:space="0"/>
            </w:tcBorders>
            <w:vAlign w:val="center"/>
          </w:tcPr>
          <w:p w14:paraId="7958E8C2">
            <w:pPr>
              <w:widowControl/>
              <w:ind w:firstLine="0" w:firstLineChars="0"/>
              <w:jc w:val="center"/>
              <w:textAlignment w:val="center"/>
              <w:rPr>
                <w:rFonts w:cs="宋体"/>
                <w:b/>
                <w:bCs/>
                <w:sz w:val="22"/>
                <w:szCs w:val="22"/>
              </w:rPr>
            </w:pPr>
            <w:r>
              <w:rPr>
                <w:rFonts w:hint="eastAsia" w:cs="宋体"/>
                <w:b/>
                <w:bCs/>
                <w:kern w:val="0"/>
                <w:sz w:val="22"/>
                <w:szCs w:val="22"/>
              </w:rPr>
              <w:t>功能描述</w:t>
            </w:r>
          </w:p>
        </w:tc>
      </w:tr>
      <w:tr w14:paraId="5436AF52">
        <w:tblPrEx>
          <w:tblCellMar>
            <w:top w:w="0" w:type="dxa"/>
            <w:left w:w="108" w:type="dxa"/>
            <w:bottom w:w="0" w:type="dxa"/>
            <w:right w:w="108" w:type="dxa"/>
          </w:tblCellMar>
        </w:tblPrEx>
        <w:trPr>
          <w:trHeight w:val="415"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432DA235">
            <w:pPr>
              <w:widowControl/>
              <w:numPr>
                <w:ilvl w:val="0"/>
                <w:numId w:val="4"/>
              </w:numPr>
              <w:ind w:firstLineChars="0"/>
              <w:jc w:val="center"/>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22751ADF">
            <w:pPr>
              <w:widowControl/>
              <w:ind w:firstLine="0" w:firstLineChars="0"/>
              <w:jc w:val="center"/>
              <w:textAlignment w:val="center"/>
              <w:rPr>
                <w:rFonts w:cs="宋体"/>
                <w:sz w:val="22"/>
                <w:szCs w:val="22"/>
              </w:rPr>
            </w:pPr>
            <w:r>
              <w:rPr>
                <w:rFonts w:hint="eastAsia" w:cs="宋体"/>
                <w:color w:val="000000"/>
                <w:kern w:val="0"/>
                <w:sz w:val="22"/>
                <w:szCs w:val="22"/>
              </w:rPr>
              <w:t>一件事优化-身故一件事</w:t>
            </w:r>
          </w:p>
        </w:tc>
        <w:tc>
          <w:tcPr>
            <w:tcW w:w="4828" w:type="dxa"/>
            <w:tcBorders>
              <w:top w:val="single" w:color="000000" w:sz="4" w:space="0"/>
              <w:left w:val="single" w:color="000000" w:sz="4" w:space="0"/>
              <w:bottom w:val="single" w:color="000000" w:sz="4" w:space="0"/>
              <w:right w:val="single" w:color="000000" w:sz="4" w:space="0"/>
            </w:tcBorders>
            <w:vAlign w:val="center"/>
          </w:tcPr>
          <w:p w14:paraId="6947AD09">
            <w:pPr>
              <w:widowControl/>
              <w:ind w:firstLine="0" w:firstLineChars="0"/>
              <w:jc w:val="left"/>
              <w:textAlignment w:val="center"/>
              <w:rPr>
                <w:rFonts w:cs="宋体"/>
                <w:sz w:val="22"/>
                <w:szCs w:val="22"/>
              </w:rPr>
            </w:pPr>
            <w:r>
              <w:rPr>
                <w:rFonts w:hint="eastAsia" w:cs="宋体"/>
                <w:color w:val="000000"/>
                <w:kern w:val="0"/>
                <w:sz w:val="22"/>
                <w:szCs w:val="22"/>
              </w:rPr>
              <w:t>将身故一件事内“医保账户清算”事项改为和窗口受理一致的页面，并实现全程网办，具体包括：1）办事材料调整；2）页面展示字段和页面逻辑调整；3）接口变更和调整；4）网办模式由原来原件预审改为全程网办模式。</w:t>
            </w:r>
          </w:p>
        </w:tc>
      </w:tr>
      <w:tr w14:paraId="1B149B97">
        <w:tblPrEx>
          <w:tblCellMar>
            <w:top w:w="0" w:type="dxa"/>
            <w:left w:w="108" w:type="dxa"/>
            <w:bottom w:w="0" w:type="dxa"/>
            <w:right w:w="108" w:type="dxa"/>
          </w:tblCellMar>
        </w:tblPrEx>
        <w:trPr>
          <w:trHeight w:val="245"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7B065056">
            <w:pPr>
              <w:widowControl/>
              <w:numPr>
                <w:ilvl w:val="0"/>
                <w:numId w:val="4"/>
              </w:numPr>
              <w:ind w:firstLineChars="0"/>
              <w:jc w:val="center"/>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16D50E41">
            <w:pPr>
              <w:widowControl/>
              <w:ind w:firstLine="0" w:firstLineChars="0"/>
              <w:jc w:val="center"/>
              <w:textAlignment w:val="center"/>
              <w:rPr>
                <w:rFonts w:cs="宋体"/>
                <w:sz w:val="22"/>
                <w:szCs w:val="22"/>
              </w:rPr>
            </w:pPr>
            <w:r>
              <w:rPr>
                <w:rFonts w:hint="eastAsia" w:cs="宋体"/>
                <w:color w:val="000000"/>
                <w:kern w:val="0"/>
                <w:sz w:val="22"/>
                <w:szCs w:val="22"/>
              </w:rPr>
              <w:t>一件事优化-残疾人服务一件事</w:t>
            </w:r>
          </w:p>
        </w:tc>
        <w:tc>
          <w:tcPr>
            <w:tcW w:w="4828" w:type="dxa"/>
            <w:tcBorders>
              <w:top w:val="single" w:color="000000" w:sz="4" w:space="0"/>
              <w:left w:val="single" w:color="000000" w:sz="4" w:space="0"/>
              <w:bottom w:val="single" w:color="000000" w:sz="4" w:space="0"/>
              <w:right w:val="single" w:color="000000" w:sz="4" w:space="0"/>
            </w:tcBorders>
            <w:vAlign w:val="center"/>
          </w:tcPr>
          <w:p w14:paraId="20C455D5">
            <w:pPr>
              <w:widowControl/>
              <w:ind w:firstLine="0" w:firstLineChars="0"/>
              <w:jc w:val="left"/>
              <w:textAlignment w:val="center"/>
              <w:rPr>
                <w:rFonts w:cs="宋体"/>
                <w:sz w:val="22"/>
                <w:szCs w:val="22"/>
              </w:rPr>
            </w:pPr>
            <w:r>
              <w:rPr>
                <w:rFonts w:hint="eastAsia" w:cs="宋体"/>
                <w:color w:val="000000"/>
                <w:kern w:val="0"/>
                <w:sz w:val="22"/>
                <w:szCs w:val="22"/>
              </w:rPr>
              <w:t>配合完成残疾人服务“一件事”优化要求，新增听力、言语残疾人信息卡套餐服务申请(申请和变更)和残疾人就业帮扶两个事项。由于这两个事项是非窗口受理事项，受理系统需要改造事项管理规则，新增支持这一类事项，调整窗口一件事记录的表结构和校验逻辑，支持非窗口受理事项的保存。重新构建窗口一件事和子办件的关系表，避免非窗口受理事项无法写入受理表而造成子办件保存失败。</w:t>
            </w:r>
          </w:p>
        </w:tc>
      </w:tr>
      <w:tr w14:paraId="763BD81E">
        <w:tblPrEx>
          <w:tblCellMar>
            <w:top w:w="0" w:type="dxa"/>
            <w:left w:w="108" w:type="dxa"/>
            <w:bottom w:w="0" w:type="dxa"/>
            <w:right w:w="108" w:type="dxa"/>
          </w:tblCellMar>
        </w:tblPrEx>
        <w:trPr>
          <w:trHeight w:val="1624"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5122281C">
            <w:pPr>
              <w:widowControl/>
              <w:numPr>
                <w:ilvl w:val="0"/>
                <w:numId w:val="4"/>
              </w:numPr>
              <w:ind w:firstLineChars="0"/>
              <w:jc w:val="center"/>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772530D7">
            <w:pPr>
              <w:widowControl/>
              <w:ind w:firstLine="0" w:firstLineChars="0"/>
              <w:jc w:val="center"/>
              <w:textAlignment w:val="center"/>
              <w:rPr>
                <w:rFonts w:cs="宋体"/>
                <w:sz w:val="22"/>
                <w:szCs w:val="22"/>
              </w:rPr>
            </w:pPr>
            <w:r>
              <w:rPr>
                <w:rFonts w:hint="eastAsia" w:cs="宋体"/>
                <w:color w:val="000000"/>
                <w:kern w:val="0"/>
                <w:sz w:val="22"/>
                <w:szCs w:val="22"/>
              </w:rPr>
              <w:t>一件事优化-线下一件事功能优化</w:t>
            </w:r>
          </w:p>
        </w:tc>
        <w:tc>
          <w:tcPr>
            <w:tcW w:w="4828" w:type="dxa"/>
            <w:tcBorders>
              <w:top w:val="single" w:color="000000" w:sz="4" w:space="0"/>
              <w:left w:val="single" w:color="000000" w:sz="4" w:space="0"/>
              <w:bottom w:val="single" w:color="000000" w:sz="4" w:space="0"/>
              <w:right w:val="single" w:color="000000" w:sz="4" w:space="0"/>
            </w:tcBorders>
            <w:vAlign w:val="center"/>
          </w:tcPr>
          <w:p w14:paraId="6407131F">
            <w:pPr>
              <w:widowControl/>
              <w:ind w:firstLine="0" w:firstLineChars="0"/>
              <w:jc w:val="left"/>
              <w:textAlignment w:val="center"/>
              <w:rPr>
                <w:rFonts w:cs="宋体"/>
                <w:sz w:val="22"/>
                <w:szCs w:val="22"/>
              </w:rPr>
            </w:pPr>
            <w:r>
              <w:rPr>
                <w:rFonts w:hint="eastAsia" w:cs="宋体"/>
                <w:color w:val="000000"/>
                <w:kern w:val="0"/>
                <w:sz w:val="22"/>
                <w:szCs w:val="22"/>
              </w:rPr>
              <w:t>针对两个支持线下受理的一件事（残疾人服务一件事和医保报销一件事），改造一件事查看功能，支持非窗口受理事项；增加一件事页面还原功能，实现对一件事整合受理页面的还原，可以展现受理时提交前表单的状态；支持对各子事项的页面环境。</w:t>
            </w:r>
          </w:p>
        </w:tc>
      </w:tr>
      <w:tr w14:paraId="49BECFA6">
        <w:tblPrEx>
          <w:tblCellMar>
            <w:top w:w="0" w:type="dxa"/>
            <w:left w:w="108" w:type="dxa"/>
            <w:bottom w:w="0" w:type="dxa"/>
            <w:right w:w="108" w:type="dxa"/>
          </w:tblCellMar>
        </w:tblPrEx>
        <w:trPr>
          <w:trHeight w:val="724"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4894B120">
            <w:pPr>
              <w:widowControl/>
              <w:numPr>
                <w:ilvl w:val="0"/>
                <w:numId w:val="4"/>
              </w:numPr>
              <w:ind w:firstLineChars="0"/>
              <w:jc w:val="center"/>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020E2DE8">
            <w:pPr>
              <w:widowControl/>
              <w:ind w:firstLine="0" w:firstLineChars="0"/>
              <w:jc w:val="center"/>
              <w:textAlignment w:val="center"/>
              <w:rPr>
                <w:rFonts w:cs="宋体"/>
                <w:sz w:val="22"/>
                <w:szCs w:val="22"/>
              </w:rPr>
            </w:pPr>
            <w:r>
              <w:rPr>
                <w:rFonts w:hint="eastAsia" w:cs="宋体"/>
                <w:color w:val="000000"/>
                <w:kern w:val="0"/>
                <w:sz w:val="22"/>
                <w:szCs w:val="22"/>
              </w:rPr>
              <w:t>好差评改造-虚拟窗口好差评对接模式调整</w:t>
            </w:r>
          </w:p>
        </w:tc>
        <w:tc>
          <w:tcPr>
            <w:tcW w:w="4828" w:type="dxa"/>
            <w:tcBorders>
              <w:top w:val="single" w:color="000000" w:sz="4" w:space="0"/>
              <w:left w:val="single" w:color="000000" w:sz="4" w:space="0"/>
              <w:bottom w:val="single" w:color="000000" w:sz="4" w:space="0"/>
              <w:right w:val="single" w:color="000000" w:sz="4" w:space="0"/>
            </w:tcBorders>
            <w:vAlign w:val="center"/>
          </w:tcPr>
          <w:p w14:paraId="1A27A687">
            <w:pPr>
              <w:widowControl/>
              <w:ind w:firstLine="0" w:firstLineChars="0"/>
              <w:jc w:val="left"/>
              <w:textAlignment w:val="center"/>
              <w:rPr>
                <w:rFonts w:cs="宋体"/>
                <w:sz w:val="22"/>
                <w:szCs w:val="22"/>
              </w:rPr>
            </w:pPr>
            <w:r>
              <w:rPr>
                <w:rFonts w:hint="eastAsia" w:cs="宋体"/>
                <w:color w:val="000000"/>
                <w:kern w:val="0"/>
                <w:sz w:val="22"/>
                <w:szCs w:val="22"/>
              </w:rPr>
              <w:t>远程虚拟窗口终端的好差评从“接口对接模式”调整为“页面对接模式”，对接市级统一样式自行开发评价页面，完善数据校验，提交“好差评”相关接口来归集评价数据。</w:t>
            </w:r>
          </w:p>
        </w:tc>
      </w:tr>
      <w:tr w14:paraId="640E3817">
        <w:tblPrEx>
          <w:tblCellMar>
            <w:top w:w="0" w:type="dxa"/>
            <w:left w:w="108" w:type="dxa"/>
            <w:bottom w:w="0" w:type="dxa"/>
            <w:right w:w="108" w:type="dxa"/>
          </w:tblCellMar>
        </w:tblPrEx>
        <w:trPr>
          <w:trHeight w:val="163"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50B72923">
            <w:pPr>
              <w:widowControl/>
              <w:numPr>
                <w:ilvl w:val="0"/>
                <w:numId w:val="4"/>
              </w:numPr>
              <w:ind w:firstLineChars="0"/>
              <w:jc w:val="center"/>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1CD8417B">
            <w:pPr>
              <w:widowControl/>
              <w:ind w:firstLine="0" w:firstLineChars="0"/>
              <w:jc w:val="center"/>
              <w:textAlignment w:val="center"/>
              <w:rPr>
                <w:rFonts w:cs="宋体"/>
                <w:sz w:val="22"/>
                <w:szCs w:val="22"/>
              </w:rPr>
            </w:pPr>
            <w:r>
              <w:rPr>
                <w:rFonts w:hint="eastAsia" w:cs="宋体"/>
                <w:color w:val="000000"/>
                <w:kern w:val="0"/>
                <w:sz w:val="22"/>
                <w:szCs w:val="22"/>
              </w:rPr>
              <w:t>好差评改造-虚拟窗口好差评超时功能切换</w:t>
            </w:r>
          </w:p>
        </w:tc>
        <w:tc>
          <w:tcPr>
            <w:tcW w:w="4828" w:type="dxa"/>
            <w:tcBorders>
              <w:top w:val="single" w:color="000000" w:sz="4" w:space="0"/>
              <w:left w:val="single" w:color="000000" w:sz="4" w:space="0"/>
              <w:bottom w:val="single" w:color="000000" w:sz="4" w:space="0"/>
              <w:right w:val="single" w:color="000000" w:sz="4" w:space="0"/>
            </w:tcBorders>
            <w:vAlign w:val="center"/>
          </w:tcPr>
          <w:p w14:paraId="5480B344">
            <w:pPr>
              <w:widowControl/>
              <w:ind w:firstLine="0" w:firstLineChars="0"/>
              <w:jc w:val="left"/>
              <w:textAlignment w:val="center"/>
              <w:rPr>
                <w:rFonts w:cs="宋体"/>
                <w:sz w:val="22"/>
                <w:szCs w:val="22"/>
              </w:rPr>
            </w:pPr>
            <w:r>
              <w:rPr>
                <w:rFonts w:hint="eastAsia" w:cs="宋体"/>
                <w:color w:val="000000"/>
                <w:kern w:val="0"/>
                <w:sz w:val="22"/>
                <w:szCs w:val="22"/>
              </w:rPr>
              <w:t>远程虚拟窗口终端使用“页面对接模式”进行好差评时，检查市好差评页面的响应是否超时。当市好差评页面无法打开时，自动打开原好差评页面，通过“接口对接模式”临时提交好差评数据。</w:t>
            </w:r>
          </w:p>
        </w:tc>
      </w:tr>
      <w:tr w14:paraId="07E2E881">
        <w:tblPrEx>
          <w:tblCellMar>
            <w:top w:w="0" w:type="dxa"/>
            <w:left w:w="108" w:type="dxa"/>
            <w:bottom w:w="0" w:type="dxa"/>
            <w:right w:w="108" w:type="dxa"/>
          </w:tblCellMar>
        </w:tblPrEx>
        <w:trPr>
          <w:trHeight w:val="911"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09961D34">
            <w:pPr>
              <w:widowControl/>
              <w:numPr>
                <w:ilvl w:val="0"/>
                <w:numId w:val="4"/>
              </w:numPr>
              <w:ind w:firstLineChars="0"/>
              <w:jc w:val="center"/>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5767573A">
            <w:pPr>
              <w:widowControl/>
              <w:ind w:firstLine="0" w:firstLineChars="0"/>
              <w:jc w:val="center"/>
              <w:textAlignment w:val="center"/>
              <w:rPr>
                <w:rFonts w:cs="宋体"/>
                <w:sz w:val="22"/>
                <w:szCs w:val="22"/>
              </w:rPr>
            </w:pPr>
            <w:r>
              <w:rPr>
                <w:rFonts w:hint="eastAsia" w:cs="宋体"/>
                <w:color w:val="000000"/>
                <w:kern w:val="0"/>
                <w:sz w:val="22"/>
                <w:szCs w:val="22"/>
              </w:rPr>
              <w:t>好差评改造-评价数据回流</w:t>
            </w:r>
          </w:p>
        </w:tc>
        <w:tc>
          <w:tcPr>
            <w:tcW w:w="4828" w:type="dxa"/>
            <w:tcBorders>
              <w:top w:val="single" w:color="000000" w:sz="4" w:space="0"/>
              <w:left w:val="single" w:color="000000" w:sz="4" w:space="0"/>
              <w:bottom w:val="single" w:color="000000" w:sz="4" w:space="0"/>
              <w:right w:val="single" w:color="000000" w:sz="4" w:space="0"/>
            </w:tcBorders>
            <w:vAlign w:val="center"/>
          </w:tcPr>
          <w:p w14:paraId="692264C9">
            <w:pPr>
              <w:widowControl/>
              <w:ind w:firstLine="0" w:firstLineChars="0"/>
              <w:jc w:val="left"/>
              <w:textAlignment w:val="center"/>
              <w:rPr>
                <w:rFonts w:cs="宋体"/>
                <w:sz w:val="22"/>
                <w:szCs w:val="22"/>
              </w:rPr>
            </w:pPr>
            <w:r>
              <w:rPr>
                <w:rFonts w:hint="eastAsia" w:cs="宋体"/>
                <w:color w:val="000000"/>
                <w:kern w:val="0"/>
                <w:sz w:val="22"/>
                <w:szCs w:val="22"/>
              </w:rPr>
              <w:t>办事评价数据回流：1）申请评价数据接口，调用接口进行回流；2）将获取的好差评数据与库内办件进行匹配，支持相关好差评查询功能可用；3）好差评数据进一步回流数据海。</w:t>
            </w:r>
          </w:p>
        </w:tc>
      </w:tr>
      <w:tr w14:paraId="610DC538">
        <w:tblPrEx>
          <w:tblCellMar>
            <w:top w:w="0" w:type="dxa"/>
            <w:left w:w="108" w:type="dxa"/>
            <w:bottom w:w="0" w:type="dxa"/>
            <w:right w:w="108" w:type="dxa"/>
          </w:tblCellMar>
        </w:tblPrEx>
        <w:trPr>
          <w:trHeight w:val="1512"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224D40DB">
            <w:pPr>
              <w:widowControl/>
              <w:numPr>
                <w:ilvl w:val="0"/>
                <w:numId w:val="4"/>
              </w:numPr>
              <w:ind w:firstLineChars="0"/>
              <w:jc w:val="center"/>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5CEE5BB0">
            <w:pPr>
              <w:widowControl/>
              <w:ind w:firstLine="0" w:firstLineChars="0"/>
              <w:jc w:val="center"/>
              <w:textAlignment w:val="center"/>
              <w:rPr>
                <w:rFonts w:cs="宋体"/>
                <w:sz w:val="22"/>
                <w:szCs w:val="22"/>
              </w:rPr>
            </w:pPr>
            <w:r>
              <w:rPr>
                <w:rFonts w:hint="eastAsia" w:cs="宋体"/>
                <w:color w:val="000000"/>
                <w:kern w:val="0"/>
                <w:sz w:val="22"/>
                <w:szCs w:val="22"/>
              </w:rPr>
              <w:t>好差评改造-接口改造和调试支持</w:t>
            </w:r>
          </w:p>
        </w:tc>
        <w:tc>
          <w:tcPr>
            <w:tcW w:w="4828" w:type="dxa"/>
            <w:tcBorders>
              <w:top w:val="single" w:color="000000" w:sz="4" w:space="0"/>
              <w:left w:val="single" w:color="000000" w:sz="4" w:space="0"/>
              <w:bottom w:val="single" w:color="000000" w:sz="4" w:space="0"/>
              <w:right w:val="single" w:color="000000" w:sz="4" w:space="0"/>
            </w:tcBorders>
            <w:vAlign w:val="center"/>
          </w:tcPr>
          <w:p w14:paraId="4C0334BA">
            <w:pPr>
              <w:widowControl/>
              <w:ind w:firstLine="0" w:firstLineChars="0"/>
              <w:jc w:val="left"/>
              <w:textAlignment w:val="center"/>
              <w:rPr>
                <w:rFonts w:cs="宋体"/>
                <w:sz w:val="22"/>
                <w:szCs w:val="22"/>
              </w:rPr>
            </w:pPr>
            <w:r>
              <w:rPr>
                <w:rFonts w:hint="eastAsia" w:cs="宋体"/>
                <w:color w:val="000000"/>
                <w:kern w:val="0"/>
                <w:sz w:val="22"/>
                <w:szCs w:val="22"/>
              </w:rPr>
              <w:t>操作平台好差评接口改造:1）改造“获取当前号码办理的事项信息”，增加17个输出参数；2）新增“获取好差评信息”，获取9个字段；3）支持所有221个受理中心53个分中心针对本次好差评改造的调试，需要对接5个叫号评价系统厂商。</w:t>
            </w:r>
          </w:p>
        </w:tc>
      </w:tr>
    </w:tbl>
    <w:p w14:paraId="7398A07A">
      <w:pPr>
        <w:pStyle w:val="4"/>
      </w:pPr>
      <w:r>
        <w:rPr>
          <w:rFonts w:hint="eastAsia"/>
        </w:rPr>
        <w:t>事项新增与变更</w:t>
      </w:r>
    </w:p>
    <w:tbl>
      <w:tblPr>
        <w:tblStyle w:val="40"/>
        <w:tblW w:w="7378" w:type="dxa"/>
        <w:jc w:val="center"/>
        <w:tblLayout w:type="autofit"/>
        <w:tblCellMar>
          <w:top w:w="0" w:type="dxa"/>
          <w:left w:w="108" w:type="dxa"/>
          <w:bottom w:w="0" w:type="dxa"/>
          <w:right w:w="108" w:type="dxa"/>
        </w:tblCellMar>
      </w:tblPr>
      <w:tblGrid>
        <w:gridCol w:w="675"/>
        <w:gridCol w:w="1875"/>
        <w:gridCol w:w="4828"/>
      </w:tblGrid>
      <w:tr w14:paraId="173C1D5A">
        <w:tblPrEx>
          <w:tblCellMar>
            <w:top w:w="0" w:type="dxa"/>
            <w:left w:w="108" w:type="dxa"/>
            <w:bottom w:w="0" w:type="dxa"/>
            <w:right w:w="108" w:type="dxa"/>
          </w:tblCellMar>
        </w:tblPrEx>
        <w:trPr>
          <w:trHeight w:val="27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41E54F5B">
            <w:pPr>
              <w:widowControl/>
              <w:ind w:firstLine="0" w:firstLineChars="0"/>
              <w:jc w:val="center"/>
              <w:textAlignment w:val="center"/>
              <w:rPr>
                <w:rFonts w:cs="宋体"/>
                <w:b/>
                <w:bCs/>
                <w:sz w:val="22"/>
                <w:szCs w:val="22"/>
              </w:rPr>
            </w:pPr>
            <w:r>
              <w:rPr>
                <w:rFonts w:hint="eastAsia" w:cs="宋体"/>
                <w:b/>
                <w:bCs/>
                <w:sz w:val="22"/>
                <w:szCs w:val="22"/>
              </w:rPr>
              <w:t>序号</w:t>
            </w:r>
          </w:p>
        </w:tc>
        <w:tc>
          <w:tcPr>
            <w:tcW w:w="1875" w:type="dxa"/>
            <w:tcBorders>
              <w:top w:val="single" w:color="000000" w:sz="4" w:space="0"/>
              <w:left w:val="single" w:color="000000" w:sz="4" w:space="0"/>
              <w:bottom w:val="single" w:color="000000" w:sz="4" w:space="0"/>
              <w:right w:val="single" w:color="000000" w:sz="4" w:space="0"/>
            </w:tcBorders>
            <w:vAlign w:val="center"/>
          </w:tcPr>
          <w:p w14:paraId="557EC23D">
            <w:pPr>
              <w:widowControl/>
              <w:ind w:firstLine="0" w:firstLineChars="0"/>
              <w:jc w:val="center"/>
              <w:textAlignment w:val="center"/>
              <w:rPr>
                <w:rFonts w:cs="宋体"/>
                <w:b/>
                <w:bCs/>
                <w:sz w:val="22"/>
                <w:szCs w:val="22"/>
              </w:rPr>
            </w:pPr>
            <w:r>
              <w:rPr>
                <w:rFonts w:hint="eastAsia" w:cs="宋体"/>
                <w:b/>
                <w:bCs/>
                <w:kern w:val="0"/>
                <w:sz w:val="22"/>
                <w:szCs w:val="22"/>
              </w:rPr>
              <w:t>功能名称</w:t>
            </w:r>
          </w:p>
        </w:tc>
        <w:tc>
          <w:tcPr>
            <w:tcW w:w="4828" w:type="dxa"/>
            <w:tcBorders>
              <w:top w:val="single" w:color="000000" w:sz="4" w:space="0"/>
              <w:left w:val="single" w:color="000000" w:sz="4" w:space="0"/>
              <w:bottom w:val="single" w:color="000000" w:sz="4" w:space="0"/>
              <w:right w:val="single" w:color="000000" w:sz="4" w:space="0"/>
            </w:tcBorders>
            <w:vAlign w:val="center"/>
          </w:tcPr>
          <w:p w14:paraId="1BC35C81">
            <w:pPr>
              <w:widowControl/>
              <w:ind w:firstLine="0" w:firstLineChars="0"/>
              <w:jc w:val="center"/>
              <w:textAlignment w:val="center"/>
              <w:rPr>
                <w:rFonts w:cs="宋体"/>
                <w:b/>
                <w:bCs/>
                <w:sz w:val="22"/>
                <w:szCs w:val="22"/>
              </w:rPr>
            </w:pPr>
            <w:r>
              <w:rPr>
                <w:rFonts w:hint="eastAsia" w:cs="宋体"/>
                <w:b/>
                <w:bCs/>
                <w:kern w:val="0"/>
                <w:sz w:val="22"/>
                <w:szCs w:val="22"/>
              </w:rPr>
              <w:t>功能描述</w:t>
            </w:r>
          </w:p>
        </w:tc>
      </w:tr>
      <w:tr w14:paraId="48DFC438">
        <w:tblPrEx>
          <w:tblCellMar>
            <w:top w:w="0" w:type="dxa"/>
            <w:left w:w="108" w:type="dxa"/>
            <w:bottom w:w="0" w:type="dxa"/>
            <w:right w:w="108" w:type="dxa"/>
          </w:tblCellMar>
        </w:tblPrEx>
        <w:trPr>
          <w:trHeight w:val="713"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76205BB9">
            <w:pPr>
              <w:widowControl/>
              <w:numPr>
                <w:ilvl w:val="0"/>
                <w:numId w:val="5"/>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77F145B4">
            <w:pPr>
              <w:widowControl/>
              <w:ind w:firstLine="0" w:firstLineChars="0"/>
              <w:jc w:val="center"/>
              <w:textAlignment w:val="center"/>
              <w:rPr>
                <w:rFonts w:cs="宋体"/>
                <w:sz w:val="22"/>
                <w:szCs w:val="22"/>
              </w:rPr>
            </w:pPr>
            <w:r>
              <w:rPr>
                <w:rFonts w:hint="eastAsia" w:cs="宋体"/>
                <w:color w:val="000000"/>
                <w:kern w:val="0"/>
                <w:sz w:val="22"/>
                <w:szCs w:val="22"/>
              </w:rPr>
              <w:t>医保事项新增-组建家庭共济网事项</w:t>
            </w:r>
          </w:p>
        </w:tc>
        <w:tc>
          <w:tcPr>
            <w:tcW w:w="4828" w:type="dxa"/>
            <w:tcBorders>
              <w:top w:val="single" w:color="000000" w:sz="4" w:space="0"/>
              <w:left w:val="single" w:color="000000" w:sz="4" w:space="0"/>
              <w:bottom w:val="single" w:color="000000" w:sz="4" w:space="0"/>
              <w:right w:val="single" w:color="000000" w:sz="4" w:space="0"/>
            </w:tcBorders>
            <w:vAlign w:val="center"/>
          </w:tcPr>
          <w:p w14:paraId="39605EB6">
            <w:pPr>
              <w:widowControl/>
              <w:ind w:firstLine="0" w:firstLineChars="0"/>
              <w:textAlignment w:val="center"/>
              <w:rPr>
                <w:rFonts w:cs="宋体"/>
                <w:sz w:val="22"/>
                <w:szCs w:val="22"/>
              </w:rPr>
            </w:pPr>
            <w:r>
              <w:rPr>
                <w:rFonts w:hint="eastAsia" w:cs="宋体"/>
                <w:color w:val="000000"/>
                <w:kern w:val="0"/>
                <w:sz w:val="22"/>
                <w:szCs w:val="22"/>
              </w:rPr>
              <w:t>新增事项， 组建家庭共济网事项并支持远程虚拟窗口服务。目前新增事项需同步处理窗口受理页面、虚拟远程窗口页面。</w:t>
            </w:r>
          </w:p>
        </w:tc>
      </w:tr>
      <w:tr w14:paraId="01DE3E5D">
        <w:tblPrEx>
          <w:tblCellMar>
            <w:top w:w="0" w:type="dxa"/>
            <w:left w:w="108" w:type="dxa"/>
            <w:bottom w:w="0" w:type="dxa"/>
            <w:right w:w="108"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16BCF9F5">
            <w:pPr>
              <w:widowControl/>
              <w:numPr>
                <w:ilvl w:val="0"/>
                <w:numId w:val="5"/>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32FC1EE4">
            <w:pPr>
              <w:widowControl/>
              <w:ind w:firstLine="0" w:firstLineChars="0"/>
              <w:jc w:val="center"/>
              <w:textAlignment w:val="center"/>
              <w:rPr>
                <w:rFonts w:cs="宋体"/>
                <w:sz w:val="22"/>
                <w:szCs w:val="22"/>
              </w:rPr>
            </w:pPr>
            <w:r>
              <w:rPr>
                <w:rFonts w:hint="eastAsia" w:cs="宋体"/>
                <w:color w:val="000000"/>
                <w:kern w:val="0"/>
                <w:sz w:val="22"/>
                <w:szCs w:val="22"/>
              </w:rPr>
              <w:t>医保事项新增-选择家庭共济资金使用方式事项</w:t>
            </w:r>
          </w:p>
        </w:tc>
        <w:tc>
          <w:tcPr>
            <w:tcW w:w="4828" w:type="dxa"/>
            <w:tcBorders>
              <w:top w:val="single" w:color="000000" w:sz="4" w:space="0"/>
              <w:left w:val="single" w:color="000000" w:sz="4" w:space="0"/>
              <w:bottom w:val="single" w:color="000000" w:sz="4" w:space="0"/>
              <w:right w:val="single" w:color="000000" w:sz="4" w:space="0"/>
            </w:tcBorders>
            <w:vAlign w:val="center"/>
          </w:tcPr>
          <w:p w14:paraId="06A9F7BF">
            <w:pPr>
              <w:widowControl/>
              <w:ind w:firstLine="0" w:firstLineChars="0"/>
              <w:jc w:val="left"/>
              <w:textAlignment w:val="center"/>
              <w:rPr>
                <w:rFonts w:cs="宋体"/>
                <w:sz w:val="22"/>
                <w:szCs w:val="22"/>
              </w:rPr>
            </w:pPr>
            <w:r>
              <w:rPr>
                <w:rFonts w:hint="eastAsia" w:cs="宋体"/>
                <w:color w:val="000000"/>
                <w:kern w:val="0"/>
                <w:sz w:val="22"/>
                <w:szCs w:val="22"/>
              </w:rPr>
              <w:t>新增事项，选择家庭共济资金使用方式事项并支持远程虚拟窗口服务。目前新增事项需同步处理窗口受理页面、虚拟远程窗口页面。</w:t>
            </w:r>
          </w:p>
        </w:tc>
      </w:tr>
      <w:tr w14:paraId="49B1A6B6">
        <w:tblPrEx>
          <w:tblCellMar>
            <w:top w:w="0" w:type="dxa"/>
            <w:left w:w="108" w:type="dxa"/>
            <w:bottom w:w="0" w:type="dxa"/>
            <w:right w:w="108" w:type="dxa"/>
          </w:tblCellMar>
        </w:tblPrEx>
        <w:trPr>
          <w:trHeight w:val="263"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2E14464B">
            <w:pPr>
              <w:widowControl/>
              <w:numPr>
                <w:ilvl w:val="0"/>
                <w:numId w:val="5"/>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254EC936">
            <w:pPr>
              <w:widowControl/>
              <w:ind w:firstLine="0" w:firstLineChars="0"/>
              <w:jc w:val="center"/>
              <w:textAlignment w:val="center"/>
              <w:rPr>
                <w:rFonts w:cs="宋体"/>
                <w:sz w:val="22"/>
                <w:szCs w:val="22"/>
              </w:rPr>
            </w:pPr>
            <w:r>
              <w:rPr>
                <w:rFonts w:hint="eastAsia" w:cs="宋体"/>
                <w:color w:val="000000"/>
                <w:kern w:val="0"/>
                <w:sz w:val="22"/>
                <w:szCs w:val="22"/>
              </w:rPr>
              <w:t>医保事项新增-维护家庭共济关系事项</w:t>
            </w:r>
          </w:p>
        </w:tc>
        <w:tc>
          <w:tcPr>
            <w:tcW w:w="4828" w:type="dxa"/>
            <w:tcBorders>
              <w:top w:val="single" w:color="000000" w:sz="4" w:space="0"/>
              <w:left w:val="single" w:color="000000" w:sz="4" w:space="0"/>
              <w:bottom w:val="single" w:color="000000" w:sz="4" w:space="0"/>
              <w:right w:val="single" w:color="000000" w:sz="4" w:space="0"/>
            </w:tcBorders>
            <w:vAlign w:val="center"/>
          </w:tcPr>
          <w:p w14:paraId="28C3EE6A">
            <w:pPr>
              <w:widowControl/>
              <w:ind w:firstLine="0" w:firstLineChars="0"/>
              <w:jc w:val="left"/>
              <w:textAlignment w:val="center"/>
              <w:rPr>
                <w:rFonts w:cs="宋体"/>
                <w:sz w:val="22"/>
                <w:szCs w:val="22"/>
              </w:rPr>
            </w:pPr>
            <w:r>
              <w:rPr>
                <w:rFonts w:hint="eastAsia" w:cs="宋体"/>
                <w:color w:val="000000"/>
                <w:kern w:val="0"/>
                <w:sz w:val="22"/>
                <w:szCs w:val="22"/>
              </w:rPr>
              <w:t>新增事项，维护家庭共济关系事项并支持远程虚拟窗口服务。目前新增事项需同步处理窗口受理页面、虚拟远程窗口页面。</w:t>
            </w:r>
          </w:p>
        </w:tc>
      </w:tr>
      <w:tr w14:paraId="632CED32">
        <w:tblPrEx>
          <w:tblCellMar>
            <w:top w:w="0" w:type="dxa"/>
            <w:left w:w="108" w:type="dxa"/>
            <w:bottom w:w="0" w:type="dxa"/>
            <w:right w:w="108"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10C4C945">
            <w:pPr>
              <w:widowControl/>
              <w:numPr>
                <w:ilvl w:val="0"/>
                <w:numId w:val="5"/>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18CA4942">
            <w:pPr>
              <w:widowControl/>
              <w:ind w:firstLine="0" w:firstLineChars="0"/>
              <w:jc w:val="center"/>
              <w:textAlignment w:val="center"/>
              <w:rPr>
                <w:rFonts w:cs="宋体"/>
                <w:sz w:val="22"/>
                <w:szCs w:val="22"/>
              </w:rPr>
            </w:pPr>
            <w:r>
              <w:rPr>
                <w:rFonts w:hint="eastAsia" w:cs="宋体"/>
                <w:color w:val="000000"/>
                <w:kern w:val="0"/>
                <w:sz w:val="22"/>
                <w:szCs w:val="22"/>
              </w:rPr>
              <w:t>医保事项新增-家庭共济组建人使用明细查询事项</w:t>
            </w:r>
          </w:p>
        </w:tc>
        <w:tc>
          <w:tcPr>
            <w:tcW w:w="4828" w:type="dxa"/>
            <w:tcBorders>
              <w:top w:val="single" w:color="000000" w:sz="4" w:space="0"/>
              <w:left w:val="single" w:color="000000" w:sz="4" w:space="0"/>
              <w:bottom w:val="single" w:color="000000" w:sz="4" w:space="0"/>
              <w:right w:val="single" w:color="000000" w:sz="4" w:space="0"/>
            </w:tcBorders>
            <w:vAlign w:val="center"/>
          </w:tcPr>
          <w:p w14:paraId="165350F9">
            <w:pPr>
              <w:widowControl/>
              <w:ind w:firstLine="0" w:firstLineChars="0"/>
              <w:jc w:val="left"/>
              <w:textAlignment w:val="center"/>
              <w:rPr>
                <w:rFonts w:cs="宋体"/>
                <w:sz w:val="22"/>
                <w:szCs w:val="22"/>
              </w:rPr>
            </w:pPr>
            <w:r>
              <w:rPr>
                <w:rFonts w:hint="eastAsia" w:cs="宋体"/>
                <w:color w:val="000000"/>
                <w:kern w:val="0"/>
                <w:sz w:val="22"/>
                <w:szCs w:val="22"/>
              </w:rPr>
              <w:t>新增事项，家庭共济组建人使用明细查询事项并支持远程虚拟窗口服务。目前新增事项需同步处理窗口受理页面、虚拟远程窗口页面。</w:t>
            </w:r>
          </w:p>
        </w:tc>
      </w:tr>
      <w:tr w14:paraId="2ED06E1F">
        <w:tblPrEx>
          <w:tblCellMar>
            <w:top w:w="0" w:type="dxa"/>
            <w:left w:w="108" w:type="dxa"/>
            <w:bottom w:w="0" w:type="dxa"/>
            <w:right w:w="108"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1773F84A">
            <w:pPr>
              <w:widowControl/>
              <w:numPr>
                <w:ilvl w:val="0"/>
                <w:numId w:val="5"/>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75E47F53">
            <w:pPr>
              <w:widowControl/>
              <w:ind w:firstLine="0" w:firstLineChars="0"/>
              <w:jc w:val="center"/>
              <w:textAlignment w:val="center"/>
              <w:rPr>
                <w:rFonts w:cs="宋体"/>
                <w:sz w:val="22"/>
                <w:szCs w:val="22"/>
              </w:rPr>
            </w:pPr>
            <w:r>
              <w:rPr>
                <w:rFonts w:hint="eastAsia" w:cs="宋体"/>
                <w:color w:val="000000"/>
                <w:kern w:val="0"/>
                <w:sz w:val="22"/>
                <w:szCs w:val="22"/>
              </w:rPr>
              <w:t>医保事项新增-长护险登记查询（住址）（街道）功能</w:t>
            </w:r>
          </w:p>
        </w:tc>
        <w:tc>
          <w:tcPr>
            <w:tcW w:w="4828" w:type="dxa"/>
            <w:tcBorders>
              <w:top w:val="single" w:color="000000" w:sz="4" w:space="0"/>
              <w:left w:val="single" w:color="000000" w:sz="4" w:space="0"/>
              <w:bottom w:val="single" w:color="000000" w:sz="4" w:space="0"/>
              <w:right w:val="single" w:color="000000" w:sz="4" w:space="0"/>
            </w:tcBorders>
            <w:vAlign w:val="center"/>
          </w:tcPr>
          <w:p w14:paraId="226D7416">
            <w:pPr>
              <w:widowControl/>
              <w:ind w:firstLine="0" w:firstLineChars="0"/>
              <w:jc w:val="left"/>
              <w:textAlignment w:val="center"/>
              <w:rPr>
                <w:rFonts w:cs="宋体"/>
                <w:sz w:val="22"/>
                <w:szCs w:val="22"/>
              </w:rPr>
            </w:pPr>
            <w:r>
              <w:rPr>
                <w:rFonts w:hint="eastAsia" w:cs="宋体"/>
                <w:color w:val="000000"/>
                <w:kern w:val="0"/>
                <w:sz w:val="22"/>
                <w:szCs w:val="22"/>
              </w:rPr>
              <w:t>新增加一个“长护险登记查询（住址）（街道）”的功能，输入身份证或申请号查询老人的长护险信息。</w:t>
            </w:r>
          </w:p>
        </w:tc>
      </w:tr>
      <w:tr w14:paraId="351C54A3">
        <w:tblPrEx>
          <w:tblCellMar>
            <w:top w:w="0" w:type="dxa"/>
            <w:left w:w="108" w:type="dxa"/>
            <w:bottom w:w="0" w:type="dxa"/>
            <w:right w:w="108"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581AB6A3">
            <w:pPr>
              <w:widowControl/>
              <w:numPr>
                <w:ilvl w:val="0"/>
                <w:numId w:val="5"/>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489B5D39">
            <w:pPr>
              <w:widowControl/>
              <w:ind w:firstLine="0" w:firstLineChars="0"/>
              <w:jc w:val="center"/>
              <w:textAlignment w:val="center"/>
              <w:rPr>
                <w:rFonts w:cs="宋体"/>
                <w:sz w:val="22"/>
                <w:szCs w:val="22"/>
              </w:rPr>
            </w:pPr>
            <w:r>
              <w:rPr>
                <w:rFonts w:hint="eastAsia" w:cs="宋体"/>
                <w:color w:val="000000"/>
                <w:kern w:val="0"/>
                <w:sz w:val="22"/>
                <w:szCs w:val="22"/>
              </w:rPr>
              <w:t>档案事项新增及变更-新增事项：离婚诉讼文书电子档案查询事项</w:t>
            </w:r>
          </w:p>
        </w:tc>
        <w:tc>
          <w:tcPr>
            <w:tcW w:w="4828" w:type="dxa"/>
            <w:tcBorders>
              <w:top w:val="single" w:color="000000" w:sz="4" w:space="0"/>
              <w:left w:val="single" w:color="000000" w:sz="4" w:space="0"/>
              <w:bottom w:val="single" w:color="000000" w:sz="4" w:space="0"/>
              <w:right w:val="single" w:color="000000" w:sz="4" w:space="0"/>
            </w:tcBorders>
            <w:vAlign w:val="center"/>
          </w:tcPr>
          <w:p w14:paraId="586906FF">
            <w:pPr>
              <w:widowControl/>
              <w:ind w:firstLine="0" w:firstLineChars="0"/>
              <w:jc w:val="left"/>
              <w:textAlignment w:val="center"/>
              <w:rPr>
                <w:rFonts w:cs="宋体"/>
                <w:sz w:val="22"/>
                <w:szCs w:val="22"/>
              </w:rPr>
            </w:pPr>
            <w:r>
              <w:rPr>
                <w:rFonts w:hint="eastAsia" w:cs="宋体"/>
                <w:color w:val="000000"/>
                <w:kern w:val="0"/>
                <w:sz w:val="22"/>
                <w:szCs w:val="22"/>
              </w:rPr>
              <w:t>新增事项离婚诉讼文书电子档案查询事项并支持远程虚拟窗口服务。目前新增事项需同步处理窗口受理页面、虚拟远程窗口页面。</w:t>
            </w:r>
          </w:p>
        </w:tc>
      </w:tr>
      <w:tr w14:paraId="43BFC99F">
        <w:tblPrEx>
          <w:tblCellMar>
            <w:top w:w="0" w:type="dxa"/>
            <w:left w:w="108" w:type="dxa"/>
            <w:bottom w:w="0" w:type="dxa"/>
            <w:right w:w="108" w:type="dxa"/>
          </w:tblCellMar>
        </w:tblPrEx>
        <w:trPr>
          <w:trHeight w:val="551"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7ECCFDA7">
            <w:pPr>
              <w:widowControl/>
              <w:numPr>
                <w:ilvl w:val="0"/>
                <w:numId w:val="5"/>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2E7C38DC">
            <w:pPr>
              <w:widowControl/>
              <w:ind w:firstLine="0" w:firstLineChars="0"/>
              <w:jc w:val="center"/>
              <w:textAlignment w:val="center"/>
              <w:rPr>
                <w:rFonts w:cs="宋体"/>
                <w:sz w:val="22"/>
                <w:szCs w:val="22"/>
              </w:rPr>
            </w:pPr>
            <w:r>
              <w:rPr>
                <w:rFonts w:hint="eastAsia" w:cs="宋体"/>
                <w:color w:val="000000"/>
                <w:kern w:val="0"/>
                <w:sz w:val="22"/>
                <w:szCs w:val="22"/>
              </w:rPr>
              <w:t>档案事项新增及变更-新增事项：死亡医学证明档案查询事项</w:t>
            </w:r>
          </w:p>
        </w:tc>
        <w:tc>
          <w:tcPr>
            <w:tcW w:w="4828" w:type="dxa"/>
            <w:tcBorders>
              <w:top w:val="single" w:color="000000" w:sz="4" w:space="0"/>
              <w:left w:val="single" w:color="000000" w:sz="4" w:space="0"/>
              <w:bottom w:val="single" w:color="000000" w:sz="4" w:space="0"/>
              <w:right w:val="single" w:color="000000" w:sz="4" w:space="0"/>
            </w:tcBorders>
            <w:vAlign w:val="center"/>
          </w:tcPr>
          <w:p w14:paraId="61BB6EEC">
            <w:pPr>
              <w:widowControl/>
              <w:ind w:firstLine="0" w:firstLineChars="0"/>
              <w:jc w:val="left"/>
              <w:textAlignment w:val="center"/>
              <w:rPr>
                <w:rFonts w:cs="宋体"/>
                <w:sz w:val="22"/>
                <w:szCs w:val="22"/>
              </w:rPr>
            </w:pPr>
            <w:r>
              <w:rPr>
                <w:rFonts w:hint="eastAsia" w:cs="宋体"/>
                <w:color w:val="000000"/>
                <w:kern w:val="0"/>
                <w:sz w:val="22"/>
                <w:szCs w:val="22"/>
              </w:rPr>
              <w:t>新增事项死亡医学证明档案查询事项并支持远程虚拟窗口服务。目前新增事项需同步处理窗口受理页面、虚拟远程窗口页面。</w:t>
            </w:r>
          </w:p>
        </w:tc>
      </w:tr>
      <w:tr w14:paraId="7497A262">
        <w:tblPrEx>
          <w:tblCellMar>
            <w:top w:w="0" w:type="dxa"/>
            <w:left w:w="108" w:type="dxa"/>
            <w:bottom w:w="0" w:type="dxa"/>
            <w:right w:w="108" w:type="dxa"/>
          </w:tblCellMar>
        </w:tblPrEx>
        <w:trPr>
          <w:trHeight w:val="803"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02887076">
            <w:pPr>
              <w:widowControl/>
              <w:numPr>
                <w:ilvl w:val="0"/>
                <w:numId w:val="5"/>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720B3F90">
            <w:pPr>
              <w:widowControl/>
              <w:ind w:firstLine="0" w:firstLineChars="0"/>
              <w:jc w:val="center"/>
              <w:textAlignment w:val="center"/>
              <w:rPr>
                <w:rFonts w:cs="宋体"/>
                <w:sz w:val="22"/>
                <w:szCs w:val="22"/>
              </w:rPr>
            </w:pPr>
            <w:r>
              <w:rPr>
                <w:rFonts w:hint="eastAsia" w:cs="宋体"/>
                <w:color w:val="000000"/>
                <w:kern w:val="0"/>
                <w:sz w:val="22"/>
                <w:szCs w:val="22"/>
              </w:rPr>
              <w:t>档案事项新增及变更-国产化适配调整</w:t>
            </w:r>
          </w:p>
        </w:tc>
        <w:tc>
          <w:tcPr>
            <w:tcW w:w="4828" w:type="dxa"/>
            <w:tcBorders>
              <w:top w:val="single" w:color="000000" w:sz="4" w:space="0"/>
              <w:left w:val="single" w:color="000000" w:sz="4" w:space="0"/>
              <w:bottom w:val="single" w:color="000000" w:sz="4" w:space="0"/>
              <w:right w:val="single" w:color="000000" w:sz="4" w:space="0"/>
            </w:tcBorders>
            <w:vAlign w:val="center"/>
          </w:tcPr>
          <w:p w14:paraId="430D29E7">
            <w:pPr>
              <w:widowControl/>
              <w:ind w:firstLine="0" w:firstLineChars="0"/>
              <w:jc w:val="left"/>
              <w:textAlignment w:val="center"/>
              <w:rPr>
                <w:rFonts w:cs="宋体"/>
                <w:sz w:val="22"/>
                <w:szCs w:val="22"/>
              </w:rPr>
            </w:pPr>
            <w:r>
              <w:rPr>
                <w:rFonts w:hint="eastAsia" w:cs="宋体"/>
                <w:color w:val="000000"/>
                <w:kern w:val="0"/>
                <w:sz w:val="22"/>
                <w:szCs w:val="22"/>
              </w:rPr>
              <w:t>适配档案国产化系统切换调整，为适配档案后端国产化内容调整，受理系统进行对接路径切换，页面适配测试及调整。</w:t>
            </w:r>
          </w:p>
        </w:tc>
      </w:tr>
      <w:tr w14:paraId="5BCB9A6B">
        <w:tblPrEx>
          <w:tblCellMar>
            <w:top w:w="0" w:type="dxa"/>
            <w:left w:w="108" w:type="dxa"/>
            <w:bottom w:w="0" w:type="dxa"/>
            <w:right w:w="108" w:type="dxa"/>
          </w:tblCellMar>
        </w:tblPrEx>
        <w:trPr>
          <w:trHeight w:val="556"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2D073E2D">
            <w:pPr>
              <w:widowControl/>
              <w:numPr>
                <w:ilvl w:val="0"/>
                <w:numId w:val="5"/>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3D34B5DE">
            <w:pPr>
              <w:widowControl/>
              <w:ind w:firstLine="0" w:firstLineChars="0"/>
              <w:jc w:val="center"/>
              <w:textAlignment w:val="center"/>
              <w:rPr>
                <w:rFonts w:cs="宋体"/>
                <w:sz w:val="22"/>
                <w:szCs w:val="22"/>
              </w:rPr>
            </w:pPr>
            <w:r>
              <w:rPr>
                <w:rFonts w:hint="eastAsia" w:cs="宋体"/>
                <w:color w:val="000000"/>
                <w:kern w:val="0"/>
                <w:sz w:val="22"/>
                <w:szCs w:val="22"/>
              </w:rPr>
              <w:t>住建事项新增-配售型住房事项</w:t>
            </w:r>
          </w:p>
        </w:tc>
        <w:tc>
          <w:tcPr>
            <w:tcW w:w="4828" w:type="dxa"/>
            <w:tcBorders>
              <w:top w:val="single" w:color="000000" w:sz="4" w:space="0"/>
              <w:left w:val="single" w:color="000000" w:sz="4" w:space="0"/>
              <w:bottom w:val="single" w:color="000000" w:sz="4" w:space="0"/>
              <w:right w:val="single" w:color="000000" w:sz="4" w:space="0"/>
            </w:tcBorders>
            <w:vAlign w:val="center"/>
          </w:tcPr>
          <w:p w14:paraId="5CB7BC75">
            <w:pPr>
              <w:widowControl/>
              <w:ind w:firstLine="0" w:firstLineChars="0"/>
              <w:jc w:val="left"/>
              <w:textAlignment w:val="center"/>
              <w:rPr>
                <w:rFonts w:cs="宋体"/>
                <w:sz w:val="22"/>
                <w:szCs w:val="22"/>
              </w:rPr>
            </w:pPr>
            <w:r>
              <w:rPr>
                <w:rFonts w:hint="eastAsia" w:cs="宋体"/>
                <w:color w:val="000000"/>
                <w:kern w:val="0"/>
                <w:sz w:val="22"/>
                <w:szCs w:val="22"/>
              </w:rPr>
              <w:t>新增配售型住房事项，根据流转要求添加配售型住房中心流转功能，包括人员信息，家庭信息，住房信息，财产收入信息等子页面。</w:t>
            </w:r>
          </w:p>
        </w:tc>
      </w:tr>
      <w:tr w14:paraId="18312D3D">
        <w:tblPrEx>
          <w:tblCellMar>
            <w:top w:w="0" w:type="dxa"/>
            <w:left w:w="108" w:type="dxa"/>
            <w:bottom w:w="0" w:type="dxa"/>
            <w:right w:w="108"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11FCA47D">
            <w:pPr>
              <w:widowControl/>
              <w:numPr>
                <w:ilvl w:val="0"/>
                <w:numId w:val="5"/>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19CFF7EE">
            <w:pPr>
              <w:widowControl/>
              <w:ind w:firstLine="0" w:firstLineChars="0"/>
              <w:jc w:val="center"/>
              <w:textAlignment w:val="center"/>
              <w:rPr>
                <w:rFonts w:cs="宋体"/>
                <w:sz w:val="22"/>
                <w:szCs w:val="22"/>
              </w:rPr>
            </w:pPr>
            <w:r>
              <w:rPr>
                <w:rFonts w:hint="eastAsia" w:cs="宋体"/>
                <w:color w:val="000000"/>
                <w:kern w:val="0"/>
                <w:sz w:val="22"/>
                <w:szCs w:val="22"/>
              </w:rPr>
              <w:t>卫健事项新增-育儿补贴事项</w:t>
            </w:r>
          </w:p>
        </w:tc>
        <w:tc>
          <w:tcPr>
            <w:tcW w:w="4828" w:type="dxa"/>
            <w:tcBorders>
              <w:top w:val="single" w:color="000000" w:sz="4" w:space="0"/>
              <w:left w:val="single" w:color="000000" w:sz="4" w:space="0"/>
              <w:bottom w:val="single" w:color="000000" w:sz="4" w:space="0"/>
              <w:right w:val="single" w:color="000000" w:sz="4" w:space="0"/>
            </w:tcBorders>
            <w:vAlign w:val="center"/>
          </w:tcPr>
          <w:p w14:paraId="5B36D0DC">
            <w:pPr>
              <w:widowControl/>
              <w:ind w:firstLine="0" w:firstLineChars="0"/>
              <w:jc w:val="left"/>
              <w:textAlignment w:val="center"/>
              <w:rPr>
                <w:rFonts w:cs="宋体"/>
                <w:sz w:val="22"/>
                <w:szCs w:val="22"/>
              </w:rPr>
            </w:pPr>
            <w:r>
              <w:rPr>
                <w:rFonts w:hint="eastAsia" w:cs="宋体"/>
                <w:color w:val="000000"/>
                <w:kern w:val="0"/>
                <w:sz w:val="22"/>
                <w:szCs w:val="22"/>
              </w:rPr>
              <w:t>根据国家卫健委实施育儿补贴政策，新增育儿补贴事项。目前新增事项需同步处理窗口受理页面、虚拟远程窗口页面。</w:t>
            </w:r>
          </w:p>
        </w:tc>
      </w:tr>
      <w:tr w14:paraId="5444687A">
        <w:tblPrEx>
          <w:tblCellMar>
            <w:top w:w="0" w:type="dxa"/>
            <w:left w:w="108" w:type="dxa"/>
            <w:bottom w:w="0" w:type="dxa"/>
            <w:right w:w="108"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4D8FD9E5">
            <w:pPr>
              <w:widowControl/>
              <w:numPr>
                <w:ilvl w:val="0"/>
                <w:numId w:val="5"/>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5D7B91B4">
            <w:pPr>
              <w:widowControl/>
              <w:ind w:firstLine="0" w:firstLineChars="0"/>
              <w:jc w:val="center"/>
              <w:textAlignment w:val="center"/>
              <w:rPr>
                <w:rFonts w:cs="宋体"/>
                <w:sz w:val="22"/>
                <w:szCs w:val="22"/>
              </w:rPr>
            </w:pPr>
            <w:r>
              <w:rPr>
                <w:rFonts w:hint="eastAsia" w:cs="宋体"/>
                <w:color w:val="000000"/>
                <w:kern w:val="0"/>
                <w:sz w:val="22"/>
                <w:szCs w:val="22"/>
              </w:rPr>
              <w:t>人社事项新增及变更-新增功能：综合查询(业务轨迹)</w:t>
            </w:r>
          </w:p>
        </w:tc>
        <w:tc>
          <w:tcPr>
            <w:tcW w:w="4828" w:type="dxa"/>
            <w:tcBorders>
              <w:top w:val="single" w:color="000000" w:sz="4" w:space="0"/>
              <w:left w:val="single" w:color="000000" w:sz="4" w:space="0"/>
              <w:bottom w:val="single" w:color="000000" w:sz="4" w:space="0"/>
              <w:right w:val="single" w:color="000000" w:sz="4" w:space="0"/>
            </w:tcBorders>
            <w:vAlign w:val="center"/>
          </w:tcPr>
          <w:p w14:paraId="45FC80C8">
            <w:pPr>
              <w:widowControl/>
              <w:ind w:firstLine="0" w:firstLineChars="0"/>
              <w:jc w:val="left"/>
              <w:textAlignment w:val="center"/>
              <w:rPr>
                <w:rFonts w:cs="宋体"/>
                <w:sz w:val="22"/>
                <w:szCs w:val="22"/>
              </w:rPr>
            </w:pPr>
            <w:r>
              <w:rPr>
                <w:rFonts w:hint="eastAsia" w:cs="宋体"/>
                <w:color w:val="000000"/>
                <w:kern w:val="0"/>
                <w:sz w:val="22"/>
                <w:szCs w:val="22"/>
              </w:rPr>
              <w:t>增加查询功能:增加“综合查询(业务轨迹)”查询功能，根据人员信息获取当前人员事项变更轨迹信息，包括轨迹内容：申请对象、事项名称、申请时间、操作人、已办节点、操作状态等。</w:t>
            </w:r>
          </w:p>
        </w:tc>
      </w:tr>
      <w:tr w14:paraId="44ADF548">
        <w:tblPrEx>
          <w:tblCellMar>
            <w:top w:w="0" w:type="dxa"/>
            <w:left w:w="108" w:type="dxa"/>
            <w:bottom w:w="0" w:type="dxa"/>
            <w:right w:w="108" w:type="dxa"/>
          </w:tblCellMar>
        </w:tblPrEx>
        <w:trPr>
          <w:trHeight w:val="26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4476B81B">
            <w:pPr>
              <w:widowControl/>
              <w:numPr>
                <w:ilvl w:val="0"/>
                <w:numId w:val="5"/>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4615CD3F">
            <w:pPr>
              <w:widowControl/>
              <w:ind w:firstLine="0" w:firstLineChars="0"/>
              <w:jc w:val="center"/>
              <w:textAlignment w:val="center"/>
              <w:rPr>
                <w:rFonts w:cs="宋体"/>
                <w:sz w:val="22"/>
                <w:szCs w:val="22"/>
              </w:rPr>
            </w:pPr>
            <w:r>
              <w:rPr>
                <w:rFonts w:hint="eastAsia" w:cs="宋体"/>
                <w:color w:val="000000"/>
                <w:kern w:val="0"/>
                <w:sz w:val="22"/>
                <w:szCs w:val="22"/>
              </w:rPr>
              <w:t>人社事项新增及变更-变更事项：申请领取失业保险金</w:t>
            </w:r>
          </w:p>
        </w:tc>
        <w:tc>
          <w:tcPr>
            <w:tcW w:w="4828" w:type="dxa"/>
            <w:tcBorders>
              <w:top w:val="single" w:color="000000" w:sz="4" w:space="0"/>
              <w:left w:val="single" w:color="000000" w:sz="4" w:space="0"/>
              <w:bottom w:val="single" w:color="000000" w:sz="4" w:space="0"/>
              <w:right w:val="single" w:color="000000" w:sz="4" w:space="0"/>
            </w:tcBorders>
            <w:vAlign w:val="center"/>
          </w:tcPr>
          <w:p w14:paraId="4BBCBC79">
            <w:pPr>
              <w:widowControl/>
              <w:ind w:firstLine="0" w:firstLineChars="0"/>
              <w:jc w:val="left"/>
              <w:textAlignment w:val="center"/>
              <w:rPr>
                <w:rFonts w:cs="宋体"/>
                <w:sz w:val="22"/>
                <w:szCs w:val="22"/>
              </w:rPr>
            </w:pPr>
            <w:r>
              <w:rPr>
                <w:rFonts w:hint="eastAsia" w:cs="宋体"/>
                <w:color w:val="000000"/>
                <w:kern w:val="0"/>
                <w:sz w:val="22"/>
                <w:szCs w:val="22"/>
              </w:rPr>
              <w:t>根据人社局金保二期建设进度，人社对接受理系统失业登记（本市户籍）/（非本市户籍）事项（对应2个业务情形）需要进行相关翻建改造，需要按中台+办件库中转方式重新对接事项，按金保二期最新要求重建事项在受理系统3.0的页面、远程虚拟窗口服务接口。</w:t>
            </w:r>
          </w:p>
        </w:tc>
      </w:tr>
      <w:tr w14:paraId="1D53CCF8">
        <w:tblPrEx>
          <w:tblCellMar>
            <w:top w:w="0" w:type="dxa"/>
            <w:left w:w="108" w:type="dxa"/>
            <w:bottom w:w="0" w:type="dxa"/>
            <w:right w:w="108" w:type="dxa"/>
          </w:tblCellMar>
        </w:tblPrEx>
        <w:trPr>
          <w:trHeight w:val="814"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3112922A">
            <w:pPr>
              <w:widowControl/>
              <w:numPr>
                <w:ilvl w:val="0"/>
                <w:numId w:val="5"/>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6068E25C">
            <w:pPr>
              <w:widowControl/>
              <w:ind w:firstLine="0" w:firstLineChars="0"/>
              <w:jc w:val="center"/>
              <w:textAlignment w:val="center"/>
              <w:rPr>
                <w:rFonts w:cs="宋体"/>
                <w:sz w:val="22"/>
                <w:szCs w:val="22"/>
              </w:rPr>
            </w:pPr>
            <w:r>
              <w:rPr>
                <w:rFonts w:hint="eastAsia" w:cs="宋体"/>
                <w:color w:val="000000"/>
                <w:kern w:val="0"/>
                <w:sz w:val="22"/>
                <w:szCs w:val="22"/>
              </w:rPr>
              <w:t>人社事项新增及变更-变更事项：失业登记（本市户籍）/（非本市户籍）</w:t>
            </w:r>
          </w:p>
        </w:tc>
        <w:tc>
          <w:tcPr>
            <w:tcW w:w="4828" w:type="dxa"/>
            <w:tcBorders>
              <w:top w:val="single" w:color="000000" w:sz="4" w:space="0"/>
              <w:left w:val="single" w:color="000000" w:sz="4" w:space="0"/>
              <w:bottom w:val="single" w:color="000000" w:sz="4" w:space="0"/>
              <w:right w:val="single" w:color="000000" w:sz="4" w:space="0"/>
            </w:tcBorders>
            <w:vAlign w:val="center"/>
          </w:tcPr>
          <w:p w14:paraId="433D3C65">
            <w:pPr>
              <w:widowControl/>
              <w:ind w:firstLine="0" w:firstLineChars="0"/>
              <w:jc w:val="left"/>
              <w:textAlignment w:val="center"/>
              <w:rPr>
                <w:rFonts w:cs="宋体"/>
                <w:sz w:val="22"/>
                <w:szCs w:val="22"/>
              </w:rPr>
            </w:pPr>
            <w:r>
              <w:rPr>
                <w:rFonts w:hint="eastAsia" w:cs="宋体"/>
                <w:color w:val="000000"/>
                <w:kern w:val="0"/>
                <w:sz w:val="22"/>
                <w:szCs w:val="22"/>
              </w:rPr>
              <w:t>根据人社局金保二期建设进度，人社对接受理系统失业登记（本市户籍）/（非本市户籍）事项（对应2个业务情形）需要进行相关翻建改造，需要按中台+办件库中转方式重新对接事项，按金保二期最新要求重建事项在受理系统3.0的页面、远程虚拟窗口服务接口。</w:t>
            </w:r>
          </w:p>
        </w:tc>
      </w:tr>
      <w:tr w14:paraId="444EEB86">
        <w:tblPrEx>
          <w:tblCellMar>
            <w:top w:w="0" w:type="dxa"/>
            <w:left w:w="108" w:type="dxa"/>
            <w:bottom w:w="0" w:type="dxa"/>
            <w:right w:w="108" w:type="dxa"/>
          </w:tblCellMar>
        </w:tblPrEx>
        <w:trPr>
          <w:trHeight w:val="1271"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336EED22">
            <w:pPr>
              <w:widowControl/>
              <w:numPr>
                <w:ilvl w:val="0"/>
                <w:numId w:val="5"/>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2720AF3F">
            <w:pPr>
              <w:widowControl/>
              <w:ind w:firstLine="0" w:firstLineChars="0"/>
              <w:jc w:val="center"/>
              <w:textAlignment w:val="center"/>
              <w:rPr>
                <w:rFonts w:cs="宋体"/>
                <w:sz w:val="22"/>
                <w:szCs w:val="22"/>
              </w:rPr>
            </w:pPr>
            <w:r>
              <w:rPr>
                <w:rFonts w:hint="eastAsia" w:cs="宋体"/>
                <w:color w:val="000000"/>
                <w:kern w:val="0"/>
                <w:sz w:val="22"/>
                <w:szCs w:val="22"/>
              </w:rPr>
              <w:t>人社事项新增及变更-变更事项：《就业创业证》申领</w:t>
            </w:r>
          </w:p>
        </w:tc>
        <w:tc>
          <w:tcPr>
            <w:tcW w:w="4828" w:type="dxa"/>
            <w:tcBorders>
              <w:top w:val="single" w:color="000000" w:sz="4" w:space="0"/>
              <w:left w:val="single" w:color="000000" w:sz="4" w:space="0"/>
              <w:bottom w:val="single" w:color="000000" w:sz="4" w:space="0"/>
              <w:right w:val="single" w:color="000000" w:sz="4" w:space="0"/>
            </w:tcBorders>
            <w:vAlign w:val="center"/>
          </w:tcPr>
          <w:p w14:paraId="5689B65F">
            <w:pPr>
              <w:widowControl/>
              <w:ind w:firstLine="0" w:firstLineChars="0"/>
              <w:jc w:val="left"/>
              <w:textAlignment w:val="center"/>
              <w:rPr>
                <w:rFonts w:cs="宋体"/>
                <w:sz w:val="22"/>
                <w:szCs w:val="22"/>
              </w:rPr>
            </w:pPr>
            <w:r>
              <w:rPr>
                <w:rFonts w:hint="eastAsia" w:cs="宋体"/>
                <w:color w:val="000000"/>
                <w:kern w:val="0"/>
                <w:sz w:val="22"/>
                <w:szCs w:val="22"/>
              </w:rPr>
              <w:t>根据人社局金保二期建设进度，人社对接受理系统《就业创业证》申领事项（对应2个业务情形）需要进行相关翻建改造，需要按中台+办件库中转方式重新对接事项，按金保二期最新要求重建事项在受理系统3.0的页面、远程虚拟窗口服务接口。</w:t>
            </w:r>
          </w:p>
        </w:tc>
      </w:tr>
      <w:tr w14:paraId="3EA9C373">
        <w:tblPrEx>
          <w:tblCellMar>
            <w:top w:w="0" w:type="dxa"/>
            <w:left w:w="108" w:type="dxa"/>
            <w:bottom w:w="0" w:type="dxa"/>
            <w:right w:w="108"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04CBDB8D">
            <w:pPr>
              <w:widowControl/>
              <w:numPr>
                <w:ilvl w:val="0"/>
                <w:numId w:val="5"/>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221ECFE0">
            <w:pPr>
              <w:widowControl/>
              <w:ind w:firstLine="0" w:firstLineChars="0"/>
              <w:jc w:val="center"/>
              <w:textAlignment w:val="center"/>
              <w:rPr>
                <w:rFonts w:cs="宋体"/>
                <w:sz w:val="22"/>
                <w:szCs w:val="22"/>
              </w:rPr>
            </w:pPr>
            <w:r>
              <w:rPr>
                <w:rFonts w:hint="eastAsia" w:cs="宋体"/>
                <w:color w:val="000000"/>
                <w:kern w:val="0"/>
                <w:sz w:val="22"/>
                <w:szCs w:val="22"/>
              </w:rPr>
              <w:t>人社事项新增及变更-变更事项：就业困难人员申请</w:t>
            </w:r>
          </w:p>
        </w:tc>
        <w:tc>
          <w:tcPr>
            <w:tcW w:w="4828" w:type="dxa"/>
            <w:tcBorders>
              <w:top w:val="single" w:color="000000" w:sz="4" w:space="0"/>
              <w:left w:val="single" w:color="000000" w:sz="4" w:space="0"/>
              <w:bottom w:val="single" w:color="000000" w:sz="4" w:space="0"/>
              <w:right w:val="single" w:color="000000" w:sz="4" w:space="0"/>
            </w:tcBorders>
            <w:vAlign w:val="center"/>
          </w:tcPr>
          <w:p w14:paraId="0C1ADBD0">
            <w:pPr>
              <w:widowControl/>
              <w:ind w:firstLine="0" w:firstLineChars="0"/>
              <w:jc w:val="left"/>
              <w:textAlignment w:val="center"/>
              <w:rPr>
                <w:rFonts w:cs="宋体"/>
                <w:sz w:val="22"/>
                <w:szCs w:val="22"/>
              </w:rPr>
            </w:pPr>
            <w:r>
              <w:rPr>
                <w:rFonts w:hint="eastAsia" w:cs="宋体"/>
                <w:color w:val="000000"/>
                <w:kern w:val="0"/>
                <w:sz w:val="22"/>
                <w:szCs w:val="22"/>
              </w:rPr>
              <w:t>根据人社局金保二期建设进度，人社对接受理系统就业困难人员申请事项需要进行相关翻建改造，需要按中台+办件库中转方式重新对接事项，按金保二期最新要求重建事项在受理系统3.0的页面、远程虚拟窗口服务接口。</w:t>
            </w:r>
          </w:p>
        </w:tc>
      </w:tr>
      <w:tr w14:paraId="50875287">
        <w:tblPrEx>
          <w:tblCellMar>
            <w:top w:w="0" w:type="dxa"/>
            <w:left w:w="108" w:type="dxa"/>
            <w:bottom w:w="0" w:type="dxa"/>
            <w:right w:w="108" w:type="dxa"/>
          </w:tblCellMar>
        </w:tblPrEx>
        <w:trPr>
          <w:trHeight w:val="1153"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12D4AA56">
            <w:pPr>
              <w:widowControl/>
              <w:numPr>
                <w:ilvl w:val="0"/>
                <w:numId w:val="5"/>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63468ADB">
            <w:pPr>
              <w:widowControl/>
              <w:ind w:firstLine="0" w:firstLineChars="0"/>
              <w:jc w:val="center"/>
              <w:textAlignment w:val="center"/>
              <w:rPr>
                <w:rFonts w:cs="宋体"/>
                <w:sz w:val="22"/>
                <w:szCs w:val="22"/>
              </w:rPr>
            </w:pPr>
            <w:r>
              <w:rPr>
                <w:rFonts w:hint="eastAsia" w:cs="宋体"/>
                <w:color w:val="000000"/>
                <w:kern w:val="0"/>
                <w:sz w:val="22"/>
                <w:szCs w:val="22"/>
              </w:rPr>
              <w:t>人社事项新增及变更-变更事项：灵活就业登记/退出</w:t>
            </w:r>
          </w:p>
        </w:tc>
        <w:tc>
          <w:tcPr>
            <w:tcW w:w="4828" w:type="dxa"/>
            <w:tcBorders>
              <w:top w:val="single" w:color="000000" w:sz="4" w:space="0"/>
              <w:left w:val="single" w:color="000000" w:sz="4" w:space="0"/>
              <w:bottom w:val="single" w:color="000000" w:sz="4" w:space="0"/>
              <w:right w:val="single" w:color="000000" w:sz="4" w:space="0"/>
            </w:tcBorders>
            <w:vAlign w:val="center"/>
          </w:tcPr>
          <w:p w14:paraId="5A148234">
            <w:pPr>
              <w:widowControl/>
              <w:ind w:firstLine="0" w:firstLineChars="0"/>
              <w:jc w:val="left"/>
              <w:textAlignment w:val="center"/>
              <w:rPr>
                <w:rFonts w:cs="宋体"/>
                <w:sz w:val="22"/>
                <w:szCs w:val="22"/>
              </w:rPr>
            </w:pPr>
            <w:r>
              <w:rPr>
                <w:rFonts w:hint="eastAsia" w:cs="宋体"/>
                <w:color w:val="000000"/>
                <w:kern w:val="0"/>
                <w:sz w:val="22"/>
                <w:szCs w:val="22"/>
              </w:rPr>
              <w:t>根据人社局金保二期建设进度，人社对接受理系统灵活就业登记/退出事项（对应2个业务情形）需要进行相关翻建改造，需要按中台+办件库中转方式重新对接事项，按金保二期最新要求重建事项在受理系统3.0的页面、远程虚拟窗口服务接口。</w:t>
            </w:r>
          </w:p>
        </w:tc>
      </w:tr>
      <w:tr w14:paraId="1970B6B5">
        <w:tblPrEx>
          <w:tblCellMar>
            <w:top w:w="0" w:type="dxa"/>
            <w:left w:w="108" w:type="dxa"/>
            <w:bottom w:w="0" w:type="dxa"/>
            <w:right w:w="108"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09C57FC1">
            <w:pPr>
              <w:widowControl/>
              <w:numPr>
                <w:ilvl w:val="0"/>
                <w:numId w:val="5"/>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20D721E7">
            <w:pPr>
              <w:widowControl/>
              <w:ind w:firstLine="0" w:firstLineChars="0"/>
              <w:jc w:val="center"/>
              <w:textAlignment w:val="center"/>
              <w:rPr>
                <w:rFonts w:cs="宋体"/>
                <w:sz w:val="22"/>
                <w:szCs w:val="22"/>
              </w:rPr>
            </w:pPr>
            <w:r>
              <w:rPr>
                <w:rFonts w:hint="eastAsia" w:cs="宋体"/>
                <w:color w:val="000000"/>
                <w:kern w:val="0"/>
                <w:sz w:val="22"/>
                <w:szCs w:val="22"/>
              </w:rPr>
              <w:t>人社事项新增及变更-变更事项：就业困难人员退出申请</w:t>
            </w:r>
          </w:p>
        </w:tc>
        <w:tc>
          <w:tcPr>
            <w:tcW w:w="4828" w:type="dxa"/>
            <w:tcBorders>
              <w:top w:val="single" w:color="000000" w:sz="4" w:space="0"/>
              <w:left w:val="single" w:color="000000" w:sz="4" w:space="0"/>
              <w:bottom w:val="single" w:color="000000" w:sz="4" w:space="0"/>
              <w:right w:val="single" w:color="000000" w:sz="4" w:space="0"/>
            </w:tcBorders>
            <w:vAlign w:val="center"/>
          </w:tcPr>
          <w:p w14:paraId="645D8BA8">
            <w:pPr>
              <w:widowControl/>
              <w:ind w:firstLine="0" w:firstLineChars="0"/>
              <w:jc w:val="left"/>
              <w:textAlignment w:val="center"/>
              <w:rPr>
                <w:rFonts w:cs="宋体"/>
                <w:sz w:val="22"/>
                <w:szCs w:val="22"/>
              </w:rPr>
            </w:pPr>
            <w:r>
              <w:rPr>
                <w:rFonts w:hint="eastAsia" w:cs="宋体"/>
                <w:color w:val="000000"/>
                <w:kern w:val="0"/>
                <w:sz w:val="22"/>
                <w:szCs w:val="22"/>
              </w:rPr>
              <w:t>根据人社局金保二期建设进度，人社对接受理系统就业困难人员退出申请事项需要进行相关翻建改造，需要按中台+办件库中转方式重新对接事项，按金保二期最新要求重建事项在受理系统3.0的页面、远程虚拟窗口服务接口。</w:t>
            </w:r>
          </w:p>
        </w:tc>
      </w:tr>
      <w:tr w14:paraId="0BCB4491">
        <w:tblPrEx>
          <w:tblCellMar>
            <w:top w:w="0" w:type="dxa"/>
            <w:left w:w="108" w:type="dxa"/>
            <w:bottom w:w="0" w:type="dxa"/>
            <w:right w:w="108" w:type="dxa"/>
          </w:tblCellMar>
        </w:tblPrEx>
        <w:trPr>
          <w:trHeight w:val="237"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44E613C6">
            <w:pPr>
              <w:widowControl/>
              <w:numPr>
                <w:ilvl w:val="0"/>
                <w:numId w:val="5"/>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6D34DCCA">
            <w:pPr>
              <w:widowControl/>
              <w:ind w:firstLine="0" w:firstLineChars="0"/>
              <w:jc w:val="center"/>
              <w:textAlignment w:val="center"/>
              <w:rPr>
                <w:rFonts w:cs="宋体"/>
                <w:sz w:val="22"/>
                <w:szCs w:val="22"/>
              </w:rPr>
            </w:pPr>
            <w:r>
              <w:rPr>
                <w:rFonts w:hint="eastAsia" w:cs="宋体"/>
                <w:color w:val="000000"/>
                <w:kern w:val="0"/>
                <w:sz w:val="22"/>
                <w:szCs w:val="22"/>
              </w:rPr>
              <w:t>人社事项新增及变更-变更事项：劳动者个人基本信息查询及维护</w:t>
            </w:r>
          </w:p>
        </w:tc>
        <w:tc>
          <w:tcPr>
            <w:tcW w:w="4828" w:type="dxa"/>
            <w:tcBorders>
              <w:top w:val="single" w:color="000000" w:sz="4" w:space="0"/>
              <w:left w:val="single" w:color="000000" w:sz="4" w:space="0"/>
              <w:bottom w:val="single" w:color="000000" w:sz="4" w:space="0"/>
              <w:right w:val="single" w:color="000000" w:sz="4" w:space="0"/>
            </w:tcBorders>
            <w:vAlign w:val="center"/>
          </w:tcPr>
          <w:p w14:paraId="023A3745">
            <w:pPr>
              <w:widowControl/>
              <w:ind w:firstLine="0" w:firstLineChars="0"/>
              <w:jc w:val="left"/>
              <w:textAlignment w:val="center"/>
              <w:rPr>
                <w:rFonts w:cs="宋体"/>
                <w:sz w:val="22"/>
                <w:szCs w:val="22"/>
              </w:rPr>
            </w:pPr>
            <w:r>
              <w:rPr>
                <w:rFonts w:hint="eastAsia" w:cs="宋体"/>
                <w:color w:val="000000"/>
                <w:kern w:val="0"/>
                <w:sz w:val="22"/>
                <w:szCs w:val="22"/>
              </w:rPr>
              <w:t>根据人社局金保二期建设进度，人社对接受理系统劳动者个人基本信息查询及维护事项需要进行相关翻建改造，需要按中台+办件库中转方式重新对接事项，按金保二期最新要求重建事项在受理系统3.0的页面、远程虚拟窗口服务接口。</w:t>
            </w:r>
          </w:p>
        </w:tc>
      </w:tr>
      <w:tr w14:paraId="2FCDE661">
        <w:tblPrEx>
          <w:tblCellMar>
            <w:top w:w="0" w:type="dxa"/>
            <w:left w:w="108" w:type="dxa"/>
            <w:bottom w:w="0" w:type="dxa"/>
            <w:right w:w="108" w:type="dxa"/>
          </w:tblCellMar>
        </w:tblPrEx>
        <w:trPr>
          <w:trHeight w:val="288"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0D25780E">
            <w:pPr>
              <w:widowControl/>
              <w:numPr>
                <w:ilvl w:val="0"/>
                <w:numId w:val="5"/>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33A64B08">
            <w:pPr>
              <w:widowControl/>
              <w:ind w:firstLine="0" w:firstLineChars="0"/>
              <w:jc w:val="center"/>
              <w:textAlignment w:val="center"/>
              <w:rPr>
                <w:rFonts w:cs="宋体"/>
                <w:sz w:val="22"/>
                <w:szCs w:val="22"/>
              </w:rPr>
            </w:pPr>
            <w:r>
              <w:rPr>
                <w:rFonts w:hint="eastAsia" w:cs="宋体"/>
                <w:color w:val="000000"/>
                <w:kern w:val="0"/>
                <w:sz w:val="22"/>
                <w:szCs w:val="22"/>
              </w:rPr>
              <w:t>人社事项新增及变更-变更事项：个人申领郊区农村富余劳动力跨区非农就业补贴申请</w:t>
            </w:r>
          </w:p>
        </w:tc>
        <w:tc>
          <w:tcPr>
            <w:tcW w:w="4828" w:type="dxa"/>
            <w:tcBorders>
              <w:top w:val="single" w:color="000000" w:sz="4" w:space="0"/>
              <w:left w:val="single" w:color="000000" w:sz="4" w:space="0"/>
              <w:bottom w:val="single" w:color="000000" w:sz="4" w:space="0"/>
              <w:right w:val="single" w:color="000000" w:sz="4" w:space="0"/>
            </w:tcBorders>
            <w:vAlign w:val="center"/>
          </w:tcPr>
          <w:p w14:paraId="66C7B743">
            <w:pPr>
              <w:widowControl/>
              <w:ind w:firstLine="0" w:firstLineChars="0"/>
              <w:jc w:val="left"/>
              <w:textAlignment w:val="center"/>
              <w:rPr>
                <w:rFonts w:cs="宋体"/>
                <w:sz w:val="22"/>
                <w:szCs w:val="22"/>
              </w:rPr>
            </w:pPr>
            <w:r>
              <w:rPr>
                <w:rFonts w:hint="eastAsia" w:cs="宋体"/>
                <w:color w:val="000000"/>
                <w:kern w:val="0"/>
                <w:sz w:val="22"/>
                <w:szCs w:val="22"/>
              </w:rPr>
              <w:t>根据人社局金保二期建设进度，人社对接受理系统个人申领郊区农村富余劳动力跨区非农就业补贴申请事项需要进行相关翻建改造，需要按中台+办件库中转方式重新对接事项，按金保二期最新要求重建事项在受理系统3.0的页面、远程虚拟窗口服务接口。</w:t>
            </w:r>
          </w:p>
        </w:tc>
      </w:tr>
      <w:tr w14:paraId="45CA6C13">
        <w:tblPrEx>
          <w:tblCellMar>
            <w:top w:w="0" w:type="dxa"/>
            <w:left w:w="108" w:type="dxa"/>
            <w:bottom w:w="0" w:type="dxa"/>
            <w:right w:w="108"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34BC102A">
            <w:pPr>
              <w:widowControl/>
              <w:numPr>
                <w:ilvl w:val="0"/>
                <w:numId w:val="5"/>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6B515E17">
            <w:pPr>
              <w:widowControl/>
              <w:ind w:firstLine="0" w:firstLineChars="0"/>
              <w:jc w:val="center"/>
              <w:textAlignment w:val="center"/>
              <w:rPr>
                <w:rFonts w:cs="宋体"/>
                <w:sz w:val="22"/>
                <w:szCs w:val="22"/>
              </w:rPr>
            </w:pPr>
            <w:r>
              <w:rPr>
                <w:rFonts w:hint="eastAsia" w:cs="宋体"/>
                <w:color w:val="000000"/>
                <w:kern w:val="0"/>
                <w:sz w:val="22"/>
                <w:szCs w:val="22"/>
              </w:rPr>
              <w:t>人社事项新增及变更-变更事项：低收入农户就业补贴申请</w:t>
            </w:r>
          </w:p>
        </w:tc>
        <w:tc>
          <w:tcPr>
            <w:tcW w:w="4828" w:type="dxa"/>
            <w:tcBorders>
              <w:top w:val="single" w:color="000000" w:sz="4" w:space="0"/>
              <w:left w:val="single" w:color="000000" w:sz="4" w:space="0"/>
              <w:bottom w:val="single" w:color="000000" w:sz="4" w:space="0"/>
              <w:right w:val="single" w:color="000000" w:sz="4" w:space="0"/>
            </w:tcBorders>
            <w:vAlign w:val="center"/>
          </w:tcPr>
          <w:p w14:paraId="6565489F">
            <w:pPr>
              <w:widowControl/>
              <w:ind w:firstLine="0" w:firstLineChars="0"/>
              <w:jc w:val="left"/>
              <w:textAlignment w:val="center"/>
              <w:rPr>
                <w:rFonts w:cs="宋体"/>
                <w:sz w:val="22"/>
                <w:szCs w:val="22"/>
              </w:rPr>
            </w:pPr>
            <w:r>
              <w:rPr>
                <w:rFonts w:hint="eastAsia" w:cs="宋体"/>
                <w:color w:val="000000"/>
                <w:kern w:val="0"/>
                <w:sz w:val="22"/>
                <w:szCs w:val="22"/>
              </w:rPr>
              <w:t>根据人社局金保二期建设进度，人社对接受理系统低收入农户就业补贴申请事项需要进行相关翻建改造，需要按中台+办件库中转方式重新对接事项，按金保二期最新要求重建事项在受理系统3.0的页面、远程虚拟窗口服务接口。</w:t>
            </w:r>
          </w:p>
        </w:tc>
      </w:tr>
      <w:tr w14:paraId="1DED38C8">
        <w:tblPrEx>
          <w:tblCellMar>
            <w:top w:w="0" w:type="dxa"/>
            <w:left w:w="108" w:type="dxa"/>
            <w:bottom w:w="0" w:type="dxa"/>
            <w:right w:w="108" w:type="dxa"/>
          </w:tblCellMar>
        </w:tblPrEx>
        <w:trPr>
          <w:trHeight w:val="973"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7EE266D2">
            <w:pPr>
              <w:widowControl/>
              <w:numPr>
                <w:ilvl w:val="0"/>
                <w:numId w:val="5"/>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14A62546">
            <w:pPr>
              <w:widowControl/>
              <w:ind w:firstLine="0" w:firstLineChars="0"/>
              <w:jc w:val="center"/>
              <w:textAlignment w:val="center"/>
              <w:rPr>
                <w:rFonts w:cs="宋体"/>
                <w:sz w:val="22"/>
                <w:szCs w:val="22"/>
              </w:rPr>
            </w:pPr>
            <w:r>
              <w:rPr>
                <w:rFonts w:hint="eastAsia" w:cs="宋体"/>
                <w:color w:val="000000"/>
                <w:kern w:val="0"/>
                <w:sz w:val="22"/>
                <w:szCs w:val="22"/>
              </w:rPr>
              <w:t>人社事项新增及变更-变更事项：申请延长领取失业保险金</w:t>
            </w:r>
          </w:p>
        </w:tc>
        <w:tc>
          <w:tcPr>
            <w:tcW w:w="4828" w:type="dxa"/>
            <w:tcBorders>
              <w:top w:val="single" w:color="000000" w:sz="4" w:space="0"/>
              <w:left w:val="single" w:color="000000" w:sz="4" w:space="0"/>
              <w:bottom w:val="single" w:color="000000" w:sz="4" w:space="0"/>
              <w:right w:val="single" w:color="000000" w:sz="4" w:space="0"/>
            </w:tcBorders>
            <w:vAlign w:val="center"/>
          </w:tcPr>
          <w:p w14:paraId="7BD2837D">
            <w:pPr>
              <w:widowControl/>
              <w:ind w:firstLine="0" w:firstLineChars="0"/>
              <w:jc w:val="left"/>
              <w:textAlignment w:val="center"/>
              <w:rPr>
                <w:rFonts w:cs="宋体"/>
                <w:sz w:val="22"/>
                <w:szCs w:val="22"/>
              </w:rPr>
            </w:pPr>
            <w:r>
              <w:rPr>
                <w:rFonts w:hint="eastAsia" w:cs="宋体"/>
                <w:color w:val="000000"/>
                <w:kern w:val="0"/>
                <w:sz w:val="22"/>
                <w:szCs w:val="22"/>
              </w:rPr>
              <w:t>根据人社局金保二期建设进度，人社对接受理系统申请延长领取失业保险金事项需要进行相关翻建改造，需要按中台+办件库中转方式重新对接事项，按金保二期最新要求重建事项在受理系统3.6的页面、远程虚拟窗口服务接口。</w:t>
            </w:r>
          </w:p>
        </w:tc>
      </w:tr>
      <w:tr w14:paraId="52A21078">
        <w:tblPrEx>
          <w:tblCellMar>
            <w:top w:w="0" w:type="dxa"/>
            <w:left w:w="108" w:type="dxa"/>
            <w:bottom w:w="0" w:type="dxa"/>
            <w:right w:w="108" w:type="dxa"/>
          </w:tblCellMar>
        </w:tblPrEx>
        <w:trPr>
          <w:trHeight w:val="491"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3E3BBF93">
            <w:pPr>
              <w:widowControl/>
              <w:numPr>
                <w:ilvl w:val="0"/>
                <w:numId w:val="5"/>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77AC0276">
            <w:pPr>
              <w:widowControl/>
              <w:ind w:firstLine="0" w:firstLineChars="0"/>
              <w:jc w:val="center"/>
              <w:textAlignment w:val="center"/>
              <w:rPr>
                <w:rFonts w:cs="宋体"/>
                <w:sz w:val="22"/>
                <w:szCs w:val="22"/>
              </w:rPr>
            </w:pPr>
            <w:r>
              <w:rPr>
                <w:rFonts w:hint="eastAsia" w:cs="宋体"/>
                <w:color w:val="000000"/>
                <w:kern w:val="0"/>
                <w:sz w:val="22"/>
                <w:szCs w:val="22"/>
              </w:rPr>
              <w:t>人社事项新增及变更-变更事项：申请失业补助金</w:t>
            </w:r>
          </w:p>
        </w:tc>
        <w:tc>
          <w:tcPr>
            <w:tcW w:w="4828" w:type="dxa"/>
            <w:tcBorders>
              <w:top w:val="single" w:color="000000" w:sz="4" w:space="0"/>
              <w:left w:val="single" w:color="000000" w:sz="4" w:space="0"/>
              <w:bottom w:val="single" w:color="000000" w:sz="4" w:space="0"/>
              <w:right w:val="single" w:color="000000" w:sz="4" w:space="0"/>
            </w:tcBorders>
            <w:vAlign w:val="center"/>
          </w:tcPr>
          <w:p w14:paraId="53A8C202">
            <w:pPr>
              <w:widowControl/>
              <w:ind w:firstLine="0" w:firstLineChars="0"/>
              <w:jc w:val="left"/>
              <w:textAlignment w:val="center"/>
              <w:rPr>
                <w:rFonts w:cs="宋体"/>
                <w:sz w:val="22"/>
                <w:szCs w:val="22"/>
              </w:rPr>
            </w:pPr>
            <w:r>
              <w:rPr>
                <w:rFonts w:hint="eastAsia" w:cs="宋体"/>
                <w:color w:val="000000"/>
                <w:kern w:val="0"/>
                <w:sz w:val="22"/>
                <w:szCs w:val="22"/>
              </w:rPr>
              <w:t>根据人社局金保二期建设进度，人社对接受理系统申请失业补助金事项（对应4个业务情形）需要进行相关翻建改造，需要按中台+办件库中转方式重新对接事项，按金保二期最新要求重建事项在受理系统3.0的页面、远程虚拟窗口服务接口。</w:t>
            </w:r>
          </w:p>
        </w:tc>
      </w:tr>
      <w:tr w14:paraId="718D6C9B">
        <w:tblPrEx>
          <w:tblCellMar>
            <w:top w:w="0" w:type="dxa"/>
            <w:left w:w="108" w:type="dxa"/>
            <w:bottom w:w="0" w:type="dxa"/>
            <w:right w:w="108" w:type="dxa"/>
          </w:tblCellMar>
        </w:tblPrEx>
        <w:trPr>
          <w:trHeight w:val="54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6F38CFEE">
            <w:pPr>
              <w:widowControl/>
              <w:numPr>
                <w:ilvl w:val="0"/>
                <w:numId w:val="5"/>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499FC567">
            <w:pPr>
              <w:widowControl/>
              <w:ind w:firstLine="0" w:firstLineChars="0"/>
              <w:jc w:val="center"/>
              <w:textAlignment w:val="center"/>
              <w:rPr>
                <w:rFonts w:cs="宋体"/>
                <w:sz w:val="22"/>
                <w:szCs w:val="22"/>
              </w:rPr>
            </w:pPr>
            <w:r>
              <w:rPr>
                <w:rFonts w:hint="eastAsia" w:cs="宋体"/>
                <w:color w:val="000000"/>
                <w:kern w:val="0"/>
                <w:sz w:val="22"/>
                <w:szCs w:val="22"/>
              </w:rPr>
              <w:t>人社事项新增及变更-变更事项：申请协保人员就业岗位补贴</w:t>
            </w:r>
          </w:p>
        </w:tc>
        <w:tc>
          <w:tcPr>
            <w:tcW w:w="4828" w:type="dxa"/>
            <w:tcBorders>
              <w:top w:val="single" w:color="000000" w:sz="4" w:space="0"/>
              <w:left w:val="single" w:color="000000" w:sz="4" w:space="0"/>
              <w:bottom w:val="single" w:color="000000" w:sz="4" w:space="0"/>
              <w:right w:val="single" w:color="000000" w:sz="4" w:space="0"/>
            </w:tcBorders>
            <w:vAlign w:val="center"/>
          </w:tcPr>
          <w:p w14:paraId="7F184AFF">
            <w:pPr>
              <w:widowControl/>
              <w:ind w:firstLine="0" w:firstLineChars="0"/>
              <w:jc w:val="left"/>
              <w:textAlignment w:val="center"/>
              <w:rPr>
                <w:rFonts w:cs="宋体"/>
                <w:sz w:val="22"/>
                <w:szCs w:val="22"/>
              </w:rPr>
            </w:pPr>
            <w:r>
              <w:rPr>
                <w:rFonts w:hint="eastAsia" w:cs="宋体"/>
                <w:color w:val="000000"/>
                <w:kern w:val="0"/>
                <w:sz w:val="22"/>
                <w:szCs w:val="22"/>
              </w:rPr>
              <w:t>根据人社局金保二期建设进度，人社对接受理系统申请协保人员就业岗位补贴事项需要进行相关翻建改造，需要按中台+办件库中转方式重新对接事项，按金保二期最新要求重建事项在受理系统3.0的页面、远程虚拟窗口服务接口。</w:t>
            </w:r>
          </w:p>
        </w:tc>
      </w:tr>
      <w:tr w14:paraId="00E370D8">
        <w:tblPrEx>
          <w:tblCellMar>
            <w:top w:w="0" w:type="dxa"/>
            <w:left w:w="108" w:type="dxa"/>
            <w:bottom w:w="0" w:type="dxa"/>
            <w:right w:w="108" w:type="dxa"/>
          </w:tblCellMar>
        </w:tblPrEx>
        <w:trPr>
          <w:trHeight w:val="1123"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74AE0949">
            <w:pPr>
              <w:widowControl/>
              <w:numPr>
                <w:ilvl w:val="0"/>
                <w:numId w:val="5"/>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71E29D79">
            <w:pPr>
              <w:widowControl/>
              <w:ind w:firstLine="0" w:firstLineChars="0"/>
              <w:jc w:val="center"/>
              <w:textAlignment w:val="center"/>
              <w:rPr>
                <w:rFonts w:cs="宋体"/>
                <w:sz w:val="22"/>
                <w:szCs w:val="22"/>
              </w:rPr>
            </w:pPr>
            <w:r>
              <w:rPr>
                <w:rFonts w:hint="eastAsia" w:cs="宋体"/>
                <w:color w:val="000000"/>
                <w:kern w:val="0"/>
                <w:sz w:val="22"/>
                <w:szCs w:val="22"/>
              </w:rPr>
              <w:t>人社事项新增及变更-变更事项：申请失业丧劳特困医疗补助</w:t>
            </w:r>
          </w:p>
        </w:tc>
        <w:tc>
          <w:tcPr>
            <w:tcW w:w="4828" w:type="dxa"/>
            <w:tcBorders>
              <w:top w:val="single" w:color="000000" w:sz="4" w:space="0"/>
              <w:left w:val="single" w:color="000000" w:sz="4" w:space="0"/>
              <w:bottom w:val="single" w:color="000000" w:sz="4" w:space="0"/>
              <w:right w:val="single" w:color="000000" w:sz="4" w:space="0"/>
            </w:tcBorders>
            <w:vAlign w:val="center"/>
          </w:tcPr>
          <w:p w14:paraId="34DEEB0A">
            <w:pPr>
              <w:widowControl/>
              <w:ind w:firstLine="0" w:firstLineChars="0"/>
              <w:jc w:val="left"/>
              <w:textAlignment w:val="center"/>
              <w:rPr>
                <w:rFonts w:cs="宋体"/>
                <w:sz w:val="22"/>
                <w:szCs w:val="22"/>
              </w:rPr>
            </w:pPr>
            <w:r>
              <w:rPr>
                <w:rFonts w:hint="eastAsia" w:cs="宋体"/>
                <w:color w:val="000000"/>
                <w:kern w:val="0"/>
                <w:sz w:val="22"/>
                <w:szCs w:val="22"/>
              </w:rPr>
              <w:t>根据人社局金保二期建设进度，人社对接受理系统申请失业丧劳特困医疗补助事项需要进行相关翻建改造，需要按中台+办件库中转方式重新对接事项，按金保二期最新要求重建事项在受理系统3.0的页面、远程虚拟窗口服务接口。</w:t>
            </w:r>
          </w:p>
        </w:tc>
      </w:tr>
      <w:tr w14:paraId="56945957">
        <w:tblPrEx>
          <w:tblCellMar>
            <w:top w:w="0" w:type="dxa"/>
            <w:left w:w="108" w:type="dxa"/>
            <w:bottom w:w="0" w:type="dxa"/>
            <w:right w:w="108" w:type="dxa"/>
          </w:tblCellMar>
        </w:tblPrEx>
        <w:trPr>
          <w:trHeight w:val="1625"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0AF6A90E">
            <w:pPr>
              <w:widowControl/>
              <w:numPr>
                <w:ilvl w:val="0"/>
                <w:numId w:val="5"/>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71667050">
            <w:pPr>
              <w:widowControl/>
              <w:ind w:firstLine="0" w:firstLineChars="0"/>
              <w:jc w:val="center"/>
              <w:textAlignment w:val="center"/>
              <w:rPr>
                <w:rFonts w:cs="宋体"/>
                <w:sz w:val="22"/>
                <w:szCs w:val="22"/>
              </w:rPr>
            </w:pPr>
            <w:r>
              <w:rPr>
                <w:rFonts w:hint="eastAsia" w:cs="宋体"/>
                <w:color w:val="000000"/>
                <w:kern w:val="0"/>
                <w:sz w:val="22"/>
                <w:szCs w:val="22"/>
              </w:rPr>
              <w:t>人社事项新增及变更-变更事项：申请元旦、春节期间家庭生活困难失业人员一次性补助</w:t>
            </w:r>
          </w:p>
        </w:tc>
        <w:tc>
          <w:tcPr>
            <w:tcW w:w="4828" w:type="dxa"/>
            <w:tcBorders>
              <w:top w:val="single" w:color="000000" w:sz="4" w:space="0"/>
              <w:left w:val="single" w:color="000000" w:sz="4" w:space="0"/>
              <w:bottom w:val="single" w:color="000000" w:sz="4" w:space="0"/>
              <w:right w:val="single" w:color="000000" w:sz="4" w:space="0"/>
            </w:tcBorders>
            <w:vAlign w:val="center"/>
          </w:tcPr>
          <w:p w14:paraId="4605F7D1">
            <w:pPr>
              <w:widowControl/>
              <w:ind w:firstLine="0" w:firstLineChars="0"/>
              <w:jc w:val="left"/>
              <w:textAlignment w:val="center"/>
              <w:rPr>
                <w:rFonts w:cs="宋体"/>
                <w:sz w:val="22"/>
                <w:szCs w:val="22"/>
              </w:rPr>
            </w:pPr>
            <w:r>
              <w:rPr>
                <w:rFonts w:hint="eastAsia" w:cs="宋体"/>
                <w:color w:val="000000"/>
                <w:kern w:val="0"/>
                <w:sz w:val="22"/>
                <w:szCs w:val="22"/>
              </w:rPr>
              <w:t>根据人社局金保二期建设进度，人社对接受理系统申请元旦、春节期间家庭生活困难失业人员一次性补助事项需要进行相关翻建改造，需要按中台+办件库中转方式重新对接事项，按金保二期最新要求重建事项在受理系统3.0的页面、远程虚拟窗口服务接口。</w:t>
            </w:r>
          </w:p>
        </w:tc>
      </w:tr>
      <w:tr w14:paraId="5DA6C5C3">
        <w:tblPrEx>
          <w:tblCellMar>
            <w:top w:w="0" w:type="dxa"/>
            <w:left w:w="108" w:type="dxa"/>
            <w:bottom w:w="0" w:type="dxa"/>
            <w:right w:w="108" w:type="dxa"/>
          </w:tblCellMar>
        </w:tblPrEx>
        <w:trPr>
          <w:trHeight w:val="119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0195A805">
            <w:pPr>
              <w:widowControl/>
              <w:numPr>
                <w:ilvl w:val="0"/>
                <w:numId w:val="5"/>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01E28E1F">
            <w:pPr>
              <w:widowControl/>
              <w:ind w:firstLine="0" w:firstLineChars="0"/>
              <w:jc w:val="center"/>
              <w:textAlignment w:val="center"/>
              <w:rPr>
                <w:rFonts w:cs="宋体"/>
                <w:sz w:val="22"/>
                <w:szCs w:val="22"/>
              </w:rPr>
            </w:pPr>
            <w:r>
              <w:rPr>
                <w:rFonts w:hint="eastAsia" w:cs="宋体"/>
                <w:color w:val="000000"/>
                <w:kern w:val="0"/>
                <w:sz w:val="22"/>
                <w:szCs w:val="22"/>
              </w:rPr>
              <w:t>人社事项新增及变更-变更事项：申请丧葬补助金和抚恤金</w:t>
            </w:r>
          </w:p>
        </w:tc>
        <w:tc>
          <w:tcPr>
            <w:tcW w:w="4828" w:type="dxa"/>
            <w:tcBorders>
              <w:top w:val="single" w:color="000000" w:sz="4" w:space="0"/>
              <w:left w:val="single" w:color="000000" w:sz="4" w:space="0"/>
              <w:bottom w:val="single" w:color="000000" w:sz="4" w:space="0"/>
              <w:right w:val="single" w:color="000000" w:sz="4" w:space="0"/>
            </w:tcBorders>
            <w:vAlign w:val="center"/>
          </w:tcPr>
          <w:p w14:paraId="10A2C2F3">
            <w:pPr>
              <w:widowControl/>
              <w:ind w:firstLine="0" w:firstLineChars="0"/>
              <w:jc w:val="left"/>
              <w:textAlignment w:val="center"/>
              <w:rPr>
                <w:rFonts w:cs="宋体"/>
                <w:sz w:val="22"/>
                <w:szCs w:val="22"/>
              </w:rPr>
            </w:pPr>
            <w:r>
              <w:rPr>
                <w:rFonts w:hint="eastAsia" w:cs="宋体"/>
                <w:color w:val="000000"/>
                <w:kern w:val="0"/>
                <w:sz w:val="22"/>
                <w:szCs w:val="22"/>
              </w:rPr>
              <w:t>根据人社局金保二期建设进度，人社对接受理系统申请丧葬补助金和抚恤金事项需要进行相关翻建改造，需要按中台+办件库中转方式重新对接事项，按金保二期最新要求重建事项在受理系统3.0的页面、远程虚拟窗口服务接口。</w:t>
            </w:r>
          </w:p>
        </w:tc>
      </w:tr>
      <w:tr w14:paraId="6BB4E1A8">
        <w:tblPrEx>
          <w:tblCellMar>
            <w:top w:w="0" w:type="dxa"/>
            <w:left w:w="108" w:type="dxa"/>
            <w:bottom w:w="0" w:type="dxa"/>
            <w:right w:w="108" w:type="dxa"/>
          </w:tblCellMar>
        </w:tblPrEx>
        <w:trPr>
          <w:trHeight w:val="135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220C96DA">
            <w:pPr>
              <w:widowControl/>
              <w:numPr>
                <w:ilvl w:val="0"/>
                <w:numId w:val="5"/>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55A22802">
            <w:pPr>
              <w:widowControl/>
              <w:ind w:firstLine="0" w:firstLineChars="0"/>
              <w:jc w:val="center"/>
              <w:textAlignment w:val="center"/>
              <w:rPr>
                <w:rFonts w:cs="宋体"/>
                <w:sz w:val="22"/>
                <w:szCs w:val="22"/>
              </w:rPr>
            </w:pPr>
            <w:r>
              <w:rPr>
                <w:rFonts w:hint="eastAsia" w:cs="宋体"/>
                <w:color w:val="000000"/>
                <w:kern w:val="0"/>
                <w:sz w:val="22"/>
                <w:szCs w:val="22"/>
              </w:rPr>
              <w:t>人社事项新增及变更-变更事项：申请大龄失业就业岗位补贴</w:t>
            </w:r>
          </w:p>
        </w:tc>
        <w:tc>
          <w:tcPr>
            <w:tcW w:w="4828" w:type="dxa"/>
            <w:tcBorders>
              <w:top w:val="single" w:color="000000" w:sz="4" w:space="0"/>
              <w:left w:val="single" w:color="000000" w:sz="4" w:space="0"/>
              <w:bottom w:val="single" w:color="000000" w:sz="4" w:space="0"/>
              <w:right w:val="single" w:color="000000" w:sz="4" w:space="0"/>
            </w:tcBorders>
            <w:vAlign w:val="center"/>
          </w:tcPr>
          <w:p w14:paraId="461B64B7">
            <w:pPr>
              <w:widowControl/>
              <w:ind w:firstLine="0" w:firstLineChars="0"/>
              <w:jc w:val="left"/>
              <w:textAlignment w:val="center"/>
              <w:rPr>
                <w:rFonts w:cs="宋体"/>
                <w:sz w:val="22"/>
                <w:szCs w:val="22"/>
              </w:rPr>
            </w:pPr>
            <w:r>
              <w:rPr>
                <w:rFonts w:hint="eastAsia" w:cs="宋体"/>
                <w:color w:val="000000"/>
                <w:kern w:val="0"/>
                <w:sz w:val="22"/>
                <w:szCs w:val="22"/>
              </w:rPr>
              <w:t>根据人社局金保二期建设进度，人社对接受理系统申请大龄失业就业岗位补贴事项需要进行相关翻建改造，需要按中台+办件库中转方式重新对接事项，按金保二期最新要求重建事项在受理系统3.0的页面、远程虚拟窗口服务接口。</w:t>
            </w:r>
          </w:p>
        </w:tc>
      </w:tr>
      <w:tr w14:paraId="3D332601">
        <w:tblPrEx>
          <w:tblCellMar>
            <w:top w:w="0" w:type="dxa"/>
            <w:left w:w="108" w:type="dxa"/>
            <w:bottom w:w="0" w:type="dxa"/>
            <w:right w:w="108" w:type="dxa"/>
          </w:tblCellMar>
        </w:tblPrEx>
        <w:trPr>
          <w:trHeight w:val="538"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75BCEC90">
            <w:pPr>
              <w:widowControl/>
              <w:numPr>
                <w:ilvl w:val="0"/>
                <w:numId w:val="5"/>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0276ACBD">
            <w:pPr>
              <w:widowControl/>
              <w:ind w:firstLine="0" w:firstLineChars="0"/>
              <w:jc w:val="center"/>
              <w:textAlignment w:val="center"/>
              <w:rPr>
                <w:rFonts w:cs="宋体"/>
                <w:sz w:val="22"/>
                <w:szCs w:val="22"/>
              </w:rPr>
            </w:pPr>
            <w:r>
              <w:rPr>
                <w:rFonts w:hint="eastAsia" w:cs="宋体"/>
                <w:color w:val="000000"/>
                <w:kern w:val="0"/>
                <w:sz w:val="22"/>
                <w:szCs w:val="22"/>
              </w:rPr>
              <w:t>人社事项新增及变更-变更事项：申请“就业困难人员”灵活就业社会保险费补贴</w:t>
            </w:r>
          </w:p>
        </w:tc>
        <w:tc>
          <w:tcPr>
            <w:tcW w:w="4828" w:type="dxa"/>
            <w:tcBorders>
              <w:top w:val="single" w:color="000000" w:sz="4" w:space="0"/>
              <w:left w:val="single" w:color="000000" w:sz="4" w:space="0"/>
              <w:bottom w:val="single" w:color="000000" w:sz="4" w:space="0"/>
              <w:right w:val="single" w:color="000000" w:sz="4" w:space="0"/>
            </w:tcBorders>
            <w:vAlign w:val="center"/>
          </w:tcPr>
          <w:p w14:paraId="622A07BE">
            <w:pPr>
              <w:widowControl/>
              <w:ind w:firstLine="0" w:firstLineChars="0"/>
              <w:jc w:val="left"/>
              <w:textAlignment w:val="center"/>
              <w:rPr>
                <w:rFonts w:cs="宋体"/>
                <w:sz w:val="22"/>
                <w:szCs w:val="22"/>
              </w:rPr>
            </w:pPr>
            <w:r>
              <w:rPr>
                <w:rFonts w:hint="eastAsia" w:cs="宋体"/>
                <w:color w:val="000000"/>
                <w:kern w:val="0"/>
                <w:sz w:val="22"/>
                <w:szCs w:val="22"/>
              </w:rPr>
              <w:t>根据人社局金保二期建设进度，人社对接受理系统申请“就业困难人员”灵活就业社会保险费补贴事项需要进行相关翻建改造，需要按中台+办件库中转方式重新对接事项，按金保二期最新要求重建事项在受理系统3.0的页面、远程虚拟窗口服务接口。</w:t>
            </w:r>
          </w:p>
        </w:tc>
      </w:tr>
      <w:tr w14:paraId="1C18EEB4">
        <w:tblPrEx>
          <w:tblCellMar>
            <w:top w:w="0" w:type="dxa"/>
            <w:left w:w="108" w:type="dxa"/>
            <w:bottom w:w="0" w:type="dxa"/>
            <w:right w:w="108" w:type="dxa"/>
          </w:tblCellMar>
        </w:tblPrEx>
        <w:trPr>
          <w:trHeight w:val="438"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434017D8">
            <w:pPr>
              <w:widowControl/>
              <w:numPr>
                <w:ilvl w:val="0"/>
                <w:numId w:val="5"/>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48FB3052">
            <w:pPr>
              <w:widowControl/>
              <w:ind w:firstLine="0" w:firstLineChars="0"/>
              <w:jc w:val="center"/>
              <w:textAlignment w:val="center"/>
              <w:rPr>
                <w:rFonts w:cs="宋体"/>
                <w:sz w:val="22"/>
                <w:szCs w:val="22"/>
              </w:rPr>
            </w:pPr>
            <w:r>
              <w:rPr>
                <w:rFonts w:hint="eastAsia" w:cs="宋体"/>
                <w:color w:val="000000"/>
                <w:kern w:val="0"/>
                <w:sz w:val="22"/>
                <w:szCs w:val="22"/>
              </w:rPr>
              <w:t>残联事项新增及变更-新增事项：困难重度残疾人机构养护服务申请及变更</w:t>
            </w:r>
          </w:p>
        </w:tc>
        <w:tc>
          <w:tcPr>
            <w:tcW w:w="4828" w:type="dxa"/>
            <w:tcBorders>
              <w:top w:val="single" w:color="000000" w:sz="4" w:space="0"/>
              <w:left w:val="single" w:color="000000" w:sz="4" w:space="0"/>
              <w:bottom w:val="single" w:color="000000" w:sz="4" w:space="0"/>
              <w:right w:val="single" w:color="000000" w:sz="4" w:space="0"/>
            </w:tcBorders>
            <w:vAlign w:val="center"/>
          </w:tcPr>
          <w:p w14:paraId="2165C531">
            <w:pPr>
              <w:widowControl/>
              <w:ind w:firstLine="0" w:firstLineChars="0"/>
              <w:jc w:val="left"/>
              <w:textAlignment w:val="center"/>
              <w:rPr>
                <w:rFonts w:cs="宋体"/>
                <w:sz w:val="22"/>
                <w:szCs w:val="22"/>
              </w:rPr>
            </w:pPr>
            <w:r>
              <w:rPr>
                <w:rFonts w:hint="eastAsia" w:cs="宋体"/>
                <w:color w:val="000000"/>
                <w:kern w:val="0"/>
                <w:sz w:val="22"/>
                <w:szCs w:val="22"/>
              </w:rPr>
              <w:t>新增困难重度残疾人机构养护服务申请及变更事项，包括申请业务情形和变更业务情形2个业务情形。并支持远程虚拟窗口服务。目前新增事项需同步处理窗口受理页面、虚拟远程窗口页面。</w:t>
            </w:r>
          </w:p>
        </w:tc>
      </w:tr>
      <w:tr w14:paraId="1B2141FB">
        <w:tblPrEx>
          <w:tblCellMar>
            <w:top w:w="0" w:type="dxa"/>
            <w:left w:w="108" w:type="dxa"/>
            <w:bottom w:w="0" w:type="dxa"/>
            <w:right w:w="108" w:type="dxa"/>
          </w:tblCellMar>
        </w:tblPrEx>
        <w:trPr>
          <w:trHeight w:val="1028"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7D078F23">
            <w:pPr>
              <w:widowControl/>
              <w:numPr>
                <w:ilvl w:val="0"/>
                <w:numId w:val="5"/>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25CF796B">
            <w:pPr>
              <w:widowControl/>
              <w:ind w:firstLine="0" w:firstLineChars="0"/>
              <w:jc w:val="center"/>
              <w:textAlignment w:val="center"/>
              <w:rPr>
                <w:rFonts w:cs="宋体"/>
                <w:sz w:val="22"/>
                <w:szCs w:val="22"/>
              </w:rPr>
            </w:pPr>
            <w:r>
              <w:rPr>
                <w:rFonts w:hint="eastAsia" w:cs="宋体"/>
                <w:color w:val="000000"/>
                <w:kern w:val="0"/>
                <w:sz w:val="22"/>
                <w:szCs w:val="22"/>
              </w:rPr>
              <w:t>残联事项新增及变更-新增事项：困难重度残疾人机构养护服务补贴申请</w:t>
            </w:r>
          </w:p>
        </w:tc>
        <w:tc>
          <w:tcPr>
            <w:tcW w:w="4828" w:type="dxa"/>
            <w:tcBorders>
              <w:top w:val="single" w:color="000000" w:sz="4" w:space="0"/>
              <w:left w:val="single" w:color="000000" w:sz="4" w:space="0"/>
              <w:bottom w:val="single" w:color="000000" w:sz="4" w:space="0"/>
              <w:right w:val="single" w:color="000000" w:sz="4" w:space="0"/>
            </w:tcBorders>
            <w:vAlign w:val="center"/>
          </w:tcPr>
          <w:p w14:paraId="39789C64">
            <w:pPr>
              <w:widowControl/>
              <w:ind w:firstLine="0" w:firstLineChars="0"/>
              <w:jc w:val="left"/>
              <w:textAlignment w:val="center"/>
              <w:rPr>
                <w:rFonts w:cs="宋体"/>
                <w:sz w:val="22"/>
                <w:szCs w:val="22"/>
              </w:rPr>
            </w:pPr>
            <w:r>
              <w:rPr>
                <w:rFonts w:hint="eastAsia" w:cs="宋体"/>
                <w:color w:val="000000"/>
                <w:kern w:val="0"/>
                <w:sz w:val="22"/>
                <w:szCs w:val="22"/>
              </w:rPr>
              <w:t>新增困难重度残疾人机构养护服务补贴申请事项，并支持远程虚拟窗口服务。目前新增事项需同步处理窗口受理页面、虚拟远程窗口页面。</w:t>
            </w:r>
          </w:p>
        </w:tc>
      </w:tr>
      <w:tr w14:paraId="40FC0747">
        <w:tblPrEx>
          <w:tblCellMar>
            <w:top w:w="0" w:type="dxa"/>
            <w:left w:w="108" w:type="dxa"/>
            <w:bottom w:w="0" w:type="dxa"/>
            <w:right w:w="108" w:type="dxa"/>
          </w:tblCellMar>
        </w:tblPrEx>
        <w:trPr>
          <w:trHeight w:val="54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1790953F">
            <w:pPr>
              <w:widowControl/>
              <w:numPr>
                <w:ilvl w:val="0"/>
                <w:numId w:val="5"/>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0A3A385A">
            <w:pPr>
              <w:widowControl/>
              <w:ind w:firstLine="0" w:firstLineChars="0"/>
              <w:jc w:val="center"/>
              <w:textAlignment w:val="center"/>
              <w:rPr>
                <w:rFonts w:cs="宋体"/>
                <w:sz w:val="22"/>
                <w:szCs w:val="22"/>
              </w:rPr>
            </w:pPr>
            <w:r>
              <w:rPr>
                <w:rFonts w:hint="eastAsia" w:cs="宋体"/>
                <w:color w:val="000000"/>
                <w:kern w:val="0"/>
                <w:sz w:val="22"/>
                <w:szCs w:val="22"/>
              </w:rPr>
              <w:t>残联事项新增及变更-变更事项：上海市视力障碍者信息消费套餐用户申请</w:t>
            </w:r>
          </w:p>
        </w:tc>
        <w:tc>
          <w:tcPr>
            <w:tcW w:w="4828" w:type="dxa"/>
            <w:tcBorders>
              <w:top w:val="single" w:color="000000" w:sz="4" w:space="0"/>
              <w:left w:val="single" w:color="000000" w:sz="4" w:space="0"/>
              <w:bottom w:val="single" w:color="000000" w:sz="4" w:space="0"/>
              <w:right w:val="single" w:color="000000" w:sz="4" w:space="0"/>
            </w:tcBorders>
            <w:vAlign w:val="center"/>
          </w:tcPr>
          <w:p w14:paraId="3476D52F">
            <w:pPr>
              <w:widowControl/>
              <w:ind w:firstLine="0" w:firstLineChars="0"/>
              <w:jc w:val="left"/>
              <w:textAlignment w:val="center"/>
              <w:rPr>
                <w:rFonts w:cs="宋体"/>
                <w:sz w:val="22"/>
                <w:szCs w:val="22"/>
              </w:rPr>
            </w:pPr>
            <w:r>
              <w:rPr>
                <w:rFonts w:hint="eastAsia" w:cs="宋体"/>
                <w:color w:val="000000"/>
                <w:kern w:val="0"/>
                <w:sz w:val="22"/>
                <w:szCs w:val="22"/>
              </w:rPr>
              <w:t>上海市视力障碍者信息消费套餐用户申请事项，对接方式变更，从直连改为中台+办件库对接方式。</w:t>
            </w:r>
          </w:p>
        </w:tc>
      </w:tr>
      <w:tr w14:paraId="55F09C96">
        <w:tblPrEx>
          <w:tblCellMar>
            <w:top w:w="0" w:type="dxa"/>
            <w:left w:w="108" w:type="dxa"/>
            <w:bottom w:w="0" w:type="dxa"/>
            <w:right w:w="108" w:type="dxa"/>
          </w:tblCellMar>
        </w:tblPrEx>
        <w:trPr>
          <w:trHeight w:val="54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5B6FAD56">
            <w:pPr>
              <w:widowControl/>
              <w:numPr>
                <w:ilvl w:val="0"/>
                <w:numId w:val="5"/>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0E436E0C">
            <w:pPr>
              <w:widowControl/>
              <w:ind w:firstLine="0" w:firstLineChars="0"/>
              <w:jc w:val="center"/>
              <w:textAlignment w:val="center"/>
              <w:rPr>
                <w:rFonts w:cs="宋体"/>
                <w:sz w:val="22"/>
                <w:szCs w:val="22"/>
              </w:rPr>
            </w:pPr>
            <w:r>
              <w:rPr>
                <w:rFonts w:hint="eastAsia" w:cs="宋体"/>
                <w:color w:val="000000"/>
                <w:kern w:val="0"/>
                <w:sz w:val="22"/>
                <w:szCs w:val="22"/>
              </w:rPr>
              <w:t>残联事项新增及变更-变更事项：《上海市盲人公共交通证》申请</w:t>
            </w:r>
          </w:p>
        </w:tc>
        <w:tc>
          <w:tcPr>
            <w:tcW w:w="4828" w:type="dxa"/>
            <w:tcBorders>
              <w:top w:val="single" w:color="000000" w:sz="4" w:space="0"/>
              <w:left w:val="single" w:color="000000" w:sz="4" w:space="0"/>
              <w:bottom w:val="single" w:color="000000" w:sz="4" w:space="0"/>
              <w:right w:val="single" w:color="000000" w:sz="4" w:space="0"/>
            </w:tcBorders>
            <w:vAlign w:val="center"/>
          </w:tcPr>
          <w:p w14:paraId="5A7807A6">
            <w:pPr>
              <w:widowControl/>
              <w:ind w:firstLine="0" w:firstLineChars="0"/>
              <w:jc w:val="left"/>
              <w:textAlignment w:val="center"/>
              <w:rPr>
                <w:rFonts w:cs="宋体"/>
                <w:sz w:val="22"/>
                <w:szCs w:val="22"/>
              </w:rPr>
            </w:pPr>
            <w:r>
              <w:rPr>
                <w:rFonts w:hint="eastAsia" w:cs="宋体"/>
                <w:color w:val="000000"/>
                <w:kern w:val="0"/>
                <w:sz w:val="22"/>
                <w:szCs w:val="22"/>
              </w:rPr>
              <w:t>《上海市盲人公共交通证》申请事项，包括2个业务情形，对接方式变更，从直连改为中台+办件库对接方式。</w:t>
            </w:r>
          </w:p>
        </w:tc>
      </w:tr>
      <w:tr w14:paraId="64A3DBB6">
        <w:tblPrEx>
          <w:tblCellMar>
            <w:top w:w="0" w:type="dxa"/>
            <w:left w:w="108" w:type="dxa"/>
            <w:bottom w:w="0" w:type="dxa"/>
            <w:right w:w="108" w:type="dxa"/>
          </w:tblCellMar>
        </w:tblPrEx>
        <w:trPr>
          <w:trHeight w:val="536"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6937DA92">
            <w:pPr>
              <w:widowControl/>
              <w:numPr>
                <w:ilvl w:val="0"/>
                <w:numId w:val="5"/>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3735E736">
            <w:pPr>
              <w:widowControl/>
              <w:ind w:firstLine="0" w:firstLineChars="0"/>
              <w:jc w:val="center"/>
              <w:textAlignment w:val="center"/>
              <w:rPr>
                <w:rFonts w:cs="宋体"/>
                <w:sz w:val="22"/>
                <w:szCs w:val="22"/>
              </w:rPr>
            </w:pPr>
            <w:r>
              <w:rPr>
                <w:rFonts w:hint="eastAsia" w:cs="宋体"/>
                <w:color w:val="000000"/>
                <w:kern w:val="0"/>
                <w:sz w:val="22"/>
                <w:szCs w:val="22"/>
              </w:rPr>
              <w:t>残联事项新增及变更-变更事项：残疾人居家养护服务申请</w:t>
            </w:r>
          </w:p>
        </w:tc>
        <w:tc>
          <w:tcPr>
            <w:tcW w:w="4828" w:type="dxa"/>
            <w:tcBorders>
              <w:top w:val="single" w:color="000000" w:sz="4" w:space="0"/>
              <w:left w:val="single" w:color="000000" w:sz="4" w:space="0"/>
              <w:bottom w:val="single" w:color="000000" w:sz="4" w:space="0"/>
              <w:right w:val="single" w:color="000000" w:sz="4" w:space="0"/>
            </w:tcBorders>
            <w:vAlign w:val="center"/>
          </w:tcPr>
          <w:p w14:paraId="77790948">
            <w:pPr>
              <w:widowControl/>
              <w:ind w:firstLine="0" w:firstLineChars="0"/>
              <w:jc w:val="left"/>
              <w:textAlignment w:val="center"/>
              <w:rPr>
                <w:rFonts w:cs="宋体"/>
                <w:sz w:val="22"/>
                <w:szCs w:val="22"/>
              </w:rPr>
            </w:pPr>
            <w:r>
              <w:rPr>
                <w:rFonts w:hint="eastAsia" w:cs="宋体"/>
                <w:color w:val="000000"/>
                <w:kern w:val="0"/>
                <w:sz w:val="22"/>
                <w:szCs w:val="22"/>
              </w:rPr>
              <w:t>残疾人居家养护服务申请事项，对接方式变更，从直连改为中台+办件库对接方式。</w:t>
            </w:r>
          </w:p>
        </w:tc>
      </w:tr>
      <w:tr w14:paraId="73C4FA94">
        <w:tblPrEx>
          <w:tblCellMar>
            <w:top w:w="0" w:type="dxa"/>
            <w:left w:w="108" w:type="dxa"/>
            <w:bottom w:w="0" w:type="dxa"/>
            <w:right w:w="108" w:type="dxa"/>
          </w:tblCellMar>
        </w:tblPrEx>
        <w:trPr>
          <w:trHeight w:val="54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7DEC68A6">
            <w:pPr>
              <w:widowControl/>
              <w:numPr>
                <w:ilvl w:val="0"/>
                <w:numId w:val="5"/>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1A2EEFDD">
            <w:pPr>
              <w:widowControl/>
              <w:ind w:firstLine="0" w:firstLineChars="0"/>
              <w:jc w:val="center"/>
              <w:textAlignment w:val="center"/>
              <w:rPr>
                <w:rFonts w:cs="宋体"/>
                <w:sz w:val="22"/>
                <w:szCs w:val="22"/>
              </w:rPr>
            </w:pPr>
            <w:r>
              <w:rPr>
                <w:rFonts w:hint="eastAsia" w:cs="宋体"/>
                <w:color w:val="000000"/>
                <w:kern w:val="0"/>
                <w:sz w:val="22"/>
                <w:szCs w:val="22"/>
              </w:rPr>
              <w:t>残联事项新增及变更-变更事项：城乡重残居民医保人员门急诊医疗费补贴申请</w:t>
            </w:r>
          </w:p>
        </w:tc>
        <w:tc>
          <w:tcPr>
            <w:tcW w:w="4828" w:type="dxa"/>
            <w:tcBorders>
              <w:top w:val="single" w:color="000000" w:sz="4" w:space="0"/>
              <w:left w:val="single" w:color="000000" w:sz="4" w:space="0"/>
              <w:bottom w:val="single" w:color="000000" w:sz="4" w:space="0"/>
              <w:right w:val="single" w:color="000000" w:sz="4" w:space="0"/>
            </w:tcBorders>
            <w:vAlign w:val="center"/>
          </w:tcPr>
          <w:p w14:paraId="223B2199">
            <w:pPr>
              <w:widowControl/>
              <w:ind w:firstLine="0" w:firstLineChars="0"/>
              <w:jc w:val="left"/>
              <w:textAlignment w:val="center"/>
              <w:rPr>
                <w:rFonts w:cs="宋体"/>
                <w:sz w:val="22"/>
                <w:szCs w:val="22"/>
              </w:rPr>
            </w:pPr>
            <w:r>
              <w:rPr>
                <w:rFonts w:hint="eastAsia" w:cs="宋体"/>
                <w:color w:val="000000"/>
                <w:kern w:val="0"/>
                <w:sz w:val="22"/>
                <w:szCs w:val="22"/>
              </w:rPr>
              <w:t>城乡重残居民医保人员门急诊医疗费补贴申请事项，对接方式变更，从直连改为中台+办件库对接方式。</w:t>
            </w:r>
          </w:p>
        </w:tc>
      </w:tr>
      <w:tr w14:paraId="0F80786B">
        <w:tblPrEx>
          <w:tblCellMar>
            <w:top w:w="0" w:type="dxa"/>
            <w:left w:w="108" w:type="dxa"/>
            <w:bottom w:w="0" w:type="dxa"/>
            <w:right w:w="108" w:type="dxa"/>
          </w:tblCellMar>
        </w:tblPrEx>
        <w:trPr>
          <w:trHeight w:val="54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47C99844">
            <w:pPr>
              <w:widowControl/>
              <w:numPr>
                <w:ilvl w:val="0"/>
                <w:numId w:val="5"/>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6B44F4F3">
            <w:pPr>
              <w:widowControl/>
              <w:ind w:firstLine="0" w:firstLineChars="0"/>
              <w:jc w:val="center"/>
              <w:textAlignment w:val="center"/>
              <w:rPr>
                <w:rFonts w:cs="宋体"/>
                <w:sz w:val="22"/>
                <w:szCs w:val="22"/>
              </w:rPr>
            </w:pPr>
            <w:r>
              <w:rPr>
                <w:rFonts w:hint="eastAsia" w:cs="宋体"/>
                <w:color w:val="000000"/>
                <w:kern w:val="0"/>
                <w:sz w:val="22"/>
                <w:szCs w:val="22"/>
              </w:rPr>
              <w:t>残联事项新增及变更-变更事项：《中华人民共和国残疾人证》申领(初次申领)</w:t>
            </w:r>
          </w:p>
        </w:tc>
        <w:tc>
          <w:tcPr>
            <w:tcW w:w="4828" w:type="dxa"/>
            <w:tcBorders>
              <w:top w:val="single" w:color="000000" w:sz="4" w:space="0"/>
              <w:left w:val="single" w:color="000000" w:sz="4" w:space="0"/>
              <w:bottom w:val="single" w:color="000000" w:sz="4" w:space="0"/>
              <w:right w:val="single" w:color="000000" w:sz="4" w:space="0"/>
            </w:tcBorders>
            <w:vAlign w:val="center"/>
          </w:tcPr>
          <w:p w14:paraId="5DA6C0E6">
            <w:pPr>
              <w:widowControl/>
              <w:ind w:firstLine="0" w:firstLineChars="0"/>
              <w:jc w:val="left"/>
              <w:textAlignment w:val="center"/>
              <w:rPr>
                <w:rFonts w:cs="宋体"/>
                <w:sz w:val="22"/>
                <w:szCs w:val="22"/>
              </w:rPr>
            </w:pPr>
            <w:r>
              <w:rPr>
                <w:rFonts w:hint="eastAsia" w:cs="宋体"/>
                <w:color w:val="000000"/>
                <w:kern w:val="0"/>
                <w:sz w:val="22"/>
                <w:szCs w:val="22"/>
              </w:rPr>
              <w:t>《中华人民共和国残疾人证》申领(初次申领)事项，包括2个业务情形，对接方式变更，从直连改为中台+办件库对接方式。</w:t>
            </w:r>
          </w:p>
        </w:tc>
      </w:tr>
      <w:tr w14:paraId="6D8AB1CE">
        <w:tblPrEx>
          <w:tblCellMar>
            <w:top w:w="0" w:type="dxa"/>
            <w:left w:w="108" w:type="dxa"/>
            <w:bottom w:w="0" w:type="dxa"/>
            <w:right w:w="108" w:type="dxa"/>
          </w:tblCellMar>
        </w:tblPrEx>
        <w:trPr>
          <w:trHeight w:val="54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03ED826F">
            <w:pPr>
              <w:widowControl/>
              <w:numPr>
                <w:ilvl w:val="0"/>
                <w:numId w:val="5"/>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483ADC6E">
            <w:pPr>
              <w:widowControl/>
              <w:ind w:firstLine="0" w:firstLineChars="0"/>
              <w:jc w:val="center"/>
              <w:textAlignment w:val="center"/>
              <w:rPr>
                <w:rFonts w:cs="宋体"/>
                <w:sz w:val="22"/>
                <w:szCs w:val="22"/>
              </w:rPr>
            </w:pPr>
            <w:r>
              <w:rPr>
                <w:rFonts w:hint="eastAsia" w:cs="宋体"/>
                <w:color w:val="000000"/>
                <w:kern w:val="0"/>
                <w:sz w:val="22"/>
                <w:szCs w:val="22"/>
              </w:rPr>
              <w:t>残联事项新增及变更-变更事项：重残无业人员机构养护服务申请</w:t>
            </w:r>
          </w:p>
        </w:tc>
        <w:tc>
          <w:tcPr>
            <w:tcW w:w="4828" w:type="dxa"/>
            <w:tcBorders>
              <w:top w:val="single" w:color="000000" w:sz="4" w:space="0"/>
              <w:left w:val="single" w:color="000000" w:sz="4" w:space="0"/>
              <w:bottom w:val="single" w:color="000000" w:sz="4" w:space="0"/>
              <w:right w:val="single" w:color="000000" w:sz="4" w:space="0"/>
            </w:tcBorders>
            <w:vAlign w:val="center"/>
          </w:tcPr>
          <w:p w14:paraId="7C177FEC">
            <w:pPr>
              <w:widowControl/>
              <w:ind w:firstLine="0" w:firstLineChars="0"/>
              <w:jc w:val="left"/>
              <w:textAlignment w:val="center"/>
              <w:rPr>
                <w:rFonts w:cs="宋体"/>
                <w:sz w:val="22"/>
                <w:szCs w:val="22"/>
              </w:rPr>
            </w:pPr>
            <w:r>
              <w:rPr>
                <w:rFonts w:hint="eastAsia" w:cs="宋体"/>
                <w:color w:val="000000"/>
                <w:kern w:val="0"/>
                <w:sz w:val="22"/>
                <w:szCs w:val="22"/>
              </w:rPr>
              <w:t>重残无业人员机构养护服务申请事项，对接方式变更，从直连改为中台+办件库对接方式。</w:t>
            </w:r>
          </w:p>
        </w:tc>
      </w:tr>
      <w:tr w14:paraId="74624CCF">
        <w:tblPrEx>
          <w:tblCellMar>
            <w:top w:w="0" w:type="dxa"/>
            <w:left w:w="108" w:type="dxa"/>
            <w:bottom w:w="0" w:type="dxa"/>
            <w:right w:w="108"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0ECE067C">
            <w:pPr>
              <w:widowControl/>
              <w:numPr>
                <w:ilvl w:val="0"/>
                <w:numId w:val="5"/>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6454F75A">
            <w:pPr>
              <w:widowControl/>
              <w:ind w:firstLine="0" w:firstLineChars="0"/>
              <w:jc w:val="center"/>
              <w:textAlignment w:val="center"/>
              <w:rPr>
                <w:rFonts w:cs="宋体"/>
                <w:sz w:val="22"/>
                <w:szCs w:val="22"/>
              </w:rPr>
            </w:pPr>
            <w:r>
              <w:rPr>
                <w:rFonts w:hint="eastAsia" w:cs="宋体"/>
                <w:color w:val="000000"/>
                <w:kern w:val="0"/>
                <w:sz w:val="22"/>
                <w:szCs w:val="22"/>
              </w:rPr>
              <w:t>残联事项新增及变更-变更事项：困难肢体残疾人矫正手术补贴申请</w:t>
            </w:r>
          </w:p>
        </w:tc>
        <w:tc>
          <w:tcPr>
            <w:tcW w:w="4828" w:type="dxa"/>
            <w:tcBorders>
              <w:top w:val="single" w:color="000000" w:sz="4" w:space="0"/>
              <w:left w:val="single" w:color="000000" w:sz="4" w:space="0"/>
              <w:bottom w:val="single" w:color="000000" w:sz="4" w:space="0"/>
              <w:right w:val="single" w:color="000000" w:sz="4" w:space="0"/>
            </w:tcBorders>
            <w:vAlign w:val="center"/>
          </w:tcPr>
          <w:p w14:paraId="532458D2">
            <w:pPr>
              <w:widowControl/>
              <w:ind w:firstLine="0" w:firstLineChars="0"/>
              <w:jc w:val="left"/>
              <w:textAlignment w:val="center"/>
              <w:rPr>
                <w:rFonts w:cs="宋体"/>
                <w:sz w:val="22"/>
                <w:szCs w:val="22"/>
              </w:rPr>
            </w:pPr>
            <w:r>
              <w:rPr>
                <w:rFonts w:hint="eastAsia" w:cs="宋体"/>
                <w:color w:val="000000"/>
                <w:kern w:val="0"/>
                <w:sz w:val="22"/>
                <w:szCs w:val="22"/>
              </w:rPr>
              <w:t>困难肢体残疾人矫正手术补贴申请事项，对接方式变更，从直连改为中台+办件库对接方式。</w:t>
            </w:r>
          </w:p>
        </w:tc>
      </w:tr>
      <w:tr w14:paraId="0A24230F">
        <w:tblPrEx>
          <w:tblCellMar>
            <w:top w:w="0" w:type="dxa"/>
            <w:left w:w="108" w:type="dxa"/>
            <w:bottom w:w="0" w:type="dxa"/>
            <w:right w:w="108" w:type="dxa"/>
          </w:tblCellMar>
        </w:tblPrEx>
        <w:trPr>
          <w:trHeight w:val="1046"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5C2DF423">
            <w:pPr>
              <w:widowControl/>
              <w:numPr>
                <w:ilvl w:val="0"/>
                <w:numId w:val="5"/>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5704E6F8">
            <w:pPr>
              <w:widowControl/>
              <w:ind w:firstLine="0" w:firstLineChars="0"/>
              <w:jc w:val="center"/>
              <w:textAlignment w:val="center"/>
              <w:rPr>
                <w:rFonts w:cs="宋体"/>
                <w:sz w:val="22"/>
                <w:szCs w:val="22"/>
              </w:rPr>
            </w:pPr>
            <w:r>
              <w:rPr>
                <w:rFonts w:hint="eastAsia" w:cs="宋体"/>
                <w:color w:val="000000"/>
                <w:kern w:val="0"/>
                <w:sz w:val="22"/>
                <w:szCs w:val="22"/>
              </w:rPr>
              <w:t>残联事项新增及变更-变更事项：听力、言语残疾人信息卡套餐服务申请(申请和变更)</w:t>
            </w:r>
          </w:p>
        </w:tc>
        <w:tc>
          <w:tcPr>
            <w:tcW w:w="4828" w:type="dxa"/>
            <w:tcBorders>
              <w:top w:val="single" w:color="000000" w:sz="4" w:space="0"/>
              <w:left w:val="single" w:color="000000" w:sz="4" w:space="0"/>
              <w:bottom w:val="single" w:color="000000" w:sz="4" w:space="0"/>
              <w:right w:val="single" w:color="000000" w:sz="4" w:space="0"/>
            </w:tcBorders>
            <w:vAlign w:val="center"/>
          </w:tcPr>
          <w:p w14:paraId="6AF25EAA">
            <w:pPr>
              <w:widowControl/>
              <w:ind w:firstLine="0" w:firstLineChars="0"/>
              <w:jc w:val="left"/>
              <w:textAlignment w:val="center"/>
              <w:rPr>
                <w:rFonts w:cs="宋体"/>
                <w:sz w:val="22"/>
                <w:szCs w:val="22"/>
              </w:rPr>
            </w:pPr>
            <w:r>
              <w:rPr>
                <w:rFonts w:hint="eastAsia" w:cs="宋体"/>
                <w:color w:val="000000"/>
                <w:kern w:val="0"/>
                <w:sz w:val="22"/>
                <w:szCs w:val="22"/>
              </w:rPr>
              <w:t>听力、言语残疾人信息卡套餐服务申请(申请和变更)事项，包含2个业务情形，对接方式变更，从直连改为中台+办件库对接方式。</w:t>
            </w:r>
          </w:p>
        </w:tc>
      </w:tr>
      <w:tr w14:paraId="69B58FCC">
        <w:tblPrEx>
          <w:tblCellMar>
            <w:top w:w="0" w:type="dxa"/>
            <w:left w:w="108" w:type="dxa"/>
            <w:bottom w:w="0" w:type="dxa"/>
            <w:right w:w="108"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26B0D6C6">
            <w:pPr>
              <w:widowControl/>
              <w:numPr>
                <w:ilvl w:val="0"/>
                <w:numId w:val="5"/>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6C11BAAC">
            <w:pPr>
              <w:widowControl/>
              <w:ind w:firstLine="0" w:firstLineChars="0"/>
              <w:jc w:val="center"/>
              <w:textAlignment w:val="center"/>
              <w:rPr>
                <w:rFonts w:cs="宋体"/>
                <w:sz w:val="22"/>
                <w:szCs w:val="22"/>
              </w:rPr>
            </w:pPr>
            <w:r>
              <w:rPr>
                <w:rFonts w:hint="eastAsia" w:cs="宋体"/>
                <w:color w:val="000000"/>
                <w:kern w:val="0"/>
                <w:sz w:val="22"/>
                <w:szCs w:val="22"/>
              </w:rPr>
              <w:t>残联事项新增及变更-变更事项：城乡重残居民医保人员门诊大病（住院）及住院起付线补贴申请</w:t>
            </w:r>
          </w:p>
        </w:tc>
        <w:tc>
          <w:tcPr>
            <w:tcW w:w="4828" w:type="dxa"/>
            <w:tcBorders>
              <w:top w:val="single" w:color="000000" w:sz="4" w:space="0"/>
              <w:left w:val="single" w:color="000000" w:sz="4" w:space="0"/>
              <w:bottom w:val="single" w:color="000000" w:sz="4" w:space="0"/>
              <w:right w:val="single" w:color="000000" w:sz="4" w:space="0"/>
            </w:tcBorders>
            <w:vAlign w:val="center"/>
          </w:tcPr>
          <w:p w14:paraId="43BEEE7F">
            <w:pPr>
              <w:widowControl/>
              <w:ind w:firstLine="0" w:firstLineChars="0"/>
              <w:jc w:val="left"/>
              <w:textAlignment w:val="center"/>
              <w:rPr>
                <w:rFonts w:cs="宋体"/>
                <w:sz w:val="22"/>
                <w:szCs w:val="22"/>
              </w:rPr>
            </w:pPr>
            <w:r>
              <w:rPr>
                <w:rFonts w:hint="eastAsia" w:cs="宋体"/>
                <w:color w:val="000000"/>
                <w:kern w:val="0"/>
                <w:sz w:val="22"/>
                <w:szCs w:val="22"/>
              </w:rPr>
              <w:t>城乡重残居民医保人员门诊大病（住院）及住院起付线补贴申请事项，对接方式变更，从直连改为中台+办件库对接方式。</w:t>
            </w:r>
          </w:p>
        </w:tc>
      </w:tr>
      <w:tr w14:paraId="7E269CF3">
        <w:tblPrEx>
          <w:tblCellMar>
            <w:top w:w="0" w:type="dxa"/>
            <w:left w:w="108" w:type="dxa"/>
            <w:bottom w:w="0" w:type="dxa"/>
            <w:right w:w="108"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6CF4ACE2">
            <w:pPr>
              <w:widowControl/>
              <w:numPr>
                <w:ilvl w:val="0"/>
                <w:numId w:val="5"/>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1C2FE345">
            <w:pPr>
              <w:widowControl/>
              <w:ind w:firstLine="0" w:firstLineChars="0"/>
              <w:jc w:val="center"/>
              <w:textAlignment w:val="center"/>
              <w:rPr>
                <w:rFonts w:cs="宋体"/>
                <w:sz w:val="22"/>
                <w:szCs w:val="22"/>
              </w:rPr>
            </w:pPr>
            <w:r>
              <w:rPr>
                <w:rFonts w:hint="eastAsia" w:cs="宋体"/>
                <w:color w:val="000000"/>
                <w:kern w:val="0"/>
                <w:sz w:val="22"/>
                <w:szCs w:val="22"/>
              </w:rPr>
              <w:t>残联事项新增及变更-变更事项：残疾儿童康复训练救助</w:t>
            </w:r>
          </w:p>
        </w:tc>
        <w:tc>
          <w:tcPr>
            <w:tcW w:w="4828" w:type="dxa"/>
            <w:tcBorders>
              <w:top w:val="single" w:color="000000" w:sz="4" w:space="0"/>
              <w:left w:val="single" w:color="000000" w:sz="4" w:space="0"/>
              <w:bottom w:val="single" w:color="000000" w:sz="4" w:space="0"/>
              <w:right w:val="single" w:color="000000" w:sz="4" w:space="0"/>
            </w:tcBorders>
            <w:vAlign w:val="center"/>
          </w:tcPr>
          <w:p w14:paraId="2AE3AEDB">
            <w:pPr>
              <w:widowControl/>
              <w:ind w:firstLine="0" w:firstLineChars="0"/>
              <w:jc w:val="left"/>
              <w:textAlignment w:val="center"/>
              <w:rPr>
                <w:rFonts w:cs="宋体"/>
                <w:sz w:val="22"/>
                <w:szCs w:val="22"/>
              </w:rPr>
            </w:pPr>
            <w:r>
              <w:rPr>
                <w:rFonts w:hint="eastAsia" w:cs="宋体"/>
                <w:color w:val="000000"/>
                <w:kern w:val="0"/>
                <w:sz w:val="22"/>
                <w:szCs w:val="22"/>
              </w:rPr>
              <w:t>残疾儿童康复训练救助事项，包括2个业务情形，对接方式变更，从直连改为中台+办件库对接方式。</w:t>
            </w:r>
          </w:p>
        </w:tc>
      </w:tr>
      <w:tr w14:paraId="62C31F47">
        <w:tblPrEx>
          <w:tblCellMar>
            <w:top w:w="0" w:type="dxa"/>
            <w:left w:w="108" w:type="dxa"/>
            <w:bottom w:w="0" w:type="dxa"/>
            <w:right w:w="108"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7F751153">
            <w:pPr>
              <w:widowControl/>
              <w:numPr>
                <w:ilvl w:val="0"/>
                <w:numId w:val="5"/>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20406ECD">
            <w:pPr>
              <w:widowControl/>
              <w:ind w:firstLine="0" w:firstLineChars="0"/>
              <w:jc w:val="center"/>
              <w:textAlignment w:val="center"/>
              <w:rPr>
                <w:rFonts w:cs="宋体"/>
                <w:sz w:val="22"/>
                <w:szCs w:val="22"/>
              </w:rPr>
            </w:pPr>
            <w:r>
              <w:rPr>
                <w:rFonts w:hint="eastAsia" w:cs="宋体"/>
                <w:color w:val="000000"/>
                <w:kern w:val="0"/>
                <w:sz w:val="22"/>
                <w:szCs w:val="22"/>
              </w:rPr>
              <w:t>残联事项新增及变更-变更事项：残疾评定预约日期查询、变更</w:t>
            </w:r>
          </w:p>
        </w:tc>
        <w:tc>
          <w:tcPr>
            <w:tcW w:w="4828" w:type="dxa"/>
            <w:tcBorders>
              <w:top w:val="single" w:color="000000" w:sz="4" w:space="0"/>
              <w:left w:val="single" w:color="000000" w:sz="4" w:space="0"/>
              <w:bottom w:val="single" w:color="000000" w:sz="4" w:space="0"/>
              <w:right w:val="single" w:color="000000" w:sz="4" w:space="0"/>
            </w:tcBorders>
            <w:vAlign w:val="center"/>
          </w:tcPr>
          <w:p w14:paraId="2E842762">
            <w:pPr>
              <w:widowControl/>
              <w:ind w:firstLine="0" w:firstLineChars="0"/>
              <w:jc w:val="left"/>
              <w:textAlignment w:val="center"/>
              <w:rPr>
                <w:rFonts w:cs="宋体"/>
                <w:sz w:val="22"/>
                <w:szCs w:val="22"/>
              </w:rPr>
            </w:pPr>
            <w:r>
              <w:rPr>
                <w:rFonts w:hint="eastAsia" w:cs="宋体"/>
                <w:color w:val="000000"/>
                <w:kern w:val="0"/>
                <w:sz w:val="22"/>
                <w:szCs w:val="22"/>
              </w:rPr>
              <w:t>残疾评定预约日期查询、变更事项，对接方式变更，从直连改为中台+办件库对接方式。</w:t>
            </w:r>
          </w:p>
        </w:tc>
      </w:tr>
      <w:tr w14:paraId="6360437C">
        <w:tblPrEx>
          <w:tblCellMar>
            <w:top w:w="0" w:type="dxa"/>
            <w:left w:w="108" w:type="dxa"/>
            <w:bottom w:w="0" w:type="dxa"/>
            <w:right w:w="108" w:type="dxa"/>
          </w:tblCellMar>
        </w:tblPrEx>
        <w:trPr>
          <w:trHeight w:val="622"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6DE36C34">
            <w:pPr>
              <w:widowControl/>
              <w:numPr>
                <w:ilvl w:val="0"/>
                <w:numId w:val="5"/>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097A90AF">
            <w:pPr>
              <w:widowControl/>
              <w:ind w:firstLine="0" w:firstLineChars="0"/>
              <w:jc w:val="center"/>
              <w:textAlignment w:val="center"/>
              <w:rPr>
                <w:rFonts w:cs="宋体"/>
                <w:sz w:val="22"/>
                <w:szCs w:val="22"/>
              </w:rPr>
            </w:pPr>
            <w:r>
              <w:rPr>
                <w:rFonts w:hint="eastAsia" w:cs="宋体"/>
                <w:color w:val="000000"/>
                <w:kern w:val="0"/>
                <w:sz w:val="22"/>
                <w:szCs w:val="22"/>
              </w:rPr>
              <w:t>残联事项新增及变更-变更事项：《中华人民共和国残疾人证》换证申请</w:t>
            </w:r>
          </w:p>
        </w:tc>
        <w:tc>
          <w:tcPr>
            <w:tcW w:w="4828" w:type="dxa"/>
            <w:tcBorders>
              <w:top w:val="single" w:color="000000" w:sz="4" w:space="0"/>
              <w:left w:val="single" w:color="000000" w:sz="4" w:space="0"/>
              <w:bottom w:val="single" w:color="000000" w:sz="4" w:space="0"/>
              <w:right w:val="single" w:color="000000" w:sz="4" w:space="0"/>
            </w:tcBorders>
            <w:vAlign w:val="center"/>
          </w:tcPr>
          <w:p w14:paraId="3D2B0257">
            <w:pPr>
              <w:widowControl/>
              <w:ind w:firstLine="0" w:firstLineChars="0"/>
              <w:jc w:val="left"/>
              <w:textAlignment w:val="center"/>
              <w:rPr>
                <w:rFonts w:cs="宋体"/>
                <w:sz w:val="22"/>
                <w:szCs w:val="22"/>
              </w:rPr>
            </w:pPr>
            <w:r>
              <w:rPr>
                <w:rFonts w:hint="eastAsia" w:cs="宋体"/>
                <w:color w:val="000000"/>
                <w:kern w:val="0"/>
                <w:sz w:val="22"/>
                <w:szCs w:val="22"/>
              </w:rPr>
              <w:t>《中华人民共和国残疾人证》换证申请事项，对接方式变更，从直连改为中台+办件库对接方式。</w:t>
            </w:r>
          </w:p>
        </w:tc>
      </w:tr>
      <w:tr w14:paraId="3DF866A4">
        <w:tblPrEx>
          <w:tblCellMar>
            <w:top w:w="0" w:type="dxa"/>
            <w:left w:w="108" w:type="dxa"/>
            <w:bottom w:w="0" w:type="dxa"/>
            <w:right w:w="108" w:type="dxa"/>
          </w:tblCellMar>
        </w:tblPrEx>
        <w:trPr>
          <w:trHeight w:val="667"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706360BB">
            <w:pPr>
              <w:widowControl/>
              <w:numPr>
                <w:ilvl w:val="0"/>
                <w:numId w:val="5"/>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2885CE9F">
            <w:pPr>
              <w:widowControl/>
              <w:ind w:firstLine="0" w:firstLineChars="0"/>
              <w:jc w:val="center"/>
              <w:textAlignment w:val="center"/>
              <w:rPr>
                <w:rFonts w:cs="宋体"/>
                <w:sz w:val="22"/>
                <w:szCs w:val="22"/>
              </w:rPr>
            </w:pPr>
            <w:r>
              <w:rPr>
                <w:rFonts w:hint="eastAsia" w:cs="宋体"/>
                <w:color w:val="000000"/>
                <w:kern w:val="0"/>
                <w:sz w:val="22"/>
                <w:szCs w:val="22"/>
              </w:rPr>
              <w:t>残联事项新增及变更-变更事项：《中华人民共和国残疾人证》关系迁出本市申请</w:t>
            </w:r>
          </w:p>
        </w:tc>
        <w:tc>
          <w:tcPr>
            <w:tcW w:w="4828" w:type="dxa"/>
            <w:tcBorders>
              <w:top w:val="single" w:color="000000" w:sz="4" w:space="0"/>
              <w:left w:val="single" w:color="000000" w:sz="4" w:space="0"/>
              <w:bottom w:val="single" w:color="000000" w:sz="4" w:space="0"/>
              <w:right w:val="single" w:color="000000" w:sz="4" w:space="0"/>
            </w:tcBorders>
            <w:vAlign w:val="center"/>
          </w:tcPr>
          <w:p w14:paraId="4446E8D8">
            <w:pPr>
              <w:widowControl/>
              <w:ind w:firstLine="0" w:firstLineChars="0"/>
              <w:jc w:val="left"/>
              <w:textAlignment w:val="center"/>
              <w:rPr>
                <w:rFonts w:cs="宋体"/>
                <w:sz w:val="22"/>
                <w:szCs w:val="22"/>
              </w:rPr>
            </w:pPr>
            <w:r>
              <w:rPr>
                <w:rFonts w:hint="eastAsia" w:cs="宋体"/>
                <w:color w:val="000000"/>
                <w:kern w:val="0"/>
                <w:sz w:val="22"/>
                <w:szCs w:val="22"/>
              </w:rPr>
              <w:t>《中华人民共和国残疾人证》关系迁出本市申请事项，对接方式变更，从直连改为中台+办件库对接方式。</w:t>
            </w:r>
          </w:p>
        </w:tc>
      </w:tr>
      <w:tr w14:paraId="10306363">
        <w:tblPrEx>
          <w:tblCellMar>
            <w:top w:w="0" w:type="dxa"/>
            <w:left w:w="108" w:type="dxa"/>
            <w:bottom w:w="0" w:type="dxa"/>
            <w:right w:w="108" w:type="dxa"/>
          </w:tblCellMar>
        </w:tblPrEx>
        <w:trPr>
          <w:trHeight w:val="863"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2194FCF5">
            <w:pPr>
              <w:widowControl/>
              <w:numPr>
                <w:ilvl w:val="0"/>
                <w:numId w:val="5"/>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50F9FB96">
            <w:pPr>
              <w:widowControl/>
              <w:ind w:firstLine="0" w:firstLineChars="0"/>
              <w:jc w:val="center"/>
              <w:textAlignment w:val="center"/>
              <w:rPr>
                <w:rFonts w:cs="宋体"/>
                <w:sz w:val="22"/>
                <w:szCs w:val="22"/>
              </w:rPr>
            </w:pPr>
            <w:r>
              <w:rPr>
                <w:rFonts w:hint="eastAsia" w:cs="宋体"/>
                <w:color w:val="000000"/>
                <w:kern w:val="0"/>
                <w:sz w:val="22"/>
                <w:szCs w:val="22"/>
              </w:rPr>
              <w:t>残联事项新增及变更-变更事项：《中华人民共和国残疾人证》注销申请</w:t>
            </w:r>
          </w:p>
        </w:tc>
        <w:tc>
          <w:tcPr>
            <w:tcW w:w="4828" w:type="dxa"/>
            <w:tcBorders>
              <w:top w:val="single" w:color="000000" w:sz="4" w:space="0"/>
              <w:left w:val="single" w:color="000000" w:sz="4" w:space="0"/>
              <w:bottom w:val="single" w:color="000000" w:sz="4" w:space="0"/>
              <w:right w:val="single" w:color="000000" w:sz="4" w:space="0"/>
            </w:tcBorders>
            <w:vAlign w:val="center"/>
          </w:tcPr>
          <w:p w14:paraId="7ACAE39F">
            <w:pPr>
              <w:widowControl/>
              <w:ind w:firstLine="0" w:firstLineChars="0"/>
              <w:jc w:val="left"/>
              <w:textAlignment w:val="center"/>
              <w:rPr>
                <w:rFonts w:cs="宋体"/>
                <w:sz w:val="22"/>
                <w:szCs w:val="22"/>
              </w:rPr>
            </w:pPr>
            <w:r>
              <w:rPr>
                <w:rFonts w:hint="eastAsia" w:cs="宋体"/>
                <w:color w:val="000000"/>
                <w:kern w:val="0"/>
                <w:sz w:val="22"/>
                <w:szCs w:val="22"/>
              </w:rPr>
              <w:t>《中华人民共和国残疾人证》注销申请事项，对接方式变更，从直连改为中台+办件库对接方式。</w:t>
            </w:r>
          </w:p>
        </w:tc>
      </w:tr>
      <w:tr w14:paraId="43F4CFEE">
        <w:tblPrEx>
          <w:tblCellMar>
            <w:top w:w="0" w:type="dxa"/>
            <w:left w:w="108" w:type="dxa"/>
            <w:bottom w:w="0" w:type="dxa"/>
            <w:right w:w="108" w:type="dxa"/>
          </w:tblCellMar>
        </w:tblPrEx>
        <w:trPr>
          <w:trHeight w:val="698"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496EE881">
            <w:pPr>
              <w:widowControl/>
              <w:numPr>
                <w:ilvl w:val="0"/>
                <w:numId w:val="5"/>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25C7FBDA">
            <w:pPr>
              <w:widowControl/>
              <w:ind w:firstLine="0" w:firstLineChars="0"/>
              <w:jc w:val="center"/>
              <w:textAlignment w:val="center"/>
              <w:rPr>
                <w:rFonts w:cs="宋体"/>
                <w:sz w:val="22"/>
                <w:szCs w:val="22"/>
              </w:rPr>
            </w:pPr>
            <w:r>
              <w:rPr>
                <w:rFonts w:hint="eastAsia" w:cs="宋体"/>
                <w:color w:val="000000"/>
                <w:kern w:val="0"/>
                <w:sz w:val="22"/>
                <w:szCs w:val="22"/>
              </w:rPr>
              <w:t>残联事项新增及变更-变更事项：上海市残疾人机（电）动轮椅车申购（意向）登记</w:t>
            </w:r>
          </w:p>
        </w:tc>
        <w:tc>
          <w:tcPr>
            <w:tcW w:w="4828" w:type="dxa"/>
            <w:tcBorders>
              <w:top w:val="single" w:color="000000" w:sz="4" w:space="0"/>
              <w:left w:val="single" w:color="000000" w:sz="4" w:space="0"/>
              <w:bottom w:val="single" w:color="000000" w:sz="4" w:space="0"/>
              <w:right w:val="single" w:color="000000" w:sz="4" w:space="0"/>
            </w:tcBorders>
            <w:vAlign w:val="center"/>
          </w:tcPr>
          <w:p w14:paraId="68529650">
            <w:pPr>
              <w:widowControl/>
              <w:ind w:firstLine="0" w:firstLineChars="0"/>
              <w:jc w:val="left"/>
              <w:textAlignment w:val="center"/>
              <w:rPr>
                <w:rFonts w:cs="宋体"/>
                <w:sz w:val="22"/>
                <w:szCs w:val="22"/>
              </w:rPr>
            </w:pPr>
            <w:r>
              <w:rPr>
                <w:rFonts w:hint="eastAsia" w:cs="宋体"/>
                <w:color w:val="000000"/>
                <w:kern w:val="0"/>
                <w:sz w:val="22"/>
                <w:szCs w:val="22"/>
              </w:rPr>
              <w:t>上海市残疾人机（电）动轮椅车申购（意向）登记事项，包含2个业务情形，对接方式变更，从直连改为中台+办件库对接方式。</w:t>
            </w:r>
          </w:p>
        </w:tc>
      </w:tr>
      <w:tr w14:paraId="656C0D2E">
        <w:tblPrEx>
          <w:tblCellMar>
            <w:top w:w="0" w:type="dxa"/>
            <w:left w:w="108" w:type="dxa"/>
            <w:bottom w:w="0" w:type="dxa"/>
            <w:right w:w="108" w:type="dxa"/>
          </w:tblCellMar>
        </w:tblPrEx>
        <w:trPr>
          <w:trHeight w:val="325"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5F1E4933">
            <w:pPr>
              <w:widowControl/>
              <w:numPr>
                <w:ilvl w:val="0"/>
                <w:numId w:val="5"/>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7C2A540E">
            <w:pPr>
              <w:widowControl/>
              <w:ind w:firstLine="0" w:firstLineChars="0"/>
              <w:jc w:val="center"/>
              <w:textAlignment w:val="center"/>
              <w:rPr>
                <w:rFonts w:cs="宋体"/>
                <w:sz w:val="22"/>
                <w:szCs w:val="22"/>
              </w:rPr>
            </w:pPr>
            <w:r>
              <w:rPr>
                <w:rFonts w:hint="eastAsia" w:cs="宋体"/>
                <w:color w:val="000000"/>
                <w:kern w:val="0"/>
                <w:sz w:val="22"/>
                <w:szCs w:val="22"/>
              </w:rPr>
              <w:t>残联事项新增及变更-变更事项：《中华人民共和国残疾人证》残疾评定复评</w:t>
            </w:r>
          </w:p>
        </w:tc>
        <w:tc>
          <w:tcPr>
            <w:tcW w:w="4828" w:type="dxa"/>
            <w:tcBorders>
              <w:top w:val="single" w:color="000000" w:sz="4" w:space="0"/>
              <w:left w:val="single" w:color="000000" w:sz="4" w:space="0"/>
              <w:bottom w:val="single" w:color="000000" w:sz="4" w:space="0"/>
              <w:right w:val="single" w:color="000000" w:sz="4" w:space="0"/>
            </w:tcBorders>
            <w:vAlign w:val="center"/>
          </w:tcPr>
          <w:p w14:paraId="0EA49A5F">
            <w:pPr>
              <w:widowControl/>
              <w:ind w:firstLine="0" w:firstLineChars="0"/>
              <w:jc w:val="left"/>
              <w:textAlignment w:val="center"/>
              <w:rPr>
                <w:rFonts w:cs="宋体"/>
                <w:sz w:val="22"/>
                <w:szCs w:val="22"/>
              </w:rPr>
            </w:pPr>
            <w:r>
              <w:rPr>
                <w:rFonts w:hint="eastAsia" w:cs="宋体"/>
                <w:color w:val="000000"/>
                <w:kern w:val="0"/>
                <w:sz w:val="22"/>
                <w:szCs w:val="22"/>
              </w:rPr>
              <w:t>《中华人民共和国残疾人证》残疾评定复评事项，对接方式变更，从直连改为中台+办件库对接方式。</w:t>
            </w:r>
          </w:p>
        </w:tc>
      </w:tr>
    </w:tbl>
    <w:p w14:paraId="26151640">
      <w:pPr>
        <w:pStyle w:val="4"/>
      </w:pPr>
      <w:r>
        <w:rPr>
          <w:rFonts w:hint="eastAsia"/>
        </w:rPr>
        <w:t>受理系统功能增补</w:t>
      </w:r>
    </w:p>
    <w:tbl>
      <w:tblPr>
        <w:tblStyle w:val="40"/>
        <w:tblW w:w="7378" w:type="dxa"/>
        <w:jc w:val="center"/>
        <w:tblLayout w:type="autofit"/>
        <w:tblCellMar>
          <w:top w:w="0" w:type="dxa"/>
          <w:left w:w="108" w:type="dxa"/>
          <w:bottom w:w="0" w:type="dxa"/>
          <w:right w:w="108" w:type="dxa"/>
        </w:tblCellMar>
      </w:tblPr>
      <w:tblGrid>
        <w:gridCol w:w="675"/>
        <w:gridCol w:w="1875"/>
        <w:gridCol w:w="4828"/>
      </w:tblGrid>
      <w:tr w14:paraId="4B0E00FB">
        <w:tblPrEx>
          <w:tblCellMar>
            <w:top w:w="0" w:type="dxa"/>
            <w:left w:w="108" w:type="dxa"/>
            <w:bottom w:w="0" w:type="dxa"/>
            <w:right w:w="108" w:type="dxa"/>
          </w:tblCellMar>
        </w:tblPrEx>
        <w:trPr>
          <w:trHeight w:val="27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48F31589">
            <w:pPr>
              <w:widowControl/>
              <w:ind w:firstLine="0" w:firstLineChars="0"/>
              <w:jc w:val="center"/>
              <w:textAlignment w:val="center"/>
              <w:rPr>
                <w:rFonts w:cs="宋体"/>
                <w:b/>
                <w:bCs/>
                <w:sz w:val="22"/>
                <w:szCs w:val="22"/>
              </w:rPr>
            </w:pPr>
            <w:r>
              <w:rPr>
                <w:rFonts w:hint="eastAsia" w:cs="宋体"/>
                <w:b/>
                <w:bCs/>
                <w:sz w:val="22"/>
                <w:szCs w:val="22"/>
              </w:rPr>
              <w:t>序号</w:t>
            </w:r>
          </w:p>
        </w:tc>
        <w:tc>
          <w:tcPr>
            <w:tcW w:w="1875" w:type="dxa"/>
            <w:tcBorders>
              <w:top w:val="single" w:color="000000" w:sz="4" w:space="0"/>
              <w:left w:val="single" w:color="000000" w:sz="4" w:space="0"/>
              <w:bottom w:val="single" w:color="000000" w:sz="4" w:space="0"/>
              <w:right w:val="single" w:color="000000" w:sz="4" w:space="0"/>
            </w:tcBorders>
            <w:vAlign w:val="center"/>
          </w:tcPr>
          <w:p w14:paraId="0D04B005">
            <w:pPr>
              <w:widowControl/>
              <w:ind w:firstLine="0" w:firstLineChars="0"/>
              <w:jc w:val="center"/>
              <w:textAlignment w:val="center"/>
              <w:rPr>
                <w:rFonts w:cs="宋体"/>
                <w:b/>
                <w:bCs/>
                <w:sz w:val="22"/>
                <w:szCs w:val="22"/>
              </w:rPr>
            </w:pPr>
            <w:r>
              <w:rPr>
                <w:rFonts w:hint="eastAsia" w:cs="宋体"/>
                <w:b/>
                <w:bCs/>
                <w:kern w:val="0"/>
                <w:sz w:val="22"/>
                <w:szCs w:val="22"/>
              </w:rPr>
              <w:t>功能名称</w:t>
            </w:r>
          </w:p>
        </w:tc>
        <w:tc>
          <w:tcPr>
            <w:tcW w:w="4828" w:type="dxa"/>
            <w:tcBorders>
              <w:top w:val="single" w:color="000000" w:sz="4" w:space="0"/>
              <w:left w:val="single" w:color="000000" w:sz="4" w:space="0"/>
              <w:bottom w:val="single" w:color="000000" w:sz="4" w:space="0"/>
              <w:right w:val="single" w:color="000000" w:sz="4" w:space="0"/>
            </w:tcBorders>
            <w:vAlign w:val="center"/>
          </w:tcPr>
          <w:p w14:paraId="3401718F">
            <w:pPr>
              <w:widowControl/>
              <w:ind w:firstLine="0" w:firstLineChars="0"/>
              <w:jc w:val="center"/>
              <w:textAlignment w:val="center"/>
              <w:rPr>
                <w:rFonts w:cs="宋体"/>
                <w:b/>
                <w:bCs/>
                <w:sz w:val="22"/>
                <w:szCs w:val="22"/>
              </w:rPr>
            </w:pPr>
            <w:r>
              <w:rPr>
                <w:rFonts w:hint="eastAsia" w:cs="宋体"/>
                <w:b/>
                <w:bCs/>
                <w:kern w:val="0"/>
                <w:sz w:val="22"/>
                <w:szCs w:val="22"/>
              </w:rPr>
              <w:t>功能描述</w:t>
            </w:r>
          </w:p>
        </w:tc>
      </w:tr>
      <w:tr w14:paraId="72A7D3AA">
        <w:tblPrEx>
          <w:tblCellMar>
            <w:top w:w="0" w:type="dxa"/>
            <w:left w:w="108" w:type="dxa"/>
            <w:bottom w:w="0" w:type="dxa"/>
            <w:right w:w="108" w:type="dxa"/>
          </w:tblCellMar>
        </w:tblPrEx>
        <w:trPr>
          <w:trHeight w:val="713"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7C89146B">
            <w:pPr>
              <w:widowControl/>
              <w:numPr>
                <w:ilvl w:val="0"/>
                <w:numId w:val="6"/>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099FB43D">
            <w:pPr>
              <w:widowControl/>
              <w:ind w:firstLine="0" w:firstLineChars="0"/>
              <w:jc w:val="center"/>
              <w:textAlignment w:val="center"/>
              <w:rPr>
                <w:rFonts w:cs="宋体"/>
                <w:sz w:val="22"/>
                <w:szCs w:val="22"/>
              </w:rPr>
            </w:pPr>
            <w:r>
              <w:rPr>
                <w:rFonts w:hint="eastAsia" w:cs="宋体"/>
                <w:color w:val="000000"/>
                <w:kern w:val="0"/>
                <w:sz w:val="22"/>
                <w:szCs w:val="22"/>
              </w:rPr>
              <w:t>运管分析平台-新增全口径事项清单</w:t>
            </w:r>
          </w:p>
        </w:tc>
        <w:tc>
          <w:tcPr>
            <w:tcW w:w="4828" w:type="dxa"/>
            <w:tcBorders>
              <w:top w:val="single" w:color="000000" w:sz="4" w:space="0"/>
              <w:left w:val="single" w:color="000000" w:sz="4" w:space="0"/>
              <w:bottom w:val="single" w:color="000000" w:sz="4" w:space="0"/>
              <w:right w:val="single" w:color="000000" w:sz="4" w:space="0"/>
            </w:tcBorders>
            <w:vAlign w:val="center"/>
          </w:tcPr>
          <w:p w14:paraId="4316A7DF">
            <w:pPr>
              <w:widowControl/>
              <w:ind w:firstLine="0" w:firstLineChars="0"/>
              <w:jc w:val="left"/>
              <w:textAlignment w:val="center"/>
              <w:rPr>
                <w:rFonts w:cs="宋体"/>
                <w:sz w:val="22"/>
                <w:szCs w:val="22"/>
              </w:rPr>
            </w:pPr>
            <w:r>
              <w:rPr>
                <w:rFonts w:hint="eastAsia" w:cs="宋体"/>
                <w:color w:val="000000"/>
                <w:kern w:val="0"/>
                <w:sz w:val="22"/>
                <w:szCs w:val="22"/>
              </w:rPr>
              <w:t>根据标准化建设规范，为方便工作人员了解当前下沉事项清单及事项上线状态，新增事项维护功能及对应的查询功能，包括社区事项清单查询，全市通办清单查询，长三角事项清单查询，自助机事项清单查询，远程受理事项清单查询功能。</w:t>
            </w:r>
          </w:p>
        </w:tc>
      </w:tr>
      <w:tr w14:paraId="708B8AAE">
        <w:tblPrEx>
          <w:tblCellMar>
            <w:top w:w="0" w:type="dxa"/>
            <w:left w:w="108" w:type="dxa"/>
            <w:bottom w:w="0" w:type="dxa"/>
            <w:right w:w="108"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48FF3652">
            <w:pPr>
              <w:widowControl/>
              <w:numPr>
                <w:ilvl w:val="0"/>
                <w:numId w:val="6"/>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435F0970">
            <w:pPr>
              <w:widowControl/>
              <w:ind w:firstLine="0" w:firstLineChars="0"/>
              <w:jc w:val="center"/>
              <w:textAlignment w:val="center"/>
              <w:rPr>
                <w:rFonts w:cs="宋体"/>
                <w:sz w:val="22"/>
                <w:szCs w:val="22"/>
              </w:rPr>
            </w:pPr>
            <w:r>
              <w:rPr>
                <w:rFonts w:hint="eastAsia" w:cs="宋体"/>
                <w:color w:val="000000"/>
                <w:kern w:val="0"/>
                <w:sz w:val="22"/>
                <w:szCs w:val="22"/>
              </w:rPr>
              <w:t>操作平台-增加调用PaaS短信服务</w:t>
            </w:r>
          </w:p>
        </w:tc>
        <w:tc>
          <w:tcPr>
            <w:tcW w:w="4828" w:type="dxa"/>
            <w:tcBorders>
              <w:top w:val="single" w:color="000000" w:sz="4" w:space="0"/>
              <w:left w:val="single" w:color="000000" w:sz="4" w:space="0"/>
              <w:bottom w:val="single" w:color="000000" w:sz="4" w:space="0"/>
              <w:right w:val="single" w:color="000000" w:sz="4" w:space="0"/>
            </w:tcBorders>
            <w:vAlign w:val="center"/>
          </w:tcPr>
          <w:p w14:paraId="7009CDE0">
            <w:pPr>
              <w:widowControl/>
              <w:ind w:firstLine="0" w:firstLineChars="0"/>
              <w:jc w:val="left"/>
              <w:textAlignment w:val="center"/>
              <w:rPr>
                <w:rFonts w:cs="宋体"/>
                <w:sz w:val="22"/>
                <w:szCs w:val="22"/>
              </w:rPr>
            </w:pPr>
            <w:r>
              <w:rPr>
                <w:rFonts w:hint="eastAsia" w:cs="宋体"/>
                <w:color w:val="000000"/>
                <w:kern w:val="0"/>
                <w:sz w:val="22"/>
                <w:szCs w:val="22"/>
              </w:rPr>
              <w:t>短信服务从大数据中心短信平台对接改为paas平台对接，包括网办件短信，收受分离短信，预约短信。</w:t>
            </w:r>
          </w:p>
        </w:tc>
      </w:tr>
      <w:tr w14:paraId="69ECBDCB">
        <w:tblPrEx>
          <w:tblCellMar>
            <w:top w:w="0" w:type="dxa"/>
            <w:left w:w="108" w:type="dxa"/>
            <w:bottom w:w="0" w:type="dxa"/>
            <w:right w:w="108" w:type="dxa"/>
          </w:tblCellMar>
        </w:tblPrEx>
        <w:trPr>
          <w:trHeight w:val="263"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0DD0C34F">
            <w:pPr>
              <w:widowControl/>
              <w:numPr>
                <w:ilvl w:val="0"/>
                <w:numId w:val="6"/>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629AAF69">
            <w:pPr>
              <w:widowControl/>
              <w:ind w:firstLine="0" w:firstLineChars="0"/>
              <w:jc w:val="center"/>
              <w:textAlignment w:val="center"/>
              <w:rPr>
                <w:rFonts w:cs="宋体"/>
                <w:sz w:val="22"/>
                <w:szCs w:val="22"/>
              </w:rPr>
            </w:pPr>
            <w:r>
              <w:rPr>
                <w:rFonts w:hint="eastAsia" w:cs="宋体"/>
                <w:color w:val="000000"/>
                <w:kern w:val="0"/>
                <w:sz w:val="22"/>
                <w:szCs w:val="22"/>
              </w:rPr>
              <w:t>操作平台-增加路名库</w:t>
            </w:r>
          </w:p>
        </w:tc>
        <w:tc>
          <w:tcPr>
            <w:tcW w:w="4828" w:type="dxa"/>
            <w:tcBorders>
              <w:top w:val="single" w:color="000000" w:sz="4" w:space="0"/>
              <w:left w:val="single" w:color="000000" w:sz="4" w:space="0"/>
              <w:bottom w:val="single" w:color="000000" w:sz="4" w:space="0"/>
              <w:right w:val="single" w:color="000000" w:sz="4" w:space="0"/>
            </w:tcBorders>
            <w:vAlign w:val="center"/>
          </w:tcPr>
          <w:p w14:paraId="7DD8403E">
            <w:pPr>
              <w:widowControl/>
              <w:ind w:firstLine="0" w:firstLineChars="0"/>
              <w:jc w:val="left"/>
              <w:textAlignment w:val="center"/>
              <w:rPr>
                <w:rFonts w:cs="宋体"/>
                <w:sz w:val="22"/>
                <w:szCs w:val="22"/>
              </w:rPr>
            </w:pPr>
            <w:r>
              <w:rPr>
                <w:rFonts w:hint="eastAsia" w:cs="宋体"/>
                <w:color w:val="000000"/>
                <w:kern w:val="0"/>
                <w:sz w:val="22"/>
                <w:szCs w:val="22"/>
              </w:rPr>
              <w:t>新增路名库功能，对接民政中台，根据路名模糊查询详细信息</w:t>
            </w:r>
          </w:p>
        </w:tc>
      </w:tr>
      <w:tr w14:paraId="1DB41367">
        <w:tblPrEx>
          <w:tblCellMar>
            <w:top w:w="0" w:type="dxa"/>
            <w:left w:w="108" w:type="dxa"/>
            <w:bottom w:w="0" w:type="dxa"/>
            <w:right w:w="108"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21555510">
            <w:pPr>
              <w:widowControl/>
              <w:numPr>
                <w:ilvl w:val="0"/>
                <w:numId w:val="6"/>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6BAD4575">
            <w:pPr>
              <w:widowControl/>
              <w:ind w:firstLine="0" w:firstLineChars="0"/>
              <w:jc w:val="center"/>
              <w:textAlignment w:val="center"/>
              <w:rPr>
                <w:rFonts w:cs="宋体"/>
                <w:sz w:val="22"/>
                <w:szCs w:val="22"/>
              </w:rPr>
            </w:pPr>
            <w:r>
              <w:rPr>
                <w:rFonts w:hint="eastAsia" w:cs="宋体"/>
                <w:color w:val="000000"/>
                <w:kern w:val="0"/>
                <w:sz w:val="22"/>
                <w:szCs w:val="22"/>
              </w:rPr>
              <w:t>操作平台-增加扫码盒适配</w:t>
            </w:r>
          </w:p>
        </w:tc>
        <w:tc>
          <w:tcPr>
            <w:tcW w:w="4828" w:type="dxa"/>
            <w:tcBorders>
              <w:top w:val="single" w:color="000000" w:sz="4" w:space="0"/>
              <w:left w:val="single" w:color="000000" w:sz="4" w:space="0"/>
              <w:bottom w:val="single" w:color="000000" w:sz="4" w:space="0"/>
              <w:right w:val="single" w:color="000000" w:sz="4" w:space="0"/>
            </w:tcBorders>
            <w:vAlign w:val="center"/>
          </w:tcPr>
          <w:p w14:paraId="656BF206">
            <w:pPr>
              <w:widowControl/>
              <w:ind w:firstLine="0" w:firstLineChars="0"/>
              <w:jc w:val="left"/>
              <w:textAlignment w:val="center"/>
              <w:rPr>
                <w:rFonts w:cs="宋体"/>
                <w:sz w:val="22"/>
                <w:szCs w:val="22"/>
              </w:rPr>
            </w:pPr>
            <w:r>
              <w:rPr>
                <w:rFonts w:hint="eastAsia" w:cs="宋体"/>
                <w:color w:val="000000"/>
                <w:kern w:val="0"/>
                <w:sz w:val="22"/>
                <w:szCs w:val="22"/>
              </w:rPr>
              <w:t>新增支持扫码盒扫描二维码功能，包括事项入口扫码盒扫描随申码功能，医保报销事项扫码盒扫描电子发票信息。</w:t>
            </w:r>
          </w:p>
        </w:tc>
      </w:tr>
      <w:tr w14:paraId="12734C6E">
        <w:tblPrEx>
          <w:tblCellMar>
            <w:top w:w="0" w:type="dxa"/>
            <w:left w:w="108" w:type="dxa"/>
            <w:bottom w:w="0" w:type="dxa"/>
            <w:right w:w="108"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75594802">
            <w:pPr>
              <w:widowControl/>
              <w:numPr>
                <w:ilvl w:val="0"/>
                <w:numId w:val="6"/>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42A99F19">
            <w:pPr>
              <w:widowControl/>
              <w:ind w:firstLine="0" w:firstLineChars="0"/>
              <w:jc w:val="center"/>
              <w:textAlignment w:val="center"/>
              <w:rPr>
                <w:rFonts w:cs="宋体"/>
                <w:sz w:val="22"/>
                <w:szCs w:val="22"/>
              </w:rPr>
            </w:pPr>
            <w:r>
              <w:rPr>
                <w:rFonts w:hint="eastAsia" w:cs="宋体"/>
                <w:color w:val="000000"/>
                <w:kern w:val="0"/>
                <w:sz w:val="22"/>
                <w:szCs w:val="22"/>
              </w:rPr>
              <w:t>操作平台-增补综合窗口数据查询</w:t>
            </w:r>
          </w:p>
        </w:tc>
        <w:tc>
          <w:tcPr>
            <w:tcW w:w="4828" w:type="dxa"/>
            <w:tcBorders>
              <w:top w:val="single" w:color="000000" w:sz="4" w:space="0"/>
              <w:left w:val="single" w:color="000000" w:sz="4" w:space="0"/>
              <w:bottom w:val="single" w:color="000000" w:sz="4" w:space="0"/>
              <w:right w:val="single" w:color="000000" w:sz="4" w:space="0"/>
            </w:tcBorders>
            <w:vAlign w:val="center"/>
          </w:tcPr>
          <w:p w14:paraId="5BB80A34">
            <w:pPr>
              <w:widowControl/>
              <w:ind w:firstLine="0" w:firstLineChars="0"/>
              <w:jc w:val="left"/>
              <w:textAlignment w:val="center"/>
              <w:rPr>
                <w:rFonts w:cs="宋体"/>
                <w:sz w:val="22"/>
                <w:szCs w:val="22"/>
              </w:rPr>
            </w:pPr>
            <w:r>
              <w:rPr>
                <w:rFonts w:hint="eastAsia" w:cs="宋体"/>
                <w:color w:val="000000"/>
                <w:kern w:val="0"/>
                <w:sz w:val="22"/>
                <w:szCs w:val="22"/>
              </w:rPr>
              <w:t>为支持第三方评估工作按照第三方评估规则，优化综合窗口数据及人员窗口数据统计规则，并将16各区数据按照街道分别生成表格数据，包括综窗数据，人员数据，全市通办数据，一网通办数据，两面数据，远程虚拟窗口点位在线情况数据信息。根据第三方评估要求，新增全市通办待办历史轨迹查询功能，防止全市通办接单超时扯皮时间，可实时查看全市通办件接单轨迹及当时接单返回数据情况。根据第三方评估要求，一网通办待办历史轨迹查询功能，可实时查看一网通办件接单轨迹及当时接单返回数据情况，使街道对网办件接单情况实时掌控。</w:t>
            </w:r>
          </w:p>
        </w:tc>
      </w:tr>
      <w:tr w14:paraId="286BF59B">
        <w:tblPrEx>
          <w:tblCellMar>
            <w:top w:w="0" w:type="dxa"/>
            <w:left w:w="108" w:type="dxa"/>
            <w:bottom w:w="0" w:type="dxa"/>
            <w:right w:w="108"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5B0A4B61">
            <w:pPr>
              <w:widowControl/>
              <w:numPr>
                <w:ilvl w:val="0"/>
                <w:numId w:val="6"/>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10A867C2">
            <w:pPr>
              <w:widowControl/>
              <w:ind w:firstLine="0" w:firstLineChars="0"/>
              <w:jc w:val="center"/>
              <w:textAlignment w:val="center"/>
              <w:rPr>
                <w:rFonts w:cs="宋体"/>
                <w:sz w:val="22"/>
                <w:szCs w:val="22"/>
              </w:rPr>
            </w:pPr>
            <w:r>
              <w:rPr>
                <w:rFonts w:hint="eastAsia" w:cs="宋体"/>
                <w:color w:val="000000"/>
                <w:kern w:val="0"/>
                <w:sz w:val="22"/>
                <w:szCs w:val="22"/>
              </w:rPr>
              <w:t>MAP平台提供的个性接口-学习问答Agent集成接口</w:t>
            </w:r>
          </w:p>
        </w:tc>
        <w:tc>
          <w:tcPr>
            <w:tcW w:w="4828" w:type="dxa"/>
            <w:tcBorders>
              <w:top w:val="single" w:color="000000" w:sz="4" w:space="0"/>
              <w:left w:val="single" w:color="000000" w:sz="4" w:space="0"/>
              <w:bottom w:val="single" w:color="000000" w:sz="4" w:space="0"/>
              <w:right w:val="single" w:color="000000" w:sz="4" w:space="0"/>
            </w:tcBorders>
            <w:vAlign w:val="center"/>
          </w:tcPr>
          <w:p w14:paraId="5C7BFC37">
            <w:pPr>
              <w:widowControl/>
              <w:ind w:firstLine="0" w:firstLineChars="0"/>
              <w:jc w:val="left"/>
              <w:textAlignment w:val="center"/>
              <w:rPr>
                <w:rFonts w:cs="宋体"/>
                <w:sz w:val="22"/>
                <w:szCs w:val="22"/>
              </w:rPr>
            </w:pPr>
            <w:r>
              <w:rPr>
                <w:rFonts w:hint="eastAsia" w:cs="宋体"/>
                <w:color w:val="000000"/>
                <w:kern w:val="0"/>
                <w:sz w:val="22"/>
                <w:szCs w:val="22"/>
              </w:rPr>
              <w:t>MAP平台提供的个性接口-学习问答Agent集成接口。</w:t>
            </w:r>
          </w:p>
        </w:tc>
      </w:tr>
      <w:tr w14:paraId="7DDCF132">
        <w:tblPrEx>
          <w:tblCellMar>
            <w:top w:w="0" w:type="dxa"/>
            <w:left w:w="108" w:type="dxa"/>
            <w:bottom w:w="0" w:type="dxa"/>
            <w:right w:w="108" w:type="dxa"/>
          </w:tblCellMar>
        </w:tblPrEx>
        <w:trPr>
          <w:trHeight w:val="551"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2075202E">
            <w:pPr>
              <w:widowControl/>
              <w:numPr>
                <w:ilvl w:val="0"/>
                <w:numId w:val="6"/>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470FC711">
            <w:pPr>
              <w:widowControl/>
              <w:ind w:firstLine="0" w:firstLineChars="0"/>
              <w:jc w:val="center"/>
              <w:textAlignment w:val="center"/>
              <w:rPr>
                <w:rFonts w:cs="宋体"/>
                <w:sz w:val="22"/>
                <w:szCs w:val="22"/>
              </w:rPr>
            </w:pPr>
            <w:r>
              <w:rPr>
                <w:rFonts w:hint="eastAsia" w:cs="宋体"/>
                <w:color w:val="000000"/>
                <w:kern w:val="0"/>
                <w:sz w:val="22"/>
                <w:szCs w:val="22"/>
              </w:rPr>
              <w:t>MAP平台提供的个性接口-问答智办Agent集成接口-失业登记（本市户籍）/（非本市户籍）事项</w:t>
            </w:r>
          </w:p>
        </w:tc>
        <w:tc>
          <w:tcPr>
            <w:tcW w:w="4828" w:type="dxa"/>
            <w:tcBorders>
              <w:top w:val="single" w:color="000000" w:sz="4" w:space="0"/>
              <w:left w:val="single" w:color="000000" w:sz="4" w:space="0"/>
              <w:bottom w:val="single" w:color="000000" w:sz="4" w:space="0"/>
              <w:right w:val="single" w:color="000000" w:sz="4" w:space="0"/>
            </w:tcBorders>
            <w:vAlign w:val="center"/>
          </w:tcPr>
          <w:p w14:paraId="32BDB842">
            <w:pPr>
              <w:widowControl/>
              <w:ind w:firstLine="0" w:firstLineChars="0"/>
              <w:jc w:val="left"/>
              <w:textAlignment w:val="center"/>
              <w:rPr>
                <w:rFonts w:cs="宋体"/>
                <w:sz w:val="22"/>
                <w:szCs w:val="22"/>
              </w:rPr>
            </w:pPr>
            <w:r>
              <w:rPr>
                <w:rFonts w:hint="eastAsia" w:cs="宋体"/>
                <w:color w:val="000000"/>
                <w:kern w:val="0"/>
                <w:sz w:val="22"/>
                <w:szCs w:val="22"/>
              </w:rPr>
              <w:t>本事项涉及3个接口调用（准入判断接口、失业时间校验接口，提交接口），涉及6个表单输入确认过程（失业时间、失业原因、求职意向、健康状况、是否申领失业金），无需要特别确认的材料，故最多存在9次交互。</w:t>
            </w:r>
          </w:p>
        </w:tc>
      </w:tr>
      <w:tr w14:paraId="5E49F52D">
        <w:tblPrEx>
          <w:tblCellMar>
            <w:top w:w="0" w:type="dxa"/>
            <w:left w:w="108" w:type="dxa"/>
            <w:bottom w:w="0" w:type="dxa"/>
            <w:right w:w="108" w:type="dxa"/>
          </w:tblCellMar>
        </w:tblPrEx>
        <w:trPr>
          <w:trHeight w:val="803"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109FF6C1">
            <w:pPr>
              <w:widowControl/>
              <w:numPr>
                <w:ilvl w:val="0"/>
                <w:numId w:val="6"/>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07FCC850">
            <w:pPr>
              <w:widowControl/>
              <w:ind w:firstLine="0" w:firstLineChars="0"/>
              <w:jc w:val="center"/>
              <w:textAlignment w:val="center"/>
              <w:rPr>
                <w:rFonts w:cs="宋体"/>
                <w:sz w:val="22"/>
                <w:szCs w:val="22"/>
              </w:rPr>
            </w:pPr>
            <w:r>
              <w:rPr>
                <w:rFonts w:hint="eastAsia" w:cs="宋体"/>
                <w:color w:val="000000"/>
                <w:kern w:val="0"/>
                <w:sz w:val="22"/>
                <w:szCs w:val="22"/>
              </w:rPr>
              <w:t>MAP平台提供的个性接口-问答智办Agent集成接口-个人申领郊区农村富余劳动力跨区非农就业补贴申请事项</w:t>
            </w:r>
          </w:p>
        </w:tc>
        <w:tc>
          <w:tcPr>
            <w:tcW w:w="4828" w:type="dxa"/>
            <w:tcBorders>
              <w:top w:val="single" w:color="000000" w:sz="4" w:space="0"/>
              <w:left w:val="single" w:color="000000" w:sz="4" w:space="0"/>
              <w:bottom w:val="single" w:color="000000" w:sz="4" w:space="0"/>
              <w:right w:val="single" w:color="000000" w:sz="4" w:space="0"/>
            </w:tcBorders>
            <w:vAlign w:val="center"/>
          </w:tcPr>
          <w:p w14:paraId="7A4792C4">
            <w:pPr>
              <w:widowControl/>
              <w:ind w:firstLine="0" w:firstLineChars="0"/>
              <w:jc w:val="left"/>
              <w:textAlignment w:val="center"/>
              <w:rPr>
                <w:rFonts w:cs="宋体"/>
                <w:sz w:val="22"/>
                <w:szCs w:val="22"/>
              </w:rPr>
            </w:pPr>
            <w:r>
              <w:rPr>
                <w:rFonts w:hint="eastAsia" w:cs="宋体"/>
                <w:color w:val="000000"/>
                <w:kern w:val="0"/>
                <w:sz w:val="22"/>
                <w:szCs w:val="22"/>
              </w:rPr>
              <w:t>本事项涉及3个接口调用（准入判断接口、补贴起始时间校验接口，提交接口），涉及3个表单输入确认过程（开始月份，月工资收入，非农村户籍系统中无征地标志时手工判断定位征地人员checkbox），3个需要特别确认的材料（补贴申请表、劳动合同、月工资收入证明），故最多存在9次交互。</w:t>
            </w:r>
          </w:p>
        </w:tc>
      </w:tr>
      <w:tr w14:paraId="36F87950">
        <w:tblPrEx>
          <w:tblCellMar>
            <w:top w:w="0" w:type="dxa"/>
            <w:left w:w="108" w:type="dxa"/>
            <w:bottom w:w="0" w:type="dxa"/>
            <w:right w:w="108" w:type="dxa"/>
          </w:tblCellMar>
        </w:tblPrEx>
        <w:trPr>
          <w:trHeight w:val="556"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3ACFEB3D">
            <w:pPr>
              <w:widowControl/>
              <w:numPr>
                <w:ilvl w:val="0"/>
                <w:numId w:val="6"/>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6F93C2B4">
            <w:pPr>
              <w:widowControl/>
              <w:ind w:firstLine="0" w:firstLineChars="0"/>
              <w:jc w:val="center"/>
              <w:textAlignment w:val="center"/>
              <w:rPr>
                <w:rFonts w:cs="宋体"/>
                <w:sz w:val="22"/>
                <w:szCs w:val="22"/>
              </w:rPr>
            </w:pPr>
            <w:r>
              <w:rPr>
                <w:rFonts w:hint="eastAsia" w:cs="宋体"/>
                <w:color w:val="000000"/>
                <w:kern w:val="0"/>
                <w:sz w:val="22"/>
                <w:szCs w:val="22"/>
              </w:rPr>
              <w:t>MAP平台提供的个性接口-问答智办Agent集成接口-养老服务补贴事项</w:t>
            </w:r>
          </w:p>
        </w:tc>
        <w:tc>
          <w:tcPr>
            <w:tcW w:w="4828" w:type="dxa"/>
            <w:tcBorders>
              <w:top w:val="single" w:color="000000" w:sz="4" w:space="0"/>
              <w:left w:val="single" w:color="000000" w:sz="4" w:space="0"/>
              <w:bottom w:val="single" w:color="000000" w:sz="4" w:space="0"/>
              <w:right w:val="single" w:color="000000" w:sz="4" w:space="0"/>
            </w:tcBorders>
            <w:vAlign w:val="center"/>
          </w:tcPr>
          <w:p w14:paraId="2E3FAB35">
            <w:pPr>
              <w:widowControl/>
              <w:ind w:firstLine="0" w:firstLineChars="0"/>
              <w:jc w:val="left"/>
              <w:textAlignment w:val="center"/>
              <w:rPr>
                <w:rFonts w:cs="宋体"/>
                <w:sz w:val="22"/>
                <w:szCs w:val="22"/>
              </w:rPr>
            </w:pPr>
            <w:r>
              <w:rPr>
                <w:rFonts w:hint="eastAsia" w:cs="宋体"/>
                <w:color w:val="000000"/>
                <w:kern w:val="0"/>
                <w:sz w:val="22"/>
                <w:szCs w:val="22"/>
              </w:rPr>
              <w:t>本事项涉及3个接口调用（准入判断接口、老年照护需求统一评估信息接口，提交接口），涉及1个表单输入确认过程（老年照护需求统一评估结果），故最多存在4次交互。</w:t>
            </w:r>
          </w:p>
        </w:tc>
      </w:tr>
      <w:tr w14:paraId="51BD1705">
        <w:tblPrEx>
          <w:tblCellMar>
            <w:top w:w="0" w:type="dxa"/>
            <w:left w:w="108" w:type="dxa"/>
            <w:bottom w:w="0" w:type="dxa"/>
            <w:right w:w="108"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234F4364">
            <w:pPr>
              <w:widowControl/>
              <w:numPr>
                <w:ilvl w:val="0"/>
                <w:numId w:val="6"/>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78EC86CA">
            <w:pPr>
              <w:widowControl/>
              <w:ind w:firstLine="0" w:firstLineChars="0"/>
              <w:jc w:val="center"/>
              <w:textAlignment w:val="center"/>
              <w:rPr>
                <w:rFonts w:cs="宋体"/>
                <w:sz w:val="22"/>
                <w:szCs w:val="22"/>
              </w:rPr>
            </w:pPr>
            <w:r>
              <w:rPr>
                <w:rFonts w:hint="eastAsia" w:cs="宋体"/>
                <w:color w:val="000000"/>
                <w:kern w:val="0"/>
                <w:sz w:val="22"/>
                <w:szCs w:val="22"/>
              </w:rPr>
              <w:t>MAP平台提供的个性接口-问答智办Agent集成接口-本市支援外地建设退休（职）回沪定居人员帮困补助事项</w:t>
            </w:r>
          </w:p>
        </w:tc>
        <w:tc>
          <w:tcPr>
            <w:tcW w:w="4828" w:type="dxa"/>
            <w:tcBorders>
              <w:top w:val="single" w:color="000000" w:sz="4" w:space="0"/>
              <w:left w:val="single" w:color="000000" w:sz="4" w:space="0"/>
              <w:bottom w:val="single" w:color="000000" w:sz="4" w:space="0"/>
              <w:right w:val="single" w:color="000000" w:sz="4" w:space="0"/>
            </w:tcBorders>
            <w:vAlign w:val="center"/>
          </w:tcPr>
          <w:p w14:paraId="36CF2F4D">
            <w:pPr>
              <w:widowControl/>
              <w:ind w:firstLine="0" w:firstLineChars="0"/>
              <w:jc w:val="left"/>
              <w:textAlignment w:val="center"/>
              <w:rPr>
                <w:rFonts w:cs="宋体"/>
                <w:sz w:val="22"/>
                <w:szCs w:val="22"/>
              </w:rPr>
            </w:pPr>
            <w:r>
              <w:rPr>
                <w:rFonts w:hint="eastAsia" w:cs="宋体"/>
                <w:color w:val="000000"/>
                <w:kern w:val="0"/>
                <w:sz w:val="22"/>
                <w:szCs w:val="22"/>
              </w:rPr>
              <w:t>本事项涉及2个接口调用（准入判断接口、提交接口），涉及1个较为复杂的材料识别过程（申请人指定月养老收入证明），故最多存在3次交互。</w:t>
            </w:r>
          </w:p>
        </w:tc>
      </w:tr>
      <w:tr w14:paraId="0EB15B80">
        <w:tblPrEx>
          <w:tblCellMar>
            <w:top w:w="0" w:type="dxa"/>
            <w:left w:w="108" w:type="dxa"/>
            <w:bottom w:w="0" w:type="dxa"/>
            <w:right w:w="108"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21AB4BAC">
            <w:pPr>
              <w:widowControl/>
              <w:numPr>
                <w:ilvl w:val="0"/>
                <w:numId w:val="6"/>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1D1D42C1">
            <w:pPr>
              <w:widowControl/>
              <w:ind w:firstLine="0" w:firstLineChars="0"/>
              <w:jc w:val="center"/>
              <w:textAlignment w:val="center"/>
              <w:rPr>
                <w:rFonts w:cs="宋体"/>
                <w:sz w:val="22"/>
                <w:szCs w:val="22"/>
              </w:rPr>
            </w:pPr>
            <w:r>
              <w:rPr>
                <w:rFonts w:hint="eastAsia" w:cs="宋体"/>
                <w:color w:val="000000"/>
                <w:kern w:val="0"/>
                <w:sz w:val="22"/>
                <w:szCs w:val="22"/>
              </w:rPr>
              <w:t>MAP平台提供的个性接口-问答智办Agent集成接口-残疾人居家养护服务申请事项</w:t>
            </w:r>
          </w:p>
        </w:tc>
        <w:tc>
          <w:tcPr>
            <w:tcW w:w="4828" w:type="dxa"/>
            <w:tcBorders>
              <w:top w:val="single" w:color="000000" w:sz="4" w:space="0"/>
              <w:left w:val="single" w:color="000000" w:sz="4" w:space="0"/>
              <w:bottom w:val="single" w:color="000000" w:sz="4" w:space="0"/>
              <w:right w:val="single" w:color="000000" w:sz="4" w:space="0"/>
            </w:tcBorders>
            <w:vAlign w:val="center"/>
          </w:tcPr>
          <w:p w14:paraId="555F18BE">
            <w:pPr>
              <w:widowControl/>
              <w:ind w:firstLine="0" w:firstLineChars="0"/>
              <w:jc w:val="left"/>
              <w:textAlignment w:val="center"/>
              <w:rPr>
                <w:rFonts w:cs="宋体"/>
                <w:sz w:val="22"/>
                <w:szCs w:val="22"/>
              </w:rPr>
            </w:pPr>
            <w:r>
              <w:rPr>
                <w:rFonts w:hint="eastAsia" w:cs="宋体"/>
                <w:color w:val="000000"/>
                <w:kern w:val="0"/>
                <w:sz w:val="22"/>
                <w:szCs w:val="22"/>
              </w:rPr>
              <w:t>本事项涉及2个接口调用（准入判断接口、提交接口），涉及2个材料采集过程（重残无业证明材料、申请审核表），涉及1个表单输入确认过程（申请日期），故最多存在5次交互。</w:t>
            </w:r>
          </w:p>
        </w:tc>
      </w:tr>
      <w:tr w14:paraId="3ED3538B">
        <w:tblPrEx>
          <w:tblCellMar>
            <w:top w:w="0" w:type="dxa"/>
            <w:left w:w="108" w:type="dxa"/>
            <w:bottom w:w="0" w:type="dxa"/>
            <w:right w:w="108" w:type="dxa"/>
          </w:tblCellMar>
        </w:tblPrEx>
        <w:trPr>
          <w:trHeight w:val="26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233AAC0E">
            <w:pPr>
              <w:widowControl/>
              <w:numPr>
                <w:ilvl w:val="0"/>
                <w:numId w:val="6"/>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03E672B3">
            <w:pPr>
              <w:widowControl/>
              <w:ind w:firstLine="0" w:firstLineChars="0"/>
              <w:jc w:val="center"/>
              <w:textAlignment w:val="center"/>
              <w:rPr>
                <w:rFonts w:cs="宋体"/>
                <w:sz w:val="22"/>
                <w:szCs w:val="22"/>
              </w:rPr>
            </w:pPr>
            <w:r>
              <w:rPr>
                <w:rFonts w:hint="eastAsia" w:cs="宋体"/>
                <w:color w:val="000000"/>
                <w:kern w:val="0"/>
                <w:sz w:val="22"/>
                <w:szCs w:val="22"/>
              </w:rPr>
              <w:t>受理系统提供的个性接口-申请人核实接口</w:t>
            </w:r>
          </w:p>
        </w:tc>
        <w:tc>
          <w:tcPr>
            <w:tcW w:w="4828" w:type="dxa"/>
            <w:tcBorders>
              <w:top w:val="single" w:color="000000" w:sz="4" w:space="0"/>
              <w:left w:val="single" w:color="000000" w:sz="4" w:space="0"/>
              <w:bottom w:val="single" w:color="000000" w:sz="4" w:space="0"/>
              <w:right w:val="single" w:color="000000" w:sz="4" w:space="0"/>
            </w:tcBorders>
            <w:vAlign w:val="center"/>
          </w:tcPr>
          <w:p w14:paraId="62ED2D1C">
            <w:pPr>
              <w:widowControl/>
              <w:ind w:firstLine="0" w:firstLineChars="0"/>
              <w:jc w:val="left"/>
              <w:textAlignment w:val="center"/>
              <w:rPr>
                <w:rFonts w:cs="宋体"/>
                <w:sz w:val="22"/>
                <w:szCs w:val="22"/>
              </w:rPr>
            </w:pPr>
            <w:r>
              <w:rPr>
                <w:rFonts w:hint="eastAsia" w:cs="宋体"/>
                <w:color w:val="000000"/>
                <w:kern w:val="0"/>
                <w:sz w:val="22"/>
                <w:szCs w:val="22"/>
              </w:rPr>
              <w:t>利用申请人姓名、证件类型、证件号码核实该申请人是否存在于受理系统中。</w:t>
            </w:r>
          </w:p>
        </w:tc>
      </w:tr>
      <w:tr w14:paraId="51BC7F3F">
        <w:tblPrEx>
          <w:tblCellMar>
            <w:top w:w="0" w:type="dxa"/>
            <w:left w:w="108" w:type="dxa"/>
            <w:bottom w:w="0" w:type="dxa"/>
            <w:right w:w="108" w:type="dxa"/>
          </w:tblCellMar>
        </w:tblPrEx>
        <w:trPr>
          <w:trHeight w:val="814"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33F8F330">
            <w:pPr>
              <w:widowControl/>
              <w:numPr>
                <w:ilvl w:val="0"/>
                <w:numId w:val="6"/>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652ED221">
            <w:pPr>
              <w:widowControl/>
              <w:ind w:firstLine="0" w:firstLineChars="0"/>
              <w:jc w:val="center"/>
              <w:textAlignment w:val="center"/>
              <w:rPr>
                <w:rFonts w:cs="宋体"/>
                <w:sz w:val="22"/>
                <w:szCs w:val="22"/>
              </w:rPr>
            </w:pPr>
            <w:r>
              <w:rPr>
                <w:rFonts w:hint="eastAsia" w:cs="宋体"/>
                <w:color w:val="000000"/>
                <w:kern w:val="0"/>
                <w:sz w:val="22"/>
                <w:szCs w:val="22"/>
              </w:rPr>
              <w:t>受理系统提供的个性接口-事项办理过程的条线接口封装</w:t>
            </w:r>
          </w:p>
        </w:tc>
        <w:tc>
          <w:tcPr>
            <w:tcW w:w="4828" w:type="dxa"/>
            <w:tcBorders>
              <w:top w:val="single" w:color="000000" w:sz="4" w:space="0"/>
              <w:left w:val="single" w:color="000000" w:sz="4" w:space="0"/>
              <w:bottom w:val="single" w:color="000000" w:sz="4" w:space="0"/>
              <w:right w:val="single" w:color="000000" w:sz="4" w:space="0"/>
            </w:tcBorders>
            <w:vAlign w:val="center"/>
          </w:tcPr>
          <w:p w14:paraId="2FBE79D9">
            <w:pPr>
              <w:widowControl/>
              <w:ind w:firstLine="0" w:firstLineChars="0"/>
              <w:jc w:val="left"/>
              <w:textAlignment w:val="center"/>
              <w:rPr>
                <w:rFonts w:cs="宋体"/>
                <w:sz w:val="22"/>
                <w:szCs w:val="22"/>
              </w:rPr>
            </w:pPr>
            <w:r>
              <w:rPr>
                <w:rFonts w:hint="eastAsia" w:cs="宋体"/>
                <w:color w:val="000000"/>
                <w:kern w:val="0"/>
                <w:sz w:val="22"/>
                <w:szCs w:val="22"/>
              </w:rPr>
              <w:t>由受理系统的接口平台封装条线部门业务系统接口或一网通办平台接口，专门给MAP平台进行调用，接口中要承担姓名、身份证号等敏感信息加解密的过程，即给到大模型那一侧的必须是密文，而给到条线那一侧的必须是明文。</w:t>
            </w:r>
          </w:p>
        </w:tc>
      </w:tr>
      <w:tr w14:paraId="34A39C1A">
        <w:tblPrEx>
          <w:tblCellMar>
            <w:top w:w="0" w:type="dxa"/>
            <w:left w:w="108" w:type="dxa"/>
            <w:bottom w:w="0" w:type="dxa"/>
            <w:right w:w="108" w:type="dxa"/>
          </w:tblCellMar>
        </w:tblPrEx>
        <w:trPr>
          <w:trHeight w:val="1271"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413174D1">
            <w:pPr>
              <w:widowControl/>
              <w:numPr>
                <w:ilvl w:val="0"/>
                <w:numId w:val="6"/>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6AE59E54">
            <w:pPr>
              <w:widowControl/>
              <w:ind w:firstLine="0" w:firstLineChars="0"/>
              <w:jc w:val="center"/>
              <w:textAlignment w:val="center"/>
              <w:rPr>
                <w:rFonts w:cs="宋体"/>
                <w:sz w:val="22"/>
                <w:szCs w:val="22"/>
              </w:rPr>
            </w:pPr>
            <w:r>
              <w:rPr>
                <w:rFonts w:hint="eastAsia" w:cs="宋体"/>
                <w:color w:val="000000"/>
                <w:kern w:val="0"/>
                <w:sz w:val="22"/>
                <w:szCs w:val="22"/>
              </w:rPr>
              <w:t>政策依据和业务口径梳理</w:t>
            </w:r>
          </w:p>
        </w:tc>
        <w:tc>
          <w:tcPr>
            <w:tcW w:w="4828" w:type="dxa"/>
            <w:tcBorders>
              <w:top w:val="single" w:color="000000" w:sz="4" w:space="0"/>
              <w:left w:val="single" w:color="000000" w:sz="4" w:space="0"/>
              <w:bottom w:val="single" w:color="000000" w:sz="4" w:space="0"/>
              <w:right w:val="single" w:color="000000" w:sz="4" w:space="0"/>
            </w:tcBorders>
            <w:vAlign w:val="center"/>
          </w:tcPr>
          <w:p w14:paraId="346991ED">
            <w:pPr>
              <w:widowControl/>
              <w:ind w:firstLine="0" w:firstLineChars="0"/>
              <w:jc w:val="left"/>
              <w:textAlignment w:val="center"/>
              <w:rPr>
                <w:rFonts w:cs="宋体"/>
                <w:sz w:val="22"/>
                <w:szCs w:val="22"/>
              </w:rPr>
            </w:pPr>
            <w:r>
              <w:rPr>
                <w:rFonts w:hint="eastAsia" w:cs="宋体"/>
                <w:color w:val="000000"/>
                <w:kern w:val="0"/>
                <w:sz w:val="22"/>
                <w:szCs w:val="22"/>
              </w:rPr>
              <w:t>1、获取政策。将从条线获取的纸质政策进行OCR，利用爬虫根据办事指南爬取一批政策。</w:t>
            </w:r>
            <w:r>
              <w:rPr>
                <w:rFonts w:hint="eastAsia" w:cs="宋体"/>
                <w:color w:val="000000"/>
                <w:kern w:val="0"/>
                <w:sz w:val="22"/>
                <w:szCs w:val="22"/>
              </w:rPr>
              <w:br w:type="textWrapping"/>
            </w:r>
            <w:r>
              <w:rPr>
                <w:rFonts w:hint="eastAsia" w:cs="宋体"/>
                <w:color w:val="000000"/>
                <w:kern w:val="0"/>
                <w:sz w:val="22"/>
                <w:szCs w:val="22"/>
              </w:rPr>
              <w:t>2、初步清洗：去除页眉页脚，人工纠正乱码和错误，修正表格格式等。</w:t>
            </w:r>
            <w:r>
              <w:rPr>
                <w:rFonts w:hint="eastAsia" w:cs="宋体"/>
                <w:color w:val="000000"/>
                <w:kern w:val="0"/>
                <w:sz w:val="22"/>
                <w:szCs w:val="22"/>
              </w:rPr>
              <w:br w:type="textWrapping"/>
            </w:r>
            <w:r>
              <w:rPr>
                <w:rFonts w:hint="eastAsia" w:cs="宋体"/>
                <w:color w:val="000000"/>
                <w:kern w:val="0"/>
                <w:sz w:val="22"/>
                <w:szCs w:val="22"/>
              </w:rPr>
              <w:t>3、关键内容提取，提取名称、文号、发文单位、效力位阶、时效性、关键字等内容，对主要条文进行切分。</w:t>
            </w:r>
          </w:p>
        </w:tc>
      </w:tr>
      <w:tr w14:paraId="207447E7">
        <w:tblPrEx>
          <w:tblCellMar>
            <w:top w:w="0" w:type="dxa"/>
            <w:left w:w="108" w:type="dxa"/>
            <w:bottom w:w="0" w:type="dxa"/>
            <w:right w:w="108"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362C3552">
            <w:pPr>
              <w:widowControl/>
              <w:numPr>
                <w:ilvl w:val="0"/>
                <w:numId w:val="6"/>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531D134B">
            <w:pPr>
              <w:widowControl/>
              <w:ind w:firstLine="0" w:firstLineChars="0"/>
              <w:jc w:val="center"/>
              <w:textAlignment w:val="center"/>
              <w:rPr>
                <w:rFonts w:cs="宋体"/>
                <w:sz w:val="22"/>
                <w:szCs w:val="22"/>
              </w:rPr>
            </w:pPr>
            <w:r>
              <w:rPr>
                <w:rFonts w:hint="eastAsia" w:cs="宋体"/>
                <w:color w:val="000000"/>
                <w:kern w:val="0"/>
                <w:sz w:val="22"/>
                <w:szCs w:val="22"/>
              </w:rPr>
              <w:t>操作指南梳理</w:t>
            </w:r>
          </w:p>
        </w:tc>
        <w:tc>
          <w:tcPr>
            <w:tcW w:w="4828" w:type="dxa"/>
            <w:tcBorders>
              <w:top w:val="single" w:color="000000" w:sz="4" w:space="0"/>
              <w:left w:val="single" w:color="000000" w:sz="4" w:space="0"/>
              <w:bottom w:val="single" w:color="000000" w:sz="4" w:space="0"/>
              <w:right w:val="single" w:color="000000" w:sz="4" w:space="0"/>
            </w:tcBorders>
            <w:vAlign w:val="center"/>
          </w:tcPr>
          <w:p w14:paraId="7E68813E">
            <w:pPr>
              <w:widowControl/>
              <w:ind w:firstLine="0" w:firstLineChars="0"/>
              <w:jc w:val="left"/>
              <w:textAlignment w:val="center"/>
              <w:rPr>
                <w:rFonts w:cs="宋体"/>
                <w:sz w:val="22"/>
                <w:szCs w:val="22"/>
              </w:rPr>
            </w:pPr>
            <w:r>
              <w:rPr>
                <w:rFonts w:hint="eastAsia" w:cs="宋体"/>
                <w:color w:val="000000"/>
                <w:kern w:val="0"/>
                <w:sz w:val="22"/>
                <w:szCs w:val="22"/>
              </w:rPr>
              <w:t>1、初步清洗：去除页眉页脚，修正操作描述，编造并补充测试数据（细化到大模型可以理解的地步）。</w:t>
            </w:r>
            <w:r>
              <w:rPr>
                <w:rFonts w:hint="eastAsia" w:cs="宋体"/>
                <w:color w:val="000000"/>
                <w:kern w:val="0"/>
                <w:sz w:val="22"/>
                <w:szCs w:val="22"/>
              </w:rPr>
              <w:br w:type="textWrapping"/>
            </w:r>
            <w:r>
              <w:rPr>
                <w:rFonts w:hint="eastAsia" w:cs="宋体"/>
                <w:color w:val="000000"/>
                <w:kern w:val="0"/>
                <w:sz w:val="22"/>
                <w:szCs w:val="22"/>
              </w:rPr>
              <w:t>2、模拟操作：按照操作指南构建操作录屏（大部分基于大模型操作，人工核对并补录一些明显错误的操作）。</w:t>
            </w:r>
            <w:r>
              <w:rPr>
                <w:rFonts w:hint="eastAsia" w:cs="宋体"/>
                <w:color w:val="000000"/>
                <w:kern w:val="0"/>
                <w:sz w:val="22"/>
                <w:szCs w:val="22"/>
              </w:rPr>
              <w:br w:type="textWrapping"/>
            </w:r>
            <w:r>
              <w:rPr>
                <w:rFonts w:hint="eastAsia" w:cs="宋体"/>
                <w:color w:val="000000"/>
                <w:kern w:val="0"/>
                <w:sz w:val="22"/>
                <w:szCs w:val="22"/>
              </w:rPr>
              <w:t>3、构建情形和模拟操作视频之间的关系每个情形1份操作指南，目前300个情形，共计300份操作指南。</w:t>
            </w:r>
          </w:p>
        </w:tc>
      </w:tr>
      <w:tr w14:paraId="7F9C396E">
        <w:tblPrEx>
          <w:tblCellMar>
            <w:top w:w="0" w:type="dxa"/>
            <w:left w:w="108" w:type="dxa"/>
            <w:bottom w:w="0" w:type="dxa"/>
            <w:right w:w="108" w:type="dxa"/>
          </w:tblCellMar>
        </w:tblPrEx>
        <w:trPr>
          <w:trHeight w:val="1153"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1B56F490">
            <w:pPr>
              <w:widowControl/>
              <w:numPr>
                <w:ilvl w:val="0"/>
                <w:numId w:val="6"/>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27375346">
            <w:pPr>
              <w:widowControl/>
              <w:ind w:firstLine="0" w:firstLineChars="0"/>
              <w:jc w:val="center"/>
              <w:textAlignment w:val="center"/>
              <w:rPr>
                <w:rFonts w:cs="宋体"/>
                <w:sz w:val="22"/>
                <w:szCs w:val="22"/>
              </w:rPr>
            </w:pPr>
            <w:r>
              <w:rPr>
                <w:rFonts w:hint="eastAsia" w:cs="宋体"/>
                <w:color w:val="000000"/>
                <w:kern w:val="0"/>
                <w:sz w:val="22"/>
                <w:szCs w:val="22"/>
              </w:rPr>
              <w:t>案例（结果）梳理</w:t>
            </w:r>
          </w:p>
        </w:tc>
        <w:tc>
          <w:tcPr>
            <w:tcW w:w="4828" w:type="dxa"/>
            <w:tcBorders>
              <w:top w:val="single" w:color="000000" w:sz="4" w:space="0"/>
              <w:left w:val="single" w:color="000000" w:sz="4" w:space="0"/>
              <w:bottom w:val="single" w:color="000000" w:sz="4" w:space="0"/>
              <w:right w:val="single" w:color="000000" w:sz="4" w:space="0"/>
            </w:tcBorders>
            <w:vAlign w:val="center"/>
          </w:tcPr>
          <w:p w14:paraId="51AC3E40">
            <w:pPr>
              <w:widowControl/>
              <w:ind w:firstLine="0" w:firstLineChars="0"/>
              <w:jc w:val="left"/>
              <w:textAlignment w:val="center"/>
              <w:rPr>
                <w:rFonts w:cs="宋体"/>
                <w:color w:val="000000"/>
                <w:kern w:val="0"/>
                <w:sz w:val="22"/>
                <w:szCs w:val="22"/>
              </w:rPr>
            </w:pPr>
            <w:r>
              <w:rPr>
                <w:rFonts w:hint="eastAsia" w:cs="宋体"/>
                <w:color w:val="000000"/>
                <w:kern w:val="0"/>
                <w:sz w:val="22"/>
                <w:szCs w:val="22"/>
              </w:rPr>
              <w:t>1、初步清洗：针对受理系统内案例，融合完整的数据集，这对受理中心提交案例，进行描述标准化处理，对纸质材料进行扫描。</w:t>
            </w:r>
            <w:r>
              <w:rPr>
                <w:rFonts w:hint="eastAsia" w:cs="宋体"/>
                <w:color w:val="000000"/>
                <w:kern w:val="0"/>
                <w:sz w:val="22"/>
                <w:szCs w:val="22"/>
              </w:rPr>
              <w:br w:type="textWrapping"/>
            </w:r>
            <w:r>
              <w:rPr>
                <w:rFonts w:hint="eastAsia" w:cs="宋体"/>
                <w:color w:val="000000"/>
                <w:kern w:val="0"/>
                <w:sz w:val="22"/>
                <w:szCs w:val="22"/>
              </w:rPr>
              <w:t>2、关键要素提取和设置，提取事项信息、申请人身份信息（脱敏）、办理过程信息，对大段的描述文字进行切分。</w:t>
            </w:r>
          </w:p>
          <w:p w14:paraId="6A695826">
            <w:pPr>
              <w:widowControl/>
              <w:ind w:firstLine="0" w:firstLineChars="0"/>
              <w:jc w:val="left"/>
              <w:textAlignment w:val="center"/>
              <w:rPr>
                <w:rFonts w:cs="宋体"/>
                <w:sz w:val="22"/>
                <w:szCs w:val="22"/>
              </w:rPr>
            </w:pPr>
            <w:r>
              <w:rPr>
                <w:rFonts w:hint="eastAsia" w:cs="宋体"/>
                <w:color w:val="000000"/>
                <w:kern w:val="0"/>
                <w:sz w:val="22"/>
                <w:szCs w:val="22"/>
              </w:rPr>
              <w:t>3、人工标注：申请人特征标签（例如老人，慢病患者，外地来沪等），办件标签（例如反复办理，连带办理），材料标签（例如重要核对，可容缺等），收集200个办结案例（以数据、文字描述为主），覆盖大多数事项。</w:t>
            </w:r>
          </w:p>
        </w:tc>
      </w:tr>
      <w:tr w14:paraId="4D13AEF3">
        <w:tblPrEx>
          <w:tblCellMar>
            <w:top w:w="0" w:type="dxa"/>
            <w:left w:w="108" w:type="dxa"/>
            <w:bottom w:w="0" w:type="dxa"/>
            <w:right w:w="108"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4418A7DF">
            <w:pPr>
              <w:widowControl/>
              <w:numPr>
                <w:ilvl w:val="0"/>
                <w:numId w:val="6"/>
              </w:numPr>
              <w:ind w:left="0" w:firstLine="0" w:firstLineChars="0"/>
              <w:jc w:val="left"/>
              <w:textAlignment w:val="center"/>
              <w:rPr>
                <w:rFonts w:cs="宋体"/>
                <w:sz w:val="22"/>
                <w:szCs w:val="22"/>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1D8DFDD3">
            <w:pPr>
              <w:widowControl/>
              <w:ind w:firstLine="0" w:firstLineChars="0"/>
              <w:jc w:val="center"/>
              <w:textAlignment w:val="center"/>
              <w:rPr>
                <w:rFonts w:cs="宋体"/>
                <w:sz w:val="22"/>
                <w:szCs w:val="22"/>
              </w:rPr>
            </w:pPr>
            <w:r>
              <w:rPr>
                <w:rFonts w:hint="eastAsia" w:cs="宋体"/>
                <w:color w:val="000000"/>
                <w:kern w:val="0"/>
                <w:sz w:val="22"/>
                <w:szCs w:val="22"/>
              </w:rPr>
              <w:t>管理信息数据</w:t>
            </w:r>
          </w:p>
        </w:tc>
        <w:tc>
          <w:tcPr>
            <w:tcW w:w="4828" w:type="dxa"/>
            <w:tcBorders>
              <w:top w:val="single" w:color="000000" w:sz="4" w:space="0"/>
              <w:left w:val="single" w:color="000000" w:sz="4" w:space="0"/>
              <w:bottom w:val="single" w:color="000000" w:sz="4" w:space="0"/>
              <w:right w:val="single" w:color="000000" w:sz="4" w:space="0"/>
            </w:tcBorders>
            <w:vAlign w:val="center"/>
          </w:tcPr>
          <w:p w14:paraId="319E36A8">
            <w:pPr>
              <w:widowControl/>
              <w:numPr>
                <w:ilvl w:val="0"/>
                <w:numId w:val="7"/>
              </w:numPr>
              <w:ind w:firstLine="0" w:firstLineChars="0"/>
              <w:jc w:val="left"/>
              <w:textAlignment w:val="center"/>
              <w:rPr>
                <w:rFonts w:cs="宋体"/>
                <w:color w:val="000000"/>
                <w:kern w:val="0"/>
                <w:sz w:val="22"/>
                <w:szCs w:val="22"/>
              </w:rPr>
            </w:pPr>
            <w:r>
              <w:rPr>
                <w:rFonts w:hint="eastAsia" w:cs="宋体"/>
                <w:color w:val="000000"/>
                <w:kern w:val="0"/>
                <w:sz w:val="22"/>
                <w:szCs w:val="22"/>
              </w:rPr>
              <w:t>事件库、材料库增补梳理常用名、代用名</w:t>
            </w:r>
            <w:r>
              <w:rPr>
                <w:rFonts w:hint="eastAsia" w:cs="宋体"/>
                <w:color w:val="000000"/>
                <w:kern w:val="0"/>
                <w:sz w:val="22"/>
                <w:szCs w:val="22"/>
              </w:rPr>
              <w:br w:type="textWrapping"/>
            </w:r>
            <w:r>
              <w:rPr>
                <w:rFonts w:hint="eastAsia" w:cs="宋体"/>
                <w:color w:val="000000"/>
                <w:kern w:val="0"/>
                <w:sz w:val="22"/>
                <w:szCs w:val="22"/>
              </w:rPr>
              <w:t>2、关键内容提取，事件库提取事项名称、常用名（代用名）、关键字、办事指南URL，材料库梳理材料名称、来源部门、样张、两免要求等，历史工单提取问题描述，处置人、处置时间。</w:t>
            </w:r>
          </w:p>
          <w:p w14:paraId="2D236262">
            <w:pPr>
              <w:widowControl/>
              <w:ind w:firstLine="0" w:firstLineChars="0"/>
              <w:jc w:val="left"/>
              <w:textAlignment w:val="center"/>
              <w:rPr>
                <w:rFonts w:cs="宋体"/>
                <w:sz w:val="22"/>
                <w:szCs w:val="22"/>
              </w:rPr>
            </w:pPr>
            <w:r>
              <w:rPr>
                <w:rFonts w:hint="eastAsia" w:cs="宋体"/>
                <w:color w:val="000000"/>
                <w:kern w:val="0"/>
                <w:sz w:val="22"/>
                <w:szCs w:val="22"/>
              </w:rPr>
              <w:t>事件库、材料库、历史工单合计约10000条数据。</w:t>
            </w:r>
          </w:p>
        </w:tc>
      </w:tr>
    </w:tbl>
    <w:p w14:paraId="5962F20C">
      <w:pPr>
        <w:pStyle w:val="18"/>
      </w:pPr>
    </w:p>
    <w:p w14:paraId="3F3317F6">
      <w:pPr>
        <w:pStyle w:val="18"/>
      </w:pPr>
    </w:p>
    <w:p w14:paraId="59C7C4BE">
      <w:pPr>
        <w:pStyle w:val="2"/>
        <w:ind w:hanging="1418"/>
        <w:rPr>
          <w:color w:val="auto"/>
        </w:rPr>
      </w:pPr>
      <w:bookmarkStart w:id="18" w:name="_Toc63785502"/>
      <w:r>
        <w:rPr>
          <w:rFonts w:hint="eastAsia"/>
          <w:color w:val="auto"/>
        </w:rPr>
        <w:t>电子政务云资源需求</w:t>
      </w:r>
      <w:bookmarkEnd w:id="18"/>
    </w:p>
    <w:p w14:paraId="6C928F76">
      <w:pPr>
        <w:pStyle w:val="16"/>
        <w:spacing w:line="360" w:lineRule="auto"/>
        <w:ind w:firstLine="480"/>
        <w:rPr>
          <w:rFonts w:eastAsia="宋体"/>
          <w:sz w:val="24"/>
        </w:rPr>
      </w:pPr>
      <w:r>
        <w:rPr>
          <w:rFonts w:hint="eastAsia" w:eastAsia="宋体"/>
          <w:sz w:val="24"/>
        </w:rPr>
        <w:t>本项目所需</w:t>
      </w:r>
      <w:r>
        <w:rPr>
          <w:rFonts w:eastAsia="宋体"/>
          <w:sz w:val="24"/>
        </w:rPr>
        <w:t>IaaS</w:t>
      </w:r>
      <w:r>
        <w:rPr>
          <w:rFonts w:hint="eastAsia" w:eastAsia="宋体"/>
          <w:sz w:val="24"/>
        </w:rPr>
        <w:t>主机资源（CPU、内存、存储）、基础软件（操作系统、数据库、中间件）及</w:t>
      </w:r>
      <w:r>
        <w:rPr>
          <w:rFonts w:eastAsia="宋体"/>
          <w:sz w:val="24"/>
        </w:rPr>
        <w:t>PaaS</w:t>
      </w:r>
      <w:r>
        <w:rPr>
          <w:rFonts w:hint="eastAsia" w:eastAsia="宋体"/>
          <w:sz w:val="24"/>
        </w:rPr>
        <w:t>服务均使用电子政务云，项目实施过程中可按照上海市电子政务云平台实际分配的资源情况作动态调整，同时可整合利用原有系统主机资源。</w:t>
      </w:r>
    </w:p>
    <w:p w14:paraId="5145FFB4">
      <w:pPr>
        <w:pStyle w:val="6"/>
        <w:spacing w:line="360" w:lineRule="auto"/>
        <w:ind w:firstLine="0" w:firstLineChars="0"/>
        <w:rPr>
          <w:rFonts w:ascii="宋体" w:hAnsi="宋体" w:eastAsia="宋体"/>
          <w:sz w:val="24"/>
          <w:szCs w:val="24"/>
        </w:rPr>
      </w:pPr>
    </w:p>
    <w:p w14:paraId="04FF1486">
      <w:pPr>
        <w:pStyle w:val="2"/>
        <w:ind w:hanging="1418"/>
        <w:rPr>
          <w:color w:val="auto"/>
        </w:rPr>
      </w:pPr>
      <w:bookmarkStart w:id="19" w:name="_Toc63785503"/>
      <w:r>
        <w:rPr>
          <w:rFonts w:hint="eastAsia"/>
          <w:color w:val="auto"/>
        </w:rPr>
        <w:t>其他工作要求</w:t>
      </w:r>
      <w:bookmarkEnd w:id="19"/>
      <w:bookmarkStart w:id="20" w:name="_Toc63151871"/>
      <w:bookmarkEnd w:id="20"/>
      <w:bookmarkStart w:id="21" w:name="_Toc63762370"/>
      <w:bookmarkEnd w:id="21"/>
      <w:bookmarkStart w:id="22" w:name="_Toc62219358"/>
      <w:bookmarkEnd w:id="22"/>
      <w:bookmarkStart w:id="23" w:name="_Toc63785504"/>
      <w:bookmarkEnd w:id="23"/>
      <w:bookmarkStart w:id="24" w:name="_Toc62209488"/>
      <w:bookmarkEnd w:id="24"/>
      <w:bookmarkStart w:id="25" w:name="_Toc61968111"/>
      <w:bookmarkEnd w:id="25"/>
      <w:bookmarkStart w:id="26" w:name="_Toc63585480"/>
      <w:bookmarkEnd w:id="26"/>
      <w:bookmarkStart w:id="27" w:name="_Toc63785439"/>
      <w:bookmarkEnd w:id="27"/>
    </w:p>
    <w:p w14:paraId="3F757532">
      <w:pPr>
        <w:pStyle w:val="3"/>
      </w:pPr>
      <w:bookmarkStart w:id="28" w:name="_Toc63785505"/>
      <w:r>
        <w:rPr>
          <w:rFonts w:hint="eastAsia"/>
        </w:rPr>
        <w:t>售后服务要求</w:t>
      </w:r>
      <w:bookmarkEnd w:id="28"/>
    </w:p>
    <w:p w14:paraId="0A608B0C">
      <w:pPr>
        <w:pStyle w:val="113"/>
        <w:snapToGrid w:val="0"/>
        <w:spacing w:line="360" w:lineRule="auto"/>
        <w:ind w:firstLine="480"/>
        <w:rPr>
          <w:sz w:val="24"/>
          <w:szCs w:val="24"/>
          <w:highlight w:val="none"/>
        </w:rPr>
      </w:pPr>
      <w:r>
        <w:rPr>
          <w:rFonts w:hint="eastAsia"/>
          <w:sz w:val="24"/>
          <w:szCs w:val="24"/>
        </w:rPr>
        <w:t>（</w:t>
      </w:r>
      <w:r>
        <w:rPr>
          <w:sz w:val="24"/>
          <w:szCs w:val="24"/>
        </w:rPr>
        <w:t>1</w:t>
      </w:r>
      <w:r>
        <w:rPr>
          <w:rFonts w:hint="eastAsia"/>
          <w:sz w:val="24"/>
          <w:szCs w:val="24"/>
        </w:rPr>
        <w:t>）本项目提供从验收通过</w:t>
      </w:r>
      <w:r>
        <w:rPr>
          <w:rFonts w:hint="eastAsia"/>
          <w:sz w:val="24"/>
          <w:szCs w:val="24"/>
          <w:highlight w:val="none"/>
        </w:rPr>
        <w:t>之日起1年的免费维保。</w:t>
      </w:r>
    </w:p>
    <w:p w14:paraId="6D66FA66">
      <w:pPr>
        <w:pStyle w:val="113"/>
        <w:snapToGrid w:val="0"/>
        <w:spacing w:line="360" w:lineRule="auto"/>
        <w:ind w:firstLine="480"/>
        <w:rPr>
          <w:rFonts w:ascii="宋体" w:hAnsi="宋体"/>
          <w:sz w:val="24"/>
          <w:szCs w:val="24"/>
          <w:highlight w:val="none"/>
        </w:rPr>
      </w:pPr>
      <w:r>
        <w:rPr>
          <w:rFonts w:hint="eastAsia"/>
          <w:sz w:val="24"/>
          <w:szCs w:val="24"/>
          <w:highlight w:val="none"/>
        </w:rPr>
        <w:t>（</w:t>
      </w:r>
      <w:r>
        <w:rPr>
          <w:sz w:val="24"/>
          <w:szCs w:val="24"/>
          <w:highlight w:val="none"/>
        </w:rPr>
        <w:t>2</w:t>
      </w:r>
      <w:r>
        <w:rPr>
          <w:rFonts w:hint="eastAsia"/>
          <w:sz w:val="24"/>
          <w:szCs w:val="24"/>
          <w:highlight w:val="none"/>
        </w:rPr>
        <w:t>）对系统发生影响到实时操作的故障，供应商需要在</w:t>
      </w:r>
      <w:r>
        <w:rPr>
          <w:sz w:val="24"/>
          <w:szCs w:val="24"/>
          <w:highlight w:val="none"/>
        </w:rPr>
        <w:t>30分钟</w:t>
      </w:r>
      <w:r>
        <w:rPr>
          <w:rFonts w:hint="eastAsia"/>
          <w:sz w:val="24"/>
          <w:szCs w:val="24"/>
          <w:highlight w:val="none"/>
        </w:rPr>
        <w:t>内响应，对需要进行现场维护的，在</w:t>
      </w:r>
      <w:r>
        <w:rPr>
          <w:sz w:val="24"/>
          <w:szCs w:val="24"/>
          <w:highlight w:val="none"/>
        </w:rPr>
        <w:t>2小时</w:t>
      </w:r>
      <w:r>
        <w:rPr>
          <w:rFonts w:hint="eastAsia"/>
          <w:sz w:val="24"/>
          <w:szCs w:val="24"/>
          <w:highlight w:val="none"/>
        </w:rPr>
        <w:t>赶到现场，查找原因，提出解决方案排除故障。修复时间一般不超过</w:t>
      </w:r>
      <w:r>
        <w:rPr>
          <w:sz w:val="24"/>
          <w:szCs w:val="24"/>
          <w:highlight w:val="none"/>
        </w:rPr>
        <w:t>16小时</w:t>
      </w:r>
      <w:r>
        <w:rPr>
          <w:rFonts w:hint="eastAsia" w:ascii="宋体" w:hAnsi="宋体"/>
          <w:sz w:val="24"/>
          <w:szCs w:val="24"/>
          <w:highlight w:val="none"/>
        </w:rPr>
        <w:t>。</w:t>
      </w:r>
    </w:p>
    <w:p w14:paraId="2FCF183B">
      <w:pPr>
        <w:pStyle w:val="113"/>
        <w:snapToGrid w:val="0"/>
        <w:spacing w:line="360" w:lineRule="auto"/>
        <w:ind w:firstLine="480"/>
        <w:rPr>
          <w:rFonts w:ascii="宋体" w:hAnsi="宋体"/>
          <w:sz w:val="24"/>
          <w:szCs w:val="24"/>
        </w:rPr>
      </w:pPr>
      <w:r>
        <w:rPr>
          <w:rFonts w:hint="eastAsia" w:ascii="宋体" w:hAnsi="宋体"/>
          <w:sz w:val="24"/>
          <w:szCs w:val="24"/>
          <w:highlight w:val="none"/>
        </w:rPr>
        <w:t>（3）在系统维护期内供应商须提供电话</w:t>
      </w:r>
      <w:r>
        <w:rPr>
          <w:rFonts w:hint="eastAsia" w:ascii="宋体" w:hAnsi="宋体"/>
          <w:sz w:val="24"/>
          <w:szCs w:val="24"/>
        </w:rPr>
        <w:t>支持、应急响应服务、季度巡检服务等，确保系统的正常运行。</w:t>
      </w:r>
    </w:p>
    <w:p w14:paraId="6F7832AD">
      <w:pPr>
        <w:pStyle w:val="113"/>
        <w:snapToGrid w:val="0"/>
        <w:spacing w:line="360" w:lineRule="auto"/>
        <w:ind w:firstLine="480"/>
        <w:rPr>
          <w:rFonts w:ascii="宋体" w:hAnsi="宋体"/>
          <w:sz w:val="24"/>
          <w:szCs w:val="24"/>
        </w:rPr>
      </w:pPr>
      <w:r>
        <w:rPr>
          <w:rFonts w:hint="eastAsia" w:ascii="宋体" w:hAnsi="宋体"/>
          <w:sz w:val="24"/>
          <w:szCs w:val="24"/>
        </w:rPr>
        <w:t>（4）供应商须作出无推诿承诺。即提供特殊措施，无论由于哪一方产生的问题而使系统发生不正常情况时，并在得到采购人通知后，须立即派工程师到场，全力协助采购人和其他供应商，使系统尽快恢复正常。</w:t>
      </w:r>
    </w:p>
    <w:p w14:paraId="480914BB">
      <w:pPr>
        <w:pStyle w:val="3"/>
      </w:pPr>
      <w:bookmarkStart w:id="29" w:name="_Toc63785506"/>
      <w:r>
        <w:rPr>
          <w:rFonts w:hint="eastAsia"/>
        </w:rPr>
        <w:t>应急响应要求</w:t>
      </w:r>
      <w:bookmarkEnd w:id="29"/>
    </w:p>
    <w:p w14:paraId="3E6816AB">
      <w:pPr>
        <w:pStyle w:val="113"/>
        <w:snapToGrid w:val="0"/>
        <w:spacing w:line="360" w:lineRule="auto"/>
        <w:ind w:firstLine="480"/>
        <w:rPr>
          <w:rFonts w:ascii="宋体" w:hAnsi="宋体"/>
          <w:sz w:val="24"/>
          <w:szCs w:val="24"/>
          <w:highlight w:val="none"/>
        </w:rPr>
      </w:pPr>
      <w:r>
        <w:rPr>
          <w:rFonts w:hint="eastAsia" w:ascii="宋体" w:hAnsi="宋体"/>
          <w:sz w:val="24"/>
          <w:szCs w:val="24"/>
        </w:rPr>
        <w:t>供应商对系统故障应能够实时响</w:t>
      </w:r>
      <w:r>
        <w:rPr>
          <w:rFonts w:hint="eastAsia" w:ascii="宋体" w:hAnsi="宋体"/>
          <w:sz w:val="24"/>
          <w:szCs w:val="24"/>
          <w:highlight w:val="none"/>
        </w:rPr>
        <w:t>应，若系统发生故障，接到通知后</w:t>
      </w:r>
      <w:r>
        <w:rPr>
          <w:rFonts w:ascii="宋体" w:hAnsi="宋体"/>
          <w:sz w:val="24"/>
          <w:szCs w:val="24"/>
          <w:highlight w:val="none"/>
        </w:rPr>
        <w:t>30分钟之内响应，专业工程师2小时内到达现场</w:t>
      </w:r>
      <w:r>
        <w:rPr>
          <w:rFonts w:hint="eastAsia" w:ascii="宋体" w:hAnsi="宋体"/>
          <w:sz w:val="24"/>
          <w:szCs w:val="24"/>
          <w:highlight w:val="none"/>
        </w:rPr>
        <w:t>。特殊故障与客户沟通协商后，按照协商的方式制定解决方案并进行处理。</w:t>
      </w:r>
    </w:p>
    <w:p w14:paraId="21FA0E0D">
      <w:pPr>
        <w:pStyle w:val="113"/>
        <w:snapToGrid w:val="0"/>
        <w:spacing w:line="360" w:lineRule="auto"/>
        <w:ind w:firstLine="480"/>
        <w:rPr>
          <w:rFonts w:ascii="宋体" w:hAnsi="宋体"/>
          <w:sz w:val="24"/>
          <w:szCs w:val="24"/>
          <w:highlight w:val="none"/>
        </w:rPr>
      </w:pPr>
      <w:r>
        <w:rPr>
          <w:rFonts w:hint="eastAsia" w:ascii="宋体" w:hAnsi="宋体"/>
          <w:sz w:val="24"/>
          <w:szCs w:val="24"/>
          <w:highlight w:val="none"/>
        </w:rPr>
        <w:t>具体故障级别及对应的应急响应要求如下：</w:t>
      </w:r>
    </w:p>
    <w:p w14:paraId="6EEA58D6">
      <w:pPr>
        <w:pStyle w:val="113"/>
        <w:snapToGrid w:val="0"/>
        <w:spacing w:line="360" w:lineRule="auto"/>
        <w:ind w:firstLine="480"/>
        <w:rPr>
          <w:rFonts w:ascii="宋体" w:hAnsi="宋体"/>
          <w:sz w:val="24"/>
          <w:szCs w:val="24"/>
          <w:highlight w:val="none"/>
        </w:rPr>
      </w:pPr>
      <w:r>
        <w:rPr>
          <w:rFonts w:hint="eastAsia" w:ascii="宋体" w:hAnsi="宋体"/>
          <w:sz w:val="24"/>
          <w:szCs w:val="24"/>
          <w:highlight w:val="none"/>
        </w:rPr>
        <w:t>一级故障：在</w:t>
      </w:r>
      <w:r>
        <w:rPr>
          <w:rFonts w:ascii="宋体" w:hAnsi="宋体"/>
          <w:sz w:val="24"/>
          <w:szCs w:val="24"/>
          <w:highlight w:val="none"/>
        </w:rPr>
        <w:t>1小时内确诊，总故障解决时间不超过4小时。</w:t>
      </w:r>
    </w:p>
    <w:p w14:paraId="02E3BA6E">
      <w:pPr>
        <w:pStyle w:val="113"/>
        <w:snapToGrid w:val="0"/>
        <w:spacing w:line="360" w:lineRule="auto"/>
        <w:ind w:firstLine="480"/>
        <w:rPr>
          <w:rFonts w:ascii="宋体" w:hAnsi="宋体"/>
          <w:sz w:val="24"/>
          <w:szCs w:val="24"/>
          <w:highlight w:val="none"/>
        </w:rPr>
      </w:pPr>
      <w:r>
        <w:rPr>
          <w:rFonts w:hint="eastAsia" w:ascii="宋体" w:hAnsi="宋体"/>
          <w:sz w:val="24"/>
          <w:szCs w:val="24"/>
          <w:highlight w:val="none"/>
        </w:rPr>
        <w:t>二级故障：在</w:t>
      </w:r>
      <w:r>
        <w:rPr>
          <w:rFonts w:ascii="宋体" w:hAnsi="宋体"/>
          <w:sz w:val="24"/>
          <w:szCs w:val="24"/>
          <w:highlight w:val="none"/>
        </w:rPr>
        <w:t>2小时内确诊，总故障解决时间不超过8小时；</w:t>
      </w:r>
    </w:p>
    <w:p w14:paraId="41B5839A">
      <w:pPr>
        <w:pStyle w:val="113"/>
        <w:snapToGrid w:val="0"/>
        <w:spacing w:line="360" w:lineRule="auto"/>
        <w:ind w:firstLine="480"/>
        <w:rPr>
          <w:rFonts w:ascii="宋体" w:hAnsi="宋体"/>
          <w:sz w:val="24"/>
          <w:szCs w:val="24"/>
          <w:highlight w:val="none"/>
        </w:rPr>
      </w:pPr>
      <w:r>
        <w:rPr>
          <w:rFonts w:hint="eastAsia" w:ascii="宋体" w:hAnsi="宋体"/>
          <w:sz w:val="24"/>
          <w:szCs w:val="24"/>
          <w:highlight w:val="none"/>
        </w:rPr>
        <w:t>三、四级故障：在</w:t>
      </w:r>
      <w:r>
        <w:rPr>
          <w:rFonts w:ascii="宋体" w:hAnsi="宋体"/>
          <w:sz w:val="24"/>
          <w:szCs w:val="24"/>
          <w:highlight w:val="none"/>
        </w:rPr>
        <w:t>4小时内确诊故障，总故障解决时间不超过16小时。</w:t>
      </w:r>
    </w:p>
    <w:p w14:paraId="7C2342E9">
      <w:pPr>
        <w:pStyle w:val="3"/>
      </w:pPr>
      <w:bookmarkStart w:id="30" w:name="_Toc63785507"/>
      <w:r>
        <w:rPr>
          <w:rFonts w:hint="eastAsia"/>
        </w:rPr>
        <w:t>培训要求</w:t>
      </w:r>
      <w:bookmarkEnd w:id="30"/>
    </w:p>
    <w:p w14:paraId="7F64A1D2">
      <w:pPr>
        <w:spacing w:line="360" w:lineRule="auto"/>
        <w:ind w:firstLine="480"/>
      </w:pPr>
      <w:r>
        <w:rPr>
          <w:rFonts w:hint="eastAsia"/>
        </w:rPr>
        <w:t>供应商应提供详细培训方案。</w:t>
      </w:r>
    </w:p>
    <w:p w14:paraId="4DBE1864">
      <w:pPr>
        <w:spacing w:line="360" w:lineRule="auto"/>
        <w:ind w:firstLine="480"/>
      </w:pPr>
      <w:r>
        <w:rPr>
          <w:rFonts w:hint="eastAsia"/>
          <w:szCs w:val="21"/>
        </w:rPr>
        <w:t>（</w:t>
      </w:r>
      <w:r>
        <w:rPr>
          <w:szCs w:val="21"/>
        </w:rPr>
        <w:t>1）</w:t>
      </w:r>
      <w:r>
        <w:rPr>
          <w:rFonts w:hint="eastAsia"/>
        </w:rPr>
        <w:t>提供2次与项目相关的必要培训。</w:t>
      </w:r>
    </w:p>
    <w:p w14:paraId="7F70514A">
      <w:pPr>
        <w:spacing w:line="360" w:lineRule="auto"/>
        <w:ind w:firstLine="480"/>
      </w:pPr>
      <w:r>
        <w:rPr>
          <w:rFonts w:hint="eastAsia"/>
          <w:szCs w:val="21"/>
        </w:rPr>
        <w:t>（</w:t>
      </w:r>
      <w:r>
        <w:rPr>
          <w:szCs w:val="21"/>
        </w:rPr>
        <w:t>2）</w:t>
      </w:r>
      <w:r>
        <w:rPr>
          <w:rFonts w:hint="eastAsia"/>
        </w:rPr>
        <w:t>供应商需要开展分层次的人员培训工作，每次培训后应对参加培训人员进行测试，评估培训成果。培训应具有培训教材、培训环境和高水平的培训讲师。</w:t>
      </w:r>
    </w:p>
    <w:p w14:paraId="15225ABD">
      <w:pPr>
        <w:spacing w:line="360" w:lineRule="auto"/>
        <w:ind w:firstLine="480"/>
      </w:pPr>
      <w:r>
        <w:rPr>
          <w:rFonts w:hint="eastAsia"/>
          <w:szCs w:val="21"/>
        </w:rPr>
        <w:t>（3</w:t>
      </w:r>
      <w:r>
        <w:rPr>
          <w:szCs w:val="21"/>
        </w:rPr>
        <w:t>）</w:t>
      </w:r>
      <w:r>
        <w:rPr>
          <w:rFonts w:hint="eastAsia"/>
        </w:rPr>
        <w:t>供应商应提供一般用户的基础操作培训和部门信息管理员的日常应用维护的培训，确保用户对象能够掌握对应的操作技能。</w:t>
      </w:r>
    </w:p>
    <w:p w14:paraId="5E703B73">
      <w:pPr>
        <w:pStyle w:val="3"/>
      </w:pPr>
      <w:bookmarkStart w:id="31" w:name="_Toc63785508"/>
      <w:r>
        <w:rPr>
          <w:rFonts w:hint="eastAsia"/>
        </w:rPr>
        <w:t>验收要求</w:t>
      </w:r>
      <w:bookmarkEnd w:id="31"/>
    </w:p>
    <w:p w14:paraId="132EEA52">
      <w:pPr>
        <w:spacing w:line="360" w:lineRule="auto"/>
        <w:ind w:firstLine="480"/>
      </w:pPr>
      <w:bookmarkStart w:id="32" w:name="_Toc63785509"/>
      <w:r>
        <w:rPr>
          <w:rFonts w:hint="eastAsia"/>
        </w:rPr>
        <w:t>本项目按下述方式开展验收。</w:t>
      </w:r>
    </w:p>
    <w:p w14:paraId="5615939C">
      <w:pPr>
        <w:spacing w:line="360" w:lineRule="auto"/>
        <w:ind w:firstLine="480"/>
      </w:pPr>
      <w:r>
        <w:rPr>
          <w:rFonts w:hint="eastAsia"/>
        </w:rPr>
        <w:t>（1）验收前，供应商须完成软件开发、软硬件安装和信息系统的调试等，并对本项目进行功能和运行检测，确保所有信息系统功能模块能够正常运行且已达到本项目约定的各类标准要求。</w:t>
      </w:r>
      <w:r>
        <w:rPr>
          <w:rFonts w:hint="eastAsia"/>
          <w:lang w:eastAsia="zh-CN"/>
        </w:rPr>
        <w:t>采购方</w:t>
      </w:r>
      <w:r>
        <w:rPr>
          <w:rFonts w:hint="eastAsia"/>
        </w:rPr>
        <w:t>享有供应商免费提供的30天的信息系统试运行现场驻场服务期。该期间内，供应商应当按照</w:t>
      </w:r>
      <w:r>
        <w:rPr>
          <w:rFonts w:hint="eastAsia"/>
          <w:lang w:eastAsia="zh-CN"/>
        </w:rPr>
        <w:t>采购</w:t>
      </w:r>
      <w:r>
        <w:rPr>
          <w:rFonts w:hint="eastAsia"/>
        </w:rPr>
        <w:t>方的要求提供现场技术支持服务，解决信息系统试运行期间可能出现的各类问题，或进一步提高与完善信息系统运行水平。</w:t>
      </w:r>
      <w:r>
        <w:rPr>
          <w:rFonts w:hint="eastAsia"/>
          <w:lang w:eastAsia="zh-CN"/>
        </w:rPr>
        <w:t>采购</w:t>
      </w:r>
      <w:r>
        <w:rPr>
          <w:rFonts w:hint="eastAsia"/>
        </w:rPr>
        <w:t>方有权委托第三方检测机构进行验收，对此供应商应当配合。</w:t>
      </w:r>
    </w:p>
    <w:p w14:paraId="2B96CCA3">
      <w:pPr>
        <w:spacing w:line="360" w:lineRule="auto"/>
        <w:ind w:firstLine="480"/>
      </w:pPr>
      <w:r>
        <w:rPr>
          <w:rFonts w:hint="eastAsia"/>
        </w:rPr>
        <w:t>（2）验收时，供应商须提供软件文档包括《用户需求说明书》、《系统概要设计说明书》、《系统详细设计说明书》、《三方功能需求确认单》、《测试报告》、《用户使用手册》、《系统部署文档》等）及可安装的程序运行文件。所交付的文档与文件应当是可供自然人阅读的书面和电子文档，软件文档及可安装的程序运行文件需验证通过。信息系统试运行期已经达到本项目约定的时间，经供应商确认信息系统具备正常运行条件，且信息系统通过运行测试，供应商应以书面形式通知</w:t>
      </w:r>
      <w:r>
        <w:rPr>
          <w:rFonts w:hint="eastAsia"/>
          <w:lang w:eastAsia="zh-CN"/>
        </w:rPr>
        <w:t>采购</w:t>
      </w:r>
      <w:r>
        <w:rPr>
          <w:rFonts w:hint="eastAsia"/>
        </w:rPr>
        <w:t>方信息系统已准备就绪等待终验。</w:t>
      </w:r>
      <w:r>
        <w:rPr>
          <w:rFonts w:hint="eastAsia"/>
          <w:lang w:eastAsia="zh-CN"/>
        </w:rPr>
        <w:t>采购</w:t>
      </w:r>
      <w:r>
        <w:rPr>
          <w:rFonts w:hint="eastAsia"/>
        </w:rPr>
        <w:t>方在收到终验通知后的25个工作日内发起组织专家验收会。</w:t>
      </w:r>
    </w:p>
    <w:p w14:paraId="775E9313">
      <w:pPr>
        <w:spacing w:line="360" w:lineRule="auto"/>
        <w:ind w:firstLine="480"/>
      </w:pPr>
      <w:r>
        <w:rPr>
          <w:rFonts w:hint="eastAsia"/>
        </w:rPr>
        <w:t>（3）如果属于供应商原因致使本项目未能通过验收，供应商应当排除缺陷，直至本项目完全符合验收标准，由上述情形而产生的相关费用应由供应商自行承担。</w:t>
      </w:r>
    </w:p>
    <w:p w14:paraId="29344029">
      <w:pPr>
        <w:spacing w:line="360" w:lineRule="auto"/>
        <w:ind w:firstLine="480"/>
      </w:pPr>
      <w:r>
        <w:rPr>
          <w:rFonts w:hint="eastAsia"/>
        </w:rPr>
        <w:t>（4）如果由于</w:t>
      </w:r>
      <w:r>
        <w:rPr>
          <w:rFonts w:hint="eastAsia"/>
          <w:lang w:eastAsia="zh-CN"/>
        </w:rPr>
        <w:t>采购</w:t>
      </w:r>
      <w:r>
        <w:rPr>
          <w:rFonts w:hint="eastAsia"/>
        </w:rPr>
        <w:t>方原因导致本项目在终验通过前出现故障或问题，供应商应及时配合排除该方面的故障或问题。</w:t>
      </w:r>
    </w:p>
    <w:p w14:paraId="155E18B8">
      <w:pPr>
        <w:spacing w:line="360" w:lineRule="auto"/>
        <w:ind w:firstLine="480"/>
      </w:pPr>
      <w:r>
        <w:rPr>
          <w:rFonts w:hint="eastAsia"/>
        </w:rPr>
        <w:t>（5）如本项目连续2次验收未通过，</w:t>
      </w:r>
      <w:r>
        <w:rPr>
          <w:rFonts w:hint="eastAsia"/>
          <w:lang w:eastAsia="zh-CN"/>
        </w:rPr>
        <w:t>采购</w:t>
      </w:r>
      <w:r>
        <w:rPr>
          <w:rFonts w:hint="eastAsia"/>
        </w:rPr>
        <w:t>方有权解除项目，并有权依照本项目约定的违约条款追究供应商的违约责任。</w:t>
      </w:r>
    </w:p>
    <w:p w14:paraId="2FAA4C91">
      <w:pPr>
        <w:pStyle w:val="3"/>
      </w:pPr>
      <w:r>
        <w:rPr>
          <w:rFonts w:hint="eastAsia"/>
        </w:rPr>
        <w:t>进度要求</w:t>
      </w:r>
      <w:bookmarkEnd w:id="32"/>
    </w:p>
    <w:p w14:paraId="7470DC84">
      <w:pPr>
        <w:spacing w:line="360" w:lineRule="auto"/>
        <w:ind w:firstLine="480"/>
        <w:rPr>
          <w:rFonts w:ascii="Times New Roman" w:hAnsi="Times New Roman"/>
        </w:rPr>
      </w:pPr>
      <w:r>
        <w:rPr>
          <w:rFonts w:hint="eastAsia" w:ascii="Times New Roman" w:hAnsi="Times New Roman"/>
        </w:rPr>
        <w:t>供应商应根据建设内容，分阶段制定合理的时间进度，并且应根据采购人要求进行调整和细化。</w:t>
      </w:r>
      <w:r>
        <w:rPr>
          <w:rFonts w:hint="eastAsia" w:ascii="仿宋" w:hAnsi="仿宋"/>
        </w:rPr>
        <w:t>本项目总体建设周期为合同签订后9</w:t>
      </w:r>
      <w:r>
        <w:rPr>
          <w:rFonts w:ascii="仿宋" w:hAnsi="仿宋"/>
        </w:rPr>
        <w:t>个月</w:t>
      </w:r>
      <w:r>
        <w:rPr>
          <w:rFonts w:hint="eastAsia" w:ascii="仿宋" w:hAnsi="仿宋"/>
        </w:rPr>
        <w:t>内完成。</w:t>
      </w:r>
    </w:p>
    <w:p w14:paraId="3BF477FC">
      <w:pPr>
        <w:spacing w:line="360" w:lineRule="auto"/>
        <w:ind w:firstLine="480"/>
        <w:rPr>
          <w:rFonts w:ascii="Times New Roman" w:hAnsi="Times New Roman"/>
        </w:rPr>
      </w:pPr>
      <w:r>
        <w:rPr>
          <w:rFonts w:hint="eastAsia" w:ascii="Times New Roman" w:hAnsi="Times New Roman"/>
        </w:rPr>
        <w:t>第一阶段为需求调研，合同签订2个月内完成系统升级改造需求调研和分析。</w:t>
      </w:r>
    </w:p>
    <w:p w14:paraId="511EF9F5">
      <w:pPr>
        <w:spacing w:line="360" w:lineRule="auto"/>
        <w:ind w:firstLine="480"/>
        <w:rPr>
          <w:rFonts w:ascii="Times New Roman" w:hAnsi="Times New Roman"/>
        </w:rPr>
      </w:pPr>
      <w:r>
        <w:rPr>
          <w:rFonts w:hint="eastAsia" w:ascii="Times New Roman" w:hAnsi="Times New Roman"/>
        </w:rPr>
        <w:t>第二阶段为系统设计，合同签订3个月内完成系统设计。</w:t>
      </w:r>
    </w:p>
    <w:p w14:paraId="6E900C4A">
      <w:pPr>
        <w:spacing w:line="360" w:lineRule="auto"/>
        <w:ind w:firstLine="480"/>
        <w:rPr>
          <w:rFonts w:ascii="Times New Roman" w:hAnsi="Times New Roman"/>
        </w:rPr>
      </w:pPr>
      <w:r>
        <w:rPr>
          <w:rFonts w:hint="eastAsia" w:ascii="Times New Roman" w:hAnsi="Times New Roman"/>
        </w:rPr>
        <w:t>第三阶段为系统开发与测试，合同签订7个月内完成详细设计、代码开发和系统测试工作。</w:t>
      </w:r>
    </w:p>
    <w:p w14:paraId="086E0678">
      <w:pPr>
        <w:spacing w:line="360" w:lineRule="auto"/>
        <w:ind w:firstLine="480"/>
        <w:rPr>
          <w:rFonts w:ascii="Times New Roman" w:hAnsi="Times New Roman"/>
        </w:rPr>
      </w:pPr>
      <w:r>
        <w:rPr>
          <w:rFonts w:hint="eastAsia" w:ascii="Times New Roman" w:hAnsi="Times New Roman"/>
        </w:rPr>
        <w:t>第四阶段为系统部署试运行，合同签订8个月内完成系统安装部署和上线试运行。</w:t>
      </w:r>
    </w:p>
    <w:p w14:paraId="4E84F43B">
      <w:pPr>
        <w:spacing w:line="360" w:lineRule="auto"/>
        <w:ind w:firstLine="480"/>
      </w:pPr>
      <w:r>
        <w:rPr>
          <w:rFonts w:hint="eastAsia" w:ascii="Times New Roman" w:hAnsi="Times New Roman"/>
        </w:rPr>
        <w:t>第五阶段为系统验收，合同签订9个月内完成项目验收工作</w:t>
      </w:r>
      <w:r>
        <w:rPr>
          <w:rFonts w:hint="eastAsia"/>
        </w:rPr>
        <w:t>。</w:t>
      </w:r>
    </w:p>
    <w:p w14:paraId="28829982">
      <w:pPr>
        <w:pStyle w:val="3"/>
      </w:pPr>
      <w:bookmarkStart w:id="33" w:name="_Toc63785510"/>
      <w:r>
        <w:rPr>
          <w:rFonts w:hint="eastAsia"/>
        </w:rPr>
        <w:t>项目团队及驻场人员要求</w:t>
      </w:r>
      <w:bookmarkEnd w:id="33"/>
    </w:p>
    <w:p w14:paraId="1A42C264">
      <w:pPr>
        <w:numPr>
          <w:ilvl w:val="255"/>
          <w:numId w:val="0"/>
        </w:numPr>
        <w:spacing w:line="360" w:lineRule="auto"/>
        <w:ind w:firstLine="480"/>
        <w:rPr>
          <w:rFonts w:ascii="Times New Roman" w:hAnsi="Times New Roman"/>
        </w:rPr>
      </w:pPr>
      <w:bookmarkStart w:id="34" w:name="_Toc63785511"/>
      <w:r>
        <w:rPr>
          <w:rFonts w:hint="eastAsia" w:ascii="Times New Roman" w:hAnsi="Times New Roman"/>
        </w:rPr>
        <w:t>（1）供应商须具有稳定的在职技术保障力量，能够提供及时的技术支援或服务，应针对本项目提供不少于9人的项目服务团队，驻场不少于3人。供应商的相关服务人员需具备相应的服务能力，需提供相关证明（项目组成员缴纳的近三个月中任意一个月的社保证明凭证）。</w:t>
      </w:r>
    </w:p>
    <w:tbl>
      <w:tblPr>
        <w:tblStyle w:val="40"/>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587"/>
        <w:gridCol w:w="945"/>
        <w:gridCol w:w="2650"/>
        <w:gridCol w:w="1180"/>
      </w:tblGrid>
      <w:tr w14:paraId="14A0D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noWrap/>
            <w:vAlign w:val="center"/>
          </w:tcPr>
          <w:p w14:paraId="57191B5B">
            <w:pPr>
              <w:widowControl/>
              <w:spacing w:line="240" w:lineRule="auto"/>
              <w:ind w:firstLine="0" w:firstLineChars="0"/>
              <w:jc w:val="center"/>
              <w:rPr>
                <w:rFonts w:ascii="Times New Roman" w:hAnsi="Times New Roman"/>
                <w:b/>
              </w:rPr>
            </w:pPr>
            <w:r>
              <w:rPr>
                <w:rFonts w:ascii="Times New Roman" w:hAnsi="Times New Roman"/>
                <w:b/>
              </w:rPr>
              <w:t>角色</w:t>
            </w:r>
          </w:p>
        </w:tc>
        <w:tc>
          <w:tcPr>
            <w:tcW w:w="2587" w:type="dxa"/>
            <w:noWrap/>
            <w:vAlign w:val="center"/>
          </w:tcPr>
          <w:p w14:paraId="38AD005A">
            <w:pPr>
              <w:widowControl/>
              <w:spacing w:line="240" w:lineRule="auto"/>
              <w:ind w:firstLine="0" w:firstLineChars="0"/>
              <w:jc w:val="center"/>
              <w:rPr>
                <w:rFonts w:ascii="Times New Roman" w:hAnsi="Times New Roman"/>
                <w:b/>
              </w:rPr>
            </w:pPr>
            <w:r>
              <w:rPr>
                <w:rFonts w:ascii="Times New Roman" w:hAnsi="Times New Roman"/>
                <w:b/>
              </w:rPr>
              <w:t>主要职责</w:t>
            </w:r>
          </w:p>
        </w:tc>
        <w:tc>
          <w:tcPr>
            <w:tcW w:w="945" w:type="dxa"/>
            <w:noWrap/>
            <w:vAlign w:val="center"/>
          </w:tcPr>
          <w:p w14:paraId="28595AB7">
            <w:pPr>
              <w:widowControl/>
              <w:spacing w:line="240" w:lineRule="auto"/>
              <w:ind w:firstLine="0" w:firstLineChars="0"/>
              <w:jc w:val="center"/>
              <w:rPr>
                <w:rFonts w:ascii="Times New Roman" w:hAnsi="Times New Roman"/>
                <w:b/>
              </w:rPr>
            </w:pPr>
            <w:r>
              <w:rPr>
                <w:rFonts w:hint="eastAsia" w:ascii="Times New Roman" w:hAnsi="Times New Roman"/>
                <w:b/>
              </w:rPr>
              <w:t>人员数量</w:t>
            </w:r>
          </w:p>
        </w:tc>
        <w:tc>
          <w:tcPr>
            <w:tcW w:w="2650" w:type="dxa"/>
            <w:vAlign w:val="center"/>
          </w:tcPr>
          <w:p w14:paraId="400EA5AF">
            <w:pPr>
              <w:widowControl/>
              <w:spacing w:line="240" w:lineRule="auto"/>
              <w:ind w:firstLine="0" w:firstLineChars="0"/>
              <w:jc w:val="center"/>
              <w:rPr>
                <w:rFonts w:ascii="Times New Roman" w:hAnsi="Times New Roman"/>
                <w:b/>
              </w:rPr>
            </w:pPr>
            <w:r>
              <w:rPr>
                <w:rFonts w:hint="eastAsia" w:ascii="Times New Roman" w:hAnsi="Times New Roman"/>
                <w:b/>
              </w:rPr>
              <w:t>人员要求</w:t>
            </w:r>
          </w:p>
        </w:tc>
        <w:tc>
          <w:tcPr>
            <w:tcW w:w="1180" w:type="dxa"/>
            <w:noWrap/>
            <w:vAlign w:val="center"/>
          </w:tcPr>
          <w:p w14:paraId="6C42B312">
            <w:pPr>
              <w:widowControl/>
              <w:spacing w:line="240" w:lineRule="auto"/>
              <w:ind w:firstLine="0" w:firstLineChars="0"/>
              <w:jc w:val="center"/>
              <w:rPr>
                <w:rFonts w:ascii="Times New Roman" w:hAnsi="Times New Roman"/>
                <w:b/>
              </w:rPr>
            </w:pPr>
            <w:r>
              <w:rPr>
                <w:rFonts w:hint="eastAsia" w:ascii="Times New Roman" w:hAnsi="Times New Roman"/>
                <w:b/>
              </w:rPr>
              <w:t>驻场要求</w:t>
            </w:r>
          </w:p>
        </w:tc>
      </w:tr>
      <w:tr w14:paraId="6659F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1176" w:type="dxa"/>
            <w:noWrap/>
            <w:vAlign w:val="center"/>
          </w:tcPr>
          <w:p w14:paraId="6A0E80DE">
            <w:pPr>
              <w:widowControl/>
              <w:spacing w:line="240" w:lineRule="auto"/>
              <w:ind w:firstLine="0" w:firstLineChars="0"/>
              <w:jc w:val="center"/>
              <w:rPr>
                <w:rFonts w:ascii="Times New Roman" w:hAnsi="Times New Roman"/>
              </w:rPr>
            </w:pPr>
            <w:r>
              <w:rPr>
                <w:rFonts w:hint="eastAsia" w:ascii="Times New Roman" w:hAnsi="Times New Roman"/>
                <w:lang w:eastAsia="zh-CN"/>
              </w:rPr>
              <w:t>开发阶段中的</w:t>
            </w:r>
            <w:r>
              <w:rPr>
                <w:rFonts w:ascii="Times New Roman" w:hAnsi="Times New Roman"/>
              </w:rPr>
              <w:t>项目经理</w:t>
            </w:r>
          </w:p>
        </w:tc>
        <w:tc>
          <w:tcPr>
            <w:tcW w:w="2587" w:type="dxa"/>
            <w:vAlign w:val="center"/>
          </w:tcPr>
          <w:p w14:paraId="3D1AB392">
            <w:pPr>
              <w:widowControl/>
              <w:spacing w:line="240" w:lineRule="auto"/>
              <w:ind w:firstLine="0" w:firstLineChars="0"/>
              <w:jc w:val="center"/>
              <w:rPr>
                <w:rFonts w:ascii="Times New Roman" w:hAnsi="Times New Roman"/>
              </w:rPr>
            </w:pPr>
            <w:r>
              <w:rPr>
                <w:rFonts w:ascii="Times New Roman" w:hAnsi="Times New Roman"/>
              </w:rPr>
              <w:t>负责项目质量和进度控制</w:t>
            </w:r>
          </w:p>
        </w:tc>
        <w:tc>
          <w:tcPr>
            <w:tcW w:w="945" w:type="dxa"/>
            <w:noWrap/>
            <w:vAlign w:val="center"/>
          </w:tcPr>
          <w:p w14:paraId="50D68225">
            <w:pPr>
              <w:widowControl/>
              <w:spacing w:line="240" w:lineRule="auto"/>
              <w:ind w:firstLine="0" w:firstLineChars="0"/>
              <w:jc w:val="center"/>
              <w:rPr>
                <w:rFonts w:ascii="Times New Roman" w:hAnsi="Times New Roman"/>
              </w:rPr>
            </w:pPr>
            <w:r>
              <w:rPr>
                <w:rFonts w:ascii="Times New Roman" w:hAnsi="Times New Roman"/>
              </w:rPr>
              <w:t>1</w:t>
            </w:r>
            <w:r>
              <w:rPr>
                <w:rFonts w:hint="eastAsia" w:ascii="Times New Roman" w:hAnsi="Times New Roman"/>
              </w:rPr>
              <w:t>人</w:t>
            </w:r>
          </w:p>
        </w:tc>
        <w:tc>
          <w:tcPr>
            <w:tcW w:w="2650" w:type="dxa"/>
            <w:vAlign w:val="center"/>
          </w:tcPr>
          <w:p w14:paraId="1100A2C6">
            <w:pPr>
              <w:widowControl/>
              <w:spacing w:line="240" w:lineRule="auto"/>
              <w:ind w:firstLine="0" w:firstLineChars="0"/>
              <w:jc w:val="left"/>
              <w:rPr>
                <w:rFonts w:ascii="Times New Roman" w:hAnsi="Times New Roman"/>
              </w:rPr>
            </w:pPr>
            <w:r>
              <w:rPr>
                <w:rFonts w:hint="eastAsia"/>
              </w:rPr>
              <w:t>应具备本科</w:t>
            </w:r>
            <w:r>
              <w:rPr>
                <w:rFonts w:hint="eastAsia"/>
                <w:lang w:eastAsia="zh-CN"/>
              </w:rPr>
              <w:t>及</w:t>
            </w:r>
            <w:r>
              <w:rPr>
                <w:rFonts w:hint="eastAsia"/>
              </w:rPr>
              <w:t>以上学历,</w:t>
            </w:r>
            <w:r>
              <w:rPr>
                <w:rFonts w:hint="eastAsia" w:ascii="Times New Roman" w:hAnsi="Times New Roman"/>
              </w:rPr>
              <w:t>具有类似项目实施和管理经验，持有信息系统项目管理师证书、系统分析师证书</w:t>
            </w:r>
          </w:p>
        </w:tc>
        <w:tc>
          <w:tcPr>
            <w:tcW w:w="1180" w:type="dxa"/>
            <w:noWrap/>
            <w:vAlign w:val="center"/>
          </w:tcPr>
          <w:p w14:paraId="1DDBC287">
            <w:pPr>
              <w:widowControl/>
              <w:spacing w:line="240" w:lineRule="auto"/>
              <w:ind w:firstLine="0" w:firstLineChars="0"/>
              <w:jc w:val="center"/>
              <w:rPr>
                <w:rFonts w:ascii="Times New Roman" w:hAnsi="Times New Roman"/>
              </w:rPr>
            </w:pPr>
            <w:r>
              <w:rPr>
                <w:rFonts w:hint="eastAsia" w:ascii="Times New Roman" w:hAnsi="Times New Roman"/>
              </w:rPr>
              <w:t>不驻场</w:t>
            </w:r>
          </w:p>
        </w:tc>
      </w:tr>
      <w:tr w14:paraId="161F6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176" w:type="dxa"/>
            <w:noWrap/>
            <w:vAlign w:val="center"/>
          </w:tcPr>
          <w:p w14:paraId="4C96D94C">
            <w:pPr>
              <w:widowControl/>
              <w:spacing w:line="240" w:lineRule="auto"/>
              <w:ind w:firstLine="0" w:firstLineChars="0"/>
              <w:jc w:val="center"/>
              <w:rPr>
                <w:rFonts w:ascii="Times New Roman" w:hAnsi="Times New Roman"/>
              </w:rPr>
            </w:pPr>
            <w:r>
              <w:rPr>
                <w:rFonts w:hint="eastAsia" w:ascii="Times New Roman" w:hAnsi="Times New Roman"/>
              </w:rPr>
              <w:t>实施</w:t>
            </w:r>
            <w:r>
              <w:rPr>
                <w:rFonts w:ascii="Times New Roman" w:hAnsi="Times New Roman"/>
              </w:rPr>
              <w:t>经理</w:t>
            </w:r>
          </w:p>
        </w:tc>
        <w:tc>
          <w:tcPr>
            <w:tcW w:w="2587" w:type="dxa"/>
            <w:vAlign w:val="center"/>
          </w:tcPr>
          <w:p w14:paraId="39B783F6">
            <w:pPr>
              <w:widowControl/>
              <w:spacing w:line="240" w:lineRule="auto"/>
              <w:ind w:firstLine="0" w:firstLineChars="0"/>
              <w:jc w:val="center"/>
              <w:rPr>
                <w:rFonts w:ascii="Times New Roman" w:hAnsi="Times New Roman"/>
              </w:rPr>
            </w:pPr>
            <w:r>
              <w:rPr>
                <w:rFonts w:ascii="Times New Roman" w:hAnsi="Times New Roman"/>
              </w:rPr>
              <w:t>负责项目需求评估与</w:t>
            </w:r>
            <w:r>
              <w:rPr>
                <w:rFonts w:hint="eastAsia" w:ascii="Times New Roman" w:hAnsi="Times New Roman"/>
              </w:rPr>
              <w:t>软件</w:t>
            </w:r>
            <w:r>
              <w:rPr>
                <w:rFonts w:ascii="Times New Roman" w:hAnsi="Times New Roman"/>
              </w:rPr>
              <w:t>设计</w:t>
            </w:r>
          </w:p>
        </w:tc>
        <w:tc>
          <w:tcPr>
            <w:tcW w:w="945" w:type="dxa"/>
            <w:noWrap/>
            <w:vAlign w:val="center"/>
          </w:tcPr>
          <w:p w14:paraId="1D11075C">
            <w:pPr>
              <w:widowControl/>
              <w:spacing w:line="240" w:lineRule="auto"/>
              <w:ind w:firstLine="0" w:firstLineChars="0"/>
              <w:jc w:val="center"/>
              <w:rPr>
                <w:rFonts w:ascii="Times New Roman" w:hAnsi="Times New Roman"/>
              </w:rPr>
            </w:pPr>
            <w:r>
              <w:rPr>
                <w:rFonts w:ascii="Times New Roman" w:hAnsi="Times New Roman"/>
              </w:rPr>
              <w:t>1</w:t>
            </w:r>
            <w:r>
              <w:rPr>
                <w:rFonts w:hint="eastAsia" w:ascii="Times New Roman" w:hAnsi="Times New Roman"/>
              </w:rPr>
              <w:t>人</w:t>
            </w:r>
          </w:p>
        </w:tc>
        <w:tc>
          <w:tcPr>
            <w:tcW w:w="2650" w:type="dxa"/>
            <w:vAlign w:val="center"/>
          </w:tcPr>
          <w:p w14:paraId="5FEEE3BF">
            <w:pPr>
              <w:widowControl/>
              <w:spacing w:line="240" w:lineRule="auto"/>
              <w:ind w:firstLine="0" w:firstLineChars="0"/>
              <w:jc w:val="left"/>
              <w:rPr>
                <w:rFonts w:ascii="Times New Roman" w:hAnsi="Times New Roman"/>
              </w:rPr>
            </w:pPr>
            <w:r>
              <w:rPr>
                <w:rFonts w:hint="eastAsia" w:ascii="Times New Roman" w:hAnsi="Times New Roman"/>
              </w:rPr>
              <w:t>应具备本科</w:t>
            </w:r>
            <w:r>
              <w:rPr>
                <w:rFonts w:hint="eastAsia" w:ascii="Times New Roman" w:hAnsi="Times New Roman"/>
                <w:lang w:eastAsia="zh-CN"/>
              </w:rPr>
              <w:t>及</w:t>
            </w:r>
            <w:r>
              <w:rPr>
                <w:rFonts w:hint="eastAsia" w:ascii="Times New Roman" w:hAnsi="Times New Roman"/>
              </w:rPr>
              <w:t>以上学历，具有类似项目经验</w:t>
            </w:r>
          </w:p>
        </w:tc>
        <w:tc>
          <w:tcPr>
            <w:tcW w:w="1180" w:type="dxa"/>
            <w:noWrap/>
            <w:vAlign w:val="center"/>
          </w:tcPr>
          <w:p w14:paraId="39144506">
            <w:pPr>
              <w:widowControl/>
              <w:spacing w:line="240" w:lineRule="auto"/>
              <w:ind w:firstLine="0" w:firstLineChars="0"/>
              <w:jc w:val="center"/>
              <w:rPr>
                <w:rFonts w:ascii="Times New Roman" w:hAnsi="Times New Roman"/>
              </w:rPr>
            </w:pPr>
            <w:r>
              <w:rPr>
                <w:rFonts w:hint="eastAsia" w:ascii="Times New Roman" w:hAnsi="Times New Roman"/>
              </w:rPr>
              <w:t>驻场</w:t>
            </w:r>
          </w:p>
        </w:tc>
      </w:tr>
      <w:tr w14:paraId="03D4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noWrap/>
            <w:vAlign w:val="center"/>
          </w:tcPr>
          <w:p w14:paraId="2DBBE65C">
            <w:pPr>
              <w:widowControl/>
              <w:spacing w:line="240" w:lineRule="auto"/>
              <w:ind w:firstLine="0" w:firstLineChars="0"/>
              <w:jc w:val="center"/>
              <w:rPr>
                <w:rFonts w:ascii="Times New Roman" w:hAnsi="Times New Roman"/>
              </w:rPr>
            </w:pPr>
            <w:r>
              <w:rPr>
                <w:rFonts w:hint="eastAsia" w:ascii="Times New Roman" w:hAnsi="Times New Roman"/>
              </w:rPr>
              <w:t>技术负责人</w:t>
            </w:r>
          </w:p>
        </w:tc>
        <w:tc>
          <w:tcPr>
            <w:tcW w:w="2587" w:type="dxa"/>
            <w:noWrap/>
            <w:vAlign w:val="center"/>
          </w:tcPr>
          <w:p w14:paraId="34E97C2D">
            <w:pPr>
              <w:widowControl/>
              <w:spacing w:line="240" w:lineRule="auto"/>
              <w:ind w:firstLine="0" w:firstLineChars="0"/>
              <w:jc w:val="center"/>
              <w:rPr>
                <w:rFonts w:ascii="Times New Roman" w:hAnsi="Times New Roman"/>
              </w:rPr>
            </w:pPr>
            <w:r>
              <w:rPr>
                <w:rFonts w:ascii="Times New Roman" w:hAnsi="Times New Roman"/>
              </w:rPr>
              <w:t>负责项目开发与实施</w:t>
            </w:r>
            <w:r>
              <w:rPr>
                <w:rFonts w:hint="eastAsia" w:ascii="Times New Roman" w:hAnsi="Times New Roman"/>
              </w:rPr>
              <w:t>的指导与监督</w:t>
            </w:r>
          </w:p>
        </w:tc>
        <w:tc>
          <w:tcPr>
            <w:tcW w:w="945" w:type="dxa"/>
            <w:noWrap/>
            <w:vAlign w:val="center"/>
          </w:tcPr>
          <w:p w14:paraId="232578F2">
            <w:pPr>
              <w:widowControl/>
              <w:spacing w:line="240" w:lineRule="auto"/>
              <w:ind w:firstLine="0" w:firstLineChars="0"/>
              <w:jc w:val="center"/>
              <w:rPr>
                <w:rFonts w:ascii="Times New Roman" w:hAnsi="Times New Roman"/>
              </w:rPr>
            </w:pPr>
            <w:r>
              <w:rPr>
                <w:rFonts w:hint="eastAsia" w:ascii="Times New Roman" w:hAnsi="Times New Roman"/>
              </w:rPr>
              <w:t>1人</w:t>
            </w:r>
          </w:p>
        </w:tc>
        <w:tc>
          <w:tcPr>
            <w:tcW w:w="2650" w:type="dxa"/>
            <w:vAlign w:val="center"/>
          </w:tcPr>
          <w:p w14:paraId="4738FDEE">
            <w:pPr>
              <w:widowControl/>
              <w:spacing w:line="240" w:lineRule="auto"/>
              <w:ind w:firstLine="0" w:firstLineChars="0"/>
              <w:jc w:val="left"/>
              <w:rPr>
                <w:rFonts w:ascii="Times New Roman" w:hAnsi="Times New Roman"/>
              </w:rPr>
            </w:pPr>
            <w:r>
              <w:rPr>
                <w:rFonts w:hint="eastAsia"/>
              </w:rPr>
              <w:t>应具备本科</w:t>
            </w:r>
            <w:r>
              <w:rPr>
                <w:rFonts w:hint="eastAsia"/>
                <w:lang w:eastAsia="zh-CN"/>
              </w:rPr>
              <w:t>及</w:t>
            </w:r>
            <w:r>
              <w:rPr>
                <w:rFonts w:hint="eastAsia"/>
              </w:rPr>
              <w:t>以上学历,具有</w:t>
            </w:r>
            <w:r>
              <w:rPr>
                <w:rFonts w:hint="eastAsia" w:ascii="Times New Roman" w:hAnsi="Times New Roman"/>
              </w:rPr>
              <w:t>系统分析师或系统架构师证书</w:t>
            </w:r>
          </w:p>
          <w:p w14:paraId="1A542086">
            <w:pPr>
              <w:ind w:firstLine="480"/>
            </w:pPr>
          </w:p>
        </w:tc>
        <w:tc>
          <w:tcPr>
            <w:tcW w:w="1180" w:type="dxa"/>
            <w:noWrap/>
            <w:vAlign w:val="center"/>
          </w:tcPr>
          <w:p w14:paraId="6968508A">
            <w:pPr>
              <w:widowControl/>
              <w:spacing w:line="240" w:lineRule="auto"/>
              <w:ind w:firstLine="0" w:firstLineChars="0"/>
              <w:jc w:val="center"/>
              <w:rPr>
                <w:rFonts w:ascii="Times New Roman" w:hAnsi="Times New Roman"/>
              </w:rPr>
            </w:pPr>
            <w:r>
              <w:rPr>
                <w:rFonts w:hint="eastAsia" w:ascii="Times New Roman" w:hAnsi="Times New Roman"/>
              </w:rPr>
              <w:t>不驻场</w:t>
            </w:r>
          </w:p>
        </w:tc>
      </w:tr>
      <w:tr w14:paraId="5207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noWrap/>
            <w:vAlign w:val="center"/>
          </w:tcPr>
          <w:p w14:paraId="2AC41CE6">
            <w:pPr>
              <w:widowControl/>
              <w:spacing w:line="240" w:lineRule="auto"/>
              <w:ind w:firstLine="0" w:firstLineChars="0"/>
              <w:jc w:val="center"/>
              <w:rPr>
                <w:rFonts w:ascii="Times New Roman" w:hAnsi="Times New Roman"/>
              </w:rPr>
            </w:pPr>
            <w:r>
              <w:rPr>
                <w:rFonts w:ascii="Times New Roman" w:hAnsi="Times New Roman"/>
              </w:rPr>
              <w:t>研发</w:t>
            </w:r>
          </w:p>
        </w:tc>
        <w:tc>
          <w:tcPr>
            <w:tcW w:w="2587" w:type="dxa"/>
            <w:noWrap/>
            <w:vAlign w:val="center"/>
          </w:tcPr>
          <w:p w14:paraId="0D59827F">
            <w:pPr>
              <w:widowControl/>
              <w:spacing w:line="240" w:lineRule="auto"/>
              <w:ind w:firstLine="0" w:firstLineChars="0"/>
              <w:jc w:val="center"/>
              <w:rPr>
                <w:rFonts w:ascii="Times New Roman" w:hAnsi="Times New Roman"/>
              </w:rPr>
            </w:pPr>
            <w:r>
              <w:rPr>
                <w:rFonts w:ascii="Times New Roman" w:hAnsi="Times New Roman"/>
              </w:rPr>
              <w:t>负责项目具体开发与实施</w:t>
            </w:r>
          </w:p>
        </w:tc>
        <w:tc>
          <w:tcPr>
            <w:tcW w:w="945" w:type="dxa"/>
            <w:noWrap/>
            <w:vAlign w:val="center"/>
          </w:tcPr>
          <w:p w14:paraId="0862B061">
            <w:pPr>
              <w:widowControl/>
              <w:spacing w:line="240" w:lineRule="auto"/>
              <w:ind w:firstLine="0" w:firstLineChars="0"/>
              <w:jc w:val="center"/>
              <w:rPr>
                <w:rFonts w:ascii="Times New Roman" w:hAnsi="Times New Roman"/>
              </w:rPr>
            </w:pPr>
            <w:r>
              <w:rPr>
                <w:rFonts w:hint="eastAsia" w:ascii="Times New Roman" w:hAnsi="Times New Roman"/>
              </w:rPr>
              <w:t>5人</w:t>
            </w:r>
          </w:p>
        </w:tc>
        <w:tc>
          <w:tcPr>
            <w:tcW w:w="2650" w:type="dxa"/>
            <w:vAlign w:val="center"/>
          </w:tcPr>
          <w:p w14:paraId="5377B9D6">
            <w:pPr>
              <w:widowControl/>
              <w:spacing w:line="240" w:lineRule="auto"/>
              <w:ind w:firstLine="0" w:firstLineChars="0"/>
              <w:jc w:val="left"/>
              <w:rPr>
                <w:rFonts w:ascii="Times New Roman" w:hAnsi="Times New Roman"/>
              </w:rPr>
            </w:pPr>
            <w:r>
              <w:rPr>
                <w:rFonts w:hint="eastAsia" w:ascii="Times New Roman" w:hAnsi="Times New Roman"/>
              </w:rPr>
              <w:t>应</w:t>
            </w:r>
            <w:r>
              <w:rPr>
                <w:rFonts w:hint="eastAsia"/>
              </w:rPr>
              <w:t>具备专科或以上学历,其中</w:t>
            </w:r>
            <w:r>
              <w:rPr>
                <w:rFonts w:hint="eastAsia" w:ascii="Times New Roman" w:hAnsi="Times New Roman"/>
              </w:rPr>
              <w:t>至少有</w:t>
            </w:r>
            <w:r>
              <w:rPr>
                <w:rFonts w:ascii="Times New Roman" w:hAnsi="Times New Roman"/>
              </w:rPr>
              <w:t>1</w:t>
            </w:r>
            <w:r>
              <w:rPr>
                <w:rFonts w:hint="eastAsia" w:ascii="Times New Roman" w:hAnsi="Times New Roman"/>
              </w:rPr>
              <w:t>人具有计算机技术与软件专业技术资格（水平）考试中级或以上资格证书</w:t>
            </w:r>
          </w:p>
        </w:tc>
        <w:tc>
          <w:tcPr>
            <w:tcW w:w="1180" w:type="dxa"/>
            <w:noWrap/>
            <w:vAlign w:val="center"/>
          </w:tcPr>
          <w:p w14:paraId="4B97D902">
            <w:pPr>
              <w:widowControl/>
              <w:spacing w:line="240" w:lineRule="auto"/>
              <w:ind w:firstLine="0" w:firstLineChars="0"/>
              <w:jc w:val="center"/>
              <w:rPr>
                <w:rFonts w:ascii="Times New Roman" w:hAnsi="Times New Roman"/>
              </w:rPr>
            </w:pPr>
            <w:r>
              <w:rPr>
                <w:rFonts w:hint="eastAsia" w:ascii="Times New Roman" w:hAnsi="Times New Roman"/>
              </w:rPr>
              <w:t>至少2人驻场</w:t>
            </w:r>
          </w:p>
        </w:tc>
      </w:tr>
      <w:tr w14:paraId="0DFE9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noWrap/>
            <w:vAlign w:val="center"/>
          </w:tcPr>
          <w:p w14:paraId="547F8349">
            <w:pPr>
              <w:widowControl/>
              <w:spacing w:line="240" w:lineRule="auto"/>
              <w:ind w:firstLine="0" w:firstLineChars="0"/>
              <w:jc w:val="center"/>
              <w:rPr>
                <w:rFonts w:ascii="Times New Roman" w:hAnsi="Times New Roman"/>
              </w:rPr>
            </w:pPr>
            <w:r>
              <w:rPr>
                <w:rFonts w:hint="eastAsia" w:ascii="Times New Roman" w:hAnsi="Times New Roman"/>
              </w:rPr>
              <w:t>测试</w:t>
            </w:r>
          </w:p>
        </w:tc>
        <w:tc>
          <w:tcPr>
            <w:tcW w:w="2587" w:type="dxa"/>
            <w:noWrap/>
            <w:vAlign w:val="center"/>
          </w:tcPr>
          <w:p w14:paraId="3603EBB6">
            <w:pPr>
              <w:widowControl/>
              <w:spacing w:line="240" w:lineRule="auto"/>
              <w:ind w:firstLine="0" w:firstLineChars="0"/>
              <w:jc w:val="center"/>
              <w:rPr>
                <w:rFonts w:ascii="Times New Roman" w:hAnsi="Times New Roman"/>
              </w:rPr>
            </w:pPr>
            <w:r>
              <w:rPr>
                <w:rFonts w:hint="eastAsia" w:ascii="Times New Roman" w:hAnsi="Times New Roman"/>
              </w:rPr>
              <w:t>负责项目开发阶段测试工作</w:t>
            </w:r>
          </w:p>
        </w:tc>
        <w:tc>
          <w:tcPr>
            <w:tcW w:w="945" w:type="dxa"/>
            <w:noWrap/>
            <w:vAlign w:val="center"/>
          </w:tcPr>
          <w:p w14:paraId="262006E9">
            <w:pPr>
              <w:widowControl/>
              <w:spacing w:line="240" w:lineRule="auto"/>
              <w:ind w:firstLine="0" w:firstLineChars="0"/>
              <w:jc w:val="center"/>
              <w:rPr>
                <w:rFonts w:ascii="Times New Roman" w:hAnsi="Times New Roman"/>
              </w:rPr>
            </w:pPr>
            <w:r>
              <w:rPr>
                <w:rFonts w:hint="eastAsia" w:ascii="Times New Roman" w:hAnsi="Times New Roman"/>
              </w:rPr>
              <w:t>1人</w:t>
            </w:r>
          </w:p>
        </w:tc>
        <w:tc>
          <w:tcPr>
            <w:tcW w:w="2650" w:type="dxa"/>
            <w:vAlign w:val="center"/>
          </w:tcPr>
          <w:p w14:paraId="0D293A4E">
            <w:pPr>
              <w:widowControl/>
              <w:spacing w:line="240" w:lineRule="auto"/>
              <w:ind w:firstLine="0" w:firstLineChars="0"/>
              <w:jc w:val="left"/>
              <w:rPr>
                <w:rFonts w:ascii="Times New Roman" w:hAnsi="Times New Roman"/>
              </w:rPr>
            </w:pPr>
            <w:r>
              <w:rPr>
                <w:rFonts w:hint="eastAsia" w:ascii="Times New Roman" w:hAnsi="Times New Roman"/>
              </w:rPr>
              <w:t>应具备</w:t>
            </w:r>
            <w:r>
              <w:rPr>
                <w:rFonts w:hint="eastAsia"/>
              </w:rPr>
              <w:t>专科或以上学历，具有类似测试经验。</w:t>
            </w:r>
          </w:p>
        </w:tc>
        <w:tc>
          <w:tcPr>
            <w:tcW w:w="1180" w:type="dxa"/>
            <w:noWrap/>
            <w:vAlign w:val="center"/>
          </w:tcPr>
          <w:p w14:paraId="02CEB6D1">
            <w:pPr>
              <w:widowControl/>
              <w:spacing w:line="240" w:lineRule="auto"/>
              <w:ind w:firstLine="0" w:firstLineChars="0"/>
              <w:jc w:val="center"/>
              <w:rPr>
                <w:rFonts w:ascii="Times New Roman" w:hAnsi="Times New Roman"/>
              </w:rPr>
            </w:pPr>
            <w:r>
              <w:rPr>
                <w:rFonts w:hint="eastAsia" w:ascii="Times New Roman" w:hAnsi="Times New Roman"/>
              </w:rPr>
              <w:t>不驻场</w:t>
            </w:r>
          </w:p>
        </w:tc>
      </w:tr>
    </w:tbl>
    <w:p w14:paraId="7BE0DE79">
      <w:pPr>
        <w:spacing w:line="360" w:lineRule="auto"/>
        <w:ind w:firstLine="480"/>
        <w:rPr>
          <w:rFonts w:ascii="Times New Roman" w:hAnsi="Times New Roman"/>
        </w:rPr>
      </w:pPr>
      <w:r>
        <w:rPr>
          <w:rFonts w:hint="eastAsia" w:ascii="Times New Roman" w:hAnsi="Times New Roman"/>
        </w:rPr>
        <w:t>（</w:t>
      </w:r>
      <w:r>
        <w:rPr>
          <w:rFonts w:ascii="Times New Roman" w:hAnsi="Times New Roman"/>
        </w:rPr>
        <w:t>2）供应商须针对本项目成立不少于</w:t>
      </w:r>
      <w:r>
        <w:rPr>
          <w:rFonts w:hint="eastAsia" w:ascii="Times New Roman" w:hAnsi="Times New Roman"/>
        </w:rPr>
        <w:t>2</w:t>
      </w:r>
      <w:r>
        <w:rPr>
          <w:rFonts w:ascii="Times New Roman" w:hAnsi="Times New Roman"/>
        </w:rPr>
        <w:t>人的质保期间支撑团队，涉及重大调整及变更事宜且对现有业务系统运行可能产生重大影响的操作，供应商需提前告知采购人并安排相关技术人员提供现场保障支持，以保证业务的连续性，相关服务人员需具备相应的服务能力，需提供相关证明（最近一个季度</w:t>
      </w:r>
      <w:r>
        <w:rPr>
          <w:rFonts w:hint="eastAsia" w:ascii="Times New Roman" w:hAnsi="Times New Roman"/>
        </w:rPr>
        <w:t>任意一月</w:t>
      </w:r>
      <w:r>
        <w:rPr>
          <w:rFonts w:ascii="Times New Roman" w:hAnsi="Times New Roman"/>
        </w:rPr>
        <w:t>依法缴纳社保费的证明）。</w:t>
      </w:r>
    </w:p>
    <w:tbl>
      <w:tblPr>
        <w:tblStyle w:val="40"/>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2882"/>
        <w:gridCol w:w="1214"/>
        <w:gridCol w:w="1836"/>
        <w:gridCol w:w="1180"/>
      </w:tblGrid>
      <w:tr w14:paraId="006EF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noWrap/>
            <w:vAlign w:val="center"/>
          </w:tcPr>
          <w:p w14:paraId="463A4D83">
            <w:pPr>
              <w:widowControl/>
              <w:spacing w:line="240" w:lineRule="auto"/>
              <w:ind w:firstLine="0" w:firstLineChars="0"/>
              <w:jc w:val="center"/>
              <w:rPr>
                <w:rFonts w:ascii="Times New Roman" w:hAnsi="Times New Roman"/>
                <w:b/>
              </w:rPr>
            </w:pPr>
            <w:r>
              <w:rPr>
                <w:rFonts w:ascii="Times New Roman" w:hAnsi="Times New Roman"/>
                <w:b/>
              </w:rPr>
              <w:t>角色</w:t>
            </w:r>
          </w:p>
        </w:tc>
        <w:tc>
          <w:tcPr>
            <w:tcW w:w="2882" w:type="dxa"/>
            <w:noWrap/>
            <w:vAlign w:val="center"/>
          </w:tcPr>
          <w:p w14:paraId="70CB5DF1">
            <w:pPr>
              <w:widowControl/>
              <w:spacing w:line="240" w:lineRule="auto"/>
              <w:ind w:firstLine="0" w:firstLineChars="0"/>
              <w:jc w:val="center"/>
              <w:rPr>
                <w:rFonts w:ascii="Times New Roman" w:hAnsi="Times New Roman"/>
                <w:b/>
              </w:rPr>
            </w:pPr>
            <w:r>
              <w:rPr>
                <w:rFonts w:ascii="Times New Roman" w:hAnsi="Times New Roman"/>
                <w:b/>
              </w:rPr>
              <w:t>主要职责</w:t>
            </w:r>
          </w:p>
        </w:tc>
        <w:tc>
          <w:tcPr>
            <w:tcW w:w="1214" w:type="dxa"/>
            <w:noWrap/>
            <w:vAlign w:val="center"/>
          </w:tcPr>
          <w:p w14:paraId="147143DC">
            <w:pPr>
              <w:widowControl/>
              <w:spacing w:line="240" w:lineRule="auto"/>
              <w:ind w:firstLine="0" w:firstLineChars="0"/>
              <w:jc w:val="center"/>
              <w:rPr>
                <w:rFonts w:ascii="Times New Roman" w:hAnsi="Times New Roman"/>
                <w:b/>
              </w:rPr>
            </w:pPr>
            <w:r>
              <w:rPr>
                <w:rFonts w:ascii="Times New Roman" w:hAnsi="Times New Roman"/>
                <w:b/>
              </w:rPr>
              <w:t>人员数量</w:t>
            </w:r>
          </w:p>
        </w:tc>
        <w:tc>
          <w:tcPr>
            <w:tcW w:w="1836" w:type="dxa"/>
            <w:vAlign w:val="center"/>
          </w:tcPr>
          <w:p w14:paraId="4EABC682">
            <w:pPr>
              <w:widowControl/>
              <w:spacing w:line="240" w:lineRule="auto"/>
              <w:ind w:firstLine="0" w:firstLineChars="0"/>
              <w:jc w:val="center"/>
              <w:rPr>
                <w:rFonts w:ascii="Times New Roman" w:hAnsi="Times New Roman"/>
                <w:b/>
              </w:rPr>
            </w:pPr>
            <w:r>
              <w:rPr>
                <w:rFonts w:ascii="Times New Roman" w:hAnsi="Times New Roman"/>
                <w:b/>
              </w:rPr>
              <w:t>人员要求</w:t>
            </w:r>
          </w:p>
        </w:tc>
        <w:tc>
          <w:tcPr>
            <w:tcW w:w="1180" w:type="dxa"/>
            <w:noWrap/>
            <w:vAlign w:val="center"/>
          </w:tcPr>
          <w:p w14:paraId="5FF8FB3E">
            <w:pPr>
              <w:widowControl/>
              <w:spacing w:line="240" w:lineRule="auto"/>
              <w:ind w:firstLine="0" w:firstLineChars="0"/>
              <w:jc w:val="center"/>
              <w:rPr>
                <w:rFonts w:ascii="Times New Roman" w:hAnsi="Times New Roman"/>
                <w:b/>
              </w:rPr>
            </w:pPr>
            <w:r>
              <w:rPr>
                <w:rFonts w:ascii="Times New Roman" w:hAnsi="Times New Roman"/>
                <w:b/>
              </w:rPr>
              <w:t>驻场要求</w:t>
            </w:r>
          </w:p>
        </w:tc>
      </w:tr>
      <w:tr w14:paraId="210C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noWrap/>
            <w:vAlign w:val="center"/>
          </w:tcPr>
          <w:p w14:paraId="4F79DBC9">
            <w:pPr>
              <w:widowControl/>
              <w:spacing w:line="240" w:lineRule="auto"/>
              <w:ind w:firstLine="0" w:firstLineChars="0"/>
              <w:jc w:val="center"/>
              <w:rPr>
                <w:rFonts w:ascii="Times New Roman" w:hAnsi="Times New Roman"/>
              </w:rPr>
            </w:pPr>
            <w:r>
              <w:rPr>
                <w:rFonts w:hint="eastAsia" w:ascii="Times New Roman" w:hAnsi="Times New Roman"/>
                <w:lang w:eastAsia="zh-CN"/>
              </w:rPr>
              <w:t>质保期间的</w:t>
            </w:r>
            <w:r>
              <w:rPr>
                <w:rFonts w:ascii="Times New Roman" w:hAnsi="Times New Roman"/>
              </w:rPr>
              <w:t>项目经理</w:t>
            </w:r>
          </w:p>
        </w:tc>
        <w:tc>
          <w:tcPr>
            <w:tcW w:w="2882" w:type="dxa"/>
            <w:vAlign w:val="center"/>
          </w:tcPr>
          <w:p w14:paraId="6FB9F3A6">
            <w:pPr>
              <w:widowControl/>
              <w:spacing w:line="240" w:lineRule="auto"/>
              <w:ind w:firstLine="0" w:firstLineChars="0"/>
              <w:jc w:val="center"/>
              <w:rPr>
                <w:rFonts w:ascii="Times New Roman" w:hAnsi="Times New Roman"/>
              </w:rPr>
            </w:pPr>
            <w:r>
              <w:rPr>
                <w:rFonts w:ascii="Times New Roman" w:hAnsi="Times New Roman"/>
              </w:rPr>
              <w:t>负责项目质量和进度控制</w:t>
            </w:r>
          </w:p>
        </w:tc>
        <w:tc>
          <w:tcPr>
            <w:tcW w:w="1214" w:type="dxa"/>
            <w:noWrap/>
            <w:vAlign w:val="center"/>
          </w:tcPr>
          <w:p w14:paraId="4ED06DFC">
            <w:pPr>
              <w:widowControl/>
              <w:spacing w:line="240" w:lineRule="auto"/>
              <w:ind w:firstLine="0" w:firstLineChars="0"/>
              <w:jc w:val="center"/>
              <w:rPr>
                <w:rFonts w:ascii="Times New Roman" w:hAnsi="Times New Roman"/>
              </w:rPr>
            </w:pPr>
            <w:r>
              <w:rPr>
                <w:rFonts w:ascii="Times New Roman" w:hAnsi="Times New Roman"/>
              </w:rPr>
              <w:t>1人</w:t>
            </w:r>
          </w:p>
        </w:tc>
        <w:tc>
          <w:tcPr>
            <w:tcW w:w="1836" w:type="dxa"/>
            <w:vAlign w:val="center"/>
          </w:tcPr>
          <w:p w14:paraId="2F489FFE">
            <w:pPr>
              <w:widowControl/>
              <w:spacing w:line="240" w:lineRule="auto"/>
              <w:ind w:firstLine="0" w:firstLineChars="0"/>
              <w:jc w:val="center"/>
              <w:rPr>
                <w:rFonts w:ascii="Times New Roman" w:hAnsi="Times New Roman"/>
              </w:rPr>
            </w:pPr>
            <w:r>
              <w:rPr>
                <w:rFonts w:hint="eastAsia" w:ascii="Times New Roman" w:hAnsi="Times New Roman"/>
              </w:rPr>
              <w:t>具有类似信息系统规划设计、项目实施和管理经验，持有信息系统项目管理师证书优先</w:t>
            </w:r>
          </w:p>
        </w:tc>
        <w:tc>
          <w:tcPr>
            <w:tcW w:w="1180" w:type="dxa"/>
            <w:noWrap/>
            <w:vAlign w:val="center"/>
          </w:tcPr>
          <w:p w14:paraId="387172CE">
            <w:pPr>
              <w:widowControl/>
              <w:spacing w:line="240" w:lineRule="auto"/>
              <w:ind w:firstLine="0" w:firstLineChars="0"/>
              <w:jc w:val="center"/>
              <w:rPr>
                <w:rFonts w:ascii="Times New Roman" w:hAnsi="Times New Roman"/>
              </w:rPr>
            </w:pPr>
          </w:p>
        </w:tc>
      </w:tr>
      <w:tr w14:paraId="25003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noWrap/>
            <w:vAlign w:val="center"/>
          </w:tcPr>
          <w:p w14:paraId="50B25C7E">
            <w:pPr>
              <w:widowControl/>
              <w:spacing w:line="240" w:lineRule="auto"/>
              <w:ind w:firstLine="0" w:firstLineChars="0"/>
              <w:jc w:val="center"/>
              <w:rPr>
                <w:rFonts w:ascii="Times New Roman" w:hAnsi="Times New Roman"/>
              </w:rPr>
            </w:pPr>
            <w:r>
              <w:rPr>
                <w:rFonts w:hint="eastAsia" w:ascii="Times New Roman" w:hAnsi="Times New Roman"/>
              </w:rPr>
              <w:t>运维</w:t>
            </w:r>
            <w:r>
              <w:rPr>
                <w:rFonts w:ascii="Times New Roman" w:hAnsi="Times New Roman"/>
              </w:rPr>
              <w:t>工程师</w:t>
            </w:r>
          </w:p>
        </w:tc>
        <w:tc>
          <w:tcPr>
            <w:tcW w:w="2882" w:type="dxa"/>
            <w:noWrap/>
            <w:vAlign w:val="center"/>
          </w:tcPr>
          <w:p w14:paraId="17C66580">
            <w:pPr>
              <w:widowControl/>
              <w:spacing w:line="240" w:lineRule="auto"/>
              <w:ind w:firstLine="0" w:firstLineChars="0"/>
              <w:jc w:val="center"/>
              <w:rPr>
                <w:rFonts w:ascii="Times New Roman" w:hAnsi="Times New Roman"/>
              </w:rPr>
            </w:pPr>
            <w:r>
              <w:rPr>
                <w:rFonts w:ascii="Times New Roman" w:hAnsi="Times New Roman"/>
              </w:rPr>
              <w:t>负责项目运行维护</w:t>
            </w:r>
          </w:p>
        </w:tc>
        <w:tc>
          <w:tcPr>
            <w:tcW w:w="1214" w:type="dxa"/>
            <w:noWrap/>
            <w:vAlign w:val="center"/>
          </w:tcPr>
          <w:p w14:paraId="6725C8FC">
            <w:pPr>
              <w:widowControl/>
              <w:spacing w:line="240" w:lineRule="auto"/>
              <w:ind w:firstLine="0" w:firstLineChars="0"/>
              <w:jc w:val="center"/>
              <w:rPr>
                <w:rFonts w:ascii="Times New Roman" w:hAnsi="Times New Roman"/>
              </w:rPr>
            </w:pPr>
            <w:r>
              <w:rPr>
                <w:rFonts w:hint="eastAsia" w:ascii="Times New Roman" w:hAnsi="Times New Roman"/>
              </w:rPr>
              <w:t>1</w:t>
            </w:r>
            <w:r>
              <w:rPr>
                <w:rFonts w:ascii="Times New Roman" w:hAnsi="Times New Roman"/>
              </w:rPr>
              <w:t>人</w:t>
            </w:r>
          </w:p>
        </w:tc>
        <w:tc>
          <w:tcPr>
            <w:tcW w:w="1836" w:type="dxa"/>
            <w:vAlign w:val="center"/>
          </w:tcPr>
          <w:p w14:paraId="0C72686C">
            <w:pPr>
              <w:widowControl/>
              <w:spacing w:line="240" w:lineRule="auto"/>
              <w:ind w:firstLine="0" w:firstLineChars="0"/>
              <w:jc w:val="center"/>
              <w:rPr>
                <w:rFonts w:ascii="Times New Roman" w:hAnsi="Times New Roman"/>
              </w:rPr>
            </w:pPr>
            <w:r>
              <w:rPr>
                <w:rFonts w:hint="eastAsia" w:ascii="Times New Roman" w:hAnsi="Times New Roman"/>
              </w:rPr>
              <w:t>/</w:t>
            </w:r>
          </w:p>
        </w:tc>
        <w:tc>
          <w:tcPr>
            <w:tcW w:w="1180" w:type="dxa"/>
            <w:noWrap/>
            <w:vAlign w:val="center"/>
          </w:tcPr>
          <w:p w14:paraId="3347B426">
            <w:pPr>
              <w:widowControl/>
              <w:spacing w:line="240" w:lineRule="auto"/>
              <w:ind w:firstLine="0" w:firstLineChars="0"/>
              <w:jc w:val="center"/>
              <w:rPr>
                <w:rFonts w:ascii="Times New Roman" w:hAnsi="Times New Roman"/>
              </w:rPr>
            </w:pPr>
            <w:r>
              <w:rPr>
                <w:rFonts w:hint="eastAsia" w:ascii="Times New Roman" w:hAnsi="Times New Roman"/>
              </w:rPr>
              <w:t>驻场</w:t>
            </w:r>
          </w:p>
        </w:tc>
      </w:tr>
      <w:bookmarkEnd w:id="34"/>
    </w:tbl>
    <w:p w14:paraId="3A5BA346">
      <w:pPr>
        <w:pStyle w:val="3"/>
      </w:pPr>
      <w:r>
        <w:rPr>
          <w:rFonts w:hint="eastAsia"/>
        </w:rPr>
        <w:t>安全需求</w:t>
      </w:r>
    </w:p>
    <w:p w14:paraId="6B0D7D3C">
      <w:pPr>
        <w:pStyle w:val="4"/>
        <w:ind w:hanging="1069"/>
      </w:pPr>
      <w:r>
        <w:rPr>
          <w:rFonts w:hint="eastAsia"/>
        </w:rPr>
        <w:t>安全设计要求</w:t>
      </w:r>
    </w:p>
    <w:p w14:paraId="26F91A74">
      <w:pPr>
        <w:spacing w:line="360" w:lineRule="auto"/>
        <w:ind w:firstLine="480"/>
      </w:pPr>
      <w:r>
        <w:rPr>
          <w:rFonts w:hint="eastAsia"/>
        </w:rPr>
        <w:t>供应商须结合本项目应用场景，制定详细的项目安全方案，包括但不限于安全需求分析、在应用安全和数据安全方面采取的安全措施、应急处置等方面内容，保证项目能够安全、平稳、高效运行。项目安全方案应</w:t>
      </w:r>
      <w:r>
        <w:rPr>
          <w:rFonts w:hint="eastAsia" w:cs="宋体"/>
          <w:kern w:val="0"/>
        </w:rPr>
        <w:t>满足等保三级要求。</w:t>
      </w:r>
    </w:p>
    <w:p w14:paraId="08239E42">
      <w:pPr>
        <w:pStyle w:val="4"/>
        <w:ind w:hanging="1069"/>
      </w:pPr>
      <w:r>
        <w:rPr>
          <w:rFonts w:hint="eastAsia"/>
        </w:rPr>
        <w:t>商业密码应用需求</w:t>
      </w:r>
    </w:p>
    <w:p w14:paraId="4D07A2BC">
      <w:pPr>
        <w:spacing w:line="360" w:lineRule="auto"/>
        <w:ind w:firstLine="480"/>
      </w:pPr>
      <w:r>
        <w:rPr>
          <w:rFonts w:hint="eastAsia"/>
        </w:rPr>
        <w:t>本次项目建设内容需要符合商业密码应用需求，并</w:t>
      </w:r>
      <w:r>
        <w:rPr>
          <w:rFonts w:hint="eastAsia" w:ascii="Times New Roman" w:hAnsi="Times New Roman"/>
        </w:rPr>
        <w:t>参照商业密码应用第三级建设</w:t>
      </w:r>
      <w:r>
        <w:rPr>
          <w:rFonts w:hint="eastAsia"/>
        </w:rPr>
        <w:t>。</w:t>
      </w:r>
      <w:r>
        <w:rPr>
          <w:rFonts w:ascii="Times New Roman" w:hAnsi="Times New Roman"/>
        </w:rPr>
        <w:t>采用密码技术对登陆用户进行身份鉴别，保证应用系统用户身份的真实性</w:t>
      </w:r>
      <w:r>
        <w:t>；</w:t>
      </w:r>
      <w:r>
        <w:rPr>
          <w:rFonts w:ascii="Times New Roman" w:hAnsi="Times New Roman"/>
        </w:rPr>
        <w:t>采用密码技术保证应用系统的访问控制信息的完整性</w:t>
      </w:r>
      <w:r>
        <w:rPr>
          <w:rFonts w:hint="eastAsia"/>
        </w:rPr>
        <w:t>；</w:t>
      </w:r>
      <w:r>
        <w:rPr>
          <w:rFonts w:ascii="Times New Roman" w:hAnsi="Times New Roman"/>
        </w:rPr>
        <w:t>采用密码技术保证应用系统重要数据在传输和存储过程中的机密性</w:t>
      </w:r>
      <w:r>
        <w:rPr>
          <w:rFonts w:hint="eastAsia"/>
        </w:rPr>
        <w:t>；</w:t>
      </w:r>
      <w:r>
        <w:rPr>
          <w:rFonts w:ascii="Times New Roman" w:hAnsi="Times New Roman"/>
        </w:rPr>
        <w:t>采用密码技术保证应用系统重要数据在传输和存储过程中的完整性</w:t>
      </w:r>
      <w:r>
        <w:rPr>
          <w:rFonts w:hint="eastAsia" w:ascii="Times New Roman" w:hAnsi="Times New Roman"/>
        </w:rPr>
        <w:t>。</w:t>
      </w:r>
    </w:p>
    <w:p w14:paraId="2E34DB0C">
      <w:pPr>
        <w:pStyle w:val="3"/>
      </w:pPr>
      <w:bookmarkStart w:id="35" w:name="_Toc63785512"/>
      <w:r>
        <w:rPr>
          <w:rFonts w:hint="eastAsia"/>
        </w:rPr>
        <w:t>技术文件要求</w:t>
      </w:r>
    </w:p>
    <w:p w14:paraId="566BA538">
      <w:pPr>
        <w:spacing w:line="360" w:lineRule="auto"/>
        <w:ind w:firstLine="480"/>
      </w:pPr>
      <w:r>
        <w:rPr>
          <w:rFonts w:hint="eastAsia"/>
        </w:rPr>
        <w:t>供应商提供的书面技术资料应能确保系统正常运行所需的管理、运营及维护有关的全套文件。技术文件应该全面、完整、详细。供应商提供的技术文件至少应包括：</w:t>
      </w:r>
    </w:p>
    <w:p w14:paraId="304A89BB">
      <w:pPr>
        <w:spacing w:line="360" w:lineRule="auto"/>
        <w:ind w:firstLine="480"/>
      </w:pPr>
      <w:r>
        <w:rPr>
          <w:rFonts w:hint="eastAsia"/>
        </w:rPr>
        <w:t>－系统说明文件；</w:t>
      </w:r>
    </w:p>
    <w:p w14:paraId="3A5AA67B">
      <w:pPr>
        <w:spacing w:line="360" w:lineRule="auto"/>
        <w:ind w:firstLine="480"/>
      </w:pPr>
      <w:r>
        <w:rPr>
          <w:rFonts w:hint="eastAsia"/>
        </w:rPr>
        <w:t>－技术手册（安装、测试、操作、维护、故障排除等）；</w:t>
      </w:r>
    </w:p>
    <w:p w14:paraId="1116335D">
      <w:pPr>
        <w:spacing w:line="360" w:lineRule="auto"/>
        <w:ind w:firstLine="480"/>
      </w:pPr>
      <w:r>
        <w:rPr>
          <w:rFonts w:hint="eastAsia"/>
        </w:rPr>
        <w:t>－项目文档，应该包括：</w:t>
      </w:r>
    </w:p>
    <w:p w14:paraId="30E1B1E5">
      <w:pPr>
        <w:spacing w:line="360" w:lineRule="auto"/>
        <w:ind w:firstLine="480"/>
      </w:pPr>
      <w:r>
        <w:rPr>
          <w:rFonts w:hint="eastAsia"/>
        </w:rPr>
        <w:t>（1）需求说明书</w:t>
      </w:r>
    </w:p>
    <w:p w14:paraId="45120B6F">
      <w:pPr>
        <w:spacing w:line="360" w:lineRule="auto"/>
        <w:ind w:firstLine="480"/>
      </w:pPr>
      <w:r>
        <w:rPr>
          <w:rFonts w:hint="eastAsia"/>
        </w:rPr>
        <w:t>（2）系统设计说明书</w:t>
      </w:r>
    </w:p>
    <w:p w14:paraId="0FD30E20">
      <w:pPr>
        <w:spacing w:line="360" w:lineRule="auto"/>
        <w:ind w:firstLine="480"/>
      </w:pPr>
      <w:r>
        <w:rPr>
          <w:rFonts w:hint="eastAsia"/>
        </w:rPr>
        <w:t>（3）应用功能清单</w:t>
      </w:r>
    </w:p>
    <w:p w14:paraId="3D185362">
      <w:pPr>
        <w:spacing w:line="360" w:lineRule="auto"/>
        <w:ind w:firstLine="480"/>
      </w:pPr>
      <w:r>
        <w:rPr>
          <w:rFonts w:hint="eastAsia"/>
        </w:rPr>
        <w:t>－采购人认为必要的其他文档，供应商根据实际情况提供，如下：</w:t>
      </w:r>
    </w:p>
    <w:p w14:paraId="7251ABD5">
      <w:pPr>
        <w:pStyle w:val="18"/>
      </w:pPr>
    </w:p>
    <w:p w14:paraId="450CD76F">
      <w:pPr>
        <w:pStyle w:val="18"/>
        <w:spacing w:line="360" w:lineRule="auto"/>
        <w:jc w:val="center"/>
        <w:rPr>
          <w:kern w:val="0"/>
          <w:sz w:val="24"/>
        </w:rPr>
      </w:pPr>
      <w:r>
        <w:rPr>
          <w:rFonts w:hint="eastAsia"/>
          <w:b/>
          <w:bCs/>
          <w:kern w:val="0"/>
          <w:sz w:val="24"/>
        </w:rPr>
        <w:t>信息化项目全过程文档汇总清单</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3"/>
        <w:gridCol w:w="4479"/>
      </w:tblGrid>
      <w:tr w14:paraId="61FD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vAlign w:val="center"/>
          </w:tcPr>
          <w:p w14:paraId="379D0183">
            <w:pPr>
              <w:widowControl/>
              <w:spacing w:line="240" w:lineRule="auto"/>
              <w:ind w:firstLine="0" w:firstLineChars="0"/>
              <w:jc w:val="center"/>
              <w:rPr>
                <w:rFonts w:ascii="Times New Roman" w:hAnsi="Times New Roman"/>
                <w:kern w:val="0"/>
                <w:sz w:val="21"/>
                <w:szCs w:val="21"/>
              </w:rPr>
            </w:pPr>
            <w:r>
              <w:rPr>
                <w:rFonts w:hint="eastAsia" w:ascii="Times New Roman" w:hAnsi="Times New Roman"/>
                <w:kern w:val="0"/>
                <w:sz w:val="21"/>
                <w:szCs w:val="21"/>
              </w:rPr>
              <w:t>文档名称</w:t>
            </w:r>
          </w:p>
        </w:tc>
        <w:tc>
          <w:tcPr>
            <w:tcW w:w="4479" w:type="dxa"/>
            <w:vAlign w:val="center"/>
          </w:tcPr>
          <w:p w14:paraId="60D23329">
            <w:pPr>
              <w:widowControl/>
              <w:spacing w:line="240" w:lineRule="auto"/>
              <w:ind w:firstLine="0" w:firstLineChars="0"/>
              <w:jc w:val="center"/>
              <w:rPr>
                <w:rFonts w:ascii="Times New Roman" w:hAnsi="Times New Roman"/>
                <w:kern w:val="0"/>
                <w:sz w:val="21"/>
                <w:szCs w:val="21"/>
              </w:rPr>
            </w:pPr>
            <w:r>
              <w:rPr>
                <w:rFonts w:hint="eastAsia" w:ascii="Times New Roman" w:hAnsi="Times New Roman"/>
                <w:kern w:val="0"/>
                <w:sz w:val="21"/>
                <w:szCs w:val="21"/>
              </w:rPr>
              <w:t>备注</w:t>
            </w:r>
          </w:p>
        </w:tc>
      </w:tr>
      <w:tr w14:paraId="173F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gridSpan w:val="2"/>
            <w:vAlign w:val="center"/>
          </w:tcPr>
          <w:p w14:paraId="15F61404">
            <w:pPr>
              <w:spacing w:line="240" w:lineRule="auto"/>
              <w:ind w:firstLine="0" w:firstLineChars="0"/>
              <w:jc w:val="center"/>
              <w:rPr>
                <w:rFonts w:ascii="Times New Roman" w:hAnsi="Times New Roman"/>
                <w:sz w:val="21"/>
                <w:szCs w:val="21"/>
              </w:rPr>
            </w:pPr>
            <w:r>
              <w:rPr>
                <w:rFonts w:ascii="Times New Roman" w:hAnsi="Times New Roman"/>
                <w:kern w:val="0"/>
                <w:sz w:val="21"/>
                <w:szCs w:val="21"/>
              </w:rPr>
              <w:t>实施前期阶段</w:t>
            </w:r>
          </w:p>
        </w:tc>
      </w:tr>
      <w:tr w14:paraId="7AEFC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vAlign w:val="center"/>
          </w:tcPr>
          <w:p w14:paraId="68AE7DC8">
            <w:pPr>
              <w:widowControl/>
              <w:spacing w:line="240" w:lineRule="auto"/>
              <w:ind w:firstLine="0" w:firstLineChars="0"/>
              <w:jc w:val="center"/>
              <w:rPr>
                <w:rFonts w:ascii="Times New Roman" w:hAnsi="Times New Roman"/>
                <w:kern w:val="0"/>
                <w:sz w:val="21"/>
                <w:szCs w:val="21"/>
              </w:rPr>
            </w:pPr>
            <w:r>
              <w:rPr>
                <w:rFonts w:ascii="Times New Roman" w:hAnsi="Times New Roman"/>
                <w:kern w:val="0"/>
                <w:sz w:val="21"/>
                <w:szCs w:val="21"/>
              </w:rPr>
              <w:t>工程开工报审、开工报告</w:t>
            </w:r>
          </w:p>
        </w:tc>
        <w:tc>
          <w:tcPr>
            <w:tcW w:w="4479" w:type="dxa"/>
            <w:vAlign w:val="center"/>
          </w:tcPr>
          <w:p w14:paraId="5966ED73">
            <w:pPr>
              <w:widowControl/>
              <w:spacing w:line="240" w:lineRule="auto"/>
              <w:ind w:firstLine="0" w:firstLineChars="0"/>
              <w:jc w:val="left"/>
              <w:rPr>
                <w:rFonts w:ascii="Times New Roman" w:hAnsi="Times New Roman"/>
                <w:kern w:val="0"/>
                <w:sz w:val="21"/>
                <w:szCs w:val="21"/>
              </w:rPr>
            </w:pPr>
            <w:r>
              <w:rPr>
                <w:rFonts w:hint="eastAsia" w:ascii="Times New Roman" w:hAnsi="Times New Roman"/>
                <w:kern w:val="0"/>
                <w:sz w:val="21"/>
                <w:szCs w:val="21"/>
              </w:rPr>
              <w:t>项目概况、前期准备工作情况、单位三证合一、相关资质、项目人员名单、项目人员</w:t>
            </w:r>
            <w:r>
              <w:rPr>
                <w:rFonts w:ascii="Times New Roman" w:hAnsi="Times New Roman"/>
                <w:kern w:val="0"/>
                <w:sz w:val="21"/>
                <w:szCs w:val="21"/>
              </w:rPr>
              <w:t>BM</w:t>
            </w:r>
            <w:r>
              <w:rPr>
                <w:rFonts w:hint="eastAsia" w:ascii="Times New Roman" w:hAnsi="Times New Roman"/>
                <w:kern w:val="0"/>
                <w:sz w:val="21"/>
                <w:szCs w:val="21"/>
              </w:rPr>
              <w:t>承诺书</w:t>
            </w:r>
          </w:p>
        </w:tc>
      </w:tr>
      <w:tr w14:paraId="4D2B5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23" w:type="dxa"/>
            <w:vAlign w:val="center"/>
          </w:tcPr>
          <w:p w14:paraId="6C5A2B0F">
            <w:pPr>
              <w:widowControl/>
              <w:spacing w:line="240" w:lineRule="auto"/>
              <w:ind w:firstLine="0" w:firstLineChars="0"/>
              <w:jc w:val="center"/>
              <w:rPr>
                <w:rFonts w:ascii="Times New Roman" w:hAnsi="Times New Roman"/>
                <w:kern w:val="0"/>
                <w:sz w:val="21"/>
                <w:szCs w:val="21"/>
              </w:rPr>
            </w:pPr>
            <w:r>
              <w:rPr>
                <w:rFonts w:ascii="Times New Roman" w:hAnsi="Times New Roman"/>
                <w:kern w:val="0"/>
                <w:sz w:val="21"/>
                <w:szCs w:val="21"/>
              </w:rPr>
              <w:t>需求分析、确认</w:t>
            </w:r>
          </w:p>
        </w:tc>
        <w:tc>
          <w:tcPr>
            <w:tcW w:w="4479" w:type="dxa"/>
            <w:vAlign w:val="center"/>
          </w:tcPr>
          <w:p w14:paraId="49ED0DBE">
            <w:pPr>
              <w:widowControl/>
              <w:spacing w:line="240" w:lineRule="auto"/>
              <w:ind w:firstLine="0" w:firstLineChars="0"/>
              <w:jc w:val="left"/>
              <w:rPr>
                <w:rFonts w:ascii="Times New Roman" w:hAnsi="Times New Roman"/>
                <w:kern w:val="0"/>
                <w:sz w:val="21"/>
                <w:szCs w:val="21"/>
              </w:rPr>
            </w:pPr>
            <w:r>
              <w:rPr>
                <w:rFonts w:hint="eastAsia" w:ascii="Times New Roman" w:hAnsi="Times New Roman"/>
                <w:kern w:val="0"/>
                <w:sz w:val="21"/>
                <w:szCs w:val="21"/>
              </w:rPr>
              <w:t>项目描述、系统需求概述、系统功能需求</w:t>
            </w:r>
          </w:p>
        </w:tc>
      </w:tr>
      <w:tr w14:paraId="4AB04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gridSpan w:val="2"/>
            <w:vAlign w:val="center"/>
          </w:tcPr>
          <w:p w14:paraId="046B9F0E">
            <w:pPr>
              <w:widowControl/>
              <w:spacing w:line="240" w:lineRule="auto"/>
              <w:ind w:firstLine="0" w:firstLineChars="0"/>
              <w:jc w:val="center"/>
              <w:rPr>
                <w:rFonts w:ascii="Times New Roman" w:hAnsi="Times New Roman"/>
                <w:kern w:val="0"/>
                <w:sz w:val="21"/>
                <w:szCs w:val="21"/>
              </w:rPr>
            </w:pPr>
            <w:r>
              <w:rPr>
                <w:rFonts w:ascii="Times New Roman" w:hAnsi="Times New Roman"/>
                <w:kern w:val="0"/>
                <w:sz w:val="21"/>
                <w:szCs w:val="21"/>
              </w:rPr>
              <w:t>软件设计阶段</w:t>
            </w:r>
          </w:p>
        </w:tc>
      </w:tr>
      <w:tr w14:paraId="35BC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vAlign w:val="center"/>
          </w:tcPr>
          <w:p w14:paraId="6D700B1F">
            <w:pPr>
              <w:widowControl/>
              <w:spacing w:line="240" w:lineRule="auto"/>
              <w:ind w:firstLine="0" w:firstLineChars="0"/>
              <w:jc w:val="center"/>
              <w:rPr>
                <w:rFonts w:ascii="Times New Roman" w:hAnsi="Times New Roman"/>
                <w:kern w:val="0"/>
                <w:sz w:val="21"/>
                <w:szCs w:val="21"/>
              </w:rPr>
            </w:pPr>
            <w:r>
              <w:rPr>
                <w:rFonts w:ascii="Times New Roman" w:hAnsi="Times New Roman"/>
                <w:kern w:val="0"/>
                <w:sz w:val="21"/>
                <w:szCs w:val="21"/>
              </w:rPr>
              <w:t>设计开发（编码）计划</w:t>
            </w:r>
          </w:p>
        </w:tc>
        <w:tc>
          <w:tcPr>
            <w:tcW w:w="4479" w:type="dxa"/>
            <w:vAlign w:val="center"/>
          </w:tcPr>
          <w:p w14:paraId="74EB5F09">
            <w:pPr>
              <w:widowControl/>
              <w:spacing w:line="240" w:lineRule="auto"/>
              <w:ind w:firstLine="0" w:firstLineChars="0"/>
              <w:jc w:val="left"/>
              <w:rPr>
                <w:rFonts w:ascii="Times New Roman" w:hAnsi="Times New Roman"/>
                <w:kern w:val="0"/>
                <w:sz w:val="21"/>
                <w:szCs w:val="21"/>
              </w:rPr>
            </w:pPr>
            <w:r>
              <w:rPr>
                <w:rFonts w:hint="eastAsia" w:ascii="Times New Roman" w:hAnsi="Times New Roman"/>
                <w:kern w:val="0"/>
                <w:sz w:val="21"/>
                <w:szCs w:val="21"/>
              </w:rPr>
              <w:t>各模块开发时间、人员安排、可系统演示的节点</w:t>
            </w:r>
          </w:p>
        </w:tc>
      </w:tr>
      <w:tr w14:paraId="326AD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vAlign w:val="center"/>
          </w:tcPr>
          <w:p w14:paraId="527D3A77">
            <w:pPr>
              <w:widowControl/>
              <w:spacing w:line="240" w:lineRule="auto"/>
              <w:ind w:firstLine="0" w:firstLineChars="0"/>
              <w:jc w:val="center"/>
              <w:rPr>
                <w:rFonts w:ascii="Times New Roman" w:hAnsi="Times New Roman"/>
                <w:kern w:val="0"/>
                <w:sz w:val="21"/>
                <w:szCs w:val="21"/>
              </w:rPr>
            </w:pPr>
            <w:r>
              <w:rPr>
                <w:rFonts w:ascii="Times New Roman" w:hAnsi="Times New Roman"/>
                <w:kern w:val="0"/>
                <w:sz w:val="21"/>
                <w:szCs w:val="21"/>
              </w:rPr>
              <w:t>开发量考核</w:t>
            </w:r>
          </w:p>
        </w:tc>
        <w:tc>
          <w:tcPr>
            <w:tcW w:w="4479" w:type="dxa"/>
            <w:vAlign w:val="center"/>
          </w:tcPr>
          <w:p w14:paraId="63BBC0B6">
            <w:pPr>
              <w:widowControl/>
              <w:spacing w:line="240" w:lineRule="auto"/>
              <w:ind w:firstLine="0" w:firstLineChars="0"/>
              <w:jc w:val="left"/>
              <w:rPr>
                <w:rFonts w:ascii="Times New Roman" w:hAnsi="Times New Roman"/>
                <w:kern w:val="0"/>
                <w:sz w:val="21"/>
                <w:szCs w:val="21"/>
              </w:rPr>
            </w:pPr>
            <w:r>
              <w:rPr>
                <w:rFonts w:hint="eastAsia" w:ascii="Times New Roman" w:hAnsi="Times New Roman"/>
                <w:kern w:val="0"/>
                <w:sz w:val="21"/>
                <w:szCs w:val="21"/>
              </w:rPr>
              <w:t>人员考勤</w:t>
            </w:r>
          </w:p>
        </w:tc>
      </w:tr>
      <w:tr w14:paraId="29CE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23" w:type="dxa"/>
            <w:vAlign w:val="center"/>
          </w:tcPr>
          <w:p w14:paraId="63BFA9EC">
            <w:pPr>
              <w:widowControl/>
              <w:spacing w:line="240" w:lineRule="auto"/>
              <w:ind w:firstLine="0" w:firstLineChars="0"/>
              <w:jc w:val="center"/>
              <w:rPr>
                <w:rFonts w:ascii="Times New Roman" w:hAnsi="Times New Roman"/>
                <w:kern w:val="0"/>
                <w:sz w:val="21"/>
                <w:szCs w:val="21"/>
              </w:rPr>
            </w:pPr>
            <w:r>
              <w:rPr>
                <w:rFonts w:ascii="Times New Roman" w:hAnsi="Times New Roman"/>
                <w:kern w:val="0"/>
                <w:sz w:val="21"/>
                <w:szCs w:val="21"/>
              </w:rPr>
              <w:t>概要设计说明书</w:t>
            </w:r>
          </w:p>
        </w:tc>
        <w:tc>
          <w:tcPr>
            <w:tcW w:w="4479" w:type="dxa"/>
            <w:vAlign w:val="center"/>
          </w:tcPr>
          <w:p w14:paraId="1143603E">
            <w:pPr>
              <w:widowControl/>
              <w:spacing w:line="240" w:lineRule="auto"/>
              <w:ind w:firstLine="0" w:firstLineChars="0"/>
              <w:jc w:val="left"/>
              <w:rPr>
                <w:rFonts w:ascii="Times New Roman" w:hAnsi="Times New Roman"/>
                <w:kern w:val="0"/>
                <w:sz w:val="21"/>
                <w:szCs w:val="21"/>
              </w:rPr>
            </w:pPr>
            <w:r>
              <w:rPr>
                <w:rFonts w:hint="eastAsia" w:ascii="Times New Roman" w:hAnsi="Times New Roman"/>
                <w:kern w:val="0"/>
                <w:sz w:val="21"/>
                <w:szCs w:val="21"/>
              </w:rPr>
              <w:t>概要设计评审（含总体设计、接口设计、应用系统设计）</w:t>
            </w:r>
          </w:p>
        </w:tc>
      </w:tr>
      <w:tr w14:paraId="74341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vAlign w:val="center"/>
          </w:tcPr>
          <w:p w14:paraId="0EA160F2">
            <w:pPr>
              <w:widowControl/>
              <w:spacing w:line="240" w:lineRule="auto"/>
              <w:ind w:firstLine="0" w:firstLineChars="0"/>
              <w:jc w:val="center"/>
              <w:rPr>
                <w:rFonts w:ascii="Times New Roman" w:hAnsi="Times New Roman"/>
                <w:kern w:val="0"/>
                <w:sz w:val="21"/>
                <w:szCs w:val="21"/>
              </w:rPr>
            </w:pPr>
            <w:r>
              <w:rPr>
                <w:rFonts w:ascii="Times New Roman" w:hAnsi="Times New Roman"/>
                <w:kern w:val="0"/>
                <w:sz w:val="21"/>
                <w:szCs w:val="21"/>
              </w:rPr>
              <w:t>详细设计说明书</w:t>
            </w:r>
          </w:p>
        </w:tc>
        <w:tc>
          <w:tcPr>
            <w:tcW w:w="4479" w:type="dxa"/>
            <w:vAlign w:val="center"/>
          </w:tcPr>
          <w:p w14:paraId="67C367B8">
            <w:pPr>
              <w:widowControl/>
              <w:spacing w:line="240" w:lineRule="auto"/>
              <w:ind w:firstLine="0" w:firstLineChars="0"/>
              <w:jc w:val="left"/>
              <w:rPr>
                <w:rFonts w:ascii="Times New Roman" w:hAnsi="Times New Roman"/>
                <w:kern w:val="0"/>
                <w:sz w:val="21"/>
                <w:szCs w:val="21"/>
              </w:rPr>
            </w:pPr>
            <w:r>
              <w:rPr>
                <w:rFonts w:hint="eastAsia" w:ascii="Times New Roman" w:hAnsi="Times New Roman"/>
                <w:kern w:val="0"/>
                <w:sz w:val="21"/>
                <w:szCs w:val="21"/>
              </w:rPr>
              <w:t>详细设计评审（含系统概述、系统环境、功能模块设计、代码设计）</w:t>
            </w:r>
          </w:p>
        </w:tc>
      </w:tr>
      <w:tr w14:paraId="07C65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vAlign w:val="center"/>
          </w:tcPr>
          <w:p w14:paraId="6D11F912">
            <w:pPr>
              <w:widowControl/>
              <w:spacing w:line="240" w:lineRule="auto"/>
              <w:ind w:firstLine="0" w:firstLineChars="0"/>
              <w:jc w:val="center"/>
              <w:rPr>
                <w:rFonts w:ascii="Times New Roman" w:hAnsi="Times New Roman"/>
                <w:kern w:val="0"/>
                <w:sz w:val="21"/>
                <w:szCs w:val="21"/>
              </w:rPr>
            </w:pPr>
            <w:r>
              <w:rPr>
                <w:rFonts w:ascii="Times New Roman" w:hAnsi="Times New Roman"/>
                <w:kern w:val="0"/>
                <w:sz w:val="21"/>
                <w:szCs w:val="21"/>
              </w:rPr>
              <w:t>数据库结构设计说明书</w:t>
            </w:r>
          </w:p>
        </w:tc>
        <w:tc>
          <w:tcPr>
            <w:tcW w:w="4479" w:type="dxa"/>
            <w:vAlign w:val="center"/>
          </w:tcPr>
          <w:p w14:paraId="31784CE8">
            <w:pPr>
              <w:widowControl/>
              <w:spacing w:line="240" w:lineRule="auto"/>
              <w:ind w:firstLine="0" w:firstLineChars="0"/>
              <w:jc w:val="left"/>
              <w:rPr>
                <w:rFonts w:ascii="Times New Roman" w:hAnsi="Times New Roman"/>
                <w:kern w:val="0"/>
                <w:sz w:val="21"/>
                <w:szCs w:val="21"/>
              </w:rPr>
            </w:pPr>
            <w:r>
              <w:rPr>
                <w:rFonts w:hint="eastAsia" w:ascii="Times New Roman" w:hAnsi="Times New Roman"/>
                <w:kern w:val="0"/>
                <w:sz w:val="21"/>
                <w:szCs w:val="21"/>
              </w:rPr>
              <w:t>数据库整体描述、</w:t>
            </w:r>
            <w:r>
              <w:rPr>
                <w:rFonts w:ascii="Times New Roman" w:hAnsi="Times New Roman"/>
                <w:kern w:val="0"/>
                <w:sz w:val="21"/>
                <w:szCs w:val="21"/>
              </w:rPr>
              <w:t>E-R</w:t>
            </w:r>
            <w:r>
              <w:rPr>
                <w:rFonts w:hint="eastAsia" w:ascii="Times New Roman" w:hAnsi="Times New Roman"/>
                <w:kern w:val="0"/>
                <w:sz w:val="21"/>
                <w:szCs w:val="21"/>
              </w:rPr>
              <w:t>图或表关系、系统基本表、外部数据需求、数据归集方式选择等</w:t>
            </w:r>
          </w:p>
        </w:tc>
      </w:tr>
      <w:tr w14:paraId="6A58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gridSpan w:val="2"/>
            <w:vAlign w:val="center"/>
          </w:tcPr>
          <w:p w14:paraId="2EB931E9">
            <w:pPr>
              <w:widowControl/>
              <w:spacing w:line="240" w:lineRule="auto"/>
              <w:ind w:firstLine="0" w:firstLineChars="0"/>
              <w:jc w:val="center"/>
              <w:rPr>
                <w:rFonts w:ascii="Times New Roman" w:hAnsi="Times New Roman"/>
                <w:kern w:val="0"/>
                <w:sz w:val="21"/>
                <w:szCs w:val="21"/>
              </w:rPr>
            </w:pPr>
            <w:r>
              <w:rPr>
                <w:rFonts w:ascii="Times New Roman" w:hAnsi="Times New Roman"/>
                <w:kern w:val="0"/>
                <w:sz w:val="21"/>
                <w:szCs w:val="21"/>
              </w:rPr>
              <w:t>实施阶段</w:t>
            </w:r>
          </w:p>
        </w:tc>
      </w:tr>
      <w:tr w14:paraId="23750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23" w:type="dxa"/>
            <w:vAlign w:val="center"/>
          </w:tcPr>
          <w:p w14:paraId="2C77E5ED">
            <w:pPr>
              <w:widowControl/>
              <w:spacing w:line="240" w:lineRule="auto"/>
              <w:ind w:firstLine="0" w:firstLineChars="0"/>
              <w:jc w:val="center"/>
              <w:rPr>
                <w:rFonts w:ascii="Times New Roman" w:hAnsi="Times New Roman"/>
                <w:kern w:val="0"/>
                <w:sz w:val="21"/>
                <w:szCs w:val="21"/>
              </w:rPr>
            </w:pPr>
            <w:r>
              <w:rPr>
                <w:rFonts w:ascii="Times New Roman" w:hAnsi="Times New Roman"/>
                <w:kern w:val="0"/>
                <w:sz w:val="21"/>
                <w:szCs w:val="21"/>
              </w:rPr>
              <w:t>总体实施方案</w:t>
            </w:r>
          </w:p>
        </w:tc>
        <w:tc>
          <w:tcPr>
            <w:tcW w:w="4479" w:type="dxa"/>
            <w:vAlign w:val="center"/>
          </w:tcPr>
          <w:p w14:paraId="566AE866">
            <w:pPr>
              <w:widowControl/>
              <w:spacing w:line="240" w:lineRule="auto"/>
              <w:ind w:firstLine="0" w:firstLineChars="0"/>
              <w:jc w:val="left"/>
              <w:rPr>
                <w:rFonts w:ascii="Times New Roman" w:hAnsi="Times New Roman"/>
                <w:kern w:val="0"/>
                <w:sz w:val="21"/>
                <w:szCs w:val="21"/>
              </w:rPr>
            </w:pPr>
            <w:r>
              <w:rPr>
                <w:rFonts w:hint="eastAsia" w:ascii="Times New Roman" w:hAnsi="Times New Roman"/>
                <w:kern w:val="0"/>
                <w:sz w:val="21"/>
                <w:szCs w:val="21"/>
              </w:rPr>
              <w:t>/</w:t>
            </w:r>
          </w:p>
        </w:tc>
      </w:tr>
      <w:tr w14:paraId="53633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vAlign w:val="center"/>
          </w:tcPr>
          <w:p w14:paraId="7084AD03">
            <w:pPr>
              <w:widowControl/>
              <w:spacing w:line="240" w:lineRule="auto"/>
              <w:ind w:firstLine="0" w:firstLineChars="0"/>
              <w:jc w:val="center"/>
              <w:rPr>
                <w:rFonts w:ascii="Times New Roman" w:hAnsi="Times New Roman"/>
                <w:kern w:val="0"/>
                <w:sz w:val="21"/>
                <w:szCs w:val="21"/>
              </w:rPr>
            </w:pPr>
            <w:r>
              <w:rPr>
                <w:rFonts w:ascii="Times New Roman" w:hAnsi="Times New Roman"/>
                <w:kern w:val="0"/>
                <w:sz w:val="21"/>
                <w:szCs w:val="21"/>
              </w:rPr>
              <w:t>项目实施方案报审</w:t>
            </w:r>
          </w:p>
        </w:tc>
        <w:tc>
          <w:tcPr>
            <w:tcW w:w="4479" w:type="dxa"/>
            <w:vAlign w:val="center"/>
          </w:tcPr>
          <w:p w14:paraId="6DE7013D">
            <w:pPr>
              <w:widowControl/>
              <w:spacing w:line="240" w:lineRule="auto"/>
              <w:ind w:firstLine="0" w:firstLineChars="0"/>
              <w:jc w:val="left"/>
              <w:rPr>
                <w:rFonts w:ascii="Times New Roman" w:hAnsi="Times New Roman"/>
                <w:kern w:val="0"/>
                <w:sz w:val="21"/>
                <w:szCs w:val="21"/>
              </w:rPr>
            </w:pPr>
            <w:r>
              <w:rPr>
                <w:rFonts w:hint="eastAsia" w:ascii="Times New Roman" w:hAnsi="Times New Roman"/>
                <w:kern w:val="0"/>
                <w:sz w:val="21"/>
                <w:szCs w:val="21"/>
              </w:rPr>
              <w:t>/</w:t>
            </w:r>
          </w:p>
        </w:tc>
      </w:tr>
      <w:tr w14:paraId="4CF2C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vAlign w:val="center"/>
          </w:tcPr>
          <w:p w14:paraId="5F583236">
            <w:pPr>
              <w:widowControl/>
              <w:spacing w:line="240" w:lineRule="auto"/>
              <w:ind w:firstLine="0" w:firstLineChars="0"/>
              <w:jc w:val="center"/>
              <w:rPr>
                <w:rFonts w:ascii="Times New Roman" w:hAnsi="Times New Roman"/>
                <w:kern w:val="0"/>
                <w:sz w:val="21"/>
                <w:szCs w:val="21"/>
              </w:rPr>
            </w:pPr>
            <w:r>
              <w:rPr>
                <w:rFonts w:ascii="Times New Roman" w:hAnsi="Times New Roman"/>
                <w:kern w:val="0"/>
                <w:sz w:val="21"/>
                <w:szCs w:val="21"/>
              </w:rPr>
              <w:t>实施计划</w:t>
            </w:r>
          </w:p>
        </w:tc>
        <w:tc>
          <w:tcPr>
            <w:tcW w:w="4479" w:type="dxa"/>
            <w:vAlign w:val="center"/>
          </w:tcPr>
          <w:p w14:paraId="7F19D6F4">
            <w:pPr>
              <w:widowControl/>
              <w:spacing w:line="240" w:lineRule="auto"/>
              <w:ind w:firstLine="0" w:firstLineChars="0"/>
              <w:jc w:val="left"/>
              <w:rPr>
                <w:rFonts w:ascii="Times New Roman" w:hAnsi="Times New Roman"/>
                <w:kern w:val="0"/>
                <w:sz w:val="21"/>
                <w:szCs w:val="21"/>
              </w:rPr>
            </w:pPr>
            <w:r>
              <w:rPr>
                <w:rFonts w:hint="eastAsia" w:ascii="Times New Roman" w:hAnsi="Times New Roman"/>
                <w:kern w:val="0"/>
                <w:sz w:val="21"/>
                <w:szCs w:val="21"/>
              </w:rPr>
              <w:t>软件开发，系统测试，试运行计划等</w:t>
            </w:r>
          </w:p>
        </w:tc>
      </w:tr>
      <w:tr w14:paraId="38895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vAlign w:val="center"/>
          </w:tcPr>
          <w:p w14:paraId="29B3D639">
            <w:pPr>
              <w:widowControl/>
              <w:spacing w:line="240" w:lineRule="auto"/>
              <w:ind w:firstLine="0" w:firstLineChars="0"/>
              <w:jc w:val="center"/>
              <w:rPr>
                <w:rFonts w:ascii="Times New Roman" w:hAnsi="Times New Roman"/>
                <w:kern w:val="0"/>
                <w:sz w:val="21"/>
                <w:szCs w:val="21"/>
              </w:rPr>
            </w:pPr>
            <w:r>
              <w:rPr>
                <w:rFonts w:ascii="Times New Roman" w:hAnsi="Times New Roman"/>
                <w:kern w:val="0"/>
                <w:sz w:val="21"/>
                <w:szCs w:val="21"/>
              </w:rPr>
              <w:t>系统集成方案</w:t>
            </w:r>
          </w:p>
        </w:tc>
        <w:tc>
          <w:tcPr>
            <w:tcW w:w="4479" w:type="dxa"/>
            <w:vAlign w:val="center"/>
          </w:tcPr>
          <w:p w14:paraId="51CF5BA4">
            <w:pPr>
              <w:widowControl/>
              <w:spacing w:line="240" w:lineRule="auto"/>
              <w:ind w:firstLine="0" w:firstLineChars="0"/>
              <w:jc w:val="left"/>
              <w:rPr>
                <w:rFonts w:ascii="Times New Roman" w:hAnsi="Times New Roman"/>
                <w:kern w:val="0"/>
                <w:sz w:val="21"/>
                <w:szCs w:val="21"/>
              </w:rPr>
            </w:pPr>
            <w:r>
              <w:rPr>
                <w:rFonts w:hint="eastAsia" w:ascii="Times New Roman" w:hAnsi="Times New Roman"/>
                <w:kern w:val="0"/>
                <w:sz w:val="21"/>
                <w:szCs w:val="21"/>
              </w:rPr>
              <w:t>含系统前期规划，人员配置、系统架构、网络端口地址、配置等</w:t>
            </w:r>
          </w:p>
        </w:tc>
      </w:tr>
      <w:tr w14:paraId="7F7B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23" w:type="dxa"/>
            <w:vAlign w:val="center"/>
          </w:tcPr>
          <w:p w14:paraId="6890EDB1">
            <w:pPr>
              <w:widowControl/>
              <w:spacing w:line="240" w:lineRule="auto"/>
              <w:ind w:firstLine="0" w:firstLineChars="0"/>
              <w:jc w:val="center"/>
              <w:rPr>
                <w:rFonts w:ascii="Times New Roman" w:hAnsi="Times New Roman"/>
                <w:kern w:val="0"/>
                <w:sz w:val="21"/>
                <w:szCs w:val="21"/>
              </w:rPr>
            </w:pPr>
            <w:r>
              <w:rPr>
                <w:rFonts w:ascii="Times New Roman" w:hAnsi="Times New Roman"/>
                <w:kern w:val="0"/>
                <w:sz w:val="21"/>
                <w:szCs w:val="21"/>
              </w:rPr>
              <w:t>项目变更报审</w:t>
            </w:r>
          </w:p>
        </w:tc>
        <w:tc>
          <w:tcPr>
            <w:tcW w:w="4479" w:type="dxa"/>
            <w:vAlign w:val="center"/>
          </w:tcPr>
          <w:p w14:paraId="0D4659F0">
            <w:pPr>
              <w:widowControl/>
              <w:spacing w:line="240" w:lineRule="auto"/>
              <w:ind w:firstLine="0" w:firstLineChars="0"/>
              <w:jc w:val="left"/>
              <w:rPr>
                <w:rFonts w:ascii="Times New Roman" w:hAnsi="Times New Roman"/>
                <w:kern w:val="0"/>
                <w:sz w:val="21"/>
                <w:szCs w:val="21"/>
              </w:rPr>
            </w:pPr>
            <w:r>
              <w:rPr>
                <w:rFonts w:hint="eastAsia" w:ascii="Times New Roman" w:hAnsi="Times New Roman"/>
                <w:kern w:val="0"/>
                <w:sz w:val="21"/>
                <w:szCs w:val="21"/>
              </w:rPr>
              <w:t>按实际情况提供（含变更说明及清单，需求变更需说明情况）</w:t>
            </w:r>
          </w:p>
        </w:tc>
      </w:tr>
      <w:tr w14:paraId="0DAC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vAlign w:val="center"/>
          </w:tcPr>
          <w:p w14:paraId="6BB6EB9F">
            <w:pPr>
              <w:widowControl/>
              <w:spacing w:line="240" w:lineRule="auto"/>
              <w:ind w:firstLine="0" w:firstLineChars="0"/>
              <w:jc w:val="center"/>
              <w:rPr>
                <w:rFonts w:ascii="Times New Roman" w:hAnsi="Times New Roman"/>
                <w:kern w:val="0"/>
                <w:sz w:val="21"/>
                <w:szCs w:val="21"/>
              </w:rPr>
            </w:pPr>
            <w:r>
              <w:rPr>
                <w:rFonts w:hint="eastAsia" w:ascii="Times New Roman" w:hAnsi="Times New Roman"/>
                <w:kern w:val="0"/>
                <w:sz w:val="21"/>
                <w:szCs w:val="21"/>
              </w:rPr>
              <w:t>项目阶段性报告</w:t>
            </w:r>
          </w:p>
        </w:tc>
        <w:tc>
          <w:tcPr>
            <w:tcW w:w="4479" w:type="dxa"/>
            <w:vAlign w:val="center"/>
          </w:tcPr>
          <w:p w14:paraId="6B08E358">
            <w:pPr>
              <w:widowControl/>
              <w:spacing w:line="240" w:lineRule="auto"/>
              <w:ind w:firstLine="0" w:firstLineChars="0"/>
              <w:jc w:val="left"/>
              <w:rPr>
                <w:rFonts w:ascii="Times New Roman" w:hAnsi="Times New Roman"/>
                <w:kern w:val="0"/>
                <w:sz w:val="21"/>
                <w:szCs w:val="21"/>
              </w:rPr>
            </w:pPr>
            <w:r>
              <w:rPr>
                <w:rFonts w:hint="eastAsia" w:ascii="Times New Roman" w:hAnsi="Times New Roman"/>
                <w:kern w:val="0"/>
                <w:sz w:val="21"/>
                <w:szCs w:val="21"/>
              </w:rPr>
              <w:t>/　</w:t>
            </w:r>
          </w:p>
        </w:tc>
      </w:tr>
      <w:tr w14:paraId="37A57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vAlign w:val="center"/>
          </w:tcPr>
          <w:p w14:paraId="29A9C085">
            <w:pPr>
              <w:widowControl/>
              <w:spacing w:line="240" w:lineRule="auto"/>
              <w:ind w:firstLine="0" w:firstLineChars="0"/>
              <w:jc w:val="center"/>
              <w:rPr>
                <w:rFonts w:ascii="Times New Roman" w:hAnsi="Times New Roman"/>
                <w:kern w:val="0"/>
                <w:sz w:val="21"/>
                <w:szCs w:val="21"/>
              </w:rPr>
            </w:pPr>
            <w:r>
              <w:rPr>
                <w:rFonts w:ascii="Times New Roman" w:hAnsi="Times New Roman"/>
                <w:kern w:val="0"/>
                <w:sz w:val="21"/>
                <w:szCs w:val="21"/>
              </w:rPr>
              <w:t>系统维护手册</w:t>
            </w:r>
          </w:p>
        </w:tc>
        <w:tc>
          <w:tcPr>
            <w:tcW w:w="4479" w:type="dxa"/>
            <w:vAlign w:val="center"/>
          </w:tcPr>
          <w:p w14:paraId="7558BCF0">
            <w:pPr>
              <w:widowControl/>
              <w:spacing w:line="240" w:lineRule="auto"/>
              <w:ind w:firstLine="0" w:firstLineChars="0"/>
              <w:jc w:val="left"/>
              <w:rPr>
                <w:rFonts w:ascii="Times New Roman" w:hAnsi="Times New Roman"/>
                <w:kern w:val="0"/>
                <w:sz w:val="21"/>
                <w:szCs w:val="21"/>
              </w:rPr>
            </w:pPr>
            <w:r>
              <w:rPr>
                <w:rFonts w:hint="eastAsia" w:ascii="Times New Roman" w:hAnsi="Times New Roman"/>
                <w:kern w:val="0"/>
                <w:sz w:val="21"/>
                <w:szCs w:val="21"/>
              </w:rPr>
              <w:t>/　</w:t>
            </w:r>
          </w:p>
        </w:tc>
      </w:tr>
      <w:tr w14:paraId="5CF54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vAlign w:val="center"/>
          </w:tcPr>
          <w:p w14:paraId="10D2B495">
            <w:pPr>
              <w:widowControl/>
              <w:spacing w:line="240" w:lineRule="auto"/>
              <w:ind w:firstLine="0" w:firstLineChars="0"/>
              <w:jc w:val="center"/>
              <w:rPr>
                <w:rFonts w:ascii="Times New Roman" w:hAnsi="Times New Roman"/>
                <w:kern w:val="0"/>
                <w:sz w:val="21"/>
                <w:szCs w:val="21"/>
              </w:rPr>
            </w:pPr>
            <w:r>
              <w:rPr>
                <w:rFonts w:ascii="Times New Roman" w:hAnsi="Times New Roman"/>
                <w:kern w:val="0"/>
                <w:sz w:val="21"/>
                <w:szCs w:val="21"/>
              </w:rPr>
              <w:t>系统上线保障方案</w:t>
            </w:r>
          </w:p>
        </w:tc>
        <w:tc>
          <w:tcPr>
            <w:tcW w:w="4479" w:type="dxa"/>
            <w:vAlign w:val="center"/>
          </w:tcPr>
          <w:p w14:paraId="29F8128A">
            <w:pPr>
              <w:widowControl/>
              <w:spacing w:line="240" w:lineRule="auto"/>
              <w:ind w:firstLine="0" w:firstLineChars="0"/>
              <w:jc w:val="left"/>
              <w:rPr>
                <w:rFonts w:ascii="Times New Roman" w:hAnsi="Times New Roman"/>
                <w:kern w:val="0"/>
                <w:sz w:val="21"/>
                <w:szCs w:val="21"/>
              </w:rPr>
            </w:pPr>
            <w:r>
              <w:rPr>
                <w:rFonts w:hint="eastAsia" w:ascii="Times New Roman" w:hAnsi="Times New Roman"/>
                <w:kern w:val="0"/>
                <w:sz w:val="21"/>
                <w:szCs w:val="21"/>
              </w:rPr>
              <w:t>方案适用范围、保障措施、保障流程、人员分配</w:t>
            </w:r>
          </w:p>
        </w:tc>
      </w:tr>
      <w:tr w14:paraId="0D46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23" w:type="dxa"/>
            <w:vAlign w:val="center"/>
          </w:tcPr>
          <w:p w14:paraId="3D689AC2">
            <w:pPr>
              <w:widowControl/>
              <w:spacing w:line="240" w:lineRule="auto"/>
              <w:ind w:firstLine="0" w:firstLineChars="0"/>
              <w:jc w:val="center"/>
              <w:rPr>
                <w:rFonts w:ascii="Times New Roman" w:hAnsi="Times New Roman"/>
                <w:kern w:val="0"/>
                <w:sz w:val="21"/>
                <w:szCs w:val="21"/>
              </w:rPr>
            </w:pPr>
            <w:r>
              <w:rPr>
                <w:rFonts w:ascii="Times New Roman" w:hAnsi="Times New Roman"/>
                <w:kern w:val="0"/>
                <w:sz w:val="21"/>
                <w:szCs w:val="21"/>
              </w:rPr>
              <w:t>应急预案</w:t>
            </w:r>
          </w:p>
        </w:tc>
        <w:tc>
          <w:tcPr>
            <w:tcW w:w="4479" w:type="dxa"/>
            <w:vAlign w:val="center"/>
          </w:tcPr>
          <w:p w14:paraId="4392EC45">
            <w:pPr>
              <w:widowControl/>
              <w:spacing w:line="240" w:lineRule="auto"/>
              <w:ind w:firstLine="0" w:firstLineChars="0"/>
              <w:jc w:val="left"/>
              <w:rPr>
                <w:rFonts w:ascii="Times New Roman" w:hAnsi="Times New Roman"/>
                <w:kern w:val="0"/>
                <w:sz w:val="21"/>
                <w:szCs w:val="21"/>
              </w:rPr>
            </w:pPr>
            <w:r>
              <w:rPr>
                <w:rFonts w:hint="eastAsia" w:ascii="Times New Roman" w:hAnsi="Times New Roman"/>
                <w:kern w:val="0"/>
                <w:sz w:val="21"/>
                <w:szCs w:val="21"/>
              </w:rPr>
              <w:t>/　</w:t>
            </w:r>
          </w:p>
        </w:tc>
      </w:tr>
      <w:tr w14:paraId="4E8D6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vAlign w:val="center"/>
          </w:tcPr>
          <w:p w14:paraId="2B01C2C4">
            <w:pPr>
              <w:widowControl/>
              <w:spacing w:line="240" w:lineRule="auto"/>
              <w:ind w:firstLine="0" w:firstLineChars="0"/>
              <w:jc w:val="center"/>
              <w:rPr>
                <w:rFonts w:ascii="Times New Roman" w:hAnsi="Times New Roman"/>
                <w:kern w:val="0"/>
                <w:sz w:val="21"/>
                <w:szCs w:val="21"/>
              </w:rPr>
            </w:pPr>
            <w:r>
              <w:rPr>
                <w:rFonts w:ascii="Times New Roman" w:hAnsi="Times New Roman"/>
                <w:kern w:val="0"/>
                <w:sz w:val="21"/>
                <w:szCs w:val="21"/>
              </w:rPr>
              <w:t>测试方案、测试记录、测试报告</w:t>
            </w:r>
          </w:p>
        </w:tc>
        <w:tc>
          <w:tcPr>
            <w:tcW w:w="4479" w:type="dxa"/>
            <w:vAlign w:val="center"/>
          </w:tcPr>
          <w:p w14:paraId="236AAC2A">
            <w:pPr>
              <w:widowControl/>
              <w:spacing w:line="240" w:lineRule="auto"/>
              <w:ind w:firstLine="0" w:firstLineChars="0"/>
              <w:jc w:val="left"/>
              <w:rPr>
                <w:rFonts w:ascii="Times New Roman" w:hAnsi="Times New Roman"/>
                <w:kern w:val="0"/>
                <w:sz w:val="21"/>
                <w:szCs w:val="21"/>
              </w:rPr>
            </w:pPr>
            <w:r>
              <w:rPr>
                <w:rFonts w:hint="eastAsia" w:ascii="Times New Roman" w:hAnsi="Times New Roman"/>
                <w:kern w:val="0"/>
                <w:sz w:val="21"/>
                <w:szCs w:val="21"/>
              </w:rPr>
              <w:t>含测试环境、浏览器、目标、测试角色、测试地址、流程、内容、人员安排、问题记录等</w:t>
            </w:r>
          </w:p>
        </w:tc>
      </w:tr>
      <w:tr w14:paraId="63BC1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vAlign w:val="center"/>
          </w:tcPr>
          <w:p w14:paraId="0A6A6232">
            <w:pPr>
              <w:widowControl/>
              <w:spacing w:line="240" w:lineRule="auto"/>
              <w:ind w:firstLine="0" w:firstLineChars="0"/>
              <w:jc w:val="center"/>
              <w:rPr>
                <w:rFonts w:ascii="Times New Roman" w:hAnsi="Times New Roman"/>
                <w:kern w:val="0"/>
                <w:sz w:val="21"/>
                <w:szCs w:val="21"/>
              </w:rPr>
            </w:pPr>
            <w:r>
              <w:rPr>
                <w:rFonts w:ascii="Times New Roman" w:hAnsi="Times New Roman"/>
                <w:kern w:val="0"/>
                <w:sz w:val="21"/>
                <w:szCs w:val="21"/>
              </w:rPr>
              <w:t>培训材料</w:t>
            </w:r>
          </w:p>
        </w:tc>
        <w:tc>
          <w:tcPr>
            <w:tcW w:w="4479" w:type="dxa"/>
            <w:vAlign w:val="center"/>
          </w:tcPr>
          <w:p w14:paraId="272BE649">
            <w:pPr>
              <w:widowControl/>
              <w:spacing w:line="240" w:lineRule="auto"/>
              <w:ind w:firstLine="0" w:firstLineChars="0"/>
              <w:jc w:val="left"/>
              <w:rPr>
                <w:rFonts w:ascii="Times New Roman" w:hAnsi="Times New Roman"/>
                <w:kern w:val="0"/>
                <w:sz w:val="21"/>
                <w:szCs w:val="21"/>
              </w:rPr>
            </w:pPr>
            <w:r>
              <w:rPr>
                <w:rFonts w:hint="eastAsia" w:ascii="Times New Roman" w:hAnsi="Times New Roman"/>
                <w:kern w:val="0"/>
                <w:sz w:val="21"/>
                <w:szCs w:val="21"/>
              </w:rPr>
              <w:t>含培训手册、培训签到、培训内容讲义、培训反馈记录表等</w:t>
            </w:r>
          </w:p>
        </w:tc>
      </w:tr>
      <w:tr w14:paraId="5700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3823" w:type="dxa"/>
            <w:vAlign w:val="center"/>
          </w:tcPr>
          <w:p w14:paraId="1F58EBF8">
            <w:pPr>
              <w:widowControl/>
              <w:spacing w:line="240" w:lineRule="auto"/>
              <w:ind w:firstLine="0" w:firstLineChars="0"/>
              <w:jc w:val="center"/>
              <w:rPr>
                <w:rFonts w:ascii="Times New Roman" w:hAnsi="Times New Roman"/>
                <w:kern w:val="0"/>
                <w:sz w:val="21"/>
                <w:szCs w:val="21"/>
              </w:rPr>
            </w:pPr>
            <w:r>
              <w:rPr>
                <w:rFonts w:ascii="Times New Roman" w:hAnsi="Times New Roman"/>
                <w:kern w:val="0"/>
                <w:sz w:val="21"/>
                <w:szCs w:val="21"/>
              </w:rPr>
              <w:t>试运行方案、试运行记录、试运行报告</w:t>
            </w:r>
          </w:p>
        </w:tc>
        <w:tc>
          <w:tcPr>
            <w:tcW w:w="4479" w:type="dxa"/>
            <w:vAlign w:val="center"/>
          </w:tcPr>
          <w:p w14:paraId="7F697D7C">
            <w:pPr>
              <w:widowControl/>
              <w:spacing w:line="240" w:lineRule="auto"/>
              <w:ind w:firstLine="0" w:firstLineChars="0"/>
              <w:jc w:val="left"/>
              <w:rPr>
                <w:rFonts w:ascii="Times New Roman" w:hAnsi="Times New Roman"/>
                <w:kern w:val="0"/>
                <w:sz w:val="21"/>
                <w:szCs w:val="21"/>
              </w:rPr>
            </w:pPr>
            <w:r>
              <w:rPr>
                <w:rFonts w:hint="eastAsia" w:ascii="Times New Roman" w:hAnsi="Times New Roman"/>
                <w:kern w:val="0"/>
                <w:sz w:val="21"/>
                <w:szCs w:val="21"/>
              </w:rPr>
              <w:t>含目的、期限、准备（人员、环境、培训管理、用户培训）、制度（职责、措施）、试运行内容、问题记录等</w:t>
            </w:r>
          </w:p>
        </w:tc>
      </w:tr>
      <w:tr w14:paraId="75966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vAlign w:val="center"/>
          </w:tcPr>
          <w:p w14:paraId="394502B8">
            <w:pPr>
              <w:widowControl/>
              <w:spacing w:line="240" w:lineRule="auto"/>
              <w:ind w:firstLine="0" w:firstLineChars="0"/>
              <w:jc w:val="center"/>
              <w:rPr>
                <w:rFonts w:ascii="Times New Roman" w:hAnsi="Times New Roman"/>
                <w:kern w:val="0"/>
                <w:sz w:val="21"/>
                <w:szCs w:val="21"/>
              </w:rPr>
            </w:pPr>
            <w:r>
              <w:rPr>
                <w:rFonts w:ascii="Times New Roman" w:hAnsi="Times New Roman"/>
                <w:kern w:val="0"/>
                <w:sz w:val="21"/>
                <w:szCs w:val="21"/>
              </w:rPr>
              <w:t>代码审计、渗透测试报告</w:t>
            </w:r>
          </w:p>
        </w:tc>
        <w:tc>
          <w:tcPr>
            <w:tcW w:w="4479" w:type="dxa"/>
            <w:vAlign w:val="center"/>
          </w:tcPr>
          <w:p w14:paraId="52BF61BD">
            <w:pPr>
              <w:widowControl/>
              <w:spacing w:line="240" w:lineRule="auto"/>
              <w:ind w:firstLine="0" w:firstLineChars="0"/>
              <w:jc w:val="left"/>
              <w:rPr>
                <w:rFonts w:ascii="Times New Roman" w:hAnsi="Times New Roman"/>
                <w:kern w:val="0"/>
                <w:sz w:val="21"/>
                <w:szCs w:val="21"/>
              </w:rPr>
            </w:pPr>
            <w:r>
              <w:rPr>
                <w:rFonts w:hint="eastAsia" w:ascii="Times New Roman" w:hAnsi="Times New Roman"/>
                <w:kern w:val="0"/>
                <w:sz w:val="21"/>
                <w:szCs w:val="21"/>
              </w:rPr>
              <w:t>重大项目原则上在上线前提供代码审计、渗透测试结果及整改复核情况</w:t>
            </w:r>
          </w:p>
        </w:tc>
      </w:tr>
      <w:tr w14:paraId="39CEB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vAlign w:val="center"/>
          </w:tcPr>
          <w:p w14:paraId="0AB0BAF9">
            <w:pPr>
              <w:widowControl/>
              <w:spacing w:line="240" w:lineRule="auto"/>
              <w:ind w:firstLine="0" w:firstLineChars="0"/>
              <w:jc w:val="center"/>
              <w:rPr>
                <w:rFonts w:ascii="Times New Roman" w:hAnsi="Times New Roman"/>
                <w:kern w:val="0"/>
                <w:sz w:val="21"/>
                <w:szCs w:val="21"/>
              </w:rPr>
            </w:pPr>
            <w:r>
              <w:rPr>
                <w:rFonts w:ascii="Times New Roman" w:hAnsi="Times New Roman"/>
                <w:kern w:val="0"/>
                <w:sz w:val="21"/>
                <w:szCs w:val="21"/>
              </w:rPr>
              <w:t>软件开发源代码</w:t>
            </w:r>
          </w:p>
        </w:tc>
        <w:tc>
          <w:tcPr>
            <w:tcW w:w="4479" w:type="dxa"/>
            <w:vAlign w:val="center"/>
          </w:tcPr>
          <w:p w14:paraId="05AEABC0">
            <w:pPr>
              <w:widowControl/>
              <w:spacing w:line="240" w:lineRule="auto"/>
              <w:ind w:firstLine="0" w:firstLineChars="0"/>
              <w:jc w:val="left"/>
              <w:rPr>
                <w:rFonts w:ascii="Times New Roman" w:hAnsi="Times New Roman"/>
                <w:kern w:val="0"/>
                <w:sz w:val="21"/>
                <w:szCs w:val="21"/>
              </w:rPr>
            </w:pPr>
            <w:r>
              <w:rPr>
                <w:rFonts w:hint="eastAsia" w:ascii="Times New Roman" w:hAnsi="Times New Roman"/>
                <w:kern w:val="0"/>
                <w:sz w:val="21"/>
                <w:szCs w:val="21"/>
              </w:rPr>
              <w:t>涉及到软件开发部分，源代码需要备份留存</w:t>
            </w:r>
          </w:p>
        </w:tc>
      </w:tr>
      <w:tr w14:paraId="3EE1D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gridSpan w:val="2"/>
            <w:vAlign w:val="center"/>
          </w:tcPr>
          <w:p w14:paraId="7514AE54">
            <w:pPr>
              <w:widowControl/>
              <w:spacing w:line="240" w:lineRule="auto"/>
              <w:ind w:firstLine="0" w:firstLineChars="0"/>
              <w:jc w:val="center"/>
              <w:rPr>
                <w:rFonts w:ascii="Times New Roman" w:hAnsi="Times New Roman"/>
                <w:kern w:val="0"/>
                <w:sz w:val="21"/>
                <w:szCs w:val="21"/>
              </w:rPr>
            </w:pPr>
            <w:r>
              <w:rPr>
                <w:rFonts w:ascii="Times New Roman" w:hAnsi="Times New Roman"/>
                <w:kern w:val="0"/>
                <w:sz w:val="21"/>
                <w:szCs w:val="21"/>
              </w:rPr>
              <w:t>验收阶段</w:t>
            </w:r>
          </w:p>
        </w:tc>
      </w:tr>
      <w:tr w14:paraId="342F9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vAlign w:val="center"/>
          </w:tcPr>
          <w:p w14:paraId="3BFFF5B0">
            <w:pPr>
              <w:widowControl/>
              <w:spacing w:line="240" w:lineRule="auto"/>
              <w:ind w:firstLine="0" w:firstLineChars="0"/>
              <w:jc w:val="center"/>
              <w:rPr>
                <w:rFonts w:ascii="Times New Roman" w:hAnsi="Times New Roman"/>
                <w:kern w:val="0"/>
                <w:sz w:val="21"/>
                <w:szCs w:val="21"/>
              </w:rPr>
            </w:pPr>
            <w:r>
              <w:rPr>
                <w:rFonts w:hint="eastAsia" w:ascii="Times New Roman" w:hAnsi="Times New Roman"/>
                <w:kern w:val="0"/>
                <w:sz w:val="21"/>
                <w:szCs w:val="21"/>
              </w:rPr>
              <w:t>验收</w:t>
            </w:r>
            <w:r>
              <w:rPr>
                <w:rFonts w:ascii="Times New Roman" w:hAnsi="Times New Roman"/>
                <w:kern w:val="0"/>
                <w:sz w:val="21"/>
                <w:szCs w:val="21"/>
              </w:rPr>
              <w:t>申请</w:t>
            </w:r>
          </w:p>
        </w:tc>
        <w:tc>
          <w:tcPr>
            <w:tcW w:w="4479" w:type="dxa"/>
            <w:vAlign w:val="center"/>
          </w:tcPr>
          <w:p w14:paraId="5459E466">
            <w:pPr>
              <w:widowControl/>
              <w:ind w:firstLine="0" w:firstLineChars="0"/>
              <w:jc w:val="left"/>
            </w:pPr>
            <w:r>
              <w:rPr>
                <w:rFonts w:hint="eastAsia" w:ascii="Times New Roman" w:hAnsi="Times New Roman"/>
                <w:kern w:val="0"/>
                <w:sz w:val="21"/>
                <w:szCs w:val="21"/>
              </w:rPr>
              <w:t>（三方）项目验收检查情况及报告、第三方测评报告、用户报告</w:t>
            </w:r>
          </w:p>
        </w:tc>
      </w:tr>
      <w:tr w14:paraId="5330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vAlign w:val="center"/>
          </w:tcPr>
          <w:p w14:paraId="392600FF">
            <w:pPr>
              <w:widowControl/>
              <w:spacing w:line="240" w:lineRule="auto"/>
              <w:ind w:firstLine="0" w:firstLineChars="0"/>
              <w:jc w:val="center"/>
              <w:rPr>
                <w:rFonts w:ascii="Times New Roman" w:hAnsi="Times New Roman"/>
                <w:kern w:val="0"/>
                <w:sz w:val="21"/>
                <w:szCs w:val="21"/>
              </w:rPr>
            </w:pPr>
            <w:r>
              <w:rPr>
                <w:rFonts w:ascii="Times New Roman" w:hAnsi="Times New Roman"/>
                <w:kern w:val="0"/>
                <w:sz w:val="21"/>
                <w:szCs w:val="21"/>
              </w:rPr>
              <w:t>建设总结</w:t>
            </w:r>
          </w:p>
        </w:tc>
        <w:tc>
          <w:tcPr>
            <w:tcW w:w="4479" w:type="dxa"/>
            <w:vAlign w:val="center"/>
          </w:tcPr>
          <w:p w14:paraId="3558F588">
            <w:pPr>
              <w:widowControl/>
              <w:spacing w:line="240" w:lineRule="auto"/>
              <w:ind w:firstLine="0" w:firstLineChars="0"/>
              <w:jc w:val="left"/>
              <w:rPr>
                <w:rFonts w:ascii="Times New Roman" w:hAnsi="Times New Roman"/>
                <w:kern w:val="0"/>
                <w:sz w:val="21"/>
                <w:szCs w:val="21"/>
              </w:rPr>
            </w:pPr>
            <w:r>
              <w:rPr>
                <w:rFonts w:hint="eastAsia" w:ascii="Times New Roman" w:hAnsi="Times New Roman"/>
                <w:kern w:val="0"/>
                <w:sz w:val="21"/>
                <w:szCs w:val="21"/>
              </w:rPr>
              <w:t>建设情况（背景、批复、总投资、</w:t>
            </w:r>
            <w:r>
              <w:rPr>
                <w:rFonts w:hint="eastAsia" w:ascii="Times New Roman" w:hAnsi="Times New Roman"/>
                <w:kern w:val="0"/>
                <w:sz w:val="21"/>
                <w:szCs w:val="21"/>
                <w:lang w:eastAsia="zh-CN"/>
              </w:rPr>
              <w:t>磋商采购</w:t>
            </w:r>
            <w:r>
              <w:rPr>
                <w:rFonts w:hint="eastAsia" w:ascii="Times New Roman" w:hAnsi="Times New Roman"/>
                <w:kern w:val="0"/>
                <w:sz w:val="21"/>
                <w:szCs w:val="21"/>
              </w:rPr>
              <w:t>、建设进度）</w:t>
            </w:r>
          </w:p>
          <w:p w14:paraId="14E639E1">
            <w:pPr>
              <w:widowControl/>
              <w:spacing w:line="240" w:lineRule="auto"/>
              <w:ind w:firstLine="0" w:firstLineChars="0"/>
              <w:jc w:val="left"/>
              <w:rPr>
                <w:rFonts w:ascii="Times New Roman" w:hAnsi="Times New Roman"/>
                <w:kern w:val="0"/>
                <w:sz w:val="21"/>
                <w:szCs w:val="21"/>
              </w:rPr>
            </w:pPr>
            <w:r>
              <w:rPr>
                <w:rFonts w:hint="eastAsia" w:ascii="Times New Roman" w:hAnsi="Times New Roman"/>
                <w:kern w:val="0"/>
                <w:sz w:val="21"/>
                <w:szCs w:val="21"/>
              </w:rPr>
              <w:t>建设成果（建设目标和完成情况、总体架构、应用系统、硬件集成、系统安全建设、土建和配套工程、标准技术）</w:t>
            </w:r>
          </w:p>
          <w:p w14:paraId="0D7CC647">
            <w:pPr>
              <w:widowControl/>
              <w:spacing w:line="240" w:lineRule="auto"/>
              <w:ind w:firstLine="0" w:firstLineChars="0"/>
              <w:jc w:val="left"/>
              <w:rPr>
                <w:rFonts w:ascii="Times New Roman" w:hAnsi="Times New Roman"/>
                <w:kern w:val="0"/>
                <w:sz w:val="21"/>
                <w:szCs w:val="21"/>
              </w:rPr>
            </w:pPr>
            <w:r>
              <w:rPr>
                <w:rFonts w:hint="eastAsia" w:ascii="Times New Roman" w:hAnsi="Times New Roman"/>
                <w:kern w:val="0"/>
                <w:sz w:val="21"/>
                <w:szCs w:val="21"/>
              </w:rPr>
              <w:t>经验教训（总体架构、建设方案、项目实施、组织机制）</w:t>
            </w:r>
          </w:p>
          <w:p w14:paraId="5E3699E4">
            <w:pPr>
              <w:widowControl/>
              <w:spacing w:line="240" w:lineRule="auto"/>
              <w:ind w:firstLine="0" w:firstLineChars="0"/>
              <w:jc w:val="left"/>
              <w:rPr>
                <w:rFonts w:ascii="Times New Roman" w:hAnsi="Times New Roman"/>
                <w:kern w:val="0"/>
                <w:sz w:val="21"/>
                <w:szCs w:val="21"/>
              </w:rPr>
            </w:pPr>
            <w:r>
              <w:rPr>
                <w:rFonts w:hint="eastAsia" w:ascii="Times New Roman" w:hAnsi="Times New Roman"/>
                <w:kern w:val="0"/>
                <w:sz w:val="21"/>
                <w:szCs w:val="21"/>
              </w:rPr>
              <w:t>建设评价（项目总体、技术效果、环境影响、社会影响、可持续性）</w:t>
            </w:r>
          </w:p>
        </w:tc>
      </w:tr>
    </w:tbl>
    <w:p w14:paraId="0C2E6D3A">
      <w:pPr>
        <w:pStyle w:val="18"/>
      </w:pPr>
    </w:p>
    <w:p w14:paraId="2B716390">
      <w:pPr>
        <w:pStyle w:val="2"/>
        <w:ind w:hanging="1418"/>
        <w:rPr>
          <w:color w:val="auto"/>
        </w:rPr>
      </w:pPr>
      <w:r>
        <w:rPr>
          <w:rFonts w:hint="eastAsia"/>
          <w:color w:val="auto"/>
          <w:lang w:eastAsia="zh-CN"/>
        </w:rPr>
        <w:t>供应商企业实力</w:t>
      </w:r>
    </w:p>
    <w:p w14:paraId="6BC182EE">
      <w:pPr>
        <w:pStyle w:val="87"/>
        <w:spacing w:line="360" w:lineRule="auto"/>
        <w:ind w:firstLine="480"/>
        <w:rPr>
          <w:rFonts w:hint="eastAsia" w:ascii="Times New Roman" w:hAnsi="Times New Roman" w:eastAsia="宋体"/>
          <w:color w:val="auto"/>
          <w:sz w:val="24"/>
          <w:szCs w:val="24"/>
          <w:lang w:val="en-US" w:eastAsia="zh-CN"/>
        </w:rPr>
      </w:pPr>
      <w:r>
        <w:rPr>
          <w:rFonts w:hint="eastAsia" w:ascii="Times New Roman" w:hAnsi="Times New Roman" w:eastAsia="宋体"/>
          <w:sz w:val="24"/>
          <w:szCs w:val="24"/>
          <w:lang w:val="en-US" w:eastAsia="zh-CN"/>
        </w:rPr>
        <w:t>1.</w:t>
      </w:r>
      <w:r>
        <w:rPr>
          <w:rFonts w:hint="eastAsia" w:ascii="Times New Roman" w:hAnsi="Times New Roman" w:eastAsia="宋体"/>
          <w:color w:val="auto"/>
          <w:sz w:val="24"/>
          <w:szCs w:val="24"/>
          <w:lang w:val="en-US" w:eastAsia="zh-CN"/>
        </w:rPr>
        <w:t>供应商具有质量管理体系认证证书、信息安全管理体系认证证书、</w:t>
      </w:r>
      <w:r>
        <w:rPr>
          <w:rFonts w:hint="eastAsia" w:ascii="Times New Roman" w:hAnsi="Times New Roman"/>
          <w:color w:val="auto"/>
          <w:sz w:val="24"/>
          <w:szCs w:val="24"/>
        </w:rPr>
        <w:t>信息</w:t>
      </w:r>
      <w:bookmarkStart w:id="36" w:name="_GoBack"/>
      <w:r>
        <w:rPr>
          <w:rFonts w:hint="eastAsia" w:ascii="Times New Roman" w:hAnsi="Times New Roman"/>
          <w:color w:val="auto"/>
          <w:sz w:val="24"/>
          <w:szCs w:val="24"/>
        </w:rPr>
        <w:t>技术服务管理体系认证证书</w:t>
      </w:r>
      <w:r>
        <w:rPr>
          <w:rFonts w:hint="eastAsia" w:ascii="Times New Roman" w:hAnsi="Times New Roman" w:eastAsia="宋体"/>
          <w:color w:val="auto"/>
          <w:sz w:val="24"/>
          <w:szCs w:val="24"/>
          <w:lang w:val="en-US" w:eastAsia="zh-CN"/>
        </w:rPr>
        <w:t>、ITSS 信息技术服务标准符合性证书的，优先考虑。</w:t>
      </w:r>
    </w:p>
    <w:p w14:paraId="11BDC9CD">
      <w:pPr>
        <w:pStyle w:val="87"/>
        <w:spacing w:line="360" w:lineRule="auto"/>
        <w:ind w:firstLine="480"/>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vertAlign w:val="baseline"/>
          <w:lang w:val="en-US" w:eastAsia="zh-CN"/>
        </w:rPr>
        <w:t>2.</w:t>
      </w:r>
      <w:r>
        <w:rPr>
          <w:rFonts w:hint="eastAsia" w:ascii="Times New Roman" w:hAnsi="Times New Roman" w:eastAsia="宋体"/>
          <w:color w:val="auto"/>
          <w:sz w:val="24"/>
          <w:szCs w:val="24"/>
          <w:vertAlign w:val="baseline"/>
          <w:lang w:eastAsia="zh-CN"/>
        </w:rPr>
        <w:t>供应商具有与本项目需求相关的软件著作权证书，包括但不限于社区综合服务类、综合窗口类、智能体类、政务大模型类、医保类、人社类、档案类、残联类等，优先考虑。</w:t>
      </w:r>
      <w:bookmarkEnd w:id="35"/>
    </w:p>
    <w:bookmarkEnd w:id="36"/>
    <w:p w14:paraId="44A6510C">
      <w:pPr>
        <w:widowControl/>
        <w:spacing w:line="240" w:lineRule="auto"/>
        <w:ind w:firstLine="0" w:firstLineChars="0"/>
        <w:jc w:val="left"/>
        <w:rPr>
          <w:rFonts w:ascii="Times New Roman" w:hAnsi="Times New Roman"/>
          <w:sz w:val="21"/>
        </w:rPr>
      </w:pPr>
    </w:p>
    <w:sectPr>
      <w:footerReference r:id="rId11" w:type="first"/>
      <w:pgSz w:w="11906" w:h="16838"/>
      <w:pgMar w:top="1134" w:right="1797" w:bottom="1135" w:left="1797" w:header="340" w:footer="795"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Calibri Light">
    <w:altName w:val="DejaVu Sans"/>
    <w:panose1 w:val="020F0302020204030204"/>
    <w:charset w:val="00"/>
    <w:family w:val="swiss"/>
    <w:pitch w:val="default"/>
    <w:sig w:usb0="00000000" w:usb1="00000000" w:usb2="00000009" w:usb3="00000000" w:csb0="200001FF" w:csb1="00000000"/>
  </w:font>
  <w:font w:name="Arial Unicode MS">
    <w:altName w:val="DejaVu Sans"/>
    <w:panose1 w:val="020B0604020202020204"/>
    <w:charset w:val="86"/>
    <w:family w:val="swiss"/>
    <w:pitch w:val="default"/>
    <w:sig w:usb0="00000000" w:usb1="00000000" w:usb2="0000003F" w:usb3="00000000" w:csb0="003F01FF" w:csb1="00000000"/>
  </w:font>
  <w:font w:name="time">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等线 Light">
    <w:altName w:val="汉仪中圆B5"/>
    <w:panose1 w:val="02010600030101010101"/>
    <w:charset w:val="86"/>
    <w:family w:val="auto"/>
    <w:pitch w:val="default"/>
    <w:sig w:usb0="00000000" w:usb1="00000000" w:usb2="00000016" w:usb3="00000000" w:csb0="0004000F" w:csb1="00000000"/>
  </w:font>
  <w:font w:name="汉仪中圆B5">
    <w:panose1 w:val="02010600000101010101"/>
    <w:charset w:val="88"/>
    <w:family w:val="auto"/>
    <w:pitch w:val="default"/>
    <w:sig w:usb0="00000001" w:usb1="080E0800" w:usb2="00000002" w:usb3="00000000" w:csb0="00100000" w:csb1="0000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Microsoft Sans Serif">
    <w:altName w:val="Liberation Sans"/>
    <w:panose1 w:val="020B0604020202020204"/>
    <w:charset w:val="00"/>
    <w:family w:val="swiss"/>
    <w:pitch w:val="default"/>
    <w:sig w:usb0="00000000" w:usb1="00000000" w:usb2="00000029" w:usb3="00000000" w:csb0="200101FF" w:csb1="20280000"/>
  </w:font>
  <w:font w:name="Liberation Sans">
    <w:panose1 w:val="020B0604020202020204"/>
    <w:charset w:val="00"/>
    <w:family w:val="auto"/>
    <w:pitch w:val="default"/>
    <w:sig w:usb0="A00002AF" w:usb1="500078FB" w:usb2="00000000" w:usb3="00000000" w:csb0="6000009F" w:csb1="DFD70000"/>
  </w:font>
  <w:font w:name="楷体_GB2312">
    <w:panose1 w:val="02010609030101010101"/>
    <w:charset w:val="86"/>
    <w:family w:val="script"/>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E5AD0">
    <w:pPr>
      <w:ind w:firstLine="0" w:firstLineChars="0"/>
      <w:jc w:val="center"/>
    </w:pPr>
    <w:r>
      <w:fldChar w:fldCharType="begin"/>
    </w:r>
    <w:r>
      <w:instrText xml:space="preserve">PAGE   \* MERGEFORMAT</w:instrText>
    </w:r>
    <w:r>
      <w:fldChar w:fldCharType="separate"/>
    </w:r>
    <w:r>
      <w:rPr>
        <w:lang w:val="zh-CN"/>
      </w:rPr>
      <w:t>2</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6AE6A">
    <w:pPr>
      <w:ind w:firstLine="480"/>
    </w:pPr>
  </w:p>
  <w:p w14:paraId="161CDE96">
    <w:pPr>
      <w:ind w:firstLine="4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1DD04">
    <w:pPr>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32EB5">
    <w:pPr>
      <w:ind w:firstLine="0" w:firstLineChars="0"/>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9ED39">
    <w:pPr>
      <w:pStyle w:val="2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6D705">
    <w:pPr>
      <w:ind w:firstLine="480"/>
    </w:pPr>
  </w:p>
  <w:p w14:paraId="19270D01">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E2A70">
    <w:pPr>
      <w:pStyle w:val="28"/>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lvlText w:val="%1."/>
      <w:lvlJc w:val="left"/>
      <w:pPr>
        <w:ind w:left="425" w:hanging="425"/>
      </w:pPr>
      <w:rPr>
        <w:rFonts w:hint="default"/>
      </w:rPr>
    </w:lvl>
  </w:abstractNum>
  <w:abstractNum w:abstractNumId="1">
    <w:nsid w:val="00000002"/>
    <w:multiLevelType w:val="singleLevel"/>
    <w:tmpl w:val="00000002"/>
    <w:lvl w:ilvl="0" w:tentative="0">
      <w:start w:val="1"/>
      <w:numFmt w:val="decimal"/>
      <w:lvlText w:val="%1."/>
      <w:lvlJc w:val="left"/>
      <w:pPr>
        <w:ind w:left="425" w:hanging="425"/>
      </w:pPr>
      <w:rPr>
        <w:rFonts w:hint="default"/>
      </w:rPr>
    </w:lvl>
  </w:abstractNum>
  <w:abstractNum w:abstractNumId="2">
    <w:nsid w:val="00000003"/>
    <w:multiLevelType w:val="singleLevel"/>
    <w:tmpl w:val="00000003"/>
    <w:lvl w:ilvl="0" w:tentative="0">
      <w:start w:val="1"/>
      <w:numFmt w:val="chineseCounting"/>
      <w:suff w:val="nothing"/>
      <w:lvlText w:val="（%1）"/>
      <w:lvlJc w:val="left"/>
      <w:pPr>
        <w:ind w:left="0" w:firstLine="420"/>
      </w:pPr>
      <w:rPr>
        <w:rFonts w:hint="eastAsia"/>
      </w:rPr>
    </w:lvl>
  </w:abstractNum>
  <w:abstractNum w:abstractNumId="3">
    <w:nsid w:val="00000005"/>
    <w:multiLevelType w:val="singleLevel"/>
    <w:tmpl w:val="00000005"/>
    <w:lvl w:ilvl="0" w:tentative="0">
      <w:start w:val="1"/>
      <w:numFmt w:val="decimal"/>
      <w:lvlText w:val="%1."/>
      <w:lvlJc w:val="left"/>
      <w:pPr>
        <w:ind w:left="425" w:hanging="425"/>
      </w:pPr>
      <w:rPr>
        <w:rFonts w:hint="default"/>
      </w:rPr>
    </w:lvl>
  </w:abstractNum>
  <w:abstractNum w:abstractNumId="4">
    <w:nsid w:val="00000006"/>
    <w:multiLevelType w:val="multilevel"/>
    <w:tmpl w:val="00000006"/>
    <w:lvl w:ilvl="0" w:tentative="0">
      <w:start w:val="1"/>
      <w:numFmt w:val="none"/>
      <w:pStyle w:val="119"/>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7"/>
    <w:multiLevelType w:val="multilevel"/>
    <w:tmpl w:val="00000007"/>
    <w:lvl w:ilvl="0" w:tentative="0">
      <w:start w:val="1"/>
      <w:numFmt w:val="chineseCountingThousand"/>
      <w:pStyle w:val="2"/>
      <w:suff w:val="nothing"/>
      <w:lvlText w:val="%1、"/>
      <w:lvlJc w:val="left"/>
      <w:pPr>
        <w:ind w:left="993" w:hanging="425"/>
      </w:pPr>
      <w:rPr>
        <w:rFonts w:hint="eastAsia"/>
        <w:sz w:val="32"/>
        <w:szCs w:val="32"/>
        <w:lang w:val="en-US"/>
      </w:rPr>
    </w:lvl>
    <w:lvl w:ilvl="1" w:tentative="0">
      <w:start w:val="1"/>
      <w:numFmt w:val="decimal"/>
      <w:pStyle w:val="3"/>
      <w:isLgl/>
      <w:suff w:val="nothing"/>
      <w:lvlText w:val="%1.%2、"/>
      <w:lvlJc w:val="left"/>
      <w:pPr>
        <w:ind w:left="1135" w:hanging="567"/>
      </w:pPr>
    </w:lvl>
    <w:lvl w:ilvl="2" w:tentative="0">
      <w:start w:val="1"/>
      <w:numFmt w:val="decimal"/>
      <w:pStyle w:val="4"/>
      <w:isLgl/>
      <w:suff w:val="nothing"/>
      <w:lvlText w:val="%1.%2.%3、"/>
      <w:lvlJc w:val="left"/>
      <w:pPr>
        <w:ind w:left="1069" w:hanging="1069"/>
      </w:pPr>
      <w:rPr>
        <w:rFonts w:hint="default" w:ascii="宋体" w:hAnsi="宋体" w:eastAsia="宋体" w:cs="Arial"/>
      </w:rPr>
    </w:lvl>
    <w:lvl w:ilvl="3" w:tentative="0">
      <w:start w:val="1"/>
      <w:numFmt w:val="decimal"/>
      <w:pStyle w:val="5"/>
      <w:isLgl/>
      <w:suff w:val="nothing"/>
      <w:lvlText w:val="%1.%2.%3.%4、"/>
      <w:lvlJc w:val="left"/>
      <w:pPr>
        <w:ind w:left="3403" w:hanging="851"/>
      </w:pPr>
    </w:lvl>
    <w:lvl w:ilvl="4" w:tentative="0">
      <w:start w:val="1"/>
      <w:numFmt w:val="decimal"/>
      <w:pStyle w:val="7"/>
      <w:isLgl/>
      <w:suff w:val="nothing"/>
      <w:lvlText w:val="%1.%2.%3.%4.%5、"/>
      <w:lvlJc w:val="left"/>
      <w:pPr>
        <w:ind w:left="3544" w:hanging="992"/>
      </w:pPr>
      <w:rPr>
        <w:rFonts w:hint="eastAsia"/>
      </w:rPr>
    </w:lvl>
    <w:lvl w:ilvl="5" w:tentative="0">
      <w:start w:val="1"/>
      <w:numFmt w:val="decimal"/>
      <w:pStyle w:val="8"/>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6">
    <w:nsid w:val="67BF3368"/>
    <w:multiLevelType w:val="singleLevel"/>
    <w:tmpl w:val="67BF3368"/>
    <w:lvl w:ilvl="0" w:tentative="0">
      <w:start w:val="1"/>
      <w:numFmt w:val="decimal"/>
      <w:suff w:val="nothing"/>
      <w:lvlText w:val="%1、"/>
      <w:lvlJc w:val="left"/>
    </w:lvl>
  </w:abstractNum>
  <w:num w:numId="1">
    <w:abstractNumId w:val="5"/>
  </w:num>
  <w:num w:numId="2">
    <w:abstractNumId w:val="4"/>
  </w:num>
  <w:num w:numId="3">
    <w:abstractNumId w:val="2"/>
  </w:num>
  <w:num w:numId="4">
    <w:abstractNumId w:val="3"/>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0MGM4NDE3YWFlMzA0MWViNTY0Yjg0OThlOTIyYjUifQ=="/>
  </w:docVars>
  <w:rsids>
    <w:rsidRoot w:val="00EF4976"/>
    <w:rsid w:val="003F7F32"/>
    <w:rsid w:val="00423A32"/>
    <w:rsid w:val="00EF4976"/>
    <w:rsid w:val="0F7C17D6"/>
    <w:rsid w:val="23F6C90F"/>
    <w:rsid w:val="6FFEE4E6"/>
    <w:rsid w:val="79F3EEBA"/>
    <w:rsid w:val="7C3514D2"/>
    <w:rsid w:val="7FDD4F3B"/>
    <w:rsid w:val="8FBD20C2"/>
    <w:rsid w:val="BDFFD6E9"/>
    <w:rsid w:val="EB3DA169"/>
    <w:rsid w:val="FDEF2DAB"/>
    <w:rsid w:val="FEC7B400"/>
    <w:rsid w:val="FEFF93AD"/>
    <w:rsid w:val="FF2FA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ind w:firstLine="96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82"/>
    <w:qFormat/>
    <w:uiPriority w:val="9"/>
    <w:pPr>
      <w:keepNext/>
      <w:keepLines/>
      <w:numPr>
        <w:ilvl w:val="0"/>
        <w:numId w:val="1"/>
      </w:numPr>
      <w:spacing w:before="120" w:after="120"/>
      <w:ind w:left="1560" w:firstLine="0" w:firstLineChars="0"/>
      <w:outlineLvl w:val="0"/>
    </w:pPr>
    <w:rPr>
      <w:rFonts w:eastAsia="黑体"/>
      <w:b/>
      <w:bCs/>
      <w:color w:val="000000"/>
      <w:kern w:val="44"/>
      <w:sz w:val="32"/>
      <w:szCs w:val="28"/>
    </w:rPr>
  </w:style>
  <w:style w:type="paragraph" w:styleId="3">
    <w:name w:val="heading 2"/>
    <w:basedOn w:val="1"/>
    <w:next w:val="1"/>
    <w:link w:val="95"/>
    <w:qFormat/>
    <w:uiPriority w:val="9"/>
    <w:pPr>
      <w:keepNext/>
      <w:keepLines/>
      <w:numPr>
        <w:ilvl w:val="1"/>
        <w:numId w:val="1"/>
      </w:numPr>
      <w:spacing w:before="120" w:after="120"/>
      <w:ind w:firstLine="0" w:firstLineChars="0"/>
      <w:outlineLvl w:val="1"/>
    </w:pPr>
    <w:rPr>
      <w:b/>
      <w:bCs/>
      <w:sz w:val="30"/>
      <w:szCs w:val="32"/>
    </w:rPr>
  </w:style>
  <w:style w:type="paragraph" w:styleId="4">
    <w:name w:val="heading 3"/>
    <w:basedOn w:val="1"/>
    <w:next w:val="1"/>
    <w:link w:val="88"/>
    <w:qFormat/>
    <w:uiPriority w:val="9"/>
    <w:pPr>
      <w:keepNext/>
      <w:keepLines/>
      <w:numPr>
        <w:ilvl w:val="2"/>
        <w:numId w:val="1"/>
      </w:numPr>
      <w:spacing w:before="120" w:after="120"/>
      <w:ind w:firstLine="0" w:firstLineChars="0"/>
      <w:outlineLvl w:val="2"/>
    </w:pPr>
    <w:rPr>
      <w:b/>
      <w:bCs/>
      <w:sz w:val="28"/>
      <w:szCs w:val="28"/>
    </w:rPr>
  </w:style>
  <w:style w:type="paragraph" w:styleId="5">
    <w:name w:val="heading 4"/>
    <w:basedOn w:val="1"/>
    <w:next w:val="6"/>
    <w:link w:val="66"/>
    <w:qFormat/>
    <w:uiPriority w:val="9"/>
    <w:pPr>
      <w:keepNext/>
      <w:keepLines/>
      <w:numPr>
        <w:ilvl w:val="3"/>
        <w:numId w:val="1"/>
      </w:numPr>
      <w:spacing w:before="120" w:after="120"/>
      <w:ind w:left="851" w:firstLine="0" w:firstLineChars="0"/>
      <w:outlineLvl w:val="3"/>
    </w:pPr>
    <w:rPr>
      <w:b/>
      <w:bCs/>
      <w:sz w:val="30"/>
      <w:szCs w:val="30"/>
    </w:rPr>
  </w:style>
  <w:style w:type="paragraph" w:styleId="7">
    <w:name w:val="heading 5"/>
    <w:basedOn w:val="1"/>
    <w:next w:val="1"/>
    <w:link w:val="93"/>
    <w:qFormat/>
    <w:uiPriority w:val="9"/>
    <w:pPr>
      <w:keepNext/>
      <w:keepLines/>
      <w:numPr>
        <w:ilvl w:val="4"/>
        <w:numId w:val="1"/>
      </w:numPr>
      <w:spacing w:before="120" w:after="120"/>
      <w:ind w:left="0" w:firstLine="0" w:firstLineChars="0"/>
      <w:outlineLvl w:val="4"/>
    </w:pPr>
    <w:rPr>
      <w:b/>
      <w:bCs/>
      <w:szCs w:val="28"/>
    </w:rPr>
  </w:style>
  <w:style w:type="paragraph" w:styleId="8">
    <w:name w:val="heading 6"/>
    <w:basedOn w:val="1"/>
    <w:next w:val="1"/>
    <w:link w:val="106"/>
    <w:qFormat/>
    <w:uiPriority w:val="9"/>
    <w:pPr>
      <w:keepNext/>
      <w:keepLines/>
      <w:numPr>
        <w:ilvl w:val="5"/>
        <w:numId w:val="1"/>
      </w:numPr>
      <w:spacing w:before="120" w:after="120"/>
      <w:ind w:firstLine="0" w:firstLineChars="0"/>
      <w:outlineLvl w:val="5"/>
    </w:pPr>
    <w:rPr>
      <w:rFonts w:ascii="Cambria" w:hAnsi="Cambria"/>
      <w:b/>
      <w:bCs/>
    </w:rPr>
  </w:style>
  <w:style w:type="paragraph" w:styleId="9">
    <w:name w:val="heading 7"/>
    <w:basedOn w:val="1"/>
    <w:next w:val="1"/>
    <w:link w:val="79"/>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10">
    <w:name w:val="heading 8"/>
    <w:basedOn w:val="1"/>
    <w:next w:val="1"/>
    <w:link w:val="105"/>
    <w:qFormat/>
    <w:uiPriority w:val="9"/>
    <w:pPr>
      <w:keepNext/>
      <w:keepLines/>
      <w:spacing w:before="240" w:after="64" w:line="319" w:lineRule="auto"/>
      <w:ind w:firstLine="0" w:firstLineChars="0"/>
      <w:outlineLvl w:val="7"/>
    </w:pPr>
    <w:rPr>
      <w:rFonts w:ascii="Cambria" w:hAnsi="Cambria"/>
      <w:sz w:val="21"/>
    </w:rPr>
  </w:style>
  <w:style w:type="paragraph" w:styleId="11">
    <w:name w:val="heading 9"/>
    <w:basedOn w:val="1"/>
    <w:next w:val="1"/>
    <w:link w:val="56"/>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customStyle="1" w:styleId="6">
    <w:name w:val="段落正文"/>
    <w:basedOn w:val="1"/>
    <w:link w:val="145"/>
    <w:qFormat/>
    <w:uiPriority w:val="0"/>
    <w:pPr>
      <w:ind w:firstLine="560"/>
    </w:pPr>
    <w:rPr>
      <w:rFonts w:ascii="仿宋" w:hAnsi="仿宋" w:eastAsia="仿宋"/>
      <w:sz w:val="28"/>
      <w:szCs w:val="28"/>
    </w:rPr>
  </w:style>
  <w:style w:type="paragraph" w:styleId="12">
    <w:name w:val="toc 7"/>
    <w:basedOn w:val="1"/>
    <w:next w:val="1"/>
    <w:qFormat/>
    <w:uiPriority w:val="39"/>
    <w:pPr>
      <w:ind w:left="2520" w:leftChars="1200"/>
    </w:pPr>
    <w:rPr>
      <w:rFonts w:ascii="等线" w:hAnsi="等线" w:eastAsia="等线"/>
      <w:szCs w:val="22"/>
    </w:rPr>
  </w:style>
  <w:style w:type="paragraph" w:styleId="13">
    <w:name w:val="Normal Indent"/>
    <w:basedOn w:val="1"/>
    <w:qFormat/>
    <w:uiPriority w:val="99"/>
    <w:pPr>
      <w:spacing w:line="240" w:lineRule="auto"/>
      <w:ind w:firstLine="420"/>
    </w:pPr>
    <w:rPr>
      <w:rFonts w:ascii="Calibri" w:hAnsi="Calibri"/>
      <w:sz w:val="21"/>
    </w:rPr>
  </w:style>
  <w:style w:type="paragraph" w:styleId="14">
    <w:name w:val="caption"/>
    <w:basedOn w:val="1"/>
    <w:next w:val="1"/>
    <w:link w:val="62"/>
    <w:qFormat/>
    <w:uiPriority w:val="35"/>
    <w:pPr>
      <w:spacing w:afterLines="50"/>
      <w:ind w:firstLine="200"/>
    </w:pPr>
    <w:rPr>
      <w:rFonts w:ascii="Arial" w:hAnsi="Arial" w:eastAsia="黑体"/>
      <w:sz w:val="20"/>
      <w:szCs w:val="20"/>
    </w:rPr>
  </w:style>
  <w:style w:type="paragraph" w:styleId="15">
    <w:name w:val="Document Map"/>
    <w:basedOn w:val="1"/>
    <w:link w:val="98"/>
    <w:qFormat/>
    <w:uiPriority w:val="0"/>
    <w:rPr>
      <w:rFonts w:hAnsi="Times New Roman"/>
      <w:sz w:val="18"/>
      <w:szCs w:val="18"/>
    </w:rPr>
  </w:style>
  <w:style w:type="paragraph" w:styleId="16">
    <w:name w:val="annotation text"/>
    <w:basedOn w:val="1"/>
    <w:link w:val="53"/>
    <w:qFormat/>
    <w:uiPriority w:val="99"/>
    <w:pPr>
      <w:jc w:val="left"/>
    </w:pPr>
    <w:rPr>
      <w:rFonts w:ascii="Times New Roman" w:hAnsi="Times New Roman" w:eastAsia="仿宋"/>
      <w:sz w:val="28"/>
    </w:rPr>
  </w:style>
  <w:style w:type="paragraph" w:styleId="17">
    <w:name w:val="Salutation"/>
    <w:basedOn w:val="1"/>
    <w:next w:val="1"/>
    <w:link w:val="151"/>
    <w:qFormat/>
    <w:uiPriority w:val="0"/>
    <w:pPr>
      <w:widowControl/>
      <w:spacing w:line="240" w:lineRule="auto"/>
      <w:ind w:firstLine="0" w:firstLineChars="0"/>
    </w:pPr>
    <w:rPr>
      <w:rFonts w:cs="宋体"/>
      <w:kern w:val="0"/>
    </w:rPr>
  </w:style>
  <w:style w:type="paragraph" w:styleId="18">
    <w:name w:val="Body Text"/>
    <w:basedOn w:val="1"/>
    <w:link w:val="67"/>
    <w:qFormat/>
    <w:uiPriority w:val="0"/>
    <w:pPr>
      <w:spacing w:after="120" w:line="240" w:lineRule="auto"/>
      <w:ind w:firstLine="0" w:firstLineChars="0"/>
    </w:pPr>
    <w:rPr>
      <w:rFonts w:ascii="Times New Roman" w:hAnsi="Times New Roman"/>
      <w:sz w:val="21"/>
    </w:rPr>
  </w:style>
  <w:style w:type="paragraph" w:styleId="19">
    <w:name w:val="Body Text Indent"/>
    <w:basedOn w:val="1"/>
    <w:link w:val="92"/>
    <w:qFormat/>
    <w:uiPriority w:val="0"/>
    <w:pPr>
      <w:spacing w:after="120"/>
      <w:ind w:firstLine="200"/>
    </w:pPr>
    <w:rPr>
      <w:rFonts w:ascii="Times New Roman" w:hAnsi="Times New Roman"/>
      <w:sz w:val="21"/>
      <w:szCs w:val="20"/>
    </w:rPr>
  </w:style>
  <w:style w:type="paragraph" w:styleId="20">
    <w:name w:val="Block Text"/>
    <w:basedOn w:val="1"/>
    <w:qFormat/>
    <w:uiPriority w:val="99"/>
    <w:pPr>
      <w:spacing w:after="120" w:line="360" w:lineRule="auto"/>
      <w:ind w:left="1440" w:leftChars="700" w:right="700" w:rightChars="700" w:firstLine="200"/>
    </w:pPr>
    <w:rPr>
      <w:rFonts w:ascii="Calibri" w:hAnsi="Calibri" w:eastAsia="仿宋"/>
      <w:sz w:val="28"/>
      <w:szCs w:val="22"/>
    </w:rPr>
  </w:style>
  <w:style w:type="paragraph" w:styleId="21">
    <w:name w:val="toc 5"/>
    <w:basedOn w:val="1"/>
    <w:next w:val="1"/>
    <w:qFormat/>
    <w:uiPriority w:val="39"/>
    <w:pPr>
      <w:ind w:left="1680" w:leftChars="800"/>
    </w:pPr>
    <w:rPr>
      <w:rFonts w:ascii="等线" w:hAnsi="等线" w:eastAsia="等线"/>
      <w:szCs w:val="22"/>
    </w:rPr>
  </w:style>
  <w:style w:type="paragraph" w:styleId="22">
    <w:name w:val="toc 3"/>
    <w:basedOn w:val="1"/>
    <w:next w:val="1"/>
    <w:qFormat/>
    <w:uiPriority w:val="39"/>
    <w:pPr>
      <w:tabs>
        <w:tab w:val="right" w:leader="dot" w:pos="8302"/>
      </w:tabs>
      <w:ind w:left="840" w:leftChars="400"/>
    </w:pPr>
  </w:style>
  <w:style w:type="paragraph" w:styleId="23">
    <w:name w:val="Plain Text"/>
    <w:basedOn w:val="1"/>
    <w:link w:val="73"/>
    <w:qFormat/>
    <w:uiPriority w:val="0"/>
    <w:pPr>
      <w:spacing w:line="240" w:lineRule="auto"/>
      <w:ind w:firstLine="0" w:firstLineChars="0"/>
    </w:pPr>
    <w:rPr>
      <w:rFonts w:hAnsi="Courier New"/>
      <w:sz w:val="21"/>
      <w:szCs w:val="20"/>
    </w:rPr>
  </w:style>
  <w:style w:type="paragraph" w:styleId="24">
    <w:name w:val="toc 8"/>
    <w:basedOn w:val="1"/>
    <w:next w:val="1"/>
    <w:qFormat/>
    <w:uiPriority w:val="39"/>
    <w:pPr>
      <w:ind w:left="2940" w:leftChars="1400"/>
    </w:pPr>
    <w:rPr>
      <w:rFonts w:ascii="等线" w:hAnsi="等线" w:eastAsia="等线"/>
      <w:szCs w:val="22"/>
    </w:rPr>
  </w:style>
  <w:style w:type="paragraph" w:styleId="25">
    <w:name w:val="Date"/>
    <w:basedOn w:val="1"/>
    <w:next w:val="1"/>
    <w:link w:val="55"/>
    <w:qFormat/>
    <w:uiPriority w:val="0"/>
    <w:pPr>
      <w:ind w:left="100" w:leftChars="2500"/>
    </w:pPr>
    <w:rPr>
      <w:rFonts w:ascii="Times New Roman" w:hAnsi="Times New Roman"/>
      <w:sz w:val="21"/>
    </w:rPr>
  </w:style>
  <w:style w:type="paragraph" w:styleId="26">
    <w:name w:val="Balloon Text"/>
    <w:basedOn w:val="1"/>
    <w:link w:val="103"/>
    <w:qFormat/>
    <w:uiPriority w:val="99"/>
    <w:rPr>
      <w:rFonts w:ascii="Times New Roman" w:hAnsi="Times New Roman"/>
      <w:sz w:val="18"/>
      <w:szCs w:val="18"/>
    </w:rPr>
  </w:style>
  <w:style w:type="paragraph" w:styleId="27">
    <w:name w:val="footer"/>
    <w:basedOn w:val="1"/>
    <w:link w:val="96"/>
    <w:qFormat/>
    <w:uiPriority w:val="99"/>
    <w:pPr>
      <w:tabs>
        <w:tab w:val="center" w:pos="4153"/>
        <w:tab w:val="right" w:pos="8306"/>
      </w:tabs>
      <w:snapToGrid w:val="0"/>
      <w:jc w:val="center"/>
    </w:pPr>
    <w:rPr>
      <w:rFonts w:ascii="Times New Roman" w:hAnsi="Times New Roman"/>
      <w:sz w:val="18"/>
      <w:szCs w:val="18"/>
    </w:rPr>
  </w:style>
  <w:style w:type="paragraph" w:styleId="28">
    <w:name w:val="header"/>
    <w:basedOn w:val="1"/>
    <w:link w:val="104"/>
    <w:qFormat/>
    <w:uiPriority w:val="0"/>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9">
    <w:name w:val="toc 1"/>
    <w:basedOn w:val="1"/>
    <w:next w:val="1"/>
    <w:qFormat/>
    <w:uiPriority w:val="39"/>
  </w:style>
  <w:style w:type="paragraph" w:styleId="30">
    <w:name w:val="toc 4"/>
    <w:basedOn w:val="1"/>
    <w:next w:val="1"/>
    <w:qFormat/>
    <w:uiPriority w:val="39"/>
    <w:pPr>
      <w:ind w:left="1260" w:leftChars="600"/>
    </w:pPr>
    <w:rPr>
      <w:rFonts w:ascii="等线" w:hAnsi="等线" w:eastAsia="等线"/>
      <w:szCs w:val="22"/>
    </w:rPr>
  </w:style>
  <w:style w:type="paragraph" w:styleId="31">
    <w:name w:val="Subtitle"/>
    <w:basedOn w:val="1"/>
    <w:next w:val="1"/>
    <w:link w:val="94"/>
    <w:qFormat/>
    <w:uiPriority w:val="0"/>
    <w:pPr>
      <w:spacing w:before="240" w:after="60" w:line="312" w:lineRule="auto"/>
      <w:jc w:val="center"/>
      <w:outlineLvl w:val="1"/>
    </w:pPr>
    <w:rPr>
      <w:rFonts w:ascii="Calibri Light" w:hAnsi="Calibri Light"/>
      <w:b/>
      <w:bCs/>
      <w:kern w:val="28"/>
      <w:sz w:val="32"/>
      <w:szCs w:val="32"/>
    </w:rPr>
  </w:style>
  <w:style w:type="paragraph" w:styleId="32">
    <w:name w:val="toc 6"/>
    <w:basedOn w:val="1"/>
    <w:next w:val="1"/>
    <w:qFormat/>
    <w:uiPriority w:val="39"/>
    <w:pPr>
      <w:ind w:left="2100" w:leftChars="1000"/>
    </w:pPr>
    <w:rPr>
      <w:rFonts w:ascii="等线" w:hAnsi="等线" w:eastAsia="等线"/>
      <w:szCs w:val="22"/>
    </w:rPr>
  </w:style>
  <w:style w:type="paragraph" w:styleId="33">
    <w:name w:val="toc 2"/>
    <w:basedOn w:val="1"/>
    <w:next w:val="1"/>
    <w:qFormat/>
    <w:uiPriority w:val="39"/>
    <w:pPr>
      <w:tabs>
        <w:tab w:val="right" w:leader="dot" w:pos="8302"/>
      </w:tabs>
      <w:ind w:left="420" w:leftChars="200"/>
    </w:pPr>
  </w:style>
  <w:style w:type="paragraph" w:styleId="34">
    <w:name w:val="toc 9"/>
    <w:basedOn w:val="1"/>
    <w:next w:val="1"/>
    <w:qFormat/>
    <w:uiPriority w:val="39"/>
    <w:pPr>
      <w:ind w:left="3360" w:leftChars="1600"/>
    </w:pPr>
    <w:rPr>
      <w:rFonts w:ascii="等线" w:hAnsi="等线" w:eastAsia="等线"/>
      <w:szCs w:val="22"/>
    </w:rPr>
  </w:style>
  <w:style w:type="paragraph" w:styleId="35">
    <w:name w:val="Body Text 2"/>
    <w:basedOn w:val="1"/>
    <w:qFormat/>
    <w:uiPriority w:val="0"/>
    <w:pPr>
      <w:spacing w:after="120" w:line="480" w:lineRule="auto"/>
    </w:pPr>
  </w:style>
  <w:style w:type="paragraph" w:styleId="36">
    <w:name w:val="Normal (Web)"/>
    <w:basedOn w:val="1"/>
    <w:qFormat/>
    <w:uiPriority w:val="99"/>
    <w:pPr>
      <w:widowControl/>
      <w:spacing w:before="100" w:after="100"/>
      <w:jc w:val="left"/>
    </w:pPr>
    <w:rPr>
      <w:rFonts w:hint="eastAsia" w:ascii="Arial Unicode MS" w:hAnsi="Arial Unicode MS" w:eastAsia="Arial Unicode MS"/>
      <w:kern w:val="0"/>
    </w:rPr>
  </w:style>
  <w:style w:type="paragraph" w:styleId="37">
    <w:name w:val="Title"/>
    <w:basedOn w:val="1"/>
    <w:next w:val="1"/>
    <w:link w:val="102"/>
    <w:qFormat/>
    <w:uiPriority w:val="10"/>
    <w:pPr>
      <w:spacing w:before="240" w:after="60" w:line="960" w:lineRule="auto"/>
      <w:jc w:val="center"/>
    </w:pPr>
    <w:rPr>
      <w:rFonts w:ascii="Cambria" w:hAnsi="Cambria" w:eastAsia="黑体"/>
      <w:b/>
      <w:bCs/>
      <w:sz w:val="52"/>
      <w:szCs w:val="32"/>
    </w:rPr>
  </w:style>
  <w:style w:type="paragraph" w:styleId="38">
    <w:name w:val="annotation subject"/>
    <w:basedOn w:val="16"/>
    <w:next w:val="16"/>
    <w:link w:val="90"/>
    <w:qFormat/>
    <w:uiPriority w:val="99"/>
    <w:rPr>
      <w:b/>
      <w:bCs/>
      <w:sz w:val="21"/>
    </w:rPr>
  </w:style>
  <w:style w:type="paragraph" w:styleId="39">
    <w:name w:val="Body Text First Indent"/>
    <w:basedOn w:val="18"/>
    <w:link w:val="152"/>
    <w:qFormat/>
    <w:uiPriority w:val="0"/>
    <w:pPr>
      <w:widowControl/>
      <w:ind w:firstLine="420" w:firstLineChars="100"/>
    </w:pPr>
    <w:rPr>
      <w:rFonts w:cs="宋体"/>
      <w:kern w:val="0"/>
      <w:sz w:val="24"/>
      <w:szCs w:val="20"/>
    </w:rPr>
  </w:style>
  <w:style w:type="table" w:styleId="41">
    <w:name w:val="Table Grid"/>
    <w:basedOn w:val="40"/>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qFormat/>
    <w:uiPriority w:val="22"/>
    <w:rPr>
      <w:b/>
      <w:bCs/>
    </w:rPr>
  </w:style>
  <w:style w:type="character" w:styleId="44">
    <w:name w:val="page number"/>
    <w:basedOn w:val="42"/>
    <w:qFormat/>
    <w:uiPriority w:val="0"/>
  </w:style>
  <w:style w:type="character" w:styleId="45">
    <w:name w:val="FollowedHyperlink"/>
    <w:qFormat/>
    <w:uiPriority w:val="99"/>
    <w:rPr>
      <w:color w:val="954F72"/>
      <w:u w:val="single"/>
    </w:rPr>
  </w:style>
  <w:style w:type="character" w:styleId="46">
    <w:name w:val="Emphasis"/>
    <w:qFormat/>
    <w:uiPriority w:val="20"/>
    <w:rPr>
      <w:i/>
      <w:iCs/>
    </w:rPr>
  </w:style>
  <w:style w:type="character" w:styleId="47">
    <w:name w:val="Hyperlink"/>
    <w:qFormat/>
    <w:uiPriority w:val="99"/>
    <w:rPr>
      <w:color w:val="0000FF"/>
      <w:u w:val="single"/>
    </w:rPr>
  </w:style>
  <w:style w:type="character" w:styleId="48">
    <w:name w:val="annotation reference"/>
    <w:qFormat/>
    <w:uiPriority w:val="99"/>
    <w:rPr>
      <w:sz w:val="21"/>
      <w:szCs w:val="21"/>
    </w:rPr>
  </w:style>
  <w:style w:type="paragraph" w:customStyle="1" w:styleId="49">
    <w:name w:val="*正文"/>
    <w:basedOn w:val="1"/>
    <w:link w:val="71"/>
    <w:qFormat/>
    <w:uiPriority w:val="0"/>
    <w:pPr>
      <w:widowControl/>
      <w:ind w:firstLine="200"/>
      <w:contextualSpacing/>
    </w:pPr>
    <w:rPr>
      <w:rFonts w:ascii="time" w:hAnsi="time"/>
      <w:kern w:val="0"/>
      <w:lang w:bidi="en-US"/>
    </w:rPr>
  </w:style>
  <w:style w:type="character" w:customStyle="1" w:styleId="50">
    <w:name w:val="标题 3 字符1"/>
    <w:qFormat/>
    <w:uiPriority w:val="0"/>
    <w:rPr>
      <w:rFonts w:ascii="宋体" w:hAnsi="宋体"/>
      <w:b/>
      <w:bCs/>
      <w:kern w:val="2"/>
      <w:sz w:val="28"/>
      <w:szCs w:val="28"/>
    </w:rPr>
  </w:style>
  <w:style w:type="character" w:customStyle="1" w:styleId="51">
    <w:name w:val="首行缩进正文 Char"/>
    <w:link w:val="52"/>
    <w:qFormat/>
    <w:uiPriority w:val="0"/>
    <w:rPr>
      <w:kern w:val="2"/>
      <w:sz w:val="24"/>
    </w:rPr>
  </w:style>
  <w:style w:type="paragraph" w:customStyle="1" w:styleId="52">
    <w:name w:val="首行缩进正文"/>
    <w:basedOn w:val="1"/>
    <w:link w:val="51"/>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53">
    <w:name w:val="批注文字 Char"/>
    <w:link w:val="16"/>
    <w:qFormat/>
    <w:uiPriority w:val="99"/>
    <w:rPr>
      <w:rFonts w:eastAsia="仿宋"/>
      <w:kern w:val="2"/>
      <w:sz w:val="28"/>
      <w:szCs w:val="24"/>
    </w:rPr>
  </w:style>
  <w:style w:type="character" w:customStyle="1" w:styleId="54">
    <w:name w:val="日期 字符"/>
    <w:qFormat/>
    <w:uiPriority w:val="0"/>
    <w:rPr>
      <w:rFonts w:ascii="宋体" w:hAnsi="宋体"/>
      <w:kern w:val="2"/>
      <w:sz w:val="24"/>
      <w:szCs w:val="24"/>
    </w:rPr>
  </w:style>
  <w:style w:type="character" w:customStyle="1" w:styleId="55">
    <w:name w:val="日期 Char"/>
    <w:link w:val="25"/>
    <w:qFormat/>
    <w:uiPriority w:val="0"/>
    <w:rPr>
      <w:kern w:val="2"/>
      <w:sz w:val="21"/>
      <w:szCs w:val="24"/>
    </w:rPr>
  </w:style>
  <w:style w:type="character" w:customStyle="1" w:styleId="56">
    <w:name w:val="标题 9 Char"/>
    <w:link w:val="11"/>
    <w:qFormat/>
    <w:uiPriority w:val="9"/>
    <w:rPr>
      <w:rFonts w:ascii="Cambria" w:hAnsi="Cambria"/>
      <w:kern w:val="2"/>
      <w:sz w:val="21"/>
      <w:szCs w:val="21"/>
    </w:rPr>
  </w:style>
  <w:style w:type="character" w:customStyle="1" w:styleId="57">
    <w:name w:val="未处理的提及1"/>
    <w:qFormat/>
    <w:uiPriority w:val="99"/>
    <w:rPr>
      <w:color w:val="605E5C"/>
      <w:shd w:val="clear" w:color="auto" w:fill="E1DFDD"/>
    </w:rPr>
  </w:style>
  <w:style w:type="character" w:customStyle="1" w:styleId="58">
    <w:name w:val="标题 1 字符"/>
    <w:qFormat/>
    <w:uiPriority w:val="9"/>
    <w:rPr>
      <w:rFonts w:ascii="宋体" w:hAnsi="宋体"/>
      <w:b/>
      <w:bCs/>
      <w:kern w:val="44"/>
      <w:sz w:val="44"/>
      <w:szCs w:val="44"/>
    </w:rPr>
  </w:style>
  <w:style w:type="character" w:customStyle="1" w:styleId="59">
    <w:name w:val="标题 3 字符"/>
    <w:qFormat/>
    <w:uiPriority w:val="9"/>
    <w:rPr>
      <w:rFonts w:ascii="宋体" w:hAnsi="宋体"/>
      <w:b/>
      <w:bCs/>
      <w:kern w:val="2"/>
      <w:sz w:val="32"/>
      <w:szCs w:val="32"/>
    </w:rPr>
  </w:style>
  <w:style w:type="character" w:customStyle="1" w:styleId="60">
    <w:name w:val="页脚 字符"/>
    <w:qFormat/>
    <w:uiPriority w:val="99"/>
  </w:style>
  <w:style w:type="character" w:customStyle="1" w:styleId="61">
    <w:name w:val="标题 5 字符"/>
    <w:qFormat/>
    <w:uiPriority w:val="9"/>
    <w:rPr>
      <w:rFonts w:ascii="宋体" w:hAnsi="宋体"/>
      <w:b/>
      <w:bCs/>
      <w:kern w:val="2"/>
      <w:sz w:val="28"/>
      <w:szCs w:val="28"/>
    </w:rPr>
  </w:style>
  <w:style w:type="character" w:customStyle="1" w:styleId="62">
    <w:name w:val="题注 Char"/>
    <w:link w:val="14"/>
    <w:qFormat/>
    <w:uiPriority w:val="35"/>
    <w:rPr>
      <w:rFonts w:ascii="Arial" w:hAnsi="Arial" w:eastAsia="黑体"/>
      <w:kern w:val="2"/>
    </w:rPr>
  </w:style>
  <w:style w:type="character" w:customStyle="1" w:styleId="63">
    <w:name w:val="标题 2 字符"/>
    <w:qFormat/>
    <w:uiPriority w:val="9"/>
    <w:rPr>
      <w:rFonts w:ascii="等线 Light" w:hAnsi="等线 Light" w:eastAsia="等线 Light" w:cs="Times New Roman"/>
      <w:b/>
      <w:bCs/>
      <w:kern w:val="2"/>
      <w:sz w:val="32"/>
      <w:szCs w:val="32"/>
    </w:rPr>
  </w:style>
  <w:style w:type="character" w:customStyle="1" w:styleId="64">
    <w:name w:val="纯文本 字符"/>
    <w:qFormat/>
    <w:uiPriority w:val="0"/>
    <w:rPr>
      <w:rFonts w:ascii="宋体" w:hAnsi="Courier New" w:cs="Courier New"/>
      <w:kern w:val="2"/>
      <w:sz w:val="21"/>
      <w:szCs w:val="21"/>
    </w:rPr>
  </w:style>
  <w:style w:type="character" w:customStyle="1" w:styleId="65">
    <w:name w:val="列表段落 字符"/>
    <w:qFormat/>
    <w:uiPriority w:val="34"/>
    <w:rPr>
      <w:kern w:val="2"/>
      <w:sz w:val="21"/>
      <w:szCs w:val="22"/>
    </w:rPr>
  </w:style>
  <w:style w:type="character" w:customStyle="1" w:styleId="66">
    <w:name w:val="标题 4 Char"/>
    <w:link w:val="5"/>
    <w:qFormat/>
    <w:uiPriority w:val="0"/>
    <w:rPr>
      <w:rFonts w:ascii="宋体" w:hAnsi="宋体"/>
      <w:b/>
      <w:bCs/>
      <w:kern w:val="2"/>
      <w:sz w:val="30"/>
      <w:szCs w:val="30"/>
    </w:rPr>
  </w:style>
  <w:style w:type="character" w:customStyle="1" w:styleId="67">
    <w:name w:val="正文文本 Char"/>
    <w:link w:val="18"/>
    <w:qFormat/>
    <w:uiPriority w:val="0"/>
    <w:rPr>
      <w:kern w:val="2"/>
      <w:sz w:val="21"/>
      <w:szCs w:val="24"/>
    </w:rPr>
  </w:style>
  <w:style w:type="character" w:customStyle="1" w:styleId="68">
    <w:name w:val="列出段落 Char"/>
    <w:link w:val="69"/>
    <w:qFormat/>
    <w:uiPriority w:val="34"/>
    <w:rPr>
      <w:kern w:val="2"/>
      <w:sz w:val="21"/>
      <w:szCs w:val="24"/>
    </w:rPr>
  </w:style>
  <w:style w:type="paragraph" w:styleId="69">
    <w:name w:val="List Paragraph"/>
    <w:basedOn w:val="1"/>
    <w:link w:val="68"/>
    <w:qFormat/>
    <w:uiPriority w:val="34"/>
    <w:pPr>
      <w:ind w:firstLine="420"/>
    </w:pPr>
    <w:rPr>
      <w:rFonts w:ascii="Times New Roman" w:hAnsi="Times New Roman"/>
      <w:sz w:val="21"/>
    </w:rPr>
  </w:style>
  <w:style w:type="character" w:customStyle="1" w:styleId="70">
    <w:name w:val="font21"/>
    <w:qFormat/>
    <w:uiPriority w:val="0"/>
    <w:rPr>
      <w:rFonts w:ascii="Calibri" w:hAnsi="Calibri" w:cs="Calibri"/>
      <w:color w:val="000000"/>
      <w:sz w:val="21"/>
      <w:szCs w:val="21"/>
      <w:u w:val="none"/>
    </w:rPr>
  </w:style>
  <w:style w:type="character" w:customStyle="1" w:styleId="71">
    <w:name w:val="*正文 Char"/>
    <w:link w:val="49"/>
    <w:qFormat/>
    <w:uiPriority w:val="0"/>
    <w:rPr>
      <w:rFonts w:ascii="time" w:hAnsi="time"/>
      <w:sz w:val="24"/>
      <w:szCs w:val="24"/>
      <w:lang w:bidi="en-US"/>
    </w:rPr>
  </w:style>
  <w:style w:type="character" w:customStyle="1" w:styleId="72">
    <w:name w:val="正文文本缩进 字符"/>
    <w:qFormat/>
    <w:uiPriority w:val="99"/>
    <w:rPr>
      <w:rFonts w:ascii="宋体" w:hAnsi="宋体"/>
      <w:kern w:val="2"/>
      <w:sz w:val="24"/>
      <w:szCs w:val="24"/>
    </w:rPr>
  </w:style>
  <w:style w:type="character" w:customStyle="1" w:styleId="73">
    <w:name w:val="纯文本 Char"/>
    <w:link w:val="23"/>
    <w:qFormat/>
    <w:uiPriority w:val="0"/>
    <w:rPr>
      <w:rFonts w:ascii="宋体" w:hAnsi="Courier New"/>
      <w:kern w:val="2"/>
      <w:sz w:val="21"/>
    </w:rPr>
  </w:style>
  <w:style w:type="character" w:customStyle="1" w:styleId="74">
    <w:name w:val="my正文 Char"/>
    <w:link w:val="75"/>
    <w:qFormat/>
    <w:uiPriority w:val="0"/>
    <w:rPr>
      <w:kern w:val="2"/>
      <w:sz w:val="21"/>
      <w:szCs w:val="24"/>
    </w:rPr>
  </w:style>
  <w:style w:type="paragraph" w:customStyle="1" w:styleId="75">
    <w:name w:val="my正文"/>
    <w:basedOn w:val="1"/>
    <w:link w:val="74"/>
    <w:qFormat/>
    <w:uiPriority w:val="0"/>
    <w:pPr>
      <w:spacing w:line="240" w:lineRule="auto"/>
      <w:ind w:firstLine="0" w:firstLineChars="0"/>
    </w:pPr>
    <w:rPr>
      <w:rFonts w:ascii="Times New Roman" w:hAnsi="Times New Roman"/>
      <w:sz w:val="21"/>
    </w:rPr>
  </w:style>
  <w:style w:type="character" w:customStyle="1" w:styleId="76">
    <w:name w:val="正文2 字符"/>
    <w:link w:val="77"/>
    <w:qFormat/>
    <w:uiPriority w:val="0"/>
    <w:rPr>
      <w:kern w:val="2"/>
      <w:sz w:val="21"/>
      <w:szCs w:val="24"/>
    </w:rPr>
  </w:style>
  <w:style w:type="paragraph" w:customStyle="1" w:styleId="77">
    <w:name w:val="正文2"/>
    <w:basedOn w:val="1"/>
    <w:link w:val="76"/>
    <w:qFormat/>
    <w:uiPriority w:val="0"/>
    <w:pPr>
      <w:ind w:firstLine="420"/>
    </w:pPr>
    <w:rPr>
      <w:rFonts w:ascii="Times New Roman" w:hAnsi="Times New Roman"/>
      <w:sz w:val="21"/>
    </w:rPr>
  </w:style>
  <w:style w:type="character" w:customStyle="1" w:styleId="78">
    <w:name w:val="font41"/>
    <w:qFormat/>
    <w:uiPriority w:val="0"/>
    <w:rPr>
      <w:rFonts w:hint="eastAsia" w:ascii="宋体" w:hAnsi="宋体" w:eastAsia="宋体" w:cs="宋体"/>
      <w:color w:val="000000"/>
      <w:sz w:val="21"/>
      <w:szCs w:val="21"/>
      <w:u w:val="none"/>
    </w:rPr>
  </w:style>
  <w:style w:type="character" w:customStyle="1" w:styleId="79">
    <w:name w:val="标题 7 Char"/>
    <w:link w:val="9"/>
    <w:qFormat/>
    <w:uiPriority w:val="9"/>
    <w:rPr>
      <w:b/>
      <w:bCs/>
      <w:kern w:val="2"/>
      <w:sz w:val="21"/>
      <w:szCs w:val="24"/>
    </w:rPr>
  </w:style>
  <w:style w:type="character" w:customStyle="1" w:styleId="80">
    <w:name w:val="批注框文本 字符"/>
    <w:qFormat/>
    <w:uiPriority w:val="99"/>
    <w:rPr>
      <w:rFonts w:ascii="宋体" w:hAnsi="宋体"/>
      <w:kern w:val="2"/>
      <w:sz w:val="18"/>
      <w:szCs w:val="18"/>
    </w:rPr>
  </w:style>
  <w:style w:type="character" w:customStyle="1" w:styleId="81">
    <w:name w:val="副标题 Char1"/>
    <w:qFormat/>
    <w:uiPriority w:val="0"/>
    <w:rPr>
      <w:rFonts w:ascii="Calibri Light" w:hAnsi="Calibri Light" w:cs="Times New Roman"/>
      <w:b/>
      <w:bCs/>
      <w:kern w:val="28"/>
      <w:sz w:val="32"/>
      <w:szCs w:val="32"/>
    </w:rPr>
  </w:style>
  <w:style w:type="character" w:customStyle="1" w:styleId="82">
    <w:name w:val="标题 1 Char1"/>
    <w:link w:val="2"/>
    <w:qFormat/>
    <w:uiPriority w:val="9"/>
    <w:rPr>
      <w:rFonts w:ascii="宋体" w:hAnsi="宋体" w:eastAsia="黑体"/>
      <w:b/>
      <w:bCs/>
      <w:color w:val="000000"/>
      <w:kern w:val="44"/>
      <w:sz w:val="32"/>
      <w:szCs w:val="28"/>
    </w:rPr>
  </w:style>
  <w:style w:type="character" w:customStyle="1" w:styleId="83">
    <w:name w:val="批注文字 字符"/>
    <w:qFormat/>
    <w:uiPriority w:val="99"/>
    <w:rPr>
      <w:rFonts w:ascii="宋体" w:hAnsi="宋体"/>
      <w:kern w:val="2"/>
      <w:sz w:val="24"/>
      <w:szCs w:val="24"/>
    </w:rPr>
  </w:style>
  <w:style w:type="character" w:customStyle="1" w:styleId="84">
    <w:name w:val="文档结构图 字符"/>
    <w:qFormat/>
    <w:uiPriority w:val="99"/>
    <w:rPr>
      <w:rFonts w:ascii="Microsoft YaHei UI" w:hAnsi="宋体" w:eastAsia="Microsoft YaHei UI"/>
      <w:kern w:val="2"/>
      <w:sz w:val="18"/>
      <w:szCs w:val="18"/>
    </w:rPr>
  </w:style>
  <w:style w:type="character" w:customStyle="1" w:styleId="85">
    <w:name w:val="标题 6 字符"/>
    <w:qFormat/>
    <w:uiPriority w:val="9"/>
    <w:rPr>
      <w:rFonts w:ascii="等线 Light" w:hAnsi="等线 Light" w:eastAsia="等线 Light" w:cs="Times New Roman"/>
      <w:b/>
      <w:bCs/>
      <w:kern w:val="2"/>
      <w:sz w:val="24"/>
      <w:szCs w:val="24"/>
    </w:rPr>
  </w:style>
  <w:style w:type="character" w:customStyle="1" w:styleId="86">
    <w:name w:val="正文正文2 Char"/>
    <w:link w:val="87"/>
    <w:qFormat/>
    <w:uiPriority w:val="0"/>
    <w:rPr>
      <w:rFonts w:ascii="宋体" w:hAnsi="宋体"/>
      <w:kern w:val="2"/>
      <w:sz w:val="21"/>
      <w:szCs w:val="21"/>
    </w:rPr>
  </w:style>
  <w:style w:type="paragraph" w:customStyle="1" w:styleId="87">
    <w:name w:val="正文正文2"/>
    <w:basedOn w:val="1"/>
    <w:link w:val="86"/>
    <w:qFormat/>
    <w:uiPriority w:val="0"/>
    <w:pPr>
      <w:ind w:firstLine="460"/>
    </w:pPr>
    <w:rPr>
      <w:sz w:val="21"/>
      <w:szCs w:val="21"/>
    </w:rPr>
  </w:style>
  <w:style w:type="character" w:customStyle="1" w:styleId="88">
    <w:name w:val="标题 3 Char"/>
    <w:link w:val="4"/>
    <w:qFormat/>
    <w:uiPriority w:val="0"/>
    <w:rPr>
      <w:rFonts w:ascii="宋体" w:hAnsi="宋体"/>
      <w:b/>
      <w:bCs/>
      <w:kern w:val="2"/>
      <w:sz w:val="28"/>
      <w:szCs w:val="28"/>
    </w:rPr>
  </w:style>
  <w:style w:type="character" w:customStyle="1" w:styleId="89">
    <w:name w:val="标题 4 字符"/>
    <w:qFormat/>
    <w:uiPriority w:val="9"/>
    <w:rPr>
      <w:rFonts w:ascii="等线 Light" w:hAnsi="等线 Light" w:eastAsia="等线 Light" w:cs="Times New Roman"/>
      <w:b/>
      <w:bCs/>
      <w:kern w:val="2"/>
      <w:sz w:val="28"/>
      <w:szCs w:val="28"/>
    </w:rPr>
  </w:style>
  <w:style w:type="character" w:customStyle="1" w:styleId="90">
    <w:name w:val="批注主题 Char"/>
    <w:link w:val="38"/>
    <w:qFormat/>
    <w:uiPriority w:val="0"/>
    <w:rPr>
      <w:rFonts w:eastAsia="仿宋"/>
      <w:b/>
      <w:bCs/>
      <w:kern w:val="2"/>
      <w:sz w:val="21"/>
      <w:szCs w:val="24"/>
    </w:rPr>
  </w:style>
  <w:style w:type="character" w:customStyle="1" w:styleId="91">
    <w:name w:val="页眉 字符"/>
    <w:qFormat/>
    <w:uiPriority w:val="0"/>
    <w:rPr>
      <w:rFonts w:ascii="宋体" w:hAnsi="宋体"/>
      <w:kern w:val="2"/>
      <w:sz w:val="18"/>
      <w:szCs w:val="18"/>
    </w:rPr>
  </w:style>
  <w:style w:type="character" w:customStyle="1" w:styleId="92">
    <w:name w:val="正文文本缩进 Char"/>
    <w:link w:val="19"/>
    <w:qFormat/>
    <w:uiPriority w:val="0"/>
    <w:rPr>
      <w:kern w:val="2"/>
      <w:sz w:val="21"/>
    </w:rPr>
  </w:style>
  <w:style w:type="character" w:customStyle="1" w:styleId="93">
    <w:name w:val="标题 5 Char"/>
    <w:link w:val="7"/>
    <w:qFormat/>
    <w:uiPriority w:val="0"/>
    <w:rPr>
      <w:rFonts w:ascii="宋体" w:hAnsi="宋体"/>
      <w:b/>
      <w:bCs/>
      <w:kern w:val="2"/>
      <w:sz w:val="24"/>
      <w:szCs w:val="28"/>
    </w:rPr>
  </w:style>
  <w:style w:type="character" w:customStyle="1" w:styleId="94">
    <w:name w:val="副标题 Char"/>
    <w:link w:val="31"/>
    <w:qFormat/>
    <w:uiPriority w:val="0"/>
    <w:rPr>
      <w:rFonts w:ascii="Calibri Light" w:hAnsi="Calibri Light"/>
      <w:b/>
      <w:bCs/>
      <w:kern w:val="28"/>
      <w:sz w:val="32"/>
      <w:szCs w:val="32"/>
    </w:rPr>
  </w:style>
  <w:style w:type="character" w:customStyle="1" w:styleId="95">
    <w:name w:val="标题 2 Char"/>
    <w:link w:val="3"/>
    <w:qFormat/>
    <w:uiPriority w:val="9"/>
    <w:rPr>
      <w:rFonts w:ascii="宋体" w:hAnsi="宋体"/>
      <w:b/>
      <w:bCs/>
      <w:kern w:val="2"/>
      <w:sz w:val="30"/>
      <w:szCs w:val="32"/>
    </w:rPr>
  </w:style>
  <w:style w:type="character" w:customStyle="1" w:styleId="96">
    <w:name w:val="页脚 Char"/>
    <w:link w:val="27"/>
    <w:qFormat/>
    <w:uiPriority w:val="99"/>
    <w:rPr>
      <w:kern w:val="2"/>
      <w:sz w:val="18"/>
      <w:szCs w:val="18"/>
    </w:rPr>
  </w:style>
  <w:style w:type="character" w:customStyle="1" w:styleId="97">
    <w:name w:val="批注主题 字符"/>
    <w:qFormat/>
    <w:uiPriority w:val="99"/>
    <w:rPr>
      <w:rFonts w:ascii="宋体" w:hAnsi="宋体"/>
      <w:b/>
      <w:bCs/>
      <w:kern w:val="2"/>
      <w:sz w:val="24"/>
      <w:szCs w:val="24"/>
    </w:rPr>
  </w:style>
  <w:style w:type="character" w:customStyle="1" w:styleId="98">
    <w:name w:val="文档结构图 Char"/>
    <w:link w:val="15"/>
    <w:qFormat/>
    <w:uiPriority w:val="0"/>
    <w:rPr>
      <w:rFonts w:ascii="宋体"/>
      <w:kern w:val="2"/>
      <w:sz w:val="18"/>
      <w:szCs w:val="18"/>
    </w:rPr>
  </w:style>
  <w:style w:type="character" w:customStyle="1" w:styleId="99">
    <w:name w:val="font31"/>
    <w:qFormat/>
    <w:uiPriority w:val="0"/>
    <w:rPr>
      <w:rFonts w:hint="eastAsia" w:ascii="宋体" w:hAnsi="宋体" w:eastAsia="宋体" w:cs="宋体"/>
      <w:color w:val="000000"/>
      <w:sz w:val="21"/>
      <w:szCs w:val="21"/>
      <w:u w:val="none"/>
    </w:rPr>
  </w:style>
  <w:style w:type="character" w:customStyle="1" w:styleId="100">
    <w:name w:val="标准正文 Char"/>
    <w:link w:val="101"/>
    <w:qFormat/>
    <w:uiPriority w:val="0"/>
    <w:rPr>
      <w:rFonts w:ascii="Arial" w:hAnsi="Arial"/>
      <w:kern w:val="2"/>
      <w:sz w:val="24"/>
    </w:rPr>
  </w:style>
  <w:style w:type="paragraph" w:customStyle="1" w:styleId="101">
    <w:name w:val="标准正文"/>
    <w:basedOn w:val="19"/>
    <w:link w:val="100"/>
    <w:qFormat/>
    <w:uiPriority w:val="0"/>
    <w:pPr>
      <w:spacing w:before="60" w:after="60"/>
      <w:ind w:firstLine="482" w:firstLineChars="0"/>
    </w:pPr>
    <w:rPr>
      <w:rFonts w:ascii="Arial" w:hAnsi="Arial"/>
      <w:sz w:val="24"/>
    </w:rPr>
  </w:style>
  <w:style w:type="character" w:customStyle="1" w:styleId="102">
    <w:name w:val="标题 Char"/>
    <w:link w:val="37"/>
    <w:qFormat/>
    <w:uiPriority w:val="0"/>
    <w:rPr>
      <w:rFonts w:ascii="Cambria" w:hAnsi="Cambria" w:eastAsia="黑体"/>
      <w:b/>
      <w:bCs/>
      <w:kern w:val="2"/>
      <w:sz w:val="52"/>
      <w:szCs w:val="32"/>
    </w:rPr>
  </w:style>
  <w:style w:type="character" w:customStyle="1" w:styleId="103">
    <w:name w:val="批注框文本 Char"/>
    <w:link w:val="26"/>
    <w:qFormat/>
    <w:uiPriority w:val="0"/>
    <w:rPr>
      <w:kern w:val="2"/>
      <w:sz w:val="18"/>
      <w:szCs w:val="18"/>
    </w:rPr>
  </w:style>
  <w:style w:type="character" w:customStyle="1" w:styleId="104">
    <w:name w:val="页眉 Char"/>
    <w:link w:val="28"/>
    <w:qFormat/>
    <w:uiPriority w:val="99"/>
    <w:rPr>
      <w:kern w:val="2"/>
      <w:sz w:val="18"/>
      <w:szCs w:val="18"/>
    </w:rPr>
  </w:style>
  <w:style w:type="character" w:customStyle="1" w:styleId="105">
    <w:name w:val="标题 8 Char"/>
    <w:link w:val="10"/>
    <w:qFormat/>
    <w:uiPriority w:val="9"/>
    <w:rPr>
      <w:rFonts w:ascii="Cambria" w:hAnsi="Cambria"/>
      <w:kern w:val="2"/>
      <w:sz w:val="21"/>
      <w:szCs w:val="24"/>
    </w:rPr>
  </w:style>
  <w:style w:type="character" w:customStyle="1" w:styleId="106">
    <w:name w:val="标题 6 Char"/>
    <w:link w:val="8"/>
    <w:qFormat/>
    <w:uiPriority w:val="0"/>
    <w:rPr>
      <w:rFonts w:ascii="Cambria" w:hAnsi="Cambria"/>
      <w:b/>
      <w:bCs/>
      <w:kern w:val="2"/>
      <w:sz w:val="24"/>
      <w:szCs w:val="24"/>
    </w:rPr>
  </w:style>
  <w:style w:type="character" w:customStyle="1" w:styleId="107">
    <w:name w:val="标题 字符"/>
    <w:qFormat/>
    <w:uiPriority w:val="10"/>
    <w:rPr>
      <w:rFonts w:ascii="等线 Light" w:hAnsi="等线 Light" w:eastAsia="等线 Light" w:cs="Times New Roman"/>
      <w:b/>
      <w:bCs/>
      <w:kern w:val="2"/>
      <w:sz w:val="32"/>
      <w:szCs w:val="32"/>
    </w:rPr>
  </w:style>
  <w:style w:type="character" w:customStyle="1" w:styleId="108">
    <w:name w:val="副标题 字符"/>
    <w:qFormat/>
    <w:uiPriority w:val="11"/>
    <w:rPr>
      <w:rFonts w:ascii="等线" w:hAnsi="等线" w:eastAsia="等线" w:cs="Times New Roman"/>
      <w:b/>
      <w:bCs/>
      <w:kern w:val="28"/>
      <w:sz w:val="32"/>
      <w:szCs w:val="32"/>
    </w:rPr>
  </w:style>
  <w:style w:type="paragraph" w:customStyle="1" w:styleId="109">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10">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11">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12">
    <w:name w:val="_Style 2"/>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13">
    <w:name w:val="正文缩进1"/>
    <w:basedOn w:val="1"/>
    <w:qFormat/>
    <w:uiPriority w:val="0"/>
    <w:pPr>
      <w:spacing w:line="240" w:lineRule="auto"/>
      <w:ind w:firstLine="420"/>
    </w:pPr>
    <w:rPr>
      <w:rFonts w:ascii="Times New Roman" w:hAnsi="Times New Roman"/>
      <w:sz w:val="21"/>
      <w:szCs w:val="20"/>
    </w:rPr>
  </w:style>
  <w:style w:type="paragraph" w:customStyle="1" w:styleId="114">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15">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16">
    <w:name w:val="Indent Normal"/>
    <w:basedOn w:val="1"/>
    <w:qFormat/>
    <w:uiPriority w:val="0"/>
    <w:pPr>
      <w:ind w:firstLine="150" w:firstLineChars="150"/>
    </w:pPr>
  </w:style>
  <w:style w:type="paragraph" w:customStyle="1" w:styleId="117">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8">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19">
    <w:name w:val="列项●（二级）"/>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20">
    <w:name w:val="助手文本"/>
    <w:basedOn w:val="1"/>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21">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2">
    <w:name w:val="段"/>
    <w:link w:val="186"/>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2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24">
    <w:name w:val="Char Char Char Char Char Char1 Char"/>
    <w:basedOn w:val="1"/>
    <w:qFormat/>
    <w:uiPriority w:val="0"/>
    <w:pPr>
      <w:widowControl/>
      <w:spacing w:after="160" w:line="240" w:lineRule="exact"/>
      <w:jc w:val="left"/>
    </w:pPr>
  </w:style>
  <w:style w:type="paragraph" w:customStyle="1" w:styleId="125">
    <w:name w:val="PM_Body"/>
    <w:basedOn w:val="1"/>
    <w:qFormat/>
    <w:uiPriority w:val="0"/>
    <w:rPr>
      <w:szCs w:val="21"/>
    </w:rPr>
  </w:style>
  <w:style w:type="paragraph" w:customStyle="1" w:styleId="126">
    <w:name w:val="Char Char1"/>
    <w:basedOn w:val="1"/>
    <w:qFormat/>
    <w:uiPriority w:val="0"/>
    <w:pPr>
      <w:widowControl/>
      <w:spacing w:before="120" w:after="120"/>
    </w:pPr>
    <w:rPr>
      <w:rFonts w:ascii="Times New Roman" w:hAnsi="Times New Roman" w:cs="宋体"/>
    </w:rPr>
  </w:style>
  <w:style w:type="paragraph" w:customStyle="1" w:styleId="127">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8">
    <w:name w:val="修订1"/>
    <w:qFormat/>
    <w:uiPriority w:val="0"/>
    <w:rPr>
      <w:rFonts w:ascii="宋体" w:hAnsi="宋体" w:eastAsia="宋体" w:cs="Times New Roman"/>
      <w:kern w:val="2"/>
      <w:sz w:val="24"/>
      <w:szCs w:val="24"/>
      <w:lang w:val="en-US" w:eastAsia="zh-CN" w:bidi="ar-SA"/>
    </w:rPr>
  </w:style>
  <w:style w:type="paragraph" w:customStyle="1" w:styleId="129">
    <w:name w:val="列出段落2"/>
    <w:basedOn w:val="1"/>
    <w:qFormat/>
    <w:uiPriority w:val="0"/>
    <w:pPr>
      <w:spacing w:line="240" w:lineRule="auto"/>
      <w:ind w:firstLine="420"/>
    </w:pPr>
    <w:rPr>
      <w:rFonts w:ascii="等线" w:hAnsi="等线" w:eastAsia="等线" w:cs="等线"/>
      <w:sz w:val="21"/>
      <w:szCs w:val="21"/>
    </w:rPr>
  </w:style>
  <w:style w:type="paragraph" w:customStyle="1" w:styleId="130">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3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32">
    <w:name w:val="文档正文文本（中安网脉）"/>
    <w:basedOn w:val="1"/>
    <w:qFormat/>
    <w:uiPriority w:val="0"/>
    <w:pPr>
      <w:ind w:firstLine="200"/>
    </w:pPr>
    <w:rPr>
      <w:rFonts w:ascii="Times New Roman" w:hAnsi="Times New Roman" w:eastAsia="仿宋_GB2312"/>
      <w:color w:val="000000"/>
      <w:szCs w:val="28"/>
    </w:rPr>
  </w:style>
  <w:style w:type="paragraph" w:customStyle="1" w:styleId="133">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34">
    <w:name w:val="正文样式"/>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35">
    <w:name w:val="样式 行距: 1.5 倍行距 首行缩进:  2 字符"/>
    <w:basedOn w:val="1"/>
    <w:qFormat/>
    <w:uiPriority w:val="0"/>
    <w:pPr>
      <w:ind w:firstLine="560"/>
      <w:jc w:val="left"/>
    </w:pPr>
    <w:rPr>
      <w:rFonts w:ascii="仿宋" w:hAnsi="仿宋" w:eastAsia="仿宋" w:cs="宋体"/>
      <w:sz w:val="28"/>
      <w:szCs w:val="20"/>
    </w:rPr>
  </w:style>
  <w:style w:type="paragraph" w:customStyle="1" w:styleId="136">
    <w:name w:val="TOC 标题1"/>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7">
    <w:name w:val="!我的表格1"/>
    <w:basedOn w:val="4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
    <w:name w:val="网格型1"/>
    <w:basedOn w:val="40"/>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9">
    <w:name w:val="标题 1 Char"/>
    <w:qFormat/>
    <w:uiPriority w:val="0"/>
    <w:rPr>
      <w:rFonts w:ascii="宋体" w:hAnsi="宋体" w:eastAsia="黑体"/>
      <w:b/>
      <w:bCs/>
      <w:kern w:val="44"/>
      <w:sz w:val="32"/>
      <w:szCs w:val="28"/>
    </w:rPr>
  </w:style>
  <w:style w:type="character" w:customStyle="1" w:styleId="140">
    <w:name w:val="纯文本 Char2"/>
    <w:qFormat/>
    <w:uiPriority w:val="0"/>
    <w:rPr>
      <w:rFonts w:ascii="宋体" w:hAnsi="宋体" w:eastAsia="宋体" w:cs="Times New Roman"/>
      <w:color w:val="000000"/>
      <w:kern w:val="0"/>
      <w:sz w:val="24"/>
      <w:szCs w:val="24"/>
    </w:rPr>
  </w:style>
  <w:style w:type="paragraph" w:customStyle="1" w:styleId="141">
    <w:name w:val="！正文"/>
    <w:basedOn w:val="1"/>
    <w:qFormat/>
    <w:uiPriority w:val="0"/>
    <w:pPr>
      <w:widowControl/>
      <w:autoSpaceDE w:val="0"/>
      <w:autoSpaceDN w:val="0"/>
      <w:adjustRightInd w:val="0"/>
      <w:spacing w:line="560" w:lineRule="exact"/>
    </w:pPr>
    <w:rPr>
      <w:rFonts w:ascii="仿宋_GB2312" w:eastAsia="仿宋_GB2312"/>
      <w:sz w:val="32"/>
      <w:szCs w:val="28"/>
      <w:lang w:val="zh-CN"/>
    </w:rPr>
  </w:style>
  <w:style w:type="paragraph" w:customStyle="1" w:styleId="142">
    <w:name w:val="样式2"/>
    <w:basedOn w:val="1"/>
    <w:link w:val="184"/>
    <w:qFormat/>
    <w:uiPriority w:val="0"/>
    <w:pPr>
      <w:widowControl/>
      <w:adjustRightInd w:val="0"/>
      <w:ind w:firstLine="480"/>
    </w:pPr>
    <w:rPr>
      <w:kern w:val="0"/>
      <w:lang w:eastAsia="en-US"/>
    </w:rPr>
  </w:style>
  <w:style w:type="table" w:customStyle="1" w:styleId="143">
    <w:name w:val="Table Normal"/>
    <w:qFormat/>
    <w:uiPriority w:val="0"/>
    <w:tblPr>
      <w:tblCellMar>
        <w:top w:w="0" w:type="dxa"/>
        <w:left w:w="0" w:type="dxa"/>
        <w:bottom w:w="0" w:type="dxa"/>
        <w:right w:w="0" w:type="dxa"/>
      </w:tblCellMar>
    </w:tblPr>
  </w:style>
  <w:style w:type="character" w:customStyle="1" w:styleId="144">
    <w:name w:val="font01"/>
    <w:basedOn w:val="42"/>
    <w:qFormat/>
    <w:uiPriority w:val="0"/>
    <w:rPr>
      <w:rFonts w:hint="default" w:ascii="Microsoft Sans Serif" w:hAnsi="Microsoft Sans Serif" w:eastAsia="Microsoft Sans Serif" w:cs="Microsoft Sans Serif"/>
      <w:color w:val="000000"/>
      <w:sz w:val="18"/>
      <w:szCs w:val="18"/>
      <w:u w:val="none"/>
    </w:rPr>
  </w:style>
  <w:style w:type="character" w:customStyle="1" w:styleId="145">
    <w:name w:val="段落正文 Char"/>
    <w:link w:val="6"/>
    <w:qFormat/>
    <w:uiPriority w:val="0"/>
    <w:rPr>
      <w:rFonts w:ascii="仿宋" w:hAnsi="仿宋" w:eastAsia="仿宋"/>
      <w:sz w:val="28"/>
      <w:szCs w:val="28"/>
    </w:rPr>
  </w:style>
  <w:style w:type="character" w:customStyle="1" w:styleId="146">
    <w:name w:val="font51"/>
    <w:basedOn w:val="42"/>
    <w:qFormat/>
    <w:uiPriority w:val="0"/>
    <w:rPr>
      <w:rFonts w:hint="default" w:ascii="Times New Roman" w:hAnsi="Times New Roman" w:cs="Times New Roman"/>
      <w:color w:val="000000"/>
      <w:sz w:val="24"/>
      <w:szCs w:val="24"/>
      <w:u w:val="none"/>
    </w:rPr>
  </w:style>
  <w:style w:type="character" w:customStyle="1" w:styleId="147">
    <w:name w:val="font61"/>
    <w:basedOn w:val="42"/>
    <w:qFormat/>
    <w:uiPriority w:val="0"/>
    <w:rPr>
      <w:rFonts w:hint="eastAsia" w:ascii="宋体" w:hAnsi="宋体" w:eastAsia="宋体" w:cs="宋体"/>
      <w:b/>
      <w:bCs/>
      <w:color w:val="000000"/>
      <w:sz w:val="24"/>
      <w:szCs w:val="24"/>
      <w:u w:val="none"/>
    </w:rPr>
  </w:style>
  <w:style w:type="character" w:customStyle="1" w:styleId="148">
    <w:name w:val="font71"/>
    <w:basedOn w:val="42"/>
    <w:qFormat/>
    <w:uiPriority w:val="0"/>
    <w:rPr>
      <w:rFonts w:hint="default" w:ascii="Times New Roman" w:hAnsi="Times New Roman" w:cs="Times New Roman"/>
      <w:color w:val="000000"/>
      <w:sz w:val="24"/>
      <w:szCs w:val="24"/>
      <w:u w:val="none"/>
    </w:rPr>
  </w:style>
  <w:style w:type="character" w:customStyle="1" w:styleId="149">
    <w:name w:val="font81"/>
    <w:basedOn w:val="42"/>
    <w:qFormat/>
    <w:uiPriority w:val="0"/>
    <w:rPr>
      <w:rFonts w:hint="eastAsia" w:ascii="宋体" w:hAnsi="宋体" w:eastAsia="宋体" w:cs="宋体"/>
      <w:color w:val="000000"/>
      <w:sz w:val="24"/>
      <w:szCs w:val="24"/>
      <w:u w:val="none"/>
    </w:rPr>
  </w:style>
  <w:style w:type="character" w:customStyle="1" w:styleId="150">
    <w:name w:val="font11"/>
    <w:basedOn w:val="42"/>
    <w:qFormat/>
    <w:uiPriority w:val="0"/>
    <w:rPr>
      <w:rFonts w:hint="default" w:ascii="Arial" w:hAnsi="Arial" w:cs="Arial"/>
      <w:color w:val="000000"/>
      <w:sz w:val="21"/>
      <w:szCs w:val="21"/>
      <w:u w:val="none"/>
    </w:rPr>
  </w:style>
  <w:style w:type="character" w:customStyle="1" w:styleId="151">
    <w:name w:val="称呼 Char"/>
    <w:basedOn w:val="42"/>
    <w:link w:val="17"/>
    <w:qFormat/>
    <w:uiPriority w:val="0"/>
    <w:rPr>
      <w:rFonts w:ascii="宋体" w:hAnsi="宋体" w:cs="宋体"/>
      <w:sz w:val="24"/>
      <w:szCs w:val="24"/>
    </w:rPr>
  </w:style>
  <w:style w:type="character" w:customStyle="1" w:styleId="152">
    <w:name w:val="正文首行缩进 Char"/>
    <w:basedOn w:val="67"/>
    <w:link w:val="39"/>
    <w:qFormat/>
    <w:uiPriority w:val="0"/>
    <w:rPr>
      <w:rFonts w:cs="宋体"/>
      <w:kern w:val="2"/>
      <w:sz w:val="24"/>
      <w:szCs w:val="24"/>
    </w:rPr>
  </w:style>
  <w:style w:type="paragraph" w:customStyle="1" w:styleId="153">
    <w:name w:val="表图内容"/>
    <w:basedOn w:val="1"/>
    <w:link w:val="154"/>
    <w:qFormat/>
    <w:uiPriority w:val="0"/>
    <w:pPr>
      <w:widowControl/>
      <w:spacing w:line="240" w:lineRule="auto"/>
      <w:ind w:firstLine="0" w:firstLineChars="0"/>
    </w:pPr>
    <w:rPr>
      <w:rFonts w:ascii="Times New Roman" w:hAnsi="Times New Roman" w:cs="宋体"/>
      <w:color w:val="000000"/>
      <w:kern w:val="0"/>
    </w:rPr>
  </w:style>
  <w:style w:type="character" w:customStyle="1" w:styleId="154">
    <w:name w:val="表图内容 Char"/>
    <w:link w:val="153"/>
    <w:qFormat/>
    <w:uiPriority w:val="0"/>
    <w:rPr>
      <w:rFonts w:cs="宋体"/>
      <w:color w:val="000000"/>
      <w:sz w:val="24"/>
      <w:szCs w:val="24"/>
    </w:rPr>
  </w:style>
  <w:style w:type="paragraph" w:customStyle="1" w:styleId="155">
    <w:name w:val="_Style 33"/>
    <w:qFormat/>
    <w:uiPriority w:val="60"/>
    <w:rPr>
      <w:rFonts w:ascii="Calibri" w:hAnsi="Calibri" w:eastAsia="宋体" w:cs="Times New Roman"/>
      <w:color w:val="31849B"/>
      <w:kern w:val="2"/>
      <w:sz w:val="21"/>
      <w:szCs w:val="22"/>
      <w:lang w:val="en-US" w:eastAsia="zh-CN" w:bidi="ar-SA"/>
    </w:rPr>
  </w:style>
  <w:style w:type="paragraph" w:customStyle="1" w:styleId="156">
    <w:name w:val="彩色底纹 - 强调文字颜色 12"/>
    <w:qFormat/>
    <w:uiPriority w:val="0"/>
    <w:rPr>
      <w:rFonts w:ascii="Times New Roman" w:hAnsi="Times New Roman" w:eastAsia="宋体" w:cs="Times New Roman"/>
      <w:kern w:val="2"/>
      <w:sz w:val="21"/>
      <w:szCs w:val="24"/>
      <w:lang w:val="en-US" w:eastAsia="zh-CN" w:bidi="ar-SA"/>
    </w:rPr>
  </w:style>
  <w:style w:type="paragraph" w:customStyle="1" w:styleId="157">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58">
    <w:name w:val="z-窗体顶端1"/>
    <w:basedOn w:val="1"/>
    <w:next w:val="1"/>
    <w:link w:val="159"/>
    <w:qFormat/>
    <w:uiPriority w:val="0"/>
    <w:pPr>
      <w:widowControl/>
      <w:pBdr>
        <w:bottom w:val="single" w:color="auto" w:sz="6" w:space="1"/>
      </w:pBdr>
      <w:spacing w:line="240" w:lineRule="auto"/>
      <w:ind w:firstLine="485" w:firstLineChars="202"/>
      <w:jc w:val="center"/>
    </w:pPr>
    <w:rPr>
      <w:rFonts w:ascii="Arial" w:hAnsi="Arial" w:cs="Arial"/>
      <w:vanish/>
      <w:color w:val="000000"/>
      <w:kern w:val="0"/>
      <w:sz w:val="16"/>
      <w:szCs w:val="16"/>
    </w:rPr>
  </w:style>
  <w:style w:type="character" w:customStyle="1" w:styleId="159">
    <w:name w:val="z-窗体顶端 字符"/>
    <w:link w:val="158"/>
    <w:qFormat/>
    <w:uiPriority w:val="0"/>
    <w:rPr>
      <w:rFonts w:ascii="Arial" w:hAnsi="Arial" w:cs="Arial"/>
      <w:vanish/>
      <w:color w:val="000000"/>
      <w:sz w:val="16"/>
      <w:szCs w:val="16"/>
    </w:rPr>
  </w:style>
  <w:style w:type="paragraph" w:customStyle="1" w:styleId="160">
    <w:name w:val="z-窗体底端1"/>
    <w:basedOn w:val="1"/>
    <w:next w:val="1"/>
    <w:link w:val="161"/>
    <w:qFormat/>
    <w:uiPriority w:val="0"/>
    <w:pPr>
      <w:widowControl/>
      <w:pBdr>
        <w:top w:val="single" w:color="auto" w:sz="6" w:space="1"/>
      </w:pBdr>
      <w:spacing w:line="240" w:lineRule="auto"/>
      <w:ind w:firstLine="485" w:firstLineChars="202"/>
      <w:jc w:val="center"/>
    </w:pPr>
    <w:rPr>
      <w:rFonts w:ascii="Arial" w:hAnsi="Arial" w:cs="Arial"/>
      <w:vanish/>
      <w:color w:val="000000"/>
      <w:kern w:val="0"/>
      <w:sz w:val="16"/>
      <w:szCs w:val="16"/>
    </w:rPr>
  </w:style>
  <w:style w:type="character" w:customStyle="1" w:styleId="161">
    <w:name w:val="z-窗体底端 字符"/>
    <w:link w:val="160"/>
    <w:qFormat/>
    <w:uiPriority w:val="0"/>
    <w:rPr>
      <w:rFonts w:ascii="Arial" w:hAnsi="Arial" w:cs="Arial"/>
      <w:vanish/>
      <w:color w:val="000000"/>
      <w:sz w:val="16"/>
      <w:szCs w:val="16"/>
    </w:rPr>
  </w:style>
  <w:style w:type="paragraph" w:customStyle="1" w:styleId="162">
    <w:name w:val="修订11"/>
    <w:qFormat/>
    <w:uiPriority w:val="0"/>
    <w:rPr>
      <w:rFonts w:ascii="Times New Roman" w:hAnsi="Times New Roman" w:eastAsia="宋体" w:cs="Times New Roman"/>
      <w:kern w:val="2"/>
      <w:sz w:val="21"/>
      <w:szCs w:val="24"/>
      <w:lang w:val="en-US" w:eastAsia="zh-CN" w:bidi="ar-SA"/>
    </w:rPr>
  </w:style>
  <w:style w:type="paragraph" w:styleId="163">
    <w:name w:val="No Spacing"/>
    <w:link w:val="164"/>
    <w:qFormat/>
    <w:uiPriority w:val="1"/>
    <w:pPr>
      <w:widowControl w:val="0"/>
      <w:spacing w:before="160" w:after="120"/>
      <w:jc w:val="center"/>
      <w:outlineLvl w:val="8"/>
    </w:pPr>
    <w:rPr>
      <w:rFonts w:ascii="Times New Roman" w:hAnsi="Times New Roman" w:eastAsia="宋体" w:cs="Times New Roman"/>
      <w:kern w:val="2"/>
      <w:sz w:val="21"/>
      <w:szCs w:val="22"/>
      <w:lang w:val="en-US" w:eastAsia="zh-CN" w:bidi="ar-SA"/>
    </w:rPr>
  </w:style>
  <w:style w:type="character" w:customStyle="1" w:styleId="164">
    <w:name w:val="无间隔 Char"/>
    <w:link w:val="163"/>
    <w:qFormat/>
    <w:uiPriority w:val="1"/>
    <w:rPr>
      <w:kern w:val="2"/>
      <w:sz w:val="21"/>
      <w:szCs w:val="22"/>
    </w:rPr>
  </w:style>
  <w:style w:type="paragraph" w:customStyle="1" w:styleId="165">
    <w:name w:val="图名"/>
    <w:basedOn w:val="1"/>
    <w:link w:val="166"/>
    <w:qFormat/>
    <w:uiPriority w:val="0"/>
    <w:pPr>
      <w:widowControl/>
      <w:spacing w:before="160" w:after="120" w:line="240" w:lineRule="auto"/>
      <w:ind w:firstLine="0" w:firstLineChars="0"/>
      <w:jc w:val="center"/>
      <w:outlineLvl w:val="8"/>
    </w:pPr>
    <w:rPr>
      <w:rFonts w:ascii="Times New Roman" w:hAnsi="Times New Roman" w:cs="宋体"/>
      <w:kern w:val="0"/>
    </w:rPr>
  </w:style>
  <w:style w:type="character" w:customStyle="1" w:styleId="166">
    <w:name w:val="图名 Char"/>
    <w:link w:val="165"/>
    <w:qFormat/>
    <w:uiPriority w:val="0"/>
    <w:rPr>
      <w:rFonts w:cs="宋体"/>
      <w:sz w:val="24"/>
      <w:szCs w:val="24"/>
    </w:rPr>
  </w:style>
  <w:style w:type="paragraph" w:customStyle="1" w:styleId="167">
    <w:name w:val="表格样式"/>
    <w:basedOn w:val="6"/>
    <w:link w:val="168"/>
    <w:qFormat/>
    <w:uiPriority w:val="0"/>
    <w:pPr>
      <w:widowControl/>
      <w:spacing w:line="240" w:lineRule="auto"/>
      <w:ind w:firstLine="0" w:firstLineChars="0"/>
      <w:jc w:val="center"/>
    </w:pPr>
    <w:rPr>
      <w:rFonts w:ascii="Times New Roman" w:hAnsi="Times New Roman" w:eastAsia="宋体" w:cs="宋体"/>
      <w:kern w:val="0"/>
      <w:sz w:val="24"/>
      <w:szCs w:val="24"/>
    </w:rPr>
  </w:style>
  <w:style w:type="character" w:customStyle="1" w:styleId="168">
    <w:name w:val="表格样式 字符"/>
    <w:link w:val="167"/>
    <w:qFormat/>
    <w:uiPriority w:val="0"/>
    <w:rPr>
      <w:rFonts w:cs="宋体"/>
      <w:sz w:val="24"/>
      <w:szCs w:val="24"/>
    </w:rPr>
  </w:style>
  <w:style w:type="paragraph" w:customStyle="1" w:styleId="169">
    <w:name w:val="图片格式"/>
    <w:basedOn w:val="6"/>
    <w:link w:val="170"/>
    <w:qFormat/>
    <w:uiPriority w:val="0"/>
    <w:pPr>
      <w:widowControl/>
      <w:spacing w:line="240" w:lineRule="auto"/>
      <w:ind w:firstLine="0" w:firstLineChars="0"/>
      <w:jc w:val="left"/>
    </w:pPr>
    <w:rPr>
      <w:rFonts w:ascii="Times New Roman" w:hAnsi="Times New Roman" w:eastAsia="宋体" w:cs="宋体"/>
      <w:kern w:val="0"/>
      <w:sz w:val="24"/>
      <w:szCs w:val="24"/>
    </w:rPr>
  </w:style>
  <w:style w:type="character" w:customStyle="1" w:styleId="170">
    <w:name w:val="图片格式 字符"/>
    <w:link w:val="169"/>
    <w:qFormat/>
    <w:uiPriority w:val="0"/>
    <w:rPr>
      <w:rFonts w:cs="宋体"/>
      <w:sz w:val="24"/>
      <w:szCs w:val="24"/>
    </w:rPr>
  </w:style>
  <w:style w:type="paragraph" w:customStyle="1" w:styleId="171">
    <w:name w:val="可研正文"/>
    <w:basedOn w:val="1"/>
    <w:link w:val="172"/>
    <w:qFormat/>
    <w:uiPriority w:val="0"/>
    <w:pPr>
      <w:widowControl/>
      <w:spacing w:line="240" w:lineRule="auto"/>
      <w:ind w:firstLine="200"/>
    </w:pPr>
    <w:rPr>
      <w:rFonts w:ascii="仿宋" w:hAnsi="仿宋" w:eastAsia="仿宋" w:cs="宋体"/>
      <w:kern w:val="0"/>
      <w:sz w:val="28"/>
      <w:szCs w:val="28"/>
      <w:lang w:val="zh-CN"/>
    </w:rPr>
  </w:style>
  <w:style w:type="character" w:customStyle="1" w:styleId="172">
    <w:name w:val="可研正文 Char"/>
    <w:link w:val="171"/>
    <w:qFormat/>
    <w:uiPriority w:val="0"/>
    <w:rPr>
      <w:rFonts w:ascii="仿宋" w:hAnsi="仿宋" w:eastAsia="仿宋" w:cs="宋体"/>
      <w:sz w:val="28"/>
      <w:szCs w:val="28"/>
      <w:lang w:val="zh-CN"/>
    </w:rPr>
  </w:style>
  <w:style w:type="paragraph" w:customStyle="1" w:styleId="173">
    <w:name w:val="列出段落1"/>
    <w:basedOn w:val="1"/>
    <w:link w:val="174"/>
    <w:qFormat/>
    <w:uiPriority w:val="34"/>
    <w:pPr>
      <w:widowControl/>
      <w:spacing w:line="240" w:lineRule="auto"/>
      <w:ind w:firstLine="420"/>
    </w:pPr>
    <w:rPr>
      <w:rFonts w:cs="宋体"/>
      <w:kern w:val="0"/>
    </w:rPr>
  </w:style>
  <w:style w:type="character" w:customStyle="1" w:styleId="174">
    <w:name w:val="列出段落 字符"/>
    <w:link w:val="173"/>
    <w:qFormat/>
    <w:uiPriority w:val="34"/>
    <w:rPr>
      <w:rFonts w:ascii="宋体" w:hAnsi="宋体" w:cs="宋体"/>
      <w:sz w:val="24"/>
      <w:szCs w:val="24"/>
    </w:rPr>
  </w:style>
  <w:style w:type="paragraph" w:customStyle="1" w:styleId="175">
    <w:name w:val="font5"/>
    <w:basedOn w:val="1"/>
    <w:qFormat/>
    <w:uiPriority w:val="0"/>
    <w:pPr>
      <w:widowControl/>
      <w:spacing w:before="100" w:beforeAutospacing="1" w:after="100" w:afterAutospacing="1" w:line="240" w:lineRule="auto"/>
      <w:ind w:firstLine="0" w:firstLineChars="0"/>
      <w:jc w:val="left"/>
    </w:pPr>
    <w:rPr>
      <w:rFonts w:ascii="等线" w:hAnsi="等线" w:eastAsia="等线" w:cs="宋体"/>
      <w:kern w:val="0"/>
      <w:sz w:val="18"/>
      <w:szCs w:val="18"/>
    </w:rPr>
  </w:style>
  <w:style w:type="paragraph" w:customStyle="1" w:styleId="17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cs="宋体"/>
      <w:kern w:val="0"/>
    </w:rPr>
  </w:style>
  <w:style w:type="paragraph" w:customStyle="1" w:styleId="177">
    <w:name w:val="列出段落14"/>
    <w:basedOn w:val="1"/>
    <w:link w:val="178"/>
    <w:qFormat/>
    <w:uiPriority w:val="34"/>
    <w:pPr>
      <w:widowControl/>
      <w:spacing w:line="240" w:lineRule="auto"/>
      <w:ind w:left="720" w:firstLine="0" w:firstLineChars="0"/>
      <w:contextualSpacing/>
    </w:pPr>
    <w:rPr>
      <w:rFonts w:ascii="Times New Roman" w:hAnsi="Times New Roman" w:cs="宋体"/>
      <w:kern w:val="0"/>
    </w:rPr>
  </w:style>
  <w:style w:type="character" w:customStyle="1" w:styleId="178">
    <w:name w:val="列出段落1 Char"/>
    <w:link w:val="177"/>
    <w:qFormat/>
    <w:uiPriority w:val="34"/>
    <w:rPr>
      <w:rFonts w:cs="宋体"/>
      <w:sz w:val="24"/>
      <w:szCs w:val="24"/>
    </w:rPr>
  </w:style>
  <w:style w:type="paragraph" w:customStyle="1" w:styleId="179">
    <w:name w:val="正文文本首行缩进1"/>
    <w:basedOn w:val="1"/>
    <w:qFormat/>
    <w:uiPriority w:val="99"/>
    <w:pPr>
      <w:widowControl/>
      <w:spacing w:after="120" w:line="240" w:lineRule="auto"/>
      <w:ind w:firstLine="420" w:firstLineChars="100"/>
    </w:pPr>
    <w:rPr>
      <w:rFonts w:ascii="Times New Roman" w:hAnsi="Times New Roman" w:cs="宋体"/>
      <w:kern w:val="0"/>
    </w:rPr>
  </w:style>
  <w:style w:type="paragraph" w:customStyle="1" w:styleId="180">
    <w:name w:val="FS正文"/>
    <w:basedOn w:val="39"/>
    <w:qFormat/>
    <w:uiPriority w:val="0"/>
    <w:pPr>
      <w:spacing w:line="360" w:lineRule="auto"/>
      <w:ind w:firstLine="200" w:firstLineChars="200"/>
      <w:jc w:val="left"/>
    </w:pPr>
    <w:rPr>
      <w:rFonts w:hAnsi="宋体"/>
      <w:szCs w:val="24"/>
    </w:rPr>
  </w:style>
  <w:style w:type="paragraph" w:customStyle="1" w:styleId="181">
    <w:name w:val="标题 6（有编号）（绿盟科技）"/>
    <w:basedOn w:val="1"/>
    <w:next w:val="1"/>
    <w:qFormat/>
    <w:uiPriority w:val="0"/>
    <w:pPr>
      <w:keepNext/>
      <w:keepLines/>
      <w:widowControl/>
      <w:tabs>
        <w:tab w:val="left" w:pos="1152"/>
      </w:tabs>
      <w:spacing w:before="240" w:after="64" w:line="319" w:lineRule="auto"/>
      <w:ind w:left="1152" w:hanging="1152" w:firstLineChars="0"/>
      <w:jc w:val="left"/>
      <w:outlineLvl w:val="5"/>
    </w:pPr>
    <w:rPr>
      <w:rFonts w:ascii="Arial" w:hAnsi="Arial" w:eastAsia="黑体" w:cs="宋体"/>
      <w:b/>
      <w:kern w:val="0"/>
    </w:rPr>
  </w:style>
  <w:style w:type="character" w:customStyle="1" w:styleId="182">
    <w:name w:val="mini-tree-nodetext"/>
    <w:basedOn w:val="42"/>
    <w:qFormat/>
    <w:uiPriority w:val="0"/>
  </w:style>
  <w:style w:type="paragraph" w:customStyle="1" w:styleId="183">
    <w:name w:val="xl63"/>
    <w:basedOn w:val="1"/>
    <w:qFormat/>
    <w:uiPriority w:val="0"/>
    <w:pPr>
      <w:widowControl/>
      <w:spacing w:before="100" w:beforeAutospacing="1" w:after="100" w:afterAutospacing="1" w:line="240" w:lineRule="auto"/>
      <w:ind w:firstLine="0" w:firstLineChars="0"/>
      <w:jc w:val="center"/>
      <w:textAlignment w:val="center"/>
    </w:pPr>
    <w:rPr>
      <w:rFonts w:cs="宋体"/>
      <w:kern w:val="0"/>
      <w:sz w:val="18"/>
      <w:szCs w:val="18"/>
    </w:rPr>
  </w:style>
  <w:style w:type="character" w:customStyle="1" w:styleId="184">
    <w:name w:val="样式2 Char"/>
    <w:link w:val="142"/>
    <w:qFormat/>
    <w:uiPriority w:val="0"/>
    <w:rPr>
      <w:rFonts w:ascii="宋体" w:hAnsi="宋体"/>
      <w:sz w:val="24"/>
      <w:szCs w:val="24"/>
      <w:lang w:eastAsia="en-US"/>
    </w:rPr>
  </w:style>
  <w:style w:type="paragraph" w:customStyle="1" w:styleId="185">
    <w:name w:val="列表段落211"/>
    <w:basedOn w:val="1"/>
    <w:qFormat/>
    <w:uiPriority w:val="34"/>
    <w:pPr>
      <w:widowControl/>
      <w:spacing w:line="240" w:lineRule="auto"/>
      <w:ind w:firstLine="0" w:firstLineChars="0"/>
    </w:pPr>
    <w:rPr>
      <w:rFonts w:ascii="Times New Roman" w:hAnsi="Times New Roman" w:cs="宋体"/>
      <w:kern w:val="0"/>
    </w:rPr>
  </w:style>
  <w:style w:type="character" w:customStyle="1" w:styleId="186">
    <w:name w:val="段 Char"/>
    <w:basedOn w:val="42"/>
    <w:link w:val="122"/>
    <w:qFormat/>
    <w:uiPriority w:val="0"/>
    <w:rPr>
      <w:rFonts w:ascii="宋体" w:cs="Calibri"/>
      <w:sz w:val="21"/>
    </w:rPr>
  </w:style>
  <w:style w:type="character" w:customStyle="1" w:styleId="187">
    <w:name w:val="未处理的提及2"/>
    <w:basedOn w:val="42"/>
    <w:qFormat/>
    <w:uiPriority w:val="99"/>
    <w:rPr>
      <w:color w:val="605E5C"/>
      <w:shd w:val="clear" w:color="auto" w:fill="E1DFDD"/>
    </w:rPr>
  </w:style>
  <w:style w:type="paragraph" w:customStyle="1" w:styleId="188">
    <w:name w:val="修订2"/>
    <w:qFormat/>
    <w:uiPriority w:val="99"/>
    <w:rPr>
      <w:rFonts w:ascii="宋体" w:hAnsi="宋体" w:eastAsia="宋体" w:cs="Times New Roman"/>
      <w:kern w:val="2"/>
      <w:sz w:val="24"/>
      <w:szCs w:val="24"/>
      <w:lang w:val="en-US" w:eastAsia="zh-CN" w:bidi="ar-SA"/>
    </w:rPr>
  </w:style>
  <w:style w:type="paragraph" w:customStyle="1" w:styleId="189">
    <w:name w:val="修订3"/>
    <w:qFormat/>
    <w:uiPriority w:val="99"/>
    <w:rPr>
      <w:rFonts w:ascii="宋体" w:hAnsi="宋体" w:eastAsia="宋体" w:cs="Times New Roman"/>
      <w:kern w:val="2"/>
      <w:sz w:val="24"/>
      <w:szCs w:val="24"/>
      <w:lang w:val="en-US" w:eastAsia="zh-CN" w:bidi="ar-SA"/>
    </w:rPr>
  </w:style>
  <w:style w:type="paragraph" w:customStyle="1" w:styleId="190">
    <w:name w:val="Revision_ad851b44-c97a-463d-a707-847b1e2e4552"/>
    <w:qFormat/>
    <w:uiPriority w:val="99"/>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20</Pages>
  <Words>3079</Words>
  <Characters>3208</Characters>
  <Lines>134</Lines>
  <Paragraphs>37</Paragraphs>
  <TotalTime>11</TotalTime>
  <ScaleCrop>false</ScaleCrop>
  <LinksUpToDate>false</LinksUpToDate>
  <CharactersWithSpaces>3212</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2026-01-06T01:25:00Z</dcterms:created>
  <dc:creator>gtig_tzb</dc:creator>
  <cp:lastModifiedBy>user</cp:lastModifiedBy>
  <cp:lastPrinted>2020-08-08T12:08:00Z</cp:lastPrinted>
  <dcterms:modified xsi:type="dcterms:W3CDTF">2026-01-16T15:14:14Z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5A0A1A7B5492121037E56969F8C34D27_43</vt:lpwstr>
  </property>
  <property fmtid="{D5CDD505-2E9C-101B-9397-08002B2CF9AE}" pid="4" name="KSOTemplateDocerSaveRecord">
    <vt:lpwstr>eyJoZGlkIjoiMjZkOGRmNDliNzhiMTkwYmM3Mjg2ZmUwYzJiZjcyODYiLCJ1c2VySWQiOiIxNTk0NjkxMDIzIn0=</vt:lpwstr>
  </property>
</Properties>
</file>