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47295">
      <w:pPr>
        <w:jc w:val="center"/>
        <w:rPr>
          <w:rFonts w:hint="eastAsia" w:ascii="宋体" w:hAnsi="宋体" w:eastAsia="宋体"/>
          <w:sz w:val="21"/>
          <w:szCs w:val="21"/>
        </w:rPr>
      </w:pPr>
      <w:r>
        <w:rPr>
          <w:rFonts w:ascii="黑体" w:hAnsi="黑体" w:eastAsia="黑体"/>
          <w:sz w:val="36"/>
          <w:szCs w:val="36"/>
        </w:rPr>
        <w:t>上海市福利彩票发行中心中福彩全国统一系统省级网络安全集成项目</w:t>
      </w:r>
    </w:p>
    <w:p w14:paraId="223C9DBD">
      <w:pPr>
        <w:pStyle w:val="38"/>
        <w:numPr>
          <w:ilvl w:val="0"/>
          <w:numId w:val="1"/>
        </w:numPr>
        <w:ind w:left="142" w:hanging="284"/>
        <w:rPr>
          <w:rFonts w:hint="eastAsia" w:ascii="宋体" w:hAnsi="宋体" w:eastAsia="宋体"/>
          <w:b/>
          <w:bCs/>
          <w:sz w:val="21"/>
          <w:szCs w:val="21"/>
        </w:rPr>
      </w:pPr>
      <w:r>
        <w:rPr>
          <w:rFonts w:hint="eastAsia" w:ascii="宋体" w:hAnsi="宋体" w:eastAsia="宋体"/>
          <w:b/>
          <w:bCs/>
          <w:sz w:val="21"/>
          <w:szCs w:val="21"/>
        </w:rPr>
        <w:t>项目概况</w:t>
      </w:r>
    </w:p>
    <w:p w14:paraId="0A7C2CD0">
      <w:pPr>
        <w:ind w:firstLine="420" w:firstLineChars="200"/>
        <w:rPr>
          <w:rFonts w:hint="eastAsia" w:ascii="宋体" w:hAnsi="宋体" w:eastAsia="宋体"/>
          <w:sz w:val="21"/>
          <w:szCs w:val="21"/>
        </w:rPr>
      </w:pPr>
      <w:r>
        <w:rPr>
          <w:rFonts w:hint="eastAsia" w:ascii="宋体" w:hAnsi="宋体" w:eastAsia="宋体"/>
          <w:sz w:val="21"/>
          <w:szCs w:val="21"/>
        </w:rPr>
        <w:t>根据《中福彩中心关于开展信息基础设施优化改造有关工作的通知》（中彩发字〔2025〕103号）相关要求，为进一步提升中国福利彩票业务系统稳定性与安全性，强化基础设施支撑能力，中福彩中心决定组织实施信息基础设施优化改造工作。各省级福彩中心需统筹规划，确保如期完成各项改造工作。此次上海福彩通过采购省级网络安全集成项目（含相关网络、安全硬件设备）实现省级接入区信息基础设施优化改造，保障中福彩全国统一系统省级接入稳定、高效与安全运行，同时满足中福彩对于网络基础架构、数据安全及运维管理的要求。</w:t>
      </w:r>
    </w:p>
    <w:p w14:paraId="58CFD02C">
      <w:pPr>
        <w:rPr>
          <w:rFonts w:hint="eastAsia" w:ascii="宋体" w:hAnsi="宋体" w:eastAsia="宋体"/>
          <w:sz w:val="21"/>
          <w:szCs w:val="21"/>
        </w:rPr>
      </w:pPr>
      <w:r>
        <w:rPr>
          <w:rFonts w:hint="eastAsia" w:ascii="宋体" w:hAnsi="宋体" w:eastAsia="宋体"/>
          <w:sz w:val="21"/>
          <w:szCs w:val="21"/>
        </w:rPr>
        <w:t xml:space="preserve">（一）项目目标 </w:t>
      </w:r>
    </w:p>
    <w:p w14:paraId="3772130F">
      <w:pPr>
        <w:rPr>
          <w:rFonts w:hint="eastAsia" w:ascii="宋体" w:hAnsi="宋体" w:eastAsia="宋体"/>
          <w:sz w:val="21"/>
          <w:szCs w:val="21"/>
        </w:rPr>
      </w:pPr>
      <w:r>
        <w:rPr>
          <w:rFonts w:hint="eastAsia" w:ascii="宋体" w:hAnsi="宋体" w:eastAsia="宋体"/>
          <w:sz w:val="21"/>
          <w:szCs w:val="21"/>
        </w:rPr>
        <w:t xml:space="preserve">    </w:t>
      </w:r>
      <w:r>
        <w:rPr>
          <w:rFonts w:ascii="宋体" w:hAnsi="宋体" w:eastAsia="宋体"/>
          <w:sz w:val="21"/>
          <w:szCs w:val="21"/>
        </w:rPr>
        <w:t>本</w:t>
      </w:r>
      <w:r>
        <w:rPr>
          <w:rFonts w:hint="eastAsia" w:ascii="宋体" w:hAnsi="宋体" w:eastAsia="宋体"/>
          <w:sz w:val="21"/>
          <w:szCs w:val="21"/>
        </w:rPr>
        <w:t>项目将通过</w:t>
      </w:r>
      <w:r>
        <w:rPr>
          <w:rFonts w:ascii="宋体" w:hAnsi="宋体" w:eastAsia="宋体"/>
          <w:sz w:val="21"/>
          <w:szCs w:val="21"/>
        </w:rPr>
        <w:t>网络安全集成</w:t>
      </w:r>
      <w:r>
        <w:rPr>
          <w:rFonts w:hint="eastAsia" w:ascii="宋体" w:hAnsi="宋体" w:eastAsia="宋体"/>
          <w:sz w:val="21"/>
          <w:szCs w:val="21"/>
        </w:rPr>
        <w:t>改造</w:t>
      </w:r>
      <w:r>
        <w:rPr>
          <w:rFonts w:ascii="宋体" w:hAnsi="宋体" w:eastAsia="宋体"/>
          <w:sz w:val="21"/>
          <w:szCs w:val="21"/>
        </w:rPr>
        <w:t>，解决当前中福彩承载网省级接入区网络架构单点故障问题，优化网络设备间的互联方式与拓扑结构；围绕跨数据中心业务运行需求，搭建具备设备与链路双重冗余的高可用网络架构。通过统筹部署升级网络安全硬件防护设备，全面提升上海市福彩中心至中福彩中心业务系统的边界防护、访问控制、传输加密、风险抵御等安全能力，完善纵深网络安全防御体系，实现关键设备与链路故障无感切换、业务不中断，进一步规范网络架构、强化数据安全保障、提升运维管控水平。</w:t>
      </w:r>
    </w:p>
    <w:p w14:paraId="2E51EF95">
      <w:pPr>
        <w:rPr>
          <w:rFonts w:hint="eastAsia" w:ascii="宋体" w:hAnsi="宋体" w:eastAsia="宋体"/>
          <w:sz w:val="21"/>
          <w:szCs w:val="21"/>
        </w:rPr>
      </w:pPr>
      <w:r>
        <w:rPr>
          <w:rFonts w:hint="eastAsia" w:ascii="宋体" w:hAnsi="宋体" w:eastAsia="宋体"/>
          <w:sz w:val="21"/>
          <w:szCs w:val="21"/>
        </w:rPr>
        <w:t>（二）上海福彩双活数据中心现状及网络拓扑图</w:t>
      </w:r>
    </w:p>
    <w:p w14:paraId="1860E566">
      <w:pPr>
        <w:ind w:firstLine="420" w:firstLineChars="200"/>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上海福彩于2021年启动上海福彩销售和管理系统建设项目，</w:t>
      </w:r>
      <w:r>
        <w:rPr>
          <w:rFonts w:ascii="宋体" w:hAnsi="宋体" w:eastAsia="宋体" w:cs="宋体"/>
          <w:color w:val="000000"/>
          <w:sz w:val="21"/>
          <w:szCs w:val="21"/>
          <w:lang w:bidi="ar"/>
        </w:rPr>
        <w:t>整合统一电脑票和即开票销售和管理功能，通过建设完成更合规、安全、可靠、彩票销售和管理系统</w:t>
      </w:r>
      <w:r>
        <w:rPr>
          <w:rFonts w:hint="eastAsia" w:ascii="宋体" w:hAnsi="宋体" w:eastAsia="宋体" w:cs="宋体"/>
          <w:color w:val="000000"/>
          <w:sz w:val="21"/>
          <w:szCs w:val="21"/>
          <w:lang w:bidi="ar"/>
        </w:rPr>
        <w:t>。2023年上海福彩完成综合业务安全接入系统双活架构建设，</w:t>
      </w:r>
      <w:r>
        <w:rPr>
          <w:rFonts w:ascii="宋体" w:hAnsi="宋体" w:eastAsia="宋体"/>
          <w:sz w:val="21"/>
          <w:szCs w:val="21"/>
        </w:rPr>
        <w:t>包含综合业务安全接入中央服务设备和代销网点3</w:t>
      </w:r>
      <w:r>
        <w:rPr>
          <w:rFonts w:hint="eastAsia" w:ascii="宋体" w:hAnsi="宋体" w:eastAsia="宋体"/>
          <w:sz w:val="21"/>
          <w:szCs w:val="21"/>
        </w:rPr>
        <w:t>400</w:t>
      </w:r>
      <w:r>
        <w:rPr>
          <w:rFonts w:ascii="宋体" w:hAnsi="宋体" w:eastAsia="宋体"/>
          <w:sz w:val="21"/>
          <w:szCs w:val="21"/>
        </w:rPr>
        <w:t>个安全接入</w:t>
      </w:r>
      <w:r>
        <w:rPr>
          <w:rFonts w:hint="eastAsia" w:ascii="宋体" w:hAnsi="宋体" w:eastAsia="宋体"/>
          <w:sz w:val="21"/>
          <w:szCs w:val="21"/>
        </w:rPr>
        <w:t>终端</w:t>
      </w:r>
      <w:r>
        <w:rPr>
          <w:rFonts w:ascii="宋体" w:hAnsi="宋体" w:eastAsia="宋体"/>
          <w:sz w:val="21"/>
          <w:szCs w:val="21"/>
        </w:rPr>
        <w:t>设备，以及4</w:t>
      </w:r>
      <w:r>
        <w:rPr>
          <w:rFonts w:hint="eastAsia" w:ascii="宋体" w:hAnsi="宋体" w:eastAsia="宋体"/>
          <w:sz w:val="21"/>
          <w:szCs w:val="21"/>
        </w:rPr>
        <w:t>0</w:t>
      </w:r>
      <w:r>
        <w:rPr>
          <w:rFonts w:ascii="宋体" w:hAnsi="宋体" w:eastAsia="宋体"/>
          <w:sz w:val="21"/>
          <w:szCs w:val="21"/>
        </w:rPr>
        <w:t>00个安全通信软终端</w:t>
      </w:r>
      <w:r>
        <w:rPr>
          <w:rFonts w:hint="eastAsia" w:ascii="宋体" w:hAnsi="宋体" w:eastAsia="宋体"/>
          <w:sz w:val="21"/>
          <w:szCs w:val="21"/>
        </w:rPr>
        <w:t>，在浦江机房和租赁机房各部署了主备两套中央服务器，对外提供4个隧道接入地址，部署在代销网点的安全接入终端设备通过策略选择最优路径与部署在双中心的中央服务器建立加密隧道。彩票销售终端使用该加密隧道实现售彩业务，同时销售相关数据通过部署在浦江机房的省端接入区及中福彩提供的跨省专线上报至中福彩实现数据交互及备份。</w:t>
      </w:r>
    </w:p>
    <w:p w14:paraId="584D2B5B">
      <w:pPr>
        <w:rPr>
          <w:rFonts w:hint="eastAsia" w:ascii="宋体" w:hAnsi="宋体" w:eastAsia="宋体"/>
          <w:sz w:val="21"/>
          <w:szCs w:val="21"/>
        </w:rPr>
      </w:pPr>
    </w:p>
    <w:p w14:paraId="23852FD5">
      <w:pPr>
        <w:jc w:val="center"/>
        <w:rPr>
          <w:rFonts w:hint="eastAsia" w:ascii="宋体" w:hAnsi="宋体" w:eastAsia="宋体" w:cs="宋体"/>
          <w:color w:val="000000"/>
          <w:sz w:val="21"/>
          <w:szCs w:val="21"/>
          <w:lang w:bidi="ar"/>
        </w:rPr>
      </w:pPr>
      <w:r>
        <w:rPr>
          <w:rFonts w:ascii="宋体" w:hAnsi="宋体" w:eastAsia="宋体" w:cs="宋体"/>
          <w:color w:val="000000"/>
          <w:sz w:val="21"/>
          <w:szCs w:val="21"/>
          <w:lang w:bidi="ar"/>
        </w:rPr>
        <w:pict>
          <v:shape id="_x0000_i1025" o:spt="75" type="#_x0000_t75" style="height:387.55pt;width:421.35pt;" filled="f" o:preferrelative="t" stroked="f" coordsize="21600,21600">
            <v:path/>
            <v:fill on="f" focussize="0,0"/>
            <v:stroke on="f" joinstyle="miter"/>
            <v:imagedata r:id="rId7" o:title="上海福彩双活数据中心网络拓扑-改造前"/>
            <o:lock v:ext="edit" aspectratio="t"/>
            <w10:wrap type="none"/>
            <w10:anchorlock/>
          </v:shape>
        </w:pict>
      </w:r>
    </w:p>
    <w:p w14:paraId="4788B5D3">
      <w:pPr>
        <w:jc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(图一)</w:t>
      </w:r>
    </w:p>
    <w:p w14:paraId="62B44960">
      <w:pPr>
        <w:rPr>
          <w:rFonts w:hint="eastAsia" w:ascii="宋体" w:hAnsi="宋体" w:eastAsia="宋体"/>
          <w:sz w:val="21"/>
          <w:szCs w:val="21"/>
        </w:rPr>
      </w:pPr>
      <w:r>
        <w:rPr>
          <w:rFonts w:hint="eastAsia" w:ascii="宋体" w:hAnsi="宋体" w:eastAsia="宋体"/>
          <w:sz w:val="21"/>
          <w:szCs w:val="21"/>
        </w:rPr>
        <w:t>（三）项目主要内容</w:t>
      </w:r>
    </w:p>
    <w:p w14:paraId="396FCD07">
      <w:pPr>
        <w:rPr>
          <w:rFonts w:hint="eastAsia" w:ascii="宋体" w:hAnsi="宋体" w:eastAsia="宋体"/>
          <w:sz w:val="21"/>
          <w:szCs w:val="21"/>
        </w:rPr>
      </w:pPr>
      <w:r>
        <w:rPr>
          <w:rFonts w:hint="eastAsia" w:ascii="宋体" w:hAnsi="宋体" w:eastAsia="宋体"/>
          <w:sz w:val="21"/>
          <w:szCs w:val="21"/>
        </w:rPr>
        <w:t>此次网络安全集成改造主要包含如下内容：</w:t>
      </w:r>
    </w:p>
    <w:p w14:paraId="111967A1">
      <w:pPr>
        <w:spacing w:line="276" w:lineRule="auto"/>
        <w:ind w:firstLine="420" w:firstLineChars="200"/>
        <w:rPr>
          <w:rFonts w:hint="eastAsia" w:ascii="宋体" w:hAnsi="宋体" w:eastAsia="宋体"/>
          <w:sz w:val="21"/>
          <w:szCs w:val="21"/>
        </w:rPr>
      </w:pPr>
      <w:r>
        <w:rPr>
          <w:rFonts w:hint="eastAsia" w:ascii="宋体" w:hAnsi="宋体" w:eastAsia="宋体"/>
          <w:sz w:val="21"/>
          <w:szCs w:val="21"/>
        </w:rPr>
        <w:t>1、省级接入区网络改造：省级接入区网络设备采购、配合中福彩完成省级接入区网络集成改造、设备迁移、网络切换及线路割接服务。</w:t>
      </w:r>
    </w:p>
    <w:p w14:paraId="16A9360D">
      <w:pPr>
        <w:spacing w:line="276" w:lineRule="auto"/>
        <w:ind w:firstLine="420" w:firstLineChars="200"/>
        <w:rPr>
          <w:rFonts w:hint="eastAsia" w:ascii="宋体" w:hAnsi="宋体" w:eastAsia="宋体"/>
          <w:sz w:val="21"/>
          <w:szCs w:val="21"/>
        </w:rPr>
      </w:pPr>
      <w:r>
        <w:rPr>
          <w:rFonts w:hint="eastAsia" w:ascii="宋体" w:hAnsi="宋体" w:eastAsia="宋体"/>
          <w:sz w:val="21"/>
          <w:szCs w:val="21"/>
        </w:rPr>
        <w:t>2、综合业务安全接入平台改造优化：优化改造上海福彩综合业务接入平台，提供业务终端安全接入的通信安全保障，满足中福彩全国统一系统对网络通信及数据流向的要求。</w:t>
      </w:r>
    </w:p>
    <w:p w14:paraId="748B4ACA">
      <w:pPr>
        <w:spacing w:line="276" w:lineRule="auto"/>
        <w:ind w:firstLine="420" w:firstLineChars="200"/>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3、网络安全集成服务：结合上海福彩网络安全现状，</w:t>
      </w:r>
      <w:r>
        <w:rPr>
          <w:rFonts w:ascii="宋体" w:hAnsi="宋体" w:eastAsia="宋体" w:cs="宋体"/>
          <w:color w:val="000000"/>
          <w:sz w:val="21"/>
          <w:szCs w:val="21"/>
          <w:lang w:bidi="ar"/>
        </w:rPr>
        <w:t>进行</w:t>
      </w:r>
      <w:r>
        <w:rPr>
          <w:rFonts w:hint="eastAsia" w:ascii="宋体" w:hAnsi="宋体" w:eastAsia="宋体" w:cs="宋体"/>
          <w:color w:val="000000"/>
          <w:sz w:val="21"/>
          <w:szCs w:val="21"/>
          <w:lang w:bidi="ar"/>
        </w:rPr>
        <w:t>整体网络安全规划设计、安全设备采购及集成服务，满足省级网络安全管理相关要求。</w:t>
      </w:r>
    </w:p>
    <w:p w14:paraId="1EC11ED2">
      <w:pPr>
        <w:pStyle w:val="38"/>
        <w:numPr>
          <w:ilvl w:val="0"/>
          <w:numId w:val="1"/>
        </w:numPr>
        <w:ind w:left="142" w:hanging="284"/>
        <w:rPr>
          <w:rFonts w:hint="eastAsia" w:ascii="宋体" w:hAnsi="宋体" w:eastAsia="宋体"/>
          <w:b/>
          <w:bCs/>
          <w:sz w:val="21"/>
          <w:szCs w:val="21"/>
        </w:rPr>
      </w:pPr>
      <w:r>
        <w:rPr>
          <w:rFonts w:hint="eastAsia" w:ascii="宋体" w:hAnsi="宋体" w:eastAsia="宋体"/>
          <w:b/>
          <w:bCs/>
          <w:sz w:val="21"/>
          <w:szCs w:val="21"/>
        </w:rPr>
        <w:t>服务内容及要求</w:t>
      </w:r>
    </w:p>
    <w:p w14:paraId="71C82671">
      <w:pPr>
        <w:pStyle w:val="38"/>
        <w:numPr>
          <w:ilvl w:val="0"/>
          <w:numId w:val="2"/>
        </w:numPr>
        <w:rPr>
          <w:rFonts w:hint="eastAsia" w:ascii="宋体" w:hAnsi="宋体" w:eastAsia="宋体"/>
          <w:sz w:val="21"/>
          <w:szCs w:val="21"/>
        </w:rPr>
      </w:pPr>
      <w:r>
        <w:rPr>
          <w:rFonts w:hint="eastAsia" w:ascii="宋体" w:hAnsi="宋体" w:eastAsia="宋体"/>
          <w:sz w:val="21"/>
          <w:szCs w:val="21"/>
        </w:rPr>
        <w:t>设备采购清单</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4021"/>
        <w:gridCol w:w="1512"/>
        <w:gridCol w:w="1507"/>
      </w:tblGrid>
      <w:tr w14:paraId="0CB1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vAlign w:val="center"/>
          </w:tcPr>
          <w:p w14:paraId="2677BA2F">
            <w:pPr>
              <w:rPr>
                <w:rFonts w:hint="eastAsia" w:ascii="宋体" w:hAnsi="宋体" w:eastAsia="宋体"/>
                <w:sz w:val="21"/>
                <w:szCs w:val="21"/>
              </w:rPr>
            </w:pPr>
            <w:r>
              <w:rPr>
                <w:rFonts w:ascii="宋体" w:hAnsi="宋体" w:eastAsia="宋体"/>
                <w:sz w:val="21"/>
                <w:szCs w:val="21"/>
              </w:rPr>
              <w:t>序号</w:t>
            </w:r>
          </w:p>
        </w:tc>
        <w:tc>
          <w:tcPr>
            <w:tcW w:w="2359" w:type="pct"/>
            <w:tcBorders>
              <w:top w:val="single" w:color="auto" w:sz="4" w:space="0"/>
              <w:left w:val="single" w:color="auto" w:sz="4" w:space="0"/>
              <w:bottom w:val="single" w:color="auto" w:sz="4" w:space="0"/>
              <w:right w:val="single" w:color="auto" w:sz="4" w:space="0"/>
            </w:tcBorders>
            <w:vAlign w:val="center"/>
          </w:tcPr>
          <w:p w14:paraId="5A2E5DBC">
            <w:pPr>
              <w:rPr>
                <w:rFonts w:hint="eastAsia" w:ascii="宋体" w:hAnsi="宋体" w:eastAsia="宋体"/>
                <w:sz w:val="21"/>
                <w:szCs w:val="21"/>
              </w:rPr>
            </w:pPr>
            <w:r>
              <w:rPr>
                <w:rFonts w:ascii="宋体" w:hAnsi="宋体" w:eastAsia="宋体"/>
                <w:sz w:val="21"/>
                <w:szCs w:val="21"/>
              </w:rPr>
              <w:t>设备名称</w:t>
            </w:r>
          </w:p>
        </w:tc>
        <w:tc>
          <w:tcPr>
            <w:tcW w:w="887" w:type="pct"/>
            <w:tcBorders>
              <w:top w:val="single" w:color="auto" w:sz="4" w:space="0"/>
              <w:left w:val="single" w:color="auto" w:sz="4" w:space="0"/>
              <w:bottom w:val="single" w:color="auto" w:sz="4" w:space="0"/>
              <w:right w:val="single" w:color="auto" w:sz="4" w:space="0"/>
            </w:tcBorders>
            <w:vAlign w:val="center"/>
          </w:tcPr>
          <w:p w14:paraId="3FCEEC22">
            <w:pPr>
              <w:rPr>
                <w:rFonts w:hint="eastAsia" w:ascii="宋体" w:hAnsi="宋体" w:eastAsia="宋体"/>
                <w:sz w:val="21"/>
                <w:szCs w:val="21"/>
              </w:rPr>
            </w:pPr>
            <w:r>
              <w:rPr>
                <w:rFonts w:ascii="宋体" w:hAnsi="宋体" w:eastAsia="宋体"/>
                <w:sz w:val="21"/>
                <w:szCs w:val="21"/>
              </w:rPr>
              <w:t>数量</w:t>
            </w:r>
          </w:p>
        </w:tc>
        <w:tc>
          <w:tcPr>
            <w:tcW w:w="884" w:type="pct"/>
            <w:tcBorders>
              <w:top w:val="single" w:color="auto" w:sz="4" w:space="0"/>
              <w:left w:val="single" w:color="auto" w:sz="4" w:space="0"/>
              <w:bottom w:val="single" w:color="auto" w:sz="4" w:space="0"/>
              <w:right w:val="single" w:color="auto" w:sz="4" w:space="0"/>
            </w:tcBorders>
          </w:tcPr>
          <w:p w14:paraId="0045B157">
            <w:pPr>
              <w:rPr>
                <w:rFonts w:hint="eastAsia" w:ascii="宋体" w:hAnsi="宋体" w:eastAsia="宋体"/>
                <w:sz w:val="21"/>
                <w:szCs w:val="21"/>
              </w:rPr>
            </w:pPr>
            <w:r>
              <w:rPr>
                <w:rFonts w:ascii="宋体" w:hAnsi="宋体" w:eastAsia="宋体"/>
                <w:sz w:val="21"/>
                <w:szCs w:val="21"/>
              </w:rPr>
              <w:t>单位</w:t>
            </w:r>
          </w:p>
        </w:tc>
      </w:tr>
      <w:tr w14:paraId="3791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0140DDC3">
            <w:pPr>
              <w:rPr>
                <w:rFonts w:hint="eastAsia" w:ascii="宋体" w:hAnsi="宋体" w:eastAsia="宋体"/>
                <w:sz w:val="21"/>
                <w:szCs w:val="21"/>
              </w:rPr>
            </w:pPr>
            <w:r>
              <w:rPr>
                <w:rFonts w:ascii="宋体" w:hAnsi="宋体" w:eastAsia="宋体"/>
                <w:sz w:val="21"/>
                <w:szCs w:val="21"/>
              </w:rPr>
              <w:t>1</w:t>
            </w:r>
          </w:p>
        </w:tc>
        <w:tc>
          <w:tcPr>
            <w:tcW w:w="2359" w:type="pct"/>
            <w:tcBorders>
              <w:top w:val="single" w:color="auto" w:sz="4" w:space="0"/>
              <w:left w:val="single" w:color="auto" w:sz="4" w:space="0"/>
              <w:bottom w:val="single" w:color="auto" w:sz="4" w:space="0"/>
              <w:right w:val="single" w:color="auto" w:sz="4" w:space="0"/>
            </w:tcBorders>
            <w:vAlign w:val="center"/>
          </w:tcPr>
          <w:p w14:paraId="30882174">
            <w:pPr>
              <w:rPr>
                <w:rFonts w:hint="eastAsia" w:ascii="宋体" w:hAnsi="宋体" w:eastAsia="宋体"/>
                <w:sz w:val="21"/>
                <w:szCs w:val="21"/>
              </w:rPr>
            </w:pPr>
            <w:r>
              <w:rPr>
                <w:rFonts w:hint="eastAsia" w:ascii="宋体" w:hAnsi="宋体" w:eastAsia="宋体"/>
                <w:sz w:val="21"/>
                <w:szCs w:val="21"/>
              </w:rPr>
              <w:t>省级</w:t>
            </w:r>
            <w:r>
              <w:rPr>
                <w:rFonts w:ascii="宋体" w:hAnsi="宋体" w:eastAsia="宋体"/>
                <w:sz w:val="21"/>
                <w:szCs w:val="21"/>
              </w:rPr>
              <w:t>交换机</w:t>
            </w:r>
          </w:p>
        </w:tc>
        <w:tc>
          <w:tcPr>
            <w:tcW w:w="887" w:type="pct"/>
            <w:tcBorders>
              <w:top w:val="single" w:color="auto" w:sz="4" w:space="0"/>
              <w:left w:val="single" w:color="auto" w:sz="4" w:space="0"/>
              <w:bottom w:val="single" w:color="auto" w:sz="4" w:space="0"/>
              <w:right w:val="single" w:color="auto" w:sz="4" w:space="0"/>
            </w:tcBorders>
            <w:noWrap/>
            <w:vAlign w:val="center"/>
          </w:tcPr>
          <w:p w14:paraId="71781C62">
            <w:pPr>
              <w:rPr>
                <w:rFonts w:hint="eastAsia" w:ascii="宋体" w:hAnsi="宋体" w:eastAsia="宋体"/>
                <w:sz w:val="21"/>
                <w:szCs w:val="21"/>
              </w:rPr>
            </w:pPr>
            <w:r>
              <w:rPr>
                <w:rFonts w:hint="eastAsia" w:ascii="宋体" w:hAnsi="宋体" w:eastAsia="宋体"/>
                <w:sz w:val="21"/>
                <w:szCs w:val="21"/>
              </w:rPr>
              <w:t>5</w:t>
            </w:r>
          </w:p>
        </w:tc>
        <w:tc>
          <w:tcPr>
            <w:tcW w:w="884" w:type="pct"/>
            <w:tcBorders>
              <w:top w:val="single" w:color="auto" w:sz="4" w:space="0"/>
              <w:left w:val="single" w:color="auto" w:sz="4" w:space="0"/>
              <w:bottom w:val="single" w:color="auto" w:sz="4" w:space="0"/>
              <w:right w:val="single" w:color="auto" w:sz="4" w:space="0"/>
            </w:tcBorders>
          </w:tcPr>
          <w:p w14:paraId="27E5D7B9">
            <w:pPr>
              <w:rPr>
                <w:rFonts w:hint="eastAsia" w:ascii="宋体" w:hAnsi="宋体" w:eastAsia="宋体"/>
                <w:sz w:val="21"/>
                <w:szCs w:val="21"/>
              </w:rPr>
            </w:pPr>
            <w:r>
              <w:rPr>
                <w:rFonts w:ascii="宋体" w:hAnsi="宋体" w:eastAsia="宋体"/>
                <w:sz w:val="21"/>
                <w:szCs w:val="21"/>
              </w:rPr>
              <w:t>台</w:t>
            </w:r>
          </w:p>
        </w:tc>
      </w:tr>
      <w:tr w14:paraId="6691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674DFC61">
            <w:pPr>
              <w:rPr>
                <w:rFonts w:hint="eastAsia" w:ascii="宋体" w:hAnsi="宋体" w:eastAsia="宋体"/>
                <w:sz w:val="21"/>
                <w:szCs w:val="21"/>
                <w:highlight w:val="none"/>
              </w:rPr>
            </w:pPr>
            <w:r>
              <w:rPr>
                <w:rFonts w:ascii="宋体" w:hAnsi="宋体" w:eastAsia="宋体"/>
                <w:sz w:val="21"/>
                <w:szCs w:val="21"/>
                <w:highlight w:val="none"/>
              </w:rPr>
              <w:t>2</w:t>
            </w:r>
          </w:p>
        </w:tc>
        <w:tc>
          <w:tcPr>
            <w:tcW w:w="2359" w:type="pct"/>
            <w:tcBorders>
              <w:top w:val="single" w:color="auto" w:sz="4" w:space="0"/>
              <w:left w:val="single" w:color="auto" w:sz="4" w:space="0"/>
              <w:bottom w:val="single" w:color="auto" w:sz="4" w:space="0"/>
              <w:right w:val="single" w:color="auto" w:sz="4" w:space="0"/>
            </w:tcBorders>
          </w:tcPr>
          <w:p w14:paraId="35D80269">
            <w:pPr>
              <w:rPr>
                <w:rFonts w:hint="eastAsia" w:ascii="宋体" w:hAnsi="宋体" w:eastAsia="宋体"/>
                <w:sz w:val="21"/>
                <w:szCs w:val="21"/>
                <w:highlight w:val="none"/>
              </w:rPr>
            </w:pPr>
            <w:r>
              <w:rPr>
                <w:rFonts w:hint="eastAsia" w:ascii="宋体" w:hAnsi="宋体" w:eastAsia="宋体"/>
                <w:sz w:val="21"/>
                <w:szCs w:val="21"/>
                <w:highlight w:val="none"/>
              </w:rPr>
              <w:t>省级防火墙</w:t>
            </w:r>
          </w:p>
        </w:tc>
        <w:tc>
          <w:tcPr>
            <w:tcW w:w="887" w:type="pct"/>
            <w:tcBorders>
              <w:top w:val="single" w:color="auto" w:sz="4" w:space="0"/>
              <w:left w:val="single" w:color="auto" w:sz="4" w:space="0"/>
              <w:bottom w:val="single" w:color="auto" w:sz="4" w:space="0"/>
              <w:right w:val="single" w:color="auto" w:sz="4" w:space="0"/>
            </w:tcBorders>
            <w:noWrap/>
            <w:vAlign w:val="center"/>
          </w:tcPr>
          <w:p w14:paraId="3AE14292">
            <w:pPr>
              <w:rPr>
                <w:rFonts w:hint="eastAsia" w:ascii="宋体" w:hAnsi="宋体" w:eastAsia="宋体"/>
                <w:sz w:val="21"/>
                <w:szCs w:val="21"/>
                <w:highlight w:val="none"/>
              </w:rPr>
            </w:pPr>
            <w:r>
              <w:rPr>
                <w:rFonts w:hint="eastAsia" w:ascii="宋体" w:hAnsi="宋体" w:eastAsia="宋体"/>
                <w:sz w:val="21"/>
                <w:szCs w:val="21"/>
                <w:highlight w:val="none"/>
              </w:rPr>
              <w:t>5</w:t>
            </w:r>
          </w:p>
        </w:tc>
        <w:tc>
          <w:tcPr>
            <w:tcW w:w="884" w:type="pct"/>
            <w:tcBorders>
              <w:top w:val="single" w:color="auto" w:sz="4" w:space="0"/>
              <w:left w:val="single" w:color="auto" w:sz="4" w:space="0"/>
              <w:bottom w:val="single" w:color="auto" w:sz="4" w:space="0"/>
              <w:right w:val="single" w:color="auto" w:sz="4" w:space="0"/>
            </w:tcBorders>
          </w:tcPr>
          <w:p w14:paraId="6EC3BF5E">
            <w:pPr>
              <w:rPr>
                <w:rFonts w:hint="eastAsia" w:ascii="宋体" w:hAnsi="宋体" w:eastAsia="宋体"/>
                <w:sz w:val="21"/>
                <w:szCs w:val="21"/>
                <w:highlight w:val="none"/>
              </w:rPr>
            </w:pPr>
            <w:r>
              <w:rPr>
                <w:rFonts w:hint="eastAsia" w:ascii="宋体" w:hAnsi="宋体" w:eastAsia="宋体"/>
                <w:sz w:val="21"/>
                <w:szCs w:val="21"/>
                <w:highlight w:val="none"/>
              </w:rPr>
              <w:t>台</w:t>
            </w:r>
          </w:p>
        </w:tc>
      </w:tr>
      <w:tr w14:paraId="7DF3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71689760">
            <w:pPr>
              <w:rPr>
                <w:rFonts w:hint="eastAsia" w:ascii="宋体" w:hAnsi="宋体" w:eastAsia="宋体"/>
                <w:sz w:val="21"/>
                <w:szCs w:val="21"/>
              </w:rPr>
            </w:pPr>
            <w:r>
              <w:rPr>
                <w:rFonts w:ascii="宋体" w:hAnsi="宋体" w:eastAsia="宋体"/>
                <w:sz w:val="21"/>
                <w:szCs w:val="21"/>
              </w:rPr>
              <w:t>3</w:t>
            </w:r>
          </w:p>
        </w:tc>
        <w:tc>
          <w:tcPr>
            <w:tcW w:w="2359" w:type="pct"/>
            <w:tcBorders>
              <w:top w:val="single" w:color="auto" w:sz="4" w:space="0"/>
              <w:left w:val="single" w:color="auto" w:sz="4" w:space="0"/>
              <w:bottom w:val="single" w:color="auto" w:sz="4" w:space="0"/>
              <w:right w:val="single" w:color="auto" w:sz="4" w:space="0"/>
            </w:tcBorders>
          </w:tcPr>
          <w:p w14:paraId="5484281F">
            <w:pPr>
              <w:rPr>
                <w:rFonts w:hint="eastAsia" w:ascii="宋体" w:hAnsi="宋体" w:eastAsia="宋体"/>
                <w:sz w:val="21"/>
                <w:szCs w:val="21"/>
              </w:rPr>
            </w:pPr>
            <w:r>
              <w:rPr>
                <w:rFonts w:hint="eastAsia" w:ascii="宋体" w:hAnsi="宋体" w:eastAsia="宋体"/>
                <w:sz w:val="21"/>
                <w:szCs w:val="21"/>
              </w:rPr>
              <w:t>二级时钟服务器</w:t>
            </w:r>
          </w:p>
        </w:tc>
        <w:tc>
          <w:tcPr>
            <w:tcW w:w="887" w:type="pct"/>
            <w:tcBorders>
              <w:top w:val="single" w:color="auto" w:sz="4" w:space="0"/>
              <w:left w:val="single" w:color="auto" w:sz="4" w:space="0"/>
              <w:bottom w:val="single" w:color="auto" w:sz="4" w:space="0"/>
              <w:right w:val="single" w:color="auto" w:sz="4" w:space="0"/>
            </w:tcBorders>
            <w:noWrap/>
            <w:vAlign w:val="center"/>
          </w:tcPr>
          <w:p w14:paraId="6D041CFA">
            <w:pPr>
              <w:rPr>
                <w:rFonts w:hint="eastAsia" w:ascii="宋体" w:hAnsi="宋体" w:eastAsia="宋体"/>
                <w:sz w:val="21"/>
                <w:szCs w:val="21"/>
              </w:rPr>
            </w:pPr>
            <w:r>
              <w:rPr>
                <w:rFonts w:hint="eastAsia" w:ascii="宋体" w:hAnsi="宋体" w:eastAsia="宋体"/>
                <w:sz w:val="21"/>
                <w:szCs w:val="21"/>
              </w:rPr>
              <w:t>3</w:t>
            </w:r>
          </w:p>
        </w:tc>
        <w:tc>
          <w:tcPr>
            <w:tcW w:w="884" w:type="pct"/>
            <w:tcBorders>
              <w:top w:val="single" w:color="auto" w:sz="4" w:space="0"/>
              <w:left w:val="single" w:color="auto" w:sz="4" w:space="0"/>
              <w:bottom w:val="single" w:color="auto" w:sz="4" w:space="0"/>
              <w:right w:val="single" w:color="auto" w:sz="4" w:space="0"/>
            </w:tcBorders>
          </w:tcPr>
          <w:p w14:paraId="51D89C5A">
            <w:pPr>
              <w:rPr>
                <w:rFonts w:hint="eastAsia" w:ascii="宋体" w:hAnsi="宋体" w:eastAsia="宋体"/>
                <w:sz w:val="21"/>
                <w:szCs w:val="21"/>
              </w:rPr>
            </w:pPr>
            <w:r>
              <w:rPr>
                <w:rFonts w:hint="eastAsia" w:ascii="宋体" w:hAnsi="宋体" w:eastAsia="宋体"/>
                <w:sz w:val="21"/>
                <w:szCs w:val="21"/>
              </w:rPr>
              <w:t>台</w:t>
            </w:r>
          </w:p>
        </w:tc>
      </w:tr>
      <w:tr w14:paraId="6402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724CEA0E">
            <w:pPr>
              <w:rPr>
                <w:rFonts w:hint="eastAsia" w:ascii="宋体" w:hAnsi="宋体" w:eastAsia="宋体"/>
                <w:sz w:val="21"/>
                <w:szCs w:val="21"/>
              </w:rPr>
            </w:pPr>
            <w:r>
              <w:rPr>
                <w:rFonts w:ascii="宋体" w:hAnsi="宋体" w:eastAsia="宋体"/>
                <w:sz w:val="21"/>
                <w:szCs w:val="21"/>
              </w:rPr>
              <w:t>4</w:t>
            </w:r>
          </w:p>
        </w:tc>
        <w:tc>
          <w:tcPr>
            <w:tcW w:w="2359" w:type="pct"/>
            <w:tcBorders>
              <w:top w:val="single" w:color="auto" w:sz="4" w:space="0"/>
              <w:left w:val="single" w:color="auto" w:sz="4" w:space="0"/>
              <w:bottom w:val="single" w:color="auto" w:sz="4" w:space="0"/>
              <w:right w:val="single" w:color="auto" w:sz="4" w:space="0"/>
            </w:tcBorders>
            <w:vAlign w:val="center"/>
          </w:tcPr>
          <w:p w14:paraId="0BBC0C9B">
            <w:pPr>
              <w:rPr>
                <w:rFonts w:hint="eastAsia" w:ascii="宋体" w:hAnsi="宋体" w:eastAsia="宋体"/>
                <w:sz w:val="21"/>
                <w:szCs w:val="21"/>
              </w:rPr>
            </w:pPr>
            <w:r>
              <w:rPr>
                <w:rFonts w:ascii="宋体" w:hAnsi="宋体" w:eastAsia="宋体"/>
                <w:sz w:val="21"/>
                <w:szCs w:val="21"/>
              </w:rPr>
              <w:t>安全隔离网闸</w:t>
            </w:r>
          </w:p>
        </w:tc>
        <w:tc>
          <w:tcPr>
            <w:tcW w:w="887" w:type="pct"/>
            <w:tcBorders>
              <w:top w:val="single" w:color="auto" w:sz="4" w:space="0"/>
              <w:left w:val="single" w:color="auto" w:sz="4" w:space="0"/>
              <w:bottom w:val="single" w:color="auto" w:sz="4" w:space="0"/>
              <w:right w:val="single" w:color="auto" w:sz="4" w:space="0"/>
            </w:tcBorders>
            <w:noWrap/>
            <w:vAlign w:val="center"/>
          </w:tcPr>
          <w:p w14:paraId="483C50FA">
            <w:pPr>
              <w:rPr>
                <w:rFonts w:hint="eastAsia" w:ascii="宋体" w:hAnsi="宋体" w:eastAsia="宋体"/>
                <w:sz w:val="21"/>
                <w:szCs w:val="21"/>
              </w:rPr>
            </w:pPr>
            <w:r>
              <w:rPr>
                <w:rFonts w:ascii="宋体" w:hAnsi="宋体" w:eastAsia="宋体"/>
                <w:sz w:val="21"/>
                <w:szCs w:val="21"/>
              </w:rPr>
              <w:t>2</w:t>
            </w:r>
          </w:p>
        </w:tc>
        <w:tc>
          <w:tcPr>
            <w:tcW w:w="884" w:type="pct"/>
            <w:tcBorders>
              <w:top w:val="single" w:color="auto" w:sz="4" w:space="0"/>
              <w:left w:val="single" w:color="auto" w:sz="4" w:space="0"/>
              <w:bottom w:val="single" w:color="auto" w:sz="4" w:space="0"/>
              <w:right w:val="single" w:color="auto" w:sz="4" w:space="0"/>
            </w:tcBorders>
          </w:tcPr>
          <w:p w14:paraId="4CFB6947">
            <w:pPr>
              <w:rPr>
                <w:rFonts w:hint="eastAsia" w:ascii="宋体" w:hAnsi="宋体" w:eastAsia="宋体"/>
                <w:sz w:val="21"/>
                <w:szCs w:val="21"/>
              </w:rPr>
            </w:pPr>
            <w:r>
              <w:rPr>
                <w:rFonts w:ascii="宋体" w:hAnsi="宋体" w:eastAsia="宋体"/>
                <w:sz w:val="21"/>
                <w:szCs w:val="21"/>
              </w:rPr>
              <w:t>台</w:t>
            </w:r>
          </w:p>
        </w:tc>
      </w:tr>
      <w:tr w14:paraId="1D08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5248C7FE">
            <w:pPr>
              <w:rPr>
                <w:rFonts w:hint="eastAsia" w:ascii="宋体" w:hAnsi="宋体" w:eastAsia="宋体"/>
                <w:sz w:val="21"/>
                <w:szCs w:val="21"/>
              </w:rPr>
            </w:pPr>
            <w:r>
              <w:rPr>
                <w:rFonts w:ascii="宋体" w:hAnsi="宋体" w:eastAsia="宋体"/>
                <w:sz w:val="21"/>
                <w:szCs w:val="21"/>
              </w:rPr>
              <w:t>5</w:t>
            </w:r>
          </w:p>
        </w:tc>
        <w:tc>
          <w:tcPr>
            <w:tcW w:w="2359" w:type="pct"/>
            <w:tcBorders>
              <w:top w:val="single" w:color="auto" w:sz="4" w:space="0"/>
              <w:left w:val="single" w:color="auto" w:sz="4" w:space="0"/>
              <w:bottom w:val="single" w:color="auto" w:sz="4" w:space="0"/>
              <w:right w:val="single" w:color="auto" w:sz="4" w:space="0"/>
            </w:tcBorders>
            <w:vAlign w:val="center"/>
          </w:tcPr>
          <w:p w14:paraId="4D2D2E38">
            <w:pPr>
              <w:rPr>
                <w:rFonts w:hint="eastAsia" w:ascii="宋体" w:hAnsi="宋体" w:eastAsia="宋体"/>
                <w:sz w:val="21"/>
                <w:szCs w:val="21"/>
              </w:rPr>
            </w:pPr>
            <w:r>
              <w:rPr>
                <w:rFonts w:hint="eastAsia" w:ascii="宋体" w:hAnsi="宋体" w:eastAsia="宋体"/>
                <w:sz w:val="21"/>
                <w:szCs w:val="21"/>
              </w:rPr>
              <w:t>互联网边界防火墙</w:t>
            </w:r>
          </w:p>
        </w:tc>
        <w:tc>
          <w:tcPr>
            <w:tcW w:w="887" w:type="pct"/>
            <w:tcBorders>
              <w:top w:val="single" w:color="auto" w:sz="4" w:space="0"/>
              <w:left w:val="single" w:color="auto" w:sz="4" w:space="0"/>
              <w:bottom w:val="single" w:color="auto" w:sz="4" w:space="0"/>
              <w:right w:val="single" w:color="auto" w:sz="4" w:space="0"/>
            </w:tcBorders>
            <w:noWrap/>
            <w:vAlign w:val="center"/>
          </w:tcPr>
          <w:p w14:paraId="5952F71B">
            <w:pPr>
              <w:rPr>
                <w:rFonts w:hint="eastAsia" w:ascii="宋体" w:hAnsi="宋体" w:eastAsia="宋体"/>
                <w:sz w:val="21"/>
                <w:szCs w:val="21"/>
              </w:rPr>
            </w:pPr>
            <w:r>
              <w:rPr>
                <w:rFonts w:hint="eastAsia" w:ascii="宋体" w:hAnsi="宋体" w:eastAsia="宋体"/>
                <w:sz w:val="21"/>
                <w:szCs w:val="21"/>
              </w:rPr>
              <w:t>2</w:t>
            </w:r>
          </w:p>
        </w:tc>
        <w:tc>
          <w:tcPr>
            <w:tcW w:w="884" w:type="pct"/>
            <w:tcBorders>
              <w:top w:val="single" w:color="auto" w:sz="4" w:space="0"/>
              <w:left w:val="single" w:color="auto" w:sz="4" w:space="0"/>
              <w:bottom w:val="single" w:color="auto" w:sz="4" w:space="0"/>
              <w:right w:val="single" w:color="auto" w:sz="4" w:space="0"/>
            </w:tcBorders>
          </w:tcPr>
          <w:p w14:paraId="5EDE9BB3">
            <w:pPr>
              <w:rPr>
                <w:rFonts w:hint="eastAsia" w:ascii="宋体" w:hAnsi="宋体" w:eastAsia="宋体"/>
                <w:sz w:val="21"/>
                <w:szCs w:val="21"/>
              </w:rPr>
            </w:pPr>
            <w:r>
              <w:rPr>
                <w:rFonts w:ascii="宋体" w:hAnsi="宋体" w:eastAsia="宋体"/>
                <w:sz w:val="21"/>
                <w:szCs w:val="21"/>
              </w:rPr>
              <w:t>台</w:t>
            </w:r>
          </w:p>
        </w:tc>
      </w:tr>
      <w:tr w14:paraId="54FE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5AEDF06D">
            <w:pPr>
              <w:rPr>
                <w:rFonts w:hint="eastAsia" w:ascii="宋体" w:hAnsi="宋体" w:eastAsia="宋体"/>
                <w:sz w:val="21"/>
                <w:szCs w:val="21"/>
              </w:rPr>
            </w:pPr>
            <w:r>
              <w:rPr>
                <w:rFonts w:ascii="宋体" w:hAnsi="宋体" w:eastAsia="宋体"/>
                <w:sz w:val="21"/>
                <w:szCs w:val="21"/>
              </w:rPr>
              <w:t>6</w:t>
            </w:r>
          </w:p>
        </w:tc>
        <w:tc>
          <w:tcPr>
            <w:tcW w:w="2359" w:type="pct"/>
            <w:tcBorders>
              <w:top w:val="single" w:color="auto" w:sz="4" w:space="0"/>
              <w:left w:val="single" w:color="auto" w:sz="4" w:space="0"/>
              <w:bottom w:val="single" w:color="auto" w:sz="4" w:space="0"/>
              <w:right w:val="single" w:color="auto" w:sz="4" w:space="0"/>
            </w:tcBorders>
            <w:vAlign w:val="center"/>
          </w:tcPr>
          <w:p w14:paraId="752D6175">
            <w:pPr>
              <w:rPr>
                <w:rFonts w:hint="eastAsia" w:ascii="宋体" w:hAnsi="宋体" w:eastAsia="宋体"/>
                <w:sz w:val="21"/>
                <w:szCs w:val="21"/>
              </w:rPr>
            </w:pPr>
            <w:r>
              <w:rPr>
                <w:rFonts w:ascii="宋体" w:hAnsi="宋体" w:eastAsia="宋体"/>
                <w:sz w:val="21"/>
                <w:szCs w:val="21"/>
              </w:rPr>
              <w:t>运维安全审计设备</w:t>
            </w:r>
          </w:p>
        </w:tc>
        <w:tc>
          <w:tcPr>
            <w:tcW w:w="887" w:type="pct"/>
            <w:tcBorders>
              <w:top w:val="single" w:color="auto" w:sz="4" w:space="0"/>
              <w:left w:val="single" w:color="auto" w:sz="4" w:space="0"/>
              <w:bottom w:val="single" w:color="auto" w:sz="4" w:space="0"/>
              <w:right w:val="single" w:color="auto" w:sz="4" w:space="0"/>
            </w:tcBorders>
            <w:noWrap/>
            <w:vAlign w:val="center"/>
          </w:tcPr>
          <w:p w14:paraId="6900B9DE">
            <w:pPr>
              <w:rPr>
                <w:rFonts w:hint="eastAsia" w:ascii="宋体" w:hAnsi="宋体" w:eastAsia="宋体"/>
                <w:sz w:val="21"/>
                <w:szCs w:val="21"/>
              </w:rPr>
            </w:pPr>
            <w:r>
              <w:rPr>
                <w:rFonts w:ascii="宋体" w:hAnsi="宋体" w:eastAsia="宋体"/>
                <w:sz w:val="21"/>
                <w:szCs w:val="21"/>
              </w:rPr>
              <w:t>1</w:t>
            </w:r>
          </w:p>
        </w:tc>
        <w:tc>
          <w:tcPr>
            <w:tcW w:w="884" w:type="pct"/>
            <w:tcBorders>
              <w:top w:val="single" w:color="auto" w:sz="4" w:space="0"/>
              <w:left w:val="single" w:color="auto" w:sz="4" w:space="0"/>
              <w:bottom w:val="single" w:color="auto" w:sz="4" w:space="0"/>
              <w:right w:val="single" w:color="auto" w:sz="4" w:space="0"/>
            </w:tcBorders>
          </w:tcPr>
          <w:p w14:paraId="5BE756EF">
            <w:pPr>
              <w:rPr>
                <w:rFonts w:hint="eastAsia" w:ascii="宋体" w:hAnsi="宋体" w:eastAsia="宋体"/>
                <w:sz w:val="21"/>
                <w:szCs w:val="21"/>
              </w:rPr>
            </w:pPr>
            <w:r>
              <w:rPr>
                <w:rFonts w:ascii="宋体" w:hAnsi="宋体" w:eastAsia="宋体"/>
                <w:sz w:val="21"/>
                <w:szCs w:val="21"/>
              </w:rPr>
              <w:t>台</w:t>
            </w:r>
          </w:p>
        </w:tc>
      </w:tr>
      <w:tr w14:paraId="32EB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530269FD">
            <w:pPr>
              <w:rPr>
                <w:rFonts w:hint="eastAsia" w:ascii="宋体" w:hAnsi="宋体" w:eastAsia="宋体"/>
                <w:sz w:val="21"/>
                <w:szCs w:val="21"/>
              </w:rPr>
            </w:pPr>
            <w:r>
              <w:rPr>
                <w:rFonts w:hint="eastAsia" w:ascii="宋体" w:hAnsi="宋体" w:eastAsia="宋体"/>
                <w:sz w:val="21"/>
                <w:szCs w:val="21"/>
              </w:rPr>
              <w:t>7</w:t>
            </w:r>
          </w:p>
        </w:tc>
        <w:tc>
          <w:tcPr>
            <w:tcW w:w="2359" w:type="pct"/>
            <w:tcBorders>
              <w:top w:val="single" w:color="auto" w:sz="4" w:space="0"/>
              <w:left w:val="single" w:color="auto" w:sz="4" w:space="0"/>
              <w:bottom w:val="single" w:color="auto" w:sz="4" w:space="0"/>
              <w:right w:val="single" w:color="auto" w:sz="4" w:space="0"/>
            </w:tcBorders>
            <w:vAlign w:val="center"/>
          </w:tcPr>
          <w:p w14:paraId="1EA8EE5F">
            <w:pPr>
              <w:rPr>
                <w:rFonts w:hint="eastAsia" w:ascii="宋体" w:hAnsi="宋体" w:eastAsia="宋体"/>
                <w:sz w:val="21"/>
                <w:szCs w:val="21"/>
              </w:rPr>
            </w:pPr>
            <w:r>
              <w:rPr>
                <w:rFonts w:hint="eastAsia" w:ascii="宋体" w:hAnsi="宋体" w:eastAsia="宋体"/>
                <w:sz w:val="21"/>
                <w:szCs w:val="21"/>
              </w:rPr>
              <w:t>业务冗余交换机</w:t>
            </w:r>
          </w:p>
        </w:tc>
        <w:tc>
          <w:tcPr>
            <w:tcW w:w="887" w:type="pct"/>
            <w:tcBorders>
              <w:top w:val="single" w:color="auto" w:sz="4" w:space="0"/>
              <w:left w:val="single" w:color="auto" w:sz="4" w:space="0"/>
              <w:bottom w:val="single" w:color="auto" w:sz="4" w:space="0"/>
              <w:right w:val="single" w:color="auto" w:sz="4" w:space="0"/>
            </w:tcBorders>
            <w:noWrap/>
            <w:vAlign w:val="center"/>
          </w:tcPr>
          <w:p w14:paraId="51CD75B9">
            <w:pPr>
              <w:rPr>
                <w:rFonts w:hint="eastAsia" w:ascii="宋体" w:hAnsi="宋体" w:eastAsia="宋体"/>
                <w:sz w:val="21"/>
                <w:szCs w:val="21"/>
              </w:rPr>
            </w:pPr>
            <w:r>
              <w:rPr>
                <w:rFonts w:hint="eastAsia" w:ascii="宋体" w:hAnsi="宋体" w:eastAsia="宋体"/>
                <w:sz w:val="21"/>
                <w:szCs w:val="21"/>
              </w:rPr>
              <w:t>4</w:t>
            </w:r>
          </w:p>
        </w:tc>
        <w:tc>
          <w:tcPr>
            <w:tcW w:w="884" w:type="pct"/>
            <w:tcBorders>
              <w:top w:val="single" w:color="auto" w:sz="4" w:space="0"/>
              <w:left w:val="single" w:color="auto" w:sz="4" w:space="0"/>
              <w:bottom w:val="single" w:color="auto" w:sz="4" w:space="0"/>
              <w:right w:val="single" w:color="auto" w:sz="4" w:space="0"/>
            </w:tcBorders>
          </w:tcPr>
          <w:p w14:paraId="522A116C">
            <w:pPr>
              <w:rPr>
                <w:rFonts w:hint="eastAsia" w:ascii="宋体" w:hAnsi="宋体" w:eastAsia="宋体"/>
                <w:sz w:val="21"/>
                <w:szCs w:val="21"/>
              </w:rPr>
            </w:pPr>
            <w:r>
              <w:rPr>
                <w:rFonts w:hint="eastAsia" w:ascii="宋体" w:hAnsi="宋体" w:eastAsia="宋体"/>
                <w:sz w:val="21"/>
                <w:szCs w:val="21"/>
              </w:rPr>
              <w:t>台</w:t>
            </w:r>
          </w:p>
        </w:tc>
      </w:tr>
      <w:tr w14:paraId="089E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06FEAC20">
            <w:pPr>
              <w:rPr>
                <w:rFonts w:hint="eastAsia" w:ascii="宋体" w:hAnsi="宋体" w:eastAsia="宋体"/>
                <w:sz w:val="21"/>
                <w:szCs w:val="21"/>
              </w:rPr>
            </w:pPr>
            <w:r>
              <w:rPr>
                <w:rFonts w:hint="eastAsia" w:ascii="宋体" w:hAnsi="宋体" w:eastAsia="宋体"/>
                <w:sz w:val="21"/>
                <w:szCs w:val="21"/>
              </w:rPr>
              <w:t>8</w:t>
            </w:r>
          </w:p>
        </w:tc>
        <w:tc>
          <w:tcPr>
            <w:tcW w:w="2359" w:type="pct"/>
            <w:tcBorders>
              <w:top w:val="single" w:color="auto" w:sz="4" w:space="0"/>
              <w:left w:val="single" w:color="auto" w:sz="4" w:space="0"/>
              <w:bottom w:val="single" w:color="auto" w:sz="4" w:space="0"/>
              <w:right w:val="single" w:color="auto" w:sz="4" w:space="0"/>
            </w:tcBorders>
            <w:vAlign w:val="center"/>
          </w:tcPr>
          <w:p w14:paraId="731E08BC">
            <w:pPr>
              <w:rPr>
                <w:rFonts w:hint="eastAsia" w:ascii="宋体" w:hAnsi="宋体" w:eastAsia="宋体"/>
                <w:sz w:val="21"/>
                <w:szCs w:val="21"/>
              </w:rPr>
            </w:pPr>
            <w:r>
              <w:rPr>
                <w:rFonts w:hint="eastAsia" w:ascii="宋体" w:hAnsi="宋体" w:eastAsia="宋体"/>
                <w:sz w:val="21"/>
                <w:szCs w:val="21"/>
              </w:rPr>
              <w:t>移动运维终端</w:t>
            </w:r>
          </w:p>
        </w:tc>
        <w:tc>
          <w:tcPr>
            <w:tcW w:w="887" w:type="pct"/>
            <w:tcBorders>
              <w:top w:val="single" w:color="auto" w:sz="4" w:space="0"/>
              <w:left w:val="single" w:color="auto" w:sz="4" w:space="0"/>
              <w:bottom w:val="single" w:color="auto" w:sz="4" w:space="0"/>
              <w:right w:val="single" w:color="auto" w:sz="4" w:space="0"/>
            </w:tcBorders>
            <w:noWrap/>
            <w:vAlign w:val="center"/>
          </w:tcPr>
          <w:p w14:paraId="62420E94">
            <w:pPr>
              <w:rPr>
                <w:rFonts w:hint="eastAsia" w:ascii="宋体" w:hAnsi="宋体" w:eastAsia="宋体"/>
                <w:sz w:val="21"/>
                <w:szCs w:val="21"/>
              </w:rPr>
            </w:pPr>
            <w:r>
              <w:rPr>
                <w:rFonts w:hint="eastAsia" w:ascii="宋体" w:hAnsi="宋体" w:eastAsia="宋体"/>
                <w:sz w:val="21"/>
                <w:szCs w:val="21"/>
              </w:rPr>
              <w:t>2</w:t>
            </w:r>
          </w:p>
        </w:tc>
        <w:tc>
          <w:tcPr>
            <w:tcW w:w="884" w:type="pct"/>
            <w:tcBorders>
              <w:top w:val="single" w:color="auto" w:sz="4" w:space="0"/>
              <w:left w:val="single" w:color="auto" w:sz="4" w:space="0"/>
              <w:bottom w:val="single" w:color="auto" w:sz="4" w:space="0"/>
              <w:right w:val="single" w:color="auto" w:sz="4" w:space="0"/>
            </w:tcBorders>
          </w:tcPr>
          <w:p w14:paraId="1B362E64">
            <w:pPr>
              <w:rPr>
                <w:rFonts w:hint="eastAsia" w:ascii="宋体" w:hAnsi="宋体" w:eastAsia="宋体"/>
                <w:sz w:val="21"/>
                <w:szCs w:val="21"/>
              </w:rPr>
            </w:pPr>
            <w:r>
              <w:rPr>
                <w:rFonts w:hint="eastAsia" w:ascii="宋体" w:hAnsi="宋体" w:eastAsia="宋体"/>
                <w:sz w:val="21"/>
                <w:szCs w:val="21"/>
              </w:rPr>
              <w:t>台</w:t>
            </w:r>
          </w:p>
        </w:tc>
      </w:tr>
      <w:tr w14:paraId="63D8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426EE215">
            <w:pPr>
              <w:rPr>
                <w:rFonts w:hint="eastAsia" w:ascii="宋体" w:hAnsi="宋体" w:eastAsia="宋体"/>
                <w:sz w:val="21"/>
                <w:szCs w:val="21"/>
              </w:rPr>
            </w:pPr>
            <w:r>
              <w:rPr>
                <w:rFonts w:hint="eastAsia" w:ascii="宋体" w:hAnsi="宋体" w:eastAsia="宋体"/>
                <w:sz w:val="21"/>
                <w:szCs w:val="21"/>
              </w:rPr>
              <w:t>9</w:t>
            </w:r>
          </w:p>
        </w:tc>
        <w:tc>
          <w:tcPr>
            <w:tcW w:w="2359" w:type="pct"/>
            <w:tcBorders>
              <w:top w:val="single" w:color="auto" w:sz="4" w:space="0"/>
              <w:left w:val="single" w:color="auto" w:sz="4" w:space="0"/>
              <w:bottom w:val="single" w:color="auto" w:sz="4" w:space="0"/>
              <w:right w:val="single" w:color="auto" w:sz="4" w:space="0"/>
            </w:tcBorders>
            <w:vAlign w:val="center"/>
          </w:tcPr>
          <w:p w14:paraId="32E4150C">
            <w:pPr>
              <w:rPr>
                <w:rFonts w:hint="eastAsia" w:ascii="宋体" w:hAnsi="宋体" w:eastAsia="宋体"/>
                <w:sz w:val="21"/>
                <w:szCs w:val="21"/>
              </w:rPr>
            </w:pPr>
            <w:r>
              <w:rPr>
                <w:rFonts w:hint="eastAsia" w:ascii="宋体" w:hAnsi="宋体" w:eastAsia="宋体"/>
                <w:sz w:val="21"/>
                <w:szCs w:val="21"/>
              </w:rPr>
              <w:t>运维终端</w:t>
            </w:r>
          </w:p>
        </w:tc>
        <w:tc>
          <w:tcPr>
            <w:tcW w:w="887" w:type="pct"/>
            <w:tcBorders>
              <w:top w:val="single" w:color="auto" w:sz="4" w:space="0"/>
              <w:left w:val="single" w:color="auto" w:sz="4" w:space="0"/>
              <w:bottom w:val="single" w:color="auto" w:sz="4" w:space="0"/>
              <w:right w:val="single" w:color="auto" w:sz="4" w:space="0"/>
            </w:tcBorders>
            <w:noWrap/>
            <w:vAlign w:val="center"/>
          </w:tcPr>
          <w:p w14:paraId="730849E5">
            <w:pPr>
              <w:rPr>
                <w:rFonts w:hint="eastAsia" w:ascii="宋体" w:hAnsi="宋体" w:eastAsia="宋体"/>
                <w:sz w:val="21"/>
                <w:szCs w:val="21"/>
              </w:rPr>
            </w:pPr>
            <w:r>
              <w:rPr>
                <w:rFonts w:hint="eastAsia" w:ascii="宋体" w:hAnsi="宋体" w:eastAsia="宋体"/>
                <w:sz w:val="21"/>
                <w:szCs w:val="21"/>
              </w:rPr>
              <w:t>2</w:t>
            </w:r>
          </w:p>
        </w:tc>
        <w:tc>
          <w:tcPr>
            <w:tcW w:w="884" w:type="pct"/>
            <w:tcBorders>
              <w:top w:val="single" w:color="auto" w:sz="4" w:space="0"/>
              <w:left w:val="single" w:color="auto" w:sz="4" w:space="0"/>
              <w:bottom w:val="single" w:color="auto" w:sz="4" w:space="0"/>
              <w:right w:val="single" w:color="auto" w:sz="4" w:space="0"/>
            </w:tcBorders>
          </w:tcPr>
          <w:p w14:paraId="2007BC8C">
            <w:pPr>
              <w:rPr>
                <w:rFonts w:hint="eastAsia" w:ascii="宋体" w:hAnsi="宋体" w:eastAsia="宋体"/>
                <w:sz w:val="21"/>
                <w:szCs w:val="21"/>
              </w:rPr>
            </w:pPr>
            <w:r>
              <w:rPr>
                <w:rFonts w:hint="eastAsia" w:ascii="宋体" w:hAnsi="宋体" w:eastAsia="宋体"/>
                <w:sz w:val="21"/>
                <w:szCs w:val="21"/>
              </w:rPr>
              <w:t>台</w:t>
            </w:r>
          </w:p>
        </w:tc>
      </w:tr>
      <w:tr w14:paraId="3B17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 w:hRule="atLeast"/>
        </w:trPr>
        <w:tc>
          <w:tcPr>
            <w:tcW w:w="870" w:type="pct"/>
            <w:tcBorders>
              <w:top w:val="single" w:color="auto" w:sz="4" w:space="0"/>
              <w:left w:val="single" w:color="auto" w:sz="4" w:space="0"/>
              <w:bottom w:val="single" w:color="auto" w:sz="4" w:space="0"/>
              <w:right w:val="single" w:color="auto" w:sz="4" w:space="0"/>
            </w:tcBorders>
            <w:noWrap/>
            <w:vAlign w:val="center"/>
          </w:tcPr>
          <w:p w14:paraId="16C07EA4">
            <w:pPr>
              <w:rPr>
                <w:rFonts w:hint="eastAsia" w:ascii="宋体" w:hAnsi="宋体" w:eastAsia="宋体"/>
                <w:sz w:val="21"/>
                <w:szCs w:val="21"/>
              </w:rPr>
            </w:pPr>
            <w:r>
              <w:rPr>
                <w:rFonts w:hint="eastAsia" w:ascii="宋体" w:hAnsi="宋体" w:eastAsia="宋体"/>
                <w:sz w:val="21"/>
                <w:szCs w:val="21"/>
              </w:rPr>
              <w:t>10</w:t>
            </w:r>
          </w:p>
        </w:tc>
        <w:tc>
          <w:tcPr>
            <w:tcW w:w="2359" w:type="pct"/>
            <w:tcBorders>
              <w:top w:val="single" w:color="auto" w:sz="4" w:space="0"/>
              <w:left w:val="single" w:color="auto" w:sz="4" w:space="0"/>
              <w:bottom w:val="single" w:color="auto" w:sz="4" w:space="0"/>
              <w:right w:val="single" w:color="auto" w:sz="4" w:space="0"/>
            </w:tcBorders>
            <w:vAlign w:val="center"/>
          </w:tcPr>
          <w:p w14:paraId="71C71166">
            <w:pPr>
              <w:rPr>
                <w:rFonts w:hint="eastAsia" w:ascii="宋体" w:hAnsi="宋体" w:eastAsia="宋体"/>
                <w:sz w:val="21"/>
                <w:szCs w:val="21"/>
              </w:rPr>
            </w:pPr>
            <w:r>
              <w:rPr>
                <w:rFonts w:hint="eastAsia" w:ascii="宋体" w:hAnsi="宋体" w:eastAsia="宋体"/>
                <w:sz w:val="21"/>
                <w:szCs w:val="21"/>
              </w:rPr>
              <w:t>网络智能管理平台</w:t>
            </w:r>
          </w:p>
        </w:tc>
        <w:tc>
          <w:tcPr>
            <w:tcW w:w="887" w:type="pct"/>
            <w:tcBorders>
              <w:top w:val="single" w:color="auto" w:sz="4" w:space="0"/>
              <w:left w:val="single" w:color="auto" w:sz="4" w:space="0"/>
              <w:bottom w:val="single" w:color="auto" w:sz="4" w:space="0"/>
              <w:right w:val="single" w:color="auto" w:sz="4" w:space="0"/>
            </w:tcBorders>
            <w:noWrap/>
            <w:vAlign w:val="center"/>
          </w:tcPr>
          <w:p w14:paraId="7CF35C41">
            <w:pPr>
              <w:rPr>
                <w:rFonts w:hint="eastAsia" w:ascii="宋体" w:hAnsi="宋体" w:eastAsia="宋体"/>
                <w:sz w:val="21"/>
                <w:szCs w:val="21"/>
              </w:rPr>
            </w:pPr>
            <w:r>
              <w:rPr>
                <w:rFonts w:hint="eastAsia" w:ascii="宋体" w:hAnsi="宋体" w:eastAsia="宋体"/>
                <w:sz w:val="21"/>
                <w:szCs w:val="21"/>
              </w:rPr>
              <w:t>1</w:t>
            </w:r>
          </w:p>
        </w:tc>
        <w:tc>
          <w:tcPr>
            <w:tcW w:w="884" w:type="pct"/>
            <w:tcBorders>
              <w:top w:val="single" w:color="auto" w:sz="4" w:space="0"/>
              <w:left w:val="single" w:color="auto" w:sz="4" w:space="0"/>
              <w:bottom w:val="single" w:color="auto" w:sz="4" w:space="0"/>
              <w:right w:val="single" w:color="auto" w:sz="4" w:space="0"/>
            </w:tcBorders>
          </w:tcPr>
          <w:p w14:paraId="1F272087">
            <w:pPr>
              <w:rPr>
                <w:rFonts w:hint="eastAsia" w:ascii="宋体" w:hAnsi="宋体" w:eastAsia="宋体"/>
                <w:sz w:val="21"/>
                <w:szCs w:val="21"/>
              </w:rPr>
            </w:pPr>
            <w:r>
              <w:rPr>
                <w:rFonts w:hint="eastAsia" w:ascii="宋体" w:hAnsi="宋体" w:eastAsia="宋体"/>
                <w:sz w:val="21"/>
                <w:szCs w:val="21"/>
              </w:rPr>
              <w:t>套</w:t>
            </w:r>
          </w:p>
        </w:tc>
      </w:tr>
    </w:tbl>
    <w:p w14:paraId="134A4467">
      <w:pPr>
        <w:rPr>
          <w:rFonts w:hint="eastAsia" w:ascii="宋体" w:hAnsi="宋体" w:eastAsia="宋体"/>
          <w:sz w:val="21"/>
          <w:szCs w:val="21"/>
        </w:rPr>
      </w:pPr>
    </w:p>
    <w:p w14:paraId="232EE56F">
      <w:pPr>
        <w:pStyle w:val="38"/>
        <w:numPr>
          <w:ilvl w:val="0"/>
          <w:numId w:val="2"/>
        </w:numPr>
        <w:rPr>
          <w:rFonts w:hint="eastAsia" w:ascii="宋体" w:hAnsi="宋体" w:eastAsia="宋体"/>
          <w:sz w:val="21"/>
          <w:szCs w:val="21"/>
        </w:rPr>
      </w:pPr>
      <w:r>
        <w:rPr>
          <w:rFonts w:hint="eastAsia" w:ascii="宋体" w:hAnsi="宋体" w:eastAsia="宋体"/>
          <w:sz w:val="21"/>
          <w:szCs w:val="21"/>
        </w:rPr>
        <w:t>设备参数要求</w:t>
      </w:r>
    </w:p>
    <w:p w14:paraId="592487C6">
      <w:pPr>
        <w:ind w:firstLine="420" w:firstLineChars="200"/>
        <w:rPr>
          <w:rFonts w:hint="eastAsia" w:ascii="宋体" w:hAnsi="宋体" w:eastAsia="宋体"/>
          <w:sz w:val="21"/>
          <w:szCs w:val="21"/>
        </w:rPr>
      </w:pPr>
      <w:r>
        <w:rPr>
          <w:rFonts w:hint="eastAsia" w:ascii="宋体" w:hAnsi="宋体" w:eastAsia="宋体"/>
          <w:sz w:val="21"/>
          <w:szCs w:val="21"/>
        </w:rPr>
        <w:t>1、省级</w:t>
      </w:r>
      <w:r>
        <w:rPr>
          <w:rFonts w:ascii="宋体" w:hAnsi="宋体" w:eastAsia="宋体"/>
          <w:sz w:val="21"/>
          <w:szCs w:val="21"/>
        </w:rPr>
        <w:t>交换机</w:t>
      </w:r>
    </w:p>
    <w:tbl>
      <w:tblPr>
        <w:tblStyle w:val="22"/>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038"/>
      </w:tblGrid>
      <w:tr w14:paraId="7F0B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69799676">
            <w:pPr>
              <w:jc w:val="center"/>
              <w:rPr>
                <w:rFonts w:hint="eastAsia" w:ascii="宋体" w:hAnsi="宋体" w:eastAsia="宋体"/>
                <w:sz w:val="21"/>
                <w:szCs w:val="21"/>
              </w:rPr>
            </w:pPr>
            <w:r>
              <w:rPr>
                <w:rFonts w:ascii="宋体" w:hAnsi="宋体" w:eastAsia="宋体"/>
                <w:sz w:val="21"/>
                <w:szCs w:val="21"/>
              </w:rPr>
              <w:t>指标项</w:t>
            </w:r>
          </w:p>
        </w:tc>
        <w:tc>
          <w:tcPr>
            <w:tcW w:w="4130" w:type="pct"/>
            <w:tcBorders>
              <w:top w:val="single" w:color="auto" w:sz="4" w:space="0"/>
              <w:left w:val="single" w:color="auto" w:sz="4" w:space="0"/>
              <w:bottom w:val="single" w:color="auto" w:sz="4" w:space="0"/>
              <w:right w:val="single" w:color="auto" w:sz="4" w:space="0"/>
            </w:tcBorders>
          </w:tcPr>
          <w:p w14:paraId="788E1D68">
            <w:pPr>
              <w:jc w:val="center"/>
              <w:rPr>
                <w:rFonts w:hint="eastAsia" w:ascii="宋体" w:hAnsi="宋体" w:eastAsia="宋体"/>
                <w:sz w:val="21"/>
                <w:szCs w:val="21"/>
              </w:rPr>
            </w:pPr>
            <w:r>
              <w:rPr>
                <w:rFonts w:ascii="宋体" w:hAnsi="宋体" w:eastAsia="宋体"/>
                <w:sz w:val="21"/>
                <w:szCs w:val="21"/>
              </w:rPr>
              <w:t>详细要求</w:t>
            </w:r>
          </w:p>
        </w:tc>
      </w:tr>
      <w:tr w14:paraId="46AA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67ADC6EE">
            <w:pPr>
              <w:rPr>
                <w:rFonts w:hint="eastAsia" w:ascii="宋体" w:hAnsi="宋体" w:eastAsia="宋体"/>
                <w:sz w:val="21"/>
                <w:szCs w:val="21"/>
              </w:rPr>
            </w:pPr>
            <w:r>
              <w:rPr>
                <w:rFonts w:ascii="宋体" w:hAnsi="宋体" w:eastAsia="宋体"/>
                <w:sz w:val="21"/>
                <w:szCs w:val="21"/>
              </w:rPr>
              <w:t>性能规格</w:t>
            </w:r>
          </w:p>
        </w:tc>
        <w:tc>
          <w:tcPr>
            <w:tcW w:w="4130" w:type="pct"/>
            <w:tcBorders>
              <w:top w:val="single" w:color="auto" w:sz="4" w:space="0"/>
              <w:left w:val="single" w:color="auto" w:sz="4" w:space="0"/>
              <w:bottom w:val="single" w:color="auto" w:sz="4" w:space="0"/>
              <w:right w:val="single" w:color="auto" w:sz="4" w:space="0"/>
            </w:tcBorders>
          </w:tcPr>
          <w:p w14:paraId="10B59286">
            <w:pPr>
              <w:widowControl/>
              <w:snapToGrid w:val="0"/>
              <w:spacing w:after="0" w:line="360" w:lineRule="auto"/>
              <w:textAlignment w:val="center"/>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ascii="宋体" w:hAnsi="宋体" w:eastAsia="宋体"/>
                <w:sz w:val="21"/>
                <w:szCs w:val="21"/>
                <w:highlight w:val="yellow"/>
              </w:rPr>
              <w:t>交换容量≥320Gbps</w:t>
            </w:r>
            <w:r>
              <w:rPr>
                <w:rFonts w:hint="eastAsia" w:ascii="宋体" w:hAnsi="宋体" w:eastAsia="宋体"/>
                <w:sz w:val="21"/>
                <w:szCs w:val="21"/>
                <w:highlight w:val="yellow"/>
              </w:rPr>
              <w:t>；</w:t>
            </w:r>
          </w:p>
          <w:p w14:paraId="20C2CE09">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cs="宋体"/>
                <w:sz w:val="21"/>
                <w:szCs w:val="21"/>
                <w:highlight w:val="yellow"/>
              </w:rPr>
              <w:t>▲</w:t>
            </w:r>
            <w:r>
              <w:rPr>
                <w:rFonts w:ascii="宋体" w:hAnsi="宋体" w:eastAsia="宋体"/>
                <w:sz w:val="21"/>
                <w:szCs w:val="21"/>
                <w:highlight w:val="yellow"/>
              </w:rPr>
              <w:t>包转发速率≥72Mbps</w:t>
            </w:r>
            <w:r>
              <w:rPr>
                <w:rFonts w:hint="eastAsia" w:ascii="宋体" w:hAnsi="宋体" w:eastAsia="宋体"/>
                <w:sz w:val="21"/>
                <w:szCs w:val="21"/>
                <w:highlight w:val="yellow"/>
              </w:rPr>
              <w:t>；</w:t>
            </w:r>
          </w:p>
          <w:p w14:paraId="6C670150">
            <w:pPr>
              <w:widowControl/>
              <w:snapToGrid w:val="0"/>
              <w:spacing w:after="0" w:line="360" w:lineRule="auto"/>
              <w:textAlignment w:val="center"/>
              <w:rPr>
                <w:rFonts w:hint="eastAsia" w:ascii="宋体" w:hAnsi="宋体" w:eastAsia="宋体" w:cs="宋体"/>
                <w:color w:val="000000"/>
                <w:kern w:val="0"/>
                <w:sz w:val="21"/>
                <w:szCs w:val="21"/>
                <w:lang w:bidi="ar"/>
                <w14:ligatures w14:val="none"/>
              </w:rPr>
            </w:pPr>
            <w:r>
              <w:rPr>
                <w:rFonts w:ascii="宋体" w:hAnsi="宋体" w:eastAsia="宋体"/>
                <w:sz w:val="21"/>
                <w:szCs w:val="21"/>
              </w:rPr>
              <w:t>以官网最小值为准；</w:t>
            </w:r>
          </w:p>
        </w:tc>
      </w:tr>
      <w:tr w14:paraId="11D2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0FBD5B62">
            <w:pPr>
              <w:rPr>
                <w:rFonts w:hint="eastAsia" w:ascii="宋体" w:hAnsi="宋体" w:eastAsia="宋体"/>
                <w:sz w:val="21"/>
                <w:szCs w:val="21"/>
              </w:rPr>
            </w:pPr>
            <w:r>
              <w:rPr>
                <w:rFonts w:ascii="宋体" w:hAnsi="宋体" w:eastAsia="宋体"/>
                <w:sz w:val="21"/>
                <w:szCs w:val="21"/>
              </w:rPr>
              <w:t>芯片要求</w:t>
            </w:r>
          </w:p>
        </w:tc>
        <w:tc>
          <w:tcPr>
            <w:tcW w:w="4130" w:type="pct"/>
            <w:tcBorders>
              <w:top w:val="single" w:color="auto" w:sz="4" w:space="0"/>
              <w:left w:val="single" w:color="auto" w:sz="4" w:space="0"/>
              <w:bottom w:val="single" w:color="auto" w:sz="4" w:space="0"/>
              <w:right w:val="single" w:color="auto" w:sz="4" w:space="0"/>
            </w:tcBorders>
          </w:tcPr>
          <w:p w14:paraId="6E6773CC">
            <w:pPr>
              <w:rPr>
                <w:rFonts w:hint="eastAsia" w:ascii="宋体" w:hAnsi="宋体" w:eastAsia="宋体"/>
                <w:sz w:val="21"/>
                <w:szCs w:val="21"/>
              </w:rPr>
            </w:pPr>
            <w:r>
              <w:rPr>
                <w:rFonts w:ascii="宋体" w:hAnsi="宋体" w:eastAsia="宋体"/>
                <w:sz w:val="21"/>
                <w:szCs w:val="21"/>
                <w:highlight w:val="yellow"/>
              </w:rPr>
              <w:t>CPU采用国产芯片</w:t>
            </w:r>
          </w:p>
        </w:tc>
      </w:tr>
      <w:tr w14:paraId="232F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4D856623">
            <w:pPr>
              <w:rPr>
                <w:rFonts w:hint="eastAsia" w:ascii="宋体" w:hAnsi="宋体" w:eastAsia="宋体"/>
                <w:sz w:val="21"/>
                <w:szCs w:val="21"/>
              </w:rPr>
            </w:pPr>
            <w:r>
              <w:rPr>
                <w:rFonts w:ascii="宋体" w:hAnsi="宋体" w:eastAsia="宋体"/>
                <w:sz w:val="21"/>
                <w:szCs w:val="21"/>
              </w:rPr>
              <w:t>实配要求</w:t>
            </w:r>
          </w:p>
        </w:tc>
        <w:tc>
          <w:tcPr>
            <w:tcW w:w="4130" w:type="pct"/>
            <w:tcBorders>
              <w:top w:val="single" w:color="auto" w:sz="4" w:space="0"/>
              <w:left w:val="single" w:color="auto" w:sz="4" w:space="0"/>
              <w:bottom w:val="single" w:color="auto" w:sz="4" w:space="0"/>
              <w:right w:val="single" w:color="auto" w:sz="4" w:space="0"/>
            </w:tcBorders>
          </w:tcPr>
          <w:p w14:paraId="11AC2A87">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外观尺寸：1U</w:t>
            </w:r>
          </w:p>
          <w:p w14:paraId="14E84068">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电源：冗余电源</w:t>
            </w:r>
          </w:p>
          <w:p w14:paraId="2CFB949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接口要求：</w:t>
            </w:r>
            <w:r>
              <w:rPr>
                <w:rFonts w:ascii="宋体" w:hAnsi="宋体" w:eastAsia="宋体"/>
                <w:sz w:val="21"/>
                <w:szCs w:val="21"/>
              </w:rPr>
              <w:t>1G SFP接口≥3</w:t>
            </w:r>
            <w:r>
              <w:rPr>
                <w:rFonts w:hint="eastAsia" w:ascii="宋体" w:hAnsi="宋体" w:eastAsia="宋体"/>
                <w:sz w:val="21"/>
                <w:szCs w:val="21"/>
              </w:rPr>
              <w:t>个</w:t>
            </w:r>
          </w:p>
          <w:p w14:paraId="4A7F871F">
            <w:pPr>
              <w:widowControl/>
              <w:snapToGrid w:val="0"/>
              <w:spacing w:after="0" w:line="360" w:lineRule="auto"/>
              <w:ind w:firstLine="1050" w:firstLineChars="500"/>
              <w:textAlignment w:val="center"/>
              <w:rPr>
                <w:rFonts w:hint="eastAsia" w:ascii="宋体" w:hAnsi="宋体" w:eastAsia="宋体"/>
                <w:sz w:val="21"/>
                <w:szCs w:val="21"/>
              </w:rPr>
            </w:pPr>
            <w:r>
              <w:rPr>
                <w:rFonts w:ascii="宋体" w:hAnsi="宋体" w:eastAsia="宋体"/>
                <w:sz w:val="21"/>
                <w:szCs w:val="21"/>
              </w:rPr>
              <w:t>10G SFP接口≥4</w:t>
            </w:r>
            <w:r>
              <w:rPr>
                <w:rFonts w:hint="eastAsia" w:ascii="宋体" w:hAnsi="宋体" w:eastAsia="宋体"/>
                <w:sz w:val="21"/>
                <w:szCs w:val="21"/>
              </w:rPr>
              <w:t>个</w:t>
            </w:r>
          </w:p>
          <w:p w14:paraId="196F8130">
            <w:pPr>
              <w:widowControl/>
              <w:snapToGrid w:val="0"/>
              <w:spacing w:after="0" w:line="360" w:lineRule="auto"/>
              <w:ind w:firstLine="1050" w:firstLineChars="500"/>
              <w:textAlignment w:val="center"/>
              <w:rPr>
                <w:rFonts w:hint="eastAsia" w:ascii="宋体" w:hAnsi="宋体" w:eastAsia="宋体"/>
                <w:sz w:val="21"/>
                <w:szCs w:val="21"/>
              </w:rPr>
            </w:pPr>
            <w:r>
              <w:rPr>
                <w:rFonts w:ascii="宋体" w:hAnsi="宋体" w:eastAsia="宋体"/>
                <w:sz w:val="21"/>
                <w:szCs w:val="21"/>
              </w:rPr>
              <w:t>1G SFP-GT≥3</w:t>
            </w:r>
            <w:r>
              <w:rPr>
                <w:rFonts w:hint="eastAsia" w:ascii="宋体" w:hAnsi="宋体" w:eastAsia="宋体"/>
                <w:sz w:val="21"/>
                <w:szCs w:val="21"/>
              </w:rPr>
              <w:t>个</w:t>
            </w:r>
          </w:p>
          <w:p w14:paraId="65BBC881">
            <w:pPr>
              <w:widowControl/>
              <w:snapToGrid w:val="0"/>
              <w:spacing w:after="0" w:line="360" w:lineRule="auto"/>
              <w:ind w:firstLine="1050" w:firstLineChars="500"/>
              <w:textAlignment w:val="center"/>
              <w:rPr>
                <w:rFonts w:hint="eastAsia" w:ascii="宋体" w:hAnsi="宋体" w:eastAsia="宋体"/>
                <w:sz w:val="21"/>
                <w:szCs w:val="21"/>
              </w:rPr>
            </w:pPr>
            <w:r>
              <w:rPr>
                <w:rFonts w:ascii="宋体" w:hAnsi="宋体" w:eastAsia="宋体"/>
                <w:sz w:val="21"/>
                <w:szCs w:val="21"/>
              </w:rPr>
              <w:t>1G SFP多模≥2</w:t>
            </w:r>
            <w:r>
              <w:rPr>
                <w:rFonts w:hint="eastAsia" w:ascii="宋体" w:hAnsi="宋体" w:eastAsia="宋体"/>
                <w:sz w:val="21"/>
                <w:szCs w:val="21"/>
              </w:rPr>
              <w:t>个</w:t>
            </w:r>
          </w:p>
          <w:p w14:paraId="7007F44C">
            <w:pPr>
              <w:widowControl/>
              <w:snapToGrid w:val="0"/>
              <w:spacing w:after="0" w:line="360" w:lineRule="auto"/>
              <w:ind w:firstLine="1050" w:firstLineChars="500"/>
              <w:textAlignment w:val="center"/>
              <w:rPr>
                <w:rFonts w:hint="eastAsia" w:ascii="宋体" w:hAnsi="宋体" w:eastAsia="宋体"/>
                <w:sz w:val="21"/>
                <w:szCs w:val="21"/>
              </w:rPr>
            </w:pPr>
            <w:r>
              <w:rPr>
                <w:rFonts w:ascii="宋体" w:hAnsi="宋体" w:eastAsia="宋体"/>
                <w:sz w:val="21"/>
                <w:szCs w:val="21"/>
              </w:rPr>
              <w:t>1G SFP单模40km*1（根据两个机房间的距离配置</w:t>
            </w:r>
            <w:r>
              <w:rPr>
                <w:rFonts w:hint="eastAsia" w:ascii="宋体" w:hAnsi="宋体" w:eastAsia="宋体"/>
                <w:sz w:val="21"/>
                <w:szCs w:val="21"/>
              </w:rPr>
              <w:t>）</w:t>
            </w:r>
          </w:p>
          <w:p w14:paraId="7C33F5FA">
            <w:pPr>
              <w:widowControl/>
              <w:snapToGrid w:val="0"/>
              <w:spacing w:after="0" w:line="360" w:lineRule="auto"/>
              <w:ind w:firstLine="1050" w:firstLineChars="500"/>
              <w:textAlignment w:val="center"/>
              <w:rPr>
                <w:rFonts w:hint="eastAsia" w:ascii="宋体" w:hAnsi="宋体" w:eastAsia="宋体"/>
                <w:sz w:val="21"/>
                <w:szCs w:val="21"/>
              </w:rPr>
            </w:pPr>
            <w:r>
              <w:rPr>
                <w:rFonts w:ascii="宋体" w:hAnsi="宋体" w:eastAsia="宋体"/>
                <w:sz w:val="21"/>
                <w:szCs w:val="21"/>
              </w:rPr>
              <w:t>10G SFP+多模≥4</w:t>
            </w:r>
          </w:p>
          <w:p w14:paraId="70706716">
            <w:pPr>
              <w:widowControl/>
              <w:snapToGrid w:val="0"/>
              <w:spacing w:after="0" w:line="360" w:lineRule="auto"/>
              <w:textAlignment w:val="center"/>
              <w:rPr>
                <w:rFonts w:hint="eastAsia" w:ascii="宋体" w:hAnsi="宋体" w:eastAsia="宋体" w:cs="宋体"/>
                <w:color w:val="000000"/>
                <w:kern w:val="0"/>
                <w:sz w:val="21"/>
                <w:szCs w:val="21"/>
                <w:lang w:bidi="ar"/>
                <w14:ligatures w14:val="none"/>
              </w:rPr>
            </w:pPr>
            <w:r>
              <w:rPr>
                <w:rFonts w:hint="eastAsia" w:ascii="宋体" w:hAnsi="宋体" w:eastAsia="宋体"/>
                <w:color w:val="000000" w:themeColor="text1"/>
                <w:sz w:val="21"/>
                <w:szCs w:val="21"/>
                <w14:textFill>
                  <w14:solidFill>
                    <w14:schemeClr w14:val="tx1"/>
                  </w14:solidFill>
                </w14:textFill>
              </w:rPr>
              <w:t>光模块：配备</w:t>
            </w:r>
            <w:r>
              <w:rPr>
                <w:rFonts w:ascii="宋体" w:hAnsi="宋体" w:eastAsia="宋体"/>
                <w:color w:val="000000" w:themeColor="text1"/>
                <w:sz w:val="21"/>
                <w:szCs w:val="21"/>
                <w14:textFill>
                  <w14:solidFill>
                    <w14:schemeClr w14:val="tx1"/>
                  </w14:solidFill>
                </w14:textFill>
              </w:rPr>
              <w:t>4个多模SFP光模块</w:t>
            </w:r>
            <w:r>
              <w:rPr>
                <w:rFonts w:hint="eastAsia" w:ascii="宋体" w:hAnsi="宋体" w:eastAsia="宋体"/>
                <w:color w:val="000000" w:themeColor="text1"/>
                <w:sz w:val="21"/>
                <w:szCs w:val="21"/>
                <w14:textFill>
                  <w14:solidFill>
                    <w14:schemeClr w14:val="tx1"/>
                  </w14:solidFill>
                </w14:textFill>
              </w:rPr>
              <w:t>、</w:t>
            </w:r>
            <w:r>
              <w:rPr>
                <w:rFonts w:ascii="宋体" w:hAnsi="宋体" w:eastAsia="宋体"/>
                <w:color w:val="000000" w:themeColor="text1"/>
                <w:sz w:val="21"/>
                <w:szCs w:val="21"/>
                <w14:textFill>
                  <w14:solidFill>
                    <w14:schemeClr w14:val="tx1"/>
                  </w14:solidFill>
                </w14:textFill>
              </w:rPr>
              <w:t>2个40公里单模SFP模块</w:t>
            </w:r>
            <w:r>
              <w:rPr>
                <w:rFonts w:hint="eastAsia" w:ascii="宋体" w:hAnsi="宋体" w:eastAsia="宋体"/>
                <w:color w:val="000000" w:themeColor="text1"/>
                <w:sz w:val="21"/>
                <w:szCs w:val="21"/>
                <w14:textFill>
                  <w14:solidFill>
                    <w14:schemeClr w14:val="tx1"/>
                  </w14:solidFill>
                </w14:textFill>
              </w:rPr>
              <w:t>、</w:t>
            </w:r>
            <w:r>
              <w:rPr>
                <w:rFonts w:ascii="宋体" w:hAnsi="宋体" w:eastAsia="宋体"/>
                <w:color w:val="000000" w:themeColor="text1"/>
                <w:sz w:val="21"/>
                <w:szCs w:val="21"/>
                <w14:textFill>
                  <w14:solidFill>
                    <w14:schemeClr w14:val="tx1"/>
                  </w14:solidFill>
                </w14:textFill>
              </w:rPr>
              <w:t>4个多模SFP+模块</w:t>
            </w:r>
            <w:r>
              <w:rPr>
                <w:rFonts w:hint="eastAsia" w:ascii="宋体" w:hAnsi="宋体" w:eastAsia="宋体"/>
                <w:color w:val="000000" w:themeColor="text1"/>
                <w:sz w:val="21"/>
                <w:szCs w:val="21"/>
                <w14:textFill>
                  <w14:solidFill>
                    <w14:schemeClr w14:val="tx1"/>
                  </w14:solidFill>
                </w14:textFill>
              </w:rPr>
              <w:t>。</w:t>
            </w:r>
          </w:p>
        </w:tc>
      </w:tr>
      <w:tr w14:paraId="40D8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77129C3D">
            <w:pPr>
              <w:spacing w:after="0" w:line="240" w:lineRule="auto"/>
              <w:rPr>
                <w:rFonts w:hint="eastAsia" w:ascii="宋体" w:hAnsi="宋体" w:eastAsia="宋体"/>
                <w:sz w:val="21"/>
                <w:szCs w:val="21"/>
              </w:rPr>
            </w:pPr>
            <w:r>
              <w:rPr>
                <w:rFonts w:hint="eastAsia" w:ascii="宋体" w:hAnsi="宋体" w:eastAsia="宋体"/>
                <w:sz w:val="21"/>
                <w:szCs w:val="21"/>
              </w:rPr>
              <w:t>功能要求</w:t>
            </w:r>
          </w:p>
        </w:tc>
        <w:tc>
          <w:tcPr>
            <w:tcW w:w="4130" w:type="pct"/>
            <w:tcBorders>
              <w:top w:val="single" w:color="auto" w:sz="4" w:space="0"/>
              <w:left w:val="single" w:color="auto" w:sz="4" w:space="0"/>
              <w:bottom w:val="single" w:color="auto" w:sz="4" w:space="0"/>
              <w:right w:val="single" w:color="auto" w:sz="4" w:space="0"/>
            </w:tcBorders>
          </w:tcPr>
          <w:p w14:paraId="2000BFA8">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VLANIF接口、L2接口、L3接口、L2聚合口、L3聚合口、L3聚合子接口</w:t>
            </w:r>
            <w:r>
              <w:rPr>
                <w:rFonts w:hint="eastAsia" w:ascii="宋体" w:hAnsi="宋体" w:eastAsia="宋体"/>
                <w:sz w:val="21"/>
                <w:szCs w:val="21"/>
              </w:rPr>
              <w:t>功能</w:t>
            </w:r>
            <w:r>
              <w:rPr>
                <w:rFonts w:ascii="宋体" w:hAnsi="宋体" w:eastAsia="宋体"/>
                <w:sz w:val="21"/>
                <w:szCs w:val="21"/>
              </w:rPr>
              <w:t>；</w:t>
            </w:r>
          </w:p>
          <w:p w14:paraId="57C54E4C">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MCE（VRF）、OSPF、BGP、静态路由</w:t>
            </w:r>
            <w:r>
              <w:rPr>
                <w:rFonts w:hint="eastAsia" w:ascii="宋体" w:hAnsi="宋体" w:eastAsia="宋体"/>
                <w:sz w:val="21"/>
                <w:szCs w:val="21"/>
              </w:rPr>
              <w:t>协议</w:t>
            </w:r>
            <w:r>
              <w:rPr>
                <w:rFonts w:ascii="宋体" w:hAnsi="宋体" w:eastAsia="宋体"/>
                <w:sz w:val="21"/>
                <w:szCs w:val="21"/>
              </w:rPr>
              <w:t>；</w:t>
            </w:r>
          </w:p>
          <w:p w14:paraId="47599146">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BFD、NQA（SLA）、track联动VRRP、静态路由；</w:t>
            </w:r>
          </w:p>
          <w:p w14:paraId="5227183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堆叠，实现多台设备逻辑统一管理</w:t>
            </w:r>
            <w:r>
              <w:rPr>
                <w:rFonts w:hint="eastAsia" w:ascii="宋体" w:hAnsi="宋体" w:eastAsia="宋体"/>
                <w:sz w:val="21"/>
                <w:szCs w:val="21"/>
              </w:rPr>
              <w:t>。</w:t>
            </w:r>
          </w:p>
        </w:tc>
      </w:tr>
      <w:tr w14:paraId="6B26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4242DEF7">
            <w:pPr>
              <w:spacing w:after="0" w:line="240" w:lineRule="auto"/>
              <w:rPr>
                <w:rFonts w:hint="eastAsia" w:ascii="宋体" w:hAnsi="宋体" w:eastAsia="宋体"/>
                <w:sz w:val="21"/>
                <w:szCs w:val="21"/>
              </w:rPr>
            </w:pPr>
            <w:r>
              <w:rPr>
                <w:rFonts w:hint="eastAsia" w:ascii="宋体" w:hAnsi="宋体" w:eastAsia="宋体"/>
                <w:sz w:val="21"/>
                <w:szCs w:val="21"/>
              </w:rPr>
              <w:t>质保要求</w:t>
            </w:r>
          </w:p>
        </w:tc>
        <w:tc>
          <w:tcPr>
            <w:tcW w:w="4130" w:type="pct"/>
            <w:tcBorders>
              <w:top w:val="single" w:color="auto" w:sz="4" w:space="0"/>
              <w:left w:val="single" w:color="auto" w:sz="4" w:space="0"/>
              <w:bottom w:val="single" w:color="auto" w:sz="4" w:space="0"/>
              <w:right w:val="single" w:color="auto" w:sz="4" w:space="0"/>
            </w:tcBorders>
          </w:tcPr>
          <w:p w14:paraId="1A708EE3">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提供三年原厂硬件维保和软件版本升级服务</w:t>
            </w:r>
            <w:r>
              <w:rPr>
                <w:rFonts w:hint="eastAsia" w:ascii="宋体" w:hAnsi="宋体" w:eastAsia="宋体"/>
                <w:sz w:val="21"/>
                <w:szCs w:val="21"/>
              </w:rPr>
              <w:t>；</w:t>
            </w:r>
            <w:r>
              <w:rPr>
                <w:rFonts w:ascii="宋体" w:hAnsi="宋体" w:eastAsia="宋体"/>
                <w:sz w:val="21"/>
                <w:szCs w:val="21"/>
              </w:rPr>
              <w:t>投标</w:t>
            </w:r>
            <w:r>
              <w:rPr>
                <w:rFonts w:hint="eastAsia" w:ascii="宋体" w:hAnsi="宋体" w:eastAsia="宋体"/>
                <w:sz w:val="21"/>
                <w:szCs w:val="21"/>
              </w:rPr>
              <w:t>时</w:t>
            </w:r>
            <w:r>
              <w:rPr>
                <w:rFonts w:ascii="宋体" w:hAnsi="宋体" w:eastAsia="宋体"/>
                <w:sz w:val="21"/>
                <w:szCs w:val="21"/>
              </w:rPr>
              <w:t>提供原厂关于本项目的售后服务承诺函。</w:t>
            </w:r>
          </w:p>
        </w:tc>
      </w:tr>
    </w:tbl>
    <w:p w14:paraId="38C519FF">
      <w:pPr>
        <w:rPr>
          <w:rFonts w:hint="eastAsia" w:ascii="宋体" w:hAnsi="宋体" w:eastAsia="宋体"/>
          <w:sz w:val="21"/>
          <w:szCs w:val="21"/>
        </w:rPr>
      </w:pPr>
    </w:p>
    <w:p w14:paraId="7C832C11">
      <w:pPr>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2、省级防火墙</w:t>
      </w:r>
    </w:p>
    <w:tbl>
      <w:tblPr>
        <w:tblStyle w:val="22"/>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038"/>
      </w:tblGrid>
      <w:tr w14:paraId="77D3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70" w:type="pct"/>
            <w:tcBorders>
              <w:top w:val="single" w:color="auto" w:sz="4" w:space="0"/>
              <w:left w:val="single" w:color="auto" w:sz="4" w:space="0"/>
              <w:bottom w:val="single" w:color="auto" w:sz="4" w:space="0"/>
              <w:right w:val="single" w:color="auto" w:sz="4" w:space="0"/>
            </w:tcBorders>
          </w:tcPr>
          <w:p w14:paraId="4F3E7F9C">
            <w:pPr>
              <w:jc w:val="center"/>
              <w:rPr>
                <w:rFonts w:hint="eastAsia" w:ascii="宋体" w:hAnsi="宋体" w:eastAsia="宋体"/>
                <w:sz w:val="21"/>
                <w:szCs w:val="21"/>
              </w:rPr>
            </w:pPr>
            <w:r>
              <w:rPr>
                <w:rFonts w:ascii="宋体" w:hAnsi="宋体" w:eastAsia="宋体"/>
                <w:sz w:val="21"/>
                <w:szCs w:val="21"/>
              </w:rPr>
              <w:t>指标项</w:t>
            </w:r>
          </w:p>
        </w:tc>
        <w:tc>
          <w:tcPr>
            <w:tcW w:w="4130" w:type="pct"/>
            <w:tcBorders>
              <w:top w:val="single" w:color="auto" w:sz="4" w:space="0"/>
              <w:left w:val="single" w:color="auto" w:sz="4" w:space="0"/>
              <w:bottom w:val="single" w:color="auto" w:sz="4" w:space="0"/>
              <w:right w:val="single" w:color="auto" w:sz="4" w:space="0"/>
            </w:tcBorders>
          </w:tcPr>
          <w:p w14:paraId="2BB27231">
            <w:pPr>
              <w:jc w:val="center"/>
              <w:rPr>
                <w:rFonts w:hint="eastAsia" w:ascii="宋体" w:hAnsi="宋体" w:eastAsia="宋体"/>
                <w:sz w:val="21"/>
                <w:szCs w:val="21"/>
              </w:rPr>
            </w:pPr>
            <w:r>
              <w:rPr>
                <w:rFonts w:ascii="宋体" w:hAnsi="宋体" w:eastAsia="宋体"/>
                <w:sz w:val="21"/>
                <w:szCs w:val="21"/>
              </w:rPr>
              <w:t>详细要求</w:t>
            </w:r>
          </w:p>
        </w:tc>
      </w:tr>
      <w:tr w14:paraId="64F6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0B90D98E">
            <w:pPr>
              <w:rPr>
                <w:rFonts w:hint="eastAsia" w:ascii="宋体" w:hAnsi="宋体" w:eastAsia="宋体"/>
                <w:sz w:val="21"/>
                <w:szCs w:val="21"/>
              </w:rPr>
            </w:pPr>
            <w:r>
              <w:rPr>
                <w:rFonts w:ascii="宋体" w:hAnsi="宋体" w:eastAsia="宋体"/>
                <w:sz w:val="21"/>
                <w:szCs w:val="21"/>
              </w:rPr>
              <w:t>性能规格</w:t>
            </w:r>
          </w:p>
        </w:tc>
        <w:tc>
          <w:tcPr>
            <w:tcW w:w="4130" w:type="pct"/>
            <w:tcBorders>
              <w:top w:val="single" w:color="auto" w:sz="4" w:space="0"/>
              <w:left w:val="single" w:color="auto" w:sz="4" w:space="0"/>
              <w:bottom w:val="single" w:color="auto" w:sz="4" w:space="0"/>
              <w:right w:val="single" w:color="auto" w:sz="4" w:space="0"/>
            </w:tcBorders>
          </w:tcPr>
          <w:p w14:paraId="4EF6DF32">
            <w:pPr>
              <w:widowControl/>
              <w:snapToGrid w:val="0"/>
              <w:spacing w:after="0" w:line="360" w:lineRule="auto"/>
              <w:textAlignment w:val="center"/>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hint="eastAsia" w:ascii="宋体" w:hAnsi="宋体" w:eastAsia="宋体"/>
                <w:sz w:val="21"/>
                <w:szCs w:val="21"/>
                <w:highlight w:val="yellow"/>
              </w:rPr>
              <w:t>IPv4吞吐(1518/512/64byte)≥6/6/1.5Gbps；</w:t>
            </w:r>
          </w:p>
          <w:p w14:paraId="6FDD6D5C">
            <w:pPr>
              <w:widowControl/>
              <w:snapToGrid w:val="0"/>
              <w:spacing w:after="0" w:line="360" w:lineRule="auto"/>
              <w:textAlignment w:val="center"/>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ascii="宋体" w:hAnsi="宋体" w:eastAsia="宋体"/>
                <w:sz w:val="21"/>
                <w:szCs w:val="21"/>
                <w:highlight w:val="yellow"/>
              </w:rPr>
              <w:t>最大并发连接(TCP)≥400万</w:t>
            </w:r>
            <w:r>
              <w:rPr>
                <w:rFonts w:hint="eastAsia" w:ascii="宋体" w:hAnsi="宋体" w:eastAsia="宋体"/>
                <w:sz w:val="21"/>
                <w:szCs w:val="21"/>
                <w:highlight w:val="yellow"/>
              </w:rPr>
              <w:t>；</w:t>
            </w:r>
          </w:p>
          <w:p w14:paraId="1CB9475A">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每秒新建连接(TCP)≥8万；</w:t>
            </w:r>
          </w:p>
          <w:p w14:paraId="0AF314F3">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NGFW 吞吐量(IPS+AV) ≥1.5G;</w:t>
            </w:r>
          </w:p>
          <w:p w14:paraId="2A776C2B">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SSL 流量检测吞吐≥500Mbps</w:t>
            </w:r>
            <w:r>
              <w:rPr>
                <w:rFonts w:hint="eastAsia" w:ascii="宋体" w:hAnsi="宋体" w:eastAsia="宋体"/>
                <w:sz w:val="21"/>
                <w:szCs w:val="21"/>
              </w:rPr>
              <w:t>；</w:t>
            </w:r>
          </w:p>
          <w:p w14:paraId="427D88CF">
            <w:pPr>
              <w:widowControl/>
              <w:snapToGrid w:val="0"/>
              <w:spacing w:after="0" w:line="360" w:lineRule="auto"/>
              <w:textAlignment w:val="center"/>
              <w:rPr>
                <w:rFonts w:hint="eastAsia" w:ascii="宋体" w:hAnsi="宋体" w:eastAsia="宋体" w:cs="宋体"/>
                <w:color w:val="000000"/>
                <w:kern w:val="0"/>
                <w:sz w:val="21"/>
                <w:szCs w:val="21"/>
                <w:lang w:bidi="ar"/>
                <w14:ligatures w14:val="none"/>
              </w:rPr>
            </w:pPr>
            <w:r>
              <w:rPr>
                <w:rFonts w:ascii="宋体" w:hAnsi="宋体" w:eastAsia="宋体"/>
                <w:sz w:val="21"/>
                <w:szCs w:val="21"/>
              </w:rPr>
              <w:t>以官网最小值为准</w:t>
            </w:r>
            <w:r>
              <w:rPr>
                <w:rFonts w:hint="eastAsia" w:ascii="宋体" w:hAnsi="宋体" w:eastAsia="宋体"/>
                <w:sz w:val="21"/>
                <w:szCs w:val="21"/>
              </w:rPr>
              <w:t>。</w:t>
            </w:r>
          </w:p>
        </w:tc>
      </w:tr>
      <w:tr w14:paraId="1B5F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5763788E">
            <w:pPr>
              <w:rPr>
                <w:rFonts w:hint="eastAsia" w:ascii="宋体" w:hAnsi="宋体" w:eastAsia="宋体"/>
                <w:sz w:val="21"/>
                <w:szCs w:val="21"/>
              </w:rPr>
            </w:pPr>
            <w:r>
              <w:rPr>
                <w:rFonts w:ascii="宋体" w:hAnsi="宋体" w:eastAsia="宋体"/>
                <w:sz w:val="21"/>
                <w:szCs w:val="21"/>
              </w:rPr>
              <w:t>芯片要求</w:t>
            </w:r>
          </w:p>
        </w:tc>
        <w:tc>
          <w:tcPr>
            <w:tcW w:w="4130" w:type="pct"/>
            <w:tcBorders>
              <w:top w:val="single" w:color="auto" w:sz="4" w:space="0"/>
              <w:left w:val="single" w:color="auto" w:sz="4" w:space="0"/>
              <w:bottom w:val="single" w:color="auto" w:sz="4" w:space="0"/>
              <w:right w:val="single" w:color="auto" w:sz="4" w:space="0"/>
            </w:tcBorders>
          </w:tcPr>
          <w:p w14:paraId="1E14B48F">
            <w:pPr>
              <w:rPr>
                <w:rFonts w:hint="eastAsia" w:ascii="宋体" w:hAnsi="宋体" w:eastAsia="宋体"/>
                <w:sz w:val="21"/>
                <w:szCs w:val="21"/>
              </w:rPr>
            </w:pPr>
            <w:r>
              <w:rPr>
                <w:rFonts w:ascii="宋体" w:hAnsi="宋体" w:eastAsia="宋体"/>
                <w:sz w:val="21"/>
                <w:szCs w:val="21"/>
                <w:highlight w:val="yellow"/>
              </w:rPr>
              <w:t>CPU采用国产芯片</w:t>
            </w:r>
          </w:p>
        </w:tc>
      </w:tr>
      <w:tr w14:paraId="2110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3A71B990">
            <w:pPr>
              <w:rPr>
                <w:rFonts w:hint="eastAsia" w:ascii="宋体" w:hAnsi="宋体" w:eastAsia="宋体"/>
                <w:sz w:val="21"/>
                <w:szCs w:val="21"/>
              </w:rPr>
            </w:pPr>
            <w:r>
              <w:rPr>
                <w:rFonts w:ascii="宋体" w:hAnsi="宋体" w:eastAsia="宋体"/>
                <w:sz w:val="21"/>
                <w:szCs w:val="21"/>
              </w:rPr>
              <w:t>实配要求</w:t>
            </w:r>
          </w:p>
        </w:tc>
        <w:tc>
          <w:tcPr>
            <w:tcW w:w="4130" w:type="pct"/>
            <w:tcBorders>
              <w:top w:val="single" w:color="auto" w:sz="4" w:space="0"/>
              <w:left w:val="single" w:color="auto" w:sz="4" w:space="0"/>
              <w:bottom w:val="single" w:color="auto" w:sz="4" w:space="0"/>
              <w:right w:val="single" w:color="auto" w:sz="4" w:space="0"/>
            </w:tcBorders>
          </w:tcPr>
          <w:p w14:paraId="37E8A58D">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外观尺寸：1U</w:t>
            </w:r>
          </w:p>
          <w:p w14:paraId="7323DCB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电源：冗余电源</w:t>
            </w:r>
          </w:p>
          <w:p w14:paraId="41D6ADFF">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接口要求：</w:t>
            </w:r>
            <w:r>
              <w:rPr>
                <w:rFonts w:ascii="宋体" w:hAnsi="宋体" w:eastAsia="宋体"/>
                <w:sz w:val="21"/>
                <w:szCs w:val="21"/>
              </w:rPr>
              <w:t>10G SFP+≥</w:t>
            </w:r>
            <w:r>
              <w:rPr>
                <w:rFonts w:hint="eastAsia" w:ascii="宋体" w:hAnsi="宋体" w:eastAsia="宋体"/>
                <w:sz w:val="21"/>
                <w:szCs w:val="21"/>
              </w:rPr>
              <w:t>4个</w:t>
            </w:r>
          </w:p>
          <w:p w14:paraId="63DDE9EC">
            <w:pPr>
              <w:widowControl/>
              <w:snapToGrid w:val="0"/>
              <w:spacing w:after="0" w:line="360" w:lineRule="auto"/>
              <w:ind w:firstLine="1050" w:firstLineChars="500"/>
              <w:textAlignment w:val="center"/>
              <w:rPr>
                <w:rFonts w:hint="eastAsia" w:ascii="宋体" w:hAnsi="宋体" w:eastAsia="宋体"/>
                <w:sz w:val="21"/>
                <w:szCs w:val="21"/>
              </w:rPr>
            </w:pPr>
            <w:r>
              <w:rPr>
                <w:rFonts w:ascii="宋体" w:hAnsi="宋体" w:eastAsia="宋体"/>
                <w:sz w:val="21"/>
                <w:szCs w:val="21"/>
              </w:rPr>
              <w:t>1G SFP≥</w:t>
            </w:r>
            <w:r>
              <w:rPr>
                <w:rFonts w:hint="eastAsia" w:ascii="宋体" w:hAnsi="宋体" w:eastAsia="宋体"/>
                <w:sz w:val="21"/>
                <w:szCs w:val="21"/>
              </w:rPr>
              <w:t>12个</w:t>
            </w:r>
          </w:p>
          <w:p w14:paraId="5363FE37">
            <w:pPr>
              <w:widowControl/>
              <w:snapToGrid w:val="0"/>
              <w:spacing w:after="0" w:line="360" w:lineRule="auto"/>
              <w:ind w:firstLine="1050" w:firstLineChars="500"/>
              <w:textAlignment w:val="center"/>
              <w:rPr>
                <w:rFonts w:hint="eastAsia" w:ascii="宋体" w:hAnsi="宋体" w:eastAsia="宋体"/>
                <w:sz w:val="21"/>
                <w:szCs w:val="21"/>
              </w:rPr>
            </w:pPr>
            <w:r>
              <w:rPr>
                <w:rFonts w:hint="eastAsia" w:ascii="宋体" w:hAnsi="宋体" w:eastAsia="宋体"/>
                <w:sz w:val="21"/>
                <w:szCs w:val="21"/>
              </w:rPr>
              <w:t>1000BASE-T</w:t>
            </w:r>
            <w:r>
              <w:rPr>
                <w:rFonts w:ascii="宋体" w:hAnsi="宋体" w:eastAsia="宋体"/>
                <w:sz w:val="21"/>
                <w:szCs w:val="21"/>
              </w:rPr>
              <w:t>≥</w:t>
            </w:r>
            <w:r>
              <w:rPr>
                <w:rFonts w:hint="eastAsia" w:ascii="宋体" w:hAnsi="宋体" w:eastAsia="宋体"/>
                <w:sz w:val="21"/>
                <w:szCs w:val="21"/>
              </w:rPr>
              <w:t>10个</w:t>
            </w:r>
          </w:p>
          <w:p w14:paraId="3E1C6B02">
            <w:pPr>
              <w:widowControl/>
              <w:snapToGrid w:val="0"/>
              <w:spacing w:after="0" w:line="360" w:lineRule="auto"/>
              <w:ind w:firstLine="1050" w:firstLineChars="500"/>
              <w:textAlignment w:val="center"/>
              <w:rPr>
                <w:rFonts w:hint="eastAsia" w:ascii="宋体" w:hAnsi="宋体" w:eastAsia="宋体"/>
                <w:sz w:val="21"/>
                <w:szCs w:val="21"/>
              </w:rPr>
            </w:pPr>
            <w:r>
              <w:rPr>
                <w:rFonts w:hint="eastAsia" w:ascii="宋体" w:hAnsi="宋体" w:eastAsia="宋体"/>
                <w:sz w:val="21"/>
                <w:szCs w:val="21"/>
              </w:rPr>
              <w:t>MGT接口1个</w:t>
            </w:r>
          </w:p>
          <w:p w14:paraId="6341FC33">
            <w:pPr>
              <w:widowControl/>
              <w:snapToGrid w:val="0"/>
              <w:spacing w:after="0" w:line="360" w:lineRule="auto"/>
              <w:ind w:firstLine="1050" w:firstLineChars="500"/>
              <w:textAlignment w:val="center"/>
              <w:rPr>
                <w:rFonts w:hint="eastAsia" w:ascii="宋体" w:hAnsi="宋体" w:eastAsia="宋体"/>
                <w:sz w:val="21"/>
                <w:szCs w:val="21"/>
              </w:rPr>
            </w:pPr>
            <w:r>
              <w:rPr>
                <w:rFonts w:hint="eastAsia" w:ascii="宋体" w:hAnsi="宋体" w:eastAsia="宋体"/>
                <w:sz w:val="21"/>
                <w:szCs w:val="21"/>
              </w:rPr>
              <w:t>HA接口1个</w:t>
            </w:r>
          </w:p>
          <w:p w14:paraId="75750D83">
            <w:pPr>
              <w:widowControl/>
              <w:snapToGrid w:val="0"/>
              <w:spacing w:after="0" w:line="360" w:lineRule="auto"/>
              <w:ind w:firstLine="1050" w:firstLineChars="500"/>
              <w:textAlignment w:val="center"/>
              <w:rPr>
                <w:rFonts w:hint="eastAsia" w:ascii="宋体" w:hAnsi="宋体" w:eastAsia="宋体"/>
                <w:sz w:val="21"/>
                <w:szCs w:val="21"/>
              </w:rPr>
            </w:pPr>
            <w:r>
              <w:rPr>
                <w:rFonts w:hint="eastAsia" w:ascii="宋体" w:hAnsi="宋体" w:eastAsia="宋体"/>
                <w:sz w:val="21"/>
                <w:szCs w:val="21"/>
              </w:rPr>
              <w:t>SSD硬盘容量≥64GB</w:t>
            </w:r>
          </w:p>
          <w:p w14:paraId="26944464">
            <w:pPr>
              <w:widowControl/>
              <w:snapToGrid w:val="0"/>
              <w:spacing w:after="0" w:line="360" w:lineRule="auto"/>
              <w:textAlignment w:val="center"/>
              <w:rPr>
                <w:rFonts w:hint="eastAsia" w:ascii="宋体" w:hAnsi="宋体" w:eastAsia="宋体" w:cs="宋体"/>
                <w:color w:val="000000"/>
                <w:kern w:val="0"/>
                <w:sz w:val="21"/>
                <w:szCs w:val="21"/>
                <w:lang w:bidi="ar"/>
                <w14:ligatures w14:val="none"/>
              </w:rPr>
            </w:pPr>
            <w:r>
              <w:rPr>
                <w:rFonts w:hint="eastAsia" w:ascii="宋体" w:hAnsi="宋体" w:eastAsia="宋体"/>
                <w:sz w:val="21"/>
                <w:szCs w:val="21"/>
              </w:rPr>
              <w:t>光模块：配备</w:t>
            </w:r>
            <w:r>
              <w:rPr>
                <w:rFonts w:ascii="宋体" w:hAnsi="宋体" w:eastAsia="宋体"/>
                <w:sz w:val="21"/>
                <w:szCs w:val="21"/>
              </w:rPr>
              <w:t>4个多模SFP光模块</w:t>
            </w:r>
            <w:r>
              <w:rPr>
                <w:rFonts w:hint="eastAsia" w:ascii="宋体" w:hAnsi="宋体" w:eastAsia="宋体"/>
                <w:sz w:val="21"/>
                <w:szCs w:val="21"/>
              </w:rPr>
              <w:t>。</w:t>
            </w:r>
          </w:p>
        </w:tc>
      </w:tr>
      <w:tr w14:paraId="6AB8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0F8F07F5">
            <w:pPr>
              <w:spacing w:after="0" w:line="240" w:lineRule="auto"/>
              <w:rPr>
                <w:rFonts w:hint="eastAsia" w:ascii="宋体" w:hAnsi="宋体" w:eastAsia="宋体"/>
                <w:sz w:val="21"/>
                <w:szCs w:val="21"/>
              </w:rPr>
            </w:pPr>
            <w:r>
              <w:rPr>
                <w:rFonts w:hint="eastAsia" w:ascii="宋体" w:hAnsi="宋体" w:eastAsia="宋体"/>
                <w:sz w:val="21"/>
                <w:szCs w:val="21"/>
              </w:rPr>
              <w:t>功能要求</w:t>
            </w:r>
          </w:p>
        </w:tc>
        <w:tc>
          <w:tcPr>
            <w:tcW w:w="4130" w:type="pct"/>
            <w:tcBorders>
              <w:top w:val="single" w:color="auto" w:sz="4" w:space="0"/>
              <w:left w:val="single" w:color="auto" w:sz="4" w:space="0"/>
              <w:bottom w:val="single" w:color="auto" w:sz="4" w:space="0"/>
              <w:right w:val="single" w:color="auto" w:sz="4" w:space="0"/>
            </w:tcBorders>
          </w:tcPr>
          <w:p w14:paraId="7D30ECEF">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HA，建立高可靠，</w:t>
            </w:r>
            <w:r>
              <w:rPr>
                <w:rFonts w:hint="eastAsia" w:ascii="宋体" w:hAnsi="宋体" w:eastAsia="宋体"/>
                <w:sz w:val="21"/>
                <w:szCs w:val="21"/>
              </w:rPr>
              <w:t>具备</w:t>
            </w:r>
            <w:r>
              <w:rPr>
                <w:rFonts w:ascii="宋体" w:hAnsi="宋体" w:eastAsia="宋体"/>
                <w:sz w:val="21"/>
                <w:szCs w:val="21"/>
              </w:rPr>
              <w:t>设备间配置和会话的同步，且设备间</w:t>
            </w:r>
            <w:r>
              <w:rPr>
                <w:rFonts w:hint="eastAsia" w:ascii="宋体" w:hAnsi="宋体" w:eastAsia="宋体"/>
                <w:sz w:val="21"/>
                <w:szCs w:val="21"/>
              </w:rPr>
              <w:t>具备</w:t>
            </w:r>
            <w:r>
              <w:rPr>
                <w:rFonts w:ascii="宋体" w:hAnsi="宋体" w:eastAsia="宋体"/>
                <w:sz w:val="21"/>
                <w:szCs w:val="21"/>
              </w:rPr>
              <w:t>双主模式和主备模式；</w:t>
            </w:r>
          </w:p>
          <w:p w14:paraId="58FE9019">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提供独立的策略路由（PBR）日志记录界面，记录时间、PBR名称、五元组、虚拟路由器、会话原因等信息，PBR日志支持设置缓存大小和分布式外发；</w:t>
            </w:r>
            <w:r>
              <w:rPr>
                <w:rFonts w:hint="eastAsia" w:ascii="宋体" w:hAnsi="宋体" w:eastAsia="宋体" w:cs="宋体"/>
                <w:color w:val="000000"/>
                <w:kern w:val="0"/>
                <w:sz w:val="21"/>
                <w:szCs w:val="21"/>
                <w:lang w:bidi="ar"/>
              </w:rPr>
              <w:t xml:space="preserve"> </w:t>
            </w:r>
          </w:p>
          <w:p w14:paraId="38EAF1EA">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根据入接口、源/目的IP地址/地址对象、源/目的端口、协议、用户、应用、度量值、权重等多种条件设置策略路由；</w:t>
            </w:r>
            <w:r>
              <w:rPr>
                <w:rFonts w:hint="eastAsia" w:ascii="宋体" w:hAnsi="宋体" w:eastAsia="宋体"/>
                <w:sz w:val="21"/>
                <w:szCs w:val="21"/>
              </w:rPr>
              <w:t>具备</w:t>
            </w:r>
            <w:r>
              <w:rPr>
                <w:rFonts w:ascii="宋体" w:hAnsi="宋体" w:eastAsia="宋体"/>
                <w:sz w:val="21"/>
                <w:szCs w:val="21"/>
              </w:rPr>
              <w:t>内置交换机和路由器的虚拟化，可提供独立的MAC地址表和路由表；</w:t>
            </w:r>
          </w:p>
          <w:p w14:paraId="284F67E4">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根据源地址、源安全域、时间表、最大终端数设置控制策略，超限动作支持记录日志、告警、阻断；支持接入监控，可显示接入终端的数量和状态；</w:t>
            </w:r>
          </w:p>
          <w:p w14:paraId="09514D0E">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冗余策略检测功能，</w:t>
            </w:r>
            <w:r>
              <w:rPr>
                <w:rFonts w:hint="eastAsia" w:ascii="宋体" w:hAnsi="宋体" w:eastAsia="宋体"/>
                <w:sz w:val="21"/>
                <w:szCs w:val="21"/>
              </w:rPr>
              <w:t>具备</w:t>
            </w:r>
            <w:r>
              <w:rPr>
                <w:rFonts w:ascii="宋体" w:hAnsi="宋体" w:eastAsia="宋体"/>
                <w:sz w:val="21"/>
                <w:szCs w:val="21"/>
              </w:rPr>
              <w:t>策略自学习，</w:t>
            </w:r>
            <w:r>
              <w:rPr>
                <w:rFonts w:hint="eastAsia" w:ascii="宋体" w:hAnsi="宋体" w:eastAsia="宋体"/>
                <w:sz w:val="21"/>
                <w:szCs w:val="21"/>
              </w:rPr>
              <w:t>具备</w:t>
            </w:r>
            <w:r>
              <w:rPr>
                <w:rFonts w:ascii="宋体" w:hAnsi="宋体" w:eastAsia="宋体"/>
                <w:sz w:val="21"/>
                <w:szCs w:val="21"/>
              </w:rPr>
              <w:t>基于国家地址库的黑名单风险范围，</w:t>
            </w:r>
            <w:r>
              <w:rPr>
                <w:rFonts w:hint="eastAsia" w:ascii="宋体" w:hAnsi="宋体" w:eastAsia="宋体"/>
                <w:sz w:val="21"/>
                <w:szCs w:val="21"/>
              </w:rPr>
              <w:t>具备</w:t>
            </w:r>
            <w:r>
              <w:rPr>
                <w:rFonts w:ascii="宋体" w:hAnsi="宋体" w:eastAsia="宋体"/>
                <w:sz w:val="21"/>
                <w:szCs w:val="21"/>
              </w:rPr>
              <w:t>自定义IP黑名单容量，具备MAC地址黑名单管控能力，提供AI运维助手功能</w:t>
            </w:r>
            <w:r>
              <w:rPr>
                <w:rFonts w:hint="eastAsia" w:ascii="宋体" w:hAnsi="宋体" w:eastAsia="宋体"/>
                <w:sz w:val="21"/>
                <w:szCs w:val="21"/>
              </w:rPr>
              <w:t>；</w:t>
            </w:r>
          </w:p>
          <w:p w14:paraId="0F05C08B">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加密流量不解密防护能力，具备对勒索、木马等病毒文件的检测管控能力，</w:t>
            </w:r>
            <w:r>
              <w:rPr>
                <w:rFonts w:hint="eastAsia" w:ascii="宋体" w:hAnsi="宋体" w:eastAsia="宋体"/>
                <w:sz w:val="21"/>
                <w:szCs w:val="21"/>
              </w:rPr>
              <w:t>具备</w:t>
            </w:r>
            <w:r>
              <w:rPr>
                <w:rFonts w:ascii="宋体" w:hAnsi="宋体" w:eastAsia="宋体"/>
                <w:sz w:val="21"/>
                <w:szCs w:val="21"/>
              </w:rPr>
              <w:t>云端IOC情报协同验证本地威胁日志，</w:t>
            </w:r>
            <w:r>
              <w:rPr>
                <w:rFonts w:hint="eastAsia" w:ascii="宋体" w:hAnsi="宋体" w:eastAsia="宋体"/>
                <w:sz w:val="21"/>
                <w:szCs w:val="21"/>
              </w:rPr>
              <w:t>具备</w:t>
            </w:r>
            <w:r>
              <w:rPr>
                <w:rFonts w:ascii="宋体" w:hAnsi="宋体" w:eastAsia="宋体"/>
                <w:sz w:val="21"/>
                <w:szCs w:val="21"/>
              </w:rPr>
              <w:t>智能检测DNS流量中的高级风险；</w:t>
            </w:r>
          </w:p>
        </w:tc>
      </w:tr>
      <w:tr w14:paraId="67E6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3E3A4443">
            <w:pPr>
              <w:spacing w:after="0" w:line="240" w:lineRule="auto"/>
              <w:rPr>
                <w:rFonts w:hint="eastAsia" w:ascii="宋体" w:hAnsi="宋体" w:eastAsia="宋体"/>
                <w:sz w:val="21"/>
                <w:szCs w:val="21"/>
              </w:rPr>
            </w:pPr>
            <w:r>
              <w:rPr>
                <w:rFonts w:hint="eastAsia" w:ascii="宋体" w:hAnsi="宋体" w:eastAsia="宋体"/>
                <w:sz w:val="21"/>
                <w:szCs w:val="21"/>
              </w:rPr>
              <w:t>质保要求</w:t>
            </w:r>
          </w:p>
        </w:tc>
        <w:tc>
          <w:tcPr>
            <w:tcW w:w="4130" w:type="pct"/>
            <w:tcBorders>
              <w:top w:val="single" w:color="auto" w:sz="4" w:space="0"/>
              <w:left w:val="single" w:color="auto" w:sz="4" w:space="0"/>
              <w:bottom w:val="single" w:color="auto" w:sz="4" w:space="0"/>
              <w:right w:val="single" w:color="auto" w:sz="4" w:space="0"/>
            </w:tcBorders>
          </w:tcPr>
          <w:p w14:paraId="5C5999D3">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提供三年应用特征库、入侵防御特征库、病毒过滤特征库升级服务</w:t>
            </w:r>
            <w:r>
              <w:rPr>
                <w:rFonts w:hint="eastAsia" w:ascii="宋体" w:hAnsi="宋体" w:eastAsia="宋体"/>
                <w:sz w:val="21"/>
                <w:szCs w:val="21"/>
              </w:rPr>
              <w:t>；</w:t>
            </w:r>
            <w:r>
              <w:rPr>
                <w:rFonts w:ascii="宋体" w:hAnsi="宋体" w:eastAsia="宋体"/>
                <w:sz w:val="21"/>
                <w:szCs w:val="21"/>
              </w:rPr>
              <w:t>提供三年原厂硬件维保和软件版本升级服务</w:t>
            </w:r>
            <w:r>
              <w:rPr>
                <w:rFonts w:hint="eastAsia" w:ascii="宋体" w:hAnsi="宋体" w:eastAsia="宋体"/>
                <w:sz w:val="21"/>
                <w:szCs w:val="21"/>
              </w:rPr>
              <w:t>；</w:t>
            </w:r>
          </w:p>
          <w:p w14:paraId="746F2B89">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投标</w:t>
            </w:r>
            <w:r>
              <w:rPr>
                <w:rFonts w:hint="eastAsia" w:ascii="宋体" w:hAnsi="宋体" w:eastAsia="宋体"/>
                <w:sz w:val="21"/>
                <w:szCs w:val="21"/>
              </w:rPr>
              <w:t>时</w:t>
            </w:r>
            <w:r>
              <w:rPr>
                <w:rFonts w:ascii="宋体" w:hAnsi="宋体" w:eastAsia="宋体"/>
                <w:sz w:val="21"/>
                <w:szCs w:val="21"/>
              </w:rPr>
              <w:t>提供原厂关于本项目的售后服务承诺函。</w:t>
            </w:r>
          </w:p>
        </w:tc>
      </w:tr>
    </w:tbl>
    <w:p w14:paraId="014A090A">
      <w:pPr>
        <w:ind w:firstLine="420" w:firstLineChars="200"/>
        <w:rPr>
          <w:rFonts w:hint="eastAsia" w:ascii="宋体" w:hAnsi="宋体" w:eastAsia="宋体"/>
          <w:sz w:val="21"/>
          <w:szCs w:val="21"/>
        </w:rPr>
      </w:pPr>
    </w:p>
    <w:p w14:paraId="1049703F">
      <w:pPr>
        <w:ind w:firstLine="420" w:firstLineChars="200"/>
        <w:rPr>
          <w:rFonts w:hint="eastAsia" w:ascii="宋体" w:hAnsi="宋体" w:eastAsia="宋体"/>
          <w:sz w:val="21"/>
          <w:szCs w:val="21"/>
        </w:rPr>
      </w:pPr>
      <w:r>
        <w:rPr>
          <w:rFonts w:hint="eastAsia" w:ascii="宋体" w:hAnsi="宋体" w:eastAsia="宋体"/>
          <w:sz w:val="21"/>
          <w:szCs w:val="21"/>
        </w:rPr>
        <w:t>3、二级时钟源服务器</w:t>
      </w:r>
    </w:p>
    <w:tbl>
      <w:tblPr>
        <w:tblStyle w:val="22"/>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038"/>
      </w:tblGrid>
      <w:tr w14:paraId="03F2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0" w:type="pct"/>
            <w:tcBorders>
              <w:top w:val="single" w:color="auto" w:sz="4" w:space="0"/>
              <w:left w:val="single" w:color="auto" w:sz="4" w:space="0"/>
              <w:bottom w:val="single" w:color="auto" w:sz="4" w:space="0"/>
              <w:right w:val="single" w:color="auto" w:sz="4" w:space="0"/>
            </w:tcBorders>
          </w:tcPr>
          <w:p w14:paraId="6C63C96C">
            <w:pPr>
              <w:jc w:val="center"/>
              <w:rPr>
                <w:rFonts w:hint="eastAsia" w:ascii="宋体" w:hAnsi="宋体" w:eastAsia="宋体"/>
                <w:sz w:val="21"/>
                <w:szCs w:val="21"/>
              </w:rPr>
            </w:pPr>
            <w:r>
              <w:rPr>
                <w:rFonts w:ascii="宋体" w:hAnsi="宋体" w:eastAsia="宋体"/>
                <w:sz w:val="21"/>
                <w:szCs w:val="21"/>
              </w:rPr>
              <w:t>指标项</w:t>
            </w:r>
          </w:p>
        </w:tc>
        <w:tc>
          <w:tcPr>
            <w:tcW w:w="4130" w:type="pct"/>
            <w:tcBorders>
              <w:top w:val="single" w:color="auto" w:sz="4" w:space="0"/>
              <w:left w:val="single" w:color="auto" w:sz="4" w:space="0"/>
              <w:bottom w:val="single" w:color="auto" w:sz="4" w:space="0"/>
              <w:right w:val="single" w:color="auto" w:sz="4" w:space="0"/>
            </w:tcBorders>
          </w:tcPr>
          <w:p w14:paraId="4B3323D7">
            <w:pPr>
              <w:jc w:val="center"/>
              <w:rPr>
                <w:rFonts w:hint="eastAsia" w:ascii="宋体" w:hAnsi="宋体" w:eastAsia="宋体"/>
                <w:sz w:val="21"/>
                <w:szCs w:val="21"/>
              </w:rPr>
            </w:pPr>
            <w:r>
              <w:rPr>
                <w:rFonts w:ascii="宋体" w:hAnsi="宋体" w:eastAsia="宋体"/>
                <w:sz w:val="21"/>
                <w:szCs w:val="21"/>
              </w:rPr>
              <w:t>详细要求</w:t>
            </w:r>
          </w:p>
        </w:tc>
      </w:tr>
      <w:tr w14:paraId="1792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0" w:type="pct"/>
            <w:tcBorders>
              <w:top w:val="single" w:color="auto" w:sz="4" w:space="0"/>
              <w:left w:val="single" w:color="auto" w:sz="4" w:space="0"/>
              <w:bottom w:val="single" w:color="auto" w:sz="4" w:space="0"/>
              <w:right w:val="single" w:color="auto" w:sz="4" w:space="0"/>
            </w:tcBorders>
          </w:tcPr>
          <w:p w14:paraId="146439F8">
            <w:pPr>
              <w:spacing w:after="0" w:line="240" w:lineRule="auto"/>
              <w:jc w:val="center"/>
              <w:rPr>
                <w:rFonts w:hint="eastAsia" w:ascii="宋体" w:hAnsi="宋体" w:eastAsia="宋体"/>
                <w:sz w:val="21"/>
                <w:szCs w:val="21"/>
              </w:rPr>
            </w:pPr>
            <w:r>
              <w:rPr>
                <w:rFonts w:hint="eastAsia" w:ascii="宋体" w:hAnsi="宋体" w:eastAsia="宋体"/>
                <w:sz w:val="21"/>
                <w:szCs w:val="21"/>
              </w:rPr>
              <w:t>性能规格</w:t>
            </w:r>
          </w:p>
        </w:tc>
        <w:tc>
          <w:tcPr>
            <w:tcW w:w="4130" w:type="pct"/>
            <w:tcBorders>
              <w:top w:val="single" w:color="auto" w:sz="4" w:space="0"/>
              <w:left w:val="single" w:color="auto" w:sz="4" w:space="0"/>
              <w:bottom w:val="single" w:color="auto" w:sz="4" w:space="0"/>
              <w:right w:val="single" w:color="auto" w:sz="4" w:space="0"/>
            </w:tcBorders>
          </w:tcPr>
          <w:p w14:paraId="641091D1">
            <w:pPr>
              <w:widowControl/>
              <w:snapToGrid w:val="0"/>
              <w:spacing w:after="0" w:line="360" w:lineRule="auto"/>
              <w:textAlignment w:val="center"/>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ascii="宋体" w:hAnsi="宋体" w:eastAsia="宋体"/>
                <w:sz w:val="21"/>
                <w:szCs w:val="21"/>
                <w:highlight w:val="yellow"/>
              </w:rPr>
              <w:t>NTP 用户终端同步精度：0.03ms-2ms</w:t>
            </w:r>
            <w:r>
              <w:rPr>
                <w:rFonts w:hint="eastAsia" w:ascii="宋体" w:hAnsi="宋体" w:eastAsia="宋体"/>
                <w:sz w:val="21"/>
                <w:szCs w:val="21"/>
                <w:highlight w:val="yellow"/>
              </w:rPr>
              <w:t>；</w:t>
            </w:r>
          </w:p>
          <w:p w14:paraId="6AB6FE00">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用户容量≥10000 台</w:t>
            </w:r>
            <w:r>
              <w:rPr>
                <w:rFonts w:hint="eastAsia" w:ascii="宋体" w:hAnsi="宋体" w:eastAsia="宋体"/>
                <w:sz w:val="21"/>
                <w:szCs w:val="21"/>
              </w:rPr>
              <w:t>；</w:t>
            </w:r>
          </w:p>
          <w:p w14:paraId="093B489B">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NTP 吞吐量≥10000 次/秒</w:t>
            </w:r>
            <w:r>
              <w:rPr>
                <w:rFonts w:hint="eastAsia" w:ascii="宋体" w:hAnsi="宋体" w:eastAsia="宋体"/>
                <w:sz w:val="21"/>
                <w:szCs w:val="21"/>
              </w:rPr>
              <w:t>；</w:t>
            </w:r>
          </w:p>
          <w:p w14:paraId="425D066D">
            <w:pPr>
              <w:widowControl/>
              <w:snapToGrid w:val="0"/>
              <w:spacing w:after="0" w:line="360" w:lineRule="auto"/>
              <w:textAlignment w:val="center"/>
              <w:rPr>
                <w:rFonts w:hint="eastAsia" w:ascii="宋体" w:hAnsi="宋体" w:eastAsia="宋体"/>
                <w:color w:val="EE0000"/>
                <w:sz w:val="21"/>
                <w:szCs w:val="21"/>
                <w:highlight w:val="yellow"/>
              </w:rPr>
            </w:pPr>
            <w:r>
              <w:rPr>
                <w:rFonts w:hint="eastAsia" w:ascii="宋体" w:hAnsi="宋体" w:eastAsia="宋体" w:cs="宋体"/>
                <w:color w:val="EE0000"/>
                <w:sz w:val="21"/>
                <w:szCs w:val="21"/>
                <w:highlight w:val="yellow"/>
              </w:rPr>
              <w:t>▲</w:t>
            </w:r>
            <w:r>
              <w:rPr>
                <w:rFonts w:ascii="宋体" w:hAnsi="宋体" w:eastAsia="宋体"/>
                <w:color w:val="EE0000"/>
                <w:sz w:val="21"/>
                <w:szCs w:val="21"/>
                <w:highlight w:val="yellow"/>
              </w:rPr>
              <w:t>NTP 授时日志≥10 万条日志存储，日志存储周期可设置</w:t>
            </w:r>
            <w:r>
              <w:rPr>
                <w:rFonts w:hint="eastAsia" w:ascii="宋体" w:hAnsi="宋体" w:eastAsia="宋体"/>
                <w:color w:val="EE0000"/>
                <w:sz w:val="21"/>
                <w:szCs w:val="21"/>
                <w:highlight w:val="yellow"/>
              </w:rPr>
              <w:t>；</w:t>
            </w:r>
          </w:p>
          <w:p w14:paraId="05CC4C35">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授时准确度（24 小时平均值）：≤15ns（1PPS 接口）</w:t>
            </w:r>
            <w:r>
              <w:rPr>
                <w:rFonts w:hint="eastAsia" w:ascii="宋体" w:hAnsi="宋体" w:eastAsia="宋体"/>
                <w:sz w:val="21"/>
                <w:szCs w:val="21"/>
              </w:rPr>
              <w:t>；</w:t>
            </w:r>
          </w:p>
          <w:p w14:paraId="0994411C">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授时稳定度（24 小时标准差）：≤25ns（1PPS 接口）</w:t>
            </w:r>
            <w:r>
              <w:rPr>
                <w:rFonts w:hint="eastAsia" w:ascii="宋体" w:hAnsi="宋体" w:eastAsia="宋体"/>
                <w:sz w:val="21"/>
                <w:szCs w:val="21"/>
              </w:rPr>
              <w:t>；</w:t>
            </w:r>
          </w:p>
        </w:tc>
      </w:tr>
      <w:tr w14:paraId="366C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68EA8026">
            <w:pPr>
              <w:rPr>
                <w:rFonts w:hint="eastAsia" w:ascii="宋体" w:hAnsi="宋体" w:eastAsia="宋体"/>
                <w:sz w:val="21"/>
                <w:szCs w:val="21"/>
              </w:rPr>
            </w:pPr>
            <w:r>
              <w:rPr>
                <w:rFonts w:ascii="宋体" w:hAnsi="宋体" w:eastAsia="宋体"/>
                <w:sz w:val="21"/>
                <w:szCs w:val="21"/>
              </w:rPr>
              <w:t>芯片要求</w:t>
            </w:r>
          </w:p>
        </w:tc>
        <w:tc>
          <w:tcPr>
            <w:tcW w:w="4130" w:type="pct"/>
            <w:tcBorders>
              <w:top w:val="single" w:color="auto" w:sz="4" w:space="0"/>
              <w:left w:val="single" w:color="auto" w:sz="4" w:space="0"/>
              <w:bottom w:val="single" w:color="auto" w:sz="4" w:space="0"/>
              <w:right w:val="single" w:color="auto" w:sz="4" w:space="0"/>
            </w:tcBorders>
          </w:tcPr>
          <w:p w14:paraId="07432845">
            <w:pPr>
              <w:rPr>
                <w:rFonts w:hint="eastAsia" w:ascii="宋体" w:hAnsi="宋体" w:eastAsia="宋体"/>
                <w:sz w:val="21"/>
                <w:szCs w:val="21"/>
              </w:rPr>
            </w:pPr>
            <w:r>
              <w:rPr>
                <w:rFonts w:ascii="宋体" w:hAnsi="宋体" w:eastAsia="宋体"/>
                <w:sz w:val="21"/>
                <w:szCs w:val="21"/>
                <w:highlight w:val="yellow"/>
              </w:rPr>
              <w:t>CPU采用国产芯片</w:t>
            </w:r>
          </w:p>
        </w:tc>
      </w:tr>
      <w:tr w14:paraId="6911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7F3E84A8">
            <w:pPr>
              <w:rPr>
                <w:rFonts w:hint="eastAsia" w:ascii="宋体" w:hAnsi="宋体" w:eastAsia="宋体"/>
                <w:sz w:val="21"/>
                <w:szCs w:val="21"/>
              </w:rPr>
            </w:pPr>
            <w:r>
              <w:rPr>
                <w:rFonts w:ascii="宋体" w:hAnsi="宋体" w:eastAsia="宋体"/>
                <w:sz w:val="21"/>
                <w:szCs w:val="21"/>
              </w:rPr>
              <w:t>实配要求</w:t>
            </w:r>
          </w:p>
        </w:tc>
        <w:tc>
          <w:tcPr>
            <w:tcW w:w="4130" w:type="pct"/>
            <w:tcBorders>
              <w:top w:val="single" w:color="auto" w:sz="4" w:space="0"/>
              <w:left w:val="single" w:color="auto" w:sz="4" w:space="0"/>
              <w:bottom w:val="single" w:color="auto" w:sz="4" w:space="0"/>
              <w:right w:val="single" w:color="auto" w:sz="4" w:space="0"/>
            </w:tcBorders>
          </w:tcPr>
          <w:p w14:paraId="1C740B48">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外观尺寸：1U</w:t>
            </w:r>
          </w:p>
          <w:p w14:paraId="2AE1928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电源：冗余电源</w:t>
            </w:r>
          </w:p>
          <w:p w14:paraId="2ABE7EC3">
            <w:pPr>
              <w:widowControl/>
              <w:snapToGrid w:val="0"/>
              <w:spacing w:after="0" w:line="360" w:lineRule="auto"/>
              <w:textAlignment w:val="center"/>
              <w:rPr>
                <w:rFonts w:hint="eastAsia" w:ascii="宋体" w:hAnsi="宋体" w:eastAsia="宋体" w:cs="宋体"/>
                <w:color w:val="000000"/>
                <w:kern w:val="0"/>
                <w:sz w:val="21"/>
                <w:szCs w:val="21"/>
                <w:lang w:bidi="ar"/>
                <w14:ligatures w14:val="none"/>
              </w:rPr>
            </w:pPr>
            <w:r>
              <w:rPr>
                <w:rFonts w:hint="eastAsia" w:ascii="宋体" w:hAnsi="宋体" w:eastAsia="宋体"/>
                <w:sz w:val="21"/>
                <w:szCs w:val="21"/>
              </w:rPr>
              <w:t xml:space="preserve">接口要求：1000BASE-T≥4个 </w:t>
            </w:r>
          </w:p>
        </w:tc>
      </w:tr>
      <w:tr w14:paraId="54C6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6A84B5F8">
            <w:pPr>
              <w:spacing w:after="0" w:line="240" w:lineRule="auto"/>
              <w:rPr>
                <w:rFonts w:hint="eastAsia" w:ascii="宋体" w:hAnsi="宋体" w:eastAsia="宋体"/>
                <w:sz w:val="21"/>
                <w:szCs w:val="21"/>
              </w:rPr>
            </w:pPr>
            <w:r>
              <w:rPr>
                <w:rFonts w:hint="eastAsia" w:ascii="宋体" w:hAnsi="宋体" w:eastAsia="宋体"/>
                <w:sz w:val="21"/>
                <w:szCs w:val="21"/>
              </w:rPr>
              <w:t>功能要求</w:t>
            </w:r>
          </w:p>
        </w:tc>
        <w:tc>
          <w:tcPr>
            <w:tcW w:w="4130" w:type="pct"/>
            <w:tcBorders>
              <w:top w:val="single" w:color="auto" w:sz="4" w:space="0"/>
              <w:left w:val="single" w:color="auto" w:sz="4" w:space="0"/>
              <w:bottom w:val="single" w:color="auto" w:sz="4" w:space="0"/>
              <w:right w:val="single" w:color="auto" w:sz="4" w:space="0"/>
            </w:tcBorders>
          </w:tcPr>
          <w:p w14:paraId="0045E4B5">
            <w:pPr>
              <w:spacing w:after="0" w:line="240" w:lineRule="auto"/>
              <w:rPr>
                <w:rFonts w:hint="eastAsia" w:ascii="宋体" w:hAnsi="宋体" w:eastAsia="宋体"/>
                <w:sz w:val="21"/>
                <w:szCs w:val="21"/>
              </w:rPr>
            </w:pPr>
            <w:r>
              <w:rPr>
                <w:rFonts w:ascii="宋体" w:hAnsi="宋体" w:eastAsia="宋体"/>
                <w:sz w:val="21"/>
                <w:szCs w:val="21"/>
              </w:rPr>
              <w:t>时间源支持 NTP 输入</w:t>
            </w:r>
          </w:p>
          <w:p w14:paraId="14639FAA">
            <w:pPr>
              <w:spacing w:after="0" w:line="240" w:lineRule="auto"/>
              <w:rPr>
                <w:rFonts w:hint="eastAsia" w:ascii="宋体" w:hAnsi="宋体" w:eastAsia="宋体"/>
                <w:sz w:val="21"/>
                <w:szCs w:val="21"/>
              </w:rPr>
            </w:pPr>
            <w:r>
              <w:rPr>
                <w:rFonts w:ascii="宋体" w:hAnsi="宋体" w:eastAsia="宋体"/>
                <w:sz w:val="21"/>
                <w:szCs w:val="21"/>
              </w:rPr>
              <w:t>监控：支持 SNMP、Syslog</w:t>
            </w:r>
          </w:p>
          <w:p w14:paraId="4CF1012B">
            <w:pPr>
              <w:spacing w:after="0" w:line="240" w:lineRule="auto"/>
              <w:rPr>
                <w:rFonts w:hint="eastAsia" w:ascii="宋体" w:hAnsi="宋体" w:eastAsia="宋体"/>
                <w:sz w:val="21"/>
                <w:szCs w:val="21"/>
              </w:rPr>
            </w:pPr>
            <w:r>
              <w:rPr>
                <w:rFonts w:ascii="宋体" w:hAnsi="宋体" w:eastAsia="宋体"/>
                <w:sz w:val="21"/>
                <w:szCs w:val="21"/>
              </w:rPr>
              <w:t>具备通过网络协议</w:t>
            </w:r>
            <w:r>
              <w:rPr>
                <w:rFonts w:hint="eastAsia" w:ascii="宋体" w:hAnsi="宋体" w:eastAsia="宋体"/>
                <w:sz w:val="21"/>
                <w:szCs w:val="21"/>
              </w:rPr>
              <w:t>向一级时钟源对时</w:t>
            </w:r>
          </w:p>
        </w:tc>
      </w:tr>
      <w:tr w14:paraId="7529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6572227E">
            <w:pPr>
              <w:spacing w:after="0" w:line="240" w:lineRule="auto"/>
              <w:rPr>
                <w:rFonts w:hint="eastAsia" w:ascii="宋体" w:hAnsi="宋体" w:eastAsia="宋体"/>
                <w:sz w:val="21"/>
                <w:szCs w:val="21"/>
              </w:rPr>
            </w:pPr>
            <w:r>
              <w:rPr>
                <w:rFonts w:hint="eastAsia" w:ascii="宋体" w:hAnsi="宋体" w:eastAsia="宋体"/>
                <w:sz w:val="21"/>
                <w:szCs w:val="21"/>
              </w:rPr>
              <w:t>质保要求</w:t>
            </w:r>
          </w:p>
        </w:tc>
        <w:tc>
          <w:tcPr>
            <w:tcW w:w="4130" w:type="pct"/>
            <w:tcBorders>
              <w:top w:val="single" w:color="auto" w:sz="4" w:space="0"/>
              <w:left w:val="single" w:color="auto" w:sz="4" w:space="0"/>
              <w:bottom w:val="single" w:color="auto" w:sz="4" w:space="0"/>
              <w:right w:val="single" w:color="auto" w:sz="4" w:space="0"/>
            </w:tcBorders>
          </w:tcPr>
          <w:p w14:paraId="66A22319">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提供三年原厂硬件维保和软件版本升级服务</w:t>
            </w:r>
            <w:r>
              <w:rPr>
                <w:rFonts w:hint="eastAsia" w:ascii="宋体" w:hAnsi="宋体" w:eastAsia="宋体"/>
                <w:sz w:val="21"/>
                <w:szCs w:val="21"/>
              </w:rPr>
              <w:t>；</w:t>
            </w:r>
            <w:r>
              <w:rPr>
                <w:rFonts w:ascii="宋体" w:hAnsi="宋体" w:eastAsia="宋体"/>
                <w:sz w:val="21"/>
                <w:szCs w:val="21"/>
              </w:rPr>
              <w:t>投标</w:t>
            </w:r>
            <w:r>
              <w:rPr>
                <w:rFonts w:hint="eastAsia" w:ascii="宋体" w:hAnsi="宋体" w:eastAsia="宋体"/>
                <w:sz w:val="21"/>
                <w:szCs w:val="21"/>
              </w:rPr>
              <w:t>时</w:t>
            </w:r>
            <w:r>
              <w:rPr>
                <w:rFonts w:ascii="宋体" w:hAnsi="宋体" w:eastAsia="宋体"/>
                <w:sz w:val="21"/>
                <w:szCs w:val="21"/>
              </w:rPr>
              <w:t>提供原厂关于本项目的售后服务承诺函。</w:t>
            </w:r>
          </w:p>
        </w:tc>
      </w:tr>
    </w:tbl>
    <w:p w14:paraId="4FB1E276">
      <w:pPr>
        <w:ind w:firstLine="210" w:firstLineChars="100"/>
        <w:rPr>
          <w:rFonts w:hint="eastAsia" w:ascii="宋体" w:hAnsi="宋体" w:eastAsia="宋体"/>
          <w:sz w:val="21"/>
          <w:szCs w:val="21"/>
        </w:rPr>
      </w:pPr>
    </w:p>
    <w:p w14:paraId="7649B43D">
      <w:pPr>
        <w:ind w:firstLine="420" w:firstLineChars="200"/>
        <w:rPr>
          <w:rFonts w:hint="eastAsia" w:ascii="宋体" w:hAnsi="宋体" w:eastAsia="宋体"/>
          <w:sz w:val="21"/>
          <w:szCs w:val="21"/>
        </w:rPr>
      </w:pPr>
      <w:r>
        <w:rPr>
          <w:rFonts w:hint="eastAsia" w:ascii="宋体" w:hAnsi="宋体" w:eastAsia="宋体"/>
          <w:sz w:val="21"/>
          <w:szCs w:val="21"/>
        </w:rPr>
        <w:t>4、</w:t>
      </w:r>
      <w:r>
        <w:rPr>
          <w:rFonts w:ascii="宋体" w:hAnsi="宋体" w:eastAsia="宋体"/>
          <w:sz w:val="21"/>
          <w:szCs w:val="21"/>
        </w:rPr>
        <w:t>安全隔离网闸</w:t>
      </w:r>
    </w:p>
    <w:tbl>
      <w:tblPr>
        <w:tblStyle w:val="22"/>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038"/>
      </w:tblGrid>
      <w:tr w14:paraId="47AB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04946D2B">
            <w:pPr>
              <w:jc w:val="center"/>
              <w:rPr>
                <w:rFonts w:hint="eastAsia" w:ascii="宋体" w:hAnsi="宋体" w:eastAsia="宋体"/>
                <w:sz w:val="21"/>
                <w:szCs w:val="21"/>
              </w:rPr>
            </w:pPr>
            <w:r>
              <w:rPr>
                <w:rFonts w:ascii="宋体" w:hAnsi="宋体" w:eastAsia="宋体"/>
                <w:sz w:val="21"/>
                <w:szCs w:val="21"/>
              </w:rPr>
              <w:t>指标项</w:t>
            </w:r>
          </w:p>
        </w:tc>
        <w:tc>
          <w:tcPr>
            <w:tcW w:w="4130" w:type="pct"/>
            <w:tcBorders>
              <w:top w:val="single" w:color="auto" w:sz="4" w:space="0"/>
              <w:left w:val="single" w:color="auto" w:sz="4" w:space="0"/>
              <w:bottom w:val="single" w:color="auto" w:sz="4" w:space="0"/>
              <w:right w:val="single" w:color="auto" w:sz="4" w:space="0"/>
            </w:tcBorders>
          </w:tcPr>
          <w:p w14:paraId="4D2CB867">
            <w:pPr>
              <w:jc w:val="center"/>
              <w:rPr>
                <w:rFonts w:hint="eastAsia" w:ascii="宋体" w:hAnsi="宋体" w:eastAsia="宋体"/>
                <w:sz w:val="21"/>
                <w:szCs w:val="21"/>
              </w:rPr>
            </w:pPr>
            <w:r>
              <w:rPr>
                <w:rFonts w:ascii="宋体" w:hAnsi="宋体" w:eastAsia="宋体"/>
                <w:sz w:val="21"/>
                <w:szCs w:val="21"/>
              </w:rPr>
              <w:t>详细要求</w:t>
            </w:r>
          </w:p>
        </w:tc>
      </w:tr>
      <w:tr w14:paraId="421E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0B0DD3D1">
            <w:pPr>
              <w:spacing w:after="0" w:line="240" w:lineRule="auto"/>
              <w:jc w:val="center"/>
              <w:rPr>
                <w:rFonts w:hint="eastAsia" w:ascii="宋体" w:hAnsi="宋体" w:eastAsia="宋体"/>
                <w:sz w:val="21"/>
                <w:szCs w:val="21"/>
              </w:rPr>
            </w:pPr>
            <w:r>
              <w:rPr>
                <w:rFonts w:hint="eastAsia" w:ascii="宋体" w:hAnsi="宋体" w:eastAsia="宋体"/>
                <w:sz w:val="21"/>
                <w:szCs w:val="21"/>
              </w:rPr>
              <w:t>性能规格</w:t>
            </w:r>
          </w:p>
        </w:tc>
        <w:tc>
          <w:tcPr>
            <w:tcW w:w="4130" w:type="pct"/>
            <w:tcBorders>
              <w:top w:val="single" w:color="auto" w:sz="4" w:space="0"/>
              <w:left w:val="single" w:color="auto" w:sz="4" w:space="0"/>
              <w:bottom w:val="single" w:color="auto" w:sz="4" w:space="0"/>
              <w:right w:val="single" w:color="auto" w:sz="4" w:space="0"/>
            </w:tcBorders>
          </w:tcPr>
          <w:p w14:paraId="2C83AAAE">
            <w:pPr>
              <w:widowControl/>
              <w:snapToGrid w:val="0"/>
              <w:spacing w:after="0" w:line="360" w:lineRule="auto"/>
              <w:textAlignment w:val="center"/>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ascii="宋体" w:hAnsi="宋体" w:eastAsia="宋体"/>
                <w:sz w:val="21"/>
                <w:szCs w:val="21"/>
                <w:highlight w:val="yellow"/>
              </w:rPr>
              <w:t>网络（视频、系统）吞吐量≥1Gbps</w:t>
            </w:r>
            <w:r>
              <w:rPr>
                <w:rFonts w:hint="eastAsia" w:ascii="宋体" w:hAnsi="宋体" w:eastAsia="宋体"/>
                <w:sz w:val="21"/>
                <w:szCs w:val="21"/>
                <w:highlight w:val="yellow"/>
              </w:rPr>
              <w:t>；</w:t>
            </w:r>
          </w:p>
          <w:p w14:paraId="5237A010">
            <w:pPr>
              <w:widowControl/>
              <w:snapToGrid w:val="0"/>
              <w:spacing w:after="0" w:line="360" w:lineRule="auto"/>
              <w:textAlignment w:val="center"/>
              <w:rPr>
                <w:rFonts w:hint="eastAsia" w:ascii="宋体" w:hAnsi="宋体" w:eastAsia="宋体"/>
                <w:color w:val="EE0000"/>
                <w:sz w:val="21"/>
                <w:szCs w:val="21"/>
                <w:highlight w:val="yellow"/>
              </w:rPr>
            </w:pPr>
            <w:r>
              <w:rPr>
                <w:rFonts w:hint="eastAsia" w:ascii="宋体" w:hAnsi="宋体" w:eastAsia="宋体" w:cs="宋体"/>
                <w:color w:val="EE0000"/>
                <w:sz w:val="21"/>
                <w:szCs w:val="21"/>
                <w:highlight w:val="yellow"/>
              </w:rPr>
              <w:t>▲</w:t>
            </w:r>
            <w:r>
              <w:rPr>
                <w:rFonts w:ascii="宋体" w:hAnsi="宋体" w:eastAsia="宋体"/>
                <w:color w:val="EE0000"/>
                <w:sz w:val="21"/>
                <w:szCs w:val="21"/>
                <w:highlight w:val="yellow"/>
              </w:rPr>
              <w:t>并发连接数≥30万</w:t>
            </w:r>
            <w:r>
              <w:rPr>
                <w:rFonts w:hint="eastAsia" w:ascii="宋体" w:hAnsi="宋体" w:eastAsia="宋体"/>
                <w:color w:val="EE0000"/>
                <w:sz w:val="21"/>
                <w:szCs w:val="21"/>
                <w:highlight w:val="yellow"/>
              </w:rPr>
              <w:t>；</w:t>
            </w:r>
          </w:p>
          <w:p w14:paraId="3B04714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系统时延≤1ms；</w:t>
            </w:r>
          </w:p>
          <w:p w14:paraId="3479DCF3">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以官网最小值为准</w:t>
            </w:r>
            <w:r>
              <w:rPr>
                <w:rFonts w:hint="eastAsia" w:ascii="宋体" w:hAnsi="宋体" w:eastAsia="宋体"/>
                <w:sz w:val="21"/>
                <w:szCs w:val="21"/>
              </w:rPr>
              <w:t>。</w:t>
            </w:r>
          </w:p>
        </w:tc>
      </w:tr>
      <w:tr w14:paraId="1708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19B03184">
            <w:pPr>
              <w:rPr>
                <w:rFonts w:hint="eastAsia" w:ascii="宋体" w:hAnsi="宋体" w:eastAsia="宋体"/>
                <w:sz w:val="21"/>
                <w:szCs w:val="21"/>
              </w:rPr>
            </w:pPr>
            <w:r>
              <w:rPr>
                <w:rFonts w:ascii="宋体" w:hAnsi="宋体" w:eastAsia="宋体"/>
                <w:sz w:val="21"/>
                <w:szCs w:val="21"/>
              </w:rPr>
              <w:t>芯片要求</w:t>
            </w:r>
          </w:p>
        </w:tc>
        <w:tc>
          <w:tcPr>
            <w:tcW w:w="4130" w:type="pct"/>
            <w:tcBorders>
              <w:top w:val="single" w:color="auto" w:sz="4" w:space="0"/>
              <w:left w:val="single" w:color="auto" w:sz="4" w:space="0"/>
              <w:bottom w:val="single" w:color="auto" w:sz="4" w:space="0"/>
              <w:right w:val="single" w:color="auto" w:sz="4" w:space="0"/>
            </w:tcBorders>
          </w:tcPr>
          <w:p w14:paraId="17684AC1">
            <w:pPr>
              <w:rPr>
                <w:rFonts w:hint="eastAsia" w:ascii="宋体" w:hAnsi="宋体" w:eastAsia="宋体"/>
                <w:sz w:val="21"/>
                <w:szCs w:val="21"/>
              </w:rPr>
            </w:pPr>
            <w:r>
              <w:rPr>
                <w:rFonts w:ascii="宋体" w:hAnsi="宋体" w:eastAsia="宋体"/>
                <w:sz w:val="21"/>
                <w:szCs w:val="21"/>
                <w:highlight w:val="yellow"/>
              </w:rPr>
              <w:t>CPU采用国产芯片</w:t>
            </w:r>
          </w:p>
        </w:tc>
      </w:tr>
      <w:tr w14:paraId="4BE2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3EC773DA">
            <w:pPr>
              <w:rPr>
                <w:rFonts w:hint="eastAsia" w:ascii="宋体" w:hAnsi="宋体" w:eastAsia="宋体"/>
                <w:sz w:val="21"/>
                <w:szCs w:val="21"/>
              </w:rPr>
            </w:pPr>
            <w:r>
              <w:rPr>
                <w:rFonts w:ascii="宋体" w:hAnsi="宋体" w:eastAsia="宋体"/>
                <w:sz w:val="21"/>
                <w:szCs w:val="21"/>
              </w:rPr>
              <w:t>实配要求</w:t>
            </w:r>
          </w:p>
        </w:tc>
        <w:tc>
          <w:tcPr>
            <w:tcW w:w="4130" w:type="pct"/>
            <w:tcBorders>
              <w:top w:val="single" w:color="auto" w:sz="4" w:space="0"/>
              <w:left w:val="single" w:color="auto" w:sz="4" w:space="0"/>
              <w:bottom w:val="single" w:color="auto" w:sz="4" w:space="0"/>
              <w:right w:val="single" w:color="auto" w:sz="4" w:space="0"/>
            </w:tcBorders>
          </w:tcPr>
          <w:p w14:paraId="04B44C0A">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外观尺寸：2U</w:t>
            </w:r>
          </w:p>
          <w:p w14:paraId="13D5C6F2">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电源：冗余电源</w:t>
            </w:r>
          </w:p>
          <w:p w14:paraId="0B3DE4F2">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系统架构：采用2+1硬件架构；</w:t>
            </w:r>
          </w:p>
          <w:p w14:paraId="6084BFC6">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接口要求：</w:t>
            </w:r>
            <w:r>
              <w:rPr>
                <w:rFonts w:ascii="宋体" w:hAnsi="宋体" w:eastAsia="宋体"/>
                <w:sz w:val="21"/>
                <w:szCs w:val="21"/>
              </w:rPr>
              <w:t>内端机外端机各配置</w:t>
            </w:r>
            <w:r>
              <w:rPr>
                <w:rFonts w:hint="eastAsia" w:ascii="宋体" w:hAnsi="宋体" w:eastAsia="宋体"/>
                <w:sz w:val="21"/>
                <w:szCs w:val="21"/>
              </w:rPr>
              <w:t xml:space="preserve"> 1000BASE-T </w:t>
            </w:r>
            <w:r>
              <w:rPr>
                <w:rFonts w:ascii="宋体" w:hAnsi="宋体" w:eastAsia="宋体"/>
                <w:sz w:val="21"/>
                <w:szCs w:val="21"/>
              </w:rPr>
              <w:t>≥6个</w:t>
            </w:r>
          </w:p>
          <w:p w14:paraId="5FBE010B">
            <w:pPr>
              <w:widowControl/>
              <w:snapToGrid w:val="0"/>
              <w:spacing w:after="0" w:line="360" w:lineRule="auto"/>
              <w:ind w:firstLine="1050" w:firstLineChars="500"/>
              <w:textAlignment w:val="center"/>
              <w:rPr>
                <w:rFonts w:hint="eastAsia" w:ascii="宋体" w:hAnsi="宋体" w:eastAsia="宋体"/>
                <w:sz w:val="21"/>
                <w:szCs w:val="21"/>
              </w:rPr>
            </w:pPr>
            <w:r>
              <w:rPr>
                <w:rFonts w:hint="eastAsia" w:ascii="宋体" w:hAnsi="宋体" w:eastAsia="宋体"/>
                <w:sz w:val="21"/>
                <w:szCs w:val="21"/>
              </w:rPr>
              <w:t>内端机外端机各配置 1G SFP</w:t>
            </w:r>
            <w:r>
              <w:rPr>
                <w:rFonts w:ascii="宋体" w:hAnsi="宋体" w:eastAsia="宋体"/>
                <w:sz w:val="21"/>
                <w:szCs w:val="21"/>
              </w:rPr>
              <w:t>≥2</w:t>
            </w:r>
            <w:r>
              <w:rPr>
                <w:rFonts w:hint="eastAsia" w:ascii="宋体" w:hAnsi="宋体" w:eastAsia="宋体"/>
                <w:sz w:val="21"/>
                <w:szCs w:val="21"/>
              </w:rPr>
              <w:t>个，</w:t>
            </w:r>
            <w:r>
              <w:rPr>
                <w:rFonts w:ascii="宋体" w:hAnsi="宋体" w:eastAsia="宋体"/>
                <w:sz w:val="21"/>
                <w:szCs w:val="21"/>
              </w:rPr>
              <w:t>接口扩展槽</w:t>
            </w:r>
            <w:r>
              <w:rPr>
                <w:rFonts w:hint="eastAsia" w:ascii="宋体" w:hAnsi="宋体" w:eastAsia="宋体"/>
                <w:sz w:val="21"/>
                <w:szCs w:val="21"/>
              </w:rPr>
              <w:t>≥1</w:t>
            </w:r>
          </w:p>
          <w:p w14:paraId="173AF557">
            <w:pPr>
              <w:widowControl/>
              <w:snapToGrid w:val="0"/>
              <w:spacing w:after="0" w:line="360" w:lineRule="auto"/>
              <w:textAlignment w:val="center"/>
              <w:rPr>
                <w:rFonts w:hint="eastAsia" w:ascii="宋体" w:hAnsi="宋体" w:eastAsia="宋体" w:cs="宋体"/>
                <w:color w:val="000000"/>
                <w:kern w:val="0"/>
                <w:sz w:val="21"/>
                <w:szCs w:val="21"/>
                <w:lang w:bidi="ar"/>
                <w14:ligatures w14:val="none"/>
              </w:rPr>
            </w:pPr>
            <w:r>
              <w:rPr>
                <w:rFonts w:hint="eastAsia" w:ascii="宋体" w:hAnsi="宋体" w:eastAsia="宋体"/>
                <w:sz w:val="21"/>
                <w:szCs w:val="21"/>
              </w:rPr>
              <w:t>光模块：配备</w:t>
            </w:r>
            <w:r>
              <w:rPr>
                <w:rFonts w:ascii="宋体" w:hAnsi="宋体" w:eastAsia="宋体"/>
                <w:sz w:val="21"/>
                <w:szCs w:val="21"/>
              </w:rPr>
              <w:t>4个多模SFP光</w:t>
            </w:r>
            <w:r>
              <w:rPr>
                <w:rFonts w:hint="eastAsia" w:ascii="宋体" w:hAnsi="宋体" w:eastAsia="宋体"/>
                <w:sz w:val="21"/>
                <w:szCs w:val="21"/>
              </w:rPr>
              <w:t>模块。</w:t>
            </w:r>
          </w:p>
        </w:tc>
      </w:tr>
      <w:tr w14:paraId="0DE1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55B13125">
            <w:pPr>
              <w:spacing w:after="0" w:line="240" w:lineRule="auto"/>
              <w:rPr>
                <w:rFonts w:hint="eastAsia" w:ascii="宋体" w:hAnsi="宋体" w:eastAsia="宋体"/>
                <w:sz w:val="21"/>
                <w:szCs w:val="21"/>
              </w:rPr>
            </w:pPr>
            <w:r>
              <w:rPr>
                <w:rFonts w:hint="eastAsia" w:ascii="宋体" w:hAnsi="宋体" w:eastAsia="宋体"/>
                <w:sz w:val="21"/>
                <w:szCs w:val="21"/>
              </w:rPr>
              <w:t>功能要求</w:t>
            </w:r>
          </w:p>
        </w:tc>
        <w:tc>
          <w:tcPr>
            <w:tcW w:w="4130" w:type="pct"/>
            <w:tcBorders>
              <w:top w:val="single" w:color="auto" w:sz="4" w:space="0"/>
              <w:left w:val="single" w:color="auto" w:sz="4" w:space="0"/>
              <w:bottom w:val="single" w:color="auto" w:sz="4" w:space="0"/>
              <w:right w:val="single" w:color="auto" w:sz="4" w:space="0"/>
            </w:tcBorders>
          </w:tcPr>
          <w:p w14:paraId="09B72E17">
            <w:pPr>
              <w:spacing w:after="0" w:line="240" w:lineRule="auto"/>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应用代理、文件交换、数据库同步、视频交换、组播等</w:t>
            </w:r>
            <w:r>
              <w:rPr>
                <w:rFonts w:hint="eastAsia" w:ascii="宋体" w:hAnsi="宋体" w:eastAsia="宋体"/>
                <w:sz w:val="21"/>
                <w:szCs w:val="21"/>
              </w:rPr>
              <w:t>功能；</w:t>
            </w:r>
          </w:p>
          <w:p w14:paraId="536FCD12">
            <w:pPr>
              <w:spacing w:after="0" w:line="240" w:lineRule="auto"/>
              <w:rPr>
                <w:rFonts w:hint="eastAsia" w:ascii="宋体" w:hAnsi="宋体" w:eastAsia="宋体"/>
                <w:color w:val="EE0000"/>
                <w:sz w:val="21"/>
                <w:szCs w:val="21"/>
                <w:highlight w:val="yellow"/>
              </w:rPr>
            </w:pPr>
            <w:r>
              <w:rPr>
                <w:rFonts w:hint="eastAsia" w:ascii="宋体" w:hAnsi="宋体" w:eastAsia="宋体" w:cs="宋体"/>
                <w:sz w:val="21"/>
                <w:szCs w:val="21"/>
                <w:highlight w:val="yellow"/>
              </w:rPr>
              <w:t>▲</w:t>
            </w:r>
            <w:r>
              <w:rPr>
                <w:rFonts w:hint="eastAsia" w:ascii="宋体" w:hAnsi="宋体" w:eastAsia="宋体"/>
                <w:b/>
                <w:bCs/>
                <w:sz w:val="21"/>
                <w:szCs w:val="21"/>
                <w:highlight w:val="yellow"/>
              </w:rPr>
              <w:t>数据库同步</w:t>
            </w:r>
            <w:r>
              <w:rPr>
                <w:rFonts w:hint="eastAsia" w:ascii="宋体" w:hAnsi="宋体" w:eastAsia="宋体"/>
                <w:sz w:val="21"/>
                <w:szCs w:val="21"/>
                <w:highlight w:val="yellow"/>
              </w:rPr>
              <w:t>：</w:t>
            </w:r>
            <w:r>
              <w:rPr>
                <w:rFonts w:ascii="宋体" w:hAnsi="宋体" w:eastAsia="宋体"/>
                <w:sz w:val="21"/>
                <w:szCs w:val="21"/>
                <w:highlight w:val="yellow"/>
              </w:rPr>
              <w:t>支持国产达梦、人大金仓数据库的同步</w:t>
            </w:r>
            <w:r>
              <w:rPr>
                <w:rFonts w:hint="eastAsia" w:ascii="宋体" w:hAnsi="宋体" w:eastAsia="宋体"/>
                <w:sz w:val="21"/>
                <w:szCs w:val="21"/>
                <w:highlight w:val="yellow"/>
              </w:rPr>
              <w:t>，</w:t>
            </w:r>
            <w:r>
              <w:rPr>
                <w:rFonts w:ascii="宋体" w:hAnsi="宋体" w:eastAsia="宋体"/>
                <w:sz w:val="21"/>
                <w:szCs w:val="21"/>
                <w:highlight w:val="yellow"/>
              </w:rPr>
              <w:t>支持BLOB大字段的同步、同构异构同步；</w:t>
            </w:r>
            <w:r>
              <w:rPr>
                <w:rFonts w:hint="eastAsia" w:ascii="宋体" w:hAnsi="宋体" w:eastAsia="宋体"/>
                <w:color w:val="EE0000"/>
                <w:sz w:val="21"/>
                <w:szCs w:val="21"/>
                <w:highlight w:val="yellow"/>
              </w:rPr>
              <w:t>提供响应的证明材料，包括但不限于产品说明书等；</w:t>
            </w:r>
          </w:p>
          <w:p w14:paraId="031B0588">
            <w:pPr>
              <w:spacing w:after="0" w:line="240" w:lineRule="auto"/>
              <w:rPr>
                <w:rFonts w:hint="eastAsia" w:ascii="宋体" w:hAnsi="宋体" w:eastAsia="宋体"/>
                <w:sz w:val="21"/>
                <w:szCs w:val="21"/>
              </w:rPr>
            </w:pPr>
            <w:r>
              <w:rPr>
                <w:rFonts w:ascii="宋体" w:hAnsi="宋体" w:eastAsia="宋体"/>
                <w:b/>
                <w:bCs/>
                <w:sz w:val="21"/>
                <w:szCs w:val="21"/>
              </w:rPr>
              <w:t>文件同步</w:t>
            </w:r>
            <w:r>
              <w:rPr>
                <w:rFonts w:hint="eastAsia" w:ascii="宋体" w:hAnsi="宋体" w:eastAsia="宋体"/>
                <w:sz w:val="21"/>
                <w:szCs w:val="21"/>
              </w:rPr>
              <w:t>：具备</w:t>
            </w:r>
            <w:r>
              <w:rPr>
                <w:rFonts w:ascii="宋体" w:hAnsi="宋体" w:eastAsia="宋体"/>
                <w:sz w:val="21"/>
                <w:szCs w:val="21"/>
              </w:rPr>
              <w:t>FTP、SFTP、SAMBA、NFS文件传输协议。对传输文件的内容进行审查和过滤，确保只有符合策略的文件才可传输至对端</w:t>
            </w:r>
            <w:r>
              <w:rPr>
                <w:rFonts w:hint="eastAsia" w:ascii="宋体" w:hAnsi="宋体" w:eastAsia="宋体"/>
                <w:sz w:val="21"/>
                <w:szCs w:val="21"/>
              </w:rPr>
              <w:t>；</w:t>
            </w:r>
          </w:p>
          <w:p w14:paraId="3EAFEBA7">
            <w:pPr>
              <w:spacing w:after="0" w:line="240" w:lineRule="auto"/>
              <w:rPr>
                <w:rFonts w:hint="eastAsia" w:ascii="宋体" w:hAnsi="宋体" w:eastAsia="宋体"/>
                <w:b/>
                <w:bCs/>
                <w:sz w:val="21"/>
                <w:szCs w:val="21"/>
              </w:rPr>
            </w:pPr>
            <w:r>
              <w:rPr>
                <w:rFonts w:ascii="宋体" w:hAnsi="宋体" w:eastAsia="宋体"/>
                <w:b/>
                <w:bCs/>
                <w:sz w:val="21"/>
                <w:szCs w:val="21"/>
              </w:rPr>
              <w:t>协议安全代理</w:t>
            </w:r>
            <w:r>
              <w:rPr>
                <w:rFonts w:hint="eastAsia" w:ascii="宋体" w:hAnsi="宋体" w:eastAsia="宋体"/>
                <w:b/>
                <w:bCs/>
                <w:sz w:val="21"/>
                <w:szCs w:val="21"/>
              </w:rPr>
              <w:t>：</w:t>
            </w:r>
            <w:r>
              <w:rPr>
                <w:rFonts w:hint="eastAsia" w:ascii="宋体" w:hAnsi="宋体" w:eastAsia="宋体"/>
                <w:sz w:val="21"/>
                <w:szCs w:val="21"/>
              </w:rPr>
              <w:t>具备</w:t>
            </w:r>
            <w:r>
              <w:rPr>
                <w:rFonts w:ascii="宋体" w:hAnsi="宋体" w:eastAsia="宋体"/>
                <w:sz w:val="21"/>
                <w:szCs w:val="21"/>
              </w:rPr>
              <w:t>HTTP、WebService、TCP、UDP、SMTP、POP3、IMAP、FTP、MULTICAST、IP等协议安全代理</w:t>
            </w:r>
            <w:r>
              <w:rPr>
                <w:rFonts w:hint="eastAsia" w:ascii="宋体" w:hAnsi="宋体" w:eastAsia="宋体"/>
                <w:sz w:val="21"/>
                <w:szCs w:val="21"/>
              </w:rPr>
              <w:t>。具备</w:t>
            </w:r>
            <w:r>
              <w:rPr>
                <w:rFonts w:ascii="宋体" w:hAnsi="宋体" w:eastAsia="宋体"/>
                <w:sz w:val="21"/>
                <w:szCs w:val="21"/>
              </w:rPr>
              <w:t>协议的关键字检查、URL长度检查、URL内容、IP及端口、访问时间等检查内容</w:t>
            </w:r>
          </w:p>
          <w:p w14:paraId="7DF036D0">
            <w:pPr>
              <w:spacing w:after="0" w:line="240" w:lineRule="auto"/>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多网口链路聚合功能，实现内网网口和外网网口链路备份，分发策略</w:t>
            </w:r>
            <w:r>
              <w:rPr>
                <w:rFonts w:hint="eastAsia" w:ascii="宋体" w:hAnsi="宋体" w:eastAsia="宋体"/>
                <w:sz w:val="21"/>
                <w:szCs w:val="21"/>
              </w:rPr>
              <w:t>具备</w:t>
            </w:r>
            <w:r>
              <w:rPr>
                <w:rFonts w:ascii="宋体" w:hAnsi="宋体" w:eastAsia="宋体"/>
                <w:sz w:val="21"/>
                <w:szCs w:val="21"/>
              </w:rPr>
              <w:t>Layer2、Layer2+3、Layer3+4；</w:t>
            </w:r>
          </w:p>
          <w:p w14:paraId="0373D5E8">
            <w:pPr>
              <w:spacing w:after="0" w:line="240" w:lineRule="auto"/>
              <w:rPr>
                <w:rFonts w:hint="eastAsia" w:ascii="宋体" w:hAnsi="宋体" w:eastAsia="宋体"/>
                <w:sz w:val="21"/>
                <w:szCs w:val="21"/>
              </w:rPr>
            </w:pPr>
            <w:r>
              <w:rPr>
                <w:rFonts w:hint="eastAsia" w:ascii="宋体" w:hAnsi="宋体" w:eastAsia="宋体"/>
                <w:sz w:val="21"/>
                <w:szCs w:val="21"/>
              </w:rPr>
              <w:t>高可用性：支持双机热备，双机策略自动同步</w:t>
            </w:r>
          </w:p>
        </w:tc>
      </w:tr>
      <w:tr w14:paraId="379E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2D818DED">
            <w:pPr>
              <w:spacing w:after="0" w:line="240" w:lineRule="auto"/>
              <w:rPr>
                <w:rFonts w:hint="eastAsia" w:ascii="宋体" w:hAnsi="宋体" w:eastAsia="宋体"/>
                <w:sz w:val="21"/>
                <w:szCs w:val="21"/>
              </w:rPr>
            </w:pPr>
            <w:r>
              <w:rPr>
                <w:rFonts w:hint="eastAsia" w:ascii="宋体" w:hAnsi="宋体" w:eastAsia="宋体"/>
                <w:sz w:val="21"/>
                <w:szCs w:val="21"/>
              </w:rPr>
              <w:t>质保要求</w:t>
            </w:r>
          </w:p>
        </w:tc>
        <w:tc>
          <w:tcPr>
            <w:tcW w:w="4130" w:type="pct"/>
            <w:tcBorders>
              <w:top w:val="single" w:color="auto" w:sz="4" w:space="0"/>
              <w:left w:val="single" w:color="auto" w:sz="4" w:space="0"/>
              <w:bottom w:val="single" w:color="auto" w:sz="4" w:space="0"/>
              <w:right w:val="single" w:color="auto" w:sz="4" w:space="0"/>
            </w:tcBorders>
          </w:tcPr>
          <w:p w14:paraId="5E2E772A">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提供三年原厂硬件维保和软件版本升级服务</w:t>
            </w:r>
            <w:r>
              <w:rPr>
                <w:rFonts w:hint="eastAsia" w:ascii="宋体" w:hAnsi="宋体" w:eastAsia="宋体"/>
                <w:sz w:val="21"/>
                <w:szCs w:val="21"/>
              </w:rPr>
              <w:t>；</w:t>
            </w:r>
            <w:r>
              <w:rPr>
                <w:rFonts w:ascii="宋体" w:hAnsi="宋体" w:eastAsia="宋体"/>
                <w:sz w:val="21"/>
                <w:szCs w:val="21"/>
              </w:rPr>
              <w:t>投标</w:t>
            </w:r>
            <w:r>
              <w:rPr>
                <w:rFonts w:hint="eastAsia" w:ascii="宋体" w:hAnsi="宋体" w:eastAsia="宋体"/>
                <w:sz w:val="21"/>
                <w:szCs w:val="21"/>
              </w:rPr>
              <w:t>时</w:t>
            </w:r>
            <w:r>
              <w:rPr>
                <w:rFonts w:ascii="宋体" w:hAnsi="宋体" w:eastAsia="宋体"/>
                <w:sz w:val="21"/>
                <w:szCs w:val="21"/>
              </w:rPr>
              <w:t>提供原厂关于本项目的售后服务承诺函。</w:t>
            </w:r>
          </w:p>
        </w:tc>
      </w:tr>
    </w:tbl>
    <w:p w14:paraId="5648DDAB">
      <w:pPr>
        <w:ind w:firstLine="210" w:firstLineChars="100"/>
        <w:rPr>
          <w:rFonts w:hint="eastAsia" w:ascii="宋体" w:hAnsi="宋体" w:eastAsia="宋体"/>
          <w:sz w:val="21"/>
          <w:szCs w:val="21"/>
        </w:rPr>
      </w:pPr>
    </w:p>
    <w:p w14:paraId="446CD851">
      <w:pPr>
        <w:ind w:firstLine="420" w:firstLineChars="200"/>
        <w:rPr>
          <w:rFonts w:hint="eastAsia" w:ascii="宋体" w:hAnsi="宋体" w:eastAsia="宋体"/>
          <w:sz w:val="21"/>
          <w:szCs w:val="21"/>
        </w:rPr>
      </w:pPr>
      <w:r>
        <w:rPr>
          <w:rFonts w:hint="eastAsia" w:ascii="宋体" w:hAnsi="宋体" w:eastAsia="宋体"/>
          <w:sz w:val="21"/>
          <w:szCs w:val="21"/>
        </w:rPr>
        <w:t>5、互联网边界防火墙</w:t>
      </w:r>
    </w:p>
    <w:tbl>
      <w:tblPr>
        <w:tblStyle w:val="22"/>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038"/>
      </w:tblGrid>
      <w:tr w14:paraId="0954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1EB3642F">
            <w:pPr>
              <w:jc w:val="center"/>
              <w:rPr>
                <w:rFonts w:hint="eastAsia" w:ascii="宋体" w:hAnsi="宋体" w:eastAsia="宋体"/>
                <w:sz w:val="21"/>
                <w:szCs w:val="21"/>
              </w:rPr>
            </w:pPr>
            <w:r>
              <w:rPr>
                <w:rFonts w:ascii="宋体" w:hAnsi="宋体" w:eastAsia="宋体"/>
                <w:sz w:val="21"/>
                <w:szCs w:val="21"/>
              </w:rPr>
              <w:t>指标项</w:t>
            </w:r>
          </w:p>
        </w:tc>
        <w:tc>
          <w:tcPr>
            <w:tcW w:w="4130" w:type="pct"/>
            <w:tcBorders>
              <w:top w:val="single" w:color="auto" w:sz="4" w:space="0"/>
              <w:left w:val="single" w:color="auto" w:sz="4" w:space="0"/>
              <w:bottom w:val="single" w:color="auto" w:sz="4" w:space="0"/>
              <w:right w:val="single" w:color="auto" w:sz="4" w:space="0"/>
            </w:tcBorders>
          </w:tcPr>
          <w:p w14:paraId="631720DC">
            <w:pPr>
              <w:jc w:val="center"/>
              <w:rPr>
                <w:rFonts w:hint="eastAsia" w:ascii="宋体" w:hAnsi="宋体" w:eastAsia="宋体"/>
                <w:sz w:val="21"/>
                <w:szCs w:val="21"/>
              </w:rPr>
            </w:pPr>
            <w:r>
              <w:rPr>
                <w:rFonts w:ascii="宋体" w:hAnsi="宋体" w:eastAsia="宋体"/>
                <w:sz w:val="21"/>
                <w:szCs w:val="21"/>
              </w:rPr>
              <w:t>详细要求</w:t>
            </w:r>
          </w:p>
        </w:tc>
      </w:tr>
      <w:tr w14:paraId="6A88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0A6037B3">
            <w:pPr>
              <w:spacing w:after="0" w:line="240" w:lineRule="auto"/>
              <w:jc w:val="center"/>
              <w:rPr>
                <w:rFonts w:hint="eastAsia" w:ascii="宋体" w:hAnsi="宋体" w:eastAsia="宋体"/>
                <w:sz w:val="21"/>
                <w:szCs w:val="21"/>
              </w:rPr>
            </w:pPr>
            <w:r>
              <w:rPr>
                <w:rFonts w:hint="eastAsia" w:ascii="宋体" w:hAnsi="宋体" w:eastAsia="宋体"/>
                <w:sz w:val="21"/>
                <w:szCs w:val="21"/>
              </w:rPr>
              <w:t>性能规格</w:t>
            </w:r>
          </w:p>
        </w:tc>
        <w:tc>
          <w:tcPr>
            <w:tcW w:w="4130" w:type="pct"/>
            <w:tcBorders>
              <w:top w:val="single" w:color="auto" w:sz="4" w:space="0"/>
              <w:left w:val="single" w:color="auto" w:sz="4" w:space="0"/>
              <w:bottom w:val="single" w:color="auto" w:sz="4" w:space="0"/>
              <w:right w:val="single" w:color="auto" w:sz="4" w:space="0"/>
            </w:tcBorders>
          </w:tcPr>
          <w:p w14:paraId="28459716">
            <w:pPr>
              <w:spacing w:after="0" w:line="240" w:lineRule="auto"/>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hint="eastAsia" w:ascii="宋体" w:hAnsi="宋体" w:eastAsia="宋体"/>
                <w:sz w:val="21"/>
                <w:szCs w:val="21"/>
                <w:highlight w:val="yellow"/>
              </w:rPr>
              <w:t>网络层吞吐量≥20G；</w:t>
            </w:r>
          </w:p>
          <w:p w14:paraId="10C1DE4B">
            <w:pPr>
              <w:spacing w:after="0" w:line="240" w:lineRule="auto"/>
              <w:rPr>
                <w:rFonts w:hint="eastAsia" w:ascii="宋体" w:hAnsi="宋体" w:eastAsia="宋体"/>
                <w:color w:val="EE0000"/>
                <w:sz w:val="21"/>
                <w:szCs w:val="21"/>
              </w:rPr>
            </w:pPr>
            <w:r>
              <w:rPr>
                <w:rFonts w:hint="eastAsia" w:ascii="宋体" w:hAnsi="宋体" w:eastAsia="宋体" w:cs="宋体"/>
                <w:color w:val="EE0000"/>
                <w:sz w:val="21"/>
                <w:szCs w:val="21"/>
                <w:highlight w:val="yellow"/>
              </w:rPr>
              <w:t>▲</w:t>
            </w:r>
            <w:r>
              <w:rPr>
                <w:rFonts w:hint="eastAsia" w:ascii="宋体" w:hAnsi="宋体" w:eastAsia="宋体"/>
                <w:color w:val="EE0000"/>
                <w:sz w:val="21"/>
                <w:szCs w:val="21"/>
                <w:highlight w:val="yellow"/>
              </w:rPr>
              <w:t>应用层吞吐量≥18G；</w:t>
            </w:r>
          </w:p>
          <w:p w14:paraId="787998AB">
            <w:pPr>
              <w:spacing w:after="0" w:line="240" w:lineRule="auto"/>
              <w:rPr>
                <w:rFonts w:hint="eastAsia" w:ascii="宋体" w:hAnsi="宋体" w:eastAsia="宋体"/>
                <w:sz w:val="21"/>
                <w:szCs w:val="21"/>
              </w:rPr>
            </w:pPr>
            <w:r>
              <w:rPr>
                <w:rFonts w:ascii="宋体" w:hAnsi="宋体" w:eastAsia="宋体"/>
                <w:sz w:val="21"/>
                <w:szCs w:val="21"/>
              </w:rPr>
              <w:t>开启IPS后吞吐量不低于4Gbps</w:t>
            </w:r>
            <w:r>
              <w:rPr>
                <w:rFonts w:hint="eastAsia" w:ascii="宋体" w:hAnsi="宋体" w:eastAsia="宋体"/>
                <w:sz w:val="21"/>
                <w:szCs w:val="21"/>
              </w:rPr>
              <w:t>；</w:t>
            </w:r>
          </w:p>
          <w:p w14:paraId="6BE2C584">
            <w:pPr>
              <w:spacing w:after="0" w:line="240" w:lineRule="auto"/>
              <w:rPr>
                <w:rFonts w:hint="eastAsia" w:ascii="宋体" w:hAnsi="宋体" w:eastAsia="宋体"/>
                <w:sz w:val="21"/>
                <w:szCs w:val="21"/>
              </w:rPr>
            </w:pPr>
            <w:r>
              <w:rPr>
                <w:rFonts w:hint="eastAsia" w:ascii="宋体" w:hAnsi="宋体" w:eastAsia="宋体"/>
                <w:sz w:val="21"/>
                <w:szCs w:val="21"/>
              </w:rPr>
              <w:t>并发连接数≥200万</w:t>
            </w:r>
          </w:p>
          <w:p w14:paraId="75C03A48">
            <w:pPr>
              <w:spacing w:after="0" w:line="240" w:lineRule="auto"/>
              <w:rPr>
                <w:rFonts w:hint="eastAsia" w:ascii="宋体" w:hAnsi="宋体" w:eastAsia="宋体"/>
                <w:sz w:val="21"/>
                <w:szCs w:val="21"/>
              </w:rPr>
            </w:pPr>
            <w:r>
              <w:rPr>
                <w:rFonts w:ascii="宋体" w:hAnsi="宋体" w:eastAsia="宋体"/>
                <w:sz w:val="21"/>
                <w:szCs w:val="21"/>
              </w:rPr>
              <w:t>以官网最小值为准</w:t>
            </w:r>
            <w:r>
              <w:rPr>
                <w:rFonts w:hint="eastAsia" w:ascii="宋体" w:hAnsi="宋体" w:eastAsia="宋体"/>
                <w:sz w:val="21"/>
                <w:szCs w:val="21"/>
              </w:rPr>
              <w:t>。</w:t>
            </w:r>
          </w:p>
        </w:tc>
      </w:tr>
      <w:tr w14:paraId="65F4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0" w:type="pct"/>
            <w:tcBorders>
              <w:top w:val="single" w:color="auto" w:sz="4" w:space="0"/>
              <w:left w:val="single" w:color="auto" w:sz="4" w:space="0"/>
              <w:bottom w:val="single" w:color="auto" w:sz="4" w:space="0"/>
              <w:right w:val="single" w:color="auto" w:sz="4" w:space="0"/>
            </w:tcBorders>
            <w:vAlign w:val="center"/>
          </w:tcPr>
          <w:p w14:paraId="1F358A46">
            <w:pPr>
              <w:rPr>
                <w:rFonts w:hint="eastAsia" w:ascii="宋体" w:hAnsi="宋体" w:eastAsia="宋体"/>
                <w:sz w:val="21"/>
                <w:szCs w:val="21"/>
              </w:rPr>
            </w:pPr>
            <w:r>
              <w:rPr>
                <w:rFonts w:ascii="宋体" w:hAnsi="宋体" w:eastAsia="宋体"/>
                <w:sz w:val="21"/>
                <w:szCs w:val="21"/>
              </w:rPr>
              <w:t>芯片要求</w:t>
            </w:r>
          </w:p>
        </w:tc>
        <w:tc>
          <w:tcPr>
            <w:tcW w:w="4130" w:type="pct"/>
            <w:tcBorders>
              <w:top w:val="single" w:color="auto" w:sz="4" w:space="0"/>
              <w:left w:val="single" w:color="auto" w:sz="4" w:space="0"/>
              <w:bottom w:val="single" w:color="auto" w:sz="4" w:space="0"/>
              <w:right w:val="single" w:color="auto" w:sz="4" w:space="0"/>
            </w:tcBorders>
          </w:tcPr>
          <w:p w14:paraId="64066F9A">
            <w:pPr>
              <w:rPr>
                <w:rFonts w:hint="eastAsia" w:ascii="宋体" w:hAnsi="宋体" w:eastAsia="宋体"/>
                <w:sz w:val="21"/>
                <w:szCs w:val="21"/>
              </w:rPr>
            </w:pPr>
            <w:r>
              <w:rPr>
                <w:rFonts w:ascii="宋体" w:hAnsi="宋体" w:eastAsia="宋体"/>
                <w:sz w:val="21"/>
                <w:szCs w:val="21"/>
                <w:highlight w:val="yellow"/>
              </w:rPr>
              <w:t>CPU采用国产芯片</w:t>
            </w:r>
          </w:p>
        </w:tc>
      </w:tr>
      <w:tr w14:paraId="3FD1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68715927">
            <w:pPr>
              <w:rPr>
                <w:rFonts w:hint="eastAsia" w:ascii="宋体" w:hAnsi="宋体" w:eastAsia="宋体"/>
                <w:sz w:val="21"/>
                <w:szCs w:val="21"/>
              </w:rPr>
            </w:pPr>
            <w:r>
              <w:rPr>
                <w:rFonts w:ascii="宋体" w:hAnsi="宋体" w:eastAsia="宋体"/>
                <w:sz w:val="21"/>
                <w:szCs w:val="21"/>
              </w:rPr>
              <w:t>实配要求</w:t>
            </w:r>
          </w:p>
        </w:tc>
        <w:tc>
          <w:tcPr>
            <w:tcW w:w="4130" w:type="pct"/>
            <w:tcBorders>
              <w:top w:val="single" w:color="auto" w:sz="4" w:space="0"/>
              <w:left w:val="single" w:color="auto" w:sz="4" w:space="0"/>
              <w:bottom w:val="single" w:color="auto" w:sz="4" w:space="0"/>
              <w:right w:val="single" w:color="auto" w:sz="4" w:space="0"/>
            </w:tcBorders>
          </w:tcPr>
          <w:p w14:paraId="5F7617CA">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外观尺寸：2U</w:t>
            </w:r>
          </w:p>
          <w:p w14:paraId="507B8C6E">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电源：冗余电源</w:t>
            </w:r>
          </w:p>
          <w:p w14:paraId="2EC72EF4">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内存≥16G</w:t>
            </w:r>
          </w:p>
          <w:p w14:paraId="2A611C0F">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硬盘容量≥128G SSD</w:t>
            </w:r>
          </w:p>
          <w:p w14:paraId="6A7E47FC">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接口要求：1000BASE-T ≥10个</w:t>
            </w:r>
          </w:p>
          <w:p w14:paraId="099C74E7">
            <w:pPr>
              <w:widowControl/>
              <w:snapToGrid w:val="0"/>
              <w:spacing w:after="0" w:line="360" w:lineRule="auto"/>
              <w:ind w:firstLine="1050" w:firstLineChars="500"/>
              <w:textAlignment w:val="center"/>
              <w:rPr>
                <w:rFonts w:hint="eastAsia" w:ascii="宋体" w:hAnsi="宋体" w:eastAsia="宋体"/>
                <w:sz w:val="21"/>
                <w:szCs w:val="21"/>
              </w:rPr>
            </w:pPr>
            <w:r>
              <w:rPr>
                <w:rFonts w:hint="eastAsia" w:ascii="宋体" w:hAnsi="宋体" w:eastAsia="宋体"/>
                <w:sz w:val="21"/>
                <w:szCs w:val="21"/>
              </w:rPr>
              <w:t>1G SFP≥4个</w:t>
            </w:r>
          </w:p>
          <w:p w14:paraId="523D7A0A">
            <w:pPr>
              <w:widowControl/>
              <w:snapToGrid w:val="0"/>
              <w:spacing w:after="0" w:line="360" w:lineRule="auto"/>
              <w:ind w:firstLine="1050" w:firstLineChars="500"/>
              <w:textAlignment w:val="center"/>
              <w:rPr>
                <w:rFonts w:hint="eastAsia" w:ascii="宋体" w:hAnsi="宋体" w:eastAsia="宋体"/>
                <w:sz w:val="21"/>
                <w:szCs w:val="21"/>
              </w:rPr>
            </w:pPr>
            <w:r>
              <w:rPr>
                <w:rFonts w:hint="eastAsia" w:ascii="宋体" w:hAnsi="宋体" w:eastAsia="宋体"/>
                <w:sz w:val="21"/>
                <w:szCs w:val="21"/>
              </w:rPr>
              <w:t>10G SFP+≥2个</w:t>
            </w:r>
          </w:p>
          <w:p w14:paraId="1B7FAD59">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光模块：配备4个千兆多模光模块，2个万兆多模光模块</w:t>
            </w:r>
          </w:p>
          <w:p w14:paraId="0C29EF66">
            <w:pPr>
              <w:widowControl/>
              <w:snapToGrid w:val="0"/>
              <w:spacing w:after="0" w:line="360" w:lineRule="auto"/>
              <w:textAlignment w:val="center"/>
              <w:rPr>
                <w:rFonts w:hint="eastAsia" w:ascii="宋体" w:hAnsi="宋体" w:eastAsia="宋体" w:cs="宋体"/>
                <w:color w:val="000000"/>
                <w:kern w:val="0"/>
                <w:sz w:val="21"/>
                <w:szCs w:val="21"/>
                <w:lang w:bidi="ar"/>
                <w14:ligatures w14:val="none"/>
              </w:rPr>
            </w:pPr>
            <w:r>
              <w:rPr>
                <w:rFonts w:hint="eastAsia" w:ascii="宋体" w:hAnsi="宋体" w:eastAsia="宋体"/>
                <w:sz w:val="21"/>
                <w:szCs w:val="21"/>
              </w:rPr>
              <w:t>功能模块要求：配备IPS、AV、IpsecVPN、SSLvpn（5个用户授权）等功能模块。</w:t>
            </w:r>
          </w:p>
        </w:tc>
      </w:tr>
      <w:tr w14:paraId="6861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70D0F208">
            <w:pPr>
              <w:spacing w:after="0" w:line="240" w:lineRule="auto"/>
              <w:rPr>
                <w:rFonts w:hint="eastAsia" w:ascii="宋体" w:hAnsi="宋体" w:eastAsia="宋体"/>
                <w:sz w:val="21"/>
                <w:szCs w:val="21"/>
              </w:rPr>
            </w:pPr>
            <w:r>
              <w:rPr>
                <w:rFonts w:hint="eastAsia" w:ascii="宋体" w:hAnsi="宋体" w:eastAsia="宋体"/>
                <w:sz w:val="21"/>
                <w:szCs w:val="21"/>
              </w:rPr>
              <w:t>功能要求</w:t>
            </w:r>
          </w:p>
        </w:tc>
        <w:tc>
          <w:tcPr>
            <w:tcW w:w="4130" w:type="pct"/>
            <w:tcBorders>
              <w:top w:val="single" w:color="auto" w:sz="4" w:space="0"/>
              <w:left w:val="single" w:color="auto" w:sz="4" w:space="0"/>
              <w:bottom w:val="single" w:color="auto" w:sz="4" w:space="0"/>
              <w:right w:val="single" w:color="auto" w:sz="4" w:space="0"/>
            </w:tcBorders>
          </w:tcPr>
          <w:p w14:paraId="1AE203B6">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HA，建立高可靠，支持设备间 配置和会话的同步，且设备间支持 双主模式和主备模式；</w:t>
            </w:r>
          </w:p>
          <w:p w14:paraId="6BB518AF">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多对一、一对多和一对一等多种地址转换方式</w:t>
            </w:r>
            <w:r>
              <w:rPr>
                <w:rFonts w:hint="eastAsia" w:ascii="宋体" w:hAnsi="宋体" w:eastAsia="宋体"/>
                <w:sz w:val="21"/>
                <w:szCs w:val="21"/>
              </w:rPr>
              <w:t>；</w:t>
            </w:r>
          </w:p>
          <w:p w14:paraId="1D80DAED">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具备各类应用协议的深度检测与防护；</w:t>
            </w:r>
          </w:p>
          <w:p w14:paraId="735B788E">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对ICMP、UDP、DNS、SYN等协议进行DDOS防护</w:t>
            </w:r>
          </w:p>
          <w:p w14:paraId="172CE436">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具备压缩病毒文件的检测和拦截，压缩层数支持15层及以上；</w:t>
            </w:r>
          </w:p>
          <w:p w14:paraId="303BB29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具备X-Forworded-For字段检测，并对非法源IP进行日志记录和联动封锁；</w:t>
            </w:r>
          </w:p>
          <w:p w14:paraId="7D3E8BC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基于源IP/目的IP，MAC地址，服务类型，应用类型，安全域，时间段进行安全策略规则的配置</w:t>
            </w:r>
            <w:r>
              <w:rPr>
                <w:rFonts w:hint="eastAsia" w:ascii="宋体" w:hAnsi="宋体" w:eastAsia="宋体"/>
                <w:sz w:val="21"/>
                <w:szCs w:val="21"/>
              </w:rPr>
              <w:t>；</w:t>
            </w:r>
          </w:p>
          <w:p w14:paraId="6384BA4A">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具备对跨站脚本（XSS）攻击、SQL注入、文件包含攻击、信息泄露攻击、WEBSHELL、网站扫描、网页木马等攻击类型进行防护；</w:t>
            </w:r>
          </w:p>
          <w:p w14:paraId="75EB8BDC">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内置不低于15000种漏洞规则，支持用户自定义IPS规则，不低于4500种WEB应用攻击特征，</w:t>
            </w:r>
            <w:r>
              <w:rPr>
                <w:rFonts w:ascii="宋体" w:hAnsi="宋体" w:eastAsia="宋体"/>
                <w:sz w:val="21"/>
                <w:szCs w:val="21"/>
              </w:rPr>
              <w:t>不低于6000种可识别应用数量</w:t>
            </w:r>
            <w:r>
              <w:rPr>
                <w:rFonts w:hint="eastAsia" w:ascii="宋体" w:hAnsi="宋体" w:eastAsia="宋体"/>
                <w:sz w:val="21"/>
                <w:szCs w:val="21"/>
              </w:rPr>
              <w:t>。</w:t>
            </w:r>
          </w:p>
        </w:tc>
      </w:tr>
      <w:tr w14:paraId="5B79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7DD63BC9">
            <w:pPr>
              <w:spacing w:after="0" w:line="240" w:lineRule="auto"/>
              <w:rPr>
                <w:rFonts w:hint="eastAsia" w:ascii="宋体" w:hAnsi="宋体" w:eastAsia="宋体"/>
                <w:sz w:val="21"/>
                <w:szCs w:val="21"/>
              </w:rPr>
            </w:pPr>
            <w:r>
              <w:rPr>
                <w:rFonts w:hint="eastAsia" w:ascii="宋体" w:hAnsi="宋体" w:eastAsia="宋体"/>
                <w:sz w:val="21"/>
                <w:szCs w:val="21"/>
              </w:rPr>
              <w:t>质保要求</w:t>
            </w:r>
          </w:p>
        </w:tc>
        <w:tc>
          <w:tcPr>
            <w:tcW w:w="4130" w:type="pct"/>
            <w:tcBorders>
              <w:top w:val="single" w:color="auto" w:sz="4" w:space="0"/>
              <w:left w:val="single" w:color="auto" w:sz="4" w:space="0"/>
              <w:bottom w:val="single" w:color="auto" w:sz="4" w:space="0"/>
              <w:right w:val="single" w:color="auto" w:sz="4" w:space="0"/>
            </w:tcBorders>
          </w:tcPr>
          <w:p w14:paraId="1EC089F4">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提供三年原厂硬件维保和软件版本升级服务</w:t>
            </w:r>
            <w:r>
              <w:rPr>
                <w:rFonts w:hint="eastAsia" w:ascii="宋体" w:hAnsi="宋体" w:eastAsia="宋体"/>
                <w:sz w:val="21"/>
                <w:szCs w:val="21"/>
              </w:rPr>
              <w:t>；</w:t>
            </w:r>
            <w:r>
              <w:rPr>
                <w:rFonts w:ascii="宋体" w:hAnsi="宋体" w:eastAsia="宋体"/>
                <w:sz w:val="21"/>
                <w:szCs w:val="21"/>
              </w:rPr>
              <w:t>投标</w:t>
            </w:r>
            <w:r>
              <w:rPr>
                <w:rFonts w:hint="eastAsia" w:ascii="宋体" w:hAnsi="宋体" w:eastAsia="宋体"/>
                <w:sz w:val="21"/>
                <w:szCs w:val="21"/>
              </w:rPr>
              <w:t>时</w:t>
            </w:r>
            <w:r>
              <w:rPr>
                <w:rFonts w:ascii="宋体" w:hAnsi="宋体" w:eastAsia="宋体"/>
                <w:sz w:val="21"/>
                <w:szCs w:val="21"/>
              </w:rPr>
              <w:t>提供原厂关于本项目的售后服务承诺函。</w:t>
            </w:r>
          </w:p>
        </w:tc>
      </w:tr>
    </w:tbl>
    <w:p w14:paraId="4FE3789A">
      <w:pPr>
        <w:ind w:firstLine="210" w:firstLineChars="100"/>
        <w:rPr>
          <w:rFonts w:hint="eastAsia" w:ascii="宋体" w:hAnsi="宋体" w:eastAsia="宋体"/>
          <w:sz w:val="21"/>
          <w:szCs w:val="21"/>
        </w:rPr>
      </w:pPr>
    </w:p>
    <w:p w14:paraId="649682EF">
      <w:pPr>
        <w:ind w:firstLine="420" w:firstLineChars="200"/>
        <w:rPr>
          <w:rFonts w:hint="eastAsia" w:ascii="宋体" w:hAnsi="宋体" w:eastAsia="宋体"/>
          <w:sz w:val="21"/>
          <w:szCs w:val="21"/>
        </w:rPr>
      </w:pPr>
      <w:r>
        <w:rPr>
          <w:rFonts w:hint="eastAsia" w:ascii="宋体" w:hAnsi="宋体" w:eastAsia="宋体"/>
          <w:sz w:val="21"/>
          <w:szCs w:val="21"/>
        </w:rPr>
        <w:t>6、</w:t>
      </w:r>
      <w:r>
        <w:rPr>
          <w:rFonts w:ascii="宋体" w:hAnsi="宋体" w:eastAsia="宋体"/>
          <w:sz w:val="21"/>
          <w:szCs w:val="21"/>
        </w:rPr>
        <w:t>运维安全审计设备</w:t>
      </w:r>
    </w:p>
    <w:tbl>
      <w:tblPr>
        <w:tblStyle w:val="22"/>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038"/>
      </w:tblGrid>
      <w:tr w14:paraId="18F9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7D2A069A">
            <w:pPr>
              <w:jc w:val="center"/>
              <w:rPr>
                <w:rFonts w:hint="eastAsia" w:ascii="宋体" w:hAnsi="宋体" w:eastAsia="宋体"/>
                <w:sz w:val="21"/>
                <w:szCs w:val="21"/>
              </w:rPr>
            </w:pPr>
            <w:r>
              <w:rPr>
                <w:rFonts w:ascii="宋体" w:hAnsi="宋体" w:eastAsia="宋体"/>
                <w:sz w:val="21"/>
                <w:szCs w:val="21"/>
              </w:rPr>
              <w:t>指标项</w:t>
            </w:r>
          </w:p>
        </w:tc>
        <w:tc>
          <w:tcPr>
            <w:tcW w:w="4130" w:type="pct"/>
            <w:tcBorders>
              <w:top w:val="single" w:color="auto" w:sz="4" w:space="0"/>
              <w:left w:val="single" w:color="auto" w:sz="4" w:space="0"/>
              <w:bottom w:val="single" w:color="auto" w:sz="4" w:space="0"/>
              <w:right w:val="single" w:color="auto" w:sz="4" w:space="0"/>
            </w:tcBorders>
          </w:tcPr>
          <w:p w14:paraId="504C44D8">
            <w:pPr>
              <w:jc w:val="center"/>
              <w:rPr>
                <w:rFonts w:hint="eastAsia" w:ascii="宋体" w:hAnsi="宋体" w:eastAsia="宋体"/>
                <w:sz w:val="21"/>
                <w:szCs w:val="21"/>
              </w:rPr>
            </w:pPr>
            <w:r>
              <w:rPr>
                <w:rFonts w:ascii="宋体" w:hAnsi="宋体" w:eastAsia="宋体"/>
                <w:sz w:val="21"/>
                <w:szCs w:val="21"/>
              </w:rPr>
              <w:t>详细要求</w:t>
            </w:r>
          </w:p>
        </w:tc>
      </w:tr>
      <w:tr w14:paraId="2AE4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48CE4EA5">
            <w:pPr>
              <w:spacing w:after="0" w:line="240" w:lineRule="auto"/>
              <w:jc w:val="center"/>
              <w:rPr>
                <w:rFonts w:hint="eastAsia" w:ascii="宋体" w:hAnsi="宋体" w:eastAsia="宋体"/>
                <w:sz w:val="21"/>
                <w:szCs w:val="21"/>
              </w:rPr>
            </w:pPr>
            <w:r>
              <w:rPr>
                <w:rFonts w:hint="eastAsia" w:ascii="宋体" w:hAnsi="宋体" w:eastAsia="宋体"/>
                <w:sz w:val="21"/>
                <w:szCs w:val="21"/>
              </w:rPr>
              <w:t>性能规格</w:t>
            </w:r>
          </w:p>
        </w:tc>
        <w:tc>
          <w:tcPr>
            <w:tcW w:w="4130" w:type="pct"/>
            <w:tcBorders>
              <w:top w:val="single" w:color="auto" w:sz="4" w:space="0"/>
              <w:left w:val="single" w:color="auto" w:sz="4" w:space="0"/>
              <w:bottom w:val="single" w:color="auto" w:sz="4" w:space="0"/>
              <w:right w:val="single" w:color="auto" w:sz="4" w:space="0"/>
            </w:tcBorders>
          </w:tcPr>
          <w:p w14:paraId="2DABE789">
            <w:pPr>
              <w:spacing w:after="0" w:line="240" w:lineRule="auto"/>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hint="eastAsia" w:ascii="宋体" w:hAnsi="宋体" w:eastAsia="宋体"/>
                <w:sz w:val="21"/>
                <w:szCs w:val="21"/>
                <w:highlight w:val="yellow"/>
              </w:rPr>
              <w:t>图形运维最大并发数≥100；</w:t>
            </w:r>
          </w:p>
          <w:p w14:paraId="36DE3335">
            <w:pPr>
              <w:spacing w:after="0" w:line="240" w:lineRule="auto"/>
              <w:rPr>
                <w:rFonts w:hint="eastAsia" w:ascii="宋体" w:hAnsi="宋体" w:eastAsia="宋体"/>
                <w:sz w:val="21"/>
                <w:szCs w:val="21"/>
              </w:rPr>
            </w:pPr>
            <w:r>
              <w:rPr>
                <w:rFonts w:hint="eastAsia" w:ascii="宋体" w:hAnsi="宋体" w:eastAsia="宋体"/>
                <w:sz w:val="21"/>
                <w:szCs w:val="21"/>
              </w:rPr>
              <w:t>字符运维最大并发数≥200；</w:t>
            </w:r>
          </w:p>
          <w:p w14:paraId="055F5A30">
            <w:pPr>
              <w:spacing w:after="0" w:line="240" w:lineRule="auto"/>
              <w:rPr>
                <w:rFonts w:hint="eastAsia" w:ascii="宋体" w:hAnsi="宋体" w:eastAsia="宋体"/>
                <w:sz w:val="21"/>
                <w:szCs w:val="21"/>
              </w:rPr>
            </w:pPr>
            <w:r>
              <w:rPr>
                <w:rFonts w:hint="eastAsia" w:ascii="宋体" w:hAnsi="宋体" w:eastAsia="宋体" w:cs="宋体"/>
                <w:sz w:val="21"/>
                <w:szCs w:val="21"/>
                <w:highlight w:val="yellow"/>
              </w:rPr>
              <w:t>▲</w:t>
            </w:r>
            <w:r>
              <w:rPr>
                <w:rFonts w:hint="eastAsia" w:ascii="宋体" w:hAnsi="宋体" w:eastAsia="宋体"/>
                <w:sz w:val="21"/>
                <w:szCs w:val="21"/>
                <w:highlight w:val="yellow"/>
              </w:rPr>
              <w:t>运维终端授权数≥150；</w:t>
            </w:r>
          </w:p>
          <w:p w14:paraId="3613A66D">
            <w:pPr>
              <w:spacing w:after="0" w:line="240" w:lineRule="auto"/>
              <w:rPr>
                <w:rFonts w:hint="eastAsia" w:ascii="宋体" w:hAnsi="宋体" w:eastAsia="宋体"/>
                <w:sz w:val="21"/>
                <w:szCs w:val="21"/>
              </w:rPr>
            </w:pPr>
            <w:r>
              <w:rPr>
                <w:rFonts w:ascii="宋体" w:hAnsi="宋体" w:eastAsia="宋体"/>
                <w:sz w:val="21"/>
                <w:szCs w:val="21"/>
              </w:rPr>
              <w:t>以官网最小值为准</w:t>
            </w:r>
            <w:r>
              <w:rPr>
                <w:rFonts w:hint="eastAsia" w:ascii="宋体" w:hAnsi="宋体" w:eastAsia="宋体"/>
                <w:sz w:val="21"/>
                <w:szCs w:val="21"/>
              </w:rPr>
              <w:t>。</w:t>
            </w:r>
          </w:p>
        </w:tc>
      </w:tr>
      <w:tr w14:paraId="4658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17266BF8">
            <w:pPr>
              <w:rPr>
                <w:rFonts w:hint="eastAsia" w:ascii="宋体" w:hAnsi="宋体" w:eastAsia="宋体"/>
                <w:sz w:val="21"/>
                <w:szCs w:val="21"/>
              </w:rPr>
            </w:pPr>
            <w:r>
              <w:rPr>
                <w:rFonts w:ascii="宋体" w:hAnsi="宋体" w:eastAsia="宋体"/>
                <w:sz w:val="21"/>
                <w:szCs w:val="21"/>
              </w:rPr>
              <w:t>芯片要求</w:t>
            </w:r>
          </w:p>
        </w:tc>
        <w:tc>
          <w:tcPr>
            <w:tcW w:w="4130" w:type="pct"/>
            <w:tcBorders>
              <w:top w:val="single" w:color="auto" w:sz="4" w:space="0"/>
              <w:left w:val="single" w:color="auto" w:sz="4" w:space="0"/>
              <w:bottom w:val="single" w:color="auto" w:sz="4" w:space="0"/>
              <w:right w:val="single" w:color="auto" w:sz="4" w:space="0"/>
            </w:tcBorders>
          </w:tcPr>
          <w:p w14:paraId="3808D825">
            <w:pPr>
              <w:rPr>
                <w:rFonts w:hint="eastAsia" w:ascii="宋体" w:hAnsi="宋体" w:eastAsia="宋体"/>
                <w:sz w:val="21"/>
                <w:szCs w:val="21"/>
              </w:rPr>
            </w:pPr>
            <w:r>
              <w:rPr>
                <w:rFonts w:ascii="宋体" w:hAnsi="宋体" w:eastAsia="宋体"/>
                <w:sz w:val="21"/>
                <w:szCs w:val="21"/>
                <w:highlight w:val="yellow"/>
              </w:rPr>
              <w:t>CPU采用国产芯片</w:t>
            </w:r>
            <w:r>
              <w:rPr>
                <w:rFonts w:hint="eastAsia" w:ascii="宋体" w:hAnsi="宋体" w:eastAsia="宋体"/>
                <w:sz w:val="21"/>
                <w:szCs w:val="21"/>
                <w:highlight w:val="yellow"/>
              </w:rPr>
              <w:t>；</w:t>
            </w:r>
          </w:p>
        </w:tc>
      </w:tr>
      <w:tr w14:paraId="508B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580E9D45">
            <w:pPr>
              <w:rPr>
                <w:rFonts w:hint="eastAsia" w:ascii="宋体" w:hAnsi="宋体" w:eastAsia="宋体"/>
                <w:sz w:val="21"/>
                <w:szCs w:val="21"/>
              </w:rPr>
            </w:pPr>
            <w:r>
              <w:rPr>
                <w:rFonts w:ascii="宋体" w:hAnsi="宋体" w:eastAsia="宋体"/>
                <w:sz w:val="21"/>
                <w:szCs w:val="21"/>
              </w:rPr>
              <w:t>实配要求</w:t>
            </w:r>
          </w:p>
        </w:tc>
        <w:tc>
          <w:tcPr>
            <w:tcW w:w="4130" w:type="pct"/>
            <w:tcBorders>
              <w:top w:val="single" w:color="auto" w:sz="4" w:space="0"/>
              <w:left w:val="single" w:color="auto" w:sz="4" w:space="0"/>
              <w:bottom w:val="single" w:color="auto" w:sz="4" w:space="0"/>
              <w:right w:val="single" w:color="auto" w:sz="4" w:space="0"/>
            </w:tcBorders>
          </w:tcPr>
          <w:p w14:paraId="43B44512">
            <w:pPr>
              <w:widowControl/>
              <w:spacing w:after="0" w:line="240" w:lineRule="auto"/>
              <w:rPr>
                <w:rFonts w:hint="eastAsia" w:ascii="宋体" w:hAnsi="宋体" w:eastAsia="宋体"/>
                <w:sz w:val="21"/>
                <w:szCs w:val="21"/>
              </w:rPr>
            </w:pPr>
            <w:r>
              <w:rPr>
                <w:rFonts w:hint="eastAsia" w:ascii="宋体" w:hAnsi="宋体" w:eastAsia="宋体"/>
                <w:sz w:val="21"/>
                <w:szCs w:val="21"/>
              </w:rPr>
              <w:t>外观尺寸：1U</w:t>
            </w:r>
          </w:p>
          <w:p w14:paraId="75CA97AE">
            <w:pPr>
              <w:widowControl/>
              <w:spacing w:after="0" w:line="240" w:lineRule="auto"/>
              <w:rPr>
                <w:rFonts w:hint="eastAsia" w:ascii="宋体" w:hAnsi="宋体" w:eastAsia="宋体"/>
                <w:sz w:val="21"/>
                <w:szCs w:val="21"/>
              </w:rPr>
            </w:pPr>
            <w:r>
              <w:rPr>
                <w:rFonts w:hint="eastAsia" w:ascii="宋体" w:hAnsi="宋体" w:eastAsia="宋体"/>
                <w:sz w:val="21"/>
                <w:szCs w:val="21"/>
              </w:rPr>
              <w:t>电源：冗余电源</w:t>
            </w:r>
          </w:p>
          <w:p w14:paraId="7829EDBC">
            <w:pPr>
              <w:widowControl/>
              <w:spacing w:after="0" w:line="240" w:lineRule="auto"/>
              <w:rPr>
                <w:rFonts w:hint="eastAsia" w:ascii="宋体" w:hAnsi="宋体" w:eastAsia="宋体"/>
                <w:sz w:val="21"/>
                <w:szCs w:val="21"/>
              </w:rPr>
            </w:pPr>
            <w:r>
              <w:rPr>
                <w:rFonts w:hint="eastAsia" w:ascii="宋体" w:hAnsi="宋体" w:eastAsia="宋体"/>
                <w:sz w:val="21"/>
                <w:szCs w:val="21"/>
              </w:rPr>
              <w:t>内存≥8G</w:t>
            </w:r>
          </w:p>
          <w:p w14:paraId="7B924B7D">
            <w:pPr>
              <w:widowControl/>
              <w:spacing w:after="0" w:line="240" w:lineRule="auto"/>
              <w:rPr>
                <w:rFonts w:hint="eastAsia" w:ascii="宋体" w:hAnsi="宋体" w:eastAsia="宋体"/>
                <w:sz w:val="21"/>
                <w:szCs w:val="21"/>
              </w:rPr>
            </w:pPr>
            <w:r>
              <w:rPr>
                <w:rFonts w:hint="eastAsia" w:ascii="宋体" w:hAnsi="宋体" w:eastAsia="宋体"/>
                <w:sz w:val="21"/>
                <w:szCs w:val="21"/>
              </w:rPr>
              <w:t>硬盘容量≥1.92T</w:t>
            </w:r>
          </w:p>
          <w:p w14:paraId="366706E7">
            <w:pPr>
              <w:widowControl/>
              <w:spacing w:after="0" w:line="240" w:lineRule="auto"/>
              <w:rPr>
                <w:rFonts w:hint="eastAsia" w:ascii="宋体" w:hAnsi="宋体" w:eastAsia="宋体"/>
                <w:sz w:val="21"/>
                <w:szCs w:val="21"/>
              </w:rPr>
            </w:pPr>
            <w:r>
              <w:rPr>
                <w:rFonts w:hint="eastAsia" w:ascii="宋体" w:hAnsi="宋体" w:eastAsia="宋体"/>
                <w:sz w:val="21"/>
                <w:szCs w:val="21"/>
              </w:rPr>
              <w:t>接口要求：1G 1000BASE-T ≥6个</w:t>
            </w:r>
          </w:p>
          <w:p w14:paraId="29809593">
            <w:pPr>
              <w:widowControl/>
              <w:spacing w:after="0" w:line="240" w:lineRule="auto"/>
              <w:ind w:firstLine="1050" w:firstLineChars="500"/>
              <w:rPr>
                <w:rFonts w:hint="eastAsia" w:ascii="宋体" w:hAnsi="宋体" w:eastAsia="宋体"/>
                <w:sz w:val="21"/>
                <w:szCs w:val="21"/>
              </w:rPr>
            </w:pPr>
            <w:r>
              <w:rPr>
                <w:rFonts w:hint="eastAsia" w:ascii="宋体" w:hAnsi="宋体" w:eastAsia="宋体"/>
                <w:sz w:val="21"/>
                <w:szCs w:val="21"/>
              </w:rPr>
              <w:t>1G SFP≥4个</w:t>
            </w:r>
          </w:p>
          <w:p w14:paraId="44F6F115">
            <w:pPr>
              <w:widowControl/>
              <w:spacing w:after="0" w:line="240" w:lineRule="auto"/>
              <w:rPr>
                <w:rFonts w:hint="eastAsia" w:ascii="宋体" w:hAnsi="宋体" w:eastAsia="宋体"/>
                <w:sz w:val="21"/>
                <w:szCs w:val="21"/>
              </w:rPr>
            </w:pPr>
            <w:r>
              <w:rPr>
                <w:rFonts w:hint="eastAsia" w:ascii="宋体" w:hAnsi="宋体" w:eastAsia="宋体"/>
                <w:sz w:val="21"/>
                <w:szCs w:val="21"/>
              </w:rPr>
              <w:t>光模块：配备4个多模SFP光模块。</w:t>
            </w:r>
          </w:p>
        </w:tc>
      </w:tr>
      <w:tr w14:paraId="43C2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15B25C98">
            <w:pPr>
              <w:spacing w:after="0" w:line="240" w:lineRule="auto"/>
              <w:rPr>
                <w:rFonts w:hint="eastAsia" w:ascii="宋体" w:hAnsi="宋体" w:eastAsia="宋体"/>
                <w:sz w:val="21"/>
                <w:szCs w:val="21"/>
              </w:rPr>
            </w:pPr>
            <w:r>
              <w:rPr>
                <w:rFonts w:hint="eastAsia" w:ascii="宋体" w:hAnsi="宋体" w:eastAsia="宋体"/>
                <w:sz w:val="21"/>
                <w:szCs w:val="21"/>
              </w:rPr>
              <w:t>功能要求</w:t>
            </w:r>
          </w:p>
        </w:tc>
        <w:tc>
          <w:tcPr>
            <w:tcW w:w="4130" w:type="pct"/>
            <w:tcBorders>
              <w:top w:val="single" w:color="auto" w:sz="4" w:space="0"/>
              <w:left w:val="single" w:color="auto" w:sz="4" w:space="0"/>
              <w:bottom w:val="single" w:color="auto" w:sz="4" w:space="0"/>
              <w:right w:val="single" w:color="auto" w:sz="4" w:space="0"/>
            </w:tcBorders>
          </w:tcPr>
          <w:p w14:paraId="7696F860">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具备支持</w:t>
            </w:r>
            <w:r>
              <w:rPr>
                <w:rFonts w:ascii="宋体" w:hAnsi="宋体" w:eastAsia="宋体"/>
                <w:sz w:val="21"/>
                <w:szCs w:val="21"/>
              </w:rPr>
              <w:t>中标麒麟、银河麒麟、Windows等操作系统，</w:t>
            </w:r>
            <w:r>
              <w:rPr>
                <w:rFonts w:hint="eastAsia" w:ascii="宋体" w:hAnsi="宋体" w:eastAsia="宋体"/>
                <w:sz w:val="21"/>
                <w:szCs w:val="21"/>
              </w:rPr>
              <w:t>具备</w:t>
            </w:r>
            <w:r>
              <w:rPr>
                <w:rFonts w:ascii="宋体" w:hAnsi="宋体" w:eastAsia="宋体"/>
                <w:sz w:val="21"/>
                <w:szCs w:val="21"/>
              </w:rPr>
              <w:t>网络设备、安全设备、数据库等的资产管理</w:t>
            </w:r>
            <w:r>
              <w:rPr>
                <w:rFonts w:hint="eastAsia" w:ascii="宋体" w:hAnsi="宋体" w:eastAsia="宋体"/>
                <w:sz w:val="21"/>
                <w:szCs w:val="21"/>
              </w:rPr>
              <w:t>；</w:t>
            </w:r>
          </w:p>
          <w:p w14:paraId="18C36DD1">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在授权基础上设定双人复核登陆，登录时必须经过第二人授权后才能登录，第二人可通过远程授权或同终端授权两种方式实现授权</w:t>
            </w:r>
            <w:r>
              <w:rPr>
                <w:rFonts w:hint="eastAsia" w:ascii="宋体" w:hAnsi="宋体" w:eastAsia="宋体"/>
                <w:sz w:val="21"/>
                <w:szCs w:val="21"/>
              </w:rPr>
              <w:t>；</w:t>
            </w:r>
          </w:p>
          <w:p w14:paraId="1C58B6FB">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自动对Windows、Linux等设备进行账号改密，改密</w:t>
            </w:r>
            <w:r>
              <w:rPr>
                <w:rFonts w:hint="eastAsia" w:ascii="宋体" w:hAnsi="宋体" w:eastAsia="宋体"/>
                <w:sz w:val="21"/>
                <w:szCs w:val="21"/>
              </w:rPr>
              <w:t>具备</w:t>
            </w:r>
            <w:r>
              <w:rPr>
                <w:rFonts w:ascii="宋体" w:hAnsi="宋体" w:eastAsia="宋体"/>
                <w:sz w:val="21"/>
                <w:szCs w:val="21"/>
              </w:rPr>
              <w:t>手动和定期任务，密码配置</w:t>
            </w:r>
            <w:r>
              <w:rPr>
                <w:rFonts w:hint="eastAsia" w:ascii="宋体" w:hAnsi="宋体" w:eastAsia="宋体"/>
                <w:sz w:val="21"/>
                <w:szCs w:val="21"/>
              </w:rPr>
              <w:t>具备</w:t>
            </w:r>
            <w:r>
              <w:rPr>
                <w:rFonts w:ascii="宋体" w:hAnsi="宋体" w:eastAsia="宋体"/>
                <w:sz w:val="21"/>
                <w:szCs w:val="21"/>
              </w:rPr>
              <w:t>全局策略和手工指定，密码复杂度</w:t>
            </w:r>
            <w:r>
              <w:rPr>
                <w:rFonts w:hint="eastAsia" w:ascii="宋体" w:hAnsi="宋体" w:eastAsia="宋体"/>
                <w:sz w:val="21"/>
                <w:szCs w:val="21"/>
              </w:rPr>
              <w:t>具备</w:t>
            </w:r>
            <w:r>
              <w:rPr>
                <w:rFonts w:ascii="宋体" w:hAnsi="宋体" w:eastAsia="宋体"/>
                <w:sz w:val="21"/>
                <w:szCs w:val="21"/>
              </w:rPr>
              <w:t>按策略随机生成。</w:t>
            </w:r>
          </w:p>
          <w:p w14:paraId="12707CAD">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应用发布中心</w:t>
            </w:r>
            <w:r>
              <w:rPr>
                <w:rFonts w:hint="eastAsia" w:ascii="宋体" w:hAnsi="宋体" w:eastAsia="宋体"/>
                <w:sz w:val="21"/>
                <w:szCs w:val="21"/>
              </w:rPr>
              <w:t>具备</w:t>
            </w:r>
            <w:r>
              <w:rPr>
                <w:rFonts w:ascii="宋体" w:hAnsi="宋体" w:eastAsia="宋体"/>
                <w:sz w:val="21"/>
                <w:szCs w:val="21"/>
              </w:rPr>
              <w:t xml:space="preserve"> WEB 应用（包括 http、https）、数据库应用、远程图形客户端应用等</w:t>
            </w:r>
            <w:r>
              <w:rPr>
                <w:rFonts w:hint="eastAsia" w:ascii="宋体" w:hAnsi="宋体" w:eastAsia="宋体"/>
                <w:sz w:val="21"/>
                <w:szCs w:val="21"/>
              </w:rPr>
              <w:t>；</w:t>
            </w:r>
          </w:p>
          <w:p w14:paraId="006BA2E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本地认证、Radius 认证、AD 域认证、LDAP 域认证</w:t>
            </w:r>
            <w:r>
              <w:rPr>
                <w:rFonts w:hint="eastAsia" w:ascii="宋体" w:hAnsi="宋体" w:eastAsia="宋体"/>
                <w:sz w:val="21"/>
                <w:szCs w:val="21"/>
              </w:rPr>
              <w:t>；</w:t>
            </w:r>
          </w:p>
          <w:p w14:paraId="3C548E1F">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SQL语句阻断，对select、delete、drop等SQL语句执行进行阻断</w:t>
            </w:r>
            <w:r>
              <w:rPr>
                <w:rFonts w:hint="eastAsia" w:ascii="宋体" w:hAnsi="宋体" w:eastAsia="宋体"/>
                <w:sz w:val="21"/>
                <w:szCs w:val="21"/>
              </w:rPr>
              <w:t>；</w:t>
            </w:r>
          </w:p>
          <w:p w14:paraId="12DD02D3">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w:t>
            </w:r>
            <w:r>
              <w:rPr>
                <w:rFonts w:ascii="宋体" w:hAnsi="宋体" w:eastAsia="宋体"/>
                <w:sz w:val="21"/>
                <w:szCs w:val="21"/>
              </w:rPr>
              <w:t>命令行操作、图形视频、键盘命令、操作日志回放等</w:t>
            </w:r>
            <w:r>
              <w:rPr>
                <w:rFonts w:hint="eastAsia" w:ascii="宋体" w:hAnsi="宋体" w:eastAsia="宋体"/>
                <w:sz w:val="21"/>
                <w:szCs w:val="21"/>
              </w:rPr>
              <w:t>。</w:t>
            </w:r>
          </w:p>
        </w:tc>
      </w:tr>
      <w:tr w14:paraId="41DE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04FF2F2F">
            <w:pPr>
              <w:spacing w:after="0" w:line="240" w:lineRule="auto"/>
              <w:rPr>
                <w:rFonts w:hint="eastAsia" w:ascii="宋体" w:hAnsi="宋体" w:eastAsia="宋体"/>
                <w:sz w:val="21"/>
                <w:szCs w:val="21"/>
              </w:rPr>
            </w:pPr>
            <w:r>
              <w:rPr>
                <w:rFonts w:hint="eastAsia" w:ascii="宋体" w:hAnsi="宋体" w:eastAsia="宋体"/>
                <w:sz w:val="21"/>
                <w:szCs w:val="21"/>
              </w:rPr>
              <w:t>质保要求</w:t>
            </w:r>
          </w:p>
        </w:tc>
        <w:tc>
          <w:tcPr>
            <w:tcW w:w="4130" w:type="pct"/>
            <w:tcBorders>
              <w:top w:val="single" w:color="auto" w:sz="4" w:space="0"/>
              <w:left w:val="single" w:color="auto" w:sz="4" w:space="0"/>
              <w:bottom w:val="single" w:color="auto" w:sz="4" w:space="0"/>
              <w:right w:val="single" w:color="auto" w:sz="4" w:space="0"/>
            </w:tcBorders>
          </w:tcPr>
          <w:p w14:paraId="4CC1CCE7">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提供三年原厂硬件维保和软件版本升级服务</w:t>
            </w:r>
            <w:r>
              <w:rPr>
                <w:rFonts w:hint="eastAsia" w:ascii="宋体" w:hAnsi="宋体" w:eastAsia="宋体"/>
                <w:sz w:val="21"/>
                <w:szCs w:val="21"/>
              </w:rPr>
              <w:t>；</w:t>
            </w:r>
            <w:r>
              <w:rPr>
                <w:rFonts w:ascii="宋体" w:hAnsi="宋体" w:eastAsia="宋体"/>
                <w:sz w:val="21"/>
                <w:szCs w:val="21"/>
              </w:rPr>
              <w:t>投标</w:t>
            </w:r>
            <w:r>
              <w:rPr>
                <w:rFonts w:hint="eastAsia" w:ascii="宋体" w:hAnsi="宋体" w:eastAsia="宋体"/>
                <w:sz w:val="21"/>
                <w:szCs w:val="21"/>
              </w:rPr>
              <w:t>时</w:t>
            </w:r>
            <w:r>
              <w:rPr>
                <w:rFonts w:ascii="宋体" w:hAnsi="宋体" w:eastAsia="宋体"/>
                <w:sz w:val="21"/>
                <w:szCs w:val="21"/>
              </w:rPr>
              <w:t>提供原厂关于本项目的售后服务承诺函。</w:t>
            </w:r>
          </w:p>
        </w:tc>
      </w:tr>
    </w:tbl>
    <w:p w14:paraId="15DC885D">
      <w:pPr>
        <w:ind w:firstLine="420" w:firstLineChars="200"/>
        <w:rPr>
          <w:rFonts w:hint="eastAsia" w:ascii="宋体" w:hAnsi="宋体" w:eastAsia="宋体"/>
          <w:sz w:val="21"/>
          <w:szCs w:val="21"/>
        </w:rPr>
      </w:pPr>
      <w:r>
        <w:rPr>
          <w:rFonts w:hint="eastAsia" w:ascii="宋体" w:hAnsi="宋体" w:eastAsia="宋体"/>
          <w:sz w:val="21"/>
          <w:szCs w:val="21"/>
        </w:rPr>
        <w:t>7、业务冗余交换机</w:t>
      </w:r>
    </w:p>
    <w:tbl>
      <w:tblPr>
        <w:tblStyle w:val="22"/>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038"/>
      </w:tblGrid>
      <w:tr w14:paraId="74C0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48680EC8">
            <w:pPr>
              <w:jc w:val="center"/>
              <w:rPr>
                <w:rFonts w:hint="eastAsia" w:ascii="宋体" w:hAnsi="宋体" w:eastAsia="宋体"/>
                <w:sz w:val="21"/>
                <w:szCs w:val="21"/>
              </w:rPr>
            </w:pPr>
            <w:r>
              <w:rPr>
                <w:rFonts w:ascii="宋体" w:hAnsi="宋体" w:eastAsia="宋体"/>
                <w:sz w:val="21"/>
                <w:szCs w:val="21"/>
              </w:rPr>
              <w:t>指标项</w:t>
            </w:r>
          </w:p>
        </w:tc>
        <w:tc>
          <w:tcPr>
            <w:tcW w:w="4130" w:type="pct"/>
            <w:tcBorders>
              <w:top w:val="single" w:color="auto" w:sz="4" w:space="0"/>
              <w:left w:val="single" w:color="auto" w:sz="4" w:space="0"/>
              <w:bottom w:val="single" w:color="auto" w:sz="4" w:space="0"/>
              <w:right w:val="single" w:color="auto" w:sz="4" w:space="0"/>
            </w:tcBorders>
          </w:tcPr>
          <w:p w14:paraId="5B0BF4EF">
            <w:pPr>
              <w:jc w:val="center"/>
              <w:rPr>
                <w:rFonts w:hint="eastAsia" w:ascii="宋体" w:hAnsi="宋体" w:eastAsia="宋体"/>
                <w:sz w:val="21"/>
                <w:szCs w:val="21"/>
              </w:rPr>
            </w:pPr>
            <w:r>
              <w:rPr>
                <w:rFonts w:ascii="宋体" w:hAnsi="宋体" w:eastAsia="宋体"/>
                <w:sz w:val="21"/>
                <w:szCs w:val="21"/>
              </w:rPr>
              <w:t>详细要求</w:t>
            </w:r>
          </w:p>
        </w:tc>
      </w:tr>
      <w:tr w14:paraId="47F4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103D8571">
            <w:pPr>
              <w:spacing w:after="0" w:line="240" w:lineRule="auto"/>
              <w:jc w:val="center"/>
              <w:rPr>
                <w:rFonts w:hint="eastAsia" w:ascii="宋体" w:hAnsi="宋体" w:eastAsia="宋体"/>
                <w:sz w:val="21"/>
                <w:szCs w:val="21"/>
              </w:rPr>
            </w:pPr>
            <w:r>
              <w:rPr>
                <w:rFonts w:hint="eastAsia" w:ascii="宋体" w:hAnsi="宋体" w:eastAsia="宋体"/>
                <w:sz w:val="21"/>
                <w:szCs w:val="21"/>
              </w:rPr>
              <w:t>性能规格</w:t>
            </w:r>
          </w:p>
        </w:tc>
        <w:tc>
          <w:tcPr>
            <w:tcW w:w="4130" w:type="pct"/>
            <w:tcBorders>
              <w:top w:val="single" w:color="auto" w:sz="4" w:space="0"/>
              <w:left w:val="single" w:color="auto" w:sz="4" w:space="0"/>
              <w:bottom w:val="single" w:color="auto" w:sz="4" w:space="0"/>
              <w:right w:val="single" w:color="auto" w:sz="4" w:space="0"/>
            </w:tcBorders>
          </w:tcPr>
          <w:p w14:paraId="2334FFD1">
            <w:pPr>
              <w:widowControl/>
              <w:snapToGrid w:val="0"/>
              <w:spacing w:after="0" w:line="360" w:lineRule="auto"/>
              <w:textAlignment w:val="center"/>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hint="eastAsia" w:ascii="宋体" w:hAnsi="宋体" w:eastAsia="宋体"/>
                <w:sz w:val="21"/>
                <w:szCs w:val="21"/>
                <w:highlight w:val="yellow"/>
              </w:rPr>
              <w:t>交换容量≥1.13Tbps/11.3Tbps；</w:t>
            </w:r>
          </w:p>
          <w:p w14:paraId="4346BE81">
            <w:pPr>
              <w:widowControl/>
              <w:snapToGrid w:val="0"/>
              <w:spacing w:after="0" w:line="360" w:lineRule="auto"/>
              <w:textAlignment w:val="center"/>
              <w:rPr>
                <w:rFonts w:hint="eastAsia" w:ascii="宋体" w:hAnsi="宋体" w:eastAsia="宋体"/>
                <w:sz w:val="21"/>
                <w:szCs w:val="21"/>
                <w:highlight w:val="yellow"/>
              </w:rPr>
            </w:pPr>
            <w:r>
              <w:rPr>
                <w:rFonts w:hint="eastAsia" w:ascii="宋体" w:hAnsi="宋体" w:eastAsia="宋体" w:cs="宋体"/>
                <w:sz w:val="21"/>
                <w:szCs w:val="21"/>
                <w:highlight w:val="yellow"/>
              </w:rPr>
              <w:t>▲</w:t>
            </w:r>
            <w:r>
              <w:rPr>
                <w:rFonts w:hint="eastAsia" w:ascii="宋体" w:hAnsi="宋体" w:eastAsia="宋体"/>
                <w:sz w:val="21"/>
                <w:szCs w:val="21"/>
                <w:highlight w:val="yellow"/>
              </w:rPr>
              <w:t>包转发≥228Mpps；</w:t>
            </w:r>
          </w:p>
          <w:p w14:paraId="0C0742F1">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最大可堆叠台数≥9台 ；</w:t>
            </w:r>
          </w:p>
          <w:p w14:paraId="0D9FD67E">
            <w:pPr>
              <w:widowControl/>
              <w:snapToGrid w:val="0"/>
              <w:spacing w:after="0" w:line="360" w:lineRule="auto"/>
              <w:textAlignment w:val="center"/>
              <w:rPr>
                <w:rFonts w:hint="eastAsia" w:ascii="宋体" w:hAnsi="宋体" w:eastAsia="宋体"/>
                <w:color w:val="EE0000"/>
                <w:sz w:val="21"/>
                <w:szCs w:val="21"/>
              </w:rPr>
            </w:pPr>
            <w:r>
              <w:rPr>
                <w:rFonts w:ascii="宋体" w:hAnsi="宋体" w:eastAsia="宋体"/>
                <w:sz w:val="21"/>
                <w:szCs w:val="21"/>
              </w:rPr>
              <w:t>以官网最小值为准</w:t>
            </w:r>
            <w:r>
              <w:rPr>
                <w:rFonts w:hint="eastAsia" w:ascii="宋体" w:hAnsi="宋体" w:eastAsia="宋体"/>
                <w:sz w:val="21"/>
                <w:szCs w:val="21"/>
              </w:rPr>
              <w:t>。</w:t>
            </w:r>
          </w:p>
        </w:tc>
      </w:tr>
      <w:tr w14:paraId="0CF9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067D69A5">
            <w:pPr>
              <w:rPr>
                <w:rFonts w:hint="eastAsia" w:ascii="宋体" w:hAnsi="宋体" w:eastAsia="宋体"/>
                <w:sz w:val="21"/>
                <w:szCs w:val="21"/>
              </w:rPr>
            </w:pPr>
            <w:r>
              <w:rPr>
                <w:rFonts w:ascii="宋体" w:hAnsi="宋体" w:eastAsia="宋体"/>
                <w:sz w:val="21"/>
                <w:szCs w:val="21"/>
              </w:rPr>
              <w:t>芯片要求</w:t>
            </w:r>
          </w:p>
        </w:tc>
        <w:tc>
          <w:tcPr>
            <w:tcW w:w="4130" w:type="pct"/>
            <w:tcBorders>
              <w:top w:val="single" w:color="auto" w:sz="4" w:space="0"/>
              <w:left w:val="single" w:color="auto" w:sz="4" w:space="0"/>
              <w:bottom w:val="single" w:color="auto" w:sz="4" w:space="0"/>
              <w:right w:val="single" w:color="auto" w:sz="4" w:space="0"/>
            </w:tcBorders>
          </w:tcPr>
          <w:p w14:paraId="144A99C3">
            <w:pPr>
              <w:rPr>
                <w:rFonts w:hint="eastAsia" w:ascii="宋体" w:hAnsi="宋体" w:eastAsia="宋体"/>
                <w:sz w:val="21"/>
                <w:szCs w:val="21"/>
              </w:rPr>
            </w:pPr>
            <w:r>
              <w:rPr>
                <w:rFonts w:ascii="宋体" w:hAnsi="宋体" w:eastAsia="宋体"/>
                <w:sz w:val="21"/>
                <w:szCs w:val="21"/>
                <w:highlight w:val="yellow"/>
              </w:rPr>
              <w:t>CPU采用国产芯片</w:t>
            </w:r>
          </w:p>
        </w:tc>
      </w:tr>
      <w:tr w14:paraId="4F8A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5E440B2B">
            <w:pPr>
              <w:rPr>
                <w:rFonts w:hint="eastAsia" w:ascii="宋体" w:hAnsi="宋体" w:eastAsia="宋体"/>
                <w:sz w:val="21"/>
                <w:szCs w:val="21"/>
              </w:rPr>
            </w:pPr>
            <w:r>
              <w:rPr>
                <w:rFonts w:ascii="宋体" w:hAnsi="宋体" w:eastAsia="宋体"/>
                <w:sz w:val="21"/>
                <w:szCs w:val="21"/>
              </w:rPr>
              <w:t>实配要求</w:t>
            </w:r>
          </w:p>
        </w:tc>
        <w:tc>
          <w:tcPr>
            <w:tcW w:w="4130" w:type="pct"/>
            <w:tcBorders>
              <w:top w:val="single" w:color="auto" w:sz="4" w:space="0"/>
              <w:left w:val="single" w:color="auto" w:sz="4" w:space="0"/>
              <w:bottom w:val="single" w:color="auto" w:sz="4" w:space="0"/>
              <w:right w:val="single" w:color="auto" w:sz="4" w:space="0"/>
            </w:tcBorders>
          </w:tcPr>
          <w:p w14:paraId="736D638F">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外观尺寸：1U；</w:t>
            </w:r>
          </w:p>
          <w:p w14:paraId="46915737">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电源：冗余电源；</w:t>
            </w:r>
          </w:p>
          <w:p w14:paraId="50CBB2F8">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接口要求：10/100/1000BASE-T≥24个（含SFP Combo≥8）；</w:t>
            </w:r>
          </w:p>
          <w:p w14:paraId="319DB3B4">
            <w:pPr>
              <w:widowControl/>
              <w:snapToGrid w:val="0"/>
              <w:spacing w:after="0" w:line="360" w:lineRule="auto"/>
              <w:ind w:firstLine="1050" w:firstLineChars="500"/>
              <w:textAlignment w:val="center"/>
              <w:rPr>
                <w:rFonts w:hint="eastAsia" w:ascii="宋体" w:hAnsi="宋体" w:eastAsia="宋体"/>
                <w:sz w:val="21"/>
                <w:szCs w:val="21"/>
              </w:rPr>
            </w:pPr>
            <w:r>
              <w:rPr>
                <w:rFonts w:hint="eastAsia" w:ascii="宋体" w:hAnsi="宋体" w:eastAsia="宋体"/>
                <w:sz w:val="21"/>
                <w:szCs w:val="21"/>
              </w:rPr>
              <w:t>1G/10GBASE-X SFP Plus≥4个；</w:t>
            </w:r>
          </w:p>
          <w:p w14:paraId="0A03D18B">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cs="宋体"/>
                <w:color w:val="000000" w:themeColor="text1"/>
                <w:kern w:val="0"/>
                <w:sz w:val="21"/>
                <w:szCs w:val="21"/>
                <w:lang w:bidi="ar"/>
                <w14:textFill>
                  <w14:solidFill>
                    <w14:schemeClr w14:val="tx1"/>
                  </w14:solidFill>
                </w14:textFill>
              </w:rPr>
              <w:t>光模块：配置4个多模SFP光模块。</w:t>
            </w:r>
          </w:p>
        </w:tc>
      </w:tr>
      <w:tr w14:paraId="21A7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0C1578E2">
            <w:pPr>
              <w:spacing w:after="0" w:line="240" w:lineRule="auto"/>
              <w:rPr>
                <w:rFonts w:hint="eastAsia" w:ascii="宋体" w:hAnsi="宋体" w:eastAsia="宋体"/>
                <w:sz w:val="21"/>
                <w:szCs w:val="21"/>
              </w:rPr>
            </w:pPr>
            <w:r>
              <w:rPr>
                <w:rFonts w:hint="eastAsia" w:ascii="宋体" w:hAnsi="宋体" w:eastAsia="宋体"/>
                <w:sz w:val="21"/>
                <w:szCs w:val="21"/>
              </w:rPr>
              <w:t>功能要求</w:t>
            </w:r>
          </w:p>
        </w:tc>
        <w:tc>
          <w:tcPr>
            <w:tcW w:w="4130" w:type="pct"/>
            <w:tcBorders>
              <w:top w:val="single" w:color="auto" w:sz="4" w:space="0"/>
              <w:left w:val="single" w:color="auto" w:sz="4" w:space="0"/>
              <w:bottom w:val="single" w:color="auto" w:sz="4" w:space="0"/>
              <w:right w:val="single" w:color="auto" w:sz="4" w:space="0"/>
            </w:tcBorders>
          </w:tcPr>
          <w:p w14:paraId="2ECB3F3C">
            <w:pPr>
              <w:rPr>
                <w:rFonts w:hint="eastAsia" w:ascii="宋体" w:hAnsi="宋体" w:eastAsia="宋体"/>
                <w:sz w:val="21"/>
                <w:szCs w:val="21"/>
              </w:rPr>
            </w:pPr>
            <w:r>
              <w:rPr>
                <w:rFonts w:hint="eastAsia" w:ascii="宋体" w:hAnsi="宋体" w:eastAsia="宋体"/>
                <w:sz w:val="21"/>
                <w:szCs w:val="21"/>
              </w:rPr>
              <w:t>支持跨设备链路聚合，单一IP管理，分布式弹性路由；</w:t>
            </w:r>
          </w:p>
          <w:p w14:paraId="46459F10">
            <w:pPr>
              <w:rPr>
                <w:rFonts w:hint="eastAsia" w:ascii="宋体" w:hAnsi="宋体" w:eastAsia="宋体"/>
                <w:sz w:val="21"/>
                <w:szCs w:val="21"/>
              </w:rPr>
            </w:pPr>
            <w:r>
              <w:rPr>
                <w:rFonts w:hint="eastAsia" w:ascii="宋体" w:hAnsi="宋体" w:eastAsia="宋体"/>
                <w:sz w:val="21"/>
                <w:szCs w:val="21"/>
              </w:rPr>
              <w:t>支持基于端口的VLAN，支持基于协议的VLAN、支持基于MAC的VLAN，支持基于IP子网的VLAN、最大VLAN数≥4094；</w:t>
            </w:r>
          </w:p>
          <w:p w14:paraId="77F4007A">
            <w:pPr>
              <w:rPr>
                <w:rFonts w:hint="eastAsia" w:ascii="宋体" w:hAnsi="宋体" w:eastAsia="宋体"/>
                <w:sz w:val="21"/>
                <w:szCs w:val="21"/>
              </w:rPr>
            </w:pPr>
            <w:r>
              <w:rPr>
                <w:rFonts w:hint="eastAsia" w:ascii="宋体" w:hAnsi="宋体" w:eastAsia="宋体"/>
                <w:sz w:val="21"/>
                <w:szCs w:val="21"/>
              </w:rPr>
              <w:t>支持最多8个端口聚合，最多128个聚合组，LACP，跨设备聚合；</w:t>
            </w:r>
          </w:p>
          <w:p w14:paraId="66C33617">
            <w:pPr>
              <w:rPr>
                <w:rFonts w:hint="eastAsia" w:ascii="宋体" w:hAnsi="宋体" w:eastAsia="宋体"/>
                <w:sz w:val="21"/>
                <w:szCs w:val="21"/>
              </w:rPr>
            </w:pPr>
            <w:r>
              <w:rPr>
                <w:rFonts w:hint="eastAsia" w:ascii="宋体" w:hAnsi="宋体" w:eastAsia="宋体"/>
                <w:sz w:val="21"/>
                <w:szCs w:val="21"/>
              </w:rPr>
              <w:t>支持IPv4静态路由、RIP V1/V2、OSPF、BGP4、BGP4+ for IPv6、RIPng；</w:t>
            </w:r>
          </w:p>
          <w:p w14:paraId="69FEEE3D">
            <w:pPr>
              <w:rPr>
                <w:rFonts w:hint="eastAsia" w:ascii="宋体" w:hAnsi="宋体" w:eastAsia="宋体"/>
                <w:sz w:val="21"/>
                <w:szCs w:val="21"/>
              </w:rPr>
            </w:pPr>
            <w:r>
              <w:rPr>
                <w:rFonts w:hint="eastAsia" w:ascii="宋体" w:hAnsi="宋体" w:eastAsia="宋体"/>
                <w:sz w:val="21"/>
                <w:szCs w:val="21"/>
              </w:rPr>
              <w:t>支持IPv4和IPv6环境下的策略路由、等价路由、策略路由，</w:t>
            </w:r>
          </w:p>
          <w:p w14:paraId="74068AD9">
            <w:pPr>
              <w:rPr>
                <w:rFonts w:hint="eastAsia" w:ascii="宋体" w:hAnsi="宋体" w:eastAsia="宋体"/>
                <w:sz w:val="21"/>
                <w:szCs w:val="21"/>
              </w:rPr>
            </w:pPr>
            <w:r>
              <w:rPr>
                <w:rFonts w:hint="eastAsia" w:ascii="宋体" w:hAnsi="宋体" w:eastAsia="宋体"/>
                <w:sz w:val="21"/>
                <w:szCs w:val="21"/>
              </w:rPr>
              <w:t>支持VRRP/VRRPv3；</w:t>
            </w:r>
          </w:p>
          <w:p w14:paraId="3A09AE3A">
            <w:pPr>
              <w:rPr>
                <w:rFonts w:hint="eastAsia" w:ascii="宋体" w:hAnsi="宋体" w:eastAsia="宋体"/>
                <w:sz w:val="21"/>
                <w:szCs w:val="21"/>
              </w:rPr>
            </w:pPr>
            <w:r>
              <w:rPr>
                <w:rFonts w:hint="eastAsia" w:ascii="宋体" w:hAnsi="宋体" w:eastAsia="宋体"/>
                <w:sz w:val="21"/>
                <w:szCs w:val="21"/>
              </w:rPr>
              <w:t>支持基于第二层、第三层和第四层的ACL、基于端口和VLAN的 ACL；</w:t>
            </w:r>
          </w:p>
          <w:p w14:paraId="206DC99A">
            <w:pPr>
              <w:rPr>
                <w:rFonts w:hint="eastAsia" w:ascii="宋体" w:hAnsi="宋体" w:eastAsia="宋体"/>
                <w:sz w:val="21"/>
                <w:szCs w:val="21"/>
              </w:rPr>
            </w:pPr>
            <w:r>
              <w:rPr>
                <w:rFonts w:hint="eastAsia" w:ascii="宋体" w:hAnsi="宋体" w:eastAsia="宋体"/>
                <w:sz w:val="21"/>
                <w:szCs w:val="21"/>
              </w:rPr>
              <w:t>支持802.1x认证，支持集中式MAC地址认证;</w:t>
            </w:r>
          </w:p>
          <w:p w14:paraId="2EDBED51">
            <w:pPr>
              <w:rPr>
                <w:rFonts w:hint="eastAsia" w:ascii="宋体" w:hAnsi="宋体" w:eastAsia="宋体"/>
                <w:sz w:val="21"/>
                <w:szCs w:val="21"/>
              </w:rPr>
            </w:pPr>
            <w:r>
              <w:rPr>
                <w:rFonts w:hint="eastAsia" w:ascii="宋体" w:hAnsi="宋体" w:eastAsia="宋体"/>
                <w:sz w:val="21"/>
                <w:szCs w:val="21"/>
              </w:rPr>
              <w:t>支持SNMP V1/V2/V3、RMON、SSHV2;</w:t>
            </w:r>
          </w:p>
          <w:p w14:paraId="462C0422">
            <w:pPr>
              <w:rPr>
                <w:rFonts w:hint="eastAsia" w:ascii="宋体" w:hAnsi="宋体" w:eastAsia="宋体"/>
                <w:sz w:val="21"/>
                <w:szCs w:val="21"/>
              </w:rPr>
            </w:pPr>
            <w:r>
              <w:rPr>
                <w:rFonts w:hint="eastAsia" w:ascii="宋体" w:hAnsi="宋体" w:eastAsia="宋体"/>
                <w:sz w:val="21"/>
                <w:szCs w:val="21"/>
              </w:rPr>
              <w:t>支持OAM(802.1AG， 802.3AH)以太网运行、维护和管理标准，端口自动Power down功能、端口定时down功能。</w:t>
            </w:r>
          </w:p>
        </w:tc>
      </w:tr>
      <w:tr w14:paraId="2DBC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2D0E22BA">
            <w:pPr>
              <w:spacing w:after="0" w:line="240" w:lineRule="auto"/>
              <w:rPr>
                <w:rFonts w:hint="eastAsia" w:ascii="宋体" w:hAnsi="宋体" w:eastAsia="宋体"/>
                <w:sz w:val="21"/>
                <w:szCs w:val="21"/>
              </w:rPr>
            </w:pPr>
            <w:r>
              <w:rPr>
                <w:rFonts w:hint="eastAsia" w:ascii="宋体" w:hAnsi="宋体" w:eastAsia="宋体"/>
                <w:sz w:val="21"/>
                <w:szCs w:val="21"/>
              </w:rPr>
              <w:t>质保要求</w:t>
            </w:r>
          </w:p>
        </w:tc>
        <w:tc>
          <w:tcPr>
            <w:tcW w:w="4130" w:type="pct"/>
            <w:tcBorders>
              <w:top w:val="single" w:color="auto" w:sz="4" w:space="0"/>
              <w:left w:val="single" w:color="auto" w:sz="4" w:space="0"/>
              <w:bottom w:val="single" w:color="auto" w:sz="4" w:space="0"/>
              <w:right w:val="single" w:color="auto" w:sz="4" w:space="0"/>
            </w:tcBorders>
          </w:tcPr>
          <w:p w14:paraId="1256F9DD">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提供三年原厂硬件维保和软件版本升级服务</w:t>
            </w:r>
            <w:r>
              <w:rPr>
                <w:rFonts w:hint="eastAsia" w:ascii="宋体" w:hAnsi="宋体" w:eastAsia="宋体"/>
                <w:sz w:val="21"/>
                <w:szCs w:val="21"/>
              </w:rPr>
              <w:t>；</w:t>
            </w:r>
            <w:r>
              <w:rPr>
                <w:rFonts w:ascii="宋体" w:hAnsi="宋体" w:eastAsia="宋体"/>
                <w:sz w:val="21"/>
                <w:szCs w:val="21"/>
              </w:rPr>
              <w:t>投标</w:t>
            </w:r>
            <w:r>
              <w:rPr>
                <w:rFonts w:hint="eastAsia" w:ascii="宋体" w:hAnsi="宋体" w:eastAsia="宋体"/>
                <w:sz w:val="21"/>
                <w:szCs w:val="21"/>
              </w:rPr>
              <w:t>时</w:t>
            </w:r>
            <w:r>
              <w:rPr>
                <w:rFonts w:ascii="宋体" w:hAnsi="宋体" w:eastAsia="宋体"/>
                <w:sz w:val="21"/>
                <w:szCs w:val="21"/>
              </w:rPr>
              <w:t>提供原厂关于本项目的售后服务承诺函。</w:t>
            </w:r>
          </w:p>
        </w:tc>
      </w:tr>
    </w:tbl>
    <w:p w14:paraId="2A13429A">
      <w:pPr>
        <w:ind w:firstLine="420" w:firstLineChars="20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8、移动运维终端</w:t>
      </w:r>
    </w:p>
    <w:tbl>
      <w:tblPr>
        <w:tblStyle w:val="21"/>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1"/>
        <w:gridCol w:w="7038"/>
      </w:tblGrid>
      <w:tr w14:paraId="3460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9" w:type="pct"/>
            <w:tcBorders>
              <w:top w:val="single" w:color="auto" w:sz="4" w:space="0"/>
              <w:left w:val="single" w:color="auto" w:sz="4" w:space="0"/>
              <w:bottom w:val="single" w:color="auto" w:sz="4" w:space="0"/>
              <w:right w:val="single" w:color="auto" w:sz="4" w:space="0"/>
            </w:tcBorders>
          </w:tcPr>
          <w:p w14:paraId="3FEECF82">
            <w:pPr>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指标项</w:t>
            </w:r>
          </w:p>
        </w:tc>
        <w:tc>
          <w:tcPr>
            <w:tcW w:w="4131" w:type="pct"/>
            <w:tcBorders>
              <w:top w:val="single" w:color="auto" w:sz="4" w:space="0"/>
              <w:left w:val="single" w:color="auto" w:sz="4" w:space="0"/>
              <w:bottom w:val="single" w:color="auto" w:sz="4" w:space="0"/>
              <w:right w:val="single" w:color="auto" w:sz="4" w:space="0"/>
            </w:tcBorders>
          </w:tcPr>
          <w:p w14:paraId="479B8598">
            <w:pPr>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详细要求</w:t>
            </w:r>
          </w:p>
        </w:tc>
      </w:tr>
      <w:tr w14:paraId="47B0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9" w:type="pct"/>
            <w:tcBorders>
              <w:top w:val="single" w:color="auto" w:sz="4" w:space="0"/>
              <w:left w:val="single" w:color="auto" w:sz="4" w:space="0"/>
              <w:bottom w:val="single" w:color="auto" w:sz="4" w:space="0"/>
              <w:right w:val="single" w:color="auto" w:sz="4" w:space="0"/>
            </w:tcBorders>
          </w:tcPr>
          <w:p w14:paraId="050248D5">
            <w:pPr>
              <w:spacing w:after="0" w:line="240" w:lineRule="auto"/>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性能规格</w:t>
            </w:r>
          </w:p>
        </w:tc>
        <w:tc>
          <w:tcPr>
            <w:tcW w:w="4131" w:type="pct"/>
            <w:tcBorders>
              <w:top w:val="single" w:color="auto" w:sz="4" w:space="0"/>
              <w:left w:val="single" w:color="auto" w:sz="4" w:space="0"/>
              <w:bottom w:val="single" w:color="auto" w:sz="4" w:space="0"/>
              <w:right w:val="single" w:color="auto" w:sz="4" w:space="0"/>
            </w:tcBorders>
          </w:tcPr>
          <w:p w14:paraId="43B0D53E">
            <w:pPr>
              <w:widowControl/>
              <w:numPr>
                <w:ilvl w:val="255"/>
                <w:numId w:val="0"/>
              </w:num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s="宋体"/>
                <w:sz w:val="21"/>
                <w:szCs w:val="21"/>
                <w:highlight w:val="yellow"/>
              </w:rPr>
              <w:t>▲</w:t>
            </w:r>
            <w:r>
              <w:rPr>
                <w:rFonts w:hint="eastAsia" w:ascii="宋体" w:hAnsi="宋体" w:eastAsia="宋体"/>
                <w:color w:val="000000" w:themeColor="text1"/>
                <w:sz w:val="21"/>
                <w:szCs w:val="21"/>
                <w:highlight w:val="yellow"/>
                <w14:textFill>
                  <w14:solidFill>
                    <w14:schemeClr w14:val="tx1"/>
                  </w14:solidFill>
                </w14:textFill>
              </w:rPr>
              <w:t>采用国产品牌8核12线程的处理器，主频不低于2.48GHz；</w:t>
            </w:r>
          </w:p>
          <w:p w14:paraId="71F17866">
            <w:pPr>
              <w:widowControl/>
              <w:numPr>
                <w:ilvl w:val="255"/>
                <w:numId w:val="0"/>
              </w:num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内存≥16GB；</w:t>
            </w:r>
          </w:p>
          <w:p w14:paraId="57A4C8D4">
            <w:pPr>
              <w:widowControl/>
              <w:numPr>
                <w:ilvl w:val="255"/>
                <w:numId w:val="0"/>
              </w:num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硬盘≥1TB SSD；</w:t>
            </w:r>
          </w:p>
          <w:p w14:paraId="67B95CE2">
            <w:pPr>
              <w:widowControl/>
              <w:numPr>
                <w:ilvl w:val="255"/>
                <w:numId w:val="0"/>
              </w:num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屏幕尺寸≥14.2英寸；</w:t>
            </w:r>
          </w:p>
          <w:p w14:paraId="4D2D2B35">
            <w:pPr>
              <w:widowControl/>
              <w:numPr>
                <w:ilvl w:val="255"/>
                <w:numId w:val="0"/>
              </w:num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屏幕分辨率：不低于2880*1920，刷新率不低于120Hz；</w:t>
            </w:r>
          </w:p>
          <w:p w14:paraId="58DF79AD">
            <w:pPr>
              <w:widowControl/>
              <w:numPr>
                <w:ilvl w:val="255"/>
                <w:numId w:val="0"/>
              </w:num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USB接口数：不小于2个，支持USB-C,HDMI,USB-A；</w:t>
            </w:r>
          </w:p>
          <w:p w14:paraId="104BD17E">
            <w:pPr>
              <w:widowControl/>
              <w:numPr>
                <w:ilvl w:val="255"/>
                <w:numId w:val="0"/>
              </w:num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无线网卡：支持双天线Wi-Fi6。</w:t>
            </w:r>
          </w:p>
        </w:tc>
      </w:tr>
      <w:tr w14:paraId="3D81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pct"/>
            <w:tcBorders>
              <w:top w:val="single" w:color="auto" w:sz="4" w:space="0"/>
              <w:left w:val="single" w:color="auto" w:sz="4" w:space="0"/>
              <w:bottom w:val="single" w:color="auto" w:sz="4" w:space="0"/>
              <w:right w:val="single" w:color="auto" w:sz="4" w:space="0"/>
            </w:tcBorders>
            <w:vAlign w:val="center"/>
          </w:tcPr>
          <w:p w14:paraId="5D36383E">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芯片要求</w:t>
            </w:r>
          </w:p>
        </w:tc>
        <w:tc>
          <w:tcPr>
            <w:tcW w:w="4131" w:type="pct"/>
            <w:tcBorders>
              <w:top w:val="single" w:color="auto" w:sz="4" w:space="0"/>
              <w:left w:val="single" w:color="auto" w:sz="4" w:space="0"/>
              <w:bottom w:val="single" w:color="auto" w:sz="4" w:space="0"/>
              <w:right w:val="single" w:color="auto" w:sz="4" w:space="0"/>
            </w:tcBorders>
          </w:tcPr>
          <w:p w14:paraId="0418910C">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highlight w:val="yellow"/>
                <w14:textFill>
                  <w14:solidFill>
                    <w14:schemeClr w14:val="tx1"/>
                  </w14:solidFill>
                </w14:textFill>
              </w:rPr>
              <w:t>CPU采用</w:t>
            </w:r>
            <w:r>
              <w:rPr>
                <w:rFonts w:ascii="宋体" w:hAnsi="宋体" w:eastAsia="宋体"/>
                <w:sz w:val="21"/>
                <w:szCs w:val="21"/>
                <w:highlight w:val="yellow"/>
              </w:rPr>
              <w:t>国产芯片</w:t>
            </w:r>
          </w:p>
        </w:tc>
      </w:tr>
      <w:tr w14:paraId="69E3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pct"/>
            <w:tcBorders>
              <w:top w:val="single" w:color="auto" w:sz="4" w:space="0"/>
              <w:left w:val="single" w:color="auto" w:sz="4" w:space="0"/>
              <w:bottom w:val="single" w:color="auto" w:sz="4" w:space="0"/>
              <w:right w:val="single" w:color="auto" w:sz="4" w:space="0"/>
            </w:tcBorders>
            <w:vAlign w:val="center"/>
          </w:tcPr>
          <w:p w14:paraId="1F2C04B8">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操作系统</w:t>
            </w:r>
          </w:p>
        </w:tc>
        <w:tc>
          <w:tcPr>
            <w:tcW w:w="4131" w:type="pct"/>
            <w:tcBorders>
              <w:top w:val="single" w:color="auto" w:sz="4" w:space="0"/>
              <w:left w:val="single" w:color="auto" w:sz="4" w:space="0"/>
              <w:bottom w:val="single" w:color="auto" w:sz="4" w:space="0"/>
              <w:right w:val="single" w:color="auto" w:sz="4" w:space="0"/>
            </w:tcBorders>
          </w:tcPr>
          <w:p w14:paraId="76BDC961">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政企版国产操作系统，提供证明材料</w:t>
            </w:r>
          </w:p>
        </w:tc>
      </w:tr>
      <w:tr w14:paraId="2CFF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69" w:type="pct"/>
            <w:tcBorders>
              <w:top w:val="single" w:color="auto" w:sz="4" w:space="0"/>
              <w:left w:val="single" w:color="auto" w:sz="4" w:space="0"/>
              <w:bottom w:val="single" w:color="auto" w:sz="4" w:space="0"/>
              <w:right w:val="single" w:color="auto" w:sz="4" w:space="0"/>
            </w:tcBorders>
            <w:vAlign w:val="center"/>
          </w:tcPr>
          <w:p w14:paraId="55D1855B">
            <w:p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质保要求</w:t>
            </w:r>
          </w:p>
        </w:tc>
        <w:tc>
          <w:tcPr>
            <w:tcW w:w="4131" w:type="pct"/>
            <w:tcBorders>
              <w:top w:val="single" w:color="auto" w:sz="4" w:space="0"/>
              <w:left w:val="single" w:color="auto" w:sz="4" w:space="0"/>
              <w:bottom w:val="single" w:color="auto" w:sz="4" w:space="0"/>
              <w:right w:val="single" w:color="auto" w:sz="4" w:space="0"/>
            </w:tcBorders>
          </w:tcPr>
          <w:p w14:paraId="61F5C7D4">
            <w:pPr>
              <w:widowControl/>
              <w:snapToGrid w:val="0"/>
              <w:spacing w:after="0" w:line="360" w:lineRule="auto"/>
              <w:textAlignment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提供三年质保。</w:t>
            </w:r>
          </w:p>
        </w:tc>
      </w:tr>
    </w:tbl>
    <w:p w14:paraId="71288350">
      <w:pPr>
        <w:ind w:firstLine="420" w:firstLineChars="200"/>
        <w:rPr>
          <w:rFonts w:hint="eastAsia" w:ascii="宋体" w:hAnsi="宋体" w:eastAsia="宋体"/>
          <w:color w:val="000000" w:themeColor="text1"/>
          <w:sz w:val="21"/>
          <w:szCs w:val="21"/>
          <w14:textFill>
            <w14:solidFill>
              <w14:schemeClr w14:val="tx1"/>
            </w14:solidFill>
          </w14:textFill>
        </w:rPr>
      </w:pPr>
    </w:p>
    <w:p w14:paraId="3A4290AB">
      <w:pPr>
        <w:ind w:firstLine="420" w:firstLineChars="20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9、运维终端</w:t>
      </w:r>
    </w:p>
    <w:tbl>
      <w:tblPr>
        <w:tblStyle w:val="21"/>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1"/>
        <w:gridCol w:w="7038"/>
      </w:tblGrid>
      <w:tr w14:paraId="3152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pct"/>
            <w:tcBorders>
              <w:top w:val="single" w:color="auto" w:sz="4" w:space="0"/>
              <w:left w:val="single" w:color="auto" w:sz="4" w:space="0"/>
              <w:bottom w:val="single" w:color="auto" w:sz="4" w:space="0"/>
              <w:right w:val="single" w:color="auto" w:sz="4" w:space="0"/>
            </w:tcBorders>
          </w:tcPr>
          <w:p w14:paraId="26B4CCA9">
            <w:pPr>
              <w:jc w:val="center"/>
              <w:rPr>
                <w:rFonts w:hint="eastAsia"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指标项</w:t>
            </w:r>
          </w:p>
        </w:tc>
        <w:tc>
          <w:tcPr>
            <w:tcW w:w="4131" w:type="pct"/>
            <w:tcBorders>
              <w:top w:val="single" w:color="auto" w:sz="4" w:space="0"/>
              <w:left w:val="single" w:color="auto" w:sz="4" w:space="0"/>
              <w:bottom w:val="single" w:color="auto" w:sz="4" w:space="0"/>
              <w:right w:val="single" w:color="auto" w:sz="4" w:space="0"/>
            </w:tcBorders>
          </w:tcPr>
          <w:p w14:paraId="011C2F63">
            <w:pPr>
              <w:jc w:val="center"/>
              <w:rPr>
                <w:rFonts w:hint="eastAsia"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详细要求</w:t>
            </w:r>
          </w:p>
        </w:tc>
      </w:tr>
      <w:tr w14:paraId="4FEB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pct"/>
            <w:tcBorders>
              <w:top w:val="single" w:color="auto" w:sz="4" w:space="0"/>
              <w:left w:val="single" w:color="auto" w:sz="4" w:space="0"/>
              <w:bottom w:val="single" w:color="auto" w:sz="4" w:space="0"/>
              <w:right w:val="single" w:color="auto" w:sz="4" w:space="0"/>
            </w:tcBorders>
          </w:tcPr>
          <w:p w14:paraId="49FAA4B5">
            <w:pPr>
              <w:spacing w:after="0" w:line="240" w:lineRule="auto"/>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性能规格</w:t>
            </w:r>
          </w:p>
        </w:tc>
        <w:tc>
          <w:tcPr>
            <w:tcW w:w="4131" w:type="pct"/>
            <w:tcBorders>
              <w:top w:val="single" w:color="auto" w:sz="4" w:space="0"/>
              <w:left w:val="single" w:color="auto" w:sz="4" w:space="0"/>
              <w:bottom w:val="single" w:color="auto" w:sz="4" w:space="0"/>
              <w:right w:val="single" w:color="auto" w:sz="4" w:space="0"/>
            </w:tcBorders>
          </w:tcPr>
          <w:p w14:paraId="2F8D7F52">
            <w:pPr>
              <w:widowControl/>
              <w:snapToGrid w:val="0"/>
              <w:spacing w:after="0" w:line="360" w:lineRule="auto"/>
              <w:textAlignment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s="宋体"/>
                <w:sz w:val="21"/>
                <w:szCs w:val="21"/>
                <w:highlight w:val="yellow"/>
              </w:rPr>
              <w:t>▲</w:t>
            </w:r>
            <w:r>
              <w:rPr>
                <w:rFonts w:hint="eastAsia" w:ascii="宋体" w:hAnsi="宋体" w:eastAsia="宋体"/>
                <w:color w:val="000000" w:themeColor="text1"/>
                <w:sz w:val="21"/>
                <w:szCs w:val="21"/>
                <w:highlight w:val="yellow"/>
                <w14:textFill>
                  <w14:solidFill>
                    <w14:schemeClr w14:val="tx1"/>
                  </w14:solidFill>
                </w14:textFill>
              </w:rPr>
              <w:t>采用国产品牌8核12线程的处理器、主频不低于2.5GHz；</w:t>
            </w:r>
          </w:p>
          <w:p w14:paraId="625A3A90">
            <w:pPr>
              <w:widowControl/>
              <w:snapToGrid w:val="0"/>
              <w:spacing w:after="0" w:line="360" w:lineRule="auto"/>
              <w:textAlignment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内存≥16GB；</w:t>
            </w:r>
          </w:p>
          <w:p w14:paraId="3A8594FB">
            <w:pPr>
              <w:widowControl/>
              <w:snapToGrid w:val="0"/>
              <w:spacing w:after="0" w:line="360" w:lineRule="auto"/>
              <w:textAlignment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硬盘≥1TB SSD；</w:t>
            </w:r>
          </w:p>
          <w:p w14:paraId="31B145E3">
            <w:pPr>
              <w:widowControl/>
              <w:snapToGrid w:val="0"/>
              <w:spacing w:after="0" w:line="360" w:lineRule="auto"/>
              <w:textAlignment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显示器屏幕尺寸≥23英寸；</w:t>
            </w:r>
          </w:p>
          <w:p w14:paraId="78D2F419">
            <w:pPr>
              <w:widowControl/>
              <w:snapToGrid w:val="0"/>
              <w:spacing w:after="0" w:line="360" w:lineRule="auto"/>
              <w:textAlignment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显示器屏幕分辨率≥1920*1080；</w:t>
            </w:r>
          </w:p>
        </w:tc>
      </w:tr>
      <w:tr w14:paraId="0854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pct"/>
            <w:tcBorders>
              <w:top w:val="single" w:color="auto" w:sz="4" w:space="0"/>
              <w:left w:val="single" w:color="auto" w:sz="4" w:space="0"/>
              <w:bottom w:val="single" w:color="auto" w:sz="4" w:space="0"/>
              <w:right w:val="single" w:color="auto" w:sz="4" w:space="0"/>
            </w:tcBorders>
            <w:vAlign w:val="center"/>
          </w:tcPr>
          <w:p w14:paraId="10EB8046">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芯片要求</w:t>
            </w:r>
          </w:p>
        </w:tc>
        <w:tc>
          <w:tcPr>
            <w:tcW w:w="4131" w:type="pct"/>
            <w:tcBorders>
              <w:top w:val="single" w:color="auto" w:sz="4" w:space="0"/>
              <w:left w:val="single" w:color="auto" w:sz="4" w:space="0"/>
              <w:bottom w:val="single" w:color="auto" w:sz="4" w:space="0"/>
              <w:right w:val="single" w:color="auto" w:sz="4" w:space="0"/>
            </w:tcBorders>
          </w:tcPr>
          <w:p w14:paraId="35A4A4D8">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highlight w:val="yellow"/>
                <w14:textFill>
                  <w14:solidFill>
                    <w14:schemeClr w14:val="tx1"/>
                  </w14:solidFill>
                </w14:textFill>
              </w:rPr>
              <w:t>CPU采用</w:t>
            </w:r>
            <w:r>
              <w:rPr>
                <w:rFonts w:ascii="宋体" w:hAnsi="宋体" w:eastAsia="宋体"/>
                <w:sz w:val="21"/>
                <w:szCs w:val="21"/>
                <w:highlight w:val="yellow"/>
              </w:rPr>
              <w:t>国产芯片</w:t>
            </w:r>
          </w:p>
        </w:tc>
      </w:tr>
      <w:tr w14:paraId="54CE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9" w:type="pct"/>
            <w:tcBorders>
              <w:top w:val="single" w:color="auto" w:sz="4" w:space="0"/>
              <w:left w:val="single" w:color="auto" w:sz="4" w:space="0"/>
              <w:bottom w:val="single" w:color="auto" w:sz="4" w:space="0"/>
              <w:right w:val="single" w:color="auto" w:sz="4" w:space="0"/>
            </w:tcBorders>
            <w:vAlign w:val="center"/>
          </w:tcPr>
          <w:p w14:paraId="358E22A2">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操作系统</w:t>
            </w:r>
          </w:p>
        </w:tc>
        <w:tc>
          <w:tcPr>
            <w:tcW w:w="4131" w:type="pct"/>
            <w:tcBorders>
              <w:top w:val="single" w:color="auto" w:sz="4" w:space="0"/>
              <w:left w:val="single" w:color="auto" w:sz="4" w:space="0"/>
              <w:bottom w:val="single" w:color="auto" w:sz="4" w:space="0"/>
              <w:right w:val="single" w:color="auto" w:sz="4" w:space="0"/>
            </w:tcBorders>
          </w:tcPr>
          <w:p w14:paraId="28D37F7D">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政企版国产操作系统，提供证明材料</w:t>
            </w:r>
          </w:p>
        </w:tc>
      </w:tr>
      <w:tr w14:paraId="7A2E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9" w:type="pct"/>
            <w:tcBorders>
              <w:top w:val="single" w:color="auto" w:sz="4" w:space="0"/>
              <w:left w:val="single" w:color="auto" w:sz="4" w:space="0"/>
              <w:bottom w:val="single" w:color="auto" w:sz="4" w:space="0"/>
              <w:right w:val="single" w:color="auto" w:sz="4" w:space="0"/>
            </w:tcBorders>
            <w:vAlign w:val="center"/>
          </w:tcPr>
          <w:p w14:paraId="161E07DA">
            <w:pPr>
              <w:spacing w:after="0" w:line="24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质保要求</w:t>
            </w:r>
          </w:p>
        </w:tc>
        <w:tc>
          <w:tcPr>
            <w:tcW w:w="4131" w:type="pct"/>
            <w:tcBorders>
              <w:top w:val="single" w:color="auto" w:sz="4" w:space="0"/>
              <w:left w:val="single" w:color="auto" w:sz="4" w:space="0"/>
              <w:bottom w:val="single" w:color="auto" w:sz="4" w:space="0"/>
              <w:right w:val="single" w:color="auto" w:sz="4" w:space="0"/>
            </w:tcBorders>
          </w:tcPr>
          <w:p w14:paraId="191FF609">
            <w:pPr>
              <w:widowControl/>
              <w:snapToGrid w:val="0"/>
              <w:spacing w:after="0" w:line="360" w:lineRule="auto"/>
              <w:textAlignment w:val="center"/>
              <w:rPr>
                <w:rFonts w:hint="eastAsia"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提供</w:t>
            </w:r>
            <w:r>
              <w:rPr>
                <w:rFonts w:hint="eastAsia" w:ascii="宋体" w:hAnsi="宋体" w:eastAsia="宋体"/>
                <w:color w:val="000000" w:themeColor="text1"/>
                <w:sz w:val="21"/>
                <w:szCs w:val="21"/>
                <w14:textFill>
                  <w14:solidFill>
                    <w14:schemeClr w14:val="tx1"/>
                  </w14:solidFill>
                </w14:textFill>
              </w:rPr>
              <w:t>三年质保</w:t>
            </w:r>
            <w:r>
              <w:rPr>
                <w:rFonts w:ascii="宋体" w:hAnsi="宋体" w:eastAsia="宋体"/>
                <w:color w:val="000000" w:themeColor="text1"/>
                <w:sz w:val="21"/>
                <w:szCs w:val="21"/>
                <w14:textFill>
                  <w14:solidFill>
                    <w14:schemeClr w14:val="tx1"/>
                  </w14:solidFill>
                </w14:textFill>
              </w:rPr>
              <w:t>。</w:t>
            </w:r>
          </w:p>
        </w:tc>
      </w:tr>
    </w:tbl>
    <w:p w14:paraId="661D40E1">
      <w:pPr>
        <w:pStyle w:val="13"/>
        <w:spacing w:line="360" w:lineRule="auto"/>
        <w:rPr>
          <w:rFonts w:hint="eastAsia" w:ascii="宋体" w:hAnsi="宋体" w:eastAsia="宋体"/>
          <w:kern w:val="2"/>
          <w:sz w:val="21"/>
          <w:szCs w:val="21"/>
          <w14:ligatures w14:val="standardContextual"/>
        </w:rPr>
      </w:pPr>
    </w:p>
    <w:p w14:paraId="0B4EDD92">
      <w:pPr>
        <w:ind w:firstLine="420" w:firstLineChars="200"/>
        <w:rPr>
          <w:rFonts w:hint="eastAsia" w:ascii="宋体" w:hAnsi="宋体" w:eastAsia="宋体"/>
          <w:sz w:val="21"/>
          <w:szCs w:val="21"/>
        </w:rPr>
      </w:pPr>
      <w:r>
        <w:rPr>
          <w:rFonts w:hint="eastAsia" w:ascii="宋体" w:hAnsi="宋体" w:eastAsia="宋体"/>
          <w:sz w:val="21"/>
          <w:szCs w:val="21"/>
        </w:rPr>
        <w:t>10、网络智能管理平台</w:t>
      </w:r>
    </w:p>
    <w:tbl>
      <w:tblPr>
        <w:tblStyle w:val="22"/>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038"/>
      </w:tblGrid>
      <w:tr w14:paraId="5F21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6B96D7BE">
            <w:pPr>
              <w:spacing w:after="0" w:line="240" w:lineRule="auto"/>
              <w:jc w:val="center"/>
              <w:rPr>
                <w:rFonts w:hint="eastAsia" w:ascii="宋体" w:hAnsi="宋体" w:eastAsia="宋体"/>
                <w:sz w:val="21"/>
                <w:szCs w:val="21"/>
              </w:rPr>
            </w:pPr>
            <w:r>
              <w:rPr>
                <w:rFonts w:ascii="宋体" w:hAnsi="宋体" w:eastAsia="宋体"/>
                <w:sz w:val="21"/>
                <w:szCs w:val="21"/>
              </w:rPr>
              <w:t>指标项</w:t>
            </w:r>
          </w:p>
        </w:tc>
        <w:tc>
          <w:tcPr>
            <w:tcW w:w="4130" w:type="pct"/>
            <w:tcBorders>
              <w:top w:val="single" w:color="auto" w:sz="4" w:space="0"/>
              <w:left w:val="single" w:color="auto" w:sz="4" w:space="0"/>
              <w:bottom w:val="single" w:color="auto" w:sz="4" w:space="0"/>
              <w:right w:val="single" w:color="auto" w:sz="4" w:space="0"/>
            </w:tcBorders>
          </w:tcPr>
          <w:p w14:paraId="14DF8C96">
            <w:pPr>
              <w:spacing w:after="0" w:line="240" w:lineRule="auto"/>
              <w:jc w:val="center"/>
              <w:rPr>
                <w:rFonts w:hint="eastAsia" w:ascii="宋体" w:hAnsi="宋体" w:eastAsia="宋体"/>
                <w:sz w:val="21"/>
                <w:szCs w:val="21"/>
              </w:rPr>
            </w:pPr>
            <w:r>
              <w:rPr>
                <w:rFonts w:ascii="宋体" w:hAnsi="宋体" w:eastAsia="宋体"/>
                <w:sz w:val="21"/>
                <w:szCs w:val="21"/>
              </w:rPr>
              <w:t>详细要求</w:t>
            </w:r>
          </w:p>
        </w:tc>
      </w:tr>
      <w:tr w14:paraId="0880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tcPr>
          <w:p w14:paraId="13096F70">
            <w:pPr>
              <w:spacing w:after="0" w:line="240" w:lineRule="auto"/>
              <w:jc w:val="center"/>
              <w:rPr>
                <w:rFonts w:hint="eastAsia" w:ascii="宋体" w:hAnsi="宋体" w:eastAsia="宋体"/>
                <w:sz w:val="21"/>
                <w:szCs w:val="21"/>
              </w:rPr>
            </w:pPr>
            <w:r>
              <w:rPr>
                <w:rFonts w:hint="eastAsia" w:ascii="宋体" w:hAnsi="宋体" w:eastAsia="宋体"/>
                <w:sz w:val="21"/>
                <w:szCs w:val="21"/>
              </w:rPr>
              <w:t>性能规格</w:t>
            </w:r>
          </w:p>
        </w:tc>
        <w:tc>
          <w:tcPr>
            <w:tcW w:w="4130" w:type="pct"/>
            <w:tcBorders>
              <w:top w:val="single" w:color="auto" w:sz="4" w:space="0"/>
              <w:left w:val="single" w:color="auto" w:sz="4" w:space="0"/>
              <w:bottom w:val="single" w:color="auto" w:sz="4" w:space="0"/>
              <w:right w:val="single" w:color="auto" w:sz="4" w:space="0"/>
            </w:tcBorders>
          </w:tcPr>
          <w:p w14:paraId="0CCF2095">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要求资源拓扑、告警、性能等功能组件，支持多服务器负载分担部署，保证各网管组件性能；</w:t>
            </w:r>
          </w:p>
          <w:p w14:paraId="6C04E5F0">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支持Windows、Linux平台、麒麟等国产操作系统，及MS SQL、Oracle、达梦等数据库，支持B/S架构。</w:t>
            </w:r>
          </w:p>
          <w:p w14:paraId="12F6289E">
            <w:pPr>
              <w:widowControl/>
              <w:snapToGrid w:val="0"/>
              <w:spacing w:after="0" w:line="360" w:lineRule="auto"/>
              <w:textAlignment w:val="center"/>
              <w:rPr>
                <w:rFonts w:hint="eastAsia" w:ascii="宋体" w:hAnsi="宋体" w:eastAsia="宋体"/>
                <w:color w:val="EE0000"/>
                <w:sz w:val="21"/>
                <w:szCs w:val="21"/>
              </w:rPr>
            </w:pPr>
            <w:r>
              <w:rPr>
                <w:rFonts w:hint="eastAsia" w:ascii="宋体" w:hAnsi="宋体" w:eastAsia="宋体"/>
                <w:sz w:val="21"/>
                <w:szCs w:val="21"/>
              </w:rPr>
              <w:t>提供官网公开的安装手册、软件安装包的链接及截图</w:t>
            </w:r>
          </w:p>
        </w:tc>
      </w:tr>
      <w:tr w14:paraId="5E86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0" w:type="pct"/>
            <w:tcBorders>
              <w:top w:val="single" w:color="auto" w:sz="4" w:space="0"/>
              <w:left w:val="single" w:color="auto" w:sz="4" w:space="0"/>
              <w:bottom w:val="single" w:color="auto" w:sz="4" w:space="0"/>
              <w:right w:val="single" w:color="auto" w:sz="4" w:space="0"/>
            </w:tcBorders>
            <w:vAlign w:val="center"/>
          </w:tcPr>
          <w:p w14:paraId="566114CD">
            <w:pPr>
              <w:spacing w:after="0" w:line="240" w:lineRule="auto"/>
              <w:rPr>
                <w:rFonts w:hint="eastAsia" w:ascii="宋体" w:hAnsi="宋体" w:eastAsia="宋体"/>
                <w:sz w:val="21"/>
                <w:szCs w:val="21"/>
              </w:rPr>
            </w:pPr>
            <w:r>
              <w:rPr>
                <w:rFonts w:hint="eastAsia" w:ascii="宋体" w:hAnsi="宋体" w:eastAsia="宋体"/>
                <w:sz w:val="21"/>
                <w:szCs w:val="21"/>
              </w:rPr>
              <w:t>芯片要求</w:t>
            </w:r>
          </w:p>
        </w:tc>
        <w:tc>
          <w:tcPr>
            <w:tcW w:w="4130" w:type="pct"/>
            <w:tcBorders>
              <w:top w:val="single" w:color="auto" w:sz="4" w:space="0"/>
              <w:left w:val="single" w:color="auto" w:sz="4" w:space="0"/>
              <w:bottom w:val="single" w:color="auto" w:sz="4" w:space="0"/>
              <w:right w:val="single" w:color="auto" w:sz="4" w:space="0"/>
            </w:tcBorders>
          </w:tcPr>
          <w:p w14:paraId="6567E9F1">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highlight w:val="yellow"/>
              </w:rPr>
              <w:t>CPU采用</w:t>
            </w:r>
            <w:r>
              <w:rPr>
                <w:rFonts w:ascii="宋体" w:hAnsi="宋体" w:eastAsia="宋体"/>
                <w:sz w:val="21"/>
                <w:szCs w:val="21"/>
                <w:highlight w:val="yellow"/>
              </w:rPr>
              <w:t>国产芯片</w:t>
            </w:r>
          </w:p>
        </w:tc>
      </w:tr>
      <w:tr w14:paraId="5399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pct"/>
            <w:tcBorders>
              <w:top w:val="single" w:color="auto" w:sz="4" w:space="0"/>
              <w:left w:val="single" w:color="auto" w:sz="4" w:space="0"/>
              <w:bottom w:val="single" w:color="auto" w:sz="4" w:space="0"/>
              <w:right w:val="single" w:color="auto" w:sz="4" w:space="0"/>
            </w:tcBorders>
            <w:vAlign w:val="center"/>
          </w:tcPr>
          <w:p w14:paraId="30AADCB2">
            <w:pPr>
              <w:spacing w:after="0" w:line="240" w:lineRule="auto"/>
              <w:rPr>
                <w:rFonts w:hint="eastAsia" w:ascii="宋体" w:hAnsi="宋体" w:eastAsia="宋体"/>
                <w:sz w:val="21"/>
                <w:szCs w:val="21"/>
              </w:rPr>
            </w:pPr>
            <w:r>
              <w:rPr>
                <w:rFonts w:hint="eastAsia" w:ascii="宋体" w:hAnsi="宋体" w:eastAsia="宋体"/>
                <w:sz w:val="21"/>
                <w:szCs w:val="21"/>
              </w:rPr>
              <w:t>操作系统</w:t>
            </w:r>
          </w:p>
        </w:tc>
        <w:tc>
          <w:tcPr>
            <w:tcW w:w="4130" w:type="pct"/>
            <w:tcBorders>
              <w:top w:val="single" w:color="auto" w:sz="4" w:space="0"/>
              <w:left w:val="single" w:color="auto" w:sz="4" w:space="0"/>
              <w:bottom w:val="single" w:color="auto" w:sz="4" w:space="0"/>
              <w:right w:val="single" w:color="auto" w:sz="4" w:space="0"/>
            </w:tcBorders>
          </w:tcPr>
          <w:p w14:paraId="25E16983">
            <w:pPr>
              <w:widowControl/>
              <w:snapToGrid w:val="0"/>
              <w:spacing w:after="0" w:line="360" w:lineRule="auto"/>
              <w:textAlignment w:val="center"/>
              <w:rPr>
                <w:rFonts w:hint="eastAsia" w:ascii="宋体" w:hAnsi="宋体" w:eastAsia="宋体"/>
                <w:sz w:val="21"/>
                <w:szCs w:val="21"/>
                <w:highlight w:val="yellow"/>
              </w:rPr>
            </w:pPr>
            <w:r>
              <w:rPr>
                <w:rFonts w:hint="eastAsia" w:ascii="宋体" w:hAnsi="宋体" w:eastAsia="宋体"/>
                <w:sz w:val="21"/>
                <w:szCs w:val="21"/>
                <w:highlight w:val="yellow"/>
              </w:rPr>
              <w:t>国产操作系统</w:t>
            </w:r>
          </w:p>
        </w:tc>
      </w:tr>
      <w:tr w14:paraId="697E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6F55410A">
            <w:pPr>
              <w:spacing w:after="0" w:line="240" w:lineRule="auto"/>
              <w:rPr>
                <w:rFonts w:hint="eastAsia" w:ascii="宋体" w:hAnsi="宋体" w:eastAsia="宋体"/>
                <w:sz w:val="21"/>
                <w:szCs w:val="21"/>
              </w:rPr>
            </w:pPr>
            <w:r>
              <w:rPr>
                <w:rFonts w:ascii="宋体" w:hAnsi="宋体" w:eastAsia="宋体"/>
                <w:sz w:val="21"/>
                <w:szCs w:val="21"/>
              </w:rPr>
              <w:t>实配要求</w:t>
            </w:r>
          </w:p>
        </w:tc>
        <w:tc>
          <w:tcPr>
            <w:tcW w:w="4130" w:type="pct"/>
            <w:tcBorders>
              <w:top w:val="single" w:color="auto" w:sz="4" w:space="0"/>
              <w:left w:val="single" w:color="auto" w:sz="4" w:space="0"/>
              <w:bottom w:val="single" w:color="auto" w:sz="4" w:space="0"/>
              <w:right w:val="single" w:color="auto" w:sz="4" w:space="0"/>
            </w:tcBorders>
          </w:tcPr>
          <w:p w14:paraId="34AD004A">
            <w:pPr>
              <w:spacing w:after="0" w:line="240" w:lineRule="auto"/>
              <w:rPr>
                <w:rFonts w:hint="eastAsia" w:ascii="宋体" w:hAnsi="宋体" w:eastAsia="宋体"/>
                <w:sz w:val="21"/>
                <w:szCs w:val="21"/>
              </w:rPr>
            </w:pPr>
            <w:r>
              <w:rPr>
                <w:rFonts w:hint="eastAsia" w:ascii="宋体" w:hAnsi="宋体" w:eastAsia="宋体"/>
                <w:sz w:val="21"/>
                <w:szCs w:val="21"/>
              </w:rPr>
              <w:t>外观尺寸：</w:t>
            </w:r>
            <w:r>
              <w:rPr>
                <w:rFonts w:hint="eastAsia" w:ascii="宋体" w:hAnsi="宋体" w:eastAsia="宋体"/>
                <w:color w:val="auto"/>
                <w:sz w:val="21"/>
                <w:szCs w:val="21"/>
              </w:rPr>
              <w:t>2U机架式</w:t>
            </w:r>
          </w:p>
          <w:p w14:paraId="6BF0E0D6">
            <w:pPr>
              <w:spacing w:after="0" w:line="240" w:lineRule="auto"/>
              <w:rPr>
                <w:rFonts w:hint="eastAsia" w:ascii="宋体" w:hAnsi="宋体" w:eastAsia="宋体"/>
                <w:sz w:val="21"/>
                <w:szCs w:val="21"/>
              </w:rPr>
            </w:pPr>
            <w:r>
              <w:rPr>
                <w:rFonts w:hint="eastAsia" w:ascii="宋体" w:hAnsi="宋体" w:eastAsia="宋体" w:cs="宋体"/>
                <w:sz w:val="21"/>
                <w:szCs w:val="21"/>
                <w:highlight w:val="yellow"/>
              </w:rPr>
              <w:t>▲</w:t>
            </w:r>
            <w:r>
              <w:rPr>
                <w:rFonts w:hint="eastAsia" w:ascii="宋体" w:hAnsi="宋体" w:eastAsia="宋体"/>
                <w:sz w:val="21"/>
                <w:szCs w:val="21"/>
                <w:highlight w:val="yellow"/>
              </w:rPr>
              <w:t>采用国产品牌16核</w:t>
            </w:r>
            <w:r>
              <w:rPr>
                <w:rFonts w:hint="eastAsia" w:ascii="宋体" w:hAnsi="宋体" w:eastAsia="宋体"/>
                <w:color w:val="FF0000"/>
                <w:sz w:val="21"/>
                <w:szCs w:val="21"/>
                <w:highlight w:val="yellow"/>
              </w:rPr>
              <w:t>32线程的处理器</w:t>
            </w:r>
            <w:r>
              <w:rPr>
                <w:rFonts w:hint="eastAsia" w:ascii="宋体" w:hAnsi="宋体" w:eastAsia="宋体"/>
                <w:sz w:val="21"/>
                <w:szCs w:val="21"/>
                <w:highlight w:val="yellow"/>
              </w:rPr>
              <w:t>，主频不低于2.5GHz；</w:t>
            </w:r>
          </w:p>
          <w:p w14:paraId="12EE564D">
            <w:pPr>
              <w:spacing w:after="0" w:line="240" w:lineRule="auto"/>
              <w:rPr>
                <w:rFonts w:hint="eastAsia" w:ascii="宋体" w:hAnsi="宋体" w:eastAsia="宋体"/>
                <w:sz w:val="21"/>
                <w:szCs w:val="21"/>
              </w:rPr>
            </w:pPr>
            <w:r>
              <w:rPr>
                <w:rFonts w:hint="eastAsia" w:ascii="宋体" w:hAnsi="宋体" w:eastAsia="宋体"/>
                <w:sz w:val="21"/>
                <w:szCs w:val="21"/>
              </w:rPr>
              <w:t>内存≥32GB；</w:t>
            </w:r>
          </w:p>
          <w:p w14:paraId="5C717275">
            <w:pPr>
              <w:spacing w:after="0" w:line="240" w:lineRule="auto"/>
              <w:rPr>
                <w:rFonts w:hint="eastAsia" w:ascii="宋体" w:hAnsi="宋体" w:eastAsia="宋体"/>
                <w:sz w:val="21"/>
                <w:szCs w:val="21"/>
              </w:rPr>
            </w:pPr>
            <w:r>
              <w:rPr>
                <w:rFonts w:hint="eastAsia" w:ascii="宋体" w:hAnsi="宋体" w:eastAsia="宋体"/>
                <w:sz w:val="21"/>
                <w:szCs w:val="21"/>
              </w:rPr>
              <w:t>硬盘：系统盘≥480GB 2块  数据盘≥1.2TB 2块；</w:t>
            </w:r>
          </w:p>
          <w:p w14:paraId="0740CBF9">
            <w:pPr>
              <w:spacing w:after="0" w:line="240" w:lineRule="auto"/>
              <w:rPr>
                <w:rFonts w:hint="eastAsia" w:ascii="宋体" w:hAnsi="宋体" w:eastAsia="宋体"/>
                <w:sz w:val="21"/>
                <w:szCs w:val="21"/>
              </w:rPr>
            </w:pPr>
            <w:r>
              <w:rPr>
                <w:rFonts w:hint="eastAsia" w:ascii="宋体" w:hAnsi="宋体" w:eastAsia="宋体"/>
                <w:sz w:val="21"/>
                <w:szCs w:val="21"/>
              </w:rPr>
              <w:t>磁盘阵列卡：支持RAID 0125；</w:t>
            </w:r>
          </w:p>
          <w:p w14:paraId="5BDDBE49">
            <w:pPr>
              <w:spacing w:after="0" w:line="240" w:lineRule="auto"/>
              <w:rPr>
                <w:rFonts w:hint="eastAsia" w:ascii="宋体" w:hAnsi="宋体" w:eastAsia="宋体"/>
                <w:sz w:val="21"/>
                <w:szCs w:val="21"/>
              </w:rPr>
            </w:pPr>
            <w:r>
              <w:rPr>
                <w:rFonts w:hint="eastAsia" w:ascii="宋体" w:hAnsi="宋体" w:eastAsia="宋体"/>
                <w:sz w:val="21"/>
                <w:szCs w:val="21"/>
              </w:rPr>
              <w:t>网卡：4千兆电口+2万兆光口；</w:t>
            </w:r>
          </w:p>
          <w:p w14:paraId="64D9E483">
            <w:pPr>
              <w:spacing w:after="0" w:line="240" w:lineRule="auto"/>
              <w:rPr>
                <w:rFonts w:hint="eastAsia" w:ascii="宋体" w:hAnsi="宋体" w:eastAsia="宋体"/>
                <w:sz w:val="21"/>
                <w:szCs w:val="21"/>
              </w:rPr>
            </w:pPr>
            <w:r>
              <w:rPr>
                <w:rFonts w:hint="eastAsia" w:ascii="宋体" w:hAnsi="宋体" w:eastAsia="宋体"/>
                <w:sz w:val="21"/>
                <w:szCs w:val="21"/>
              </w:rPr>
              <w:t>电源：冗余电源 800W*2。</w:t>
            </w:r>
          </w:p>
          <w:p w14:paraId="1620684F">
            <w:pPr>
              <w:spacing w:after="0" w:line="240" w:lineRule="auto"/>
              <w:rPr>
                <w:rFonts w:hint="eastAsia" w:ascii="宋体" w:hAnsi="宋体" w:eastAsia="宋体"/>
                <w:sz w:val="21"/>
                <w:szCs w:val="21"/>
              </w:rPr>
            </w:pPr>
            <w:r>
              <w:rPr>
                <w:rFonts w:hint="eastAsia" w:ascii="宋体" w:hAnsi="宋体" w:eastAsia="宋体"/>
                <w:sz w:val="21"/>
                <w:szCs w:val="21"/>
              </w:rPr>
              <w:t>节点授权要求：有线网络设备节点数量≥100</w:t>
            </w:r>
          </w:p>
          <w:p w14:paraId="744E55B2">
            <w:pPr>
              <w:spacing w:after="0" w:line="240" w:lineRule="auto"/>
              <w:ind w:firstLine="1470" w:firstLineChars="700"/>
              <w:rPr>
                <w:rFonts w:hint="eastAsia" w:ascii="宋体" w:hAnsi="宋体" w:eastAsia="宋体"/>
                <w:sz w:val="21"/>
                <w:szCs w:val="21"/>
              </w:rPr>
            </w:pPr>
            <w:r>
              <w:rPr>
                <w:rFonts w:hint="eastAsia" w:ascii="宋体" w:hAnsi="宋体" w:eastAsia="宋体"/>
                <w:sz w:val="21"/>
                <w:szCs w:val="21"/>
              </w:rPr>
              <w:t>无线网络设备节点数量≥200</w:t>
            </w:r>
          </w:p>
          <w:p w14:paraId="7C3A73F0">
            <w:pPr>
              <w:spacing w:after="0" w:line="240" w:lineRule="auto"/>
              <w:ind w:firstLine="1470" w:firstLineChars="700"/>
              <w:rPr>
                <w:rFonts w:hint="eastAsia" w:ascii="宋体" w:hAnsi="宋体" w:eastAsia="宋体"/>
                <w:sz w:val="21"/>
                <w:szCs w:val="21"/>
              </w:rPr>
            </w:pPr>
            <w:r>
              <w:rPr>
                <w:rFonts w:hint="eastAsia" w:ascii="宋体" w:hAnsi="宋体" w:eastAsia="宋体"/>
                <w:sz w:val="21"/>
                <w:szCs w:val="21"/>
              </w:rPr>
              <w:t>用户认证数量≥500。</w:t>
            </w:r>
          </w:p>
        </w:tc>
      </w:tr>
      <w:tr w14:paraId="0355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3E0497F5">
            <w:pPr>
              <w:spacing w:after="0" w:line="240" w:lineRule="auto"/>
              <w:rPr>
                <w:rFonts w:hint="eastAsia" w:ascii="宋体" w:hAnsi="宋体" w:eastAsia="宋体"/>
                <w:sz w:val="21"/>
                <w:szCs w:val="21"/>
              </w:rPr>
            </w:pPr>
            <w:r>
              <w:rPr>
                <w:rFonts w:hint="eastAsia" w:ascii="宋体" w:hAnsi="宋体" w:eastAsia="宋体"/>
                <w:sz w:val="21"/>
                <w:szCs w:val="21"/>
              </w:rPr>
              <w:t>功能要求</w:t>
            </w:r>
          </w:p>
        </w:tc>
        <w:tc>
          <w:tcPr>
            <w:tcW w:w="4130" w:type="pct"/>
            <w:tcBorders>
              <w:top w:val="single" w:color="auto" w:sz="4" w:space="0"/>
              <w:left w:val="single" w:color="auto" w:sz="4" w:space="0"/>
              <w:bottom w:val="single" w:color="auto" w:sz="4" w:space="0"/>
              <w:right w:val="single" w:color="auto" w:sz="4" w:space="0"/>
            </w:tcBorders>
          </w:tcPr>
          <w:p w14:paraId="5146548A">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具备自动发现网络中所有网络设备，并在拓扑中自动显示；</w:t>
            </w:r>
          </w:p>
          <w:p w14:paraId="1226175D">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具有对</w:t>
            </w:r>
            <w:r>
              <w:rPr>
                <w:rFonts w:hint="eastAsia" w:ascii="宋体" w:hAnsi="宋体" w:eastAsia="宋体"/>
                <w:sz w:val="21"/>
                <w:szCs w:val="21"/>
              </w:rPr>
              <w:t>全网</w:t>
            </w:r>
            <w:r>
              <w:rPr>
                <w:rFonts w:ascii="宋体" w:hAnsi="宋体" w:eastAsia="宋体"/>
                <w:sz w:val="21"/>
                <w:szCs w:val="21"/>
              </w:rPr>
              <w:t>设备告警的实时监控和统一浏览；支持多种提醒方式，如告警实时提醒（告警板）、告警音响提示；支持多种转发方式，比如转E-mail，转短信，转上级网管或其它网管等。支持告警分析，可以屏蔽重复告警、闪断告警，支持告警自动确认功能；</w:t>
            </w:r>
          </w:p>
          <w:p w14:paraId="5A5B0D78">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具备基于任务的性能监控，可定制监控任务，长期监控网络性能，可以形成日报、周报、月报等报表。支持定制性能阈值，可以为监控的性能指标设置两级阈值，当性能指标超过阈值时根据不同的阈值发送不同级别的告警。</w:t>
            </w:r>
          </w:p>
          <w:p w14:paraId="7220A7C1">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具备设备面板的显示、定时刷新、面板缩放功能，通过面板管理，网络管理人员可以直观地看到设备、板卡、端口的工作状态；并提供基于设备面板的设备、单板、端口配置功能。</w:t>
            </w:r>
          </w:p>
          <w:p w14:paraId="69D09E48">
            <w:pPr>
              <w:widowControl/>
              <w:snapToGrid w:val="0"/>
              <w:spacing w:after="0" w:line="360" w:lineRule="auto"/>
              <w:textAlignment w:val="center"/>
              <w:rPr>
                <w:rFonts w:hint="eastAsia" w:ascii="宋体" w:hAnsi="宋体" w:eastAsia="宋体"/>
                <w:sz w:val="21"/>
                <w:szCs w:val="21"/>
              </w:rPr>
            </w:pPr>
            <w:r>
              <w:rPr>
                <w:rFonts w:hint="eastAsia" w:ascii="宋体" w:hAnsi="宋体" w:eastAsia="宋体"/>
                <w:sz w:val="21"/>
                <w:szCs w:val="21"/>
              </w:rPr>
              <w:t>具备用户分权管理，</w:t>
            </w:r>
            <w:r>
              <w:rPr>
                <w:rFonts w:ascii="宋体" w:hAnsi="宋体" w:eastAsia="宋体"/>
                <w:sz w:val="21"/>
                <w:szCs w:val="21"/>
              </w:rPr>
              <w:t>为不同的管理员设置不同的用户名、密码，并限制管理员的管理权限和管理范围</w:t>
            </w:r>
            <w:r>
              <w:rPr>
                <w:rFonts w:hint="eastAsia" w:ascii="宋体" w:hAnsi="宋体" w:eastAsia="宋体"/>
                <w:sz w:val="21"/>
                <w:szCs w:val="21"/>
              </w:rPr>
              <w:t>。</w:t>
            </w:r>
          </w:p>
        </w:tc>
      </w:tr>
      <w:tr w14:paraId="038F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pct"/>
            <w:tcBorders>
              <w:top w:val="single" w:color="auto" w:sz="4" w:space="0"/>
              <w:left w:val="single" w:color="auto" w:sz="4" w:space="0"/>
              <w:bottom w:val="single" w:color="auto" w:sz="4" w:space="0"/>
              <w:right w:val="single" w:color="auto" w:sz="4" w:space="0"/>
            </w:tcBorders>
            <w:vAlign w:val="center"/>
          </w:tcPr>
          <w:p w14:paraId="7455A04D">
            <w:pPr>
              <w:spacing w:after="0" w:line="240" w:lineRule="auto"/>
              <w:rPr>
                <w:rFonts w:hint="eastAsia" w:ascii="宋体" w:hAnsi="宋体" w:eastAsia="宋体"/>
                <w:sz w:val="21"/>
                <w:szCs w:val="21"/>
              </w:rPr>
            </w:pPr>
            <w:r>
              <w:rPr>
                <w:rFonts w:hint="eastAsia" w:ascii="宋体" w:hAnsi="宋体" w:eastAsia="宋体"/>
                <w:sz w:val="21"/>
                <w:szCs w:val="21"/>
              </w:rPr>
              <w:t>质保要求</w:t>
            </w:r>
          </w:p>
        </w:tc>
        <w:tc>
          <w:tcPr>
            <w:tcW w:w="4130" w:type="pct"/>
            <w:tcBorders>
              <w:top w:val="single" w:color="auto" w:sz="4" w:space="0"/>
              <w:left w:val="single" w:color="auto" w:sz="4" w:space="0"/>
              <w:bottom w:val="single" w:color="auto" w:sz="4" w:space="0"/>
              <w:right w:val="single" w:color="auto" w:sz="4" w:space="0"/>
            </w:tcBorders>
          </w:tcPr>
          <w:p w14:paraId="13F39B0B">
            <w:pPr>
              <w:widowControl/>
              <w:snapToGrid w:val="0"/>
              <w:spacing w:after="0" w:line="360" w:lineRule="auto"/>
              <w:textAlignment w:val="center"/>
              <w:rPr>
                <w:rFonts w:hint="eastAsia" w:ascii="宋体" w:hAnsi="宋体" w:eastAsia="宋体"/>
                <w:sz w:val="21"/>
                <w:szCs w:val="21"/>
              </w:rPr>
            </w:pPr>
            <w:r>
              <w:rPr>
                <w:rFonts w:ascii="宋体" w:hAnsi="宋体" w:eastAsia="宋体"/>
                <w:sz w:val="21"/>
                <w:szCs w:val="21"/>
              </w:rPr>
              <w:t>提供三年原厂硬件维保和软件版本升级服务。</w:t>
            </w:r>
          </w:p>
        </w:tc>
      </w:tr>
    </w:tbl>
    <w:p w14:paraId="3D3E4D97">
      <w:pPr>
        <w:pStyle w:val="17"/>
        <w:rPr>
          <w:rFonts w:hint="eastAsia"/>
        </w:rPr>
      </w:pPr>
    </w:p>
    <w:p w14:paraId="1A3369F5">
      <w:pPr>
        <w:pStyle w:val="38"/>
        <w:numPr>
          <w:ilvl w:val="0"/>
          <w:numId w:val="2"/>
        </w:numPr>
        <w:rPr>
          <w:rFonts w:hint="eastAsia" w:ascii="宋体" w:hAnsi="宋体" w:eastAsia="宋体"/>
          <w:sz w:val="21"/>
          <w:szCs w:val="21"/>
        </w:rPr>
      </w:pPr>
      <w:r>
        <w:rPr>
          <w:rFonts w:hint="eastAsia" w:ascii="宋体" w:hAnsi="宋体" w:eastAsia="宋体"/>
          <w:sz w:val="21"/>
          <w:szCs w:val="21"/>
        </w:rPr>
        <w:t>集成改造服务</w:t>
      </w:r>
    </w:p>
    <w:p w14:paraId="41749626">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1、省级接入区网络集成、设备迁移及线路割接服务</w:t>
      </w:r>
    </w:p>
    <w:p w14:paraId="30B107D9">
      <w:pPr>
        <w:pStyle w:val="13"/>
        <w:spacing w:line="360" w:lineRule="auto"/>
        <w:ind w:firstLine="420" w:firstLineChars="200"/>
        <w:rPr>
          <w:rFonts w:hint="eastAsia" w:ascii="宋体" w:hAnsi="宋体" w:eastAsia="宋体"/>
          <w:color w:val="auto"/>
          <w:kern w:val="2"/>
          <w:sz w:val="21"/>
          <w:szCs w:val="21"/>
          <w14:ligatures w14:val="standardContextual"/>
        </w:rPr>
      </w:pPr>
      <w:r>
        <w:rPr>
          <w:rFonts w:hint="eastAsia" w:ascii="宋体" w:hAnsi="宋体" w:eastAsia="宋体"/>
          <w:color w:val="auto"/>
          <w:kern w:val="2"/>
          <w:sz w:val="21"/>
          <w:szCs w:val="21"/>
          <w14:ligatures w14:val="standardContextual"/>
        </w:rPr>
        <w:t>根据</w:t>
      </w:r>
      <w:r>
        <w:rPr>
          <w:rFonts w:hint="eastAsia" w:ascii="宋体" w:hAnsi="宋体" w:eastAsia="宋体"/>
          <w:color w:val="auto"/>
          <w:sz w:val="21"/>
          <w:szCs w:val="21"/>
        </w:rPr>
        <w:t>《中福彩中心关于开展信息基础设施优化改造有关工作的通知》（中彩发字〔2025〕103号）相关要求</w:t>
      </w:r>
      <w:r>
        <w:rPr>
          <w:rFonts w:hint="eastAsia" w:ascii="宋体" w:hAnsi="宋体" w:eastAsia="宋体"/>
          <w:color w:val="auto"/>
          <w:kern w:val="2"/>
          <w:sz w:val="21"/>
          <w:szCs w:val="21"/>
          <w14:ligatures w14:val="standardContextual"/>
        </w:rPr>
        <w:t>，具体工作内容如下：</w:t>
      </w:r>
    </w:p>
    <w:p w14:paraId="1286D3B8">
      <w:pPr>
        <w:pStyle w:val="13"/>
        <w:spacing w:line="360" w:lineRule="auto"/>
        <w:ind w:firstLine="420" w:firstLineChars="200"/>
        <w:rPr>
          <w:rFonts w:hint="eastAsia" w:ascii="宋体" w:hAnsi="宋体" w:eastAsia="宋体"/>
          <w:color w:val="auto"/>
          <w:kern w:val="2"/>
          <w:sz w:val="21"/>
          <w:szCs w:val="21"/>
          <w14:ligatures w14:val="standardContextual"/>
        </w:rPr>
      </w:pPr>
      <w:r>
        <w:rPr>
          <w:rFonts w:hint="eastAsia" w:ascii="宋体" w:hAnsi="宋体" w:eastAsia="宋体"/>
          <w:color w:val="auto"/>
          <w:kern w:val="2"/>
          <w:sz w:val="21"/>
          <w:szCs w:val="21"/>
          <w14:ligatures w14:val="standardContextual"/>
        </w:rPr>
        <w:t>（1）省防火墙下线，</w:t>
      </w:r>
      <w:r>
        <w:rPr>
          <w:rFonts w:ascii="宋体" w:hAnsi="宋体" w:eastAsia="宋体"/>
          <w:color w:val="auto"/>
          <w:kern w:val="2"/>
          <w:sz w:val="21"/>
          <w:szCs w:val="21"/>
          <w14:ligatures w14:val="standardContextual"/>
        </w:rPr>
        <w:t>在省级福彩中心端安全拆除省防火墙，消除单点故障隐患。</w:t>
      </w:r>
      <w:r>
        <w:rPr>
          <w:rFonts w:hint="eastAsia" w:ascii="宋体" w:hAnsi="宋体" w:eastAsia="宋体"/>
          <w:color w:val="auto"/>
          <w:kern w:val="2"/>
          <w:sz w:val="21"/>
          <w:szCs w:val="21"/>
          <w14:ligatures w14:val="standardContextual"/>
        </w:rPr>
        <w:t>①配合中福彩中心完成防护墙切换及业务验证工作；②</w:t>
      </w:r>
      <w:r>
        <w:rPr>
          <w:rFonts w:ascii="宋体" w:hAnsi="宋体" w:eastAsia="宋体"/>
          <w:color w:val="auto"/>
          <w:kern w:val="2"/>
          <w:sz w:val="21"/>
          <w:szCs w:val="21"/>
          <w14:ligatures w14:val="standardContextual"/>
        </w:rPr>
        <w:t>执行本省防火墙下线操作。</w:t>
      </w:r>
    </w:p>
    <w:p w14:paraId="5975030C">
      <w:pPr>
        <w:pStyle w:val="13"/>
        <w:spacing w:line="360" w:lineRule="auto"/>
        <w:ind w:firstLine="420" w:firstLineChars="200"/>
        <w:rPr>
          <w:rFonts w:hint="eastAsia" w:ascii="宋体" w:hAnsi="宋体" w:eastAsia="宋体"/>
          <w:color w:val="auto"/>
          <w:kern w:val="2"/>
          <w:sz w:val="21"/>
          <w:szCs w:val="21"/>
          <w14:ligatures w14:val="standardContextual"/>
        </w:rPr>
      </w:pPr>
      <w:r>
        <w:rPr>
          <w:rFonts w:hint="eastAsia" w:ascii="宋体" w:hAnsi="宋体" w:eastAsia="宋体"/>
          <w:color w:val="auto"/>
          <w:kern w:val="2"/>
          <w:sz w:val="21"/>
          <w:szCs w:val="21"/>
          <w14:ligatures w14:val="standardContextual"/>
        </w:rPr>
        <w:t>（2）</w:t>
      </w:r>
      <w:r>
        <w:rPr>
          <w:rFonts w:ascii="宋体" w:hAnsi="宋体" w:eastAsia="宋体"/>
          <w:color w:val="auto"/>
          <w:kern w:val="2"/>
          <w:sz w:val="21"/>
          <w:szCs w:val="21"/>
          <w14:ligatures w14:val="standardContextual"/>
        </w:rPr>
        <w:t>省承载网接入区交换机接入架构优化</w:t>
      </w:r>
      <w:r>
        <w:rPr>
          <w:rFonts w:hint="eastAsia" w:ascii="宋体" w:hAnsi="宋体" w:eastAsia="宋体"/>
          <w:color w:val="auto"/>
          <w:kern w:val="2"/>
          <w:sz w:val="21"/>
          <w:szCs w:val="21"/>
          <w14:ligatures w14:val="standardContextual"/>
        </w:rPr>
        <w:t>。①采用</w:t>
      </w:r>
      <w:r>
        <w:rPr>
          <w:rFonts w:ascii="宋体" w:hAnsi="宋体" w:eastAsia="宋体"/>
          <w:color w:val="auto"/>
          <w:kern w:val="2"/>
          <w:sz w:val="21"/>
          <w:szCs w:val="21"/>
          <w14:ligatures w14:val="standardContextual"/>
        </w:rPr>
        <w:t>双数据中心接入架构</w:t>
      </w:r>
      <w:r>
        <w:rPr>
          <w:rFonts w:hint="eastAsia" w:ascii="宋体" w:hAnsi="宋体" w:eastAsia="宋体"/>
          <w:color w:val="auto"/>
          <w:kern w:val="2"/>
          <w:sz w:val="21"/>
          <w:szCs w:val="21"/>
          <w14:ligatures w14:val="standardContextual"/>
        </w:rPr>
        <w:t>共需部署</w:t>
      </w:r>
      <w:r>
        <w:rPr>
          <w:rFonts w:ascii="宋体" w:hAnsi="宋体" w:eastAsia="宋体"/>
          <w:color w:val="auto"/>
          <w:kern w:val="2"/>
          <w:sz w:val="21"/>
          <w:szCs w:val="21"/>
          <w14:ligatures w14:val="standardContextual"/>
        </w:rPr>
        <w:t>5台省交换机，其中4台用于生产业务，1台用于办公业务</w:t>
      </w:r>
      <w:r>
        <w:rPr>
          <w:rFonts w:hint="eastAsia" w:ascii="宋体" w:hAnsi="宋体" w:eastAsia="宋体"/>
          <w:color w:val="auto"/>
          <w:kern w:val="2"/>
          <w:sz w:val="21"/>
          <w:szCs w:val="21"/>
          <w14:ligatures w14:val="standardContextual"/>
        </w:rPr>
        <w:t>；②消除</w:t>
      </w:r>
      <w:r>
        <w:rPr>
          <w:rFonts w:ascii="宋体" w:hAnsi="宋体" w:eastAsia="宋体"/>
          <w:color w:val="auto"/>
          <w:kern w:val="2"/>
          <w:sz w:val="21"/>
          <w:szCs w:val="21"/>
          <w14:ligatures w14:val="standardContextual"/>
        </w:rPr>
        <w:t>交换机单点风险，实现设备级冗余</w:t>
      </w:r>
      <w:r>
        <w:rPr>
          <w:rFonts w:hint="eastAsia" w:ascii="宋体" w:hAnsi="宋体" w:eastAsia="宋体"/>
          <w:color w:val="auto"/>
          <w:kern w:val="2"/>
          <w:sz w:val="21"/>
          <w:szCs w:val="21"/>
          <w14:ligatures w14:val="standardContextual"/>
        </w:rPr>
        <w:t>（</w:t>
      </w:r>
      <w:r>
        <w:rPr>
          <w:rFonts w:ascii="宋体" w:hAnsi="宋体" w:eastAsia="宋体"/>
          <w:color w:val="auto"/>
          <w:kern w:val="2"/>
          <w:sz w:val="21"/>
          <w:szCs w:val="21"/>
          <w14:ligatures w14:val="standardContextual"/>
        </w:rPr>
        <w:t>如堆叠/集群）与 链路级冗余（如双上行、多链路捆绑）</w:t>
      </w:r>
      <w:r>
        <w:rPr>
          <w:rFonts w:hint="eastAsia" w:ascii="宋体" w:hAnsi="宋体" w:eastAsia="宋体"/>
          <w:color w:val="auto"/>
          <w:kern w:val="2"/>
          <w:sz w:val="21"/>
          <w:szCs w:val="21"/>
          <w14:ligatures w14:val="standardContextual"/>
        </w:rPr>
        <w:t>；③配合中福彩中心</w:t>
      </w:r>
      <w:r>
        <w:rPr>
          <w:rFonts w:ascii="宋体" w:hAnsi="宋体" w:eastAsia="宋体"/>
          <w:color w:val="auto"/>
          <w:kern w:val="2"/>
          <w:sz w:val="21"/>
          <w:szCs w:val="21"/>
          <w14:ligatures w14:val="standardContextual"/>
        </w:rPr>
        <w:t>优化省PE路由器与省交换机互联方式，改为纯三层静态路由</w:t>
      </w:r>
      <w:r>
        <w:rPr>
          <w:rFonts w:hint="eastAsia" w:ascii="宋体" w:hAnsi="宋体" w:eastAsia="宋体"/>
          <w:color w:val="auto"/>
          <w:kern w:val="2"/>
          <w:sz w:val="21"/>
          <w:szCs w:val="21"/>
          <w14:ligatures w14:val="standardContextual"/>
        </w:rPr>
        <w:t>；④</w:t>
      </w:r>
      <w:r>
        <w:rPr>
          <w:rFonts w:ascii="宋体" w:hAnsi="宋体" w:eastAsia="宋体"/>
          <w:color w:val="auto"/>
          <w:kern w:val="2"/>
          <w:sz w:val="21"/>
          <w:szCs w:val="21"/>
          <w14:ligatures w14:val="standardContextual"/>
        </w:rPr>
        <w:t>支持同城双数据中心多运营商接入，实现机房级容灾与运营商网络高可用。</w:t>
      </w:r>
    </w:p>
    <w:p w14:paraId="7902CEF4">
      <w:pPr>
        <w:pStyle w:val="13"/>
        <w:spacing w:line="360" w:lineRule="auto"/>
        <w:ind w:firstLine="420" w:firstLineChars="200"/>
        <w:rPr>
          <w:rFonts w:hint="eastAsia" w:ascii="宋体" w:hAnsi="宋体" w:eastAsia="宋体"/>
          <w:color w:val="auto"/>
          <w:kern w:val="2"/>
          <w:sz w:val="21"/>
          <w:szCs w:val="21"/>
          <w14:ligatures w14:val="standardContextual"/>
        </w:rPr>
      </w:pPr>
      <w:r>
        <w:rPr>
          <w:rFonts w:hint="eastAsia" w:ascii="宋体" w:hAnsi="宋体" w:eastAsia="宋体"/>
          <w:color w:val="auto"/>
          <w:kern w:val="2"/>
          <w:sz w:val="21"/>
          <w:szCs w:val="21"/>
          <w14:ligatures w14:val="standardContextual"/>
        </w:rPr>
        <w:t>（3）</w:t>
      </w:r>
      <w:r>
        <w:rPr>
          <w:rFonts w:ascii="宋体" w:hAnsi="宋体" w:eastAsia="宋体"/>
          <w:color w:val="auto"/>
          <w:kern w:val="2"/>
          <w:sz w:val="21"/>
          <w:szCs w:val="21"/>
          <w14:ligatures w14:val="standardContextual"/>
        </w:rPr>
        <w:t>省承载网接入区 防火墙部署</w:t>
      </w:r>
      <w:r>
        <w:rPr>
          <w:rFonts w:hint="eastAsia" w:ascii="宋体" w:hAnsi="宋体" w:eastAsia="宋体"/>
          <w:color w:val="auto"/>
          <w:kern w:val="2"/>
          <w:sz w:val="21"/>
          <w:szCs w:val="21"/>
          <w14:ligatures w14:val="standardContextual"/>
        </w:rPr>
        <w:t>。①采用</w:t>
      </w:r>
      <w:r>
        <w:rPr>
          <w:rFonts w:ascii="宋体" w:hAnsi="宋体" w:eastAsia="宋体"/>
          <w:color w:val="auto"/>
          <w:kern w:val="2"/>
          <w:sz w:val="21"/>
          <w:szCs w:val="21"/>
          <w14:ligatures w14:val="standardContextual"/>
        </w:rPr>
        <w:t>双数据中心</w:t>
      </w:r>
      <w:r>
        <w:rPr>
          <w:rFonts w:hint="eastAsia" w:ascii="宋体" w:hAnsi="宋体" w:eastAsia="宋体"/>
          <w:color w:val="auto"/>
          <w:kern w:val="2"/>
          <w:sz w:val="21"/>
          <w:szCs w:val="21"/>
          <w14:ligatures w14:val="standardContextual"/>
        </w:rPr>
        <w:t>接入架构</w:t>
      </w:r>
      <w:r>
        <w:rPr>
          <w:rFonts w:ascii="宋体" w:hAnsi="宋体" w:eastAsia="宋体"/>
          <w:color w:val="auto"/>
          <w:kern w:val="2"/>
          <w:sz w:val="21"/>
          <w:szCs w:val="21"/>
          <w14:ligatures w14:val="standardContextual"/>
        </w:rPr>
        <w:t>，该架构共需部署5台防火墙，其中4台用于承载生产业务流量，1台用于处理办公业务流量</w:t>
      </w:r>
      <w:r>
        <w:rPr>
          <w:rFonts w:hint="eastAsia" w:ascii="宋体" w:hAnsi="宋体" w:eastAsia="宋体"/>
          <w:color w:val="auto"/>
          <w:kern w:val="2"/>
          <w:sz w:val="21"/>
          <w:szCs w:val="21"/>
          <w14:ligatures w14:val="standardContextual"/>
        </w:rPr>
        <w:t>；②</w:t>
      </w:r>
      <w:r>
        <w:rPr>
          <w:rFonts w:ascii="宋体" w:hAnsi="宋体" w:eastAsia="宋体"/>
          <w:color w:val="auto"/>
          <w:kern w:val="2"/>
          <w:sz w:val="21"/>
          <w:szCs w:val="21"/>
          <w14:ligatures w14:val="standardContextual"/>
        </w:rPr>
        <w:t>需确保接入区上下行流量路径一致，并保持双机房防火墙策略的统一</w:t>
      </w:r>
      <w:r>
        <w:rPr>
          <w:rFonts w:hint="eastAsia" w:ascii="宋体" w:hAnsi="宋体" w:eastAsia="宋体"/>
          <w:color w:val="auto"/>
          <w:kern w:val="2"/>
          <w:sz w:val="21"/>
          <w:szCs w:val="21"/>
          <w14:ligatures w14:val="standardContextual"/>
        </w:rPr>
        <w:t>；③</w:t>
      </w:r>
      <w:r>
        <w:rPr>
          <w:rFonts w:ascii="宋体" w:hAnsi="宋体" w:eastAsia="宋体"/>
          <w:color w:val="auto"/>
          <w:kern w:val="2"/>
          <w:sz w:val="21"/>
          <w:szCs w:val="21"/>
          <w14:ligatures w14:val="standardContextual"/>
        </w:rPr>
        <w:t>负责具体实施防火墙部署与</w:t>
      </w:r>
      <w:r>
        <w:rPr>
          <w:rFonts w:hint="eastAsia" w:ascii="宋体" w:hAnsi="宋体" w:eastAsia="宋体"/>
          <w:color w:val="auto"/>
          <w:kern w:val="2"/>
          <w:sz w:val="21"/>
          <w:szCs w:val="21"/>
          <w14:ligatures w14:val="standardContextual"/>
        </w:rPr>
        <w:t>相关业务</w:t>
      </w:r>
      <w:r>
        <w:rPr>
          <w:rFonts w:ascii="宋体" w:hAnsi="宋体" w:eastAsia="宋体"/>
          <w:color w:val="auto"/>
          <w:kern w:val="2"/>
          <w:sz w:val="21"/>
          <w:szCs w:val="21"/>
          <w14:ligatures w14:val="standardContextual"/>
        </w:rPr>
        <w:t>策略配置工作</w:t>
      </w:r>
      <w:r>
        <w:rPr>
          <w:rFonts w:hint="eastAsia" w:ascii="宋体" w:hAnsi="宋体" w:eastAsia="宋体"/>
          <w:color w:val="auto"/>
          <w:kern w:val="2"/>
          <w:sz w:val="21"/>
          <w:szCs w:val="21"/>
          <w14:ligatures w14:val="standardContextual"/>
        </w:rPr>
        <w:t>；④</w:t>
      </w:r>
      <w:r>
        <w:rPr>
          <w:rFonts w:ascii="宋体" w:hAnsi="宋体" w:eastAsia="宋体"/>
          <w:color w:val="auto"/>
          <w:kern w:val="2"/>
          <w:sz w:val="21"/>
          <w:szCs w:val="21"/>
          <w14:ligatures w14:val="standardContextual"/>
        </w:rPr>
        <w:t>中福彩中心协助省级福彩中心评审架构实施方案，确保方案合理可行</w:t>
      </w:r>
      <w:r>
        <w:rPr>
          <w:rFonts w:hint="eastAsia" w:ascii="宋体" w:hAnsi="宋体" w:eastAsia="宋体"/>
          <w:color w:val="auto"/>
          <w:kern w:val="2"/>
          <w:sz w:val="21"/>
          <w:szCs w:val="21"/>
          <w14:ligatures w14:val="standardContextual"/>
        </w:rPr>
        <w:t>；⑤省端</w:t>
      </w:r>
      <w:r>
        <w:rPr>
          <w:rFonts w:ascii="宋体" w:hAnsi="宋体" w:eastAsia="宋体"/>
          <w:color w:val="auto"/>
          <w:kern w:val="2"/>
          <w:sz w:val="21"/>
          <w:szCs w:val="21"/>
          <w14:ligatures w14:val="standardContextual"/>
        </w:rPr>
        <w:t>负责完成部署后的业务功能与连通性验证。</w:t>
      </w:r>
    </w:p>
    <w:p w14:paraId="7BCA608C">
      <w:pPr>
        <w:pStyle w:val="13"/>
        <w:spacing w:line="360" w:lineRule="auto"/>
        <w:ind w:firstLine="420" w:firstLineChars="200"/>
        <w:rPr>
          <w:rFonts w:hint="eastAsia" w:ascii="宋体" w:hAnsi="宋体" w:eastAsia="宋体"/>
          <w:color w:val="auto"/>
          <w:kern w:val="2"/>
          <w:sz w:val="21"/>
          <w:szCs w:val="21"/>
          <w14:ligatures w14:val="standardContextual"/>
        </w:rPr>
      </w:pPr>
      <w:r>
        <w:rPr>
          <w:rFonts w:hint="eastAsia" w:ascii="宋体" w:hAnsi="宋体" w:eastAsia="宋体"/>
          <w:color w:val="auto"/>
          <w:kern w:val="2"/>
          <w:sz w:val="21"/>
          <w:szCs w:val="21"/>
          <w14:ligatures w14:val="standardContextual"/>
        </w:rPr>
        <w:t>（4）</w:t>
      </w:r>
      <w:r>
        <w:rPr>
          <w:rFonts w:ascii="宋体" w:hAnsi="宋体" w:eastAsia="宋体"/>
          <w:color w:val="auto"/>
          <w:kern w:val="2"/>
          <w:sz w:val="21"/>
          <w:szCs w:val="21"/>
          <w14:ligatures w14:val="standardContextual"/>
        </w:rPr>
        <w:t>省销售终端网络接入改造</w:t>
      </w:r>
      <w:r>
        <w:rPr>
          <w:rFonts w:hint="eastAsia" w:ascii="宋体" w:hAnsi="宋体" w:eastAsia="宋体"/>
          <w:color w:val="auto"/>
          <w:kern w:val="2"/>
          <w:sz w:val="21"/>
          <w:szCs w:val="21"/>
          <w14:ligatures w14:val="standardContextual"/>
        </w:rPr>
        <w:t>。①</w:t>
      </w:r>
      <w:r>
        <w:rPr>
          <w:rFonts w:ascii="宋体" w:hAnsi="宋体" w:eastAsia="宋体"/>
          <w:color w:val="auto"/>
          <w:kern w:val="2"/>
          <w:sz w:val="21"/>
          <w:szCs w:val="21"/>
          <w14:ligatures w14:val="standardContextual"/>
        </w:rPr>
        <w:t>负责落实改造所需全部资源</w:t>
      </w:r>
      <w:r>
        <w:rPr>
          <w:rFonts w:hint="eastAsia" w:ascii="宋体" w:hAnsi="宋体" w:eastAsia="宋体"/>
          <w:color w:val="auto"/>
          <w:kern w:val="2"/>
          <w:sz w:val="21"/>
          <w:szCs w:val="21"/>
          <w14:ligatures w14:val="standardContextual"/>
        </w:rPr>
        <w:t>。②</w:t>
      </w:r>
      <w:r>
        <w:rPr>
          <w:rFonts w:ascii="宋体" w:hAnsi="宋体" w:eastAsia="宋体"/>
          <w:color w:val="auto"/>
          <w:kern w:val="2"/>
          <w:sz w:val="21"/>
          <w:szCs w:val="21"/>
          <w14:ligatures w14:val="standardContextual"/>
        </w:rPr>
        <w:t>具体执行本省销售终端双</w:t>
      </w:r>
      <w:r>
        <w:rPr>
          <w:rFonts w:hint="eastAsia" w:ascii="宋体" w:hAnsi="宋体" w:eastAsia="宋体"/>
          <w:color w:val="auto"/>
          <w:kern w:val="2"/>
          <w:sz w:val="21"/>
          <w:szCs w:val="21"/>
          <w14:ligatures w14:val="standardContextual"/>
        </w:rPr>
        <w:t>数据中心</w:t>
      </w:r>
      <w:r>
        <w:rPr>
          <w:rFonts w:ascii="宋体" w:hAnsi="宋体" w:eastAsia="宋体"/>
          <w:color w:val="auto"/>
          <w:kern w:val="2"/>
          <w:sz w:val="21"/>
          <w:szCs w:val="21"/>
          <w14:ligatures w14:val="standardContextual"/>
        </w:rPr>
        <w:t xml:space="preserve">接入的架构改造工作。  </w:t>
      </w:r>
    </w:p>
    <w:p w14:paraId="1DE6C915">
      <w:pPr>
        <w:pStyle w:val="13"/>
        <w:spacing w:line="360" w:lineRule="auto"/>
        <w:ind w:firstLine="420" w:firstLineChars="200"/>
        <w:rPr>
          <w:rFonts w:hint="eastAsia" w:ascii="宋体" w:hAnsi="宋体" w:eastAsia="宋体"/>
          <w:color w:val="auto"/>
          <w:kern w:val="2"/>
          <w:sz w:val="21"/>
          <w:szCs w:val="21"/>
          <w14:ligatures w14:val="standardContextual"/>
        </w:rPr>
      </w:pPr>
      <w:r>
        <w:rPr>
          <w:rFonts w:hint="eastAsia" w:ascii="宋体" w:hAnsi="宋体" w:eastAsia="宋体"/>
          <w:color w:val="auto"/>
          <w:kern w:val="2"/>
          <w:sz w:val="21"/>
          <w:szCs w:val="21"/>
          <w14:ligatures w14:val="standardContextual"/>
        </w:rPr>
        <w:t>（5）部署二级时钟源等。</w:t>
      </w:r>
    </w:p>
    <w:p w14:paraId="6BBF3C23">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上海福彩</w:t>
      </w:r>
      <w:r>
        <w:rPr>
          <w:rFonts w:ascii="宋体" w:hAnsi="宋体" w:eastAsia="宋体"/>
          <w:kern w:val="2"/>
          <w:sz w:val="21"/>
          <w:szCs w:val="21"/>
          <w14:ligatures w14:val="standardContextual"/>
        </w:rPr>
        <w:t>为保障业务连续性和系统可靠性</w:t>
      </w:r>
      <w:r>
        <w:rPr>
          <w:rFonts w:hint="eastAsia" w:ascii="宋体" w:hAnsi="宋体" w:eastAsia="宋体"/>
          <w:kern w:val="2"/>
          <w:sz w:val="21"/>
          <w:szCs w:val="21"/>
          <w14:ligatures w14:val="standardContextual"/>
        </w:rPr>
        <w:t>,本次将对上海福彩双活数据中心省级接入区进行全面改造。供应商需结合上海福彩双活数据中心网络现状（图一），制定改造实施方案、回退方案、应急与保障方案并按方案提供相应服务，包括承载网省级接入区设备替换/扩容、设备跨机房搬迁、设备安装调试、链路优化、业务迁移、二级时钟源部署、运行维护等服务，以提升承载网省级接入区网络可靠性、安全性、可管可控、易运维。网络集成具体要求如下：</w:t>
      </w:r>
    </w:p>
    <w:p w14:paraId="2272FE68">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（1）将部署在浦江机房的承载网PE路由器搬迁至租赁机房，完成跨省专线互联，市内专线互联及新增设备的线路互联，现网业务路由配置。搬迁期间需保证销售业务不中断</w:t>
      </w:r>
      <w:r>
        <w:rPr>
          <w:rFonts w:ascii="宋体" w:hAnsi="宋体" w:eastAsia="宋体"/>
          <w:kern w:val="2"/>
          <w:sz w:val="21"/>
          <w:szCs w:val="21"/>
          <w14:ligatures w14:val="standardContextual"/>
        </w:rPr>
        <w:t>；</w:t>
      </w:r>
    </w:p>
    <w:p w14:paraId="3096A0A4">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（2）在浦江机房和租赁机房部署省级防火墙，通过主备模式，</w:t>
      </w:r>
      <w:r>
        <w:rPr>
          <w:rFonts w:ascii="宋体" w:hAnsi="宋体" w:eastAsia="宋体"/>
          <w:kern w:val="2"/>
          <w:sz w:val="21"/>
          <w:szCs w:val="21"/>
          <w14:ligatures w14:val="standardContextual"/>
        </w:rPr>
        <w:t>消除生产业务省防火墙单节点故障，构建高可用防火墙集群；</w:t>
      </w:r>
    </w:p>
    <w:p w14:paraId="1D9D8AA6">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（3）在浦江机房和租赁机房部署省级交换机，通过堆叠模式，优化承载网与交换机互联模式，</w:t>
      </w:r>
      <w:r>
        <w:rPr>
          <w:rFonts w:ascii="宋体" w:hAnsi="宋体" w:eastAsia="宋体"/>
          <w:kern w:val="2"/>
          <w:sz w:val="21"/>
          <w:szCs w:val="21"/>
          <w14:ligatures w14:val="standardContextual"/>
        </w:rPr>
        <w:t>增强链路冗余与弹性扩展水平</w:t>
      </w:r>
      <w:r>
        <w:rPr>
          <w:rFonts w:hint="eastAsia" w:ascii="宋体" w:hAnsi="宋体" w:eastAsia="宋体"/>
          <w:kern w:val="2"/>
          <w:sz w:val="21"/>
          <w:szCs w:val="21"/>
          <w14:ligatures w14:val="standardContextual"/>
        </w:rPr>
        <w:t>；</w:t>
      </w:r>
    </w:p>
    <w:p w14:paraId="3FDCB854">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（4）在浦江机房和租赁机房</w:t>
      </w:r>
      <w:r>
        <w:rPr>
          <w:rFonts w:ascii="宋体" w:hAnsi="宋体" w:eastAsia="宋体"/>
          <w:kern w:val="2"/>
          <w:sz w:val="21"/>
          <w:szCs w:val="21"/>
          <w14:ligatures w14:val="standardContextual"/>
        </w:rPr>
        <w:t>建立销售终端双机房随机接入机制，实现机房级冗余和业务无缝切换，保障在业务高峰时段终端服务的连续性</w:t>
      </w:r>
      <w:r>
        <w:rPr>
          <w:rFonts w:hint="eastAsia" w:ascii="宋体" w:hAnsi="宋体" w:eastAsia="宋体"/>
          <w:kern w:val="2"/>
          <w:sz w:val="21"/>
          <w:szCs w:val="21"/>
          <w14:ligatures w14:val="standardContextual"/>
        </w:rPr>
        <w:t>；</w:t>
      </w:r>
    </w:p>
    <w:p w14:paraId="119846EF">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（5）在浦江机房和租赁机房部署二级时钟源，通过本机房的省端接入区与中福彩一级时钟源对视，并为本机房各系统提供对时服务；</w:t>
      </w:r>
      <w:r>
        <w:rPr>
          <w:rFonts w:ascii="宋体" w:hAnsi="宋体" w:eastAsia="宋体"/>
          <w:kern w:val="2"/>
          <w:sz w:val="21"/>
          <w:szCs w:val="21"/>
          <w14:ligatures w14:val="standardContextual"/>
        </w:rPr>
        <w:t xml:space="preserve"> </w:t>
      </w:r>
    </w:p>
    <w:p w14:paraId="19E5FF31">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（6）根据数据机房管理规定完成设备调试上架、机房内综合布线等工作。</w:t>
      </w:r>
    </w:p>
    <w:p w14:paraId="277BAF67">
      <w:pPr>
        <w:pStyle w:val="17"/>
        <w:ind w:firstLine="420" w:firstLineChars="200"/>
        <w:rPr>
          <w:rFonts w:hint="eastAsia" w:ascii="宋体" w:hAnsi="宋体" w:eastAsia="宋体"/>
          <w:sz w:val="21"/>
          <w:szCs w:val="21"/>
        </w:rPr>
      </w:pPr>
      <w:r>
        <w:rPr>
          <w:rFonts w:hint="eastAsia" w:ascii="宋体" w:hAnsi="宋体" w:eastAsia="宋体"/>
          <w:sz w:val="21"/>
          <w:szCs w:val="21"/>
        </w:rPr>
        <w:t>上海福彩双活数据中心承载网省级接入区改造后网络拓扑如图二所示（红框处）：</w:t>
      </w:r>
    </w:p>
    <w:p w14:paraId="4F04C986">
      <w:pPr>
        <w:pStyle w:val="17"/>
        <w:jc w:val="center"/>
        <w:rPr>
          <w:rFonts w:hint="eastAsia" w:ascii="宋体" w:hAnsi="宋体" w:eastAsia="宋体"/>
          <w:sz w:val="21"/>
          <w:szCs w:val="21"/>
        </w:rPr>
      </w:pPr>
      <w:r>
        <w:rPr>
          <w:rFonts w:ascii="宋体" w:hAnsi="宋体" w:eastAsia="宋体"/>
          <w:sz w:val="21"/>
          <w:szCs w:val="21"/>
        </w:rPr>
        <w:pict>
          <v:shape id="_x0000_i1026" o:spt="75" type="#_x0000_t75" style="height:452.65pt;width:420.75pt;" filled="f" o:preferrelative="t" stroked="f" coordsize="21600,21600">
            <v:path/>
            <v:fill on="f" focussize="0,0"/>
            <v:stroke on="f" joinstyle="miter"/>
            <v:imagedata r:id="rId8" o:title="上海福彩双中心网络拓扑-骨干网改造后"/>
            <o:lock v:ext="edit" aspectratio="t"/>
            <w10:wrap type="none"/>
            <w10:anchorlock/>
          </v:shape>
        </w:pict>
      </w:r>
    </w:p>
    <w:p w14:paraId="05B401FC">
      <w:pPr>
        <w:pStyle w:val="17"/>
        <w:ind w:firstLine="420" w:firstLineChars="200"/>
        <w:jc w:val="center"/>
        <w:rPr>
          <w:rFonts w:hint="eastAsia" w:ascii="宋体" w:hAnsi="宋体" w:eastAsia="宋体"/>
          <w:sz w:val="21"/>
          <w:szCs w:val="21"/>
        </w:rPr>
      </w:pPr>
      <w:r>
        <w:rPr>
          <w:rFonts w:hint="eastAsia" w:ascii="宋体" w:hAnsi="宋体" w:eastAsia="宋体"/>
          <w:sz w:val="21"/>
          <w:szCs w:val="21"/>
        </w:rPr>
        <w:t>（图二）</w:t>
      </w:r>
    </w:p>
    <w:p w14:paraId="65BCCE07">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2、综合业务安全接入平台改造优化服务</w:t>
      </w:r>
    </w:p>
    <w:p w14:paraId="1738C633">
      <w:pPr>
        <w:pStyle w:val="13"/>
        <w:spacing w:line="360" w:lineRule="auto"/>
        <w:ind w:firstLine="420" w:firstLineChars="200"/>
        <w:rPr>
          <w:rFonts w:hint="eastAsia" w:ascii="宋体" w:hAnsi="宋体" w:eastAsia="宋体"/>
          <w:kern w:val="2"/>
          <w:sz w:val="21"/>
          <w:szCs w:val="21"/>
          <w14:ligatures w14:val="standardContextual"/>
        </w:rPr>
      </w:pPr>
      <w:r>
        <w:rPr>
          <w:rFonts w:ascii="宋体" w:hAnsi="宋体" w:eastAsia="宋体"/>
          <w:kern w:val="2"/>
          <w:sz w:val="21"/>
          <w:szCs w:val="21"/>
          <w14:ligatures w14:val="standardContextual"/>
        </w:rPr>
        <w:t>上海市福利彩票发行中心</w:t>
      </w:r>
      <w:r>
        <w:rPr>
          <w:rFonts w:hint="eastAsia" w:ascii="宋体" w:hAnsi="宋体" w:eastAsia="宋体"/>
          <w:kern w:val="2"/>
          <w:sz w:val="21"/>
          <w:szCs w:val="21"/>
          <w14:ligatures w14:val="standardContextual"/>
        </w:rPr>
        <w:t>于2019年、</w:t>
      </w:r>
      <w:r>
        <w:rPr>
          <w:rFonts w:ascii="宋体" w:hAnsi="宋体" w:eastAsia="宋体"/>
          <w:kern w:val="2"/>
          <w:sz w:val="21"/>
          <w:szCs w:val="21"/>
          <w14:ligatures w14:val="standardContextual"/>
        </w:rPr>
        <w:t>2023年</w:t>
      </w:r>
      <w:r>
        <w:rPr>
          <w:rFonts w:hint="eastAsia" w:ascii="宋体" w:hAnsi="宋体" w:eastAsia="宋体"/>
          <w:kern w:val="2"/>
          <w:sz w:val="21"/>
          <w:szCs w:val="21"/>
          <w14:ligatures w14:val="standardContextual"/>
        </w:rPr>
        <w:t>分两期</w:t>
      </w:r>
      <w:r>
        <w:rPr>
          <w:rFonts w:ascii="宋体" w:hAnsi="宋体" w:eastAsia="宋体"/>
          <w:kern w:val="2"/>
          <w:sz w:val="21"/>
          <w:szCs w:val="21"/>
          <w14:ligatures w14:val="standardContextual"/>
        </w:rPr>
        <w:t>完成综合业务安全接入系统双活架构的建设，包含综合业务安全接入中央服务设备和代销网点3</w:t>
      </w:r>
      <w:r>
        <w:rPr>
          <w:rFonts w:hint="eastAsia" w:ascii="宋体" w:hAnsi="宋体" w:eastAsia="宋体"/>
          <w:kern w:val="2"/>
          <w:sz w:val="21"/>
          <w:szCs w:val="21"/>
          <w14:ligatures w14:val="standardContextual"/>
        </w:rPr>
        <w:t>400</w:t>
      </w:r>
      <w:r>
        <w:rPr>
          <w:rFonts w:ascii="宋体" w:hAnsi="宋体" w:eastAsia="宋体"/>
          <w:kern w:val="2"/>
          <w:sz w:val="21"/>
          <w:szCs w:val="21"/>
          <w14:ligatures w14:val="standardContextual"/>
        </w:rPr>
        <w:t>个安全接入</w:t>
      </w:r>
      <w:r>
        <w:rPr>
          <w:rFonts w:hint="eastAsia" w:ascii="宋体" w:hAnsi="宋体" w:eastAsia="宋体"/>
          <w:kern w:val="2"/>
          <w:sz w:val="21"/>
          <w:szCs w:val="21"/>
          <w14:ligatures w14:val="standardContextual"/>
        </w:rPr>
        <w:t>终端</w:t>
      </w:r>
      <w:r>
        <w:rPr>
          <w:rFonts w:ascii="宋体" w:hAnsi="宋体" w:eastAsia="宋体"/>
          <w:kern w:val="2"/>
          <w:sz w:val="21"/>
          <w:szCs w:val="21"/>
          <w14:ligatures w14:val="standardContextual"/>
        </w:rPr>
        <w:t>设备，以及4</w:t>
      </w:r>
      <w:r>
        <w:rPr>
          <w:rFonts w:hint="eastAsia" w:ascii="宋体" w:hAnsi="宋体" w:eastAsia="宋体"/>
          <w:kern w:val="2"/>
          <w:sz w:val="21"/>
          <w:szCs w:val="21"/>
          <w14:ligatures w14:val="standardContextual"/>
        </w:rPr>
        <w:t>0</w:t>
      </w:r>
      <w:r>
        <w:rPr>
          <w:rFonts w:ascii="宋体" w:hAnsi="宋体" w:eastAsia="宋体"/>
          <w:kern w:val="2"/>
          <w:sz w:val="21"/>
          <w:szCs w:val="21"/>
          <w14:ligatures w14:val="standardContextual"/>
        </w:rPr>
        <w:t>00个安全通信软终端</w:t>
      </w:r>
      <w:r>
        <w:rPr>
          <w:rFonts w:hint="eastAsia" w:ascii="宋体" w:hAnsi="宋体" w:eastAsia="宋体"/>
          <w:kern w:val="2"/>
          <w:sz w:val="21"/>
          <w:szCs w:val="21"/>
          <w14:ligatures w14:val="standardContextual"/>
        </w:rPr>
        <w:t>。通过部署在传统代销网点的</w:t>
      </w:r>
      <w:r>
        <w:rPr>
          <w:rFonts w:ascii="宋体" w:hAnsi="宋体" w:eastAsia="宋体"/>
          <w:kern w:val="2"/>
          <w:sz w:val="21"/>
          <w:szCs w:val="21"/>
          <w14:ligatures w14:val="standardContextual"/>
        </w:rPr>
        <w:t>安全接入</w:t>
      </w:r>
      <w:r>
        <w:rPr>
          <w:rFonts w:hint="eastAsia" w:ascii="宋体" w:hAnsi="宋体" w:eastAsia="宋体"/>
          <w:kern w:val="2"/>
          <w:sz w:val="21"/>
          <w:szCs w:val="21"/>
          <w14:ligatures w14:val="standardContextual"/>
        </w:rPr>
        <w:t>终端</w:t>
      </w:r>
      <w:r>
        <w:rPr>
          <w:rFonts w:ascii="宋体" w:hAnsi="宋体" w:eastAsia="宋体"/>
          <w:kern w:val="2"/>
          <w:sz w:val="21"/>
          <w:szCs w:val="21"/>
          <w14:ligatures w14:val="standardContextual"/>
        </w:rPr>
        <w:t>设备</w:t>
      </w:r>
      <w:r>
        <w:rPr>
          <w:rFonts w:hint="eastAsia" w:ascii="宋体" w:hAnsi="宋体" w:eastAsia="宋体"/>
          <w:kern w:val="2"/>
          <w:sz w:val="21"/>
          <w:szCs w:val="21"/>
          <w14:ligatures w14:val="standardContextual"/>
        </w:rPr>
        <w:t>、连锁渠道网点销售设备上的安全通讯软终端与部署在中心机房的中央服务器建立加密隧道，提供业务数据的安全传输，确保</w:t>
      </w:r>
      <w:r>
        <w:rPr>
          <w:rFonts w:ascii="宋体" w:hAnsi="宋体" w:eastAsia="宋体"/>
          <w:kern w:val="2"/>
          <w:sz w:val="21"/>
          <w:szCs w:val="21"/>
          <w14:ligatures w14:val="standardContextual"/>
        </w:rPr>
        <w:t>销售数据网络传输层的安全性与完整性。</w:t>
      </w:r>
      <w:r>
        <w:rPr>
          <w:rFonts w:hint="eastAsia" w:ascii="宋体" w:hAnsi="宋体" w:eastAsia="宋体"/>
          <w:kern w:val="2"/>
          <w:sz w:val="21"/>
          <w:szCs w:val="21"/>
          <w14:ligatures w14:val="standardContextual"/>
        </w:rPr>
        <w:t>通过中心对外4个互联网接入地址满足销售网点各种类型的互联网接入</w:t>
      </w:r>
      <w:r>
        <w:rPr>
          <w:rFonts w:ascii="宋体" w:hAnsi="宋体" w:eastAsia="宋体"/>
          <w:kern w:val="2"/>
          <w:sz w:val="21"/>
          <w:szCs w:val="21"/>
          <w14:ligatures w14:val="standardContextual"/>
        </w:rPr>
        <w:t>（有线、无线）</w:t>
      </w:r>
      <w:r>
        <w:rPr>
          <w:rFonts w:hint="eastAsia" w:ascii="宋体" w:hAnsi="宋体" w:eastAsia="宋体"/>
          <w:kern w:val="2"/>
          <w:sz w:val="21"/>
          <w:szCs w:val="21"/>
          <w14:ligatures w14:val="standardContextual"/>
        </w:rPr>
        <w:t>方式，通过访问控制策略精细化管理业务访问，保障业务数据的安全性和连续性。</w:t>
      </w:r>
    </w:p>
    <w:p w14:paraId="78185C54">
      <w:pPr>
        <w:pStyle w:val="13"/>
        <w:spacing w:line="360" w:lineRule="auto"/>
        <w:ind w:firstLine="420" w:firstLineChars="200"/>
        <w:rPr>
          <w:rFonts w:hint="eastAsia" w:ascii="宋体" w:hAnsi="宋体" w:eastAsia="宋体"/>
          <w:kern w:val="2"/>
          <w:sz w:val="21"/>
          <w:szCs w:val="21"/>
          <w:highlight w:val="yellow"/>
          <w14:ligatures w14:val="standardContextual"/>
        </w:rPr>
      </w:pPr>
      <w:r>
        <w:rPr>
          <w:rFonts w:hint="eastAsia" w:ascii="宋体" w:hAnsi="宋体" w:eastAsia="宋体"/>
          <w:kern w:val="2"/>
          <w:sz w:val="21"/>
          <w:szCs w:val="21"/>
          <w:highlight w:val="yellow"/>
          <w14:ligatures w14:val="standardContextual"/>
        </w:rPr>
        <w:t>已有设备见下表：</w:t>
      </w:r>
    </w:p>
    <w:tbl>
      <w:tblPr>
        <w:tblStyle w:val="21"/>
        <w:tblW w:w="8169" w:type="dxa"/>
        <w:tblInd w:w="29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27"/>
        <w:gridCol w:w="1826"/>
        <w:gridCol w:w="2299"/>
        <w:gridCol w:w="1371"/>
        <w:gridCol w:w="1646"/>
      </w:tblGrid>
      <w:tr w14:paraId="0FBF5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8" w:hRule="atLeast"/>
        </w:trPr>
        <w:tc>
          <w:tcPr>
            <w:tcW w:w="1027" w:type="dxa"/>
            <w:tcBorders>
              <w:top w:val="single" w:color="000000" w:sz="6" w:space="0"/>
              <w:left w:val="single" w:color="000000" w:sz="6" w:space="0"/>
              <w:bottom w:val="single" w:color="000000" w:sz="6" w:space="0"/>
              <w:right w:val="single" w:color="000000" w:sz="6" w:space="0"/>
            </w:tcBorders>
            <w:vAlign w:val="center"/>
          </w:tcPr>
          <w:p w14:paraId="599AFF7F">
            <w:pPr>
              <w:jc w:val="center"/>
              <w:rPr>
                <w:rFonts w:hint="eastAsia" w:ascii="宋体" w:hAnsi="宋体" w:eastAsia="宋体"/>
                <w:sz w:val="21"/>
                <w:szCs w:val="21"/>
              </w:rPr>
            </w:pPr>
            <w:r>
              <w:rPr>
                <w:rFonts w:hint="eastAsia" w:ascii="宋体" w:hAnsi="宋体" w:eastAsia="宋体"/>
                <w:sz w:val="21"/>
                <w:szCs w:val="21"/>
              </w:rPr>
              <w:t>序号</w:t>
            </w:r>
          </w:p>
        </w:tc>
        <w:tc>
          <w:tcPr>
            <w:tcW w:w="1826" w:type="dxa"/>
            <w:tcBorders>
              <w:top w:val="single" w:color="000000" w:sz="6" w:space="0"/>
              <w:left w:val="single" w:color="000000" w:sz="6" w:space="0"/>
              <w:bottom w:val="single" w:color="000000" w:sz="6" w:space="0"/>
              <w:right w:val="single" w:color="000000" w:sz="6" w:space="0"/>
            </w:tcBorders>
            <w:vAlign w:val="center"/>
          </w:tcPr>
          <w:p w14:paraId="2A488414">
            <w:pPr>
              <w:jc w:val="center"/>
              <w:rPr>
                <w:rFonts w:hint="eastAsia" w:ascii="宋体" w:hAnsi="宋体" w:eastAsia="宋体"/>
                <w:sz w:val="21"/>
                <w:szCs w:val="21"/>
              </w:rPr>
            </w:pPr>
            <w:r>
              <w:rPr>
                <w:rFonts w:hint="eastAsia" w:ascii="宋体" w:hAnsi="宋体" w:eastAsia="宋体"/>
                <w:sz w:val="21"/>
                <w:szCs w:val="21"/>
              </w:rPr>
              <w:t>类别</w:t>
            </w:r>
          </w:p>
        </w:tc>
        <w:tc>
          <w:tcPr>
            <w:tcW w:w="2299" w:type="dxa"/>
            <w:tcBorders>
              <w:top w:val="single" w:color="000000" w:sz="6" w:space="0"/>
              <w:left w:val="single" w:color="000000" w:sz="6" w:space="0"/>
              <w:bottom w:val="single" w:color="000000" w:sz="6" w:space="0"/>
              <w:right w:val="single" w:color="000000" w:sz="6" w:space="0"/>
            </w:tcBorders>
            <w:vAlign w:val="center"/>
          </w:tcPr>
          <w:p w14:paraId="3AFFBE0B">
            <w:pPr>
              <w:jc w:val="center"/>
              <w:rPr>
                <w:rFonts w:hint="eastAsia" w:ascii="宋体" w:hAnsi="宋体" w:eastAsia="宋体"/>
                <w:sz w:val="21"/>
                <w:szCs w:val="21"/>
              </w:rPr>
            </w:pPr>
            <w:r>
              <w:rPr>
                <w:rFonts w:hint="eastAsia" w:ascii="宋体" w:hAnsi="宋体" w:eastAsia="宋体"/>
                <w:sz w:val="21"/>
                <w:szCs w:val="21"/>
              </w:rPr>
              <w:t>设备内容</w:t>
            </w:r>
          </w:p>
        </w:tc>
        <w:tc>
          <w:tcPr>
            <w:tcW w:w="1371" w:type="dxa"/>
            <w:tcBorders>
              <w:top w:val="single" w:color="000000" w:sz="6" w:space="0"/>
              <w:left w:val="single" w:color="000000" w:sz="6" w:space="0"/>
              <w:bottom w:val="single" w:color="000000" w:sz="6" w:space="0"/>
              <w:right w:val="single" w:color="000000" w:sz="6" w:space="0"/>
            </w:tcBorders>
            <w:vAlign w:val="center"/>
          </w:tcPr>
          <w:p w14:paraId="002A907B">
            <w:pPr>
              <w:jc w:val="center"/>
              <w:rPr>
                <w:rFonts w:hint="eastAsia" w:ascii="宋体" w:hAnsi="宋体" w:eastAsia="宋体"/>
                <w:sz w:val="21"/>
                <w:szCs w:val="21"/>
              </w:rPr>
            </w:pPr>
            <w:r>
              <w:rPr>
                <w:rFonts w:hint="eastAsia" w:ascii="宋体" w:hAnsi="宋体" w:eastAsia="宋体"/>
                <w:sz w:val="21"/>
                <w:szCs w:val="21"/>
              </w:rPr>
              <w:t>数量</w:t>
            </w:r>
          </w:p>
        </w:tc>
        <w:tc>
          <w:tcPr>
            <w:tcW w:w="1646" w:type="dxa"/>
            <w:tcBorders>
              <w:top w:val="single" w:color="000000" w:sz="6" w:space="0"/>
              <w:left w:val="single" w:color="000000" w:sz="6" w:space="0"/>
              <w:bottom w:val="single" w:color="000000" w:sz="6" w:space="0"/>
              <w:right w:val="single" w:color="000000" w:sz="6" w:space="0"/>
            </w:tcBorders>
            <w:vAlign w:val="center"/>
          </w:tcPr>
          <w:p w14:paraId="7BF5620C">
            <w:pPr>
              <w:jc w:val="center"/>
              <w:rPr>
                <w:rFonts w:hint="eastAsia" w:ascii="仿宋" w:hAnsi="仿宋" w:eastAsia="仿宋" w:cs="仿宋"/>
                <w:sz w:val="21"/>
                <w:szCs w:val="21"/>
              </w:rPr>
            </w:pPr>
            <w:r>
              <w:rPr>
                <w:rFonts w:hint="eastAsia" w:ascii="宋体" w:hAnsi="宋体" w:eastAsia="宋体"/>
                <w:sz w:val="21"/>
                <w:szCs w:val="21"/>
              </w:rPr>
              <w:t>备注</w:t>
            </w:r>
          </w:p>
        </w:tc>
      </w:tr>
      <w:tr w14:paraId="73BB6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027" w:type="dxa"/>
            <w:vMerge w:val="restart"/>
            <w:tcBorders>
              <w:top w:val="single" w:color="000000" w:sz="6" w:space="0"/>
              <w:left w:val="single" w:color="000000" w:sz="6" w:space="0"/>
              <w:right w:val="single" w:color="000000" w:sz="6" w:space="0"/>
            </w:tcBorders>
            <w:vAlign w:val="center"/>
          </w:tcPr>
          <w:p w14:paraId="3B479409">
            <w:pPr>
              <w:rPr>
                <w:rFonts w:hint="eastAsia" w:ascii="宋体" w:hAnsi="宋体" w:eastAsia="宋体"/>
                <w:sz w:val="21"/>
                <w:szCs w:val="21"/>
              </w:rPr>
            </w:pPr>
            <w:r>
              <w:rPr>
                <w:rFonts w:hint="eastAsia" w:ascii="宋体" w:hAnsi="宋体" w:eastAsia="宋体"/>
                <w:sz w:val="21"/>
                <w:szCs w:val="21"/>
              </w:rPr>
              <w:t>1</w:t>
            </w:r>
          </w:p>
        </w:tc>
        <w:tc>
          <w:tcPr>
            <w:tcW w:w="1826" w:type="dxa"/>
            <w:vMerge w:val="restart"/>
            <w:tcBorders>
              <w:top w:val="single" w:color="000000" w:sz="6" w:space="0"/>
              <w:left w:val="single" w:color="000000" w:sz="6" w:space="0"/>
              <w:right w:val="single" w:color="000000" w:sz="6" w:space="0"/>
            </w:tcBorders>
            <w:vAlign w:val="center"/>
          </w:tcPr>
          <w:p w14:paraId="4406E9D9">
            <w:pPr>
              <w:rPr>
                <w:rFonts w:hint="eastAsia" w:ascii="宋体" w:hAnsi="宋体" w:eastAsia="宋体"/>
                <w:sz w:val="21"/>
                <w:szCs w:val="21"/>
              </w:rPr>
            </w:pPr>
            <w:r>
              <w:rPr>
                <w:rFonts w:hint="eastAsia" w:ascii="宋体" w:hAnsi="宋体" w:eastAsia="宋体"/>
                <w:sz w:val="21"/>
                <w:szCs w:val="21"/>
              </w:rPr>
              <w:t>中心端服务设备</w:t>
            </w:r>
          </w:p>
        </w:tc>
        <w:tc>
          <w:tcPr>
            <w:tcW w:w="2299" w:type="dxa"/>
            <w:tcBorders>
              <w:top w:val="single" w:color="000000" w:sz="6" w:space="0"/>
              <w:left w:val="single" w:color="000000" w:sz="6" w:space="0"/>
              <w:bottom w:val="single" w:color="000000" w:sz="6" w:space="0"/>
              <w:right w:val="single" w:color="000000" w:sz="6" w:space="0"/>
            </w:tcBorders>
            <w:vAlign w:val="center"/>
          </w:tcPr>
          <w:p w14:paraId="5845F5BC">
            <w:pPr>
              <w:rPr>
                <w:rFonts w:hint="eastAsia" w:ascii="宋体" w:hAnsi="宋体" w:eastAsia="宋体"/>
                <w:sz w:val="21"/>
                <w:szCs w:val="21"/>
              </w:rPr>
            </w:pPr>
            <w:r>
              <w:rPr>
                <w:rFonts w:hint="eastAsia" w:ascii="宋体" w:hAnsi="宋体" w:eastAsia="宋体"/>
                <w:sz w:val="21"/>
                <w:szCs w:val="21"/>
              </w:rPr>
              <w:t>综合业务安全接入系统运行平台</w:t>
            </w:r>
          </w:p>
        </w:tc>
        <w:tc>
          <w:tcPr>
            <w:tcW w:w="1371" w:type="dxa"/>
            <w:tcBorders>
              <w:top w:val="single" w:color="000000" w:sz="6" w:space="0"/>
              <w:left w:val="single" w:color="000000" w:sz="6" w:space="0"/>
              <w:bottom w:val="single" w:color="000000" w:sz="6" w:space="0"/>
              <w:right w:val="single" w:color="000000" w:sz="6" w:space="0"/>
            </w:tcBorders>
            <w:vAlign w:val="center"/>
          </w:tcPr>
          <w:p w14:paraId="0EF10737">
            <w:pPr>
              <w:rPr>
                <w:rFonts w:hint="eastAsia" w:ascii="宋体" w:hAnsi="宋体" w:eastAsia="宋体"/>
                <w:sz w:val="21"/>
                <w:szCs w:val="21"/>
              </w:rPr>
            </w:pPr>
            <w:r>
              <w:rPr>
                <w:rFonts w:hint="eastAsia" w:ascii="宋体" w:hAnsi="宋体" w:eastAsia="宋体"/>
                <w:sz w:val="21"/>
                <w:szCs w:val="21"/>
              </w:rPr>
              <w:t>2台</w:t>
            </w:r>
          </w:p>
        </w:tc>
        <w:tc>
          <w:tcPr>
            <w:tcW w:w="1646" w:type="dxa"/>
            <w:vMerge w:val="restart"/>
            <w:tcBorders>
              <w:top w:val="single" w:color="000000" w:sz="6" w:space="0"/>
              <w:left w:val="single" w:color="000000" w:sz="6" w:space="0"/>
              <w:right w:val="single" w:color="000000" w:sz="6" w:space="0"/>
            </w:tcBorders>
            <w:vAlign w:val="center"/>
          </w:tcPr>
          <w:p w14:paraId="4FAE7B42">
            <w:pPr>
              <w:rPr>
                <w:rFonts w:hint="eastAsia" w:ascii="宋体" w:hAnsi="宋体" w:eastAsia="宋体" w:cs="仿宋"/>
                <w:sz w:val="21"/>
                <w:szCs w:val="21"/>
              </w:rPr>
            </w:pPr>
            <w:r>
              <w:rPr>
                <w:rFonts w:hint="eastAsia" w:ascii="宋体" w:hAnsi="宋体" w:eastAsia="宋体" w:cs="仿宋"/>
                <w:sz w:val="21"/>
                <w:szCs w:val="21"/>
              </w:rPr>
              <w:t>浦江数据中心</w:t>
            </w:r>
          </w:p>
        </w:tc>
      </w:tr>
      <w:tr w14:paraId="0C1AD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right w:val="single" w:color="000000" w:sz="6" w:space="0"/>
            </w:tcBorders>
            <w:vAlign w:val="center"/>
          </w:tcPr>
          <w:p w14:paraId="779B077C">
            <w:pPr>
              <w:rPr>
                <w:rFonts w:hint="eastAsia" w:ascii="宋体" w:hAnsi="宋体" w:eastAsia="宋体"/>
                <w:sz w:val="21"/>
                <w:szCs w:val="21"/>
              </w:rPr>
            </w:pPr>
          </w:p>
        </w:tc>
        <w:tc>
          <w:tcPr>
            <w:tcW w:w="1826" w:type="dxa"/>
            <w:vMerge w:val="continue"/>
            <w:tcBorders>
              <w:left w:val="single" w:color="000000" w:sz="6" w:space="0"/>
              <w:right w:val="single" w:color="000000" w:sz="6" w:space="0"/>
            </w:tcBorders>
            <w:vAlign w:val="center"/>
          </w:tcPr>
          <w:p w14:paraId="117B0EB8">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38F06743">
            <w:pPr>
              <w:rPr>
                <w:rFonts w:hint="eastAsia" w:ascii="宋体" w:hAnsi="宋体" w:eastAsia="宋体"/>
                <w:sz w:val="21"/>
                <w:szCs w:val="21"/>
              </w:rPr>
            </w:pPr>
            <w:r>
              <w:rPr>
                <w:rFonts w:hint="eastAsia" w:ascii="宋体" w:hAnsi="宋体" w:eastAsia="宋体"/>
                <w:sz w:val="21"/>
                <w:szCs w:val="21"/>
              </w:rPr>
              <w:t>安全管理设备</w:t>
            </w:r>
          </w:p>
        </w:tc>
        <w:tc>
          <w:tcPr>
            <w:tcW w:w="1371" w:type="dxa"/>
            <w:tcBorders>
              <w:right w:val="single" w:color="000000" w:sz="6" w:space="0"/>
            </w:tcBorders>
            <w:vAlign w:val="center"/>
          </w:tcPr>
          <w:p w14:paraId="79B63493">
            <w:pPr>
              <w:rPr>
                <w:rFonts w:hint="eastAsia" w:ascii="宋体" w:hAnsi="宋体" w:eastAsia="宋体"/>
                <w:sz w:val="21"/>
                <w:szCs w:val="21"/>
              </w:rPr>
            </w:pPr>
            <w:r>
              <w:rPr>
                <w:rFonts w:hint="eastAsia" w:ascii="宋体" w:hAnsi="宋体" w:eastAsia="宋体"/>
                <w:sz w:val="21"/>
                <w:szCs w:val="21"/>
              </w:rPr>
              <w:t>1台</w:t>
            </w:r>
          </w:p>
        </w:tc>
        <w:tc>
          <w:tcPr>
            <w:tcW w:w="1646" w:type="dxa"/>
            <w:vMerge w:val="continue"/>
            <w:tcBorders>
              <w:left w:val="single" w:color="000000" w:sz="6" w:space="0"/>
              <w:right w:val="single" w:color="000000" w:sz="6" w:space="0"/>
            </w:tcBorders>
            <w:vAlign w:val="center"/>
          </w:tcPr>
          <w:p w14:paraId="5E0BF74B">
            <w:pPr>
              <w:rPr>
                <w:rFonts w:hint="eastAsia" w:ascii="宋体" w:hAnsi="宋体" w:eastAsia="宋体" w:cs="仿宋"/>
                <w:sz w:val="21"/>
                <w:szCs w:val="21"/>
              </w:rPr>
            </w:pPr>
          </w:p>
        </w:tc>
      </w:tr>
      <w:tr w14:paraId="1B0DC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right w:val="single" w:color="000000" w:sz="6" w:space="0"/>
            </w:tcBorders>
            <w:vAlign w:val="center"/>
          </w:tcPr>
          <w:p w14:paraId="7CB25F62">
            <w:pPr>
              <w:rPr>
                <w:rFonts w:hint="eastAsia" w:ascii="宋体" w:hAnsi="宋体" w:eastAsia="宋体"/>
                <w:sz w:val="21"/>
                <w:szCs w:val="21"/>
              </w:rPr>
            </w:pPr>
          </w:p>
        </w:tc>
        <w:tc>
          <w:tcPr>
            <w:tcW w:w="1826" w:type="dxa"/>
            <w:vMerge w:val="continue"/>
            <w:tcBorders>
              <w:left w:val="single" w:color="000000" w:sz="6" w:space="0"/>
              <w:right w:val="single" w:color="000000" w:sz="6" w:space="0"/>
            </w:tcBorders>
            <w:vAlign w:val="center"/>
          </w:tcPr>
          <w:p w14:paraId="62023726">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0A0A9316">
            <w:pPr>
              <w:rPr>
                <w:rFonts w:hint="eastAsia" w:ascii="宋体" w:hAnsi="宋体" w:eastAsia="宋体"/>
                <w:sz w:val="21"/>
                <w:szCs w:val="21"/>
              </w:rPr>
            </w:pPr>
            <w:r>
              <w:rPr>
                <w:rFonts w:hint="eastAsia" w:ascii="宋体" w:hAnsi="宋体" w:eastAsia="宋体"/>
                <w:sz w:val="21"/>
                <w:szCs w:val="21"/>
              </w:rPr>
              <w:t>安全注册认证设备</w:t>
            </w:r>
          </w:p>
        </w:tc>
        <w:tc>
          <w:tcPr>
            <w:tcW w:w="1371" w:type="dxa"/>
            <w:tcBorders>
              <w:right w:val="single" w:color="000000" w:sz="6" w:space="0"/>
            </w:tcBorders>
            <w:vAlign w:val="center"/>
          </w:tcPr>
          <w:p w14:paraId="52B96425">
            <w:pPr>
              <w:rPr>
                <w:rFonts w:hint="eastAsia" w:ascii="宋体" w:hAnsi="宋体" w:eastAsia="宋体"/>
                <w:sz w:val="21"/>
                <w:szCs w:val="21"/>
              </w:rPr>
            </w:pPr>
            <w:r>
              <w:rPr>
                <w:rFonts w:hint="eastAsia" w:ascii="宋体" w:hAnsi="宋体" w:eastAsia="宋体"/>
                <w:sz w:val="21"/>
                <w:szCs w:val="21"/>
              </w:rPr>
              <w:t>1台</w:t>
            </w:r>
          </w:p>
        </w:tc>
        <w:tc>
          <w:tcPr>
            <w:tcW w:w="1646" w:type="dxa"/>
            <w:vMerge w:val="continue"/>
            <w:tcBorders>
              <w:left w:val="single" w:color="000000" w:sz="6" w:space="0"/>
              <w:right w:val="single" w:color="000000" w:sz="6" w:space="0"/>
            </w:tcBorders>
            <w:vAlign w:val="center"/>
          </w:tcPr>
          <w:p w14:paraId="2D43BF47">
            <w:pPr>
              <w:rPr>
                <w:rFonts w:hint="eastAsia" w:ascii="宋体" w:hAnsi="宋体" w:eastAsia="宋体" w:cs="仿宋"/>
                <w:sz w:val="21"/>
                <w:szCs w:val="21"/>
              </w:rPr>
            </w:pPr>
          </w:p>
        </w:tc>
      </w:tr>
      <w:tr w14:paraId="179761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right w:val="single" w:color="000000" w:sz="6" w:space="0"/>
            </w:tcBorders>
            <w:vAlign w:val="center"/>
          </w:tcPr>
          <w:p w14:paraId="7A8445A8">
            <w:pPr>
              <w:rPr>
                <w:rFonts w:hint="eastAsia" w:ascii="宋体" w:hAnsi="宋体" w:eastAsia="宋体"/>
                <w:sz w:val="21"/>
                <w:szCs w:val="21"/>
              </w:rPr>
            </w:pPr>
          </w:p>
        </w:tc>
        <w:tc>
          <w:tcPr>
            <w:tcW w:w="1826" w:type="dxa"/>
            <w:vMerge w:val="continue"/>
            <w:tcBorders>
              <w:left w:val="single" w:color="000000" w:sz="6" w:space="0"/>
              <w:right w:val="single" w:color="000000" w:sz="6" w:space="0"/>
            </w:tcBorders>
            <w:vAlign w:val="center"/>
          </w:tcPr>
          <w:p w14:paraId="3F712A3A">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736DD7FF">
            <w:pPr>
              <w:rPr>
                <w:rFonts w:hint="eastAsia" w:ascii="宋体" w:hAnsi="宋体" w:eastAsia="宋体"/>
                <w:sz w:val="21"/>
                <w:szCs w:val="21"/>
              </w:rPr>
            </w:pPr>
            <w:r>
              <w:rPr>
                <w:rFonts w:hint="eastAsia" w:ascii="宋体" w:hAnsi="宋体" w:eastAsia="宋体"/>
                <w:sz w:val="21"/>
                <w:szCs w:val="21"/>
              </w:rPr>
              <w:t>业务均衡设备</w:t>
            </w:r>
          </w:p>
        </w:tc>
        <w:tc>
          <w:tcPr>
            <w:tcW w:w="1371" w:type="dxa"/>
            <w:tcBorders>
              <w:right w:val="single" w:color="000000" w:sz="6" w:space="0"/>
            </w:tcBorders>
            <w:vAlign w:val="center"/>
          </w:tcPr>
          <w:p w14:paraId="5804452D">
            <w:pPr>
              <w:rPr>
                <w:rFonts w:hint="eastAsia" w:ascii="宋体" w:hAnsi="宋体" w:eastAsia="宋体"/>
                <w:sz w:val="21"/>
                <w:szCs w:val="21"/>
              </w:rPr>
            </w:pPr>
            <w:r>
              <w:rPr>
                <w:rFonts w:hint="eastAsia" w:ascii="宋体" w:hAnsi="宋体" w:eastAsia="宋体"/>
                <w:sz w:val="21"/>
                <w:szCs w:val="21"/>
              </w:rPr>
              <w:t>2台</w:t>
            </w:r>
          </w:p>
        </w:tc>
        <w:tc>
          <w:tcPr>
            <w:tcW w:w="1646" w:type="dxa"/>
            <w:vMerge w:val="continue"/>
            <w:tcBorders>
              <w:left w:val="single" w:color="000000" w:sz="6" w:space="0"/>
              <w:right w:val="single" w:color="000000" w:sz="6" w:space="0"/>
            </w:tcBorders>
            <w:vAlign w:val="center"/>
          </w:tcPr>
          <w:p w14:paraId="36DEACC9">
            <w:pPr>
              <w:rPr>
                <w:rFonts w:hint="eastAsia" w:ascii="宋体" w:hAnsi="宋体" w:eastAsia="宋体" w:cs="仿宋"/>
                <w:sz w:val="21"/>
                <w:szCs w:val="21"/>
              </w:rPr>
            </w:pPr>
          </w:p>
        </w:tc>
      </w:tr>
      <w:tr w14:paraId="6B600A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bottom w:val="single" w:color="000000" w:sz="6" w:space="0"/>
              <w:right w:val="single" w:color="000000" w:sz="6" w:space="0"/>
            </w:tcBorders>
            <w:vAlign w:val="center"/>
          </w:tcPr>
          <w:p w14:paraId="2593AE51">
            <w:pPr>
              <w:rPr>
                <w:rFonts w:hint="eastAsia" w:ascii="宋体" w:hAnsi="宋体" w:eastAsia="宋体"/>
                <w:sz w:val="21"/>
                <w:szCs w:val="21"/>
              </w:rPr>
            </w:pPr>
          </w:p>
        </w:tc>
        <w:tc>
          <w:tcPr>
            <w:tcW w:w="1826" w:type="dxa"/>
            <w:vMerge w:val="continue"/>
            <w:tcBorders>
              <w:left w:val="single" w:color="000000" w:sz="6" w:space="0"/>
              <w:bottom w:val="single" w:color="000000" w:sz="6" w:space="0"/>
              <w:right w:val="single" w:color="000000" w:sz="6" w:space="0"/>
            </w:tcBorders>
            <w:vAlign w:val="center"/>
          </w:tcPr>
          <w:p w14:paraId="2D931346">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7E572098">
            <w:pPr>
              <w:rPr>
                <w:rFonts w:hint="eastAsia" w:ascii="宋体" w:hAnsi="宋体" w:eastAsia="宋体"/>
                <w:sz w:val="21"/>
                <w:szCs w:val="21"/>
              </w:rPr>
            </w:pPr>
            <w:r>
              <w:rPr>
                <w:rFonts w:hint="eastAsia" w:ascii="宋体" w:hAnsi="宋体" w:eastAsia="宋体"/>
                <w:sz w:val="21"/>
                <w:szCs w:val="21"/>
              </w:rPr>
              <w:t>安全接入设备</w:t>
            </w:r>
          </w:p>
        </w:tc>
        <w:tc>
          <w:tcPr>
            <w:tcW w:w="1371" w:type="dxa"/>
            <w:tcBorders>
              <w:right w:val="single" w:color="000000" w:sz="6" w:space="0"/>
            </w:tcBorders>
            <w:vAlign w:val="center"/>
          </w:tcPr>
          <w:p w14:paraId="6F8A61F3">
            <w:pPr>
              <w:rPr>
                <w:rFonts w:hint="eastAsia" w:ascii="宋体" w:hAnsi="宋体" w:eastAsia="宋体"/>
                <w:sz w:val="21"/>
                <w:szCs w:val="21"/>
              </w:rPr>
            </w:pPr>
            <w:r>
              <w:rPr>
                <w:rFonts w:hint="eastAsia" w:ascii="宋体" w:hAnsi="宋体" w:eastAsia="宋体"/>
                <w:sz w:val="21"/>
                <w:szCs w:val="21"/>
              </w:rPr>
              <w:t>4台</w:t>
            </w:r>
          </w:p>
        </w:tc>
        <w:tc>
          <w:tcPr>
            <w:tcW w:w="1646" w:type="dxa"/>
            <w:vMerge w:val="continue"/>
            <w:tcBorders>
              <w:left w:val="single" w:color="000000" w:sz="6" w:space="0"/>
              <w:right w:val="single" w:color="000000" w:sz="6" w:space="0"/>
            </w:tcBorders>
            <w:vAlign w:val="center"/>
          </w:tcPr>
          <w:p w14:paraId="2ADC9580">
            <w:pPr>
              <w:rPr>
                <w:rFonts w:hint="eastAsia" w:ascii="宋体" w:hAnsi="宋体" w:eastAsia="宋体" w:cs="仿宋"/>
                <w:sz w:val="21"/>
                <w:szCs w:val="21"/>
              </w:rPr>
            </w:pPr>
          </w:p>
        </w:tc>
      </w:tr>
      <w:tr w14:paraId="0FDD30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1027" w:type="dxa"/>
            <w:vMerge w:val="restart"/>
            <w:tcBorders>
              <w:top w:val="single" w:color="000000" w:sz="6" w:space="0"/>
              <w:left w:val="single" w:color="000000" w:sz="6" w:space="0"/>
              <w:right w:val="single" w:color="000000" w:sz="6" w:space="0"/>
            </w:tcBorders>
            <w:vAlign w:val="center"/>
          </w:tcPr>
          <w:p w14:paraId="5E7E758F">
            <w:pPr>
              <w:rPr>
                <w:rFonts w:hint="eastAsia" w:ascii="宋体" w:hAnsi="宋体" w:eastAsia="宋体"/>
                <w:sz w:val="21"/>
                <w:szCs w:val="21"/>
              </w:rPr>
            </w:pPr>
            <w:r>
              <w:rPr>
                <w:rFonts w:hint="eastAsia" w:ascii="宋体" w:hAnsi="宋体" w:eastAsia="宋体"/>
                <w:sz w:val="21"/>
                <w:szCs w:val="21"/>
              </w:rPr>
              <w:t>2</w:t>
            </w:r>
          </w:p>
        </w:tc>
        <w:tc>
          <w:tcPr>
            <w:tcW w:w="1826" w:type="dxa"/>
            <w:vMerge w:val="restart"/>
            <w:tcBorders>
              <w:top w:val="single" w:color="000000" w:sz="6" w:space="0"/>
              <w:left w:val="single" w:color="000000" w:sz="6" w:space="0"/>
              <w:right w:val="single" w:color="000000" w:sz="6" w:space="0"/>
            </w:tcBorders>
            <w:vAlign w:val="center"/>
          </w:tcPr>
          <w:p w14:paraId="3470D261">
            <w:pPr>
              <w:rPr>
                <w:rFonts w:hint="eastAsia" w:ascii="宋体" w:hAnsi="宋体" w:eastAsia="宋体"/>
                <w:sz w:val="21"/>
                <w:szCs w:val="21"/>
              </w:rPr>
            </w:pPr>
            <w:r>
              <w:rPr>
                <w:rFonts w:hint="eastAsia" w:ascii="宋体" w:hAnsi="宋体" w:eastAsia="宋体"/>
                <w:sz w:val="21"/>
                <w:szCs w:val="21"/>
              </w:rPr>
              <w:t>中心端服务设备</w:t>
            </w:r>
          </w:p>
        </w:tc>
        <w:tc>
          <w:tcPr>
            <w:tcW w:w="2299" w:type="dxa"/>
            <w:tcBorders>
              <w:top w:val="single" w:color="000000" w:sz="6" w:space="0"/>
              <w:left w:val="single" w:color="000000" w:sz="6" w:space="0"/>
              <w:bottom w:val="single" w:color="000000" w:sz="6" w:space="0"/>
              <w:right w:val="single" w:color="000000" w:sz="6" w:space="0"/>
            </w:tcBorders>
            <w:vAlign w:val="center"/>
          </w:tcPr>
          <w:p w14:paraId="6743AE80">
            <w:pPr>
              <w:rPr>
                <w:rFonts w:hint="eastAsia" w:ascii="宋体" w:hAnsi="宋体" w:eastAsia="宋体"/>
                <w:sz w:val="21"/>
                <w:szCs w:val="21"/>
              </w:rPr>
            </w:pPr>
            <w:r>
              <w:rPr>
                <w:rFonts w:hint="eastAsia" w:ascii="宋体" w:hAnsi="宋体" w:eastAsia="宋体"/>
                <w:sz w:val="21"/>
                <w:szCs w:val="21"/>
              </w:rPr>
              <w:t>综合业务安全接入系统运行平台</w:t>
            </w:r>
          </w:p>
        </w:tc>
        <w:tc>
          <w:tcPr>
            <w:tcW w:w="1371" w:type="dxa"/>
            <w:tcBorders>
              <w:right w:val="single" w:color="000000" w:sz="6" w:space="0"/>
            </w:tcBorders>
            <w:vAlign w:val="center"/>
          </w:tcPr>
          <w:p w14:paraId="2A8A477B">
            <w:pPr>
              <w:rPr>
                <w:rFonts w:hint="eastAsia" w:ascii="宋体" w:hAnsi="宋体" w:eastAsia="宋体"/>
                <w:sz w:val="21"/>
                <w:szCs w:val="21"/>
              </w:rPr>
            </w:pPr>
            <w:r>
              <w:rPr>
                <w:rFonts w:hint="eastAsia" w:ascii="宋体" w:hAnsi="宋体" w:eastAsia="宋体"/>
                <w:sz w:val="21"/>
                <w:szCs w:val="21"/>
              </w:rPr>
              <w:t>2台</w:t>
            </w:r>
          </w:p>
        </w:tc>
        <w:tc>
          <w:tcPr>
            <w:tcW w:w="1646" w:type="dxa"/>
            <w:vMerge w:val="restart"/>
            <w:tcBorders>
              <w:left w:val="single" w:color="000000" w:sz="6" w:space="0"/>
              <w:right w:val="single" w:color="000000" w:sz="6" w:space="0"/>
            </w:tcBorders>
            <w:vAlign w:val="center"/>
          </w:tcPr>
          <w:p w14:paraId="15E51181">
            <w:pPr>
              <w:rPr>
                <w:rFonts w:hint="eastAsia" w:ascii="宋体" w:hAnsi="宋体" w:eastAsia="宋体" w:cs="仿宋"/>
                <w:sz w:val="21"/>
                <w:szCs w:val="21"/>
              </w:rPr>
            </w:pPr>
            <w:r>
              <w:rPr>
                <w:rFonts w:hint="eastAsia" w:ascii="宋体" w:hAnsi="宋体" w:eastAsia="宋体" w:cs="仿宋"/>
                <w:sz w:val="21"/>
                <w:szCs w:val="21"/>
              </w:rPr>
              <w:t>租赁机房</w:t>
            </w:r>
          </w:p>
        </w:tc>
      </w:tr>
      <w:tr w14:paraId="2519E4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right w:val="single" w:color="000000" w:sz="6" w:space="0"/>
            </w:tcBorders>
            <w:vAlign w:val="center"/>
          </w:tcPr>
          <w:p w14:paraId="33A7A40A">
            <w:pPr>
              <w:rPr>
                <w:rFonts w:hint="eastAsia" w:ascii="宋体" w:hAnsi="宋体" w:eastAsia="宋体"/>
                <w:sz w:val="21"/>
                <w:szCs w:val="21"/>
              </w:rPr>
            </w:pPr>
          </w:p>
        </w:tc>
        <w:tc>
          <w:tcPr>
            <w:tcW w:w="1826" w:type="dxa"/>
            <w:vMerge w:val="continue"/>
            <w:tcBorders>
              <w:left w:val="single" w:color="000000" w:sz="6" w:space="0"/>
              <w:right w:val="single" w:color="000000" w:sz="6" w:space="0"/>
            </w:tcBorders>
            <w:vAlign w:val="center"/>
          </w:tcPr>
          <w:p w14:paraId="414CD7BE">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3BFD7222">
            <w:pPr>
              <w:rPr>
                <w:rFonts w:hint="eastAsia" w:ascii="宋体" w:hAnsi="宋体" w:eastAsia="宋体"/>
                <w:sz w:val="21"/>
                <w:szCs w:val="21"/>
              </w:rPr>
            </w:pPr>
            <w:r>
              <w:rPr>
                <w:rFonts w:hint="eastAsia" w:ascii="宋体" w:hAnsi="宋体" w:eastAsia="宋体"/>
                <w:sz w:val="21"/>
                <w:szCs w:val="21"/>
              </w:rPr>
              <w:t>安全管理设备</w:t>
            </w:r>
          </w:p>
        </w:tc>
        <w:tc>
          <w:tcPr>
            <w:tcW w:w="1371" w:type="dxa"/>
            <w:tcBorders>
              <w:right w:val="single" w:color="000000" w:sz="6" w:space="0"/>
            </w:tcBorders>
            <w:vAlign w:val="center"/>
          </w:tcPr>
          <w:p w14:paraId="05106197">
            <w:pPr>
              <w:rPr>
                <w:rFonts w:hint="eastAsia" w:ascii="宋体" w:hAnsi="宋体" w:eastAsia="宋体"/>
                <w:sz w:val="21"/>
                <w:szCs w:val="21"/>
              </w:rPr>
            </w:pPr>
            <w:r>
              <w:rPr>
                <w:rFonts w:hint="eastAsia" w:ascii="宋体" w:hAnsi="宋体" w:eastAsia="宋体"/>
                <w:sz w:val="21"/>
                <w:szCs w:val="21"/>
              </w:rPr>
              <w:t>2台</w:t>
            </w:r>
          </w:p>
        </w:tc>
        <w:tc>
          <w:tcPr>
            <w:tcW w:w="1646" w:type="dxa"/>
            <w:vMerge w:val="continue"/>
            <w:tcBorders>
              <w:left w:val="single" w:color="000000" w:sz="6" w:space="0"/>
              <w:right w:val="single" w:color="000000" w:sz="6" w:space="0"/>
            </w:tcBorders>
            <w:vAlign w:val="center"/>
          </w:tcPr>
          <w:p w14:paraId="607C8C29">
            <w:pPr>
              <w:rPr>
                <w:rFonts w:hint="eastAsia" w:ascii="仿宋" w:hAnsi="仿宋" w:eastAsia="仿宋" w:cs="仿宋"/>
                <w:sz w:val="21"/>
                <w:szCs w:val="21"/>
              </w:rPr>
            </w:pPr>
          </w:p>
        </w:tc>
      </w:tr>
      <w:tr w14:paraId="32DA72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right w:val="single" w:color="000000" w:sz="6" w:space="0"/>
            </w:tcBorders>
            <w:vAlign w:val="center"/>
          </w:tcPr>
          <w:p w14:paraId="6D5EDF27">
            <w:pPr>
              <w:rPr>
                <w:rFonts w:hint="eastAsia" w:ascii="宋体" w:hAnsi="宋体" w:eastAsia="宋体"/>
                <w:sz w:val="21"/>
                <w:szCs w:val="21"/>
              </w:rPr>
            </w:pPr>
          </w:p>
        </w:tc>
        <w:tc>
          <w:tcPr>
            <w:tcW w:w="1826" w:type="dxa"/>
            <w:vMerge w:val="continue"/>
            <w:tcBorders>
              <w:left w:val="single" w:color="000000" w:sz="6" w:space="0"/>
              <w:right w:val="single" w:color="000000" w:sz="6" w:space="0"/>
            </w:tcBorders>
            <w:vAlign w:val="center"/>
          </w:tcPr>
          <w:p w14:paraId="6BA3DC44">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08461BB6">
            <w:pPr>
              <w:rPr>
                <w:rFonts w:hint="eastAsia" w:ascii="宋体" w:hAnsi="宋体" w:eastAsia="宋体"/>
                <w:sz w:val="21"/>
                <w:szCs w:val="21"/>
              </w:rPr>
            </w:pPr>
            <w:r>
              <w:rPr>
                <w:rFonts w:hint="eastAsia" w:ascii="宋体" w:hAnsi="宋体" w:eastAsia="宋体"/>
                <w:sz w:val="21"/>
                <w:szCs w:val="21"/>
              </w:rPr>
              <w:t>安全注册认证设备</w:t>
            </w:r>
          </w:p>
        </w:tc>
        <w:tc>
          <w:tcPr>
            <w:tcW w:w="1371" w:type="dxa"/>
            <w:tcBorders>
              <w:right w:val="single" w:color="000000" w:sz="6" w:space="0"/>
            </w:tcBorders>
            <w:vAlign w:val="center"/>
          </w:tcPr>
          <w:p w14:paraId="04A1C41A">
            <w:pPr>
              <w:rPr>
                <w:rFonts w:hint="eastAsia" w:ascii="宋体" w:hAnsi="宋体" w:eastAsia="宋体"/>
                <w:sz w:val="21"/>
                <w:szCs w:val="21"/>
              </w:rPr>
            </w:pPr>
            <w:r>
              <w:rPr>
                <w:rFonts w:hint="eastAsia" w:ascii="宋体" w:hAnsi="宋体" w:eastAsia="宋体"/>
                <w:sz w:val="21"/>
                <w:szCs w:val="21"/>
              </w:rPr>
              <w:t>2台</w:t>
            </w:r>
          </w:p>
        </w:tc>
        <w:tc>
          <w:tcPr>
            <w:tcW w:w="1646" w:type="dxa"/>
            <w:vMerge w:val="continue"/>
            <w:tcBorders>
              <w:left w:val="single" w:color="000000" w:sz="6" w:space="0"/>
              <w:right w:val="single" w:color="000000" w:sz="6" w:space="0"/>
            </w:tcBorders>
            <w:vAlign w:val="center"/>
          </w:tcPr>
          <w:p w14:paraId="4CECC8A6">
            <w:pPr>
              <w:rPr>
                <w:rFonts w:hint="eastAsia" w:ascii="仿宋" w:hAnsi="仿宋" w:eastAsia="仿宋" w:cs="仿宋"/>
                <w:sz w:val="21"/>
                <w:szCs w:val="21"/>
              </w:rPr>
            </w:pPr>
          </w:p>
        </w:tc>
      </w:tr>
      <w:tr w14:paraId="67591E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right w:val="single" w:color="000000" w:sz="6" w:space="0"/>
            </w:tcBorders>
            <w:vAlign w:val="center"/>
          </w:tcPr>
          <w:p w14:paraId="01721A68">
            <w:pPr>
              <w:rPr>
                <w:rFonts w:hint="eastAsia" w:ascii="宋体" w:hAnsi="宋体" w:eastAsia="宋体"/>
                <w:sz w:val="21"/>
                <w:szCs w:val="21"/>
              </w:rPr>
            </w:pPr>
          </w:p>
        </w:tc>
        <w:tc>
          <w:tcPr>
            <w:tcW w:w="1826" w:type="dxa"/>
            <w:vMerge w:val="continue"/>
            <w:tcBorders>
              <w:left w:val="single" w:color="000000" w:sz="6" w:space="0"/>
              <w:right w:val="single" w:color="000000" w:sz="6" w:space="0"/>
            </w:tcBorders>
            <w:vAlign w:val="center"/>
          </w:tcPr>
          <w:p w14:paraId="116BC0A8">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6DCA9B56">
            <w:pPr>
              <w:rPr>
                <w:rFonts w:hint="eastAsia" w:ascii="宋体" w:hAnsi="宋体" w:eastAsia="宋体"/>
                <w:sz w:val="21"/>
                <w:szCs w:val="21"/>
              </w:rPr>
            </w:pPr>
            <w:r>
              <w:rPr>
                <w:rFonts w:hint="eastAsia" w:ascii="宋体" w:hAnsi="宋体" w:eastAsia="宋体"/>
                <w:sz w:val="21"/>
                <w:szCs w:val="21"/>
              </w:rPr>
              <w:t>安全业务均衡设备</w:t>
            </w:r>
          </w:p>
        </w:tc>
        <w:tc>
          <w:tcPr>
            <w:tcW w:w="1371" w:type="dxa"/>
            <w:tcBorders>
              <w:right w:val="single" w:color="000000" w:sz="6" w:space="0"/>
            </w:tcBorders>
            <w:vAlign w:val="center"/>
          </w:tcPr>
          <w:p w14:paraId="10B62154">
            <w:pPr>
              <w:rPr>
                <w:rFonts w:hint="eastAsia" w:ascii="宋体" w:hAnsi="宋体" w:eastAsia="宋体"/>
                <w:sz w:val="21"/>
                <w:szCs w:val="21"/>
              </w:rPr>
            </w:pPr>
            <w:r>
              <w:rPr>
                <w:rFonts w:hint="eastAsia" w:ascii="宋体" w:hAnsi="宋体" w:eastAsia="宋体"/>
                <w:sz w:val="21"/>
                <w:szCs w:val="21"/>
              </w:rPr>
              <w:t>2台</w:t>
            </w:r>
          </w:p>
        </w:tc>
        <w:tc>
          <w:tcPr>
            <w:tcW w:w="1646" w:type="dxa"/>
            <w:vMerge w:val="continue"/>
            <w:tcBorders>
              <w:left w:val="single" w:color="000000" w:sz="6" w:space="0"/>
              <w:right w:val="single" w:color="000000" w:sz="6" w:space="0"/>
            </w:tcBorders>
            <w:vAlign w:val="center"/>
          </w:tcPr>
          <w:p w14:paraId="36293EC0">
            <w:pPr>
              <w:rPr>
                <w:rFonts w:hint="eastAsia" w:ascii="仿宋" w:hAnsi="仿宋" w:eastAsia="仿宋" w:cs="仿宋"/>
                <w:sz w:val="21"/>
                <w:szCs w:val="21"/>
              </w:rPr>
            </w:pPr>
          </w:p>
        </w:tc>
      </w:tr>
      <w:tr w14:paraId="747F14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bottom w:val="single" w:color="000000" w:sz="6" w:space="0"/>
              <w:right w:val="single" w:color="000000" w:sz="6" w:space="0"/>
            </w:tcBorders>
            <w:vAlign w:val="center"/>
          </w:tcPr>
          <w:p w14:paraId="60E75054">
            <w:pPr>
              <w:rPr>
                <w:rFonts w:hint="eastAsia" w:ascii="宋体" w:hAnsi="宋体" w:eastAsia="宋体"/>
                <w:sz w:val="21"/>
                <w:szCs w:val="21"/>
              </w:rPr>
            </w:pPr>
          </w:p>
        </w:tc>
        <w:tc>
          <w:tcPr>
            <w:tcW w:w="1826" w:type="dxa"/>
            <w:vMerge w:val="continue"/>
            <w:tcBorders>
              <w:left w:val="single" w:color="000000" w:sz="6" w:space="0"/>
              <w:bottom w:val="single" w:color="000000" w:sz="6" w:space="0"/>
              <w:right w:val="single" w:color="000000" w:sz="6" w:space="0"/>
            </w:tcBorders>
            <w:vAlign w:val="center"/>
          </w:tcPr>
          <w:p w14:paraId="25019842">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493AEB7A">
            <w:pPr>
              <w:rPr>
                <w:rFonts w:hint="eastAsia" w:ascii="宋体" w:hAnsi="宋体" w:eastAsia="宋体"/>
                <w:sz w:val="21"/>
                <w:szCs w:val="21"/>
              </w:rPr>
            </w:pPr>
            <w:r>
              <w:rPr>
                <w:rFonts w:hint="eastAsia" w:ascii="宋体" w:hAnsi="宋体" w:eastAsia="宋体"/>
                <w:sz w:val="21"/>
                <w:szCs w:val="21"/>
              </w:rPr>
              <w:t>安全接入设备</w:t>
            </w:r>
          </w:p>
        </w:tc>
        <w:tc>
          <w:tcPr>
            <w:tcW w:w="1371" w:type="dxa"/>
            <w:tcBorders>
              <w:right w:val="single" w:color="000000" w:sz="6" w:space="0"/>
            </w:tcBorders>
            <w:vAlign w:val="center"/>
          </w:tcPr>
          <w:p w14:paraId="74687671">
            <w:pPr>
              <w:rPr>
                <w:rFonts w:hint="eastAsia" w:ascii="宋体" w:hAnsi="宋体" w:eastAsia="宋体"/>
                <w:sz w:val="21"/>
                <w:szCs w:val="21"/>
              </w:rPr>
            </w:pPr>
            <w:r>
              <w:rPr>
                <w:rFonts w:hint="eastAsia" w:ascii="宋体" w:hAnsi="宋体" w:eastAsia="宋体"/>
                <w:sz w:val="21"/>
                <w:szCs w:val="21"/>
              </w:rPr>
              <w:t>6台</w:t>
            </w:r>
          </w:p>
        </w:tc>
        <w:tc>
          <w:tcPr>
            <w:tcW w:w="1646" w:type="dxa"/>
            <w:vMerge w:val="continue"/>
            <w:tcBorders>
              <w:left w:val="single" w:color="000000" w:sz="6" w:space="0"/>
              <w:right w:val="single" w:color="000000" w:sz="6" w:space="0"/>
            </w:tcBorders>
            <w:vAlign w:val="center"/>
          </w:tcPr>
          <w:p w14:paraId="6694C60F">
            <w:pPr>
              <w:rPr>
                <w:rFonts w:hint="eastAsia" w:ascii="仿宋" w:hAnsi="仿宋" w:eastAsia="仿宋" w:cs="仿宋"/>
                <w:sz w:val="21"/>
                <w:szCs w:val="21"/>
              </w:rPr>
            </w:pPr>
          </w:p>
        </w:tc>
      </w:tr>
      <w:tr w14:paraId="1EE421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8" w:hRule="atLeast"/>
        </w:trPr>
        <w:tc>
          <w:tcPr>
            <w:tcW w:w="1027" w:type="dxa"/>
            <w:vMerge w:val="restart"/>
            <w:tcBorders>
              <w:top w:val="single" w:color="000000" w:sz="6" w:space="0"/>
              <w:left w:val="single" w:color="000000" w:sz="6" w:space="0"/>
              <w:right w:val="single" w:color="000000" w:sz="6" w:space="0"/>
            </w:tcBorders>
            <w:vAlign w:val="center"/>
          </w:tcPr>
          <w:p w14:paraId="4A4CDC47">
            <w:pPr>
              <w:rPr>
                <w:rFonts w:hint="eastAsia" w:ascii="宋体" w:hAnsi="宋体" w:eastAsia="宋体"/>
                <w:sz w:val="21"/>
                <w:szCs w:val="21"/>
              </w:rPr>
            </w:pPr>
            <w:r>
              <w:rPr>
                <w:rFonts w:hint="eastAsia" w:ascii="宋体" w:hAnsi="宋体" w:eastAsia="宋体"/>
                <w:sz w:val="21"/>
                <w:szCs w:val="21"/>
              </w:rPr>
              <w:t>3</w:t>
            </w:r>
          </w:p>
        </w:tc>
        <w:tc>
          <w:tcPr>
            <w:tcW w:w="1826" w:type="dxa"/>
            <w:vMerge w:val="restart"/>
            <w:tcBorders>
              <w:top w:val="single" w:color="000000" w:sz="6" w:space="0"/>
              <w:left w:val="single" w:color="000000" w:sz="6" w:space="0"/>
              <w:right w:val="single" w:color="000000" w:sz="6" w:space="0"/>
            </w:tcBorders>
            <w:vAlign w:val="center"/>
          </w:tcPr>
          <w:p w14:paraId="01AB5C73">
            <w:pPr>
              <w:rPr>
                <w:rFonts w:hint="eastAsia" w:ascii="宋体" w:hAnsi="宋体" w:eastAsia="宋体"/>
                <w:sz w:val="21"/>
                <w:szCs w:val="21"/>
              </w:rPr>
            </w:pPr>
            <w:r>
              <w:rPr>
                <w:rFonts w:hint="eastAsia" w:ascii="宋体" w:hAnsi="宋体" w:eastAsia="宋体"/>
                <w:sz w:val="21"/>
                <w:szCs w:val="21"/>
              </w:rPr>
              <w:t>站点设备</w:t>
            </w:r>
          </w:p>
        </w:tc>
        <w:tc>
          <w:tcPr>
            <w:tcW w:w="2299" w:type="dxa"/>
            <w:tcBorders>
              <w:top w:val="single" w:color="000000" w:sz="6" w:space="0"/>
              <w:left w:val="single" w:color="000000" w:sz="6" w:space="0"/>
              <w:bottom w:val="single" w:color="000000" w:sz="6" w:space="0"/>
              <w:right w:val="single" w:color="000000" w:sz="6" w:space="0"/>
            </w:tcBorders>
            <w:vAlign w:val="center"/>
          </w:tcPr>
          <w:p w14:paraId="26065449">
            <w:pPr>
              <w:rPr>
                <w:rFonts w:hint="eastAsia" w:ascii="宋体" w:hAnsi="宋体" w:eastAsia="宋体"/>
                <w:sz w:val="21"/>
                <w:szCs w:val="21"/>
              </w:rPr>
            </w:pPr>
            <w:r>
              <w:rPr>
                <w:rFonts w:hint="eastAsia" w:ascii="宋体" w:hAnsi="宋体" w:eastAsia="宋体"/>
                <w:sz w:val="21"/>
                <w:szCs w:val="21"/>
              </w:rPr>
              <w:t>安全接入终端设备</w:t>
            </w:r>
          </w:p>
        </w:tc>
        <w:tc>
          <w:tcPr>
            <w:tcW w:w="1371" w:type="dxa"/>
            <w:tcBorders>
              <w:top w:val="single" w:color="000000" w:sz="6" w:space="0"/>
              <w:left w:val="single" w:color="000000" w:sz="6" w:space="0"/>
              <w:bottom w:val="single" w:color="000000" w:sz="6" w:space="0"/>
              <w:right w:val="single" w:color="000000" w:sz="6" w:space="0"/>
            </w:tcBorders>
            <w:vAlign w:val="center"/>
          </w:tcPr>
          <w:p w14:paraId="5BDC4A50">
            <w:pPr>
              <w:rPr>
                <w:rFonts w:hint="eastAsia" w:ascii="宋体" w:hAnsi="宋体" w:eastAsia="宋体"/>
                <w:sz w:val="21"/>
                <w:szCs w:val="21"/>
              </w:rPr>
            </w:pPr>
            <w:r>
              <w:rPr>
                <w:rFonts w:hint="eastAsia" w:ascii="宋体" w:hAnsi="宋体" w:eastAsia="宋体"/>
                <w:sz w:val="21"/>
                <w:szCs w:val="21"/>
              </w:rPr>
              <w:t>3400台</w:t>
            </w:r>
          </w:p>
        </w:tc>
        <w:tc>
          <w:tcPr>
            <w:tcW w:w="1646" w:type="dxa"/>
            <w:vMerge w:val="restart"/>
            <w:vAlign w:val="center"/>
          </w:tcPr>
          <w:p w14:paraId="2D1BCF15">
            <w:pPr>
              <w:rPr>
                <w:rFonts w:hint="eastAsia" w:ascii="仿宋" w:hAnsi="仿宋" w:eastAsia="仿宋" w:cs="仿宋"/>
                <w:sz w:val="21"/>
                <w:szCs w:val="21"/>
              </w:rPr>
            </w:pPr>
            <w:r>
              <w:rPr>
                <w:rFonts w:hint="eastAsia" w:ascii="宋体" w:hAnsi="宋体" w:eastAsia="宋体" w:cs="仿宋"/>
                <w:sz w:val="21"/>
                <w:szCs w:val="21"/>
              </w:rPr>
              <w:t>福彩代销网点</w:t>
            </w:r>
          </w:p>
        </w:tc>
      </w:tr>
      <w:tr w14:paraId="462EDC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0" w:hRule="atLeast"/>
        </w:trPr>
        <w:tc>
          <w:tcPr>
            <w:tcW w:w="1027" w:type="dxa"/>
            <w:vMerge w:val="continue"/>
            <w:tcBorders>
              <w:left w:val="single" w:color="000000" w:sz="6" w:space="0"/>
              <w:bottom w:val="single" w:color="000000" w:sz="6" w:space="0"/>
              <w:right w:val="single" w:color="000000" w:sz="6" w:space="0"/>
            </w:tcBorders>
            <w:vAlign w:val="center"/>
          </w:tcPr>
          <w:p w14:paraId="30DEB4E2">
            <w:pPr>
              <w:rPr>
                <w:rFonts w:hint="eastAsia" w:ascii="宋体" w:hAnsi="宋体" w:eastAsia="宋体"/>
                <w:sz w:val="21"/>
                <w:szCs w:val="21"/>
              </w:rPr>
            </w:pPr>
          </w:p>
        </w:tc>
        <w:tc>
          <w:tcPr>
            <w:tcW w:w="1826" w:type="dxa"/>
            <w:vMerge w:val="continue"/>
            <w:tcBorders>
              <w:left w:val="single" w:color="000000" w:sz="6" w:space="0"/>
              <w:bottom w:val="single" w:color="000000" w:sz="6" w:space="0"/>
              <w:right w:val="single" w:color="000000" w:sz="6" w:space="0"/>
            </w:tcBorders>
            <w:vAlign w:val="center"/>
          </w:tcPr>
          <w:p w14:paraId="6ACE0C21">
            <w:pPr>
              <w:rPr>
                <w:rFonts w:hint="eastAsia" w:ascii="宋体" w:hAnsi="宋体" w:eastAsia="宋体"/>
                <w:sz w:val="21"/>
                <w:szCs w:val="21"/>
              </w:rPr>
            </w:pPr>
          </w:p>
        </w:tc>
        <w:tc>
          <w:tcPr>
            <w:tcW w:w="2299" w:type="dxa"/>
            <w:tcBorders>
              <w:top w:val="single" w:color="000000" w:sz="6" w:space="0"/>
              <w:left w:val="single" w:color="000000" w:sz="6" w:space="0"/>
              <w:bottom w:val="single" w:color="000000" w:sz="6" w:space="0"/>
              <w:right w:val="single" w:color="000000" w:sz="6" w:space="0"/>
            </w:tcBorders>
            <w:vAlign w:val="center"/>
          </w:tcPr>
          <w:p w14:paraId="7DB43982">
            <w:pPr>
              <w:rPr>
                <w:rFonts w:hint="eastAsia" w:ascii="宋体" w:hAnsi="宋体" w:eastAsia="宋体"/>
                <w:sz w:val="21"/>
                <w:szCs w:val="21"/>
              </w:rPr>
            </w:pPr>
            <w:r>
              <w:rPr>
                <w:rFonts w:hint="eastAsia" w:ascii="宋体" w:hAnsi="宋体" w:eastAsia="宋体"/>
                <w:sz w:val="21"/>
                <w:szCs w:val="21"/>
              </w:rPr>
              <w:t>安全接入软终端</w:t>
            </w:r>
          </w:p>
        </w:tc>
        <w:tc>
          <w:tcPr>
            <w:tcW w:w="1371" w:type="dxa"/>
            <w:vAlign w:val="center"/>
          </w:tcPr>
          <w:p w14:paraId="060F233F">
            <w:pPr>
              <w:rPr>
                <w:rFonts w:hint="eastAsia" w:ascii="宋体" w:hAnsi="宋体" w:eastAsia="宋体"/>
                <w:sz w:val="21"/>
                <w:szCs w:val="21"/>
              </w:rPr>
            </w:pPr>
            <w:r>
              <w:rPr>
                <w:rFonts w:hint="eastAsia" w:ascii="宋体" w:hAnsi="宋体" w:eastAsia="宋体"/>
                <w:sz w:val="21"/>
                <w:szCs w:val="21"/>
              </w:rPr>
              <w:t>4000套</w:t>
            </w:r>
          </w:p>
        </w:tc>
        <w:tc>
          <w:tcPr>
            <w:tcW w:w="1646" w:type="dxa"/>
            <w:vMerge w:val="continue"/>
            <w:vAlign w:val="center"/>
          </w:tcPr>
          <w:p w14:paraId="0DC7D479">
            <w:pPr>
              <w:rPr>
                <w:rFonts w:hint="eastAsia" w:ascii="仿宋" w:hAnsi="仿宋" w:eastAsia="仿宋" w:cs="仿宋"/>
                <w:sz w:val="21"/>
                <w:szCs w:val="21"/>
              </w:rPr>
            </w:pPr>
          </w:p>
        </w:tc>
      </w:tr>
    </w:tbl>
    <w:p w14:paraId="0EC863F5">
      <w:pPr>
        <w:rPr>
          <w:rFonts w:hint="eastAsia" w:ascii="宋体" w:hAnsi="宋体" w:eastAsia="宋体"/>
          <w:b/>
          <w:bCs/>
          <w:sz w:val="21"/>
          <w:szCs w:val="21"/>
        </w:rPr>
      </w:pPr>
    </w:p>
    <w:p w14:paraId="38AF59C3">
      <w:pPr>
        <w:ind w:firstLine="420" w:firstLineChars="200"/>
        <w:rPr>
          <w:rFonts w:hint="eastAsia" w:ascii="宋体" w:hAnsi="宋体" w:eastAsia="宋体"/>
          <w:sz w:val="21"/>
          <w:szCs w:val="21"/>
        </w:rPr>
      </w:pPr>
      <w:r>
        <w:rPr>
          <w:rFonts w:hint="eastAsia" w:ascii="宋体" w:hAnsi="宋体" w:eastAsia="宋体"/>
          <w:sz w:val="21"/>
          <w:szCs w:val="21"/>
        </w:rPr>
        <w:t>上海福彩综合业务安全接入平台现状如图三所示：</w:t>
      </w:r>
    </w:p>
    <w:p w14:paraId="3A136AAD">
      <w:pPr>
        <w:jc w:val="center"/>
        <w:rPr>
          <w:rFonts w:hint="eastAsia" w:ascii="宋体" w:hAnsi="宋体" w:eastAsia="宋体"/>
          <w:b/>
          <w:bCs/>
          <w:sz w:val="21"/>
          <w:szCs w:val="21"/>
        </w:rPr>
      </w:pPr>
      <w:r>
        <w:rPr>
          <w:rFonts w:ascii="宋体" w:hAnsi="宋体" w:eastAsia="宋体"/>
          <w:b/>
          <w:bCs/>
          <w:sz w:val="21"/>
          <w:szCs w:val="21"/>
        </w:rPr>
        <w:pict>
          <v:shape id="_x0000_i1027" o:spt="75" type="#_x0000_t75" style="height:598.55pt;width:388.8pt;" filled="f" o:preferrelative="t" stroked="f" coordsize="21600,21600">
            <v:path/>
            <v:fill on="f" focussize="0,0"/>
            <v:stroke on="f" joinstyle="miter"/>
            <v:imagedata r:id="rId9" o:title="天泰安全接入平台拓朴图v1-20260518（改造前）"/>
            <o:lock v:ext="edit" aspectratio="t"/>
            <w10:wrap type="none"/>
            <w10:anchorlock/>
          </v:shape>
        </w:pict>
      </w:r>
    </w:p>
    <w:p w14:paraId="15F04AB6">
      <w:pPr>
        <w:jc w:val="center"/>
        <w:rPr>
          <w:rFonts w:hint="eastAsia" w:ascii="宋体" w:hAnsi="宋体" w:eastAsia="宋体"/>
          <w:sz w:val="21"/>
          <w:szCs w:val="21"/>
        </w:rPr>
      </w:pPr>
      <w:r>
        <w:rPr>
          <w:rFonts w:hint="eastAsia" w:ascii="宋体" w:hAnsi="宋体" w:eastAsia="宋体"/>
          <w:sz w:val="21"/>
          <w:szCs w:val="21"/>
        </w:rPr>
        <w:t>（图三）</w:t>
      </w:r>
    </w:p>
    <w:p w14:paraId="3E6EF61E">
      <w:pPr>
        <w:pStyle w:val="13"/>
        <w:spacing w:line="360" w:lineRule="auto"/>
        <w:ind w:firstLine="420" w:firstLineChars="200"/>
        <w:rPr>
          <w:rFonts w:hint="eastAsia" w:ascii="宋体" w:hAnsi="宋体" w:eastAsia="宋体"/>
          <w:sz w:val="21"/>
          <w:szCs w:val="21"/>
          <w14:ligatures w14:val="standardContextual"/>
        </w:rPr>
      </w:pPr>
      <w:r>
        <w:rPr>
          <w:rFonts w:hint="eastAsia" w:ascii="宋体" w:hAnsi="宋体" w:eastAsia="宋体"/>
          <w:sz w:val="21"/>
          <w:szCs w:val="21"/>
          <w14:ligatures w14:val="standardContextual"/>
        </w:rPr>
        <w:t>供应商需在</w:t>
      </w:r>
      <w:r>
        <w:rPr>
          <w:rFonts w:ascii="宋体" w:hAnsi="宋体" w:eastAsia="宋体"/>
          <w:sz w:val="21"/>
          <w:szCs w:val="21"/>
          <w14:ligatures w14:val="standardContextual"/>
        </w:rPr>
        <w:t>上海福彩现有系统运行状态及设备情况</w:t>
      </w:r>
      <w:r>
        <w:rPr>
          <w:rFonts w:hint="eastAsia" w:ascii="宋体" w:hAnsi="宋体" w:eastAsia="宋体"/>
          <w:sz w:val="21"/>
          <w:szCs w:val="21"/>
          <w14:ligatures w14:val="standardContextual"/>
        </w:rPr>
        <w:t>的基础上，制定</w:t>
      </w:r>
      <w:r>
        <w:rPr>
          <w:rFonts w:ascii="宋体" w:hAnsi="宋体" w:eastAsia="宋体"/>
          <w:sz w:val="21"/>
          <w:szCs w:val="21"/>
          <w14:ligatures w14:val="standardContextual"/>
        </w:rPr>
        <w:t>科学合理、可落地的</w:t>
      </w:r>
      <w:r>
        <w:rPr>
          <w:rFonts w:hint="eastAsia" w:ascii="宋体" w:hAnsi="宋体" w:eastAsia="宋体"/>
          <w:sz w:val="21"/>
          <w:szCs w:val="21"/>
          <w14:ligatures w14:val="standardContextual"/>
        </w:rPr>
        <w:t>上海福彩综合业务安全平台改造实施方案、回退方案、应急与保障方案并按方案提供相应服务，中标后需对上海福彩现有系统运行状态进行充分调研，</w:t>
      </w:r>
      <w:r>
        <w:rPr>
          <w:rFonts w:ascii="宋体" w:hAnsi="宋体" w:eastAsia="宋体"/>
          <w:sz w:val="21"/>
          <w:szCs w:val="21"/>
          <w14:ligatures w14:val="standardContextual"/>
        </w:rPr>
        <w:t>确保改造</w:t>
      </w:r>
      <w:r>
        <w:rPr>
          <w:rFonts w:hint="eastAsia" w:ascii="宋体" w:hAnsi="宋体" w:eastAsia="宋体"/>
          <w:sz w:val="21"/>
          <w:szCs w:val="21"/>
          <w14:ligatures w14:val="standardContextual"/>
        </w:rPr>
        <w:t>期间</w:t>
      </w:r>
      <w:r>
        <w:rPr>
          <w:rFonts w:ascii="宋体" w:hAnsi="宋体" w:eastAsia="宋体"/>
          <w:sz w:val="21"/>
          <w:szCs w:val="21"/>
          <w14:ligatures w14:val="standardContextual"/>
        </w:rPr>
        <w:t>不影响现有福彩销售业务正常开展</w:t>
      </w:r>
      <w:r>
        <w:rPr>
          <w:rFonts w:hint="eastAsia" w:ascii="宋体" w:hAnsi="宋体" w:eastAsia="宋体"/>
          <w:sz w:val="21"/>
          <w:szCs w:val="21"/>
          <w14:ligatures w14:val="standardContextual"/>
        </w:rPr>
        <w:t>，代销网点销售业务不中断，具体要求如下：</w:t>
      </w:r>
    </w:p>
    <w:p w14:paraId="41E4BA1C">
      <w:pPr>
        <w:pStyle w:val="38"/>
        <w:widowControl/>
        <w:spacing w:line="360" w:lineRule="auto"/>
        <w:ind w:left="0" w:firstLine="420" w:firstLineChars="200"/>
        <w:rPr>
          <w:rFonts w:hint="eastAsia" w:ascii="宋体" w:hAnsi="宋体" w:eastAsia="宋体"/>
          <w:color w:val="auto"/>
          <w:sz w:val="21"/>
          <w:szCs w:val="21"/>
        </w:rPr>
      </w:pPr>
      <w:r>
        <w:rPr>
          <w:rFonts w:hint="eastAsia" w:ascii="宋体" w:hAnsi="宋体" w:eastAsia="宋体"/>
          <w:color w:val="auto"/>
          <w:sz w:val="21"/>
          <w:szCs w:val="21"/>
        </w:rPr>
        <w:t>（1）综合业务安全平台服务端优化要求：优化</w:t>
      </w:r>
      <w:r>
        <w:rPr>
          <w:rFonts w:ascii="宋体" w:hAnsi="宋体" w:eastAsia="宋体"/>
          <w:color w:val="auto"/>
          <w:sz w:val="21"/>
          <w:szCs w:val="21"/>
        </w:rPr>
        <w:t>改造须</w:t>
      </w:r>
      <w:r>
        <w:rPr>
          <w:rFonts w:hint="eastAsia" w:ascii="宋体" w:hAnsi="宋体" w:eastAsia="宋体"/>
          <w:color w:val="auto"/>
          <w:kern w:val="0"/>
          <w:sz w:val="21"/>
          <w:szCs w:val="21"/>
        </w:rPr>
        <w:t>根据《中国福利彩票计算机网络IP地址编码规范》要求</w:t>
      </w:r>
      <w:r>
        <w:rPr>
          <w:rFonts w:hint="eastAsia" w:ascii="宋体" w:hAnsi="宋体" w:eastAsia="宋体"/>
          <w:color w:val="auto"/>
          <w:sz w:val="21"/>
          <w:szCs w:val="21"/>
        </w:rPr>
        <w:t>，</w:t>
      </w:r>
      <w:r>
        <w:rPr>
          <w:rFonts w:hint="eastAsia" w:ascii="宋体" w:hAnsi="宋体" w:eastAsia="宋体"/>
          <w:color w:val="auto"/>
          <w:kern w:val="0"/>
          <w:sz w:val="21"/>
          <w:szCs w:val="21"/>
        </w:rPr>
        <w:t>使用中福彩中心统一规划的I</w:t>
      </w:r>
      <w:r>
        <w:rPr>
          <w:rFonts w:ascii="宋体" w:hAnsi="宋体" w:eastAsia="宋体"/>
          <w:color w:val="auto"/>
          <w:kern w:val="0"/>
          <w:sz w:val="21"/>
          <w:szCs w:val="21"/>
        </w:rPr>
        <w:t>P</w:t>
      </w:r>
      <w:r>
        <w:rPr>
          <w:rFonts w:hint="eastAsia" w:ascii="宋体" w:hAnsi="宋体" w:eastAsia="宋体"/>
          <w:color w:val="auto"/>
          <w:kern w:val="0"/>
          <w:sz w:val="21"/>
          <w:szCs w:val="21"/>
        </w:rPr>
        <w:t>地址段</w:t>
      </w:r>
      <w:bookmarkStart w:id="0" w:name="_Hlk151963574"/>
      <w:r>
        <w:rPr>
          <w:rFonts w:hint="eastAsia" w:ascii="宋体" w:hAnsi="宋体" w:eastAsia="宋体"/>
          <w:color w:val="auto"/>
          <w:kern w:val="0"/>
          <w:sz w:val="21"/>
          <w:szCs w:val="21"/>
        </w:rPr>
        <w:t>。生产、仿真、测试应使用</w:t>
      </w:r>
      <w:bookmarkEnd w:id="0"/>
      <w:r>
        <w:rPr>
          <w:rFonts w:hint="eastAsia" w:ascii="宋体" w:hAnsi="宋体" w:eastAsia="宋体"/>
          <w:color w:val="auto"/>
          <w:kern w:val="0"/>
          <w:sz w:val="21"/>
          <w:szCs w:val="21"/>
        </w:rPr>
        <w:t>不同的I</w:t>
      </w:r>
      <w:r>
        <w:rPr>
          <w:rFonts w:ascii="宋体" w:hAnsi="宋体" w:eastAsia="宋体"/>
          <w:color w:val="auto"/>
          <w:kern w:val="0"/>
          <w:sz w:val="21"/>
          <w:szCs w:val="21"/>
        </w:rPr>
        <w:t>P</w:t>
      </w:r>
      <w:r>
        <w:rPr>
          <w:rFonts w:hint="eastAsia" w:ascii="宋体" w:hAnsi="宋体" w:eastAsia="宋体"/>
          <w:color w:val="auto"/>
          <w:kern w:val="0"/>
          <w:sz w:val="21"/>
          <w:szCs w:val="21"/>
        </w:rPr>
        <w:t>地址段，严禁混用，如已混用的应进行改造。新建或改造的各类终端应使用真实地址访问中福彩中心业务系统，使用其它方式的应进行替换。严禁将中福彩中心业务系统I</w:t>
      </w:r>
      <w:r>
        <w:rPr>
          <w:rFonts w:ascii="宋体" w:hAnsi="宋体" w:eastAsia="宋体"/>
          <w:color w:val="auto"/>
          <w:kern w:val="0"/>
          <w:sz w:val="21"/>
          <w:szCs w:val="21"/>
        </w:rPr>
        <w:t>P</w:t>
      </w:r>
      <w:bookmarkStart w:id="1" w:name="_Hlk151963927"/>
      <w:r>
        <w:rPr>
          <w:rFonts w:hint="eastAsia" w:ascii="宋体" w:hAnsi="宋体" w:eastAsia="宋体"/>
          <w:color w:val="auto"/>
          <w:kern w:val="0"/>
          <w:sz w:val="21"/>
          <w:szCs w:val="21"/>
        </w:rPr>
        <w:t>私自通过</w:t>
      </w:r>
      <w:r>
        <w:rPr>
          <w:rFonts w:ascii="宋体" w:hAnsi="宋体" w:eastAsia="宋体"/>
          <w:color w:val="auto"/>
          <w:kern w:val="0"/>
          <w:sz w:val="21"/>
          <w:szCs w:val="21"/>
        </w:rPr>
        <w:t>NAT</w:t>
      </w:r>
      <w:r>
        <w:rPr>
          <w:rFonts w:hint="eastAsia" w:ascii="宋体" w:hAnsi="宋体" w:eastAsia="宋体"/>
          <w:color w:val="auto"/>
          <w:kern w:val="0"/>
          <w:sz w:val="21"/>
          <w:szCs w:val="21"/>
        </w:rPr>
        <w:t>方式</w:t>
      </w:r>
      <w:bookmarkEnd w:id="1"/>
      <w:r>
        <w:rPr>
          <w:rFonts w:hint="eastAsia" w:ascii="宋体" w:hAnsi="宋体" w:eastAsia="宋体"/>
          <w:color w:val="auto"/>
          <w:kern w:val="0"/>
          <w:sz w:val="21"/>
          <w:szCs w:val="21"/>
        </w:rPr>
        <w:t>发布到互联网。为满足上述要求具体改造</w:t>
      </w:r>
      <w:r>
        <w:rPr>
          <w:rFonts w:hint="eastAsia" w:ascii="宋体" w:hAnsi="宋体" w:eastAsia="宋体"/>
          <w:color w:val="auto"/>
          <w:sz w:val="21"/>
          <w:szCs w:val="21"/>
        </w:rPr>
        <w:t>工作如下：</w:t>
      </w:r>
    </w:p>
    <w:p w14:paraId="7EC49C82">
      <w:pPr>
        <w:pStyle w:val="38"/>
        <w:widowControl/>
        <w:spacing w:line="360" w:lineRule="auto"/>
        <w:ind w:left="0" w:firstLine="630" w:firstLineChars="300"/>
        <w:rPr>
          <w:rFonts w:hint="eastAsia" w:ascii="宋体" w:hAnsi="宋体" w:eastAsia="宋体"/>
          <w:color w:val="auto"/>
          <w:sz w:val="21"/>
          <w:szCs w:val="21"/>
        </w:rPr>
      </w:pPr>
      <w:r>
        <w:rPr>
          <w:rFonts w:hint="eastAsia" w:ascii="宋体" w:hAnsi="宋体" w:eastAsia="宋体"/>
          <w:color w:val="auto"/>
          <w:sz w:val="21"/>
          <w:szCs w:val="21"/>
        </w:rPr>
        <w:t>① 需对综合业务安全平台现状进行评估，分析业务板卡负载情况，梳理网络配置，采用VLSM合理划分子网，统筹规划销售终端及隧道专用IP地址段。</w:t>
      </w:r>
      <w:r>
        <w:rPr>
          <w:rFonts w:ascii="宋体" w:hAnsi="宋体" w:eastAsia="宋体"/>
          <w:color w:val="auto"/>
          <w:sz w:val="21"/>
          <w:szCs w:val="21"/>
        </w:rPr>
        <w:t>限额管理与动态分配，适配地址资源管控要求，实现投注终端网络地址规范化、可追溯化管理</w:t>
      </w:r>
      <w:r>
        <w:rPr>
          <w:rFonts w:hint="eastAsia" w:ascii="宋体" w:hAnsi="宋体" w:eastAsia="宋体"/>
          <w:color w:val="auto"/>
          <w:sz w:val="21"/>
          <w:szCs w:val="21"/>
        </w:rPr>
        <w:t>；</w:t>
      </w:r>
    </w:p>
    <w:p w14:paraId="57B52D59">
      <w:pPr>
        <w:pStyle w:val="38"/>
        <w:widowControl/>
        <w:spacing w:line="360" w:lineRule="auto"/>
        <w:ind w:left="0" w:firstLine="630" w:firstLineChars="300"/>
        <w:rPr>
          <w:rFonts w:hint="eastAsia" w:ascii="宋体" w:hAnsi="宋体" w:eastAsia="宋体"/>
          <w:color w:val="auto"/>
          <w:sz w:val="21"/>
          <w:szCs w:val="21"/>
        </w:rPr>
      </w:pPr>
      <w:r>
        <w:rPr>
          <w:rFonts w:hint="eastAsia" w:ascii="宋体" w:hAnsi="宋体" w:eastAsia="宋体"/>
          <w:color w:val="auto"/>
          <w:sz w:val="21"/>
          <w:szCs w:val="21"/>
        </w:rPr>
        <w:t>② 统一规范网关，预留扩展空间，取消IP地址转换，建立IP地址管理表；</w:t>
      </w:r>
    </w:p>
    <w:p w14:paraId="5C998E91">
      <w:pPr>
        <w:pStyle w:val="38"/>
        <w:widowControl/>
        <w:spacing w:line="360" w:lineRule="auto"/>
        <w:ind w:left="0" w:firstLine="630" w:firstLineChars="300"/>
        <w:rPr>
          <w:rFonts w:hint="eastAsia" w:ascii="宋体" w:hAnsi="宋体" w:eastAsia="宋体"/>
          <w:color w:val="auto"/>
          <w:sz w:val="21"/>
          <w:szCs w:val="21"/>
        </w:rPr>
      </w:pPr>
      <w:r>
        <w:rPr>
          <w:rFonts w:hint="eastAsia" w:ascii="宋体" w:hAnsi="宋体" w:eastAsia="宋体"/>
          <w:color w:val="auto"/>
          <w:sz w:val="21"/>
          <w:szCs w:val="21"/>
        </w:rPr>
        <w:t>③ 分批次完成中心设备底层操作系统改造、应用系统改造及配置变更；</w:t>
      </w:r>
    </w:p>
    <w:p w14:paraId="2511D810">
      <w:pPr>
        <w:pStyle w:val="13"/>
        <w:spacing w:line="360" w:lineRule="auto"/>
        <w:ind w:firstLine="420" w:firstLineChars="200"/>
        <w:rPr>
          <w:rFonts w:hint="eastAsia" w:ascii="宋体" w:hAnsi="宋体" w:eastAsia="宋体"/>
          <w:sz w:val="21"/>
          <w:szCs w:val="21"/>
        </w:rPr>
      </w:pPr>
      <w:r>
        <w:rPr>
          <w:rFonts w:hint="eastAsia" w:ascii="宋体" w:hAnsi="宋体" w:eastAsia="宋体"/>
          <w:sz w:val="21"/>
          <w:szCs w:val="21"/>
          <w14:ligatures w14:val="standardContextual"/>
        </w:rPr>
        <w:t>（2）</w:t>
      </w:r>
      <w:r>
        <w:rPr>
          <w:rFonts w:hint="eastAsia" w:ascii="宋体" w:hAnsi="宋体" w:eastAsia="宋体"/>
          <w:sz w:val="21"/>
          <w:szCs w:val="21"/>
        </w:rPr>
        <w:t>安全接入终端优化要求：完成</w:t>
      </w:r>
      <w:r>
        <w:rPr>
          <w:rFonts w:ascii="宋体" w:hAnsi="宋体" w:eastAsia="宋体"/>
          <w:kern w:val="2"/>
          <w:sz w:val="21"/>
          <w:szCs w:val="21"/>
          <w14:ligatures w14:val="standardContextual"/>
        </w:rPr>
        <w:t>代销网点3</w:t>
      </w:r>
      <w:r>
        <w:rPr>
          <w:rFonts w:hint="eastAsia" w:ascii="宋体" w:hAnsi="宋体" w:eastAsia="宋体"/>
          <w:kern w:val="2"/>
          <w:sz w:val="21"/>
          <w:szCs w:val="21"/>
          <w14:ligatures w14:val="standardContextual"/>
        </w:rPr>
        <w:t>400</w:t>
      </w:r>
      <w:r>
        <w:rPr>
          <w:rFonts w:ascii="宋体" w:hAnsi="宋体" w:eastAsia="宋体"/>
          <w:kern w:val="2"/>
          <w:sz w:val="21"/>
          <w:szCs w:val="21"/>
          <w14:ligatures w14:val="standardContextual"/>
        </w:rPr>
        <w:t>个安全接入</w:t>
      </w:r>
      <w:r>
        <w:rPr>
          <w:rFonts w:hint="eastAsia" w:ascii="宋体" w:hAnsi="宋体" w:eastAsia="宋体"/>
          <w:kern w:val="2"/>
          <w:sz w:val="21"/>
          <w:szCs w:val="21"/>
          <w14:ligatures w14:val="standardContextual"/>
        </w:rPr>
        <w:t>终端</w:t>
      </w:r>
      <w:r>
        <w:rPr>
          <w:rFonts w:ascii="宋体" w:hAnsi="宋体" w:eastAsia="宋体"/>
          <w:kern w:val="2"/>
          <w:sz w:val="21"/>
          <w:szCs w:val="21"/>
          <w14:ligatures w14:val="standardContextual"/>
        </w:rPr>
        <w:t>设备</w:t>
      </w:r>
      <w:r>
        <w:rPr>
          <w:rFonts w:hint="eastAsia" w:ascii="宋体" w:hAnsi="宋体" w:eastAsia="宋体"/>
          <w:kern w:val="2"/>
          <w:sz w:val="21"/>
          <w:szCs w:val="21"/>
          <w14:ligatures w14:val="standardContextual"/>
        </w:rPr>
        <w:t>系统升级</w:t>
      </w:r>
      <w:r>
        <w:rPr>
          <w:rFonts w:ascii="宋体" w:hAnsi="宋体" w:eastAsia="宋体"/>
          <w:kern w:val="2"/>
          <w:sz w:val="21"/>
          <w:szCs w:val="21"/>
          <w14:ligatures w14:val="standardContextual"/>
        </w:rPr>
        <w:t>，以及4</w:t>
      </w:r>
      <w:r>
        <w:rPr>
          <w:rFonts w:hint="eastAsia" w:ascii="宋体" w:hAnsi="宋体" w:eastAsia="宋体"/>
          <w:kern w:val="2"/>
          <w:sz w:val="21"/>
          <w:szCs w:val="21"/>
          <w14:ligatures w14:val="standardContextual"/>
        </w:rPr>
        <w:t>0</w:t>
      </w:r>
      <w:r>
        <w:rPr>
          <w:rFonts w:ascii="宋体" w:hAnsi="宋体" w:eastAsia="宋体"/>
          <w:kern w:val="2"/>
          <w:sz w:val="21"/>
          <w:szCs w:val="21"/>
          <w14:ligatures w14:val="standardContextual"/>
        </w:rPr>
        <w:t>00个安全通信软终端</w:t>
      </w:r>
      <w:r>
        <w:rPr>
          <w:rFonts w:hint="eastAsia" w:ascii="宋体" w:hAnsi="宋体" w:eastAsia="宋体"/>
          <w:kern w:val="2"/>
          <w:sz w:val="21"/>
          <w:szCs w:val="21"/>
          <w14:ligatures w14:val="standardContextual"/>
        </w:rPr>
        <w:t>软件升级</w:t>
      </w:r>
      <w:r>
        <w:rPr>
          <w:rFonts w:hint="eastAsia" w:ascii="宋体" w:hAnsi="宋体" w:eastAsia="宋体"/>
          <w:sz w:val="21"/>
          <w:szCs w:val="21"/>
        </w:rPr>
        <w:t>改造工作，须按中福彩网络规划终端IP地址由安全接入终端设备分配改为中心服务端分配，优化双活机房的多线路接入需求，提升终端的安全防护能力及运维管控效率。</w:t>
      </w:r>
    </w:p>
    <w:p w14:paraId="389A9230">
      <w:pPr>
        <w:pStyle w:val="17"/>
        <w:spacing w:line="360" w:lineRule="auto"/>
        <w:ind w:firstLine="420" w:firstLineChars="200"/>
        <w:rPr>
          <w:rFonts w:hint="eastAsia" w:ascii="宋体" w:hAnsi="宋体" w:eastAsia="宋体"/>
          <w:sz w:val="21"/>
          <w:szCs w:val="21"/>
        </w:rPr>
      </w:pPr>
      <w:r>
        <w:rPr>
          <w:rFonts w:hint="eastAsia" w:ascii="宋体" w:hAnsi="宋体" w:eastAsia="宋体"/>
          <w:sz w:val="21"/>
          <w:szCs w:val="21"/>
        </w:rPr>
        <w:t>（3）销售终端</w:t>
      </w:r>
      <w:r>
        <w:rPr>
          <w:rFonts w:ascii="宋体" w:hAnsi="宋体" w:eastAsia="宋体"/>
          <w:sz w:val="21"/>
          <w:szCs w:val="21"/>
        </w:rPr>
        <w:t>网络接入与数据流向绑定要求</w:t>
      </w:r>
      <w:r>
        <w:rPr>
          <w:rFonts w:hint="eastAsia" w:ascii="宋体" w:hAnsi="宋体" w:eastAsia="宋体"/>
          <w:sz w:val="21"/>
          <w:szCs w:val="21"/>
        </w:rPr>
        <w:t>：优化代销网点销售终端业务数据流符合中福彩统一系统建设要求。</w:t>
      </w:r>
      <w:r>
        <w:rPr>
          <w:rFonts w:ascii="宋体" w:hAnsi="宋体" w:eastAsia="宋体"/>
          <w:sz w:val="21"/>
          <w:szCs w:val="21"/>
        </w:rPr>
        <w:t>销售终端应依据其物理接入的机房位置，选择对应机房的省级接入区承载网络作为数据上行路径</w:t>
      </w:r>
      <w:r>
        <w:rPr>
          <w:rFonts w:hint="eastAsia" w:ascii="宋体" w:hAnsi="宋体" w:eastAsia="宋体"/>
          <w:sz w:val="21"/>
          <w:szCs w:val="21"/>
        </w:rPr>
        <w:t>，确保</w:t>
      </w:r>
      <w:r>
        <w:rPr>
          <w:rFonts w:ascii="宋体" w:hAnsi="宋体" w:eastAsia="宋体"/>
          <w:color w:val="FF0000"/>
          <w:sz w:val="21"/>
          <w:szCs w:val="21"/>
        </w:rPr>
        <w:t>接入区上下行流量路径一致</w:t>
      </w:r>
      <w:r>
        <w:rPr>
          <w:rFonts w:hint="eastAsia" w:ascii="宋体" w:hAnsi="宋体" w:eastAsia="宋体"/>
          <w:color w:val="FF0000"/>
          <w:sz w:val="21"/>
          <w:szCs w:val="21"/>
        </w:rPr>
        <w:t>。</w:t>
      </w:r>
      <w:r>
        <w:rPr>
          <w:rFonts w:hint="eastAsia" w:ascii="宋体" w:hAnsi="宋体" w:eastAsia="宋体"/>
          <w:sz w:val="21"/>
          <w:szCs w:val="21"/>
        </w:rPr>
        <w:t>数据流向路径详见（图四）</w:t>
      </w:r>
      <w:r>
        <w:rPr>
          <w:rFonts w:ascii="宋体" w:hAnsi="宋体" w:eastAsia="宋体"/>
          <w:sz w:val="21"/>
          <w:szCs w:val="21"/>
        </w:rPr>
        <w:t>。</w:t>
      </w:r>
    </w:p>
    <w:p w14:paraId="1CE71401">
      <w:pPr>
        <w:pStyle w:val="17"/>
        <w:spacing w:line="360" w:lineRule="auto"/>
        <w:ind w:firstLine="420" w:firstLineChars="200"/>
        <w:rPr>
          <w:rFonts w:hint="eastAsia" w:ascii="宋体" w:hAnsi="宋体" w:eastAsia="宋体"/>
          <w:sz w:val="21"/>
          <w:szCs w:val="21"/>
        </w:rPr>
      </w:pPr>
      <w:r>
        <w:rPr>
          <w:rFonts w:hint="eastAsia" w:ascii="宋体" w:hAnsi="宋体" w:eastAsia="宋体"/>
          <w:sz w:val="21"/>
          <w:szCs w:val="21"/>
        </w:rPr>
        <w:t>（4）操作系统与加密算法改造要求：使用国密算法 SM2/SM3/SM4 国密算法，满足《商用密码管理条例》等法规对商用密码合规应用的强制要求，避免潜在的信息泄露和被操控风险，保障福彩业务敏感数据的安全，实现核心系统的自主可控。</w:t>
      </w:r>
    </w:p>
    <w:p w14:paraId="67F738A9">
      <w:pPr>
        <w:pStyle w:val="17"/>
        <w:spacing w:line="360" w:lineRule="auto"/>
        <w:ind w:firstLine="420" w:firstLineChars="200"/>
        <w:rPr>
          <w:rFonts w:hint="eastAsia" w:ascii="宋体" w:hAnsi="宋体" w:eastAsia="宋体"/>
          <w:color w:val="auto"/>
          <w:sz w:val="21"/>
          <w:szCs w:val="21"/>
        </w:rPr>
      </w:pPr>
      <w:r>
        <w:rPr>
          <w:rFonts w:hint="eastAsia" w:ascii="宋体" w:hAnsi="宋体" w:eastAsia="宋体"/>
          <w:color w:val="auto"/>
          <w:sz w:val="21"/>
          <w:szCs w:val="21"/>
        </w:rPr>
        <w:t>（6）用新购置的业务冗余交换机替换现有交换机，消除因现有交换机设备老旧带来的设备单点故障风险，优化设备间互联</w:t>
      </w:r>
      <w:r>
        <w:rPr>
          <w:rFonts w:ascii="宋体" w:hAnsi="宋体" w:eastAsia="宋体"/>
          <w:color w:val="auto"/>
          <w:sz w:val="21"/>
          <w:szCs w:val="21"/>
        </w:rPr>
        <w:t>。</w:t>
      </w:r>
    </w:p>
    <w:p w14:paraId="1245A47B">
      <w:pPr>
        <w:ind w:firstLine="420" w:firstLineChars="200"/>
        <w:rPr>
          <w:rFonts w:hint="eastAsia" w:ascii="宋体" w:hAnsi="宋体" w:eastAsia="宋体"/>
          <w:sz w:val="21"/>
          <w:szCs w:val="21"/>
        </w:rPr>
      </w:pPr>
      <w:r>
        <w:rPr>
          <w:rFonts w:hint="eastAsia" w:ascii="宋体" w:hAnsi="宋体" w:eastAsia="宋体"/>
          <w:sz w:val="21"/>
          <w:szCs w:val="21"/>
        </w:rPr>
        <w:t>上海福彩综合业务安全接入平台改造后拓扑如图四所示：</w:t>
      </w:r>
    </w:p>
    <w:p w14:paraId="14C3CA8B">
      <w:pPr>
        <w:pStyle w:val="17"/>
        <w:spacing w:line="360" w:lineRule="auto"/>
        <w:ind w:firstLine="420" w:firstLineChars="200"/>
        <w:jc w:val="center"/>
        <w:rPr>
          <w:rFonts w:hint="eastAsia" w:ascii="宋体" w:hAnsi="宋体" w:eastAsia="宋体"/>
          <w:sz w:val="21"/>
          <w:szCs w:val="21"/>
        </w:rPr>
      </w:pPr>
      <w:r>
        <w:rPr>
          <w:rFonts w:ascii="宋体" w:hAnsi="宋体" w:eastAsia="宋体"/>
          <w:sz w:val="21"/>
          <w:szCs w:val="21"/>
        </w:rPr>
        <w:pict>
          <v:shape id="_x0000_i1028" o:spt="75" type="#_x0000_t75" style="height:543.45pt;width:334.95pt;" filled="f" o:preferrelative="t" stroked="f" coordsize="21600,21600">
            <v:path/>
            <v:fill on="f" focussize="0,0"/>
            <v:stroke on="f" joinstyle="miter"/>
            <v:imagedata r:id="rId10" o:title="天泰安全接入平台拓朴图v1(改造后）-20260520"/>
            <o:lock v:ext="edit" aspectratio="t"/>
            <w10:wrap type="none"/>
            <w10:anchorlock/>
          </v:shape>
        </w:pict>
      </w:r>
    </w:p>
    <w:p w14:paraId="363DF164">
      <w:pPr>
        <w:pStyle w:val="17"/>
        <w:spacing w:line="360" w:lineRule="auto"/>
        <w:ind w:firstLine="420" w:firstLineChars="200"/>
        <w:jc w:val="center"/>
        <w:rPr>
          <w:rFonts w:hint="eastAsia" w:ascii="宋体" w:hAnsi="宋体" w:eastAsia="宋体"/>
          <w:sz w:val="21"/>
          <w:szCs w:val="21"/>
        </w:rPr>
      </w:pPr>
      <w:r>
        <w:rPr>
          <w:rFonts w:hint="eastAsia" w:ascii="宋体" w:hAnsi="宋体" w:eastAsia="宋体"/>
          <w:sz w:val="21"/>
          <w:szCs w:val="21"/>
        </w:rPr>
        <w:t>（图四）</w:t>
      </w:r>
    </w:p>
    <w:p w14:paraId="01625A54">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3、网络安全集成服务</w:t>
      </w:r>
    </w:p>
    <w:p w14:paraId="3530098E">
      <w:pPr>
        <w:pStyle w:val="17"/>
        <w:spacing w:line="360" w:lineRule="auto"/>
        <w:ind w:firstLine="420" w:firstLineChars="200"/>
        <w:rPr>
          <w:rFonts w:hint="eastAsia" w:ascii="宋体" w:hAnsi="宋体" w:eastAsia="宋体"/>
          <w:sz w:val="21"/>
          <w:szCs w:val="21"/>
        </w:rPr>
      </w:pPr>
      <w:r>
        <w:rPr>
          <w:rFonts w:hint="eastAsia" w:ascii="宋体" w:hAnsi="宋体" w:eastAsia="宋体"/>
          <w:color w:val="auto"/>
          <w:sz w:val="21"/>
          <w:szCs w:val="21"/>
        </w:rPr>
        <w:t>本次网络改造优化需根据信息安全技术网络安全等级保护基本要求《GB-T 22239-2019》的标准，供应商需结合我中心网络现状，提供网络安全集成服务并制定安</w:t>
      </w:r>
      <w:r>
        <w:rPr>
          <w:rFonts w:hint="eastAsia" w:ascii="宋体" w:hAnsi="宋体" w:eastAsia="宋体"/>
          <w:sz w:val="21"/>
          <w:szCs w:val="21"/>
        </w:rPr>
        <w:t>全改造实施方案：</w:t>
      </w:r>
    </w:p>
    <w:p w14:paraId="0EEB598B">
      <w:pPr>
        <w:pStyle w:val="17"/>
        <w:spacing w:line="360" w:lineRule="auto"/>
        <w:ind w:firstLine="420" w:firstLineChars="200"/>
        <w:rPr>
          <w:rFonts w:hint="eastAsia" w:ascii="宋体" w:hAnsi="宋体" w:eastAsia="宋体"/>
          <w:sz w:val="21"/>
          <w:szCs w:val="21"/>
        </w:rPr>
      </w:pPr>
      <w:r>
        <w:rPr>
          <w:rFonts w:hint="eastAsia" w:ascii="宋体" w:hAnsi="宋体" w:eastAsia="宋体"/>
          <w:sz w:val="21"/>
          <w:szCs w:val="21"/>
        </w:rPr>
        <w:t>（1）供应商需</w:t>
      </w:r>
      <w:r>
        <w:rPr>
          <w:rFonts w:ascii="宋体" w:hAnsi="宋体" w:eastAsia="宋体"/>
          <w:sz w:val="21"/>
          <w:szCs w:val="21"/>
        </w:rPr>
        <w:t>基于物理隔离</w:t>
      </w:r>
      <w:r>
        <w:rPr>
          <w:rFonts w:hint="eastAsia" w:ascii="宋体" w:hAnsi="宋体" w:eastAsia="宋体"/>
          <w:sz w:val="21"/>
          <w:szCs w:val="21"/>
        </w:rPr>
        <w:t>的方式设计</w:t>
      </w:r>
      <w:r>
        <w:rPr>
          <w:rFonts w:ascii="宋体" w:hAnsi="宋体" w:eastAsia="宋体"/>
          <w:sz w:val="21"/>
          <w:szCs w:val="21"/>
        </w:rPr>
        <w:t>防护方案，明确互联网区与核心区之间不存在逻辑共用的网络链路</w:t>
      </w:r>
      <w:r>
        <w:rPr>
          <w:rFonts w:hint="eastAsia" w:ascii="宋体" w:hAnsi="宋体" w:eastAsia="宋体"/>
          <w:sz w:val="21"/>
          <w:szCs w:val="21"/>
        </w:rPr>
        <w:t>，互联网与核心区之间</w:t>
      </w:r>
      <w:r>
        <w:rPr>
          <w:rFonts w:ascii="宋体" w:hAnsi="宋体" w:eastAsia="宋体"/>
          <w:sz w:val="21"/>
          <w:szCs w:val="21"/>
        </w:rPr>
        <w:t>仅能通过经审批的专用安全数据交换通道进行数据摆渡</w:t>
      </w:r>
      <w:r>
        <w:rPr>
          <w:rFonts w:hint="eastAsia" w:ascii="宋体" w:hAnsi="宋体" w:eastAsia="宋体"/>
          <w:sz w:val="21"/>
          <w:szCs w:val="21"/>
        </w:rPr>
        <w:t>，</w:t>
      </w:r>
      <w:r>
        <w:rPr>
          <w:rFonts w:ascii="宋体" w:hAnsi="宋体" w:eastAsia="宋体"/>
          <w:sz w:val="21"/>
          <w:szCs w:val="21"/>
        </w:rPr>
        <w:t>实现两区域间“协议落地、内容审查、单向/双向受控摆渡</w:t>
      </w:r>
      <w:r>
        <w:rPr>
          <w:rFonts w:hint="eastAsia" w:ascii="宋体" w:hAnsi="宋体" w:eastAsia="宋体"/>
          <w:sz w:val="21"/>
          <w:szCs w:val="21"/>
        </w:rPr>
        <w:t>。中标后供应商需全面梳理我中心互联网区业务与核心区系统之间的网络连接、数据交换和访问关系，对相关方案进行细化。</w:t>
      </w:r>
    </w:p>
    <w:p w14:paraId="75D6D703">
      <w:pPr>
        <w:pStyle w:val="17"/>
        <w:spacing w:line="360" w:lineRule="auto"/>
        <w:ind w:firstLine="420" w:firstLineChars="200"/>
        <w:rPr>
          <w:rFonts w:hint="eastAsia" w:ascii="宋体" w:hAnsi="宋体" w:eastAsia="宋体"/>
          <w:sz w:val="21"/>
          <w:szCs w:val="21"/>
        </w:rPr>
      </w:pPr>
      <w:r>
        <w:rPr>
          <w:rFonts w:hint="eastAsia" w:ascii="宋体" w:hAnsi="宋体" w:eastAsia="宋体"/>
          <w:sz w:val="21"/>
          <w:szCs w:val="21"/>
        </w:rPr>
        <w:t>（2）替换浦江机房</w:t>
      </w:r>
      <w:r>
        <w:rPr>
          <w:rFonts w:ascii="宋体" w:hAnsi="宋体" w:eastAsia="宋体"/>
          <w:sz w:val="21"/>
          <w:szCs w:val="21"/>
        </w:rPr>
        <w:t>现网老旧互联网边界防火墙，更换为具备</w:t>
      </w:r>
      <w:r>
        <w:rPr>
          <w:rFonts w:hint="eastAsia" w:ascii="宋体" w:hAnsi="宋体" w:eastAsia="宋体"/>
          <w:sz w:val="21"/>
          <w:szCs w:val="21"/>
        </w:rPr>
        <w:t>下</w:t>
      </w:r>
      <w:r>
        <w:rPr>
          <w:rFonts w:ascii="宋体" w:hAnsi="宋体" w:eastAsia="宋体"/>
          <w:sz w:val="21"/>
          <w:szCs w:val="21"/>
        </w:rPr>
        <w:t>一代边界防护</w:t>
      </w:r>
      <w:r>
        <w:rPr>
          <w:rFonts w:hint="eastAsia" w:ascii="宋体" w:hAnsi="宋体" w:eastAsia="宋体"/>
          <w:sz w:val="21"/>
          <w:szCs w:val="21"/>
        </w:rPr>
        <w:t>能力的</w:t>
      </w:r>
      <w:r>
        <w:rPr>
          <w:rFonts w:ascii="宋体" w:hAnsi="宋体" w:eastAsia="宋体"/>
          <w:sz w:val="21"/>
          <w:szCs w:val="21"/>
        </w:rPr>
        <w:t>设备</w:t>
      </w:r>
      <w:r>
        <w:rPr>
          <w:rFonts w:hint="eastAsia" w:ascii="宋体" w:hAnsi="宋体" w:eastAsia="宋体"/>
          <w:sz w:val="21"/>
          <w:szCs w:val="21"/>
        </w:rPr>
        <w:t>，提升互联网边界的防护能力，应对日益</w:t>
      </w:r>
      <w:r>
        <w:rPr>
          <w:rFonts w:ascii="宋体" w:hAnsi="宋体" w:eastAsia="宋体"/>
          <w:sz w:val="21"/>
          <w:szCs w:val="21"/>
        </w:rPr>
        <w:t>复杂</w:t>
      </w:r>
      <w:r>
        <w:rPr>
          <w:rFonts w:hint="eastAsia" w:ascii="宋体" w:hAnsi="宋体" w:eastAsia="宋体"/>
          <w:sz w:val="21"/>
          <w:szCs w:val="21"/>
        </w:rPr>
        <w:t>的</w:t>
      </w:r>
      <w:r>
        <w:rPr>
          <w:rFonts w:ascii="宋体" w:hAnsi="宋体" w:eastAsia="宋体"/>
          <w:sz w:val="21"/>
          <w:szCs w:val="21"/>
        </w:rPr>
        <w:t>网络安全威胁</w:t>
      </w:r>
      <w:r>
        <w:rPr>
          <w:rFonts w:hint="eastAsia" w:ascii="宋体" w:hAnsi="宋体" w:eastAsia="宋体"/>
          <w:sz w:val="21"/>
          <w:szCs w:val="21"/>
        </w:rPr>
        <w:t>；</w:t>
      </w:r>
    </w:p>
    <w:p w14:paraId="4E038869">
      <w:pPr>
        <w:pStyle w:val="17"/>
        <w:spacing w:line="360" w:lineRule="auto"/>
        <w:ind w:firstLine="420" w:firstLineChars="200"/>
        <w:rPr>
          <w:rFonts w:hint="eastAsia" w:ascii="宋体" w:hAnsi="宋体" w:eastAsia="宋体"/>
          <w:sz w:val="21"/>
          <w:szCs w:val="21"/>
        </w:rPr>
      </w:pPr>
      <w:r>
        <w:rPr>
          <w:rFonts w:hint="eastAsia" w:ascii="宋体" w:hAnsi="宋体" w:eastAsia="宋体"/>
          <w:sz w:val="21"/>
          <w:szCs w:val="21"/>
        </w:rPr>
        <w:t>（3）部署</w:t>
      </w:r>
      <w:r>
        <w:rPr>
          <w:rFonts w:ascii="宋体" w:hAnsi="宋体" w:eastAsia="宋体"/>
          <w:sz w:val="21"/>
          <w:szCs w:val="21"/>
        </w:rPr>
        <w:t>运维安全审计</w:t>
      </w:r>
      <w:r>
        <w:rPr>
          <w:rFonts w:hint="eastAsia" w:ascii="宋体" w:hAnsi="宋体" w:eastAsia="宋体"/>
          <w:sz w:val="21"/>
          <w:szCs w:val="21"/>
        </w:rPr>
        <w:t>设备覆盖我中心机房内所有所有业务系统，形成统一运维入口。精细化配置运维角色权限，并将</w:t>
      </w:r>
      <w:r>
        <w:rPr>
          <w:rFonts w:ascii="宋体" w:hAnsi="宋体" w:eastAsia="宋体"/>
          <w:sz w:val="21"/>
          <w:szCs w:val="21"/>
        </w:rPr>
        <w:t>各业务系统接入堡垒机</w:t>
      </w:r>
      <w:r>
        <w:rPr>
          <w:rFonts w:hint="eastAsia" w:ascii="宋体" w:hAnsi="宋体" w:eastAsia="宋体"/>
          <w:sz w:val="21"/>
          <w:szCs w:val="21"/>
        </w:rPr>
        <w:t>，</w:t>
      </w:r>
      <w:r>
        <w:rPr>
          <w:rFonts w:ascii="宋体" w:hAnsi="宋体" w:eastAsia="宋体"/>
          <w:sz w:val="21"/>
          <w:szCs w:val="21"/>
        </w:rPr>
        <w:t>切换期间不得中断业务</w:t>
      </w:r>
      <w:r>
        <w:rPr>
          <w:rFonts w:hint="eastAsia" w:ascii="宋体" w:hAnsi="宋体" w:eastAsia="宋体"/>
          <w:sz w:val="21"/>
          <w:szCs w:val="21"/>
        </w:rPr>
        <w:t>；</w:t>
      </w:r>
    </w:p>
    <w:p w14:paraId="7894FF2E">
      <w:pPr>
        <w:pStyle w:val="17"/>
        <w:spacing w:line="360" w:lineRule="auto"/>
        <w:ind w:firstLine="420" w:firstLineChars="200"/>
        <w:rPr>
          <w:rFonts w:hint="eastAsia" w:ascii="宋体" w:hAnsi="宋体" w:eastAsia="宋体"/>
          <w:sz w:val="21"/>
          <w:szCs w:val="21"/>
        </w:rPr>
      </w:pPr>
      <w:r>
        <w:rPr>
          <w:rFonts w:hint="eastAsia" w:ascii="宋体" w:hAnsi="宋体" w:eastAsia="宋体"/>
          <w:sz w:val="21"/>
          <w:szCs w:val="21"/>
        </w:rPr>
        <w:t>（4）</w:t>
      </w:r>
      <w:r>
        <w:rPr>
          <w:rFonts w:ascii="宋体" w:hAnsi="宋体" w:eastAsia="宋体"/>
          <w:sz w:val="21"/>
          <w:szCs w:val="21"/>
        </w:rPr>
        <w:t>部署网络智能</w:t>
      </w:r>
      <w:r>
        <w:rPr>
          <w:rFonts w:hint="eastAsia" w:ascii="宋体" w:hAnsi="宋体" w:eastAsia="宋体"/>
          <w:sz w:val="21"/>
          <w:szCs w:val="21"/>
        </w:rPr>
        <w:t>管理平台</w:t>
      </w:r>
      <w:r>
        <w:rPr>
          <w:rFonts w:ascii="宋体" w:hAnsi="宋体" w:eastAsia="宋体"/>
          <w:sz w:val="21"/>
          <w:szCs w:val="21"/>
        </w:rPr>
        <w:t>实现对</w:t>
      </w:r>
      <w:r>
        <w:rPr>
          <w:rFonts w:hint="eastAsia" w:ascii="宋体" w:hAnsi="宋体" w:eastAsia="宋体"/>
          <w:sz w:val="21"/>
          <w:szCs w:val="21"/>
        </w:rPr>
        <w:t>我中心机房所有</w:t>
      </w:r>
      <w:r>
        <w:rPr>
          <w:rFonts w:ascii="宋体" w:hAnsi="宋体" w:eastAsia="宋体"/>
          <w:sz w:val="21"/>
          <w:szCs w:val="21"/>
        </w:rPr>
        <w:t>网络设备、安全设备、链路质量、流量特征、性能指标的集中监控与智能分析，快速故障定位及可视化展示。</w:t>
      </w:r>
      <w:r>
        <w:rPr>
          <w:rFonts w:hint="eastAsia" w:ascii="宋体" w:hAnsi="宋体" w:eastAsia="宋体"/>
          <w:sz w:val="21"/>
          <w:szCs w:val="21"/>
        </w:rPr>
        <w:t>供应商需完成平台调试部署，完成中心机房内</w:t>
      </w:r>
      <w:r>
        <w:rPr>
          <w:rFonts w:ascii="宋体" w:hAnsi="宋体" w:eastAsia="宋体"/>
          <w:sz w:val="21"/>
          <w:szCs w:val="21"/>
        </w:rPr>
        <w:t>所有路由器、交换机、防火墙、负载均衡器、物理隔离设备（网闸）、边界防护设备</w:t>
      </w:r>
      <w:r>
        <w:rPr>
          <w:rFonts w:hint="eastAsia" w:ascii="宋体" w:hAnsi="宋体" w:eastAsia="宋体"/>
          <w:sz w:val="21"/>
          <w:szCs w:val="21"/>
        </w:rPr>
        <w:t>的</w:t>
      </w:r>
      <w:r>
        <w:rPr>
          <w:rFonts w:ascii="宋体" w:hAnsi="宋体" w:eastAsia="宋体"/>
          <w:sz w:val="21"/>
          <w:szCs w:val="21"/>
        </w:rPr>
        <w:t>SNMP配置与纳管，确保采集无盲区</w:t>
      </w:r>
      <w:r>
        <w:rPr>
          <w:rFonts w:hint="eastAsia" w:ascii="宋体" w:hAnsi="宋体" w:eastAsia="宋体"/>
          <w:sz w:val="21"/>
          <w:szCs w:val="21"/>
        </w:rPr>
        <w:t>。</w:t>
      </w:r>
    </w:p>
    <w:p w14:paraId="070E7C27">
      <w:pPr>
        <w:pStyle w:val="38"/>
        <w:numPr>
          <w:ilvl w:val="0"/>
          <w:numId w:val="1"/>
        </w:numPr>
        <w:ind w:left="142" w:hanging="284"/>
        <w:rPr>
          <w:rFonts w:hint="eastAsia" w:ascii="宋体" w:hAnsi="宋体" w:eastAsia="宋体"/>
          <w:b/>
          <w:bCs/>
          <w:sz w:val="21"/>
          <w:szCs w:val="21"/>
        </w:rPr>
      </w:pPr>
      <w:r>
        <w:rPr>
          <w:rFonts w:ascii="宋体" w:hAnsi="宋体" w:eastAsia="宋体"/>
          <w:b/>
          <w:bCs/>
          <w:sz w:val="21"/>
          <w:szCs w:val="21"/>
        </w:rPr>
        <w:t>供货与集成要求</w:t>
      </w:r>
    </w:p>
    <w:p w14:paraId="51BDA222">
      <w:pPr>
        <w:pStyle w:val="17"/>
        <w:spacing w:line="360" w:lineRule="auto"/>
        <w:ind w:firstLine="420" w:firstLineChars="200"/>
        <w:rPr>
          <w:rFonts w:hint="eastAsia" w:ascii="宋体" w:hAnsi="宋体" w:eastAsia="宋体"/>
          <w:kern w:val="0"/>
          <w:sz w:val="21"/>
          <w:szCs w:val="21"/>
        </w:rPr>
      </w:pPr>
      <w:r>
        <w:rPr>
          <w:rFonts w:hint="eastAsia" w:ascii="宋体" w:hAnsi="宋体" w:eastAsia="宋体"/>
          <w:b/>
          <w:bCs/>
          <w:kern w:val="0"/>
          <w:sz w:val="21"/>
          <w:szCs w:val="21"/>
        </w:rPr>
        <w:t>1、原装说明：</w:t>
      </w:r>
      <w:r>
        <w:rPr>
          <w:rFonts w:ascii="宋体" w:hAnsi="宋体" w:eastAsia="宋体"/>
          <w:kern w:val="0"/>
          <w:sz w:val="21"/>
          <w:szCs w:val="21"/>
        </w:rPr>
        <w:t>所有设备须原包装到位，需要的</w:t>
      </w:r>
      <w:r>
        <w:rPr>
          <w:rFonts w:ascii="宋体" w:hAnsi="宋体" w:eastAsia="宋体"/>
          <w:b/>
          <w:kern w:val="0"/>
          <w:sz w:val="21"/>
          <w:szCs w:val="21"/>
        </w:rPr>
        <w:t>配件必须是原包装到达采购人，未经采购人允许不得私自预先安装</w:t>
      </w:r>
      <w:r>
        <w:rPr>
          <w:rFonts w:ascii="宋体" w:hAnsi="宋体" w:eastAsia="宋体"/>
          <w:kern w:val="0"/>
          <w:sz w:val="21"/>
          <w:szCs w:val="21"/>
        </w:rPr>
        <w:t>。</w:t>
      </w:r>
    </w:p>
    <w:p w14:paraId="7301D481">
      <w:pPr>
        <w:pStyle w:val="17"/>
        <w:spacing w:line="360" w:lineRule="auto"/>
        <w:ind w:firstLine="420" w:firstLineChars="200"/>
        <w:rPr>
          <w:rFonts w:hint="eastAsia" w:ascii="宋体" w:hAnsi="宋体" w:eastAsia="宋体"/>
          <w:sz w:val="21"/>
          <w:szCs w:val="21"/>
        </w:rPr>
      </w:pPr>
      <w:r>
        <w:rPr>
          <w:rFonts w:hint="eastAsia" w:ascii="宋体" w:hAnsi="宋体" w:eastAsia="宋体"/>
          <w:b/>
          <w:bCs/>
          <w:sz w:val="21"/>
          <w:szCs w:val="21"/>
        </w:rPr>
        <w:t>2、集成要求：</w:t>
      </w:r>
      <w:r>
        <w:rPr>
          <w:rFonts w:ascii="宋体" w:hAnsi="宋体" w:eastAsia="宋体"/>
          <w:sz w:val="21"/>
          <w:szCs w:val="21"/>
        </w:rPr>
        <w:t>供应商需保证按期保质完成采购需求中所列的各项具体内容及相关的集成工作，所需设备配置、软件、各种费用及可能需要的配件等均由供应商自行协调完成，并承担全部费用及工作责任</w:t>
      </w:r>
      <w:r>
        <w:rPr>
          <w:rFonts w:hint="eastAsia" w:ascii="宋体" w:hAnsi="宋体" w:eastAsia="宋体"/>
          <w:sz w:val="21"/>
          <w:szCs w:val="21"/>
        </w:rPr>
        <w:t>，确保达到采购人的设计要求。</w:t>
      </w:r>
    </w:p>
    <w:p w14:paraId="2842571F">
      <w:pPr>
        <w:pStyle w:val="38"/>
        <w:numPr>
          <w:ilvl w:val="0"/>
          <w:numId w:val="1"/>
        </w:numPr>
        <w:ind w:left="142" w:hanging="284"/>
        <w:rPr>
          <w:rFonts w:hint="eastAsia" w:ascii="宋体" w:hAnsi="宋体" w:eastAsia="宋体"/>
          <w:b/>
          <w:bCs/>
          <w:sz w:val="21"/>
          <w:szCs w:val="21"/>
        </w:rPr>
      </w:pPr>
      <w:r>
        <w:rPr>
          <w:rFonts w:hint="eastAsia" w:ascii="宋体" w:hAnsi="宋体" w:eastAsia="宋体"/>
          <w:b/>
          <w:bCs/>
          <w:sz w:val="21"/>
          <w:szCs w:val="21"/>
        </w:rPr>
        <w:t>商务要求</w:t>
      </w:r>
    </w:p>
    <w:p w14:paraId="1414F64A">
      <w:pPr>
        <w:pStyle w:val="13"/>
        <w:spacing w:line="360" w:lineRule="auto"/>
        <w:ind w:firstLine="420" w:firstLineChars="200"/>
        <w:rPr>
          <w:rFonts w:hint="eastAsia" w:ascii="宋体" w:hAnsi="宋体" w:eastAsia="宋体"/>
          <w:b/>
          <w:bCs/>
          <w:kern w:val="2"/>
          <w:sz w:val="21"/>
          <w:szCs w:val="21"/>
          <w14:ligatures w14:val="standardContextual"/>
        </w:rPr>
      </w:pPr>
      <w:r>
        <w:rPr>
          <w:rFonts w:hint="eastAsia" w:ascii="宋体" w:hAnsi="宋体" w:eastAsia="宋体"/>
          <w:b/>
          <w:bCs/>
          <w:kern w:val="2"/>
          <w:sz w:val="21"/>
          <w:szCs w:val="21"/>
          <w14:ligatures w14:val="standardContextual"/>
        </w:rPr>
        <w:t>1、服务质保期</w:t>
      </w:r>
    </w:p>
    <w:p w14:paraId="033926F0">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自项目初验</w:t>
      </w:r>
      <w:r>
        <w:rPr>
          <w:rFonts w:hint="eastAsia" w:ascii="宋体" w:hAnsi="宋体" w:eastAsia="宋体"/>
          <w:kern w:val="2"/>
          <w:sz w:val="21"/>
          <w:szCs w:val="21"/>
          <w:lang w:eastAsia="zh-CN"/>
          <w14:ligatures w14:val="standardContextual"/>
        </w:rPr>
        <w:t>合格</w:t>
      </w:r>
      <w:r>
        <w:rPr>
          <w:rFonts w:hint="eastAsia" w:ascii="宋体" w:hAnsi="宋体" w:eastAsia="宋体"/>
          <w:kern w:val="2"/>
          <w:sz w:val="21"/>
          <w:szCs w:val="21"/>
          <w14:ligatures w14:val="standardContextual"/>
        </w:rPr>
        <w:t>之日起提供原厂三年质保</w:t>
      </w:r>
      <w:r>
        <w:rPr>
          <w:rFonts w:ascii="宋体" w:hAnsi="宋体" w:eastAsia="宋体"/>
          <w:sz w:val="21"/>
          <w:szCs w:val="21"/>
        </w:rPr>
        <w:t>和软件版本</w:t>
      </w:r>
      <w:r>
        <w:rPr>
          <w:rFonts w:hint="eastAsia" w:ascii="宋体" w:hAnsi="宋体" w:eastAsia="宋体"/>
          <w:sz w:val="21"/>
          <w:szCs w:val="21"/>
          <w:lang w:eastAsia="zh-CN"/>
        </w:rPr>
        <w:t>免费</w:t>
      </w:r>
      <w:r>
        <w:rPr>
          <w:rFonts w:ascii="宋体" w:hAnsi="宋体" w:eastAsia="宋体"/>
          <w:sz w:val="21"/>
          <w:szCs w:val="21"/>
        </w:rPr>
        <w:t>升级</w:t>
      </w:r>
      <w:r>
        <w:rPr>
          <w:rFonts w:hint="eastAsia" w:ascii="宋体" w:hAnsi="宋体" w:eastAsia="宋体"/>
          <w:sz w:val="21"/>
          <w:szCs w:val="21"/>
        </w:rPr>
        <w:t>。</w:t>
      </w:r>
    </w:p>
    <w:p w14:paraId="4297858D">
      <w:pPr>
        <w:pStyle w:val="13"/>
        <w:spacing w:line="360" w:lineRule="auto"/>
        <w:ind w:firstLine="420" w:firstLineChars="200"/>
        <w:rPr>
          <w:rFonts w:hint="eastAsia" w:ascii="宋体" w:hAnsi="宋体" w:eastAsia="宋体"/>
          <w:b/>
          <w:bCs/>
          <w:kern w:val="2"/>
          <w:sz w:val="21"/>
          <w:szCs w:val="21"/>
          <w14:ligatures w14:val="standardContextual"/>
        </w:rPr>
      </w:pPr>
      <w:r>
        <w:rPr>
          <w:rFonts w:hint="eastAsia" w:ascii="宋体" w:hAnsi="宋体" w:eastAsia="宋体"/>
          <w:b/>
          <w:bCs/>
          <w:kern w:val="2"/>
          <w:sz w:val="21"/>
          <w:szCs w:val="21"/>
          <w14:ligatures w14:val="standardContextual"/>
        </w:rPr>
        <w:t xml:space="preserve">2、工期要求 </w:t>
      </w:r>
    </w:p>
    <w:p w14:paraId="49EB4D30">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中标人需在合同签订后20个工作日内完成设备到货，接到采购人通知进场后60个工作日内完成本项目所有集成工作。</w:t>
      </w:r>
    </w:p>
    <w:p w14:paraId="62FD088C">
      <w:pPr>
        <w:pStyle w:val="17"/>
        <w:spacing w:after="0" w:line="360" w:lineRule="auto"/>
        <w:ind w:firstLine="420" w:firstLineChars="200"/>
        <w:rPr>
          <w:rFonts w:hint="eastAsia" w:ascii="宋体" w:hAnsi="宋体" w:eastAsia="宋体"/>
          <w:b/>
          <w:bCs/>
          <w:sz w:val="21"/>
          <w:szCs w:val="21"/>
        </w:rPr>
      </w:pPr>
      <w:r>
        <w:rPr>
          <w:rFonts w:hint="eastAsia" w:ascii="宋体" w:hAnsi="宋体" w:eastAsia="宋体"/>
          <w:b/>
          <w:bCs/>
          <w:sz w:val="21"/>
          <w:szCs w:val="21"/>
        </w:rPr>
        <w:t>3、维保要求</w:t>
      </w:r>
    </w:p>
    <w:p w14:paraId="203DC218">
      <w:pPr>
        <w:pStyle w:val="13"/>
        <w:spacing w:line="360" w:lineRule="auto"/>
        <w:ind w:firstLine="420" w:firstLineChars="200"/>
        <w:rPr>
          <w:rFonts w:hint="eastAsia" w:ascii="宋体" w:hAnsi="宋体" w:eastAsia="宋体"/>
          <w:kern w:val="2"/>
          <w:sz w:val="21"/>
          <w:szCs w:val="21"/>
          <w14:ligatures w14:val="standardContextual"/>
        </w:rPr>
      </w:pPr>
      <w:r>
        <w:rPr>
          <w:rFonts w:ascii="宋体" w:hAnsi="宋体" w:eastAsia="宋体"/>
          <w:kern w:val="2"/>
          <w:sz w:val="21"/>
          <w:szCs w:val="21"/>
          <w14:ligatures w14:val="standardContextual"/>
        </w:rPr>
        <w:t>（1）</w:t>
      </w:r>
      <w:r>
        <w:rPr>
          <w:rFonts w:hint="eastAsia" w:ascii="宋体" w:hAnsi="宋体" w:eastAsia="宋体"/>
          <w:kern w:val="2"/>
          <w:sz w:val="21"/>
          <w:szCs w:val="21"/>
          <w14:ligatures w14:val="standardContextual"/>
        </w:rPr>
        <w:t>运维</w:t>
      </w:r>
      <w:r>
        <w:rPr>
          <w:rFonts w:ascii="宋体" w:hAnsi="宋体" w:eastAsia="宋体"/>
          <w:kern w:val="2"/>
          <w:sz w:val="21"/>
          <w:szCs w:val="21"/>
          <w14:ligatures w14:val="standardContextual"/>
        </w:rPr>
        <w:t>期：</w:t>
      </w:r>
      <w:r>
        <w:rPr>
          <w:rFonts w:hint="eastAsia" w:ascii="宋体" w:hAnsi="宋体" w:eastAsia="宋体"/>
          <w:kern w:val="2"/>
          <w:sz w:val="21"/>
          <w:szCs w:val="21"/>
          <w14:ligatures w14:val="standardContextual"/>
        </w:rPr>
        <w:t>自</w:t>
      </w:r>
      <w:r>
        <w:rPr>
          <w:rFonts w:ascii="宋体" w:hAnsi="宋体" w:eastAsia="宋体"/>
          <w:kern w:val="2"/>
          <w:sz w:val="21"/>
          <w:szCs w:val="21"/>
          <w14:ligatures w14:val="standardContextual"/>
        </w:rPr>
        <w:t>项目</w:t>
      </w:r>
      <w:r>
        <w:rPr>
          <w:rFonts w:hint="eastAsia" w:ascii="宋体" w:hAnsi="宋体" w:eastAsia="宋体"/>
          <w:kern w:val="2"/>
          <w:sz w:val="21"/>
          <w:szCs w:val="21"/>
          <w14:ligatures w14:val="standardContextual"/>
        </w:rPr>
        <w:t>初验</w:t>
      </w:r>
      <w:r>
        <w:rPr>
          <w:rFonts w:ascii="宋体" w:hAnsi="宋体" w:eastAsia="宋体"/>
          <w:kern w:val="2"/>
          <w:sz w:val="21"/>
          <w:szCs w:val="21"/>
          <w14:ligatures w14:val="standardContextual"/>
        </w:rPr>
        <w:t>合格之日</w:t>
      </w:r>
      <w:r>
        <w:rPr>
          <w:rFonts w:hint="eastAsia" w:ascii="宋体" w:hAnsi="宋体" w:eastAsia="宋体"/>
          <w:kern w:val="2"/>
          <w:sz w:val="21"/>
          <w:szCs w:val="21"/>
          <w14:ligatures w14:val="standardContextual"/>
        </w:rPr>
        <w:t>起三年</w:t>
      </w:r>
    </w:p>
    <w:p w14:paraId="7C4BE762">
      <w:pPr>
        <w:pStyle w:val="13"/>
        <w:spacing w:line="360" w:lineRule="auto"/>
        <w:ind w:firstLine="420" w:firstLineChars="200"/>
        <w:rPr>
          <w:rFonts w:hint="eastAsia" w:ascii="宋体" w:hAnsi="宋体" w:eastAsia="宋体"/>
          <w:kern w:val="2"/>
          <w:sz w:val="21"/>
          <w:szCs w:val="21"/>
          <w:highlight w:val="none"/>
          <w14:ligatures w14:val="standardContextual"/>
        </w:rPr>
      </w:pPr>
      <w:r>
        <w:rPr>
          <w:rFonts w:ascii="宋体" w:hAnsi="宋体" w:eastAsia="宋体"/>
          <w:kern w:val="2"/>
          <w:sz w:val="21"/>
          <w:szCs w:val="21"/>
          <w:highlight w:val="none"/>
          <w14:ligatures w14:val="standardContextual"/>
        </w:rPr>
        <w:t>（2）在</w:t>
      </w:r>
      <w:r>
        <w:rPr>
          <w:rFonts w:hint="eastAsia" w:ascii="宋体" w:hAnsi="宋体" w:eastAsia="宋体"/>
          <w:kern w:val="2"/>
          <w:sz w:val="21"/>
          <w:szCs w:val="21"/>
          <w:highlight w:val="none"/>
          <w14:ligatures w14:val="standardContextual"/>
        </w:rPr>
        <w:t>运维期</w:t>
      </w:r>
      <w:r>
        <w:rPr>
          <w:rFonts w:ascii="宋体" w:hAnsi="宋体" w:eastAsia="宋体"/>
          <w:kern w:val="2"/>
          <w:sz w:val="21"/>
          <w:szCs w:val="21"/>
          <w:highlight w:val="none"/>
          <w14:ligatures w14:val="standardContextual"/>
        </w:rPr>
        <w:t>内</w:t>
      </w:r>
      <w:r>
        <w:rPr>
          <w:rFonts w:hint="eastAsia" w:ascii="宋体" w:hAnsi="宋体" w:eastAsia="宋体"/>
          <w:kern w:val="2"/>
          <w:sz w:val="21"/>
          <w:szCs w:val="21"/>
          <w:highlight w:val="none"/>
          <w14:ligatures w14:val="standardContextual"/>
        </w:rPr>
        <w:t>供应商</w:t>
      </w:r>
      <w:r>
        <w:rPr>
          <w:rFonts w:ascii="宋体" w:hAnsi="宋体" w:eastAsia="宋体"/>
          <w:kern w:val="2"/>
          <w:sz w:val="21"/>
          <w:szCs w:val="21"/>
          <w:highlight w:val="none"/>
          <w14:ligatures w14:val="standardContextual"/>
        </w:rPr>
        <w:t>需提供7×24小时远程技术支持服务。技术支持内容将包含但不仅限于：产品技术咨询，设备配置与使用指导、硬件或软件故障诊断、软件升级指导。必要时供应商需登陆到设备，进行故障诊断或下载软件补丁</w:t>
      </w:r>
      <w:r>
        <w:rPr>
          <w:rFonts w:hint="eastAsia" w:ascii="宋体" w:hAnsi="宋体" w:eastAsia="宋体"/>
          <w:kern w:val="2"/>
          <w:sz w:val="21"/>
          <w:szCs w:val="21"/>
          <w:highlight w:val="none"/>
          <w14:ligatures w14:val="standardContextual"/>
        </w:rPr>
        <w:t>。</w:t>
      </w:r>
    </w:p>
    <w:p w14:paraId="06F8A48C">
      <w:pPr>
        <w:spacing w:line="360" w:lineRule="auto"/>
        <w:ind w:firstLine="420" w:firstLineChars="200"/>
        <w:rPr>
          <w:rFonts w:hint="eastAsia" w:ascii="宋体" w:hAnsi="宋体" w:eastAsia="宋体"/>
          <w:sz w:val="21"/>
          <w:szCs w:val="21"/>
        </w:rPr>
      </w:pPr>
      <w:r>
        <w:rPr>
          <w:rFonts w:ascii="宋体" w:hAnsi="宋体" w:eastAsia="宋体"/>
          <w:sz w:val="21"/>
          <w:szCs w:val="21"/>
        </w:rPr>
        <w:t>（3）</w:t>
      </w:r>
      <w:r>
        <w:rPr>
          <w:rFonts w:hint="eastAsia" w:ascii="宋体" w:hAnsi="宋体" w:eastAsia="宋体"/>
          <w:sz w:val="21"/>
          <w:szCs w:val="21"/>
        </w:rPr>
        <w:t>服务期内供应商</w:t>
      </w:r>
      <w:r>
        <w:rPr>
          <w:rFonts w:ascii="宋体" w:hAnsi="宋体" w:eastAsia="宋体"/>
          <w:sz w:val="21"/>
          <w:szCs w:val="21"/>
        </w:rPr>
        <w:t>须提供每季度一次的定期系统现场巡检服务，巡检服务的内容包括系统运行状况检查与评估、日常维护与优化、故障预防与解决等。</w:t>
      </w:r>
      <w:r>
        <w:rPr>
          <w:rFonts w:hint="eastAsia" w:ascii="宋体" w:hAnsi="宋体" w:eastAsia="宋体"/>
          <w:sz w:val="21"/>
          <w:szCs w:val="21"/>
        </w:rPr>
        <w:t>并提供《季度巡检报告》，《季度巡检报告》应在每季度首月10个工作日内提供。</w:t>
      </w:r>
    </w:p>
    <w:p w14:paraId="08A57140">
      <w:pPr>
        <w:spacing w:line="360" w:lineRule="auto"/>
        <w:ind w:firstLine="420" w:firstLineChars="200"/>
        <w:rPr>
          <w:rFonts w:hint="eastAsia" w:ascii="宋体" w:hAnsi="宋体" w:eastAsia="宋体"/>
          <w:b/>
          <w:bCs/>
          <w:sz w:val="21"/>
          <w:szCs w:val="21"/>
          <w:highlight w:val="none"/>
        </w:rPr>
      </w:pPr>
      <w:r>
        <w:rPr>
          <w:rFonts w:hint="eastAsia" w:ascii="宋体" w:hAnsi="宋体" w:eastAsia="宋体"/>
          <w:b/>
          <w:bCs/>
          <w:sz w:val="21"/>
          <w:szCs w:val="21"/>
          <w:highlight w:val="none"/>
        </w:rPr>
        <w:t>4、应急响应要求</w:t>
      </w:r>
    </w:p>
    <w:p w14:paraId="766EE224">
      <w:pPr>
        <w:spacing w:line="360" w:lineRule="auto"/>
        <w:ind w:firstLine="420" w:firstLineChars="200"/>
        <w:rPr>
          <w:rFonts w:hint="eastAsia" w:ascii="宋体" w:hAnsi="宋体" w:eastAsia="宋体"/>
          <w:sz w:val="21"/>
          <w:szCs w:val="21"/>
          <w:highlight w:val="none"/>
        </w:rPr>
      </w:pPr>
      <w:r>
        <w:rPr>
          <w:rFonts w:ascii="宋体" w:hAnsi="宋体" w:eastAsia="宋体"/>
          <w:sz w:val="21"/>
          <w:szCs w:val="21"/>
          <w:highlight w:val="none"/>
        </w:rPr>
        <w:t>供应商对系统故障应能够实时响应</w:t>
      </w:r>
      <w:r>
        <w:rPr>
          <w:rFonts w:hint="eastAsia" w:ascii="宋体" w:hAnsi="宋体" w:eastAsia="宋体"/>
          <w:sz w:val="21"/>
          <w:szCs w:val="21"/>
          <w:highlight w:val="none"/>
        </w:rPr>
        <w:t>，根据故障级别以及对应应急响应要求处置</w:t>
      </w:r>
      <w:r>
        <w:rPr>
          <w:rFonts w:ascii="宋体" w:hAnsi="宋体" w:eastAsia="宋体"/>
          <w:sz w:val="21"/>
          <w:szCs w:val="21"/>
          <w:highlight w:val="none"/>
        </w:rPr>
        <w:t>。</w:t>
      </w:r>
      <w:r>
        <w:rPr>
          <w:rFonts w:hint="eastAsia" w:ascii="宋体" w:hAnsi="宋体" w:eastAsia="宋体"/>
          <w:sz w:val="21"/>
          <w:szCs w:val="21"/>
          <w:highlight w:val="none"/>
        </w:rPr>
        <w:t>因设备问题导致的故障</w:t>
      </w:r>
      <w:r>
        <w:rPr>
          <w:rFonts w:ascii="宋体" w:hAnsi="宋体" w:eastAsia="宋体"/>
          <w:sz w:val="21"/>
          <w:szCs w:val="21"/>
          <w:highlight w:val="none"/>
        </w:rPr>
        <w:t>2小时内未能解决，供应商须无条件在承诺时限内提供性能不低于原设备的替代设备，并完成应急切换</w:t>
      </w:r>
      <w:r>
        <w:rPr>
          <w:rFonts w:hint="eastAsia" w:ascii="宋体" w:hAnsi="宋体" w:eastAsia="宋体"/>
          <w:sz w:val="21"/>
          <w:szCs w:val="21"/>
          <w:highlight w:val="none"/>
        </w:rPr>
        <w:t>。</w:t>
      </w:r>
    </w:p>
    <w:p w14:paraId="7E3E3FD5">
      <w:pPr>
        <w:spacing w:line="360" w:lineRule="auto"/>
        <w:rPr>
          <w:rFonts w:hint="eastAsia" w:ascii="宋体" w:hAnsi="宋体" w:eastAsia="宋体"/>
          <w:sz w:val="21"/>
          <w:szCs w:val="21"/>
          <w:highlight w:val="none"/>
        </w:rPr>
      </w:pPr>
      <w:r>
        <w:rPr>
          <w:rFonts w:ascii="宋体" w:hAnsi="宋体" w:eastAsia="宋体"/>
          <w:sz w:val="21"/>
          <w:szCs w:val="21"/>
          <w:highlight w:val="none"/>
        </w:rPr>
        <w:t>具体故障级别及对应的应急响应要求如下:</w:t>
      </w:r>
    </w:p>
    <w:tbl>
      <w:tblPr>
        <w:tblStyle w:val="21"/>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985"/>
        <w:gridCol w:w="1984"/>
        <w:gridCol w:w="1649"/>
        <w:gridCol w:w="1895"/>
      </w:tblGrid>
      <w:tr w14:paraId="7066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31A29121">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故障级别</w:t>
            </w:r>
          </w:p>
        </w:tc>
        <w:tc>
          <w:tcPr>
            <w:tcW w:w="1985" w:type="dxa"/>
            <w:vAlign w:val="center"/>
          </w:tcPr>
          <w:p w14:paraId="5A641D69">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P1级别故障</w:t>
            </w:r>
          </w:p>
          <w:p w14:paraId="44A6742F">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（重大故障）</w:t>
            </w:r>
          </w:p>
        </w:tc>
        <w:tc>
          <w:tcPr>
            <w:tcW w:w="1984" w:type="dxa"/>
            <w:vAlign w:val="center"/>
          </w:tcPr>
          <w:p w14:paraId="163F3196">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P2级别故障</w:t>
            </w:r>
          </w:p>
          <w:p w14:paraId="40C3F6B5">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（一般性故障）</w:t>
            </w:r>
          </w:p>
        </w:tc>
        <w:tc>
          <w:tcPr>
            <w:tcW w:w="1649" w:type="dxa"/>
            <w:vAlign w:val="center"/>
          </w:tcPr>
          <w:p w14:paraId="38DC4A1B">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P3级故障</w:t>
            </w:r>
          </w:p>
        </w:tc>
        <w:tc>
          <w:tcPr>
            <w:tcW w:w="1895" w:type="dxa"/>
            <w:vAlign w:val="center"/>
          </w:tcPr>
          <w:p w14:paraId="7613CB2B">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P4级故障</w:t>
            </w:r>
          </w:p>
        </w:tc>
      </w:tr>
      <w:tr w14:paraId="2416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17894D26">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故障级别定义</w:t>
            </w:r>
          </w:p>
        </w:tc>
        <w:tc>
          <w:tcPr>
            <w:tcW w:w="1985" w:type="dxa"/>
            <w:vAlign w:val="center"/>
          </w:tcPr>
          <w:p w14:paraId="09616B52">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重大故障，设备节点瘫痪，网络安全事件，影响生产系统正常运行</w:t>
            </w:r>
          </w:p>
        </w:tc>
        <w:tc>
          <w:tcPr>
            <w:tcW w:w="1984" w:type="dxa"/>
            <w:vAlign w:val="center"/>
          </w:tcPr>
          <w:p w14:paraId="795EEB52">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部分设备故障，一般性网络安全事件，不影响生产系统正常运行</w:t>
            </w:r>
          </w:p>
        </w:tc>
        <w:tc>
          <w:tcPr>
            <w:tcW w:w="1649" w:type="dxa"/>
            <w:vAlign w:val="center"/>
          </w:tcPr>
          <w:p w14:paraId="4976B461">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一般性技术故障，发现设备的技术问题，但系统仍可正常运行</w:t>
            </w:r>
          </w:p>
        </w:tc>
        <w:tc>
          <w:tcPr>
            <w:tcW w:w="1895" w:type="dxa"/>
            <w:vAlign w:val="center"/>
          </w:tcPr>
          <w:p w14:paraId="69F2D65C">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在产品功能，安装或配置方面需要信息或支持，对用户业务几乎无影响</w:t>
            </w:r>
          </w:p>
        </w:tc>
      </w:tr>
      <w:tr w14:paraId="04C7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0E750147">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电话响应时限</w:t>
            </w:r>
          </w:p>
        </w:tc>
        <w:tc>
          <w:tcPr>
            <w:tcW w:w="1985" w:type="dxa"/>
            <w:vAlign w:val="center"/>
          </w:tcPr>
          <w:p w14:paraId="39BEA85B">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立即响应，10分钟内确定技术人员</w:t>
            </w:r>
          </w:p>
        </w:tc>
        <w:tc>
          <w:tcPr>
            <w:tcW w:w="1984" w:type="dxa"/>
            <w:vAlign w:val="center"/>
          </w:tcPr>
          <w:p w14:paraId="624D814D">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立即响应，30分钟内确定技术人员</w:t>
            </w:r>
          </w:p>
        </w:tc>
        <w:tc>
          <w:tcPr>
            <w:tcW w:w="1649" w:type="dxa"/>
            <w:vAlign w:val="center"/>
          </w:tcPr>
          <w:p w14:paraId="5266436F">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立即响应，2小时内确定技术人员</w:t>
            </w:r>
          </w:p>
        </w:tc>
        <w:tc>
          <w:tcPr>
            <w:tcW w:w="1895" w:type="dxa"/>
            <w:vAlign w:val="center"/>
          </w:tcPr>
          <w:p w14:paraId="3835D8B5">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立即响应，2小时内确定技术人员</w:t>
            </w:r>
          </w:p>
        </w:tc>
      </w:tr>
      <w:tr w14:paraId="08EB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73ADF6C2">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抵达现场时限</w:t>
            </w:r>
          </w:p>
        </w:tc>
        <w:tc>
          <w:tcPr>
            <w:tcW w:w="1985" w:type="dxa"/>
            <w:vAlign w:val="center"/>
          </w:tcPr>
          <w:p w14:paraId="73E05A6C">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1小时内</w:t>
            </w:r>
          </w:p>
        </w:tc>
        <w:tc>
          <w:tcPr>
            <w:tcW w:w="1984" w:type="dxa"/>
            <w:vAlign w:val="center"/>
          </w:tcPr>
          <w:p w14:paraId="00F9DB72">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2小时内</w:t>
            </w:r>
          </w:p>
        </w:tc>
        <w:tc>
          <w:tcPr>
            <w:tcW w:w="1649" w:type="dxa"/>
            <w:vAlign w:val="center"/>
          </w:tcPr>
          <w:p w14:paraId="0C6461C9">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4小时内</w:t>
            </w:r>
          </w:p>
        </w:tc>
        <w:tc>
          <w:tcPr>
            <w:tcW w:w="1895" w:type="dxa"/>
            <w:vAlign w:val="center"/>
          </w:tcPr>
          <w:p w14:paraId="0208066F">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4小时内</w:t>
            </w:r>
          </w:p>
        </w:tc>
      </w:tr>
      <w:tr w14:paraId="3B28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4ECBA9F8">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总故障解决时间</w:t>
            </w:r>
          </w:p>
        </w:tc>
        <w:tc>
          <w:tcPr>
            <w:tcW w:w="1985" w:type="dxa"/>
            <w:vAlign w:val="center"/>
          </w:tcPr>
          <w:p w14:paraId="76446DC1">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2小时内</w:t>
            </w:r>
          </w:p>
        </w:tc>
        <w:tc>
          <w:tcPr>
            <w:tcW w:w="1984" w:type="dxa"/>
            <w:vAlign w:val="center"/>
          </w:tcPr>
          <w:p w14:paraId="3A33762E">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4小时内</w:t>
            </w:r>
          </w:p>
        </w:tc>
        <w:tc>
          <w:tcPr>
            <w:tcW w:w="1649" w:type="dxa"/>
            <w:vAlign w:val="center"/>
          </w:tcPr>
          <w:p w14:paraId="6349A04B">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4小时内</w:t>
            </w:r>
          </w:p>
        </w:tc>
        <w:tc>
          <w:tcPr>
            <w:tcW w:w="1895" w:type="dxa"/>
            <w:vAlign w:val="center"/>
          </w:tcPr>
          <w:p w14:paraId="1A97586E">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4小时内</w:t>
            </w:r>
          </w:p>
        </w:tc>
      </w:tr>
      <w:tr w14:paraId="3D97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120A1C7F">
            <w:pPr>
              <w:spacing w:line="240" w:lineRule="auto"/>
              <w:rPr>
                <w:rFonts w:hint="eastAsia" w:ascii="宋体" w:hAnsi="宋体" w:eastAsia="宋体"/>
                <w:sz w:val="21"/>
                <w:szCs w:val="21"/>
                <w:highlight w:val="none"/>
              </w:rPr>
            </w:pPr>
            <w:r>
              <w:rPr>
                <w:rFonts w:hint="eastAsia" w:ascii="宋体" w:hAnsi="宋体" w:eastAsia="宋体"/>
                <w:sz w:val="21"/>
                <w:szCs w:val="21"/>
                <w:highlight w:val="none"/>
              </w:rPr>
              <w:t>故障分析报告提交时限</w:t>
            </w:r>
          </w:p>
        </w:tc>
        <w:tc>
          <w:tcPr>
            <w:tcW w:w="1985" w:type="dxa"/>
            <w:vAlign w:val="center"/>
          </w:tcPr>
          <w:p w14:paraId="28F3E943">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2天内</w:t>
            </w:r>
          </w:p>
        </w:tc>
        <w:tc>
          <w:tcPr>
            <w:tcW w:w="1984" w:type="dxa"/>
            <w:vAlign w:val="center"/>
          </w:tcPr>
          <w:p w14:paraId="304880DD">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2天内</w:t>
            </w:r>
          </w:p>
        </w:tc>
        <w:tc>
          <w:tcPr>
            <w:tcW w:w="1649" w:type="dxa"/>
            <w:vAlign w:val="center"/>
          </w:tcPr>
          <w:p w14:paraId="688469BC">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2天内</w:t>
            </w:r>
          </w:p>
        </w:tc>
        <w:tc>
          <w:tcPr>
            <w:tcW w:w="1895" w:type="dxa"/>
            <w:vAlign w:val="center"/>
          </w:tcPr>
          <w:p w14:paraId="3AD94E21">
            <w:pPr>
              <w:spacing w:line="240" w:lineRule="auto"/>
              <w:jc w:val="center"/>
              <w:rPr>
                <w:rFonts w:hint="eastAsia" w:ascii="宋体" w:hAnsi="宋体" w:eastAsia="宋体"/>
                <w:sz w:val="21"/>
                <w:szCs w:val="21"/>
                <w:highlight w:val="none"/>
              </w:rPr>
            </w:pPr>
            <w:r>
              <w:rPr>
                <w:rFonts w:hint="eastAsia" w:ascii="宋体" w:hAnsi="宋体" w:eastAsia="宋体"/>
                <w:sz w:val="21"/>
                <w:szCs w:val="21"/>
                <w:highlight w:val="none"/>
              </w:rPr>
              <w:t>2天内</w:t>
            </w:r>
          </w:p>
        </w:tc>
      </w:tr>
    </w:tbl>
    <w:p w14:paraId="0BCD51C6">
      <w:pPr>
        <w:spacing w:before="240" w:line="276" w:lineRule="auto"/>
        <w:ind w:firstLine="420" w:firstLineChars="200"/>
        <w:rPr>
          <w:rFonts w:hint="eastAsia" w:ascii="宋体" w:hAnsi="宋体" w:eastAsia="宋体"/>
          <w:b/>
          <w:bCs/>
          <w:sz w:val="21"/>
          <w:szCs w:val="21"/>
          <w:lang w:eastAsia="zh-CN"/>
        </w:rPr>
      </w:pPr>
      <w:r>
        <w:rPr>
          <w:rFonts w:hint="eastAsia" w:ascii="宋体" w:hAnsi="宋体" w:eastAsia="宋体"/>
          <w:b/>
          <w:bCs/>
          <w:sz w:val="21"/>
          <w:szCs w:val="21"/>
        </w:rPr>
        <w:t>5、供应商</w:t>
      </w:r>
      <w:r>
        <w:rPr>
          <w:rFonts w:hint="eastAsia" w:ascii="宋体" w:hAnsi="宋体" w:eastAsia="宋体"/>
          <w:b/>
          <w:bCs/>
          <w:sz w:val="21"/>
          <w:szCs w:val="21"/>
          <w:lang w:eastAsia="zh-CN"/>
        </w:rPr>
        <w:t>综合实力</w:t>
      </w:r>
    </w:p>
    <w:p w14:paraId="5EC6D445">
      <w:pPr>
        <w:pStyle w:val="13"/>
        <w:spacing w:line="360" w:lineRule="auto"/>
        <w:ind w:firstLine="420" w:firstLineChars="200"/>
        <w:rPr>
          <w:rFonts w:hint="eastAsia" w:ascii="宋体" w:hAnsi="宋体" w:eastAsia="宋体"/>
          <w:kern w:val="2"/>
          <w:sz w:val="21"/>
          <w:szCs w:val="21"/>
          <w14:ligatures w14:val="standardContextual"/>
        </w:rPr>
      </w:pPr>
      <w:r>
        <w:rPr>
          <w:rFonts w:hint="eastAsia" w:ascii="宋体" w:hAnsi="宋体" w:eastAsia="宋体"/>
          <w:kern w:val="2"/>
          <w:sz w:val="21"/>
          <w:szCs w:val="21"/>
          <w14:ligatures w14:val="standardContextual"/>
        </w:rPr>
        <w:t>优先考虑具备</w:t>
      </w:r>
      <w:bookmarkStart w:id="2" w:name="_GoBack"/>
      <w:bookmarkEnd w:id="2"/>
      <w:r>
        <w:rPr>
          <w:rFonts w:hint="eastAsia" w:ascii="宋体" w:hAnsi="宋体" w:eastAsia="宋体"/>
          <w:kern w:val="2"/>
          <w:sz w:val="21"/>
          <w:szCs w:val="21"/>
          <w14:ligatures w14:val="standardContextual"/>
        </w:rPr>
        <w:t>信息系统安全集成服务资质认证证书、信息安全软件开发服务资质认证证书、信息系统安全运维服务资质认证证书的供应商，以确保其具有完善的管理和技术能力保障网络安全集成项目顺利开展。</w:t>
      </w:r>
    </w:p>
    <w:p w14:paraId="0CCA55E1">
      <w:pPr>
        <w:pStyle w:val="17"/>
        <w:spacing w:after="0" w:line="360" w:lineRule="auto"/>
        <w:ind w:firstLine="420" w:firstLineChars="200"/>
        <w:rPr>
          <w:rFonts w:hint="eastAsia" w:ascii="宋体" w:hAnsi="宋体" w:eastAsia="宋体"/>
          <w:b/>
          <w:bCs/>
          <w:sz w:val="21"/>
          <w:szCs w:val="21"/>
        </w:rPr>
      </w:pPr>
      <w:r>
        <w:rPr>
          <w:rFonts w:hint="eastAsia" w:ascii="宋体" w:hAnsi="宋体" w:eastAsia="宋体"/>
          <w:b/>
          <w:bCs/>
          <w:sz w:val="21"/>
          <w:szCs w:val="21"/>
        </w:rPr>
        <w:t>6、项目实施团队要求</w:t>
      </w:r>
    </w:p>
    <w:p w14:paraId="494D410D">
      <w:pPr>
        <w:spacing w:line="360" w:lineRule="auto"/>
        <w:ind w:firstLine="420" w:firstLineChars="20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sz w:val="21"/>
          <w:szCs w:val="21"/>
        </w:rPr>
        <w:t>供应商须为本项目组建稳定的、专业的、独立的项目团队，专门负责本项目服务实施工作，进行相关的项目管控和随时调整项目实施方向，确保人力、物力的投入，项目实施团队成员在项目终验前退出或更换，需要征得采购人同意。</w:t>
      </w:r>
      <w:r>
        <w:rPr>
          <w:rFonts w:hint="eastAsia" w:ascii="宋体" w:hAnsi="宋体" w:eastAsia="宋体"/>
          <w:color w:val="000000" w:themeColor="text1"/>
          <w:sz w:val="21"/>
          <w:szCs w:val="21"/>
          <w14:textFill>
            <w14:solidFill>
              <w14:schemeClr w14:val="tx1"/>
            </w14:solidFill>
          </w14:textFill>
        </w:rPr>
        <w:t>供应商应配备1名项目经理，2名实施工程师，2名巡检工程师，资质要求如下：</w:t>
      </w:r>
    </w:p>
    <w:p w14:paraId="33C55EEC">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1）项目经理需具备丰富的项目管理经验，有效保障项目实施顺利且保质保量开展；3年或以上网络安全集成项目实施经验，并出具相关网络安全集成项目证明材料，具有人力资源和社会保障部门颁发的系统集成项目管理工程师证书；具有信息安全保障人员认证证书CISAW或注册信息安全工程师CISP。</w:t>
      </w:r>
    </w:p>
    <w:p w14:paraId="35D75D59">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2）实施工程师需熟知中福彩网络接入架构，能熟练掌握各类服务器、网络设备、安全产品、防病毒软件、防火墙、入侵检测、漏洞扫描、WAF等产品的工作原理及安装调试。每人至少具备人力资源和社会保障部，工业和信息化部批准颁发的网络工程师证书或注册信息安全专业人员认证证书CISP之一。</w:t>
      </w:r>
    </w:p>
    <w:p w14:paraId="22250277">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3）巡检工程师人员需具备3年或以上网络安全集成项目实施经验。能够根据安全产品进行日志分析，整理高危安全事件，并根据上述发现的安全威胁，提出安全控制措施和安全建议；熟练掌握各类服务器、网络设备、安全产品、防病毒软件、防火墙、入侵检测、漏洞扫描、WAF等安全产品的工作原理；熟悉常见网络安全攻击原理及防御手段，有丰富的网络安全理论知识；具备良好的用户需求理解能力和解决问题的能力；具有良好的沟通能力和优秀的团队协作精神。具备注册信息安全专业人员认证证书CISP。</w:t>
      </w:r>
    </w:p>
    <w:p w14:paraId="00DC4EA0">
      <w:pPr>
        <w:spacing w:line="360" w:lineRule="auto"/>
        <w:ind w:firstLine="420" w:firstLineChars="200"/>
        <w:rPr>
          <w:rFonts w:hint="eastAsia" w:ascii="宋体" w:hAnsi="宋体" w:eastAsia="宋体"/>
          <w:b/>
          <w:bCs/>
          <w:sz w:val="21"/>
          <w:szCs w:val="21"/>
        </w:rPr>
      </w:pPr>
      <w:r>
        <w:rPr>
          <w:rFonts w:hint="eastAsia" w:ascii="宋体" w:hAnsi="宋体" w:eastAsia="宋体"/>
          <w:b/>
          <w:bCs/>
          <w:sz w:val="21"/>
          <w:szCs w:val="21"/>
        </w:rPr>
        <w:t>7、保密义务</w:t>
      </w:r>
    </w:p>
    <w:p w14:paraId="1EC0F6DE">
      <w:pPr>
        <w:spacing w:after="0" w:line="360" w:lineRule="auto"/>
        <w:ind w:firstLine="420" w:firstLineChars="200"/>
        <w:rPr>
          <w:rFonts w:hint="eastAsia" w:ascii="宋体" w:hAnsi="宋体" w:eastAsia="宋体"/>
          <w:sz w:val="21"/>
          <w:szCs w:val="21"/>
        </w:rPr>
      </w:pPr>
      <w:r>
        <w:rPr>
          <w:rFonts w:hint="eastAsia" w:ascii="宋体" w:hAnsi="宋体" w:eastAsia="宋体"/>
          <w:sz w:val="21"/>
          <w:szCs w:val="21"/>
        </w:rPr>
        <w:t>（1）供应商不得泄露与本项目服务事项有关的保密信息，但采购人授权同意披露的信息除外。此外，供应商的保密义务还应延伸至了解和接触与本项目服务事项有关的保密信息的供应商人员及为供应商工作的其他人员。供应商应通过适当的法律文件要求其员工及为其工作的其他人员保守采购人商业秘密。若供应商人员及为供应商工作的其他人员违反保密义务，供应商应向采购人承担因此产生的一切法律责任。</w:t>
      </w:r>
    </w:p>
    <w:p w14:paraId="6BCB529A">
      <w:pPr>
        <w:spacing w:after="0" w:line="360" w:lineRule="auto"/>
        <w:ind w:firstLine="420" w:firstLineChars="200"/>
        <w:rPr>
          <w:rFonts w:hint="eastAsia" w:ascii="宋体" w:hAnsi="宋体" w:eastAsia="宋体"/>
          <w:sz w:val="21"/>
          <w:szCs w:val="21"/>
        </w:rPr>
      </w:pPr>
      <w:r>
        <w:rPr>
          <w:rFonts w:hint="eastAsia" w:ascii="宋体" w:hAnsi="宋体" w:eastAsia="宋体"/>
          <w:sz w:val="21"/>
          <w:szCs w:val="21"/>
        </w:rPr>
        <w:t>（2）供应商对采购人向其提供的无论何种形式或载体的文件、资料或信息等负有保密义务，并应妥善保管，且供应商只能将该等文件、资料或信息用于服务本项目的目的。该等文件、资料或信息只能由相应的人员使用，无必要接触该等文件、资料或信息的人员，不得接触。</w:t>
      </w:r>
    </w:p>
    <w:p w14:paraId="722CCCE0">
      <w:pPr>
        <w:spacing w:after="0" w:line="360" w:lineRule="auto"/>
        <w:ind w:firstLine="420" w:firstLineChars="200"/>
        <w:rPr>
          <w:rFonts w:hint="eastAsia" w:ascii="宋体" w:hAnsi="宋体" w:eastAsia="宋体"/>
          <w:sz w:val="21"/>
          <w:szCs w:val="21"/>
        </w:rPr>
      </w:pPr>
      <w:r>
        <w:rPr>
          <w:rFonts w:hint="eastAsia" w:ascii="宋体" w:hAnsi="宋体" w:eastAsia="宋体"/>
          <w:sz w:val="21"/>
          <w:szCs w:val="21"/>
        </w:rPr>
        <w:t>（3）供应商对其在履行本项目过程中从采购人获知的有关采购人的商业秘密以及通过其专业知识和职业经验可能推知的重要信息负有保密义务，供应商只能将该等信息用于服务于本项目的目的。</w:t>
      </w:r>
    </w:p>
    <w:p w14:paraId="3BBC9766">
      <w:pPr>
        <w:spacing w:after="0" w:line="360" w:lineRule="auto"/>
        <w:ind w:firstLine="420" w:firstLineChars="200"/>
        <w:rPr>
          <w:rFonts w:hint="eastAsia" w:ascii="宋体" w:hAnsi="宋体" w:eastAsia="宋体"/>
          <w:sz w:val="21"/>
          <w:szCs w:val="21"/>
        </w:rPr>
      </w:pPr>
      <w:r>
        <w:rPr>
          <w:rFonts w:hint="eastAsia" w:ascii="宋体" w:hAnsi="宋体" w:eastAsia="宋体"/>
          <w:sz w:val="21"/>
          <w:szCs w:val="21"/>
        </w:rPr>
        <w:t>（4）供应商在本项目服务终止后，应将从采购人获得的无论何种形式或载体的文件、资料或信息以及完成的所有工作成果交还采购人，除非相关法律、法规明确规定或经采购人书面同意，供应商不得保留或转发其副本及内容。无论项目是否终止，一旦经采购人书面要求，供应商应当按采购人要求返还或删除、销毁采购人提供的或供应商从采购人获得的全部文件、资料和信息，而不论文件、资料和信息以何种形式存在。</w:t>
      </w:r>
    </w:p>
    <w:p w14:paraId="4D08FECB">
      <w:pPr>
        <w:spacing w:after="0" w:line="360" w:lineRule="auto"/>
        <w:ind w:firstLine="420" w:firstLineChars="200"/>
        <w:rPr>
          <w:rFonts w:hint="eastAsia" w:ascii="宋体" w:hAnsi="宋体" w:eastAsia="宋体"/>
          <w:sz w:val="21"/>
          <w:szCs w:val="21"/>
        </w:rPr>
      </w:pPr>
      <w:r>
        <w:rPr>
          <w:rFonts w:hint="eastAsia" w:ascii="宋体" w:hAnsi="宋体" w:eastAsia="宋体"/>
          <w:sz w:val="21"/>
          <w:szCs w:val="21"/>
        </w:rPr>
        <w:t>（5）本条款规定的保密义务不因本项目的终止和到期而失效。在供应商为采购人提供本项目法定服务期间内及完成服务后的任何时候，供应商仍须履行保密义务，亦不得利用其为采购人服务所获取的文件、资料和信息为任何第三方服务。</w:t>
      </w:r>
    </w:p>
    <w:p w14:paraId="6D238A4F">
      <w:pPr>
        <w:pStyle w:val="13"/>
        <w:spacing w:line="360" w:lineRule="auto"/>
        <w:ind w:firstLine="420" w:firstLineChars="200"/>
        <w:rPr>
          <w:rFonts w:hint="eastAsia" w:ascii="宋体" w:hAnsi="宋体" w:eastAsia="宋体"/>
          <w:b/>
          <w:bCs/>
          <w:kern w:val="2"/>
          <w:sz w:val="21"/>
          <w:szCs w:val="21"/>
          <w14:ligatures w14:val="standardContextual"/>
        </w:rPr>
      </w:pPr>
      <w:r>
        <w:rPr>
          <w:rFonts w:hint="eastAsia" w:ascii="宋体" w:hAnsi="宋体" w:eastAsia="宋体"/>
          <w:b/>
          <w:bCs/>
          <w:kern w:val="2"/>
          <w:sz w:val="21"/>
          <w:szCs w:val="21"/>
          <w14:ligatures w14:val="standardContextual"/>
        </w:rPr>
        <w:t>8</w:t>
      </w:r>
      <w:r>
        <w:rPr>
          <w:rFonts w:ascii="宋体" w:hAnsi="宋体" w:eastAsia="宋体"/>
          <w:b/>
          <w:bCs/>
          <w:kern w:val="2"/>
          <w:sz w:val="21"/>
          <w:szCs w:val="21"/>
          <w14:ligatures w14:val="standardContextual"/>
        </w:rPr>
        <w:t>.技术培训</w:t>
      </w:r>
    </w:p>
    <w:p w14:paraId="077DED5E">
      <w:pPr>
        <w:pStyle w:val="13"/>
        <w:spacing w:line="360" w:lineRule="auto"/>
        <w:ind w:firstLine="420" w:firstLineChars="200"/>
        <w:rPr>
          <w:rFonts w:hint="eastAsia" w:ascii="宋体" w:hAnsi="宋体" w:eastAsia="宋体"/>
          <w:kern w:val="2"/>
          <w:sz w:val="21"/>
          <w:szCs w:val="21"/>
          <w14:ligatures w14:val="standardContextual"/>
        </w:rPr>
      </w:pPr>
      <w:r>
        <w:rPr>
          <w:rFonts w:ascii="宋体" w:hAnsi="宋体" w:eastAsia="宋体"/>
          <w:kern w:val="2"/>
          <w:sz w:val="21"/>
          <w:szCs w:val="21"/>
          <w14:ligatures w14:val="standardContextual"/>
        </w:rPr>
        <w:t>投标人必须对采购人的系统管理人员免费提供具有针对性的系统培训</w:t>
      </w:r>
    </w:p>
    <w:p w14:paraId="0507DB96">
      <w:pPr>
        <w:pStyle w:val="17"/>
        <w:spacing w:after="0" w:line="360" w:lineRule="auto"/>
        <w:ind w:firstLine="420" w:firstLineChars="200"/>
        <w:rPr>
          <w:rFonts w:hint="eastAsia" w:ascii="宋体" w:hAnsi="宋体" w:eastAsia="宋体"/>
          <w:b/>
          <w:bCs/>
          <w:sz w:val="21"/>
          <w:szCs w:val="21"/>
        </w:rPr>
      </w:pPr>
      <w:r>
        <w:rPr>
          <w:rFonts w:hint="eastAsia" w:ascii="宋体" w:hAnsi="宋体" w:eastAsia="宋体"/>
          <w:b/>
          <w:bCs/>
          <w:sz w:val="21"/>
          <w:szCs w:val="21"/>
        </w:rPr>
        <w:t>9、项目验收</w:t>
      </w:r>
    </w:p>
    <w:p w14:paraId="197FB1F5">
      <w:pPr>
        <w:spacing w:after="0" w:line="360" w:lineRule="auto"/>
        <w:ind w:firstLine="420" w:firstLineChars="200"/>
        <w:rPr>
          <w:rFonts w:hint="eastAsia" w:ascii="宋体" w:hAnsi="宋体" w:eastAsia="宋体"/>
          <w:sz w:val="21"/>
          <w:szCs w:val="21"/>
        </w:rPr>
      </w:pPr>
      <w:r>
        <w:rPr>
          <w:rFonts w:hint="eastAsia" w:ascii="宋体" w:hAnsi="宋体" w:eastAsia="宋体"/>
          <w:sz w:val="21"/>
          <w:szCs w:val="21"/>
        </w:rPr>
        <w:t>（1）设备到货验收：所有设备到货后采购人将按规定对货物的品牌、外观、规格、参数配置、数量、配件进行到货验收，中标人必须在验收现场提供必要的技术支持。</w:t>
      </w:r>
    </w:p>
    <w:p w14:paraId="52DABAC7">
      <w:pPr>
        <w:spacing w:after="0" w:line="360" w:lineRule="auto"/>
        <w:ind w:firstLine="420" w:firstLineChars="200"/>
        <w:rPr>
          <w:rFonts w:hint="eastAsia" w:ascii="宋体" w:hAnsi="宋体" w:eastAsia="宋体"/>
          <w:sz w:val="21"/>
          <w:szCs w:val="21"/>
        </w:rPr>
      </w:pPr>
      <w:r>
        <w:rPr>
          <w:rFonts w:hint="eastAsia" w:ascii="宋体" w:hAnsi="宋体" w:eastAsia="宋体"/>
          <w:sz w:val="21"/>
          <w:szCs w:val="21"/>
        </w:rPr>
        <w:t>（2）项目初验：投标人完成全部</w:t>
      </w:r>
      <w:r>
        <w:rPr>
          <w:rFonts w:ascii="宋体" w:hAnsi="宋体" w:eastAsia="宋体"/>
          <w:sz w:val="21"/>
          <w:szCs w:val="21"/>
        </w:rPr>
        <w:t>设备安装、调试及系统部署，系统投入运行且无故障问题，</w:t>
      </w:r>
      <w:r>
        <w:rPr>
          <w:rFonts w:hint="eastAsia" w:ascii="宋体" w:hAnsi="宋体" w:eastAsia="宋体"/>
          <w:sz w:val="21"/>
          <w:szCs w:val="21"/>
        </w:rPr>
        <w:t>试运行一个月后，</w:t>
      </w:r>
      <w:r>
        <w:rPr>
          <w:rFonts w:ascii="宋体" w:hAnsi="宋体" w:eastAsia="宋体"/>
          <w:sz w:val="21"/>
          <w:szCs w:val="21"/>
        </w:rPr>
        <w:t>投标人可提交</w:t>
      </w:r>
      <w:r>
        <w:rPr>
          <w:rFonts w:hint="eastAsia" w:ascii="宋体" w:hAnsi="宋体" w:eastAsia="宋体"/>
          <w:sz w:val="21"/>
          <w:szCs w:val="21"/>
        </w:rPr>
        <w:t>初验</w:t>
      </w:r>
      <w:r>
        <w:rPr>
          <w:rFonts w:ascii="宋体" w:hAnsi="宋体" w:eastAsia="宋体"/>
          <w:sz w:val="21"/>
          <w:szCs w:val="21"/>
        </w:rPr>
        <w:t>申请</w:t>
      </w:r>
      <w:r>
        <w:rPr>
          <w:rFonts w:hint="eastAsia" w:ascii="宋体" w:hAnsi="宋体" w:eastAsia="宋体"/>
          <w:sz w:val="21"/>
          <w:szCs w:val="21"/>
        </w:rPr>
        <w:t>及相关技术文档，包括但不限于系统需求规格说明数、网络架构设计文档（含网络拓扑）、安装部署指南、系统管理员手册及用户操作手册等</w:t>
      </w:r>
      <w:r>
        <w:rPr>
          <w:rFonts w:ascii="宋体" w:hAnsi="宋体" w:eastAsia="宋体"/>
          <w:sz w:val="21"/>
          <w:szCs w:val="21"/>
        </w:rPr>
        <w:t>，由采购人组织验收，并签署初验报告</w:t>
      </w:r>
      <w:r>
        <w:rPr>
          <w:rFonts w:hint="eastAsia" w:ascii="宋体" w:hAnsi="宋体" w:eastAsia="宋体"/>
          <w:sz w:val="21"/>
          <w:szCs w:val="21"/>
        </w:rPr>
        <w:t>。</w:t>
      </w:r>
    </w:p>
    <w:p w14:paraId="2C3C35AB">
      <w:pPr>
        <w:spacing w:after="0" w:line="360" w:lineRule="auto"/>
        <w:ind w:firstLine="420" w:firstLineChars="200"/>
        <w:rPr>
          <w:rFonts w:hint="eastAsia" w:ascii="宋体" w:hAnsi="宋体" w:eastAsia="宋体"/>
          <w:sz w:val="21"/>
          <w:szCs w:val="21"/>
        </w:rPr>
      </w:pPr>
      <w:r>
        <w:rPr>
          <w:rFonts w:hint="eastAsia" w:ascii="宋体" w:hAnsi="宋体" w:eastAsia="宋体"/>
          <w:sz w:val="21"/>
          <w:szCs w:val="21"/>
        </w:rPr>
        <w:t>（3）</w:t>
      </w:r>
      <w:r>
        <w:rPr>
          <w:rFonts w:ascii="宋体" w:hAnsi="宋体" w:eastAsia="宋体"/>
          <w:sz w:val="21"/>
          <w:szCs w:val="21"/>
        </w:rPr>
        <w:t>项目</w:t>
      </w:r>
      <w:r>
        <w:rPr>
          <w:rFonts w:hint="eastAsia" w:ascii="宋体" w:hAnsi="宋体" w:eastAsia="宋体"/>
          <w:sz w:val="21"/>
          <w:szCs w:val="21"/>
        </w:rPr>
        <w:t>维保期</w:t>
      </w:r>
      <w:r>
        <w:rPr>
          <w:rFonts w:ascii="宋体" w:hAnsi="宋体" w:eastAsia="宋体"/>
          <w:sz w:val="21"/>
          <w:szCs w:val="21"/>
        </w:rPr>
        <w:t>结束后10个工作日内，中标人应将本次</w:t>
      </w:r>
      <w:r>
        <w:rPr>
          <w:rFonts w:hint="eastAsia" w:ascii="宋体" w:hAnsi="宋体" w:eastAsia="宋体"/>
          <w:sz w:val="21"/>
          <w:szCs w:val="21"/>
        </w:rPr>
        <w:t>项目</w:t>
      </w:r>
      <w:r>
        <w:rPr>
          <w:rFonts w:ascii="宋体" w:hAnsi="宋体" w:eastAsia="宋体"/>
          <w:sz w:val="21"/>
          <w:szCs w:val="21"/>
        </w:rPr>
        <w:t>涉及的全部资料，包括但不限于报告、记录、技术文档等提交给采购人，并配合采购人进行项目整体验收工作。投标人需提供《服务总结报告》，</w:t>
      </w:r>
      <w:r>
        <w:rPr>
          <w:rFonts w:hint="eastAsia" w:ascii="宋体" w:hAnsi="宋体" w:eastAsia="宋体"/>
          <w:sz w:val="21"/>
          <w:szCs w:val="21"/>
        </w:rPr>
        <w:t>所</w:t>
      </w:r>
      <w:r>
        <w:rPr>
          <w:rFonts w:ascii="宋体" w:hAnsi="宋体" w:eastAsia="宋体"/>
          <w:sz w:val="21"/>
          <w:szCs w:val="21"/>
        </w:rPr>
        <w:t>提供的《服务总结报告》内容包括但不限于</w:t>
      </w:r>
      <w:r>
        <w:rPr>
          <w:rFonts w:hint="eastAsia" w:ascii="宋体" w:hAnsi="宋体" w:eastAsia="宋体"/>
          <w:sz w:val="21"/>
          <w:szCs w:val="21"/>
        </w:rPr>
        <w:t>运维服务执行情况、设备巡检情况，</w:t>
      </w:r>
      <w:r>
        <w:rPr>
          <w:rFonts w:ascii="宋体" w:hAnsi="宋体" w:eastAsia="宋体"/>
          <w:sz w:val="21"/>
          <w:szCs w:val="21"/>
        </w:rPr>
        <w:t>硬件故障工单统计等。如项目整体验收合格的，双方书面签署验收凭证，验收不合格的，供应商应予自费整改直至合格并承担违约责任，无法或无需整改的，采购人有权视情况扣减合同价款并要求供应商承担违约责任。</w:t>
      </w:r>
    </w:p>
    <w:p w14:paraId="12C3A5C3">
      <w:pPr>
        <w:spacing w:after="0" w:line="360" w:lineRule="auto"/>
        <w:ind w:firstLine="420" w:firstLineChars="200"/>
        <w:rPr>
          <w:rFonts w:hint="eastAsia" w:ascii="宋体" w:hAnsi="宋体" w:eastAsia="宋体"/>
          <w:sz w:val="21"/>
          <w:szCs w:val="21"/>
        </w:rPr>
      </w:pPr>
    </w:p>
    <w:sectPr>
      <w:footerReference r:id="rId5" w:type="default"/>
      <w:pgSz w:w="11906" w:h="16838"/>
      <w:pgMar w:top="1440" w:right="1800" w:bottom="1440" w:left="180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仿宋_GB2312">
    <w:panose1 w:val="02010609030101010101"/>
    <w:charset w:val="86"/>
    <w:family w:val="modern"/>
    <w:pitch w:val="default"/>
    <w:sig w:usb0="00000001" w:usb1="080E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等线 Light">
    <w:altName w:val="方正小标宋简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仿宋">
    <w:altName w:val="仿宋_GB2312"/>
    <w:panose1 w:val="02010609060101010101"/>
    <w:charset w:val="86"/>
    <w:family w:val="modern"/>
    <w:pitch w:val="default"/>
    <w:sig w:usb0="00000000" w:usb1="00000000" w:usb2="00000016" w:usb3="00000000" w:csb0="00040001" w:csb1="00000000"/>
  </w:font>
  <w:font w:name="等线 Ligh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等线">
    <w:altName w:val="Noto Sans CJK SC"/>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39E2C168">
        <w:pPr>
          <w:pStyle w:val="1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4B22789D">
    <w:pPr>
      <w:pStyle w:val="1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B75B1E"/>
    <w:multiLevelType w:val="multilevel"/>
    <w:tmpl w:val="6DB75B1E"/>
    <w:lvl w:ilvl="0" w:tentative="0">
      <w:start w:val="1"/>
      <w:numFmt w:val="chineseCountingThousand"/>
      <w:lvlText w:val="%1、"/>
      <w:lvlJc w:val="left"/>
      <w:pPr>
        <w:ind w:left="440" w:hanging="440"/>
      </w:pPr>
    </w:lvl>
    <w:lvl w:ilvl="1" w:tentative="0">
      <w:start w:val="1"/>
      <w:numFmt w:val="decimal"/>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DFB7744"/>
    <w:multiLevelType w:val="multilevel"/>
    <w:tmpl w:val="6DFB7744"/>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HorizontalSpacing w:val="140"/>
  <w:drawingGridVerticalSpacing w:val="38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B3"/>
    <w:rsid w:val="00000A6D"/>
    <w:rsid w:val="00007AEF"/>
    <w:rsid w:val="00012934"/>
    <w:rsid w:val="00013035"/>
    <w:rsid w:val="00024458"/>
    <w:rsid w:val="00026629"/>
    <w:rsid w:val="00036AE0"/>
    <w:rsid w:val="000416D1"/>
    <w:rsid w:val="000449CC"/>
    <w:rsid w:val="00067742"/>
    <w:rsid w:val="00073638"/>
    <w:rsid w:val="00080398"/>
    <w:rsid w:val="00082E3A"/>
    <w:rsid w:val="000B34E6"/>
    <w:rsid w:val="000C5C48"/>
    <w:rsid w:val="000D06A6"/>
    <w:rsid w:val="000D382F"/>
    <w:rsid w:val="000D4023"/>
    <w:rsid w:val="000E3ACD"/>
    <w:rsid w:val="000E3B95"/>
    <w:rsid w:val="000F3B08"/>
    <w:rsid w:val="000F48AF"/>
    <w:rsid w:val="0010697F"/>
    <w:rsid w:val="001113A4"/>
    <w:rsid w:val="00111FEA"/>
    <w:rsid w:val="00114110"/>
    <w:rsid w:val="001159AE"/>
    <w:rsid w:val="00121C8F"/>
    <w:rsid w:val="001243D3"/>
    <w:rsid w:val="00127805"/>
    <w:rsid w:val="00135C8E"/>
    <w:rsid w:val="0014001A"/>
    <w:rsid w:val="001427F4"/>
    <w:rsid w:val="0015151B"/>
    <w:rsid w:val="00163251"/>
    <w:rsid w:val="0016741F"/>
    <w:rsid w:val="00171136"/>
    <w:rsid w:val="00191EB0"/>
    <w:rsid w:val="00195142"/>
    <w:rsid w:val="00195B9D"/>
    <w:rsid w:val="001A4385"/>
    <w:rsid w:val="001B3EEE"/>
    <w:rsid w:val="001C2342"/>
    <w:rsid w:val="001D324E"/>
    <w:rsid w:val="001D6525"/>
    <w:rsid w:val="001E4346"/>
    <w:rsid w:val="00202CAF"/>
    <w:rsid w:val="00206BE4"/>
    <w:rsid w:val="00222096"/>
    <w:rsid w:val="002306F2"/>
    <w:rsid w:val="002330D3"/>
    <w:rsid w:val="00235529"/>
    <w:rsid w:val="00256709"/>
    <w:rsid w:val="002856B2"/>
    <w:rsid w:val="002A1FDD"/>
    <w:rsid w:val="002A79AC"/>
    <w:rsid w:val="002C54C8"/>
    <w:rsid w:val="002D0A98"/>
    <w:rsid w:val="002E018D"/>
    <w:rsid w:val="002E425E"/>
    <w:rsid w:val="002F7DBB"/>
    <w:rsid w:val="00303560"/>
    <w:rsid w:val="00316543"/>
    <w:rsid w:val="0034021D"/>
    <w:rsid w:val="003574D6"/>
    <w:rsid w:val="003576B8"/>
    <w:rsid w:val="00361E82"/>
    <w:rsid w:val="00375E12"/>
    <w:rsid w:val="00386C86"/>
    <w:rsid w:val="0039245F"/>
    <w:rsid w:val="003A6F0E"/>
    <w:rsid w:val="003B286C"/>
    <w:rsid w:val="003B2F34"/>
    <w:rsid w:val="003B4853"/>
    <w:rsid w:val="003B6210"/>
    <w:rsid w:val="003C1AF2"/>
    <w:rsid w:val="003E2C6F"/>
    <w:rsid w:val="003E3A66"/>
    <w:rsid w:val="004046C3"/>
    <w:rsid w:val="00407584"/>
    <w:rsid w:val="00412E48"/>
    <w:rsid w:val="00424378"/>
    <w:rsid w:val="004245CC"/>
    <w:rsid w:val="004268A2"/>
    <w:rsid w:val="0044287E"/>
    <w:rsid w:val="004439AC"/>
    <w:rsid w:val="00457146"/>
    <w:rsid w:val="0046340E"/>
    <w:rsid w:val="00490B39"/>
    <w:rsid w:val="004A08B9"/>
    <w:rsid w:val="004A2573"/>
    <w:rsid w:val="004A745E"/>
    <w:rsid w:val="004C5F74"/>
    <w:rsid w:val="004D2C94"/>
    <w:rsid w:val="004D6309"/>
    <w:rsid w:val="004E267F"/>
    <w:rsid w:val="004E589D"/>
    <w:rsid w:val="004F517D"/>
    <w:rsid w:val="005044D8"/>
    <w:rsid w:val="00504557"/>
    <w:rsid w:val="00506DE8"/>
    <w:rsid w:val="005174E4"/>
    <w:rsid w:val="00530F06"/>
    <w:rsid w:val="00570B5D"/>
    <w:rsid w:val="00581389"/>
    <w:rsid w:val="005878D3"/>
    <w:rsid w:val="0059513C"/>
    <w:rsid w:val="005A2329"/>
    <w:rsid w:val="005C7784"/>
    <w:rsid w:val="005D56F5"/>
    <w:rsid w:val="005F44B1"/>
    <w:rsid w:val="005F7A09"/>
    <w:rsid w:val="00600304"/>
    <w:rsid w:val="00623096"/>
    <w:rsid w:val="00624ACD"/>
    <w:rsid w:val="0063125D"/>
    <w:rsid w:val="006358C6"/>
    <w:rsid w:val="006419D9"/>
    <w:rsid w:val="006441CC"/>
    <w:rsid w:val="00650582"/>
    <w:rsid w:val="006742B6"/>
    <w:rsid w:val="0067505D"/>
    <w:rsid w:val="00680EC0"/>
    <w:rsid w:val="00681E2B"/>
    <w:rsid w:val="00685F1B"/>
    <w:rsid w:val="006903CA"/>
    <w:rsid w:val="00693FB3"/>
    <w:rsid w:val="006945D2"/>
    <w:rsid w:val="006A1DBE"/>
    <w:rsid w:val="006D1135"/>
    <w:rsid w:val="006E2D49"/>
    <w:rsid w:val="006E6111"/>
    <w:rsid w:val="006F4CB4"/>
    <w:rsid w:val="007003C6"/>
    <w:rsid w:val="00701825"/>
    <w:rsid w:val="00712EBA"/>
    <w:rsid w:val="00725EF1"/>
    <w:rsid w:val="007270E1"/>
    <w:rsid w:val="007555CB"/>
    <w:rsid w:val="00755CC0"/>
    <w:rsid w:val="007819A9"/>
    <w:rsid w:val="00793920"/>
    <w:rsid w:val="007A1FDE"/>
    <w:rsid w:val="007B46C6"/>
    <w:rsid w:val="007C14CD"/>
    <w:rsid w:val="007C445F"/>
    <w:rsid w:val="007D3C15"/>
    <w:rsid w:val="007D7314"/>
    <w:rsid w:val="007E38C1"/>
    <w:rsid w:val="007F73B8"/>
    <w:rsid w:val="00804C6B"/>
    <w:rsid w:val="00805734"/>
    <w:rsid w:val="008230EA"/>
    <w:rsid w:val="00855878"/>
    <w:rsid w:val="00856370"/>
    <w:rsid w:val="008600C7"/>
    <w:rsid w:val="00861E22"/>
    <w:rsid w:val="00871B5A"/>
    <w:rsid w:val="00875F6C"/>
    <w:rsid w:val="00884A95"/>
    <w:rsid w:val="00887E9C"/>
    <w:rsid w:val="008907FF"/>
    <w:rsid w:val="008D5BC6"/>
    <w:rsid w:val="008F0083"/>
    <w:rsid w:val="008F2F46"/>
    <w:rsid w:val="008F6F20"/>
    <w:rsid w:val="00900AE0"/>
    <w:rsid w:val="00907EA5"/>
    <w:rsid w:val="00912FA3"/>
    <w:rsid w:val="00924DD8"/>
    <w:rsid w:val="00924DF9"/>
    <w:rsid w:val="009326FA"/>
    <w:rsid w:val="009364A1"/>
    <w:rsid w:val="009557FF"/>
    <w:rsid w:val="009B0318"/>
    <w:rsid w:val="009B0B31"/>
    <w:rsid w:val="009C6D73"/>
    <w:rsid w:val="009E5B98"/>
    <w:rsid w:val="009F0881"/>
    <w:rsid w:val="00A136FF"/>
    <w:rsid w:val="00A2344A"/>
    <w:rsid w:val="00A307D7"/>
    <w:rsid w:val="00A324F2"/>
    <w:rsid w:val="00A430F8"/>
    <w:rsid w:val="00A5740B"/>
    <w:rsid w:val="00A70FC0"/>
    <w:rsid w:val="00A74DEE"/>
    <w:rsid w:val="00A86C42"/>
    <w:rsid w:val="00A925B3"/>
    <w:rsid w:val="00A95933"/>
    <w:rsid w:val="00AA5BE3"/>
    <w:rsid w:val="00AB5EC2"/>
    <w:rsid w:val="00AC07D7"/>
    <w:rsid w:val="00AC3781"/>
    <w:rsid w:val="00AC4BD3"/>
    <w:rsid w:val="00AE24E8"/>
    <w:rsid w:val="00B2438E"/>
    <w:rsid w:val="00B24471"/>
    <w:rsid w:val="00B33462"/>
    <w:rsid w:val="00B4013D"/>
    <w:rsid w:val="00B41078"/>
    <w:rsid w:val="00B43028"/>
    <w:rsid w:val="00B51AB9"/>
    <w:rsid w:val="00B67A38"/>
    <w:rsid w:val="00B7080D"/>
    <w:rsid w:val="00B84A9C"/>
    <w:rsid w:val="00B87D1E"/>
    <w:rsid w:val="00BA46A7"/>
    <w:rsid w:val="00BA46C8"/>
    <w:rsid w:val="00BA74DD"/>
    <w:rsid w:val="00BB0FCE"/>
    <w:rsid w:val="00BD0DA0"/>
    <w:rsid w:val="00BD5F8C"/>
    <w:rsid w:val="00BE215E"/>
    <w:rsid w:val="00BE7077"/>
    <w:rsid w:val="00BF4593"/>
    <w:rsid w:val="00BF5844"/>
    <w:rsid w:val="00C03487"/>
    <w:rsid w:val="00C0473D"/>
    <w:rsid w:val="00C16686"/>
    <w:rsid w:val="00C33EC1"/>
    <w:rsid w:val="00C55005"/>
    <w:rsid w:val="00C55797"/>
    <w:rsid w:val="00C655D5"/>
    <w:rsid w:val="00C81963"/>
    <w:rsid w:val="00CA74DC"/>
    <w:rsid w:val="00CB5F43"/>
    <w:rsid w:val="00CC2551"/>
    <w:rsid w:val="00CD2FDB"/>
    <w:rsid w:val="00D43B0E"/>
    <w:rsid w:val="00D67F3C"/>
    <w:rsid w:val="00D706C1"/>
    <w:rsid w:val="00D717FA"/>
    <w:rsid w:val="00D73356"/>
    <w:rsid w:val="00D733E1"/>
    <w:rsid w:val="00D814B2"/>
    <w:rsid w:val="00D81F6F"/>
    <w:rsid w:val="00D84546"/>
    <w:rsid w:val="00D906C3"/>
    <w:rsid w:val="00DA10E6"/>
    <w:rsid w:val="00DB5E14"/>
    <w:rsid w:val="00DD0076"/>
    <w:rsid w:val="00DD4E4A"/>
    <w:rsid w:val="00DF31BA"/>
    <w:rsid w:val="00E01DE2"/>
    <w:rsid w:val="00E06C60"/>
    <w:rsid w:val="00E12C40"/>
    <w:rsid w:val="00E20997"/>
    <w:rsid w:val="00E23B93"/>
    <w:rsid w:val="00E347D8"/>
    <w:rsid w:val="00E64497"/>
    <w:rsid w:val="00E663FA"/>
    <w:rsid w:val="00EB0F48"/>
    <w:rsid w:val="00ED09D8"/>
    <w:rsid w:val="00EF4806"/>
    <w:rsid w:val="00F0081F"/>
    <w:rsid w:val="00F02D78"/>
    <w:rsid w:val="00F37FB6"/>
    <w:rsid w:val="00F54923"/>
    <w:rsid w:val="00F62B96"/>
    <w:rsid w:val="00F81D2B"/>
    <w:rsid w:val="00FB245A"/>
    <w:rsid w:val="00FB5DC5"/>
    <w:rsid w:val="00FC0C95"/>
    <w:rsid w:val="00FD2B2F"/>
    <w:rsid w:val="00FD2FFC"/>
    <w:rsid w:val="00FE203E"/>
    <w:rsid w:val="00FF749E"/>
    <w:rsid w:val="05355B4E"/>
    <w:rsid w:val="079D30FD"/>
    <w:rsid w:val="0D500B46"/>
    <w:rsid w:val="0FBB7291"/>
    <w:rsid w:val="10C46BA5"/>
    <w:rsid w:val="11153D1C"/>
    <w:rsid w:val="11B33FB3"/>
    <w:rsid w:val="12F48617"/>
    <w:rsid w:val="149368C7"/>
    <w:rsid w:val="169F5CB4"/>
    <w:rsid w:val="17C326FF"/>
    <w:rsid w:val="1AE070FF"/>
    <w:rsid w:val="1AF4318B"/>
    <w:rsid w:val="1BD763B9"/>
    <w:rsid w:val="206C021E"/>
    <w:rsid w:val="2390492D"/>
    <w:rsid w:val="23F27079"/>
    <w:rsid w:val="286E1265"/>
    <w:rsid w:val="2CB921C6"/>
    <w:rsid w:val="2E84136B"/>
    <w:rsid w:val="302027D3"/>
    <w:rsid w:val="316E519C"/>
    <w:rsid w:val="32800563"/>
    <w:rsid w:val="37F707E7"/>
    <w:rsid w:val="3C4049A0"/>
    <w:rsid w:val="3EC26168"/>
    <w:rsid w:val="445F7750"/>
    <w:rsid w:val="45B7DBEA"/>
    <w:rsid w:val="496B185F"/>
    <w:rsid w:val="4DA035EC"/>
    <w:rsid w:val="4E766EAA"/>
    <w:rsid w:val="505025AA"/>
    <w:rsid w:val="53C15593"/>
    <w:rsid w:val="559B5BDA"/>
    <w:rsid w:val="5BC57412"/>
    <w:rsid w:val="63322A71"/>
    <w:rsid w:val="642F254F"/>
    <w:rsid w:val="64CC0858"/>
    <w:rsid w:val="65FCF084"/>
    <w:rsid w:val="67880498"/>
    <w:rsid w:val="6887568A"/>
    <w:rsid w:val="690D7691"/>
    <w:rsid w:val="696A6892"/>
    <w:rsid w:val="6B6D237F"/>
    <w:rsid w:val="6F501C30"/>
    <w:rsid w:val="6F5770EE"/>
    <w:rsid w:val="74B144C3"/>
    <w:rsid w:val="784F7848"/>
    <w:rsid w:val="79490DE5"/>
    <w:rsid w:val="79B7EE56"/>
    <w:rsid w:val="7D7FA5FD"/>
    <w:rsid w:val="B5BF3409"/>
    <w:rsid w:val="DEFB9B12"/>
    <w:rsid w:val="F7F9D3CC"/>
    <w:rsid w:val="FAD77301"/>
    <w:rsid w:val="FFBB1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仿宋_GB2312" w:eastAsia="仿宋_GB2312" w:hAnsiTheme="minorHAnsi" w:cstheme="minorBidi"/>
      <w:kern w:val="2"/>
      <w:sz w:val="28"/>
      <w:szCs w:val="28"/>
      <w:lang w:val="en-US" w:eastAsia="zh-CN" w:bidi="ar-SA"/>
      <w14:ligatures w14:val="standardContextual"/>
    </w:rPr>
  </w:style>
  <w:style w:type="paragraph" w:styleId="2">
    <w:name w:val="heading 1"/>
    <w:basedOn w:val="1"/>
    <w:next w:val="1"/>
    <w:link w:val="2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8"/>
    <w:semiHidden/>
    <w:unhideWhenUsed/>
    <w:qFormat/>
    <w:uiPriority w:val="9"/>
    <w:pPr>
      <w:keepNext/>
      <w:keepLines/>
      <w:spacing w:before="80" w:after="40"/>
      <w:outlineLvl w:val="3"/>
    </w:pPr>
    <w:rPr>
      <w:rFonts w:asciiTheme="minorHAnsi" w:eastAsiaTheme="minorEastAsia" w:cstheme="majorBidi"/>
      <w:color w:val="2F5597" w:themeColor="accent1" w:themeShade="BF"/>
    </w:rPr>
  </w:style>
  <w:style w:type="paragraph" w:styleId="6">
    <w:name w:val="heading 5"/>
    <w:basedOn w:val="1"/>
    <w:next w:val="1"/>
    <w:link w:val="29"/>
    <w:semiHidden/>
    <w:unhideWhenUsed/>
    <w:qFormat/>
    <w:uiPriority w:val="9"/>
    <w:pPr>
      <w:keepNext/>
      <w:keepLines/>
      <w:spacing w:before="80" w:after="40"/>
      <w:outlineLvl w:val="4"/>
    </w:pPr>
    <w:rPr>
      <w:rFonts w:asciiTheme="minorHAnsi" w:eastAsiaTheme="minorEastAsia" w:cstheme="majorBidi"/>
      <w:color w:val="2F5597" w:themeColor="accent1" w:themeShade="BF"/>
      <w:sz w:val="24"/>
      <w:szCs w:val="24"/>
    </w:rPr>
  </w:style>
  <w:style w:type="paragraph" w:styleId="7">
    <w:name w:val="heading 6"/>
    <w:basedOn w:val="1"/>
    <w:next w:val="1"/>
    <w:link w:val="30"/>
    <w:semiHidden/>
    <w:unhideWhenUsed/>
    <w:qFormat/>
    <w:uiPriority w:val="9"/>
    <w:pPr>
      <w:keepNext/>
      <w:keepLines/>
      <w:spacing w:before="40" w:after="0"/>
      <w:outlineLvl w:val="5"/>
    </w:pPr>
    <w:rPr>
      <w:rFonts w:asciiTheme="minorHAnsi" w:eastAsiaTheme="minorEastAsia" w:cstheme="majorBidi"/>
      <w:b/>
      <w:bCs/>
      <w:color w:val="2F5597" w:themeColor="accent1" w:themeShade="BF"/>
    </w:rPr>
  </w:style>
  <w:style w:type="paragraph" w:styleId="8">
    <w:name w:val="heading 7"/>
    <w:basedOn w:val="1"/>
    <w:next w:val="1"/>
    <w:link w:val="31"/>
    <w:semiHidden/>
    <w:unhideWhenUsed/>
    <w:qFormat/>
    <w:uiPriority w:val="9"/>
    <w:pPr>
      <w:keepNext/>
      <w:keepLines/>
      <w:spacing w:before="40" w:after="0"/>
      <w:outlineLvl w:val="6"/>
    </w:pPr>
    <w:rPr>
      <w:rFonts w:asci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2"/>
    <w:semiHidden/>
    <w:unhideWhenUsed/>
    <w:qFormat/>
    <w:uiPriority w:val="9"/>
    <w:pPr>
      <w:keepNext/>
      <w:keepLines/>
      <w:spacing w:after="0"/>
      <w:outlineLvl w:val="7"/>
    </w:pPr>
    <w:rPr>
      <w:rFonts w:asci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3"/>
    <w:semiHidden/>
    <w:unhideWhenUsed/>
    <w:qFormat/>
    <w:uiPriority w:val="9"/>
    <w:pPr>
      <w:keepNext/>
      <w:keepLines/>
      <w:spacing w:after="0"/>
      <w:outlineLvl w:val="8"/>
    </w:pPr>
    <w:rPr>
      <w:rFonts w:asci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47"/>
    <w:qFormat/>
    <w:uiPriority w:val="0"/>
    <w:pPr>
      <w:spacing w:after="0" w:line="240" w:lineRule="auto"/>
      <w:ind w:firstLine="420" w:firstLineChars="200"/>
      <w:jc w:val="both"/>
    </w:pPr>
    <w:rPr>
      <w:rFonts w:ascii="Times New Roman" w:hAnsi="Times New Roman" w:eastAsia="宋体" w:cs="Times New Roman"/>
      <w:sz w:val="21"/>
      <w:szCs w:val="24"/>
      <w14:ligatures w14:val="none"/>
    </w:rPr>
  </w:style>
  <w:style w:type="paragraph" w:styleId="12">
    <w:name w:val="annotation text"/>
    <w:basedOn w:val="1"/>
    <w:link w:val="45"/>
    <w:semiHidden/>
    <w:unhideWhenUsed/>
    <w:qFormat/>
    <w:uiPriority w:val="99"/>
  </w:style>
  <w:style w:type="paragraph" w:styleId="13">
    <w:name w:val="Body Text"/>
    <w:basedOn w:val="1"/>
    <w:link w:val="43"/>
    <w:qFormat/>
    <w:uiPriority w:val="0"/>
    <w:pPr>
      <w:spacing w:after="0" w:line="240" w:lineRule="auto"/>
      <w:jc w:val="both"/>
    </w:pPr>
    <w:rPr>
      <w:rFonts w:asciiTheme="minorHAnsi" w:eastAsiaTheme="minorEastAsia"/>
      <w:kern w:val="0"/>
      <w:sz w:val="20"/>
      <w:szCs w:val="24"/>
      <w14:ligatures w14:val="none"/>
    </w:rPr>
  </w:style>
  <w:style w:type="paragraph" w:styleId="14">
    <w:name w:val="footer"/>
    <w:basedOn w:val="1"/>
    <w:link w:val="49"/>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48"/>
    <w:unhideWhenUsed/>
    <w:qFormat/>
    <w:uiPriority w:val="99"/>
    <w:pPr>
      <w:tabs>
        <w:tab w:val="center" w:pos="4153"/>
        <w:tab w:val="right" w:pos="8306"/>
      </w:tabs>
      <w:snapToGrid w:val="0"/>
      <w:spacing w:line="240" w:lineRule="auto"/>
      <w:jc w:val="center"/>
    </w:pPr>
    <w:rPr>
      <w:sz w:val="18"/>
      <w:szCs w:val="18"/>
    </w:rPr>
  </w:style>
  <w:style w:type="paragraph" w:styleId="16">
    <w:name w:val="Subtitle"/>
    <w:basedOn w:val="1"/>
    <w:next w:val="1"/>
    <w:link w:val="35"/>
    <w:qFormat/>
    <w:uiPriority w:val="11"/>
    <w:pPr>
      <w:jc w:val="center"/>
    </w:pPr>
    <w:rPr>
      <w:rFonts w:asciiTheme="majorHAnsi" w:hAnsiTheme="majorHAnsi" w:eastAsiaTheme="majorEastAsia" w:cstheme="majorBidi"/>
      <w:color w:val="595959" w:themeColor="text1" w:themeTint="A6"/>
      <w:spacing w:val="15"/>
      <w14:textFill>
        <w14:solidFill>
          <w14:schemeClr w14:val="tx1">
            <w14:lumMod w14:val="65000"/>
            <w14:lumOff w14:val="35000"/>
          </w14:schemeClr>
        </w14:solidFill>
      </w14:textFill>
    </w:rPr>
  </w:style>
  <w:style w:type="paragraph" w:styleId="17">
    <w:name w:val="Body Text 2"/>
    <w:basedOn w:val="1"/>
    <w:link w:val="44"/>
    <w:unhideWhenUsed/>
    <w:qFormat/>
    <w:uiPriority w:val="99"/>
    <w:pPr>
      <w:spacing w:after="120" w:line="480" w:lineRule="auto"/>
    </w:pPr>
  </w:style>
  <w:style w:type="paragraph" w:styleId="18">
    <w:name w:val="Title"/>
    <w:basedOn w:val="1"/>
    <w:next w:val="1"/>
    <w:link w:val="3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2"/>
    <w:next w:val="12"/>
    <w:link w:val="46"/>
    <w:semiHidden/>
    <w:unhideWhenUsed/>
    <w:qFormat/>
    <w:uiPriority w:val="99"/>
    <w:rPr>
      <w:b/>
      <w:bCs/>
    </w:rPr>
  </w:style>
  <w:style w:type="paragraph" w:styleId="20">
    <w:name w:val="Body Text First Indent"/>
    <w:basedOn w:val="13"/>
    <w:link w:val="50"/>
    <w:semiHidden/>
    <w:unhideWhenUsed/>
    <w:qFormat/>
    <w:uiPriority w:val="99"/>
    <w:pPr>
      <w:spacing w:after="120" w:line="278" w:lineRule="auto"/>
      <w:ind w:firstLine="420" w:firstLineChars="100"/>
      <w:jc w:val="left"/>
    </w:pPr>
    <w:rPr>
      <w:rFonts w:ascii="仿宋_GB2312" w:eastAsia="仿宋_GB2312"/>
      <w:kern w:val="2"/>
      <w:sz w:val="28"/>
      <w:szCs w:val="28"/>
      <w14:ligatures w14:val="standardContextual"/>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annotation reference"/>
    <w:basedOn w:val="23"/>
    <w:semiHidden/>
    <w:unhideWhenUsed/>
    <w:qFormat/>
    <w:uiPriority w:val="99"/>
    <w:rPr>
      <w:sz w:val="21"/>
      <w:szCs w:val="21"/>
    </w:rPr>
  </w:style>
  <w:style w:type="character" w:customStyle="1" w:styleId="25">
    <w:name w:val="标题 1 字符"/>
    <w:basedOn w:val="23"/>
    <w:link w:val="2"/>
    <w:qFormat/>
    <w:uiPriority w:val="9"/>
    <w:rPr>
      <w:rFonts w:asciiTheme="majorHAnsi" w:hAnsiTheme="majorHAnsi" w:eastAsiaTheme="majorEastAsia" w:cstheme="majorBidi"/>
      <w:color w:val="2F5597" w:themeColor="accent1" w:themeShade="BF"/>
      <w:sz w:val="48"/>
      <w:szCs w:val="48"/>
    </w:rPr>
  </w:style>
  <w:style w:type="character" w:customStyle="1" w:styleId="26">
    <w:name w:val="标题 2 字符"/>
    <w:basedOn w:val="23"/>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7">
    <w:name w:val="标题 3 字符"/>
    <w:basedOn w:val="23"/>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8">
    <w:name w:val="标题 4 字符"/>
    <w:basedOn w:val="23"/>
    <w:link w:val="5"/>
    <w:semiHidden/>
    <w:qFormat/>
    <w:uiPriority w:val="9"/>
    <w:rPr>
      <w:rFonts w:asciiTheme="minorHAnsi" w:eastAsiaTheme="minorEastAsia" w:cstheme="majorBidi"/>
      <w:color w:val="2F5597" w:themeColor="accent1" w:themeShade="BF"/>
    </w:rPr>
  </w:style>
  <w:style w:type="character" w:customStyle="1" w:styleId="29">
    <w:name w:val="标题 5 字符"/>
    <w:basedOn w:val="23"/>
    <w:link w:val="6"/>
    <w:semiHidden/>
    <w:qFormat/>
    <w:uiPriority w:val="9"/>
    <w:rPr>
      <w:rFonts w:asciiTheme="minorHAnsi" w:eastAsiaTheme="minorEastAsia" w:cstheme="majorBidi"/>
      <w:color w:val="2F5597" w:themeColor="accent1" w:themeShade="BF"/>
      <w:sz w:val="24"/>
      <w:szCs w:val="24"/>
    </w:rPr>
  </w:style>
  <w:style w:type="character" w:customStyle="1" w:styleId="30">
    <w:name w:val="标题 6 字符"/>
    <w:basedOn w:val="23"/>
    <w:link w:val="7"/>
    <w:semiHidden/>
    <w:qFormat/>
    <w:uiPriority w:val="9"/>
    <w:rPr>
      <w:rFonts w:asciiTheme="minorHAnsi" w:eastAsiaTheme="minorEastAsia" w:cstheme="majorBidi"/>
      <w:b/>
      <w:bCs/>
      <w:color w:val="2F5597" w:themeColor="accent1" w:themeShade="BF"/>
    </w:rPr>
  </w:style>
  <w:style w:type="character" w:customStyle="1" w:styleId="31">
    <w:name w:val="标题 7 字符"/>
    <w:basedOn w:val="23"/>
    <w:link w:val="8"/>
    <w:semiHidden/>
    <w:qFormat/>
    <w:uiPriority w:val="9"/>
    <w:rPr>
      <w:rFonts w:asci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3"/>
    <w:link w:val="9"/>
    <w:semiHidden/>
    <w:qFormat/>
    <w:uiPriority w:val="9"/>
    <w:rPr>
      <w:rFonts w:asci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3"/>
    <w:link w:val="10"/>
    <w:semiHidden/>
    <w:qFormat/>
    <w:uiPriority w:val="9"/>
    <w:rPr>
      <w:rFonts w:asci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23"/>
    <w:link w:val="18"/>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3"/>
    <w:link w:val="16"/>
    <w:qFormat/>
    <w:uiPriority w:val="11"/>
    <w:rPr>
      <w:rFonts w:asciiTheme="majorHAnsi" w:hAnsiTheme="majorHAnsi" w:eastAsiaTheme="majorEastAsia" w:cstheme="majorBidi"/>
      <w:color w:val="595959" w:themeColor="text1" w:themeTint="A6"/>
      <w:spacing w:val="15"/>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23"/>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明显强调1"/>
    <w:basedOn w:val="23"/>
    <w:qFormat/>
    <w:uiPriority w:val="21"/>
    <w:rPr>
      <w:i/>
      <w:iCs/>
      <w:color w:val="2F5597" w:themeColor="accent1" w:themeShade="BF"/>
    </w:rPr>
  </w:style>
  <w:style w:type="paragraph" w:styleId="40">
    <w:name w:val="Intense Quote"/>
    <w:basedOn w:val="1"/>
    <w:next w:val="1"/>
    <w:link w:val="4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1">
    <w:name w:val="明显引用 字符"/>
    <w:basedOn w:val="23"/>
    <w:link w:val="40"/>
    <w:qFormat/>
    <w:uiPriority w:val="30"/>
    <w:rPr>
      <w:i/>
      <w:iCs/>
      <w:color w:val="2F5597" w:themeColor="accent1" w:themeShade="BF"/>
    </w:rPr>
  </w:style>
  <w:style w:type="character" w:customStyle="1" w:styleId="42">
    <w:name w:val="明显参考1"/>
    <w:basedOn w:val="23"/>
    <w:qFormat/>
    <w:uiPriority w:val="32"/>
    <w:rPr>
      <w:b/>
      <w:bCs/>
      <w:smallCaps/>
      <w:color w:val="2F5597" w:themeColor="accent1" w:themeShade="BF"/>
      <w:spacing w:val="5"/>
    </w:rPr>
  </w:style>
  <w:style w:type="character" w:customStyle="1" w:styleId="43">
    <w:name w:val="正文文本 字符"/>
    <w:basedOn w:val="23"/>
    <w:link w:val="13"/>
    <w:qFormat/>
    <w:uiPriority w:val="0"/>
    <w:rPr>
      <w:rFonts w:asciiTheme="minorHAnsi" w:eastAsiaTheme="minorEastAsia"/>
      <w:kern w:val="0"/>
      <w:sz w:val="20"/>
      <w:szCs w:val="24"/>
      <w14:ligatures w14:val="none"/>
    </w:rPr>
  </w:style>
  <w:style w:type="character" w:customStyle="1" w:styleId="44">
    <w:name w:val="正文文本 2 字符"/>
    <w:basedOn w:val="23"/>
    <w:link w:val="17"/>
    <w:qFormat/>
    <w:uiPriority w:val="99"/>
  </w:style>
  <w:style w:type="character" w:customStyle="1" w:styleId="45">
    <w:name w:val="批注文字 字符"/>
    <w:basedOn w:val="23"/>
    <w:link w:val="12"/>
    <w:semiHidden/>
    <w:qFormat/>
    <w:uiPriority w:val="99"/>
  </w:style>
  <w:style w:type="character" w:customStyle="1" w:styleId="46">
    <w:name w:val="批注主题 字符"/>
    <w:basedOn w:val="45"/>
    <w:link w:val="19"/>
    <w:semiHidden/>
    <w:qFormat/>
    <w:uiPriority w:val="99"/>
    <w:rPr>
      <w:b/>
      <w:bCs/>
    </w:rPr>
  </w:style>
  <w:style w:type="character" w:customStyle="1" w:styleId="47">
    <w:name w:val="正文缩进 字符"/>
    <w:link w:val="11"/>
    <w:qFormat/>
    <w:uiPriority w:val="0"/>
    <w:rPr>
      <w:rFonts w:ascii="Times New Roman" w:hAnsi="Times New Roman" w:eastAsia="宋体" w:cs="Times New Roman"/>
      <w:sz w:val="21"/>
      <w:szCs w:val="24"/>
      <w14:ligatures w14:val="none"/>
    </w:rPr>
  </w:style>
  <w:style w:type="character" w:customStyle="1" w:styleId="48">
    <w:name w:val="页眉 字符"/>
    <w:basedOn w:val="23"/>
    <w:link w:val="15"/>
    <w:qFormat/>
    <w:uiPriority w:val="99"/>
    <w:rPr>
      <w:sz w:val="18"/>
      <w:szCs w:val="18"/>
    </w:rPr>
  </w:style>
  <w:style w:type="character" w:customStyle="1" w:styleId="49">
    <w:name w:val="页脚 字符"/>
    <w:basedOn w:val="23"/>
    <w:link w:val="14"/>
    <w:qFormat/>
    <w:uiPriority w:val="99"/>
    <w:rPr>
      <w:sz w:val="18"/>
      <w:szCs w:val="18"/>
    </w:rPr>
  </w:style>
  <w:style w:type="character" w:customStyle="1" w:styleId="50">
    <w:name w:val="正文文本首行缩进 字符"/>
    <w:basedOn w:val="43"/>
    <w:link w:val="20"/>
    <w:semiHidden/>
    <w:qFormat/>
    <w:uiPriority w:val="99"/>
    <w:rPr>
      <w:rFonts w:asciiTheme="minorHAnsi" w:eastAsiaTheme="minorEastAsia"/>
      <w:kern w:val="0"/>
      <w:sz w:val="20"/>
      <w:szCs w:val="24"/>
      <w14:ligatures w14:val="none"/>
    </w:rPr>
  </w:style>
  <w:style w:type="paragraph" w:customStyle="1" w:styleId="51">
    <w:name w:val="修订1"/>
    <w:hidden/>
    <w:semiHidden/>
    <w:qFormat/>
    <w:uiPriority w:val="99"/>
    <w:rPr>
      <w:rFonts w:ascii="仿宋_GB2312" w:eastAsia="仿宋_GB2312" w:hAnsiTheme="minorHAnsi" w:cstheme="minorBidi"/>
      <w:kern w:val="2"/>
      <w:sz w:val="28"/>
      <w:szCs w:val="28"/>
      <w:lang w:val="en-US" w:eastAsia="zh-CN" w:bidi="ar-SA"/>
      <w14:ligatures w14:val="standardContextual"/>
    </w:rPr>
  </w:style>
  <w:style w:type="paragraph" w:customStyle="1" w:styleId="52">
    <w:name w:val="Revision"/>
    <w:hidden/>
    <w:unhideWhenUsed/>
    <w:qFormat/>
    <w:uiPriority w:val="99"/>
    <w:rPr>
      <w:rFonts w:ascii="仿宋_GB2312" w:eastAsia="仿宋_GB2312" w:hAnsiTheme="minorHAnsi" w:cstheme="minorBidi"/>
      <w:kern w:val="2"/>
      <w:sz w:val="28"/>
      <w:szCs w:val="28"/>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6F7A368E-AC88-439B-B0E2-EA216919B042}">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2108</Words>
  <Characters>2324</Characters>
  <Lines>91</Lines>
  <Paragraphs>25</Paragraphs>
  <TotalTime>36</TotalTime>
  <ScaleCrop>false</ScaleCrop>
  <LinksUpToDate>false</LinksUpToDate>
  <CharactersWithSpaces>2341</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2026-07-08T11:31:00Z</dcterms:created>
  <dc:creator>骏 李</dc:creator>
  <cp:lastModifiedBy>傅旭明</cp:lastModifiedBy>
  <dcterms:modified xsi:type="dcterms:W3CDTF">2026-07-15T09:41:48Z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eyJoZGlkIjoiZWJiM2FkNDAxYjZjNTJiOGE4NmEwNWVjN2I1Y2VlMWQiLCJ1c2VySWQiOiI3NTQ5OTk0NjkifQ==</vt:lpwstr>
  </property>
  <property fmtid="{D5CDD505-2E9C-101B-9397-08002B2CF9AE}" pid="3" name="KSOProductBuildVer">
    <vt:lpwstr>2052-12.1.2.26885</vt:lpwstr>
  </property>
  <property fmtid="{D5CDD505-2E9C-101B-9397-08002B2CF9AE}" pid="4" name="ICV">
    <vt:lpwstr>67D61130B2C949FB9768A25FB00DB430_13</vt:lpwstr>
  </property>
</Properties>
</file>