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textAlignment w:val="baseline"/>
        <w:rPr>
          <w:rFonts w:hint="eastAsia" w:ascii="宋体" w:hAnsi="宋体" w:cs="宋体"/>
          <w:b/>
          <w:bCs/>
          <w:color w:val="auto"/>
          <w:sz w:val="28"/>
          <w:szCs w:val="28"/>
          <w:highlight w:val="none"/>
        </w:rPr>
      </w:pPr>
      <w:bookmarkStart w:id="0" w:name="_Toc295981373"/>
      <w:r>
        <w:rPr>
          <w:rFonts w:hint="eastAsia" w:ascii="宋体" w:hAnsi="宋体" w:cs="宋体"/>
          <w:b/>
          <w:bCs/>
          <w:color w:val="auto"/>
          <w:sz w:val="28"/>
          <w:szCs w:val="28"/>
          <w:highlight w:val="none"/>
        </w:rPr>
        <w:t>2026年上海图书馆藏珍贵文献展示</w:t>
      </w:r>
    </w:p>
    <w:p>
      <w:pPr>
        <w:spacing w:line="500" w:lineRule="exact"/>
        <w:jc w:val="center"/>
        <w:textAlignment w:val="baseline"/>
        <w:rPr>
          <w:rFonts w:ascii="宋体" w:hAnsi="宋体" w:cs="宋体"/>
          <w:b/>
          <w:bCs/>
          <w:color w:val="auto"/>
          <w:sz w:val="28"/>
          <w:szCs w:val="28"/>
          <w:highlight w:val="none"/>
        </w:rPr>
      </w:pPr>
      <w:r>
        <w:rPr>
          <w:rFonts w:hint="eastAsia" w:ascii="宋体" w:hAnsi="宋体" w:cs="宋体"/>
          <w:b/>
          <w:bCs/>
          <w:color w:val="auto"/>
          <w:sz w:val="28"/>
          <w:szCs w:val="28"/>
          <w:highlight w:val="none"/>
        </w:rPr>
        <w:t>采购需求</w:t>
      </w:r>
      <w:bookmarkEnd w:id="0"/>
    </w:p>
    <w:p>
      <w:pPr>
        <w:widowControl w:val="0"/>
        <w:jc w:val="both"/>
        <w:rPr>
          <w:rFonts w:asciiTheme="minorEastAsia" w:hAnsiTheme="minorEastAsia" w:eastAsiaTheme="minorEastAsia" w:cstheme="minorBidi"/>
          <w:color w:val="auto"/>
          <w:szCs w:val="21"/>
          <w:highlight w:val="none"/>
        </w:rPr>
      </w:pPr>
    </w:p>
    <w:p>
      <w:pPr>
        <w:widowControl w:val="0"/>
        <w:jc w:val="center"/>
        <w:rPr>
          <w:rFonts w:cs="宋体" w:asciiTheme="minorEastAsia" w:hAnsiTheme="minorEastAsia" w:eastAsiaTheme="minorEastAsia"/>
          <w:b/>
          <w:bCs/>
          <w:color w:val="auto"/>
          <w:szCs w:val="21"/>
          <w:highlight w:val="none"/>
        </w:rPr>
      </w:pPr>
    </w:p>
    <w:p>
      <w:pPr>
        <w:pStyle w:val="13"/>
        <w:widowControl w:val="0"/>
        <w:spacing w:line="360" w:lineRule="auto"/>
        <w:ind w:firstLine="0" w:firstLineChars="0"/>
        <w:jc w:val="both"/>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一、项目招标概况</w:t>
      </w:r>
    </w:p>
    <w:p>
      <w:pPr>
        <w:pStyle w:val="13"/>
        <w:numPr>
          <w:ilvl w:val="0"/>
          <w:numId w:val="1"/>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招标内容：展览策划制作、多媒体开发、硬件租赁、媒体推广、宣传视频制作、宣传品印刷、开幕式策划制作以及其他收藏机构的藏品借展及其相关事务支持等（详见“二、项目概况”）。</w:t>
      </w:r>
    </w:p>
    <w:p>
      <w:pPr>
        <w:pStyle w:val="13"/>
        <w:numPr>
          <w:ilvl w:val="0"/>
          <w:numId w:val="1"/>
        </w:numPr>
        <w:adjustRightInd w:val="0"/>
        <w:snapToGrid w:val="0"/>
        <w:spacing w:line="360" w:lineRule="auto"/>
        <w:ind w:firstLineChars="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项目实施地点：上海市</w:t>
      </w:r>
      <w:r>
        <w:rPr>
          <w:rFonts w:asciiTheme="minorEastAsia" w:hAnsiTheme="minorEastAsia" w:eastAsiaTheme="minorEastAsia"/>
          <w:color w:val="auto"/>
          <w:szCs w:val="21"/>
          <w:highlight w:val="none"/>
        </w:rPr>
        <w:t>浦东新区</w:t>
      </w:r>
      <w:r>
        <w:rPr>
          <w:rFonts w:hint="eastAsia" w:asciiTheme="minorEastAsia" w:hAnsiTheme="minorEastAsia" w:eastAsiaTheme="minorEastAsia"/>
          <w:color w:val="auto"/>
          <w:szCs w:val="21"/>
          <w:highlight w:val="none"/>
        </w:rPr>
        <w:t>花木街道合</w:t>
      </w:r>
      <w:r>
        <w:rPr>
          <w:rFonts w:asciiTheme="minorEastAsia" w:hAnsiTheme="minorEastAsia" w:eastAsiaTheme="minorEastAsia"/>
          <w:color w:val="auto"/>
          <w:szCs w:val="21"/>
          <w:highlight w:val="none"/>
        </w:rPr>
        <w:t>欢路</w:t>
      </w: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00号</w:t>
      </w:r>
      <w:r>
        <w:rPr>
          <w:rFonts w:hint="eastAsia" w:asciiTheme="minorEastAsia" w:hAnsiTheme="minorEastAsia" w:eastAsiaTheme="minorEastAsia"/>
          <w:color w:val="auto"/>
          <w:szCs w:val="21"/>
          <w:highlight w:val="none"/>
        </w:rPr>
        <w:t>，上海图书馆东馆第一展厅（面积990平方米）。</w:t>
      </w:r>
    </w:p>
    <w:p>
      <w:pPr>
        <w:pStyle w:val="13"/>
        <w:numPr>
          <w:ilvl w:val="0"/>
          <w:numId w:val="1"/>
        </w:numPr>
        <w:adjustRightInd w:val="0"/>
        <w:snapToGrid w:val="0"/>
        <w:spacing w:line="360" w:lineRule="auto"/>
        <w:ind w:left="425" w:leftChars="0" w:hanging="425"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项目实施时间</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合同签订后</w:t>
      </w:r>
      <w:r>
        <w:rPr>
          <w:rFonts w:hint="eastAsia" w:asciiTheme="minorEastAsia" w:hAnsiTheme="minorEastAsia" w:eastAsiaTheme="minorEastAsia"/>
          <w:color w:val="auto"/>
          <w:szCs w:val="21"/>
          <w:highlight w:val="none"/>
          <w:lang w:val="en-US" w:eastAsia="zh-CN"/>
        </w:rPr>
        <w:t>60</w:t>
      </w:r>
      <w:r>
        <w:rPr>
          <w:rFonts w:hint="eastAsia" w:asciiTheme="minorEastAsia" w:hAnsiTheme="minorEastAsia" w:eastAsiaTheme="minorEastAsia"/>
          <w:color w:val="auto"/>
          <w:szCs w:val="21"/>
          <w:highlight w:val="none"/>
        </w:rPr>
        <w:t>个自然日内完成展览内容制作的设计深化及布展实施（含提交业主审查；并根据审查结果进行修改完善、制作及实施），</w:t>
      </w:r>
      <w:r>
        <w:rPr>
          <w:rFonts w:hint="eastAsia" w:asciiTheme="minorEastAsia" w:hAnsiTheme="minorEastAsia" w:eastAsiaTheme="minorEastAsia"/>
          <w:color w:val="auto"/>
          <w:szCs w:val="21"/>
          <w:highlight w:val="none"/>
          <w:lang w:val="en-US" w:eastAsia="zh-CN"/>
        </w:rPr>
        <w:t>2026年10月</w:t>
      </w:r>
      <w:r>
        <w:rPr>
          <w:rFonts w:hint="eastAsia" w:asciiTheme="minorEastAsia" w:hAnsiTheme="minorEastAsia" w:eastAsiaTheme="minorEastAsia"/>
          <w:color w:val="auto"/>
          <w:szCs w:val="21"/>
          <w:highlight w:val="none"/>
        </w:rPr>
        <w:t>完成展览所需设施设备的租赁与制作。展览计划于</w:t>
      </w:r>
      <w:r>
        <w:rPr>
          <w:rFonts w:hint="eastAsia" w:asciiTheme="minorEastAsia" w:hAnsiTheme="minorEastAsia" w:eastAsiaTheme="minorEastAsia"/>
          <w:color w:val="auto"/>
          <w:szCs w:val="21"/>
          <w:highlight w:val="none"/>
          <w:lang w:val="en-US" w:eastAsia="zh-CN"/>
        </w:rPr>
        <w:t>2026年</w:t>
      </w:r>
      <w:r>
        <w:rPr>
          <w:rFonts w:hint="eastAsia" w:asciiTheme="minorEastAsia" w:hAnsiTheme="minorEastAsia" w:eastAsiaTheme="minorEastAsia"/>
          <w:color w:val="auto"/>
          <w:szCs w:val="21"/>
          <w:highlight w:val="none"/>
        </w:rPr>
        <w:t>11月1</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日（前后调整时间不超过</w:t>
      </w:r>
      <w:r>
        <w:rPr>
          <w:rFonts w:hint="eastAsia" w:asciiTheme="minorEastAsia" w:hAnsiTheme="minorEastAsia" w:eastAsiaTheme="minorEastAsia"/>
          <w:color w:val="auto"/>
          <w:szCs w:val="21"/>
          <w:highlight w:val="none"/>
          <w:lang w:val="en-US" w:eastAsia="zh-CN"/>
        </w:rPr>
        <w:t>10</w:t>
      </w:r>
      <w:r>
        <w:rPr>
          <w:rFonts w:hint="eastAsia" w:asciiTheme="minorEastAsia" w:hAnsiTheme="minorEastAsia" w:eastAsiaTheme="minorEastAsia"/>
          <w:color w:val="auto"/>
          <w:szCs w:val="21"/>
          <w:highlight w:val="none"/>
        </w:rPr>
        <w:t>天）开幕，开幕前完成搭建并验收通过，202</w:t>
      </w:r>
      <w:r>
        <w:rPr>
          <w:rFonts w:hint="eastAsia" w:asciiTheme="minorEastAsia" w:hAnsiTheme="minorEastAsia" w:eastAsiaTheme="minorEastAsia"/>
          <w:color w:val="auto"/>
          <w:szCs w:val="21"/>
          <w:highlight w:val="none"/>
          <w:lang w:val="en-US" w:eastAsia="zh-CN"/>
        </w:rPr>
        <w:t>7</w:t>
      </w:r>
      <w:r>
        <w:rPr>
          <w:rFonts w:hint="eastAsia" w:asciiTheme="minorEastAsia" w:hAnsiTheme="minorEastAsia" w:eastAsiaTheme="minorEastAsia"/>
          <w:color w:val="auto"/>
          <w:szCs w:val="21"/>
          <w:highlight w:val="none"/>
        </w:rPr>
        <w:t>年2月下旬至3月上旬撤展。</w:t>
      </w:r>
    </w:p>
    <w:p>
      <w:pPr>
        <w:pStyle w:val="13"/>
        <w:numPr>
          <w:ilvl w:val="0"/>
          <w:numId w:val="0"/>
        </w:numPr>
        <w:adjustRightInd w:val="0"/>
        <w:snapToGrid w:val="0"/>
        <w:spacing w:line="360" w:lineRule="auto"/>
        <w:ind w:leftChars="0"/>
        <w:rPr>
          <w:rFonts w:asciiTheme="minorEastAsia" w:hAnsiTheme="minorEastAsia" w:eastAsiaTheme="minorEastAsia"/>
          <w:color w:val="auto"/>
          <w:szCs w:val="21"/>
          <w:highlight w:val="none"/>
        </w:rPr>
      </w:pPr>
    </w:p>
    <w:p>
      <w:pPr>
        <w:pStyle w:val="13"/>
        <w:widowControl w:val="0"/>
        <w:spacing w:line="360" w:lineRule="auto"/>
        <w:ind w:firstLine="0" w:firstLineChars="0"/>
        <w:jc w:val="both"/>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二、项目概况</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典籍版本，是中华文明历经沧桑流传下来的瑰宝，近</w:t>
      </w:r>
      <w:r>
        <w:rPr>
          <w:rFonts w:hint="eastAsia" w:asciiTheme="minorEastAsia" w:hAnsiTheme="minorEastAsia" w:eastAsiaTheme="minorEastAsia"/>
          <w:color w:val="auto"/>
          <w:szCs w:val="21"/>
          <w:highlight w:val="none"/>
          <w:lang w:eastAsia="zh-CN"/>
        </w:rPr>
        <w:t>年来</w:t>
      </w:r>
      <w:r>
        <w:rPr>
          <w:rFonts w:hint="eastAsia" w:asciiTheme="minorEastAsia" w:hAnsiTheme="minorEastAsia" w:eastAsiaTheme="minorEastAsia"/>
          <w:color w:val="auto"/>
          <w:szCs w:val="21"/>
          <w:highlight w:val="none"/>
        </w:rPr>
        <w:t>受到党和国家高度重视。中国古代版画，作为艺术、文献、历史的交汇，是典籍版本不可或缺、特色鲜明的组成部分，又因其为世界版刻图像之源头，而为海内外学界所钦仰。由此，做好古版画的收藏、展示和研究，是文化传承发展的有力抓手和文明交流互鉴的重要桥梁。</w:t>
      </w:r>
    </w:p>
    <w:p>
      <w:pPr>
        <w:spacing w:line="360" w:lineRule="auto"/>
        <w:ind w:firstLine="420" w:firstLineChars="200"/>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rPr>
        <w:t>上海图书馆</w:t>
      </w:r>
      <w:r>
        <w:rPr>
          <w:rFonts w:hint="eastAsia" w:asciiTheme="minorEastAsia" w:hAnsiTheme="minorEastAsia" w:eastAsiaTheme="minorEastAsia"/>
          <w:color w:val="auto"/>
          <w:szCs w:val="21"/>
          <w:highlight w:val="none"/>
          <w:lang w:val="en-US" w:eastAsia="zh-CN"/>
        </w:rPr>
        <w:t>所藏</w:t>
      </w:r>
      <w:r>
        <w:rPr>
          <w:rFonts w:hint="eastAsia" w:asciiTheme="minorEastAsia" w:hAnsiTheme="minorEastAsia" w:eastAsiaTheme="minorEastAsia"/>
          <w:color w:val="auto"/>
          <w:szCs w:val="21"/>
          <w:highlight w:val="none"/>
        </w:rPr>
        <w:t>版画收藏之丰、之全、之精</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lang w:val="en-US" w:eastAsia="zh-CN"/>
        </w:rPr>
        <w:t>其中如</w:t>
      </w:r>
      <w:r>
        <w:rPr>
          <w:rFonts w:hint="eastAsia" w:asciiTheme="minorEastAsia" w:hAnsiTheme="minorEastAsia" w:eastAsiaTheme="minorEastAsia"/>
          <w:color w:val="auto"/>
          <w:szCs w:val="21"/>
          <w:highlight w:val="none"/>
        </w:rPr>
        <w:t>观化轩《玉簪记》尤为珍贵，绘刻之精，绝不在著名的玩虎轩《琵琶记》之下。国图有西谛旧藏的还雅斋本《玉簪记》《古本戏曲丛刊》影印之继志斋本《玉簪记》都是依据观化轩本翻刻，绘刻皆不及“观本”。环翠堂本《西厢记》、凌濛初本《北红拂》，都是仅见于上图的孤本，前者体现了万历中期文人“书斋山水”对于书籍插图创作的影响，后者则暗含了刻书家在竞争猎较中的进退取舍，各自揭示出版画风格演进的一段重要史实。此外，《千秋绝艳图》凸显了版画作为独立艺术品的价值；《西楼梦》《红梅记》《西园记》几卷，追摹文人画风，以意境胜，皆为明末曲本版画中的上乘之选。</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eastAsia="zh-CN"/>
        </w:rPr>
        <w:t>上述孤品善本之外，本次展览还将揭示馆藏中一批颇具代表性的版画作品，以见其于版画史上之重要贡献。</w:t>
      </w:r>
      <w:r>
        <w:rPr>
          <w:rFonts w:hint="eastAsia" w:asciiTheme="minorEastAsia" w:hAnsiTheme="minorEastAsia" w:eastAsiaTheme="minorEastAsia"/>
          <w:color w:val="auto"/>
          <w:szCs w:val="21"/>
          <w:highlight w:val="none"/>
        </w:rPr>
        <w:t>如王国维旧藏《忠孝节义四大传奇》，包括万历前期南京著名书坊富春堂所刻的四种曲本，名刻名藏，保存完整、品相上佳，殊为难得。又如《平定准噶尔回部战图》，铜版画十六幅，由乾隆帝委托传教士画家起稿，又送至法国，历十年镌版而成，在世界版画史和中西交通史上都留有重要一笔。此外，《重校绣襦记》为研究罗懋登评本系列和万历中后期南京刻书提供了新材料；《顾曲斋古杂剧》虽为残卷，恰可补国家图书馆藏本之不足，令其几成完璧；《柳浪馆批评玉茗堂紫钗记》，则与郑振铎先生对同系列《还魂记》的论述形成映证，使袁于令在晚明戏曲评点和刊刻业中的形象更为清晰。</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镌绘流风——上海图书馆藏古籍木刻版画展”（暂定名）作为上海图书馆2026年度精品展，将立足馆藏，遴选古籍木刻版画文献一百余种，其中不乏希见珍笈、孤本秘帙。同时，展览还将积极向其他收藏机构借展相关版画藏品，以进一步丰富展陈内容。本次展览旨在全面梳理馆藏木刻版画文献，系统呈现版画艺术从五代至明清的发展历程</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揭示各个时期、不同类型版画文献的艺术特色与文化价值，为版画史研究提供新材料、新视角，推动相关研究的深入与创新。</w:t>
      </w:r>
    </w:p>
    <w:p>
      <w:pPr>
        <w:spacing w:line="360" w:lineRule="auto"/>
        <w:ind w:firstLine="420" w:firstLineChars="2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为确保展览取得良好社会反响，计划邀请部分媒体进行宣传报道，制作宣传视频及宣传册，并计划在11月1</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日（前后调整时间不超过</w:t>
      </w:r>
      <w:r>
        <w:rPr>
          <w:rFonts w:hint="eastAsia" w:asciiTheme="minorEastAsia" w:hAnsiTheme="minorEastAsia" w:eastAsiaTheme="minorEastAsia"/>
          <w:color w:val="auto"/>
          <w:szCs w:val="21"/>
          <w:highlight w:val="none"/>
          <w:lang w:val="en-US" w:eastAsia="zh-CN"/>
        </w:rPr>
        <w:t>10</w:t>
      </w:r>
      <w:r>
        <w:rPr>
          <w:rFonts w:hint="eastAsia" w:asciiTheme="minorEastAsia" w:hAnsiTheme="minorEastAsia" w:eastAsiaTheme="minorEastAsia"/>
          <w:color w:val="auto"/>
          <w:szCs w:val="21"/>
          <w:highlight w:val="none"/>
        </w:rPr>
        <w:t>天）举办开幕式。</w:t>
      </w:r>
    </w:p>
    <w:p>
      <w:pPr>
        <w:spacing w:line="360" w:lineRule="auto"/>
        <w:ind w:firstLine="420" w:firstLineChars="200"/>
        <w:rPr>
          <w:rFonts w:hint="eastAsia" w:asciiTheme="minorEastAsia" w:hAnsiTheme="minorEastAsia" w:eastAsiaTheme="minorEastAsia"/>
          <w:color w:val="auto"/>
          <w:szCs w:val="21"/>
          <w:highlight w:val="none"/>
        </w:rPr>
      </w:pPr>
    </w:p>
    <w:p>
      <w:pPr>
        <w:spacing w:line="360" w:lineRule="auto"/>
        <w:ind w:firstLine="420" w:firstLineChars="200"/>
        <w:rPr>
          <w:rFonts w:hint="eastAsia" w:asciiTheme="minorEastAsia" w:hAnsiTheme="minorEastAsia" w:eastAsiaTheme="minorEastAsia"/>
          <w:color w:val="auto"/>
          <w:szCs w:val="21"/>
          <w:highlight w:val="none"/>
        </w:rPr>
      </w:pPr>
    </w:p>
    <w:p>
      <w:pPr>
        <w:pStyle w:val="13"/>
        <w:widowControl w:val="0"/>
        <w:spacing w:line="360" w:lineRule="auto"/>
        <w:ind w:firstLine="0" w:firstLineChars="0"/>
        <w:jc w:val="both"/>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三、策划设计制作理念要求</w:t>
      </w:r>
    </w:p>
    <w:p>
      <w:pPr>
        <w:pStyle w:val="13"/>
        <w:widowControl w:val="0"/>
        <w:numPr>
          <w:ilvl w:val="0"/>
          <w:numId w:val="2"/>
        </w:numPr>
        <w:spacing w:line="360" w:lineRule="auto"/>
        <w:ind w:firstLineChars="0"/>
        <w:jc w:val="both"/>
        <w:textAlignment w:val="baseline"/>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条理清晰、重点突出。本次展览涉及的展品涵盖古代版画孤本及中西交流珍品，数量众多且文献价值极高</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实际展示中须能在主题单元划分的基础之上，以善本、孤本等多种重点展品为中心，将所有展品进行有序的模块化组织，突出展品的历史价值、文献价值与艺术价值，以求在内容上逻辑顺畅，在视觉上舒适美观。</w:t>
      </w:r>
    </w:p>
    <w:p>
      <w:pPr>
        <w:pStyle w:val="13"/>
        <w:widowControl w:val="0"/>
        <w:numPr>
          <w:ilvl w:val="0"/>
          <w:numId w:val="2"/>
        </w:numPr>
        <w:spacing w:line="360" w:lineRule="auto"/>
        <w:ind w:firstLineChars="0"/>
        <w:jc w:val="both"/>
        <w:textAlignment w:val="baseline"/>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考虑分众化的观展需求。展览须同时具备学术功能和科普功能，既要能为专业观众提供知识传播和文化研究的平台，又要能使一般观众通过生动的故事线走进中国古代版画的艺术世界，共同领略中华文明瑰宝的独特魅力及文明交流互鉴的</w:t>
      </w:r>
      <w:r>
        <w:rPr>
          <w:rFonts w:hint="eastAsia" w:asciiTheme="minorEastAsia" w:hAnsiTheme="minorEastAsia" w:eastAsiaTheme="minorEastAsia"/>
          <w:color w:val="auto"/>
          <w:szCs w:val="21"/>
          <w:highlight w:val="none"/>
          <w:lang w:val="en-US" w:eastAsia="zh-CN"/>
        </w:rPr>
        <w:t>时代</w:t>
      </w:r>
      <w:r>
        <w:rPr>
          <w:rFonts w:hint="eastAsia" w:asciiTheme="minorEastAsia" w:hAnsiTheme="minorEastAsia" w:eastAsiaTheme="minorEastAsia"/>
          <w:color w:val="auto"/>
          <w:szCs w:val="21"/>
          <w:highlight w:val="none"/>
        </w:rPr>
        <w:t>叙事，从而获得更为广泛的传播效应。</w:t>
      </w:r>
    </w:p>
    <w:p>
      <w:pPr>
        <w:pStyle w:val="13"/>
        <w:widowControl w:val="0"/>
        <w:numPr>
          <w:ilvl w:val="0"/>
          <w:numId w:val="2"/>
        </w:numPr>
        <w:spacing w:line="360" w:lineRule="auto"/>
        <w:ind w:firstLineChars="0"/>
        <w:jc w:val="both"/>
        <w:textAlignment w:val="baseline"/>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有效运用多种展陈手段，并使形式服务于内容。以展览内容与重点展品为中心，</w:t>
      </w:r>
      <w:r>
        <w:rPr>
          <w:rFonts w:asciiTheme="minorEastAsia" w:hAnsiTheme="minorEastAsia" w:eastAsiaTheme="minorEastAsia"/>
          <w:color w:val="auto"/>
          <w:szCs w:val="21"/>
          <w:highlight w:val="none"/>
        </w:rPr>
        <w:t>针对古版画</w:t>
      </w:r>
      <w:r>
        <w:rPr>
          <w:rFonts w:hint="eastAsia" w:asciiTheme="minorEastAsia" w:hAnsiTheme="minorEastAsia" w:eastAsiaTheme="minorEastAsia"/>
          <w:color w:val="auto"/>
          <w:szCs w:val="21"/>
          <w:highlight w:val="none"/>
          <w:lang w:val="en-US" w:eastAsia="zh-CN"/>
        </w:rPr>
        <w:t>构图、</w:t>
      </w:r>
      <w:r>
        <w:rPr>
          <w:rFonts w:asciiTheme="minorEastAsia" w:hAnsiTheme="minorEastAsia" w:eastAsiaTheme="minorEastAsia"/>
          <w:color w:val="auto"/>
          <w:szCs w:val="21"/>
          <w:highlight w:val="none"/>
        </w:rPr>
        <w:t>线条特点，利用高清数字放大、交互式屏幕及各种多媒体手段和数字技术</w:t>
      </w:r>
      <w:r>
        <w:rPr>
          <w:rFonts w:hint="eastAsia" w:asciiTheme="minorEastAsia" w:hAnsiTheme="minorEastAsia" w:eastAsiaTheme="minorEastAsia"/>
          <w:color w:val="auto"/>
          <w:szCs w:val="21"/>
          <w:highlight w:val="none"/>
          <w:lang w:eastAsia="zh-CN"/>
        </w:rPr>
        <w:t>，</w:t>
      </w:r>
      <w:r>
        <w:rPr>
          <w:rFonts w:hint="eastAsia" w:asciiTheme="minorEastAsia" w:hAnsiTheme="minorEastAsia" w:eastAsiaTheme="minorEastAsia"/>
          <w:color w:val="auto"/>
          <w:szCs w:val="21"/>
          <w:highlight w:val="none"/>
        </w:rPr>
        <w:t>使展览拥有更强的互动性和沉浸感。同时，利用不同媒介提供多层次多角度的信息输出，缓解认知疲劳，更好地帮助文献“说话”，打造“好学、好看”的新时代展览。</w:t>
      </w:r>
    </w:p>
    <w:p>
      <w:pPr>
        <w:pStyle w:val="13"/>
        <w:widowControl w:val="0"/>
        <w:numPr>
          <w:ilvl w:val="0"/>
          <w:numId w:val="2"/>
        </w:numPr>
        <w:spacing w:line="360" w:lineRule="auto"/>
        <w:ind w:firstLineChars="0"/>
        <w:jc w:val="both"/>
        <w:textAlignment w:val="baseline"/>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设计元素具有辨识度。在展览主色调、图文版面、字体、装置造景等方面应具有一贯性和系统性，兼顾学术深度与审美诗意，形成独特</w:t>
      </w:r>
      <w:r>
        <w:rPr>
          <w:rFonts w:hint="eastAsia" w:asciiTheme="minorEastAsia" w:hAnsiTheme="minorEastAsia" w:eastAsiaTheme="minorEastAsia"/>
          <w:color w:val="auto"/>
          <w:szCs w:val="21"/>
          <w:highlight w:val="none"/>
          <w:lang w:val="en-US" w:eastAsia="zh-CN"/>
        </w:rPr>
        <w:t>的展览宣传效应</w:t>
      </w:r>
      <w:r>
        <w:rPr>
          <w:rFonts w:hint="eastAsia" w:asciiTheme="minorEastAsia" w:hAnsiTheme="minorEastAsia" w:eastAsiaTheme="minorEastAsia"/>
          <w:color w:val="auto"/>
          <w:szCs w:val="21"/>
          <w:highlight w:val="none"/>
        </w:rPr>
        <w:t>。</w:t>
      </w:r>
    </w:p>
    <w:p>
      <w:pPr>
        <w:pStyle w:val="13"/>
        <w:widowControl w:val="0"/>
        <w:numPr>
          <w:ilvl w:val="0"/>
          <w:numId w:val="2"/>
        </w:numPr>
        <w:spacing w:line="360" w:lineRule="auto"/>
        <w:ind w:firstLineChars="0"/>
        <w:jc w:val="both"/>
        <w:textAlignment w:val="baseline"/>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设计制作内容必须满足我国图书馆、博物馆、文物保护、室内装饰等方面的相关规范，符合规定。</w:t>
      </w:r>
    </w:p>
    <w:p>
      <w:pPr>
        <w:spacing w:line="360" w:lineRule="auto"/>
        <w:rPr>
          <w:rFonts w:asciiTheme="minorEastAsia" w:hAnsiTheme="minorEastAsia" w:eastAsiaTheme="minorEastAsia"/>
          <w:b/>
          <w:color w:val="auto"/>
          <w:szCs w:val="21"/>
          <w:highlight w:val="none"/>
        </w:rPr>
      </w:pPr>
    </w:p>
    <w:p>
      <w:pPr>
        <w:spacing w:line="360" w:lineRule="auto"/>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四、技术要求</w:t>
      </w: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展览策划制作要求</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展览策划制作包括但不限于江南风格置景等道具制作、强弱电线路布局以及灯光配置等展览涉及的所有必须品的策划、设计、制作以及运输安装和调试。</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展览策划立意要密切结合本次展览主题，要能突出展示馆藏善本，科学规划各类文献的展示方式，要能够采用数字化技术完成数字展品的展示及与观众的互动，能为工作带来推动与促进作用。展览布局应采用虚实结合、场景还原等多种技术手段营造浸入式的观展体验，展线清晰，导流合理。设计风格上，应结合展品的特性，充分体现古典优雅、底蕴深厚的江南文化氛围。</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所有制作过程以双方共同确认的制作文件（包括但不限于各类确认稿、预算确认表等）为准。若设计图纸及制作要求有任何修改或变动，需经双方确认签字方可进行制作。</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由中标方采购或租赁的包括但不限于材料、设备应不低于本技术要求所规定的参数以及</w:t>
      </w:r>
      <w:r>
        <w:rPr>
          <w:rFonts w:hint="eastAsia" w:asciiTheme="minorEastAsia" w:hAnsiTheme="minorEastAsia" w:eastAsiaTheme="minorEastAsia"/>
          <w:color w:val="auto"/>
          <w:szCs w:val="21"/>
          <w:highlight w:val="none"/>
          <w:lang w:eastAsia="zh-CN"/>
        </w:rPr>
        <w:t>采购人</w:t>
      </w:r>
      <w:r>
        <w:rPr>
          <w:rFonts w:hint="eastAsia" w:asciiTheme="minorEastAsia" w:hAnsiTheme="minorEastAsia" w:eastAsiaTheme="minorEastAsia"/>
          <w:color w:val="auto"/>
          <w:szCs w:val="21"/>
          <w:highlight w:val="none"/>
        </w:rPr>
        <w:t>的实际需求。</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施工期间，中标方需严格执行施工规范、安全操作规程、防火安全规定，妥善保护</w:t>
      </w:r>
      <w:r>
        <w:rPr>
          <w:rFonts w:hint="eastAsia" w:asciiTheme="minorEastAsia" w:hAnsiTheme="minorEastAsia" w:eastAsiaTheme="minorEastAsia"/>
          <w:color w:val="auto"/>
          <w:szCs w:val="21"/>
          <w:highlight w:val="none"/>
          <w:lang w:eastAsia="zh-CN"/>
        </w:rPr>
        <w:t>采购人</w:t>
      </w:r>
      <w:r>
        <w:rPr>
          <w:rFonts w:hint="eastAsia" w:asciiTheme="minorEastAsia" w:hAnsiTheme="minorEastAsia" w:eastAsiaTheme="minorEastAsia"/>
          <w:color w:val="auto"/>
          <w:szCs w:val="21"/>
          <w:highlight w:val="none"/>
        </w:rPr>
        <w:t>原有的装饰和设施，如损坏由中标方承担。不能按期开工或中途无故停工，影响工期应由中标方承担赔偿。</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施工图编制必须贯彻执行中华人民共和国和上海市有关工程建设的政策法令，符合中华人民共和国和上海市现行的建筑工程建设标准、设计规范（规程）和制图标准，遵守设计工作程序。设计文件应完整齐全，内容、深度要符合规定，对材料、施工工艺等文字说明和图纸均应表达清晰、准确、一致。</w:t>
      </w:r>
    </w:p>
    <w:p>
      <w:pPr>
        <w:numPr>
          <w:ilvl w:val="0"/>
          <w:numId w:val="4"/>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其他未尽事宜，由双方协商解决。</w:t>
      </w:r>
    </w:p>
    <w:p>
      <w:pPr>
        <w:suppressAutoHyphens/>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多媒体软件开发设计</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多媒体软件，包括但不限于在展厅内或外围常态化播放的视频、投影展项及其他现场多媒体互动装置。</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本次展览的多媒体软件需能够考虑历史文献资料因语言习惯、文字简繁对照、异体字等冷僻字的识别问题。</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多媒体的形式及硬件选择需要根据展厅及周边区域的实际条件因地制宜，保障其顺利运行。</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所有制作过程以双方共同确认的软件开发策划案为准。若策划案及涉及多媒体的其他标准、要求有任何修改或变动，需经双方确认签字方可进行制作。</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所有软件开发、测试以及运行均须遵守上海图书馆网络安全规范。</w:t>
      </w:r>
    </w:p>
    <w:p>
      <w:pPr>
        <w:numPr>
          <w:ilvl w:val="0"/>
          <w:numId w:val="5"/>
        </w:numPr>
        <w:suppressAutoHyphens/>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多媒体需提供与多媒体互动相互适应并稳定运行的硬件设备。</w:t>
      </w:r>
    </w:p>
    <w:p>
      <w:pPr>
        <w:suppressAutoHyphens/>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宣传品制作</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形成整套主视觉方案，并依照需要输出适用于线上线下各类场景的设计文件。</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制作本展览折页及单片主题宣传品。</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设计制作宣传海报、易拉宝等宣传品。</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各类现场导引指示牌。</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互动区印章的设计与制作。</w:t>
      </w:r>
    </w:p>
    <w:p>
      <w:pPr>
        <w:pStyle w:val="13"/>
        <w:widowControl w:val="0"/>
        <w:numPr>
          <w:ilvl w:val="0"/>
          <w:numId w:val="6"/>
        </w:numPr>
        <w:suppressAutoHyphens/>
        <w:spacing w:line="360" w:lineRule="auto"/>
        <w:ind w:firstLineChars="0"/>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其它与展览直接相关的各项宣传物料，按需实时跟进。</w:t>
      </w:r>
    </w:p>
    <w:p>
      <w:pPr>
        <w:adjustRightInd w:val="0"/>
        <w:snapToGrid w:val="0"/>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开幕式要求</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开幕式时间拟定于11月1</w:t>
      </w:r>
      <w:r>
        <w:rPr>
          <w:rFonts w:hint="eastAsia" w:asciiTheme="minorEastAsia" w:hAnsiTheme="minorEastAsia" w:eastAsiaTheme="minorEastAsia"/>
          <w:color w:val="auto"/>
          <w:szCs w:val="21"/>
          <w:highlight w:val="none"/>
          <w:lang w:val="en-US" w:eastAsia="zh-CN"/>
        </w:rPr>
        <w:t>6</w:t>
      </w:r>
      <w:r>
        <w:rPr>
          <w:rFonts w:hint="eastAsia" w:asciiTheme="minorEastAsia" w:hAnsiTheme="minorEastAsia" w:eastAsiaTheme="minorEastAsia"/>
          <w:color w:val="auto"/>
          <w:szCs w:val="21"/>
          <w:highlight w:val="none"/>
        </w:rPr>
        <w:t>日（前后调整时间不超过</w:t>
      </w:r>
      <w:r>
        <w:rPr>
          <w:rFonts w:hint="eastAsia" w:asciiTheme="minorEastAsia" w:hAnsiTheme="minorEastAsia" w:eastAsiaTheme="minorEastAsia"/>
          <w:color w:val="auto"/>
          <w:szCs w:val="21"/>
          <w:highlight w:val="none"/>
          <w:lang w:val="en-US" w:eastAsia="zh-CN"/>
        </w:rPr>
        <w:t>10</w:t>
      </w:r>
      <w:r>
        <w:rPr>
          <w:rFonts w:hint="eastAsia" w:asciiTheme="minorEastAsia" w:hAnsiTheme="minorEastAsia" w:eastAsiaTheme="minorEastAsia"/>
          <w:color w:val="auto"/>
          <w:szCs w:val="21"/>
          <w:highlight w:val="none"/>
        </w:rPr>
        <w:t>天），地点为上海图书馆东馆（合欢路300号）。</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开幕式活动流程策划。需包括领导发言、展览揭幕、展览图录等出版物发布、嘉宾导览等环节。</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开幕式的视觉效果设计方案。视觉设计美观、典雅，符合展览调性，与展陈主视觉方案相统一。</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场景搭建。包括但不限于发言台、揭幕台、桁架、观众席等部分的布置。场景用材须秉持环保、安全原则。搭建过程中不得损坏场馆地面、墙面等固有设施。搭建操作应控制时长和噪音，符合场馆安保相关规定。</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开幕式各类软硬件的租赁。视具体设计方案而定，包括但不限于麦克风、幕布、桌椅、专用视频或幻灯片及其它装饰品等等。所有软硬件设施须与场馆需求相契合。</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开幕式宣传短片的制作。宣传短片须以MP4等通行视频格式呈现。画幅尺寸需与场馆硬件设施匹配。</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相关道具的采购与制作。包括但不限于会议流程手册、邀请函等实体宣传物料，另视揭幕环节的具体设计需求采购相应道具。开幕式准备及进行期间须进行合理的道具清点和准备打包工作，以保证活动正常、顺利进行。</w:t>
      </w:r>
    </w:p>
    <w:p>
      <w:pPr>
        <w:numPr>
          <w:ilvl w:val="0"/>
          <w:numId w:val="7"/>
        </w:num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开幕式结束后的撤场工作。根据</w:t>
      </w:r>
      <w:r>
        <w:rPr>
          <w:rFonts w:hint="eastAsia" w:asciiTheme="minorEastAsia" w:hAnsiTheme="minorEastAsia" w:eastAsiaTheme="minorEastAsia"/>
          <w:color w:val="auto"/>
          <w:szCs w:val="21"/>
          <w:highlight w:val="none"/>
          <w:lang w:eastAsia="zh-CN"/>
        </w:rPr>
        <w:t>采购人</w:t>
      </w:r>
      <w:r>
        <w:rPr>
          <w:rFonts w:hint="eastAsia" w:asciiTheme="minorEastAsia" w:hAnsiTheme="minorEastAsia" w:eastAsiaTheme="minorEastAsia"/>
          <w:color w:val="auto"/>
          <w:szCs w:val="21"/>
          <w:highlight w:val="none"/>
        </w:rPr>
        <w:t>需求移除或保留相应场景设施，清点开幕式所使用过的道具，配合</w:t>
      </w:r>
      <w:r>
        <w:rPr>
          <w:rFonts w:hint="eastAsia" w:asciiTheme="minorEastAsia" w:hAnsiTheme="minorEastAsia" w:eastAsiaTheme="minorEastAsia"/>
          <w:color w:val="auto"/>
          <w:szCs w:val="21"/>
          <w:highlight w:val="none"/>
          <w:lang w:eastAsia="zh-CN"/>
        </w:rPr>
        <w:t>采购人</w:t>
      </w:r>
      <w:r>
        <w:rPr>
          <w:rFonts w:hint="eastAsia" w:asciiTheme="minorEastAsia" w:hAnsiTheme="minorEastAsia" w:eastAsiaTheme="minorEastAsia"/>
          <w:color w:val="auto"/>
          <w:szCs w:val="21"/>
          <w:highlight w:val="none"/>
        </w:rPr>
        <w:t>完成归档工作。</w:t>
      </w:r>
    </w:p>
    <w:p>
      <w:pPr>
        <w:adjustRightInd w:val="0"/>
        <w:snapToGrid w:val="0"/>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撤展要求</w:t>
      </w:r>
    </w:p>
    <w:p>
      <w:pPr>
        <w:pStyle w:val="13"/>
        <w:numPr>
          <w:ilvl w:val="0"/>
          <w:numId w:val="8"/>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展览结束后搭建拆除，拆除过程中避免破坏原有设施</w:t>
      </w:r>
    </w:p>
    <w:p>
      <w:pPr>
        <w:pStyle w:val="13"/>
        <w:numPr>
          <w:ilvl w:val="0"/>
          <w:numId w:val="8"/>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现场清理及垃圾运输</w:t>
      </w:r>
    </w:p>
    <w:p>
      <w:pPr>
        <w:adjustRightInd w:val="0"/>
        <w:snapToGrid w:val="0"/>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媒体宣传要求</w:t>
      </w:r>
    </w:p>
    <w:p>
      <w:pPr>
        <w:pStyle w:val="13"/>
        <w:numPr>
          <w:ilvl w:val="0"/>
          <w:numId w:val="9"/>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承担邀请部分媒体宣传报导本次展览的费用。</w:t>
      </w:r>
    </w:p>
    <w:p>
      <w:pPr>
        <w:pStyle w:val="13"/>
        <w:numPr>
          <w:ilvl w:val="0"/>
          <w:numId w:val="9"/>
        </w:numPr>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承担宣传视频的后期制作所产生的费用。</w:t>
      </w:r>
    </w:p>
    <w:p>
      <w:pPr>
        <w:adjustRightInd w:val="0"/>
        <w:snapToGrid w:val="0"/>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借展要求</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计划向其他收藏机构借展，总数</w:t>
      </w:r>
      <w:r>
        <w:rPr>
          <w:rFonts w:hint="eastAsia" w:asciiTheme="minorEastAsia" w:hAnsiTheme="minorEastAsia" w:eastAsiaTheme="minorEastAsia"/>
          <w:color w:val="auto"/>
          <w:szCs w:val="21"/>
          <w:highlight w:val="none"/>
          <w:lang w:eastAsia="zh-CN"/>
        </w:rPr>
        <w:t>约5～8</w:t>
      </w:r>
      <w:r>
        <w:rPr>
          <w:rFonts w:hint="eastAsia" w:asciiTheme="minorEastAsia" w:hAnsiTheme="minorEastAsia" w:eastAsiaTheme="minorEastAsia"/>
          <w:color w:val="auto"/>
          <w:szCs w:val="21"/>
          <w:highlight w:val="none"/>
        </w:rPr>
        <w:t>件，承担借展所产生的相关费用（此项</w:t>
      </w:r>
      <w:r>
        <w:rPr>
          <w:rFonts w:hint="eastAsia" w:asciiTheme="minorEastAsia" w:hAnsiTheme="minorEastAsia" w:eastAsiaTheme="minorEastAsia"/>
          <w:color w:val="auto"/>
          <w:szCs w:val="21"/>
          <w:highlight w:val="none"/>
          <w:lang w:eastAsia="zh-CN"/>
        </w:rPr>
        <w:t>费用暂估</w:t>
      </w:r>
      <w:r>
        <w:rPr>
          <w:rFonts w:hint="eastAsia" w:asciiTheme="minorEastAsia" w:hAnsiTheme="minorEastAsia" w:eastAsiaTheme="minorEastAsia"/>
          <w:color w:val="auto"/>
          <w:szCs w:val="21"/>
          <w:highlight w:val="none"/>
          <w:lang w:val="en-US" w:eastAsia="zh-CN"/>
        </w:rPr>
        <w:t>10万元人民币，结算以实际支出为准</w:t>
      </w:r>
      <w:r>
        <w:rPr>
          <w:rFonts w:hint="eastAsia" w:asciiTheme="minorEastAsia" w:hAnsiTheme="minorEastAsia" w:eastAsiaTheme="minorEastAsia"/>
          <w:color w:val="auto"/>
          <w:szCs w:val="21"/>
          <w:highlight w:val="none"/>
        </w:rPr>
        <w:t>），包括借展费、保险费、运输费等。借展周期与展览展期相同，约为3个月，要求借展过程中保障文物的安全性与完整性，全程在相关规定的指导下进行。</w:t>
      </w:r>
    </w:p>
    <w:p>
      <w:pPr>
        <w:keepNext w:val="0"/>
        <w:keepLines w:val="0"/>
        <w:pageBreakBefore w:val="0"/>
        <w:widowControl/>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其他技术要求</w:t>
      </w:r>
      <w:bookmarkStart w:id="1" w:name="_GoBack"/>
      <w:bookmarkEnd w:id="1"/>
    </w:p>
    <w:p>
      <w:pPr>
        <w:pStyle w:val="13"/>
        <w:numPr>
          <w:ilvl w:val="0"/>
          <w:numId w:val="10"/>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设计制作范围内因中标人方案所需，对原区域原基础设施所有产生的调整均由中标单位承担深化设计和施工工作，相关费用应包含在总报价中。若因方案引起的土建装饰、安防设施、消防设施的新增或改造内容应符合相关结构安全、技防、消防标准。</w:t>
      </w:r>
    </w:p>
    <w:p>
      <w:pPr>
        <w:pStyle w:val="13"/>
        <w:numPr>
          <w:ilvl w:val="0"/>
          <w:numId w:val="10"/>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在揭示原件的宣传推广制作中需提供符合可与原件直接接触的材料以保护原件。</w:t>
      </w:r>
    </w:p>
    <w:p>
      <w:pPr>
        <w:numPr>
          <w:ilvl w:val="0"/>
          <w:numId w:val="10"/>
        </w:numPr>
        <w:adjustRightInd w:val="0"/>
        <w:snapToGri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在推广活动结束后，供应商应将场地还原（包含相关布置的拆除及租赁设备的撤回等）。</w:t>
      </w:r>
    </w:p>
    <w:p>
      <w:pPr>
        <w:adjustRightInd w:val="0"/>
        <w:snapToGrid w:val="0"/>
        <w:spacing w:line="360" w:lineRule="auto"/>
        <w:rPr>
          <w:rFonts w:asciiTheme="minorEastAsia" w:hAnsiTheme="minorEastAsia" w:eastAsiaTheme="minorEastAsia"/>
          <w:color w:val="auto"/>
          <w:szCs w:val="21"/>
          <w:highlight w:val="none"/>
        </w:rPr>
      </w:pPr>
    </w:p>
    <w:p>
      <w:pPr>
        <w:pStyle w:val="13"/>
        <w:numPr>
          <w:ilvl w:val="0"/>
          <w:numId w:val="3"/>
        </w:numPr>
        <w:adjustRightInd w:val="0"/>
        <w:snapToGrid w:val="0"/>
        <w:spacing w:line="360" w:lineRule="auto"/>
        <w:ind w:firstLineChars="0"/>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人员团队要求</w:t>
      </w:r>
    </w:p>
    <w:p>
      <w:pPr>
        <w:numPr>
          <w:ilvl w:val="0"/>
          <w:numId w:val="11"/>
        </w:numPr>
        <w:adjustRightInd w:val="0"/>
        <w:snapToGri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项目经理具备建筑装饰或工程相关专业中级或以上工程师职称的为优； </w:t>
      </w:r>
    </w:p>
    <w:p>
      <w:pPr>
        <w:numPr>
          <w:ilvl w:val="0"/>
          <w:numId w:val="11"/>
        </w:numPr>
        <w:adjustRightInd w:val="0"/>
        <w:snapToGri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设计负责人具备设计类或装饰类专业中级或以上工程师职称证书为优；</w:t>
      </w:r>
    </w:p>
    <w:p>
      <w:pPr>
        <w:numPr>
          <w:ilvl w:val="0"/>
          <w:numId w:val="11"/>
        </w:numPr>
        <w:adjustRightInd w:val="0"/>
        <w:snapToGrid w:val="0"/>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团队成员（除项目经理和设计负责人外）具有中级或以上工程师职称证书的不少于6人的为优，且应配备齐全施工员，质量员，安全员，资料员，材料员这五类人员</w:t>
      </w:r>
      <w:r>
        <w:rPr>
          <w:rFonts w:hint="eastAsia" w:asciiTheme="minorEastAsia" w:hAnsiTheme="minorEastAsia" w:eastAsiaTheme="minorEastAsia"/>
          <w:color w:val="auto"/>
          <w:szCs w:val="21"/>
          <w:highlight w:val="none"/>
          <w:lang w:eastAsia="zh-CN"/>
        </w:rPr>
        <w:t>，应有五年以上展览、展示项目的工作经历和经验</w:t>
      </w:r>
      <w:r>
        <w:rPr>
          <w:rFonts w:hint="eastAsia" w:asciiTheme="minorEastAsia" w:hAnsiTheme="minorEastAsia" w:eastAsiaTheme="minorEastAsia"/>
          <w:color w:val="auto"/>
          <w:szCs w:val="21"/>
          <w:highlight w:val="none"/>
        </w:rPr>
        <w:t>。</w:t>
      </w:r>
    </w:p>
    <w:p>
      <w:pPr>
        <w:spacing w:line="360" w:lineRule="auto"/>
        <w:rPr>
          <w:rFonts w:asciiTheme="minorEastAsia" w:hAnsiTheme="minorEastAsia" w:eastAsiaTheme="minorEastAsia"/>
          <w:b/>
          <w:color w:val="auto"/>
          <w:szCs w:val="21"/>
          <w:highlight w:val="none"/>
        </w:rPr>
      </w:pPr>
    </w:p>
    <w:p>
      <w:pPr>
        <w:widowControl w:val="0"/>
        <w:spacing w:line="360" w:lineRule="auto"/>
        <w:jc w:val="both"/>
        <w:rPr>
          <w:rFonts w:ascii="宋体" w:hAnsi="宋体"/>
          <w:b/>
          <w:bCs/>
          <w:color w:val="auto"/>
          <w:szCs w:val="21"/>
          <w:highlight w:val="none"/>
        </w:rPr>
      </w:pPr>
      <w:r>
        <w:rPr>
          <w:rFonts w:hint="eastAsia" w:ascii="宋体" w:hAnsi="宋体"/>
          <w:b/>
          <w:bCs/>
          <w:color w:val="auto"/>
          <w:szCs w:val="21"/>
          <w:highlight w:val="none"/>
          <w:lang w:eastAsia="zh-CN"/>
        </w:rPr>
        <w:t>五</w:t>
      </w:r>
      <w:r>
        <w:rPr>
          <w:rFonts w:hint="eastAsia" w:ascii="宋体" w:hAnsi="宋体"/>
          <w:b/>
          <w:bCs/>
          <w:color w:val="auto"/>
          <w:szCs w:val="21"/>
          <w:highlight w:val="none"/>
        </w:rPr>
        <w:t>、验收条件及方式</w:t>
      </w:r>
    </w:p>
    <w:p>
      <w:pPr>
        <w:numPr>
          <w:ilvl w:val="0"/>
          <w:numId w:val="12"/>
        </w:numPr>
        <w:spacing w:line="360" w:lineRule="auto"/>
        <w:textAlignment w:val="baseline"/>
        <w:outlineLvl w:val="2"/>
        <w:rPr>
          <w:rFonts w:ascii="宋体" w:hAnsi="宋体"/>
          <w:color w:val="auto"/>
          <w:highlight w:val="none"/>
        </w:rPr>
      </w:pPr>
      <w:r>
        <w:rPr>
          <w:rFonts w:hint="eastAsia" w:ascii="宋体" w:hAnsi="宋体"/>
          <w:color w:val="auto"/>
          <w:szCs w:val="21"/>
          <w:highlight w:val="none"/>
        </w:rPr>
        <w:t>中标方要为</w:t>
      </w:r>
      <w:r>
        <w:rPr>
          <w:rFonts w:hint="eastAsia"/>
          <w:color w:val="auto"/>
          <w:szCs w:val="21"/>
          <w:highlight w:val="none"/>
        </w:rPr>
        <w:t>活动顺利开展，提供一份完整的验收、调试报告以及操作、保养、维修</w:t>
      </w:r>
      <w:r>
        <w:rPr>
          <w:rFonts w:hint="eastAsia" w:ascii="宋体" w:hAnsi="宋体"/>
          <w:color w:val="auto"/>
          <w:szCs w:val="21"/>
          <w:highlight w:val="none"/>
        </w:rPr>
        <w:t>培训等服务；</w:t>
      </w:r>
    </w:p>
    <w:p>
      <w:pPr>
        <w:numPr>
          <w:ilvl w:val="0"/>
          <w:numId w:val="12"/>
        </w:numPr>
        <w:spacing w:line="360" w:lineRule="auto"/>
        <w:textAlignment w:val="baseline"/>
        <w:outlineLvl w:val="2"/>
        <w:rPr>
          <w:rFonts w:ascii="宋体" w:hAnsi="宋体"/>
          <w:color w:val="auto"/>
          <w:highlight w:val="none"/>
        </w:rPr>
      </w:pPr>
      <w:r>
        <w:rPr>
          <w:rFonts w:hint="eastAsia" w:ascii="宋体" w:hAnsi="宋体"/>
          <w:color w:val="auto"/>
          <w:highlight w:val="none"/>
        </w:rPr>
        <w:t>中标方为</w:t>
      </w:r>
      <w:r>
        <w:rPr>
          <w:rFonts w:hint="eastAsia" w:ascii="宋体" w:hAnsi="宋体"/>
          <w:color w:val="auto"/>
          <w:highlight w:val="none"/>
          <w:lang w:eastAsia="zh-CN"/>
        </w:rPr>
        <w:t>采购人</w:t>
      </w:r>
      <w:r>
        <w:rPr>
          <w:rFonts w:hint="eastAsia" w:ascii="宋体" w:hAnsi="宋体"/>
          <w:color w:val="auto"/>
          <w:highlight w:val="none"/>
        </w:rPr>
        <w:t>相关人员的操作、保养、维修培训及通过有关部门的验收期间提供必要的技术支持和配合、获取准用证，直至交付使用和质量保证期内免费保养维修和质量保证期期满后的优惠保养维修等全部内容；</w:t>
      </w:r>
    </w:p>
    <w:p>
      <w:pPr>
        <w:numPr>
          <w:ilvl w:val="0"/>
          <w:numId w:val="12"/>
        </w:numPr>
        <w:spacing w:line="360" w:lineRule="auto"/>
        <w:textAlignment w:val="baseline"/>
        <w:outlineLvl w:val="2"/>
        <w:rPr>
          <w:rFonts w:ascii="宋体" w:hAnsi="宋体"/>
          <w:color w:val="auto"/>
          <w:szCs w:val="21"/>
          <w:highlight w:val="none"/>
        </w:rPr>
      </w:pPr>
      <w:r>
        <w:rPr>
          <w:rFonts w:hint="eastAsia" w:ascii="宋体" w:hAnsi="宋体"/>
          <w:color w:val="auto"/>
          <w:szCs w:val="21"/>
          <w:highlight w:val="none"/>
        </w:rPr>
        <w:t>协助</w:t>
      </w:r>
      <w:r>
        <w:rPr>
          <w:rFonts w:hint="eastAsia" w:ascii="宋体" w:hAnsi="宋体"/>
          <w:color w:val="auto"/>
          <w:szCs w:val="21"/>
          <w:highlight w:val="none"/>
          <w:lang w:eastAsia="zh-CN"/>
        </w:rPr>
        <w:t>采购人</w:t>
      </w:r>
      <w:r>
        <w:rPr>
          <w:rFonts w:hint="eastAsia" w:ascii="宋体" w:hAnsi="宋体"/>
          <w:color w:val="auto"/>
          <w:szCs w:val="21"/>
          <w:highlight w:val="none"/>
        </w:rPr>
        <w:t>和主管部门完成项目验收工作。验收按国家和上海市的有关技术标准与规范进行。</w:t>
      </w:r>
    </w:p>
    <w:p>
      <w:pPr>
        <w:spacing w:line="360" w:lineRule="auto"/>
        <w:ind w:left="425"/>
        <w:textAlignment w:val="baseline"/>
        <w:outlineLvl w:val="2"/>
        <w:rPr>
          <w:rFonts w:ascii="宋体" w:hAnsi="宋体"/>
          <w:color w:val="auto"/>
          <w:szCs w:val="21"/>
          <w:highlight w:val="none"/>
        </w:rPr>
      </w:pPr>
    </w:p>
    <w:p>
      <w:pPr>
        <w:widowControl w:val="0"/>
        <w:spacing w:line="360" w:lineRule="auto"/>
        <w:jc w:val="both"/>
        <w:rPr>
          <w:rFonts w:ascii="宋体" w:hAnsi="宋体"/>
          <w:color w:val="auto"/>
          <w:highlight w:val="none"/>
        </w:rPr>
      </w:pPr>
      <w:r>
        <w:rPr>
          <w:rFonts w:hint="eastAsia" w:ascii="宋体" w:hAnsi="宋体"/>
          <w:b/>
          <w:bCs/>
          <w:color w:val="auto"/>
          <w:szCs w:val="21"/>
          <w:highlight w:val="none"/>
          <w:lang w:eastAsia="zh-CN"/>
        </w:rPr>
        <w:t>六</w:t>
      </w:r>
      <w:r>
        <w:rPr>
          <w:rFonts w:hint="eastAsia" w:ascii="宋体" w:hAnsi="宋体"/>
          <w:b/>
          <w:bCs/>
          <w:color w:val="auto"/>
          <w:szCs w:val="21"/>
          <w:highlight w:val="none"/>
        </w:rPr>
        <w:t>、维保期</w:t>
      </w:r>
    </w:p>
    <w:p>
      <w:pPr>
        <w:widowControl w:val="0"/>
        <w:spacing w:line="360" w:lineRule="auto"/>
        <w:ind w:firstLine="420" w:firstLineChars="200"/>
        <w:jc w:val="both"/>
        <w:rPr>
          <w:rFonts w:ascii="宋体" w:hAnsi="宋体"/>
          <w:color w:val="auto"/>
          <w:highlight w:val="none"/>
        </w:rPr>
      </w:pPr>
      <w:r>
        <w:rPr>
          <w:rFonts w:hint="eastAsia" w:ascii="宋体" w:hAnsi="宋体"/>
          <w:color w:val="auto"/>
          <w:highlight w:val="none"/>
        </w:rPr>
        <w:t>开展至活动结束，在维保期出现任何故障，接到通知后，中标单位应及时派遣有经验的维修工程师赴现场提供免费维修服务。如果短时间内不能将故障处恢复，中标单位需提供相应补救措施，费用由中标单位承担。</w:t>
      </w:r>
    </w:p>
    <w:p>
      <w:pPr>
        <w:widowControl w:val="0"/>
        <w:spacing w:line="360" w:lineRule="auto"/>
        <w:jc w:val="both"/>
        <w:rPr>
          <w:rFonts w:ascii="宋体" w:hAnsi="宋体"/>
          <w:color w:val="auto"/>
          <w:highlight w:val="none"/>
        </w:rPr>
      </w:pPr>
      <w:r>
        <w:rPr>
          <w:rFonts w:hint="eastAsia" w:ascii="宋体" w:hAnsi="宋体"/>
          <w:color w:val="auto"/>
          <w:highlight w:val="none"/>
        </w:rPr>
        <w:t>供应商需承诺：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color w:val="auto"/>
          <w:highlight w:val="none"/>
        </w:rPr>
      </w:pPr>
      <w:r>
        <w:rPr>
          <w:rFonts w:hint="eastAsia" w:ascii="宋体" w:hAnsi="宋体"/>
          <w:color w:val="auto"/>
          <w:highlight w:val="none"/>
        </w:rPr>
        <w:t>1.在采购人通知后12小时内赶到现场对问题进行处理；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color w:val="auto"/>
          <w:highlight w:val="none"/>
        </w:rPr>
      </w:pPr>
      <w:r>
        <w:rPr>
          <w:rFonts w:hint="eastAsia" w:ascii="宋体" w:hAnsi="宋体"/>
          <w:color w:val="auto"/>
          <w:highlight w:val="none"/>
        </w:rPr>
        <w:t>2.如若涉及展品安全的问题承诺在保修人员到场后12小时内解决，如未涉及展品安全的问题承诺在2个工作日内解决。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ascii="宋体" w:hAnsi="宋体"/>
          <w:color w:val="auto"/>
          <w:highlight w:val="none"/>
        </w:rPr>
      </w:pPr>
      <w:r>
        <w:rPr>
          <w:rFonts w:hint="eastAsia" w:ascii="宋体" w:hAnsi="宋体"/>
          <w:color w:val="auto"/>
          <w:highlight w:val="none"/>
        </w:rPr>
        <w:t>以上均需提供明确且加盖公章的承诺函。</w:t>
      </w:r>
    </w:p>
    <w:p>
      <w:pPr>
        <w:widowControl w:val="0"/>
        <w:spacing w:line="360" w:lineRule="auto"/>
        <w:jc w:val="both"/>
        <w:rPr>
          <w:rFonts w:ascii="宋体" w:hAnsi="宋体"/>
          <w:color w:val="auto"/>
          <w:highlight w:val="none"/>
        </w:rPr>
      </w:pPr>
    </w:p>
    <w:p>
      <w:pPr>
        <w:widowControl w:val="0"/>
        <w:spacing w:line="360" w:lineRule="auto"/>
        <w:jc w:val="both"/>
        <w:rPr>
          <w:rFonts w:ascii="宋体" w:hAnsi="宋体"/>
          <w:color w:val="auto"/>
          <w:highlight w:val="none"/>
        </w:rPr>
      </w:pPr>
      <w:r>
        <w:rPr>
          <w:rFonts w:hint="eastAsia" w:ascii="宋体" w:hAnsi="宋体"/>
          <w:b/>
          <w:bCs/>
          <w:color w:val="auto"/>
          <w:highlight w:val="none"/>
          <w:lang w:eastAsia="zh-CN"/>
        </w:rPr>
        <w:t>七</w:t>
      </w:r>
      <w:r>
        <w:rPr>
          <w:rFonts w:hint="eastAsia" w:ascii="宋体" w:hAnsi="宋体"/>
          <w:b/>
          <w:bCs/>
          <w:color w:val="auto"/>
          <w:highlight w:val="none"/>
        </w:rPr>
        <w:t>、相关文献保护标准</w:t>
      </w:r>
    </w:p>
    <w:p>
      <w:pPr>
        <w:widowControl w:val="0"/>
        <w:numPr>
          <w:ilvl w:val="0"/>
          <w:numId w:val="13"/>
        </w:numPr>
        <w:spacing w:line="360" w:lineRule="auto"/>
        <w:jc w:val="both"/>
        <w:rPr>
          <w:rFonts w:ascii="宋体" w:hAnsi="宋体"/>
          <w:color w:val="auto"/>
          <w:highlight w:val="none"/>
        </w:rPr>
      </w:pPr>
      <w:r>
        <w:rPr>
          <w:rFonts w:hint="eastAsia" w:ascii="宋体" w:hAnsi="宋体"/>
          <w:color w:val="auto"/>
          <w:highlight w:val="none"/>
        </w:rPr>
        <w:t>布展期间的安全应符合《文物系统博物馆风险等级和安全防护级别的规定》（国标）。</w:t>
      </w:r>
    </w:p>
    <w:p>
      <w:pPr>
        <w:widowControl w:val="0"/>
        <w:numPr>
          <w:ilvl w:val="0"/>
          <w:numId w:val="13"/>
        </w:numPr>
        <w:spacing w:line="360" w:lineRule="auto"/>
        <w:jc w:val="both"/>
        <w:rPr>
          <w:rFonts w:ascii="宋体" w:hAnsi="宋体"/>
          <w:color w:val="auto"/>
          <w:highlight w:val="none"/>
        </w:rPr>
      </w:pPr>
      <w:r>
        <w:rPr>
          <w:rFonts w:hint="eastAsia" w:ascii="宋体" w:hAnsi="宋体"/>
          <w:color w:val="auto"/>
          <w:highlight w:val="none"/>
        </w:rPr>
        <w:t>展厅展具的相关要求应符合《图书馆古籍特藏书库基本要求》（国标）。</w:t>
      </w:r>
    </w:p>
    <w:p>
      <w:pPr>
        <w:widowControl w:val="0"/>
        <w:numPr>
          <w:ilvl w:val="0"/>
          <w:numId w:val="13"/>
        </w:numPr>
        <w:spacing w:line="360" w:lineRule="auto"/>
        <w:jc w:val="both"/>
        <w:rPr>
          <w:rFonts w:ascii="宋体" w:hAnsi="宋体"/>
          <w:color w:val="auto"/>
          <w:highlight w:val="none"/>
        </w:rPr>
      </w:pPr>
      <w:r>
        <w:rPr>
          <w:rFonts w:hint="eastAsia" w:ascii="宋体" w:hAnsi="宋体"/>
          <w:color w:val="auto"/>
          <w:highlight w:val="none"/>
        </w:rPr>
        <w:t>其他未尽事宜参照《中华人民共和国文物保护法》等其他法律规范规定执行。</w:t>
      </w:r>
    </w:p>
    <w:p>
      <w:pPr>
        <w:widowControl w:val="0"/>
        <w:spacing w:line="360" w:lineRule="auto"/>
        <w:jc w:val="both"/>
        <w:rPr>
          <w:rFonts w:ascii="宋体" w:hAnsi="宋体"/>
          <w:color w:val="auto"/>
          <w:highlight w:val="none"/>
        </w:rPr>
      </w:pPr>
    </w:p>
    <w:p>
      <w:pPr>
        <w:widowControl w:val="0"/>
        <w:spacing w:line="360" w:lineRule="auto"/>
        <w:jc w:val="both"/>
        <w:rPr>
          <w:rFonts w:ascii="宋体" w:hAnsi="宋体"/>
          <w:b/>
          <w:bCs/>
          <w:color w:val="auto"/>
          <w:highlight w:val="none"/>
        </w:rPr>
      </w:pPr>
      <w:r>
        <w:rPr>
          <w:rFonts w:hint="eastAsia" w:ascii="宋体" w:hAnsi="宋体"/>
          <w:b/>
          <w:bCs/>
          <w:color w:val="auto"/>
          <w:highlight w:val="none"/>
          <w:lang w:eastAsia="zh-CN"/>
        </w:rPr>
        <w:t>八</w:t>
      </w:r>
      <w:r>
        <w:rPr>
          <w:rFonts w:hint="eastAsia" w:ascii="宋体" w:hAnsi="宋体"/>
          <w:b/>
          <w:bCs/>
          <w:color w:val="auto"/>
          <w:highlight w:val="none"/>
        </w:rPr>
        <w:t>、附录</w:t>
      </w:r>
    </w:p>
    <w:p>
      <w:pPr>
        <w:widowControl w:val="0"/>
        <w:spacing w:line="360" w:lineRule="auto"/>
        <w:jc w:val="both"/>
        <w:rPr>
          <w:rFonts w:ascii="宋体" w:hAnsi="宋体"/>
          <w:color w:val="auto"/>
          <w:highlight w:val="none"/>
        </w:rPr>
      </w:pPr>
      <w:r>
        <w:rPr>
          <w:rFonts w:hint="eastAsia" w:ascii="宋体" w:hAnsi="宋体"/>
          <w:color w:val="auto"/>
          <w:highlight w:val="none"/>
        </w:rPr>
        <w:t>展览大纲</w:t>
      </w:r>
      <w:r>
        <w:rPr>
          <w:rFonts w:hint="eastAsia" w:ascii="宋体" w:hAnsi="宋体"/>
          <w:color w:val="auto"/>
          <w:highlight w:val="none"/>
          <w:lang w:eastAsia="zh-CN"/>
        </w:rPr>
        <w:t>（</w:t>
      </w:r>
      <w:r>
        <w:rPr>
          <w:rFonts w:hint="eastAsia" w:ascii="宋体" w:hAnsi="宋体"/>
          <w:color w:val="auto"/>
          <w:highlight w:val="none"/>
          <w:lang w:val="en-US" w:eastAsia="zh-CN"/>
        </w:rPr>
        <w:t>暂定</w:t>
      </w:r>
      <w:r>
        <w:rPr>
          <w:rFonts w:hint="eastAsia" w:ascii="宋体" w:hAnsi="宋体"/>
          <w:color w:val="auto"/>
          <w:highlight w:val="none"/>
          <w:lang w:eastAsia="zh-CN"/>
        </w:rPr>
        <w:t>）</w:t>
      </w:r>
      <w:r>
        <w:rPr>
          <w:rFonts w:hint="eastAsia" w:ascii="宋体" w:hAnsi="宋体"/>
          <w:color w:val="auto"/>
          <w:highlight w:val="none"/>
        </w:rPr>
        <w:t>：</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lang w:val="en-US" w:eastAsia="zh-CN"/>
        </w:rPr>
        <w:t>一、</w:t>
      </w:r>
      <w:r>
        <w:rPr>
          <w:rFonts w:hint="eastAsia" w:ascii="宋体" w:hAnsi="宋体"/>
          <w:b w:val="0"/>
          <w:bCs w:val="0"/>
          <w:color w:val="auto"/>
          <w:highlight w:val="none"/>
        </w:rPr>
        <w:t>先声：五代至明前期的古籍版画</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lang w:val="en-US" w:eastAsia="zh-CN"/>
        </w:rPr>
        <w:t>二、</w:t>
      </w:r>
      <w:r>
        <w:rPr>
          <w:rFonts w:hint="eastAsia" w:ascii="宋体" w:hAnsi="宋体"/>
          <w:b w:val="0"/>
          <w:bCs w:val="0"/>
          <w:color w:val="auto"/>
          <w:highlight w:val="none"/>
        </w:rPr>
        <w:t>粉墨：戏曲类古籍版画</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lang w:val="en-US" w:eastAsia="zh-CN"/>
        </w:rPr>
        <w:t>三、</w:t>
      </w:r>
      <w:r>
        <w:rPr>
          <w:rFonts w:hint="eastAsia" w:ascii="宋体" w:hAnsi="宋体"/>
          <w:b w:val="0"/>
          <w:bCs w:val="0"/>
          <w:color w:val="auto"/>
          <w:highlight w:val="none"/>
        </w:rPr>
        <w:t>世相：小说、人物像传类古籍版画</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lang w:val="en-US" w:eastAsia="zh-CN"/>
        </w:rPr>
        <w:t>四、</w:t>
      </w:r>
      <w:r>
        <w:rPr>
          <w:rFonts w:hint="eastAsia" w:ascii="宋体" w:hAnsi="宋体"/>
          <w:b w:val="0"/>
          <w:bCs w:val="0"/>
          <w:color w:val="auto"/>
          <w:highlight w:val="none"/>
        </w:rPr>
        <w:t>格物：方志、谱录类古籍版画</w:t>
      </w:r>
    </w:p>
    <w:p>
      <w:pPr>
        <w:widowControl w:val="0"/>
        <w:spacing w:line="360" w:lineRule="auto"/>
        <w:jc w:val="both"/>
        <w:rPr>
          <w:rFonts w:hint="eastAsia" w:ascii="宋体" w:hAnsi="宋体" w:eastAsia="宋体"/>
          <w:b w:val="0"/>
          <w:bCs w:val="0"/>
          <w:color w:val="auto"/>
          <w:highlight w:val="none"/>
          <w:lang w:val="en-US" w:eastAsia="zh-CN"/>
        </w:rPr>
      </w:pPr>
      <w:r>
        <w:rPr>
          <w:rFonts w:hint="eastAsia" w:ascii="宋体" w:hAnsi="宋体"/>
          <w:b w:val="0"/>
          <w:bCs w:val="0"/>
          <w:color w:val="auto"/>
          <w:highlight w:val="none"/>
          <w:lang w:val="en-US" w:eastAsia="zh-CN"/>
        </w:rPr>
        <w:t>五、</w:t>
      </w:r>
      <w:r>
        <w:rPr>
          <w:rFonts w:hint="eastAsia" w:ascii="宋体" w:hAnsi="宋体"/>
          <w:b w:val="0"/>
          <w:bCs w:val="0"/>
          <w:color w:val="auto"/>
          <w:highlight w:val="none"/>
        </w:rPr>
        <w:t>铭史：官刻纪功类</w:t>
      </w:r>
      <w:r>
        <w:rPr>
          <w:rFonts w:hint="eastAsia" w:ascii="宋体" w:hAnsi="宋体"/>
          <w:b w:val="0"/>
          <w:bCs w:val="0"/>
          <w:color w:val="auto"/>
          <w:highlight w:val="none"/>
          <w:lang w:eastAsia="zh-CN"/>
        </w:rPr>
        <w:t>、</w:t>
      </w:r>
      <w:r>
        <w:rPr>
          <w:rFonts w:hint="eastAsia" w:ascii="宋体" w:hAnsi="宋体"/>
          <w:b w:val="0"/>
          <w:bCs w:val="0"/>
          <w:color w:val="auto"/>
          <w:highlight w:val="none"/>
        </w:rPr>
        <w:t>中西交流</w:t>
      </w:r>
      <w:r>
        <w:rPr>
          <w:rFonts w:hint="eastAsia" w:ascii="宋体" w:hAnsi="宋体"/>
          <w:b w:val="0"/>
          <w:bCs w:val="0"/>
          <w:color w:val="auto"/>
          <w:highlight w:val="none"/>
          <w:lang w:val="en-US" w:eastAsia="zh-CN"/>
        </w:rPr>
        <w:t>类</w:t>
      </w:r>
    </w:p>
    <w:p>
      <w:pPr>
        <w:widowControl w:val="0"/>
        <w:spacing w:line="360" w:lineRule="auto"/>
        <w:jc w:val="both"/>
        <w:rPr>
          <w:rFonts w:hint="eastAsia" w:ascii="宋体" w:hAnsi="宋体"/>
          <w:b/>
          <w:bCs/>
          <w:color w:val="auto"/>
          <w:highlight w:val="none"/>
        </w:rPr>
      </w:pPr>
    </w:p>
    <w:p>
      <w:pPr>
        <w:widowControl w:val="0"/>
        <w:spacing w:line="360" w:lineRule="auto"/>
        <w:jc w:val="both"/>
        <w:rPr>
          <w:rFonts w:ascii="宋体" w:hAnsi="宋体"/>
          <w:b w:val="0"/>
          <w:bCs w:val="0"/>
          <w:color w:val="auto"/>
          <w:highlight w:val="none"/>
        </w:rPr>
      </w:pPr>
      <w:r>
        <w:rPr>
          <w:rFonts w:hint="eastAsia" w:ascii="宋体" w:hAnsi="宋体"/>
          <w:b w:val="0"/>
          <w:bCs w:val="0"/>
          <w:color w:val="auto"/>
          <w:highlight w:val="none"/>
        </w:rPr>
        <w:t>展品清单</w:t>
      </w:r>
      <w:r>
        <w:rPr>
          <w:rFonts w:hint="eastAsia" w:ascii="宋体" w:hAnsi="宋体" w:eastAsia="宋体" w:cs="Times New Roman"/>
          <w:b w:val="0"/>
          <w:bCs w:val="0"/>
          <w:color w:val="auto"/>
          <w:kern w:val="2"/>
          <w:sz w:val="21"/>
          <w:szCs w:val="24"/>
          <w:highlight w:val="none"/>
          <w:lang w:val="en-US" w:eastAsia="zh-CN" w:bidi="ar-SA"/>
        </w:rPr>
        <w:t>（暂定）</w:t>
      </w:r>
      <w:r>
        <w:rPr>
          <w:rFonts w:hint="eastAsia" w:ascii="宋体" w:hAnsi="宋体"/>
          <w:b w:val="0"/>
          <w:bCs w:val="0"/>
          <w:color w:val="auto"/>
          <w:highlight w:val="none"/>
        </w:rPr>
        <w:t>：</w:t>
      </w:r>
    </w:p>
    <w:p>
      <w:pPr>
        <w:widowControl w:val="0"/>
        <w:spacing w:line="360" w:lineRule="auto"/>
        <w:jc w:val="both"/>
        <w:rPr>
          <w:rFonts w:hint="eastAsia" w:ascii="宋体" w:hAnsi="宋体"/>
          <w:color w:val="auto"/>
          <w:highlight w:val="none"/>
        </w:rPr>
      </w:pPr>
      <w:r>
        <w:rPr>
          <w:rFonts w:hint="eastAsia" w:ascii="宋体" w:hAnsi="宋体"/>
          <w:color w:val="auto"/>
          <w:highlight w:val="none"/>
        </w:rPr>
        <w:t>楔子</w:t>
      </w:r>
    </w:p>
    <w:p>
      <w:pPr>
        <w:widowControl w:val="0"/>
        <w:spacing w:line="360" w:lineRule="auto"/>
        <w:jc w:val="both"/>
        <w:rPr>
          <w:rFonts w:hint="eastAsia" w:ascii="宋体" w:hAnsi="宋体"/>
          <w:color w:val="auto"/>
          <w:highlight w:val="none"/>
        </w:rPr>
      </w:pPr>
      <w:r>
        <w:rPr>
          <w:rFonts w:hint="eastAsia" w:ascii="宋体" w:hAnsi="宋体"/>
          <w:color w:val="auto"/>
          <w:highlight w:val="none"/>
        </w:rPr>
        <w:t>1 敦煌佛影</w:t>
      </w:r>
    </w:p>
    <w:p>
      <w:pPr>
        <w:widowControl w:val="0"/>
        <w:spacing w:line="360" w:lineRule="auto"/>
        <w:jc w:val="both"/>
        <w:rPr>
          <w:rFonts w:hint="eastAsia" w:ascii="宋体" w:hAnsi="宋体"/>
          <w:color w:val="auto"/>
          <w:highlight w:val="none"/>
        </w:rPr>
      </w:pPr>
      <w:r>
        <w:rPr>
          <w:rFonts w:hint="eastAsia" w:ascii="宋体" w:hAnsi="宋体"/>
          <w:color w:val="auto"/>
          <w:highlight w:val="none"/>
        </w:rPr>
        <w:t>2 趙城金藏（大般若波羅蜜多經卷二十二；大般若波羅蜜多經卷六；大般若波羅蜜多經卷一四八；鞞婆沙論卷九；法句喻經卷三；佛說五大施經一卷；景德傳燈錄卷五；舊雜譬喻經卷上；守護國界主陀羅尼經卷五）</w:t>
      </w:r>
    </w:p>
    <w:p>
      <w:pPr>
        <w:widowControl w:val="0"/>
        <w:spacing w:line="360" w:lineRule="auto"/>
        <w:jc w:val="both"/>
        <w:rPr>
          <w:rFonts w:hint="default" w:ascii="宋体" w:hAnsi="宋体" w:eastAsia="宋体"/>
          <w:color w:val="auto"/>
          <w:highlight w:val="none"/>
          <w:lang w:val="en-US" w:eastAsia="zh-CN"/>
        </w:rPr>
      </w:pPr>
      <w:r>
        <w:rPr>
          <w:rFonts w:hint="eastAsia" w:ascii="宋体" w:hAnsi="宋体"/>
          <w:color w:val="auto"/>
          <w:highlight w:val="none"/>
        </w:rPr>
        <w:t>3 妙法蓮華經</w:t>
      </w:r>
      <w:r>
        <w:rPr>
          <w:rFonts w:hint="eastAsia" w:ascii="宋体" w:hAnsi="宋体"/>
          <w:color w:val="auto"/>
          <w:highlight w:val="none"/>
          <w:lang w:val="en-US" w:eastAsia="zh-CN"/>
        </w:rPr>
        <w:t xml:space="preserve"> 宋刻本</w:t>
      </w:r>
    </w:p>
    <w:p>
      <w:pPr>
        <w:widowControl w:val="0"/>
        <w:spacing w:line="360" w:lineRule="auto"/>
        <w:jc w:val="both"/>
        <w:rPr>
          <w:rFonts w:hint="eastAsia" w:ascii="宋体" w:hAnsi="宋体" w:eastAsia="宋体"/>
          <w:color w:val="auto"/>
          <w:highlight w:val="none"/>
          <w:lang w:val="en-US" w:eastAsia="zh-CN"/>
        </w:rPr>
      </w:pPr>
      <w:r>
        <w:rPr>
          <w:rFonts w:hint="eastAsia" w:ascii="宋体" w:hAnsi="宋体"/>
          <w:color w:val="auto"/>
          <w:highlight w:val="none"/>
        </w:rPr>
        <w:t>4 儀禮圖十七卷儀禮旁通圖一卷儀禮十七卷</w:t>
      </w:r>
      <w:r>
        <w:rPr>
          <w:rFonts w:hint="eastAsia" w:ascii="宋体" w:hAnsi="宋体"/>
          <w:color w:val="auto"/>
          <w:highlight w:val="none"/>
          <w:lang w:val="en-US" w:eastAsia="zh-CN"/>
        </w:rPr>
        <w:t xml:space="preserve"> </w:t>
      </w:r>
    </w:p>
    <w:p>
      <w:pPr>
        <w:widowControl w:val="0"/>
        <w:spacing w:line="360" w:lineRule="auto"/>
        <w:jc w:val="both"/>
        <w:rPr>
          <w:rFonts w:hint="eastAsia" w:ascii="宋体" w:hAnsi="宋体"/>
          <w:color w:val="auto"/>
          <w:highlight w:val="none"/>
        </w:rPr>
      </w:pPr>
      <w:r>
        <w:rPr>
          <w:rFonts w:hint="eastAsia" w:ascii="宋体" w:hAnsi="宋体"/>
          <w:color w:val="auto"/>
          <w:highlight w:val="none"/>
        </w:rPr>
        <w:t>5 重修宣和博古圖錄三十卷</w:t>
      </w:r>
    </w:p>
    <w:p>
      <w:pPr>
        <w:widowControl w:val="0"/>
        <w:spacing w:line="360" w:lineRule="auto"/>
        <w:jc w:val="both"/>
        <w:rPr>
          <w:rFonts w:ascii="宋体" w:hAnsi="宋体"/>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一 戏曲类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杂剧类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1北西廂記二卷（何璧校刻本）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2北西廂記二卷（殳君素绘图本）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3</w:t>
      </w:r>
      <w:r>
        <w:rPr>
          <w:rFonts w:hint="eastAsia" w:ascii="宋体" w:hAnsi="宋体"/>
          <w:b w:val="0"/>
          <w:bCs w:val="0"/>
          <w:color w:val="auto"/>
          <w:highlight w:val="none"/>
        </w:rPr>
        <w:t>北西廂五卷（延阁本）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4</w:t>
      </w:r>
      <w:r>
        <w:rPr>
          <w:rFonts w:hint="eastAsia" w:ascii="宋体" w:hAnsi="宋体"/>
          <w:b w:val="0"/>
          <w:bCs w:val="0"/>
          <w:color w:val="auto"/>
          <w:highlight w:val="none"/>
        </w:rPr>
        <w:t>鼎鐫陳眉公先生批評西廂記二卷 （师俭堂刻本）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5</w:t>
      </w:r>
      <w:r>
        <w:rPr>
          <w:rFonts w:hint="eastAsia" w:ascii="宋体" w:hAnsi="宋体"/>
          <w:b w:val="0"/>
          <w:bCs w:val="0"/>
          <w:color w:val="auto"/>
          <w:highlight w:val="none"/>
        </w:rPr>
        <w:t>李卓吾先生批評北西廂記二卷（覆容与堂刻本）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6</w:t>
      </w:r>
      <w:r>
        <w:rPr>
          <w:rFonts w:hint="eastAsia" w:ascii="宋体" w:hAnsi="宋体"/>
          <w:b w:val="0"/>
          <w:bCs w:val="0"/>
          <w:color w:val="auto"/>
          <w:highlight w:val="none"/>
        </w:rPr>
        <w:t>湯海若先生批評西廂記二卷</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7</w:t>
      </w:r>
      <w:r>
        <w:rPr>
          <w:rFonts w:hint="eastAsia" w:ascii="宋体" w:hAnsi="宋体"/>
          <w:b w:val="0"/>
          <w:bCs w:val="0"/>
          <w:color w:val="auto"/>
          <w:highlight w:val="none"/>
        </w:rPr>
        <w:t>西廂記圖一卷（千秋绝艳图）</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8</w:t>
      </w:r>
      <w:r>
        <w:rPr>
          <w:rFonts w:hint="eastAsia" w:ascii="宋体" w:hAnsi="宋体"/>
          <w:b w:val="0"/>
          <w:bCs w:val="0"/>
          <w:color w:val="auto"/>
          <w:highlight w:val="none"/>
        </w:rPr>
        <w:t>西廂記五卷（凌濛初刻本）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 xml:space="preserve">9 </w:t>
      </w:r>
      <w:r>
        <w:rPr>
          <w:rFonts w:hint="eastAsia" w:ascii="宋体" w:hAnsi="宋体"/>
          <w:b w:val="0"/>
          <w:bCs w:val="0"/>
          <w:color w:val="auto"/>
          <w:highlight w:val="none"/>
        </w:rPr>
        <w:t>新校注古本西廂記六卷（香雪居刻本））</w:t>
      </w:r>
    </w:p>
    <w:p>
      <w:pPr>
        <w:widowControl w:val="0"/>
        <w:spacing w:line="360" w:lineRule="auto"/>
        <w:jc w:val="both"/>
        <w:rPr>
          <w:rFonts w:hint="eastAsia" w:ascii="宋体" w:hAnsi="宋体"/>
          <w:b w:val="0"/>
          <w:bCs w:val="0"/>
          <w:color w:val="auto"/>
          <w:highlight w:val="none"/>
        </w:rPr>
      </w:pPr>
      <w:r>
        <w:rPr>
          <w:rFonts w:ascii="宋体" w:hAnsi="宋体"/>
          <w:b w:val="0"/>
          <w:bCs w:val="0"/>
          <w:color w:val="auto"/>
          <w:highlight w:val="none"/>
        </w:rPr>
        <w:t>10</w:t>
      </w:r>
      <w:r>
        <w:rPr>
          <w:rFonts w:hint="eastAsia" w:ascii="宋体" w:hAnsi="宋体"/>
          <w:b w:val="0"/>
          <w:bCs w:val="0"/>
          <w:color w:val="auto"/>
          <w:highlight w:val="none"/>
        </w:rPr>
        <w:t>元本出相北西廂記二卷（起凤馆刻本）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w:t>
      </w:r>
      <w:r>
        <w:rPr>
          <w:rFonts w:ascii="宋体" w:hAnsi="宋体"/>
          <w:b w:val="0"/>
          <w:bCs w:val="0"/>
          <w:color w:val="auto"/>
          <w:highlight w:val="none"/>
        </w:rPr>
        <w:t>1</w:t>
      </w:r>
      <w:r>
        <w:rPr>
          <w:rFonts w:hint="eastAsia" w:ascii="宋体" w:hAnsi="宋体"/>
          <w:b w:val="0"/>
          <w:bCs w:val="0"/>
          <w:color w:val="auto"/>
          <w:highlight w:val="none"/>
        </w:rPr>
        <w:t>袁了凡先生釋義西廂記二卷（环翠堂刻本）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w:t>
      </w:r>
      <w:r>
        <w:rPr>
          <w:rFonts w:ascii="宋体" w:hAnsi="宋体"/>
          <w:b w:val="0"/>
          <w:bCs w:val="0"/>
          <w:color w:val="auto"/>
          <w:highlight w:val="none"/>
        </w:rPr>
        <w:t xml:space="preserve">2 </w:t>
      </w:r>
      <w:r>
        <w:rPr>
          <w:rFonts w:hint="eastAsia" w:ascii="宋体" w:hAnsi="宋体"/>
          <w:b w:val="0"/>
          <w:bCs w:val="0"/>
          <w:color w:val="auto"/>
          <w:highlight w:val="none"/>
        </w:rPr>
        <w:t>繡像西廂時藝雅趣藏書不分卷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13 元曲選圖</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14 古雜劇二十種二十卷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15 四聲猿四卷（延阁本）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16 徐文長四聲猿四卷（钟人杰本）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17 北紅拂一卷</w:t>
      </w:r>
    </w:p>
    <w:p>
      <w:pPr>
        <w:widowControl w:val="0"/>
        <w:spacing w:line="360" w:lineRule="auto"/>
        <w:jc w:val="both"/>
        <w:rPr>
          <w:rFonts w:hint="eastAsia" w:ascii="宋体" w:hAnsi="宋体"/>
          <w:b w:val="0"/>
          <w:bCs w:val="0"/>
          <w:color w:val="auto"/>
          <w:highlight w:val="none"/>
          <w:lang w:val="en-US" w:eastAsia="zh-CN"/>
        </w:rPr>
      </w:pP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传奇类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18 鼎鐫琵琶記二卷（师俭堂刻本）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19 李卓吾先生批評琵琶記二卷（容与堂刻本）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20 琵琶記三卷釋義一卷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21 琵琶記四卷附錄一卷（凌刻本）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22 古本荆釵記二卷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23 幽閨怨佳人拜月亭記四卷（凌刻本）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24 新刻出像音注唐朝張巡許遠雙忠記二卷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25 新刻出像音注姜詩躍鯉記四卷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26 新刻出像音注增補劉智遠白兔記二卷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27 新刻出像音注韓朋十義記二卷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28 新編目蓮救母勸善戲文三卷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29 紅拂記四卷（凌刻本）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30 刻李卓吾先生批評紅拂記二卷（游敬泉刻本）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31 李卓吾先生批評紅拂記二卷（容与堂刻本）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32 重校紅拂記二卷（继志斋刻本）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33 重校綉襦記二卷（罗懋登评本）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34 明珠記二卷（师俭堂刻本）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35 李卓吾先生批評玉簪記二卷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36 新鐫女貞觀重會玉簪記二卷（观化轩刻本）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37 牡丹亭還魂記二卷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38 吳吳山三婦合評牡丹亭還魂記二卷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39 柳浪館批評玉茗堂紫釵記二卷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40 邯鄲夢二卷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41 南柯記二卷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42 玉茗堂批評紅梅記二卷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43 劍嘯閣自訂西樓夢傳奇二卷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44 西園記二卷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45 畫中人傳奇二卷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46 懷遠堂批點燕子箋二卷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47 雪韻堂批點燕子箋二卷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48 一笠庵新編永團圓傳奇二卷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49 一笠庵新編占花魁傳奇二卷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50 揚州夢傳奇二卷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default" w:ascii="宋体" w:hAnsi="宋体"/>
          <w:b w:val="0"/>
          <w:bCs w:val="0"/>
          <w:color w:val="auto"/>
          <w:highlight w:val="none"/>
          <w:lang w:val="en-US" w:eastAsia="zh-CN"/>
        </w:rPr>
      </w:pPr>
      <w:r>
        <w:rPr>
          <w:rFonts w:hint="eastAsia" w:ascii="宋体" w:hAnsi="宋体"/>
          <w:b w:val="0"/>
          <w:bCs w:val="0"/>
          <w:color w:val="auto"/>
          <w:highlight w:val="none"/>
        </w:rPr>
        <w:t>曲选类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51 新鐫古今大雅北宫詞紀六卷南宫詞紀六卷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52 詞林逸響四卷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53 南音三籟散曲三卷戲曲二卷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54 白雪齋選訂樂府吳騷合編四卷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lang w:val="en-US" w:eastAsia="zh-CN"/>
        </w:rPr>
      </w:pPr>
      <w:r>
        <w:rPr>
          <w:rFonts w:hint="eastAsia" w:ascii="宋体" w:hAnsi="宋体"/>
          <w:b w:val="0"/>
          <w:bCs w:val="0"/>
          <w:color w:val="auto"/>
          <w:highlight w:val="none"/>
        </w:rPr>
        <w:t>二 人物像传类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lang w:val="en-US" w:eastAsia="zh-CN"/>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55 閨範四卷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56 有象列仙全傳九卷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57 帝鑑圖説六卷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58 人鏡陽秋二十二卷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59 仙佛奇蹤八卷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60 明狀元圖考六卷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61 劉向古列女傳七卷續一卷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62 列女傳十六卷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63 新鐫仙媛紀事九卷補遺一卷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64 楚辭述注五卷九歌圖一卷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65 離騷圖不分卷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66 聖諭像解二十卷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67 大佛頂如來密因修證了義諸菩薩萬行首楞嚴經十卷附音義</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68 观世音像（慈容五十三現圖）不分卷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69 於越先賢像傳贊二卷附圖像</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70 高士傳三卷圖一卷 </w:t>
      </w:r>
    </w:p>
    <w:p>
      <w:pPr>
        <w:widowControl w:val="0"/>
        <w:spacing w:line="360" w:lineRule="auto"/>
        <w:jc w:val="both"/>
        <w:rPr>
          <w:rFonts w:hint="eastAsia" w:ascii="宋体" w:hAnsi="宋体"/>
          <w:b w:val="0"/>
          <w:bCs w:val="0"/>
          <w:color w:val="auto"/>
          <w:highlight w:val="none"/>
          <w:lang w:val="en-US" w:eastAsia="zh-CN"/>
        </w:rPr>
      </w:pPr>
      <w:r>
        <w:rPr>
          <w:rFonts w:hint="eastAsia" w:ascii="宋体" w:hAnsi="宋体"/>
          <w:b w:val="0"/>
          <w:bCs w:val="0"/>
          <w:color w:val="auto"/>
          <w:highlight w:val="none"/>
        </w:rPr>
        <w:t>71 劍俠傳四卷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72 列仙酒牌不分卷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73 紅樓夢圖詠不分卷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74 晚笑堂竹莊畫傳不分卷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75 歷代畫像傳一卷菊譜一卷</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default" w:ascii="宋体" w:hAnsi="宋体"/>
          <w:b w:val="0"/>
          <w:bCs w:val="0"/>
          <w:color w:val="auto"/>
          <w:highlight w:val="none"/>
          <w:lang w:val="en-US" w:eastAsia="zh-CN"/>
        </w:rPr>
      </w:pPr>
      <w:r>
        <w:rPr>
          <w:rFonts w:hint="eastAsia" w:ascii="宋体" w:hAnsi="宋体"/>
          <w:b w:val="0"/>
          <w:bCs w:val="0"/>
          <w:color w:val="auto"/>
          <w:highlight w:val="none"/>
        </w:rPr>
        <w:t>三 清代内府类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76 耕織圖一卷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77 御製避暑山莊詩二卷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78 琉球國志略十六卷首一卷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79 萬壽盛典初集一百二十卷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80 八旬萬壽盛典一百二十卷首一卷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81 皇朝禮器圖式十八卷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82 西清古鑑四十卷錢録十六卷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83 南巡盛典一百二十卷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84 皇清職貢圖九卷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85 乾隆平定準噶爾回部戰圖十六幅題詠四葉</w:t>
      </w:r>
    </w:p>
    <w:p>
      <w:pPr>
        <w:widowControl w:val="0"/>
        <w:spacing w:line="360" w:lineRule="auto"/>
        <w:jc w:val="both"/>
        <w:rPr>
          <w:rFonts w:ascii="宋体" w:hAnsi="宋体"/>
          <w:b w:val="0"/>
          <w:bCs w:val="0"/>
          <w:color w:val="auto"/>
          <w:highlight w:val="none"/>
        </w:rPr>
      </w:pPr>
    </w:p>
    <w:p>
      <w:pPr>
        <w:widowControl w:val="0"/>
        <w:spacing w:line="360" w:lineRule="auto"/>
        <w:jc w:val="both"/>
        <w:rPr>
          <w:rFonts w:hint="default" w:ascii="宋体" w:hAnsi="宋体"/>
          <w:b w:val="0"/>
          <w:bCs w:val="0"/>
          <w:color w:val="auto"/>
          <w:highlight w:val="none"/>
          <w:lang w:val="en-US" w:eastAsia="zh-CN"/>
        </w:rPr>
      </w:pPr>
      <w:r>
        <w:rPr>
          <w:rFonts w:hint="eastAsia" w:ascii="宋体" w:hAnsi="宋体"/>
          <w:b w:val="0"/>
          <w:bCs w:val="0"/>
          <w:color w:val="auto"/>
          <w:highlight w:val="none"/>
        </w:rPr>
        <w:t>四 地理方志类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86新鐫海内奇觀十卷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87西湖遊覽志二十四卷志餘二十六卷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88 金陵圖詠一卷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89 兵垣四編附四種之九边图论海防图论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90 太平山水圖畫四十三幅</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91 白嶽凝煙一卷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92  [康熙]歙縣志十二卷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93 西湖志纂十二卷首一卷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94 鴻雪因緣圖記</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95 泛槎圖六集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五 小说类</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名著：</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96 三國志通俗演義圖一卷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97 忠義水滸全書一百二十回引首一卷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98 西遊真詮一百回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99 紅樓夢一百二十回</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稀见：</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100 新刻出像增補搜神記六卷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101 新刊京傳足本剪燈新話二卷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102 四雪草堂重訂通俗隋唐演義二十卷一百回</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103 新鐫全像通俗演義隋煬帝艷史八卷四十回</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104 新刻全像三寶太監西洋記通俗演義二十卷一百回</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105 玉茗堂摘評王弇州先生艷異編十二卷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106 山水爭奇三卷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107 桐下聽然二十二卷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108 繡像十二樓三十八回</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109 西湖佳話古今遺蹟十六卷</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default" w:ascii="宋体" w:hAnsi="宋体"/>
          <w:b w:val="0"/>
          <w:bCs w:val="0"/>
          <w:color w:val="auto"/>
          <w:highlight w:val="none"/>
          <w:lang w:val="en-US" w:eastAsia="zh-CN"/>
        </w:rPr>
      </w:pPr>
      <w:r>
        <w:rPr>
          <w:rFonts w:hint="eastAsia" w:ascii="宋体" w:hAnsi="宋体"/>
          <w:b w:val="0"/>
          <w:bCs w:val="0"/>
          <w:color w:val="auto"/>
          <w:highlight w:val="none"/>
        </w:rPr>
        <w:t>六 谱录类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110 方氏墨譜六卷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111 程幼博墨苑十四卷人文爵里九卷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112歷代名公畫譜</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113唐詩五言畫譜一卷七言畫譜一卷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114圖繪宗彝八卷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115 畫法大成一卷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116 三才圖會一百六卷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117 芥子園畫傳五卷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118 青在堂梅譜二卷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119 素園石譜四卷</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default" w:ascii="宋体" w:hAnsi="宋体"/>
          <w:b w:val="0"/>
          <w:bCs w:val="0"/>
          <w:color w:val="auto"/>
          <w:highlight w:val="none"/>
          <w:lang w:val="en-US" w:eastAsia="zh-CN"/>
        </w:rPr>
      </w:pPr>
      <w:r>
        <w:rPr>
          <w:rFonts w:hint="eastAsia" w:ascii="宋体" w:hAnsi="宋体"/>
          <w:b w:val="0"/>
          <w:bCs w:val="0"/>
          <w:color w:val="auto"/>
          <w:highlight w:val="none"/>
        </w:rPr>
        <w:t>七 中西交流类</w:t>
      </w:r>
      <w:r>
        <w:rPr>
          <w:rFonts w:hint="eastAsia" w:ascii="宋体" w:hAnsi="宋体"/>
          <w:b w:val="0"/>
          <w:bCs w:val="0"/>
          <w:color w:val="auto"/>
          <w:highlight w:val="none"/>
          <w:lang w:val="en-US" w:eastAsia="zh-CN"/>
        </w:rPr>
        <w:t xml:space="preserve"> </w:t>
      </w:r>
    </w:p>
    <w:p>
      <w:pPr>
        <w:widowControl w:val="0"/>
        <w:spacing w:line="360" w:lineRule="auto"/>
        <w:jc w:val="both"/>
        <w:rPr>
          <w:rFonts w:hint="eastAsia" w:ascii="宋体" w:hAnsi="宋体"/>
          <w:b w:val="0"/>
          <w:bCs w:val="0"/>
          <w:color w:val="auto"/>
          <w:highlight w:val="none"/>
        </w:rPr>
      </w:pP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120 </w:t>
      </w:r>
      <w:r>
        <w:rPr>
          <w:rFonts w:ascii="宋体" w:hAnsi="宋体"/>
          <w:b w:val="0"/>
          <w:bCs w:val="0"/>
          <w:color w:val="auto"/>
          <w:highlight w:val="none"/>
        </w:rPr>
        <w:t>程氏墨苑</w:t>
      </w:r>
      <w:r>
        <w:rPr>
          <w:rFonts w:hint="eastAsia" w:ascii="宋体" w:hAnsi="宋体"/>
          <w:b w:val="0"/>
          <w:bCs w:val="0"/>
          <w:color w:val="auto"/>
          <w:highlight w:val="none"/>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121 </w:t>
      </w:r>
      <w:r>
        <w:rPr>
          <w:rFonts w:ascii="宋体" w:hAnsi="宋体"/>
          <w:b w:val="0"/>
          <w:bCs w:val="0"/>
          <w:color w:val="auto"/>
          <w:highlight w:val="none"/>
        </w:rPr>
        <w:t>遠西奇器圖説録最</w:t>
      </w:r>
      <w:r>
        <w:rPr>
          <w:rFonts w:hint="eastAsia" w:ascii="宋体" w:hAnsi="宋体"/>
          <w:b w:val="0"/>
          <w:bCs w:val="0"/>
          <w:color w:val="auto"/>
          <w:highlight w:val="none"/>
        </w:rPr>
        <w:t xml:space="preserve"> </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122 </w:t>
      </w:r>
      <w:r>
        <w:rPr>
          <w:rFonts w:ascii="宋体" w:hAnsi="宋体"/>
          <w:b w:val="0"/>
          <w:bCs w:val="0"/>
          <w:color w:val="auto"/>
          <w:highlight w:val="none"/>
        </w:rPr>
        <w:t>坤輿圖説</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123 </w:t>
      </w:r>
      <w:r>
        <w:rPr>
          <w:rFonts w:ascii="宋体" w:hAnsi="宋体"/>
          <w:b w:val="0"/>
          <w:bCs w:val="0"/>
          <w:color w:val="auto"/>
          <w:highlight w:val="none"/>
        </w:rPr>
        <w:t>鏡史</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124 </w:t>
      </w:r>
      <w:r>
        <w:rPr>
          <w:rFonts w:ascii="宋体" w:hAnsi="宋体"/>
          <w:b w:val="0"/>
          <w:bCs w:val="0"/>
          <w:color w:val="auto"/>
          <w:highlight w:val="none"/>
        </w:rPr>
        <w:t>圖繪宗彝</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125 </w:t>
      </w:r>
      <w:r>
        <w:rPr>
          <w:rFonts w:ascii="宋体" w:hAnsi="宋体"/>
          <w:b w:val="0"/>
          <w:bCs w:val="0"/>
          <w:color w:val="auto"/>
          <w:highlight w:val="none"/>
        </w:rPr>
        <w:t>中國植物志</w:t>
      </w:r>
    </w:p>
    <w:p>
      <w:pPr>
        <w:widowControl w:val="0"/>
        <w:spacing w:line="360" w:lineRule="auto"/>
        <w:jc w:val="both"/>
        <w:rPr>
          <w:rFonts w:ascii="宋体" w:hAnsi="宋体"/>
          <w:b w:val="0"/>
          <w:bCs w:val="0"/>
          <w:color w:val="auto"/>
          <w:highlight w:val="none"/>
        </w:rPr>
      </w:pPr>
      <w:r>
        <w:rPr>
          <w:rFonts w:hint="eastAsia" w:ascii="宋体" w:hAnsi="宋体"/>
          <w:b w:val="0"/>
          <w:bCs w:val="0"/>
          <w:color w:val="auto"/>
          <w:highlight w:val="none"/>
        </w:rPr>
        <w:t xml:space="preserve">126 </w:t>
      </w:r>
      <w:r>
        <w:rPr>
          <w:rFonts w:ascii="宋体" w:hAnsi="宋体"/>
          <w:b w:val="0"/>
          <w:bCs w:val="0"/>
          <w:color w:val="auto"/>
          <w:highlight w:val="none"/>
        </w:rPr>
        <w:t>玉嬌梨</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127 </w:t>
      </w:r>
      <w:r>
        <w:rPr>
          <w:rFonts w:ascii="宋体" w:hAnsi="宋体"/>
          <w:b w:val="0"/>
          <w:bCs w:val="0"/>
          <w:color w:val="auto"/>
          <w:highlight w:val="none"/>
        </w:rPr>
        <w:t>靈台儀象圖</w:t>
      </w:r>
    </w:p>
    <w:p>
      <w:pPr>
        <w:widowControl w:val="0"/>
        <w:spacing w:line="360" w:lineRule="auto"/>
        <w:jc w:val="both"/>
        <w:rPr>
          <w:rFonts w:ascii="宋体" w:hAnsi="宋体"/>
          <w:b w:val="0"/>
          <w:bCs w:val="0"/>
          <w:color w:val="auto"/>
          <w:highlight w:val="none"/>
        </w:rPr>
      </w:pPr>
      <w:r>
        <w:rPr>
          <w:rFonts w:hint="eastAsia" w:ascii="宋体" w:hAnsi="宋体"/>
          <w:b w:val="0"/>
          <w:bCs w:val="0"/>
          <w:color w:val="auto"/>
          <w:highlight w:val="none"/>
        </w:rPr>
        <w:t xml:space="preserve">128 </w:t>
      </w:r>
      <w:r>
        <w:rPr>
          <w:rFonts w:ascii="宋体" w:hAnsi="宋体"/>
          <w:b w:val="0"/>
          <w:bCs w:val="0"/>
          <w:color w:val="auto"/>
          <w:highlight w:val="none"/>
        </w:rPr>
        <w:t>中國版畫集</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129 </w:t>
      </w:r>
      <w:r>
        <w:rPr>
          <w:rFonts w:ascii="宋体" w:hAnsi="宋体"/>
          <w:b w:val="0"/>
          <w:bCs w:val="0"/>
          <w:color w:val="auto"/>
          <w:highlight w:val="none"/>
        </w:rPr>
        <w:t>中國版畫集第二卷</w:t>
      </w:r>
    </w:p>
    <w:p>
      <w:pPr>
        <w:widowControl w:val="0"/>
        <w:spacing w:line="360" w:lineRule="auto"/>
        <w:jc w:val="both"/>
        <w:rPr>
          <w:rFonts w:hint="eastAsia" w:ascii="宋体" w:hAnsi="宋体"/>
          <w:b w:val="0"/>
          <w:bCs w:val="0"/>
          <w:color w:val="auto"/>
          <w:highlight w:val="none"/>
        </w:rPr>
      </w:pPr>
      <w:r>
        <w:rPr>
          <w:rFonts w:hint="eastAsia" w:ascii="宋体" w:hAnsi="宋体"/>
          <w:b w:val="0"/>
          <w:bCs w:val="0"/>
          <w:color w:val="auto"/>
          <w:highlight w:val="none"/>
        </w:rPr>
        <w:t xml:space="preserve">130 </w:t>
      </w:r>
      <w:r>
        <w:rPr>
          <w:rFonts w:ascii="宋体" w:hAnsi="宋体"/>
          <w:b w:val="0"/>
          <w:bCs w:val="0"/>
          <w:color w:val="auto"/>
          <w:highlight w:val="none"/>
        </w:rPr>
        <w:t>救世主預像全圖</w:t>
      </w:r>
      <w:r>
        <w:rPr>
          <w:rFonts w:hint="eastAsia" w:ascii="宋体" w:hAnsi="宋体"/>
          <w:b w:val="0"/>
          <w:bCs w:val="0"/>
          <w:color w:val="auto"/>
          <w:highlight w:val="none"/>
        </w:rPr>
        <w:t>/</w:t>
      </w:r>
      <w:r>
        <w:rPr>
          <w:rFonts w:ascii="宋体" w:hAnsi="宋体"/>
          <w:b w:val="0"/>
          <w:bCs w:val="0"/>
          <w:color w:val="auto"/>
          <w:highlight w:val="none"/>
        </w:rPr>
        <w:t>救世主實行全圖</w:t>
      </w:r>
    </w:p>
    <w:p>
      <w:pPr>
        <w:widowControl w:val="0"/>
        <w:spacing w:line="360" w:lineRule="auto"/>
        <w:jc w:val="both"/>
        <w:rPr>
          <w:rFonts w:ascii="宋体" w:hAnsi="宋体"/>
          <w:color w:val="auto"/>
          <w:highlight w:val="none"/>
        </w:rPr>
      </w:pPr>
    </w:p>
    <w:p>
      <w:pPr>
        <w:widowControl w:val="0"/>
        <w:spacing w:line="360" w:lineRule="auto"/>
        <w:jc w:val="both"/>
        <w:rPr>
          <w:rFonts w:ascii="宋体" w:hAnsi="宋体"/>
          <w:color w:val="auto"/>
          <w:highlight w:val="none"/>
        </w:rPr>
      </w:pPr>
    </w:p>
    <w:p>
      <w:pPr>
        <w:widowControl w:val="0"/>
        <w:spacing w:line="360" w:lineRule="auto"/>
        <w:jc w:val="both"/>
        <w:rPr>
          <w:rFonts w:hint="eastAsia" w:ascii="宋体" w:hAnsi="宋体" w:eastAsia="宋体"/>
          <w:b/>
          <w:bCs/>
          <w:color w:val="auto"/>
          <w:highlight w:val="none"/>
          <w:lang w:eastAsia="zh-CN"/>
        </w:rPr>
      </w:pPr>
      <w:r>
        <w:rPr>
          <w:rFonts w:hint="eastAsia" w:ascii="宋体" w:hAnsi="宋体" w:eastAsia="宋体"/>
          <w:b/>
          <w:bCs/>
          <w:color w:val="auto"/>
          <w:highlight w:val="none"/>
          <w:lang w:eastAsia="zh-CN"/>
        </w:rPr>
        <w:t>九、附件（展厅平面图）</w:t>
      </w:r>
    </w:p>
    <w:p>
      <w:pPr>
        <w:widowControl w:val="0"/>
        <w:spacing w:line="360" w:lineRule="auto"/>
        <w:jc w:val="both"/>
        <w:rPr>
          <w:rFonts w:hint="eastAsia" w:cs="Times New Roman" w:asciiTheme="minorEastAsia" w:hAnsiTheme="minorEastAsia" w:eastAsiaTheme="minorEastAsia"/>
          <w:color w:val="auto"/>
          <w:kern w:val="2"/>
          <w:sz w:val="21"/>
          <w:szCs w:val="21"/>
          <w:highlight w:val="none"/>
          <w:lang w:val="en-US" w:eastAsia="zh-CN" w:bidi="ar-SA"/>
        </w:rPr>
      </w:pPr>
      <w:r>
        <w:rPr>
          <w:rFonts w:hint="eastAsia" w:cs="Times New Roman" w:asciiTheme="minorEastAsia" w:hAnsiTheme="minorEastAsia" w:eastAsiaTheme="minorEastAsia"/>
          <w:color w:val="auto"/>
          <w:kern w:val="2"/>
          <w:sz w:val="21"/>
          <w:szCs w:val="21"/>
          <w:highlight w:val="none"/>
          <w:lang w:val="en-US" w:eastAsia="zh-CN" w:bidi="ar-SA"/>
        </w:rPr>
        <w:t>平面图见PDF附件，层高4.2m。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D32A0"/>
    <w:multiLevelType w:val="singleLevel"/>
    <w:tmpl w:val="804D32A0"/>
    <w:lvl w:ilvl="0" w:tentative="0">
      <w:start w:val="1"/>
      <w:numFmt w:val="decimal"/>
      <w:lvlText w:val="%1)"/>
      <w:lvlJc w:val="left"/>
      <w:pPr>
        <w:ind w:left="425" w:hanging="425"/>
      </w:pPr>
      <w:rPr>
        <w:rFonts w:hint="default"/>
      </w:rPr>
    </w:lvl>
  </w:abstractNum>
  <w:abstractNum w:abstractNumId="1">
    <w:nsid w:val="879BE332"/>
    <w:multiLevelType w:val="singleLevel"/>
    <w:tmpl w:val="879BE332"/>
    <w:lvl w:ilvl="0" w:tentative="0">
      <w:start w:val="1"/>
      <w:numFmt w:val="decimal"/>
      <w:lvlText w:val="%1."/>
      <w:lvlJc w:val="left"/>
      <w:pPr>
        <w:ind w:left="425" w:hanging="425"/>
      </w:pPr>
      <w:rPr>
        <w:rFonts w:hint="default"/>
      </w:rPr>
    </w:lvl>
  </w:abstractNum>
  <w:abstractNum w:abstractNumId="2">
    <w:nsid w:val="E0E50EEB"/>
    <w:multiLevelType w:val="singleLevel"/>
    <w:tmpl w:val="E0E50EEB"/>
    <w:lvl w:ilvl="0" w:tentative="0">
      <w:start w:val="1"/>
      <w:numFmt w:val="decimal"/>
      <w:lvlText w:val="%1)"/>
      <w:lvlJc w:val="left"/>
      <w:pPr>
        <w:ind w:left="425" w:hanging="425"/>
      </w:pPr>
      <w:rPr>
        <w:rFonts w:hint="default"/>
      </w:rPr>
    </w:lvl>
  </w:abstractNum>
  <w:abstractNum w:abstractNumId="3">
    <w:nsid w:val="E8CFCD79"/>
    <w:multiLevelType w:val="singleLevel"/>
    <w:tmpl w:val="E8CFCD79"/>
    <w:lvl w:ilvl="0" w:tentative="0">
      <w:start w:val="1"/>
      <w:numFmt w:val="decimal"/>
      <w:lvlText w:val="%1."/>
      <w:lvlJc w:val="left"/>
      <w:pPr>
        <w:ind w:left="425" w:hanging="425"/>
      </w:pPr>
      <w:rPr>
        <w:rFonts w:hint="default"/>
      </w:rPr>
    </w:lvl>
  </w:abstractNum>
  <w:abstractNum w:abstractNumId="4">
    <w:nsid w:val="01C51629"/>
    <w:multiLevelType w:val="multilevel"/>
    <w:tmpl w:val="01C516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027F5E3D"/>
    <w:multiLevelType w:val="multilevel"/>
    <w:tmpl w:val="027F5E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88F045"/>
    <w:multiLevelType w:val="singleLevel"/>
    <w:tmpl w:val="0988F045"/>
    <w:lvl w:ilvl="0" w:tentative="0">
      <w:start w:val="1"/>
      <w:numFmt w:val="decimal"/>
      <w:lvlText w:val="%1."/>
      <w:lvlJc w:val="left"/>
      <w:pPr>
        <w:ind w:left="425" w:hanging="425"/>
      </w:pPr>
      <w:rPr>
        <w:rFonts w:hint="default"/>
      </w:rPr>
    </w:lvl>
  </w:abstractNum>
  <w:abstractNum w:abstractNumId="7">
    <w:nsid w:val="2D9F6251"/>
    <w:multiLevelType w:val="multilevel"/>
    <w:tmpl w:val="2D9F62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197CC33"/>
    <w:multiLevelType w:val="singleLevel"/>
    <w:tmpl w:val="3197CC33"/>
    <w:lvl w:ilvl="0" w:tentative="0">
      <w:start w:val="1"/>
      <w:numFmt w:val="decimal"/>
      <w:lvlText w:val="%1)"/>
      <w:lvlJc w:val="left"/>
      <w:pPr>
        <w:ind w:left="425" w:hanging="425"/>
      </w:pPr>
      <w:rPr>
        <w:rFonts w:hint="default"/>
      </w:rPr>
    </w:lvl>
  </w:abstractNum>
  <w:abstractNum w:abstractNumId="9">
    <w:nsid w:val="4CF35968"/>
    <w:multiLevelType w:val="multilevel"/>
    <w:tmpl w:val="4CF3596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DBA541A"/>
    <w:multiLevelType w:val="multilevel"/>
    <w:tmpl w:val="6DBA541A"/>
    <w:lvl w:ilvl="0" w:tentative="0">
      <w:start w:val="1"/>
      <w:numFmt w:val="decimal"/>
      <w:lvlText w:val="%1）"/>
      <w:lvlJc w:val="left"/>
      <w:pPr>
        <w:ind w:left="420" w:hanging="420"/>
      </w:pPr>
      <w:rPr>
        <w:rFonts w:hint="default" w:eastAsia="宋体" w:asciiTheme="minorEastAsia" w:hAnsiTheme="minorEastAsia" w:cstheme="minorBidi"/>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6CE1274"/>
    <w:multiLevelType w:val="singleLevel"/>
    <w:tmpl w:val="76CE1274"/>
    <w:lvl w:ilvl="0" w:tentative="0">
      <w:start w:val="1"/>
      <w:numFmt w:val="decimal"/>
      <w:lvlText w:val="%1."/>
      <w:lvlJc w:val="left"/>
      <w:pPr>
        <w:ind w:left="425" w:hanging="425"/>
      </w:pPr>
      <w:rPr>
        <w:rFonts w:hint="default"/>
      </w:rPr>
    </w:lvl>
  </w:abstractNum>
  <w:abstractNum w:abstractNumId="12">
    <w:nsid w:val="7C7314A9"/>
    <w:multiLevelType w:val="multilevel"/>
    <w:tmpl w:val="7C7314A9"/>
    <w:lvl w:ilvl="0" w:tentative="0">
      <w:start w:val="1"/>
      <w:numFmt w:val="decimal"/>
      <w:lvlText w:val="%1."/>
      <w:lvlJc w:val="left"/>
      <w:pPr>
        <w:ind w:left="420" w:hanging="420"/>
      </w:pPr>
      <w:rPr>
        <w:rFonts w:hint="eastAsia"/>
      </w:rPr>
    </w:lvl>
    <w:lvl w:ilvl="1" w:tentative="0">
      <w:start w:val="7"/>
      <w:numFmt w:val="decimal"/>
      <w:lvlText w:val="%2）"/>
      <w:lvlJc w:val="left"/>
      <w:pPr>
        <w:ind w:left="1160" w:hanging="720"/>
      </w:pPr>
      <w:rPr>
        <w:rFonts w:hint="default" w:asciiTheme="minorEastAsia" w:hAnsiTheme="minorEastAsia" w:eastAsiaTheme="minorEastAsia" w:cstheme="minorBidi"/>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6"/>
  </w:num>
  <w:num w:numId="3">
    <w:abstractNumId w:val="12"/>
  </w:num>
  <w:num w:numId="4">
    <w:abstractNumId w:val="0"/>
  </w:num>
  <w:num w:numId="5">
    <w:abstractNumId w:val="8"/>
  </w:num>
  <w:num w:numId="6">
    <w:abstractNumId w:val="10"/>
  </w:num>
  <w:num w:numId="7">
    <w:abstractNumId w:val="2"/>
  </w:num>
  <w:num w:numId="8">
    <w:abstractNumId w:val="5"/>
  </w:num>
  <w:num w:numId="9">
    <w:abstractNumId w:val="7"/>
  </w:num>
  <w:num w:numId="10">
    <w:abstractNumId w:val="9"/>
  </w:num>
  <w:num w:numId="11">
    <w:abstractNumId w:val="4"/>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EEACAF"/>
    <w:rsid w:val="3BC6371A"/>
    <w:rsid w:val="5773985A"/>
    <w:rsid w:val="6BB9895F"/>
    <w:rsid w:val="77E6FF96"/>
    <w:rsid w:val="79EE7A2A"/>
    <w:rsid w:val="7D6B58FE"/>
    <w:rsid w:val="7FAD3CF4"/>
    <w:rsid w:val="7FBF2838"/>
    <w:rsid w:val="7FBFA406"/>
    <w:rsid w:val="87FFF638"/>
    <w:rsid w:val="CCAF60CC"/>
    <w:rsid w:val="CEFF1C55"/>
    <w:rsid w:val="D6FF54FE"/>
    <w:rsid w:val="D75F05FD"/>
    <w:rsid w:val="E1C7E896"/>
    <w:rsid w:val="E74F192E"/>
    <w:rsid w:val="F3777202"/>
    <w:rsid w:val="FDAF4B77"/>
    <w:rsid w:val="FE3F8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style>
  <w:style w:type="paragraph" w:styleId="3">
    <w:name w:val="Balloon Text"/>
    <w:basedOn w:val="1"/>
    <w:link w:val="17"/>
    <w:qFormat/>
    <w:uiPriority w:val="0"/>
    <w:rPr>
      <w:sz w:val="18"/>
      <w:szCs w:val="18"/>
    </w:rPr>
  </w:style>
  <w:style w:type="paragraph" w:styleId="4">
    <w:name w:val="footer"/>
    <w:basedOn w:val="1"/>
    <w:qFormat/>
    <w:uiPriority w:val="99"/>
    <w:pPr>
      <w:tabs>
        <w:tab w:val="center" w:pos="4153"/>
        <w:tab w:val="right" w:pos="8306"/>
      </w:tabs>
      <w:snapToGrid w:val="0"/>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link w:val="16"/>
    <w:qFormat/>
    <w:uiPriority w:val="0"/>
    <w:rPr>
      <w:b/>
      <w:bCs/>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character" w:styleId="12">
    <w:name w:val="annotation reference"/>
    <w:basedOn w:val="9"/>
    <w:qFormat/>
    <w:uiPriority w:val="0"/>
    <w:rPr>
      <w:sz w:val="21"/>
      <w:szCs w:val="21"/>
    </w:rPr>
  </w:style>
  <w:style w:type="paragraph" w:customStyle="1" w:styleId="13">
    <w:name w:val="List Paragraph"/>
    <w:basedOn w:val="1"/>
    <w:qFormat/>
    <w:uiPriority w:val="34"/>
    <w:pPr>
      <w:ind w:firstLine="420" w:firstLineChars="200"/>
    </w:pPr>
  </w:style>
  <w:style w:type="character" w:customStyle="1" w:styleId="14">
    <w:name w:val="页眉 Char"/>
    <w:basedOn w:val="9"/>
    <w:link w:val="5"/>
    <w:qFormat/>
    <w:uiPriority w:val="0"/>
    <w:rPr>
      <w:rFonts w:ascii="Calibri" w:hAnsi="Calibri" w:eastAsia="宋体" w:cs="Times New Roman"/>
      <w:kern w:val="2"/>
      <w:sz w:val="18"/>
      <w:szCs w:val="18"/>
    </w:rPr>
  </w:style>
  <w:style w:type="character" w:customStyle="1" w:styleId="15">
    <w:name w:val="批注文字 Char"/>
    <w:basedOn w:val="9"/>
    <w:link w:val="2"/>
    <w:qFormat/>
    <w:uiPriority w:val="0"/>
    <w:rPr>
      <w:rFonts w:ascii="Calibri" w:hAnsi="Calibri" w:eastAsia="宋体" w:cs="Times New Roman"/>
      <w:kern w:val="2"/>
      <w:sz w:val="21"/>
      <w:szCs w:val="24"/>
    </w:rPr>
  </w:style>
  <w:style w:type="character" w:customStyle="1" w:styleId="16">
    <w:name w:val="批注主题 Char"/>
    <w:basedOn w:val="15"/>
    <w:link w:val="7"/>
    <w:qFormat/>
    <w:uiPriority w:val="0"/>
    <w:rPr>
      <w:rFonts w:ascii="Calibri" w:hAnsi="Calibri" w:eastAsia="宋体" w:cs="Times New Roman"/>
      <w:b/>
      <w:bCs/>
      <w:kern w:val="2"/>
      <w:sz w:val="21"/>
      <w:szCs w:val="24"/>
    </w:rPr>
  </w:style>
  <w:style w:type="character" w:customStyle="1" w:styleId="17">
    <w:name w:val="批注框文本 Char"/>
    <w:basedOn w:val="9"/>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7464</Words>
  <Characters>8906</Characters>
  <Lines>48</Lines>
  <Paragraphs>13</Paragraphs>
  <TotalTime>338</TotalTime>
  <ScaleCrop>false</ScaleCrop>
  <LinksUpToDate>false</LinksUpToDate>
  <CharactersWithSpaces>9129</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2025-03-28T03:42:00Z</dcterms:created>
  <dc:creator>GG</dc:creator>
  <cp:lastModifiedBy>user</cp:lastModifiedBy>
  <dcterms:modified xsi:type="dcterms:W3CDTF">2026-05-08T10:16:15Z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84AFDF1AA186BB6C6617EF6924F29871_43</vt:lpwstr>
  </property>
  <property fmtid="{D5CDD505-2E9C-101B-9397-08002B2CF9AE}" pid="4" name="KSOTemplateDocerSaveRecord">
    <vt:lpwstr>eyJoZGlkIjoiMDBiNjc1YTRiYzVhNmJlMjM0ODllZTRkMzdmMmQxYTUiLCJ1c2VySWQiOiIyMzMzMDk3MjMifQ==</vt:lpwstr>
  </property>
</Properties>
</file>