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rPr>
      </w:pPr>
      <w:bookmarkStart w:id="0" w:name="_Toc63785461"/>
      <w:r>
        <w:rPr>
          <w:rFonts w:hint="eastAsia"/>
        </w:rPr>
        <w:t>上海化学工业区智慧管线与三维数字建模采购项目建设</w:t>
      </w:r>
    </w:p>
    <w:p>
      <w:pPr>
        <w:pStyle w:val="2"/>
        <w:numPr>
          <w:ilvl w:val="0"/>
          <w:numId w:val="0"/>
        </w:numPr>
        <w:jc w:val="center"/>
        <w:rPr>
          <w:rFonts w:hint="eastAsia"/>
        </w:rPr>
      </w:pPr>
      <w:r>
        <w:rPr>
          <w:rFonts w:hint="eastAsia"/>
        </w:rPr>
        <w:t>项目（2025年升级改造）采购需求</w:t>
      </w:r>
    </w:p>
    <w:p>
      <w:pPr>
        <w:pStyle w:val="2"/>
        <w:rPr>
          <w:rFonts w:hint="eastAsia"/>
        </w:rPr>
      </w:pPr>
      <w:r>
        <w:rPr>
          <w:rFonts w:hint="eastAsia"/>
        </w:rPr>
        <w:t>项目概况</w:t>
      </w:r>
      <w:bookmarkEnd w:id="0"/>
    </w:p>
    <w:p>
      <w:pPr>
        <w:rPr>
          <w:rFonts w:hint="eastAsia"/>
        </w:rPr>
      </w:pPr>
      <w:r>
        <w:rPr>
          <w:rFonts w:hint="eastAsia"/>
        </w:rPr>
        <w:t>本项目作为原智慧管线管理平台（含管线施工及道路开挖备案管理系统、三维系统）的升级改造工程，始终秉持“充分利旧原有成果”的核心原则，通过功能模块完善、技术架构革新等关键举措，主要实现</w:t>
      </w:r>
      <w:r>
        <w:rPr>
          <w:rFonts w:hint="eastAsia"/>
          <w:lang w:eastAsia="zh-CN"/>
        </w:rPr>
        <w:t>XC</w:t>
      </w:r>
      <w:r>
        <w:rPr>
          <w:rFonts w:hint="eastAsia"/>
        </w:rPr>
        <w:t>改造工程建设、管线施工及道路开挖备案管理系统升级、数字孪生园区应用系统（原三维系统升级）。</w:t>
      </w:r>
    </w:p>
    <w:p>
      <w:pPr>
        <w:pStyle w:val="2"/>
        <w:rPr>
          <w:rFonts w:hint="eastAsia"/>
        </w:rPr>
      </w:pPr>
      <w:bookmarkStart w:id="1" w:name="_Toc47539070"/>
      <w:bookmarkEnd w:id="1"/>
      <w:bookmarkStart w:id="2" w:name="_Toc47536272"/>
      <w:bookmarkEnd w:id="2"/>
      <w:bookmarkStart w:id="3" w:name="_Toc47536644"/>
      <w:bookmarkEnd w:id="3"/>
      <w:bookmarkStart w:id="4" w:name="_Toc47532255"/>
      <w:bookmarkEnd w:id="4"/>
      <w:bookmarkStart w:id="5" w:name="_Toc47532891"/>
      <w:bookmarkEnd w:id="5"/>
      <w:bookmarkStart w:id="6" w:name="_Toc47537134"/>
      <w:bookmarkEnd w:id="6"/>
      <w:bookmarkStart w:id="7" w:name="_Toc47531634"/>
      <w:bookmarkEnd w:id="7"/>
      <w:bookmarkStart w:id="8" w:name="_Toc47533256"/>
      <w:bookmarkEnd w:id="8"/>
      <w:bookmarkStart w:id="9" w:name="_Toc63785463"/>
      <w:bookmarkStart w:id="10" w:name="_Toc48223882"/>
      <w:r>
        <w:rPr>
          <w:rFonts w:hint="eastAsia"/>
        </w:rPr>
        <w:t>建设目标</w:t>
      </w:r>
      <w:bookmarkEnd w:id="9"/>
      <w:bookmarkEnd w:id="10"/>
    </w:p>
    <w:p>
      <w:pPr>
        <w:rPr>
          <w:rFonts w:hint="eastAsia" w:cs="仿宋" w:asciiTheme="minorEastAsia" w:hAnsiTheme="minorEastAsia" w:eastAsiaTheme="minorEastAsia"/>
        </w:rPr>
      </w:pPr>
      <w:r>
        <w:rPr>
          <w:rFonts w:hint="eastAsia" w:cs="仿宋" w:asciiTheme="minorEastAsia" w:hAnsiTheme="minorEastAsia" w:eastAsiaTheme="minorEastAsia"/>
        </w:rPr>
        <w:t>以实现核心技术自主可控为首要目标，完成上海化学工业区智慧管线平台全栈国产化</w:t>
      </w:r>
      <w:r>
        <w:rPr>
          <w:rFonts w:hint="eastAsia" w:cs="仿宋" w:asciiTheme="minorEastAsia" w:hAnsiTheme="minorEastAsia" w:eastAsiaTheme="minorEastAsia"/>
          <w:lang w:eastAsia="zh-CN"/>
        </w:rPr>
        <w:t>XC</w:t>
      </w:r>
      <w:r>
        <w:rPr>
          <w:rFonts w:hint="eastAsia" w:cs="仿宋" w:asciiTheme="minorEastAsia" w:hAnsiTheme="minorEastAsia" w:eastAsiaTheme="minorEastAsia"/>
        </w:rPr>
        <w:t>：全面实现应用系统的国产化适配和替换，消除对国外产品的技术依赖；同步完成历史数据的安全迁移与全链路适配验证，确保数据完整性与系统兼容性；构建“自主可控、安全可靠、适配顺畅”的国产化技术底座。</w:t>
      </w:r>
    </w:p>
    <w:p>
      <w:pPr>
        <w:rPr>
          <w:rFonts w:hint="eastAsia" w:cs="仿宋" w:asciiTheme="minorEastAsia" w:hAnsiTheme="minorEastAsia" w:eastAsiaTheme="minorEastAsia"/>
        </w:rPr>
      </w:pPr>
      <w:r>
        <w:rPr>
          <w:rFonts w:hint="eastAsia" w:cs="仿宋" w:asciiTheme="minorEastAsia" w:hAnsiTheme="minorEastAsia" w:eastAsiaTheme="minorEastAsia"/>
        </w:rPr>
        <w:t>在此基础上，基于《上海化学工业区道路区域施工管理规定（2025年修订）》对道路施工管理的系统性要求，立足化工区道路施工和综合管线业务管理工作的实际需要，对现有智慧管线平台进行优化升级，构建“全流程覆盖、多维度协同、标准化支撑”的智慧管线综合管理平台。形成“规定-平台-执行”的闭环管理机制，为园区管理规定的高效落实提供有力支撑。以此推动园区进一步强化道路区域施工管理，切实保障道路及地下管线的安全稳定运行，维护道路交通的顺畅通行功能，全面提升园区文明施工</w:t>
      </w:r>
      <w:bookmarkStart w:id="32" w:name="_GoBack"/>
      <w:bookmarkEnd w:id="32"/>
      <w:r>
        <w:rPr>
          <w:rFonts w:hint="eastAsia" w:cs="仿宋" w:asciiTheme="minorEastAsia" w:hAnsiTheme="minorEastAsia" w:eastAsiaTheme="minorEastAsia"/>
        </w:rPr>
        <w:t>的整体水平。</w:t>
      </w:r>
    </w:p>
    <w:p>
      <w:pPr>
        <w:pStyle w:val="2"/>
        <w:rPr>
          <w:rFonts w:hint="eastAsia"/>
        </w:rPr>
      </w:pPr>
      <w:r>
        <w:rPr>
          <w:rFonts w:hint="eastAsia"/>
        </w:rPr>
        <w:t>交付时间</w:t>
      </w:r>
    </w:p>
    <w:p>
      <w:pPr>
        <w:rPr>
          <w:rFonts w:hint="eastAsia" w:cs="仿宋" w:asciiTheme="minorEastAsia" w:hAnsiTheme="minorEastAsia" w:eastAsiaTheme="minorEastAsia"/>
        </w:rPr>
      </w:pPr>
      <w:r>
        <w:rPr>
          <w:rFonts w:hint="eastAsia" w:cs="仿宋" w:asciiTheme="minorEastAsia" w:hAnsiTheme="minorEastAsia" w:eastAsiaTheme="minorEastAsia"/>
        </w:rPr>
        <w:t>自合同签订之日起</w:t>
      </w:r>
      <w:r>
        <w:rPr>
          <w:rFonts w:hint="eastAsia" w:cs="仿宋" w:asciiTheme="minorEastAsia" w:hAnsiTheme="minorEastAsia" w:eastAsiaTheme="minorEastAsia"/>
          <w:lang w:val="en-US" w:eastAsia="zh-CN"/>
        </w:rPr>
        <w:t>6</w:t>
      </w:r>
      <w:r>
        <w:rPr>
          <w:rFonts w:hint="eastAsia" w:cs="仿宋" w:asciiTheme="minorEastAsia" w:hAnsiTheme="minorEastAsia" w:eastAsiaTheme="minorEastAsia"/>
        </w:rPr>
        <w:t>个月内完成本项目的内容建设，包括30天试运行。</w:t>
      </w:r>
    </w:p>
    <w:p>
      <w:pPr>
        <w:pStyle w:val="2"/>
        <w:rPr>
          <w:rFonts w:hint="eastAsia"/>
        </w:rPr>
      </w:pPr>
      <w:bookmarkStart w:id="11" w:name="_Toc47537166"/>
      <w:bookmarkEnd w:id="11"/>
      <w:bookmarkStart w:id="12" w:name="_Toc47533288"/>
      <w:bookmarkEnd w:id="12"/>
      <w:bookmarkStart w:id="13" w:name="_Toc47536304"/>
      <w:bookmarkEnd w:id="13"/>
      <w:bookmarkStart w:id="14" w:name="_Toc47532923"/>
      <w:bookmarkEnd w:id="14"/>
      <w:bookmarkStart w:id="15" w:name="_Toc47539102"/>
      <w:bookmarkEnd w:id="15"/>
      <w:bookmarkStart w:id="16" w:name="_Toc47536676"/>
      <w:bookmarkEnd w:id="16"/>
      <w:r>
        <w:rPr>
          <w:rFonts w:hint="eastAsia"/>
        </w:rPr>
        <w:t>应用模块建设</w:t>
      </w:r>
    </w:p>
    <w:p>
      <w:pPr>
        <w:rPr>
          <w:rFonts w:hint="eastAsia"/>
        </w:rPr>
      </w:pPr>
      <w:r>
        <w:rPr>
          <w:rFonts w:hint="eastAsia"/>
        </w:rPr>
        <w:t>以下为本项目主要软件功能参考清单，项目建设内容质保期不得少于1年。</w:t>
      </w:r>
    </w:p>
    <w:p>
      <w:pPr>
        <w:pStyle w:val="3"/>
        <w:rPr>
          <w:rFonts w:hint="eastAsia"/>
        </w:rPr>
      </w:pPr>
      <w:r>
        <w:rPr>
          <w:rFonts w:hint="eastAsia"/>
          <w:lang w:eastAsia="zh-CN"/>
        </w:rPr>
        <w:t>XC</w:t>
      </w:r>
      <w:r>
        <w:rPr>
          <w:rFonts w:hint="eastAsia"/>
        </w:rPr>
        <w:t>改造工程建设</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桌面端应用替代-智慧管线统一门户</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智慧管线平台是园区综合管线管理的统一平台，下设管线管理系统、巡检和抢维修管理等多个子系统，提供统一的用户界面和功能，方便用户单点登录和进入各子系统进行管理和操作。</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门户作为智慧管线平台的统一入口，其国产化升级需兼顾技术适配、功能延续、安全合规及用户体验，承载着用户单点登录、子系统集成、数据聚合展示等核心功能，在统一门户升级过程中，也须同步完成原有全量功能的升级改造工作。</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桌面端应用替代-数据更新与维护系统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更新与维护系统实现管网数据的查询、统计、编辑、检查和入库等功能。系统提供在线和离线编辑的方式，编辑的数据通过审核后可直接导入到GIS数据库中，能保障后续多来源的CAD、SHP、EXCEL等格式管线数据便捷入库，使得管网数据更新更加便捷。</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数据更新与维护系统作为管网数据全生命周期管理的核心工具，承担着数据查询、编辑、审核、入库等关键职能。其国产化升级需在保障原有数据处理功能完整性的基础上，实现技术底座自主可控、格式兼容适配、操作体验稳定，具体须同步完成升级改造的功能介绍如下：</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桌面端应用替代-管线管理系统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线管理系统实现了管网空间和属性数据的信息化管理，将入库的地形图以及管网数据发布出来，为用户提供地图浏览、专题图展示和管网数据的查询、统计、打印输出等功能。为管网的规划、设计、施工、运营、评估提供数据和功能支撑，为管网的正常运行提供了一套科学有效的管理工具。</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管线管理系统作为管网空间与属性数据的核心管理载体，承担着数据发布、地图交互、查询统计等关键职能，其国产化升级需在保障数据管理完整性与功能连续性的基础上，实现技术自主可控、环境兼容适配与安全合规达标</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桌面端应用替代-管线档案管理系统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地下综合管线档案管理系统，结合全文检索、流媒体服务、图像处理、信息加密、信息发布先进技术，对各类管线档案资料进行归集、调阅，保证管线档案的完整、安全，支撑园区建设发展的需要。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管线档案管理系统作为地下综合管线档案归集、调阅、安全保障的核心平台，需依托国产化技术实现全文检索、流媒体服务、信息加密等功能的自主可控。针对档案管理、检索、防护、系统管理四大模块开展专项工作。</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桌面端应用替代-巡检与抢维修管理系统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巡检与抢维修管理系统是专门针对实际管网巡检工作的业务流程设计开发的，同时具有高度扩展性，可适应今后业务需求变更的情况。系统采用WEB端与手持端相结合的方式进行设计与应用，基于物联网和移动GIS技术，由在桌面端运行的巡检后台监管子系统和在平板电脑、手机等移动智能终端上运行的巡检移动智能终端子系统组成，实现管网数据在移动终端上的应用，同时采用移动通信技术将现场发生的各类事件通过图片、文本等信息传回监控端，加快各类事件地快速处理，实现管网外勤工作地精细化管理。</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桌面端应用替代-管线施工及道路开挖备案管理系统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线施工及道路开挖备案管理系统可实现开挖申报及材料、地点等信息管理，支持多条件查询申报信息与结果，能对许可证进行查询、打印、归档、发放及下发，还可设定阈值自动监控许可证到期时间并进行预警提醒，同时首页会汇总待办事项、新增申请、在建工程数等信息，方便用户全面管理管线施工及道路开挖相关业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管线施工及道路开挖备案管理系统虽已具备开挖申报、信息查询、许可证管理、到期预警等基础功能，但存在流程单一（仅支持一个流程）、功能缺失（不支持零星工程等多类备案管理，缺少基础备案申报、多部门并行审核会签、备案变更及抢修补办，无施工现场检查与日常巡查整改等功能）等问题。本次将先对系统进行国产化升级，在完成底层技术适配、保障原有功能稳定运行的基础上，新增多类工程备案管理、多部门会签、备案全流程管理及现场巡查整改等功能，全面提升业务管理效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在具体进行实施时，需要首先对原有功能进行国产化适配，再保留原有功能的基础上，新增部分功能</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桌面端应用替代-地下综合管线二三维一体化系统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全方位、多维度地对地下综合管线、地上建筑、地面道路一体化虚拟展示，并提供三维操作、漫游、专业分析等可视化管理功能。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本次项目将完成对原有依赖浏览器插件的传统三维技术架构，全面迁移至基于WebGL的现代化Web三维技术体系，实现三维系统从封闭、受限、应用不便的旧模式，升级为开放、原生、跨平台、高性能、即时访问的现代三维应用，大幅降低三维系统应用门槛，为园区地上地下管线资源的协同管理提供可视化支撑。同时还将保留原有系统中的图层管理、二三维联动、设施查询等系列功能</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移动端应用替代-管线管理系统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线管理系统实现了管网空间和属性数据的信息化管理，将入库的地形图以及管网数据发布出来，为用户提供地图浏览、专题图展示和管网数据的查询、统计、打印输出等功能。为管网的规划、设计、施工、运营、评估提供数据和功能支撑，为管网的正常运行提供了一套科学有效的管理工具。</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移动端管线管理系统本次也将完成国产化适配和替代设计工作，支持将原有移动管线展示等系列功能，基于手持端进行展示。</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移动端应用替代-巡检与抢维修管理系统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巡检与抢维修管理系统是专门针对实际管网巡检工作的业务流程设计开发的，同时具有高度扩展性，可适应今后业务需求变更的情况。系统采用WEB端与手持端相结合的方式进行设计与应用，基于物联网和移动GIS技术，由在桌面端运行的巡检后台监管子系统和在平板电脑、手机等移动智能终端上运行的巡检移动智能终端子系统组成，实现管网数据在移动终端上的应用，同时采用移动通信技术将现场发生的各类事件通过图片、文本等信息传回监控端，加快各类事件地快速处理，实现管网外勤工作地精细化管理。</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移动端巡检与抢维修管理系统本次也将完成国产化适配和替代设计工作，支持将原有系列巡检、工单管理等功能，基于手持端进行展示。</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移动端应用替代-管线施工及道路开挖备案管理系统</w:t>
            </w:r>
            <w:r>
              <w:rPr>
                <w:rFonts w:hint="eastAsia" w:ascii="等线" w:hAnsi="等线" w:eastAsia="等线" w:cs="宋体"/>
                <w:color w:val="000000"/>
                <w:kern w:val="0"/>
                <w:sz w:val="22"/>
                <w:szCs w:val="22"/>
                <w:lang w:eastAsia="zh-CN"/>
              </w:rPr>
              <w:t>XC</w:t>
            </w:r>
            <w:r>
              <w:rPr>
                <w:rFonts w:hint="eastAsia" w:ascii="等线" w:hAnsi="等线" w:eastAsia="等线" w:cs="宋体"/>
                <w:color w:val="000000"/>
                <w:kern w:val="0"/>
                <w:sz w:val="22"/>
                <w:szCs w:val="22"/>
              </w:rPr>
              <w:t>改造</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线施工及道路开挖备案管理系统可实现开挖申报及材料、地点等信息管理，支持多条件查询申报信息与结果，能对许可证进行查询、打印、归档、发放及下发，还可设定阈值自动监控许可证到期时间并进行预警提醒，同时首页会汇总待办事项、新增申请、在建工程数等信息，方便用户全面管理管线施工及道路开挖相关业务。</w:t>
            </w:r>
          </w:p>
        </w:tc>
      </w:tr>
    </w:tbl>
    <w:p>
      <w:pPr>
        <w:rPr>
          <w:rFonts w:hint="eastAsia"/>
        </w:rPr>
      </w:pPr>
    </w:p>
    <w:p>
      <w:pPr>
        <w:pStyle w:val="3"/>
        <w:rPr>
          <w:rFonts w:hint="eastAsia"/>
        </w:rPr>
      </w:pPr>
      <w:r>
        <w:rPr>
          <w:rFonts w:hint="eastAsia"/>
        </w:rPr>
        <w:t>管线施工及道路开挖备案管理系统升级</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工作流引擎开发</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开发工作流引擎组件，系统将打破传统固化的审批流程模式，构建起一套可动态配置的流程管理体系。针对管线施工备案、道路开挖审批、变更等核心业务场景，管理人员可基于可视化配置界面，自定义设计审批流程的节点构成、流转逻辑与权限分配——例如根据项目规模增设专家评审节点，或依据施工区域特性调整属地管理部门的审批环节，无需进行代码层面的修改即可快速响应业务规则变化。</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管委会用户首页</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系统首页采用角色化智能展示机制，针对管委会、管线权属单位、建设单位（企业）三类用户分别呈现定制化内容，确保各角色快速获取核心信息。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管委会用户首页聚焦统筹管理视角，待办事项区域优先展示需审批的道路开挖项目清单、管线施工备案审核任务；到期提醒模块突出显示施工到期的项目名称，辅以红色预警标识；我的申请板块展示管委会发起的现场检查等事项进度；数据统计区通过卡片式布局呈现本月新增备案项目数量、当前在建工程数量、累计工程数量等宏观数据，搭配趋势折线图直观展示月度工程增长态势。</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管线权属单位用户首页</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线权属单位首页侧重管线保护与协同管理，待办事项以涉及本单位管线的开挖审批确认为主；到期提醒展示针对涉及本单位施工已到期的项目名称；同时提供我的申请，以及涉及本单位的本月新增备案项目数量、当前在建工程数量、累计工程数量等数据。</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建设单位用户首页</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建设单位首页围绕项目全流程管理设计，待办事项集中展示需要办理的备案任务，支持一键跳转办理页面；到期提醒重点标注施工方案到期项目；同时提供我的申请，以及本单位的本月新增备案项目数量、当前在建工程数量、累计工程数量等数据。</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综合管线地图展示</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综合管线地图展示以现有园区高清地图为底图，分层叠加展示给水、排水、燃气、电力、通信等地下管线分布，不同类型的管线以差异化颜色区分。用户可通过缩放、平移操作浏览地图，支持点击管线即可查看权属单位、建设年代等详细信息。</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工程一张图</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程一张图整合各类工程信息，在地图上精准标注管线施工及道路开挖项目位置，以不同图标区分状态。点击图标可查看项目名称、建设单位等详情，还能查看周边管线分布，助力用户掌握工程空间布局，支撑决策与协同。</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零星工程备案管理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备案管理功能严格遵循“一口受理、并行审核、一次发件”原则，实现园区道路区域施工备案全流程线上化管理，全面覆盖备案前提校验、材料提交、多部门协同审核、备案结果发放及后续变更等场景。</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道路开挖工程备案管理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备案管理功能严格遵循“一口受理、并行审核、一次发件”原则，实现园区道路区域施工备案全流程线上化管理，全面覆盖备案前提校验、材料提交、多部门协同审核、备案结果发放及后续变更等场景。</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道路占用类工程备案管理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备案管理功能严格遵循“一口受理、并行审核、一次发件”原则，实现园区道路区域施工备案全流程线上化管理，全面覆盖备案前提校验、材料提交、多部门协同审核、备案结果发放及后续变更等场景。</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工程紧急需求变更管理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针对施工过程中的变更需求，系统提供备案变更专项通道，建设单位可在线提交位置移动、面积扩大、工期延长等变更申请及相关说明材料，流程与初始备案一致，确保变更合规性。</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紧急工程抢修补办备案</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对于地下管线爆裂、路面塌陷等紧急作业，系统设置“紧急抢修备案补办”入口，允许管线权属单位、道路养护单位先行抢修后3个工作日内补传备案材料，兼顾应急处置效率与管理规范。</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施工现场管理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施工现场管理功能围绕建设单位监督责任、施工单位主体责任、管理部门监管职责三大维度设计，实现施工全过程的规范化管控与数字化记录。</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验收管理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验收管理功能依据工程类型及管理要求，构建分类验收流程与综合监管机制，所有部门验收通过后，汇总形成综合验收报告，明确验收结果（合格/不合格及整改要求），由牵头部门确认后录入系统，与项目备案、施工管理等全流程数据关联存档。验收合格的项目，系统自动标记为“已办结”；不合格项目则锁定后续流程，直至完成整改并通过复查，确保施工区域完全恢复至规定状态。</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工程日常巡查</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系统支持对接管线权属单位各自管线运行的日常巡检数据，包括巡查时间、区域、发现的问题及处理措施等信息，形成有效记录，保障管线运行安全。</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违规处置管理</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不同违规情形设置分级处置流程：对于建设单位、施工单位违反备案管理、施工现场管理、竣工管理规定且情节轻微的，相关管理部门可通过系统向责任单位下发电子版《责令整改通知书》，明确整改要求和期限，责任单位需在系统上传整改完成证明，管理部门在线核验整改情况。</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工程台账</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系统将提供工程台账管理的功能，对于各类工程信息，支持以列表形式进行展示，还可查看具体工程基础信息、备案信息、施工现场信息等台账记录。</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配套移动端功能 -消息接收</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为满足整体功能业务场景操作需求，项目还将配套打造对应移动端平台，实现各类任务接收、过程数据上报等功能操作。</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整合审批提醒、任务通知、违规预警、协同消息等，在移动端首页设置“消息中心”入口，支持按“未读/已读”“紧急程度”筛选。</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配套移动端功能-工程备案</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首页设“新增备案”按钮，支持选择“零星工程”“道路开挖”“道路占用”类型，自动匹配对应表单。</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配套移动端功能-备案审批</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于相关部门及管理人员，支持接收各类备案流程审批申请，并可点击查看详情信息，根据符合情况进行审批工作。管委会、管线权属单位等审批人员可通过移动端查看备案材料、在线批注意见（支持手写签名），选择“通过”“驳回”（需填写驳回理由），流程状态实时同步至申请方。</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配套移动端功能-变更申请</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在“我的项目”列表中，对应项目右侧设“变更”按钮，支持选择“位置移动/面积扩大/工期延长”等类型，自动关联原备案信息，仅需补充变更说明和佐证材料（如设计变更图纸）。</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配套移动端功能-紧急抢修补办备案</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首页设“紧急抢修通道”，点击后跳过前置校验，直接进入“抢修信息填报”（抢修类型、位置、原因），支持语音快速录入（转文字），3个工作日内系统自动提醒补传完整材料（如抢修方案、现场照片）。</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配套移动端功能-违规处置与整改跟踪</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违规通知书接收：施工单位接收《责令整改通知书》后，可查看违规事实、依据、整改要求，点击“整改上报”上传整改照片和说明，管理部门在线核验通过后闭环。</w:t>
            </w:r>
          </w:p>
        </w:tc>
      </w:tr>
    </w:tbl>
    <w:p>
      <w:pPr>
        <w:rPr>
          <w:rFonts w:hint="eastAsia"/>
        </w:rPr>
      </w:pPr>
    </w:p>
    <w:p>
      <w:pPr>
        <w:pStyle w:val="3"/>
        <w:rPr>
          <w:rFonts w:hint="eastAsia"/>
        </w:rPr>
      </w:pPr>
      <w:r>
        <w:rPr>
          <w:rFonts w:hint="eastAsia"/>
        </w:rPr>
        <w:t>数字孪生园区应用系统（原三维系统升级）</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三维底座构建-三维管网参数化建模</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按照LOD配置、数据库连接、投影参考、选项配置、建模规则及输出配置等流程，完成整体地下综合管线参数化建模工作。</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三维底座构建-园区模型搭建</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对园区内的各建筑模型、地形模型、交通设施模型、植被模型等按照三维底座展示需求进行模型搭建和场景生成，满足新技术下的应用呈现。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水平距离分析</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测量空间两点连线或多点顺序连成的折线在X轴方向上的投影距离。</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垂直距离分析</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测量空间两点连线在Y轴上的投影距离。</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施工开挖分析</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地下管网管理过程中经常出现的地面开挖问题，系统提供了任意区域的地面开挖模拟，根据用户定义的施工开挖区域和深度开挖地形并浏览开挖部分的地下管道，计算施工开挖量，分析开挖所涉及的管线（线、特征点、附属设施），为施工提供决策支持。选择开挖的方式，通过鼠标输入道路中心线，按照设置的“缓冲半径”和“开挖深度”进行地形开挖分析。</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水平净距分析</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可对埋设在地下的管线进行分析，判断目标管线在指定范围内与其他管线在水平方向上是否发生碰撞或最小净距是否符合国标净距规范。用户可在三维视窗中选择目标管段，指定水平分析的半径范围。系统分析结果为这些管线的编号、所在图层、与目标管线的水平净距、国际净距标准，并将不符合的结果以红色区别，在三维视窗中，可红色高亮显示不满足国际净距要求的管线。</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垂直净距分析</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可对埋设在地下的管线进行分析，可判断目标管线在指定范围内与其他管线的上下关系，判断管线在垂直方向上是否发生碰撞或最小净距是否符合国标净距规范。用户可在三维视窗中选择目标管段，指定垂直分析的半径范围。系统分析结果为这些管线的编号、所在图层、与目标管线的垂直净距、国际净距标准，并将不符合的结果以红色区别，在三维视窗中，可红色高亮显示不满足国际净距要求的管线。</w:t>
            </w:r>
          </w:p>
        </w:tc>
      </w:tr>
    </w:tbl>
    <w:p>
      <w:pPr>
        <w:rPr>
          <w:rFonts w:hint="eastAsia"/>
        </w:rPr>
      </w:pPr>
    </w:p>
    <w:p>
      <w:pPr>
        <w:pStyle w:val="3"/>
        <w:rPr>
          <w:rFonts w:hint="eastAsia"/>
        </w:rPr>
      </w:pPr>
      <w:r>
        <w:rPr>
          <w:rFonts w:hint="eastAsia"/>
        </w:rPr>
        <w:t>密码应用改造</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功能名称</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密码应用改造适配</w:t>
            </w:r>
          </w:p>
        </w:tc>
        <w:tc>
          <w:tcPr>
            <w:tcW w:w="600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在网络和通信安全改造方面，重点实施网关适配与移动端接入优化，部署SSL/TLS加密通道及API网关策略，强化数据传输过程中的机密性与完整性，同时适配移动终端安全协议，保障跨平台通信的无缝衔接与抗攻击能力。</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设备和计算安全强化环节将通过服务器加固与模型加密双重措施，对操作系统及中间件进行安全基线配置，并采用国密算法对AI模型及敏感数据实施端到端加密，抵御恶意入侵与数据泄露威胁，提升底层计算环境的可靠性。</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业务应用安全深化工作聚焦权限管控与台账防篡改机制，基于RBAC模型细化角色权限策略，并引入区块链技术确保业务台账的不可篡改性与可追溯性，从而杜绝越权操作与数据篡改隐患，维护业务逻辑的合规性与审计完整性。</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密钥管理与部署适配部分将完成KMS配置与设备部署的协同优化，建立集中化的密钥全生命周期管理体系，支持硬件安全模块（HSM）集成与分布式密钥分发，确保密钥生成、存储、轮换各环节的安全合规及设备环境的高效适配。</w:t>
            </w:r>
          </w:p>
        </w:tc>
      </w:tr>
    </w:tbl>
    <w:p>
      <w:pPr>
        <w:pStyle w:val="2"/>
        <w:rPr>
          <w:rFonts w:hint="eastAsia"/>
        </w:rPr>
      </w:pPr>
      <w:bookmarkStart w:id="17" w:name="_Toc63785503"/>
      <w:r>
        <w:rPr>
          <w:rFonts w:hint="eastAsia"/>
        </w:rPr>
        <w:t>其他工作要求</w:t>
      </w:r>
      <w:bookmarkEnd w:id="17"/>
      <w:bookmarkStart w:id="18" w:name="_Toc63785439"/>
      <w:bookmarkEnd w:id="18"/>
      <w:bookmarkStart w:id="19" w:name="_Toc63151871"/>
      <w:bookmarkEnd w:id="19"/>
      <w:bookmarkStart w:id="20" w:name="_Toc62219358"/>
      <w:bookmarkEnd w:id="20"/>
      <w:bookmarkStart w:id="21" w:name="_Toc62209488"/>
      <w:bookmarkEnd w:id="21"/>
      <w:bookmarkStart w:id="22" w:name="_Toc63785504"/>
      <w:bookmarkEnd w:id="22"/>
      <w:bookmarkStart w:id="23" w:name="_Toc63585480"/>
      <w:bookmarkEnd w:id="23"/>
      <w:bookmarkStart w:id="24" w:name="_Toc63762370"/>
      <w:bookmarkEnd w:id="24"/>
      <w:bookmarkStart w:id="25" w:name="_Toc61968111"/>
      <w:bookmarkEnd w:id="25"/>
    </w:p>
    <w:p>
      <w:pPr>
        <w:pStyle w:val="3"/>
      </w:pPr>
      <w:bookmarkStart w:id="26" w:name="_Toc63785505"/>
      <w:r>
        <w:rPr>
          <w:rFonts w:hint="eastAsia"/>
        </w:rPr>
        <w:t>资源与环境要求</w:t>
      </w:r>
    </w:p>
    <w:p>
      <w:pPr>
        <w:rPr>
          <w:rFonts w:hint="eastAsia"/>
        </w:rPr>
      </w:pPr>
      <w:r>
        <w:rPr>
          <w:rFonts w:hint="eastAsia"/>
        </w:rPr>
        <w:t>本项目要求部署于市政务云环境。</w:t>
      </w:r>
      <w:r>
        <w:rPr>
          <w:rFonts w:hint="eastAsia"/>
          <w:lang w:eastAsia="zh-CN"/>
        </w:rPr>
        <w:t>响应供应商</w:t>
      </w:r>
      <w:r>
        <w:rPr>
          <w:rFonts w:hint="eastAsia"/>
        </w:rPr>
        <w:t>应随</w:t>
      </w:r>
      <w:r>
        <w:rPr>
          <w:rFonts w:hint="eastAsia"/>
          <w:lang w:eastAsia="zh-CN"/>
        </w:rPr>
        <w:t>响应</w:t>
      </w:r>
      <w:r>
        <w:rPr>
          <w:rFonts w:hint="eastAsia"/>
        </w:rPr>
        <w:t>文件提供资源估算，具体资源使用以市云审批结果为准。</w:t>
      </w:r>
    </w:p>
    <w:p>
      <w:pPr>
        <w:pStyle w:val="3"/>
        <w:rPr>
          <w:rFonts w:hint="eastAsia"/>
        </w:rPr>
      </w:pPr>
      <w:r>
        <w:rPr>
          <w:rFonts w:hint="eastAsia"/>
        </w:rPr>
        <w:t>售后服务要求</w:t>
      </w:r>
      <w:bookmarkEnd w:id="26"/>
    </w:p>
    <w:p>
      <w:pPr>
        <w:pStyle w:val="11"/>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1"/>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1"/>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在质量保证期内，供应商负责信息系统的运行维护工作，确保信息系统安全、稳定、可靠地运行。本项目涉及的运行维护工作范围为：系统技术支持、系统使用支持、运行环境的维护及漏洞修复等。</w:t>
      </w:r>
    </w:p>
    <w:p>
      <w:pPr>
        <w:pStyle w:val="3"/>
        <w:rPr>
          <w:rFonts w:hint="eastAsia"/>
        </w:rPr>
      </w:pPr>
      <w:bookmarkStart w:id="27" w:name="_Toc63785506"/>
      <w:r>
        <w:rPr>
          <w:rFonts w:hint="eastAsia"/>
        </w:rPr>
        <w:t>应急响应要求</w:t>
      </w:r>
      <w:bookmarkEnd w:id="27"/>
    </w:p>
    <w:p>
      <w:pPr>
        <w:pStyle w:val="11"/>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1"/>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1"/>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1"/>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1"/>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rPr>
          <w:rFonts w:hint="eastAsia"/>
        </w:rPr>
      </w:pPr>
      <w:bookmarkStart w:id="28" w:name="_Toc63785507"/>
      <w:r>
        <w:rPr>
          <w:rFonts w:hint="eastAsia"/>
        </w:rPr>
        <w:t>培训要求</w:t>
      </w:r>
      <w:bookmarkEnd w:id="28"/>
    </w:p>
    <w:p>
      <w:pPr>
        <w:rPr>
          <w:rFonts w:hint="eastAsia"/>
        </w:rPr>
      </w:pPr>
      <w:r>
        <w:rPr>
          <w:rFonts w:hint="eastAsia"/>
        </w:rPr>
        <w:t>对系统使用单位提供业务操作培训，应提供详细培训方案。</w:t>
      </w:r>
    </w:p>
    <w:p>
      <w:pPr>
        <w:rPr>
          <w:rFonts w:hint="eastAsia"/>
        </w:rPr>
      </w:pPr>
      <w:r>
        <w:rPr>
          <w:rFonts w:hint="eastAsia"/>
        </w:rPr>
        <w:t>(1)在12个月的质量保证期内，提供2次与项目相关的必要培训。</w:t>
      </w:r>
    </w:p>
    <w:p>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pPr>
        <w:rPr>
          <w:rFonts w:hint="eastAsia"/>
          <w:strike/>
          <w:szCs w:val="21"/>
        </w:rPr>
      </w:pPr>
      <w:r>
        <w:rPr>
          <w:rFonts w:hint="eastAsia"/>
        </w:rPr>
        <w:t>(3)供应商应提供一般用户的基础操作培训和部门信息管理员的日常应用维护的培训，确保用户对象能够掌握对应的操作技能。</w:t>
      </w:r>
    </w:p>
    <w:p>
      <w:pPr>
        <w:pStyle w:val="3"/>
        <w:rPr>
          <w:rFonts w:hint="eastAsia"/>
        </w:rPr>
      </w:pPr>
      <w:bookmarkStart w:id="29" w:name="_Toc63785509"/>
      <w:r>
        <w:rPr>
          <w:rFonts w:hint="eastAsia"/>
        </w:rPr>
        <w:t>进度要求</w:t>
      </w:r>
      <w:bookmarkEnd w:id="29"/>
    </w:p>
    <w:p>
      <w:pPr>
        <w:rPr>
          <w:rFonts w:hint="eastAsia"/>
        </w:rPr>
      </w:pPr>
      <w:r>
        <w:rPr>
          <w:rFonts w:hint="eastAsia"/>
          <w:lang w:eastAsia="zh-CN"/>
        </w:rPr>
        <w:t>响应供应商</w:t>
      </w:r>
      <w:r>
        <w:rPr>
          <w:rFonts w:hint="eastAsia"/>
        </w:rPr>
        <w:t>应根据建设内容，分阶段制定合理的时间进度，并且应根据</w:t>
      </w:r>
      <w:r>
        <w:rPr>
          <w:rFonts w:hint="eastAsia"/>
          <w:lang w:eastAsia="zh-CN"/>
        </w:rPr>
        <w:t>采购人</w:t>
      </w:r>
      <w:r>
        <w:rPr>
          <w:rFonts w:hint="eastAsia"/>
        </w:rPr>
        <w:t>要求进行调整和细化。</w:t>
      </w:r>
    </w:p>
    <w:p>
      <w:pPr>
        <w:rPr>
          <w:rFonts w:hint="eastAsia"/>
        </w:rPr>
      </w:pPr>
      <w:r>
        <w:rPr>
          <w:rFonts w:hint="eastAsia"/>
        </w:rPr>
        <w:t>自合同签订之日起</w:t>
      </w:r>
      <w:r>
        <w:rPr>
          <w:rFonts w:hint="eastAsia"/>
          <w:lang w:val="en-US" w:eastAsia="zh-CN"/>
        </w:rPr>
        <w:t>6</w:t>
      </w:r>
      <w:r>
        <w:rPr>
          <w:rFonts w:hint="eastAsia"/>
        </w:rPr>
        <w:t>个月内完成本项目的内容建设，包括30天试运行。</w:t>
      </w:r>
    </w:p>
    <w:p>
      <w:pPr>
        <w:pStyle w:val="3"/>
        <w:rPr>
          <w:rFonts w:hint="eastAsia"/>
        </w:rPr>
      </w:pPr>
      <w:r>
        <w:rPr>
          <w:rFonts w:hint="eastAsia"/>
        </w:rPr>
        <w:t>等级保护要求</w:t>
      </w:r>
    </w:p>
    <w:p>
      <w:pPr>
        <w:rPr>
          <w:rFonts w:hint="eastAsia"/>
        </w:rPr>
      </w:pPr>
      <w:r>
        <w:rPr>
          <w:rFonts w:hint="eastAsia"/>
        </w:rPr>
        <w:t>本项目软件开发部分按照等保2.0第三级进行建设。</w:t>
      </w:r>
    </w:p>
    <w:p>
      <w:pPr>
        <w:pStyle w:val="3"/>
        <w:rPr>
          <w:rFonts w:hint="eastAsia"/>
        </w:rPr>
      </w:pPr>
      <w:r>
        <w:rPr>
          <w:rFonts w:hint="eastAsia"/>
        </w:rPr>
        <w:t>商业密码应用需求</w:t>
      </w:r>
    </w:p>
    <w:p>
      <w:pPr>
        <w:rPr>
          <w:rFonts w:hint="eastAsia"/>
        </w:rPr>
      </w:pPr>
      <w:r>
        <w:rPr>
          <w:rFonts w:hint="eastAsia"/>
        </w:rPr>
        <w:t>本项目软件开发部分依据商用密码应用三级信息系统要求建设。</w:t>
      </w:r>
    </w:p>
    <w:p>
      <w:pPr>
        <w:pStyle w:val="3"/>
        <w:rPr>
          <w:rFonts w:hint="eastAsia"/>
        </w:rPr>
      </w:pPr>
      <w:bookmarkStart w:id="30" w:name="_Toc63785510"/>
      <w:r>
        <w:rPr>
          <w:rFonts w:hint="eastAsia"/>
        </w:rPr>
        <w:t>项目团队及驻场人员要求</w:t>
      </w:r>
      <w:bookmarkEnd w:id="30"/>
    </w:p>
    <w:p>
      <w:pPr>
        <w:numPr>
          <w:ilvl w:val="0"/>
          <w:numId w:val="2"/>
        </w:numPr>
        <w:rPr>
          <w:rFonts w:hint="eastAsia"/>
        </w:rPr>
      </w:pPr>
      <w:r>
        <w:rPr>
          <w:rFonts w:hint="eastAsia"/>
          <w:lang w:eastAsia="zh-CN"/>
        </w:rPr>
        <w:t>响应供应商</w:t>
      </w:r>
      <w:r>
        <w:t>须具有稳定的在职技术保障力量，能够提供及时的技术支援或服务，</w:t>
      </w:r>
      <w:r>
        <w:rPr>
          <w:rFonts w:hint="eastAsia"/>
        </w:rPr>
        <w:t>供应商具有ISO20000IT信息技术服务管理体系认证、ISO27001信息安全管理体系认证、ISO9001质量管理体系认证的.</w:t>
      </w:r>
    </w:p>
    <w:p>
      <w:pPr>
        <w:numPr>
          <w:ilvl w:val="0"/>
          <w:numId w:val="2"/>
        </w:numPr>
        <w:rPr>
          <w:rFonts w:hint="eastAsia"/>
        </w:rPr>
      </w:pPr>
      <w:r>
        <w:rPr>
          <w:rFonts w:hint="eastAsia"/>
          <w:lang w:eastAsia="zh-CN"/>
        </w:rPr>
        <w:t>响应供应商</w:t>
      </w:r>
      <w:r>
        <w:rPr>
          <w:rFonts w:hint="eastAsia"/>
        </w:rPr>
        <w:t>应</w:t>
      </w:r>
      <w:r>
        <w:t>提供不少于</w:t>
      </w:r>
      <w:r>
        <w:rPr>
          <w:rFonts w:hint="eastAsia"/>
        </w:rPr>
        <w:t>5</w:t>
      </w:r>
      <w:r>
        <w:t>人的项目服务团队（包括项目</w:t>
      </w:r>
      <w:r>
        <w:rPr>
          <w:rFonts w:hint="eastAsia"/>
          <w:lang w:eastAsia="zh-CN"/>
        </w:rPr>
        <w:t>负责人</w:t>
      </w:r>
      <w:r>
        <w:t>、技术负责人、</w:t>
      </w:r>
      <w:r>
        <w:rPr>
          <w:rFonts w:hint="eastAsia"/>
        </w:rPr>
        <w:t>工程师</w:t>
      </w:r>
      <w:r>
        <w:t>等）</w:t>
      </w:r>
      <w:r>
        <w:rPr>
          <w:rFonts w:hint="eastAsia"/>
        </w:rPr>
        <w:t>；其中项目负责人</w:t>
      </w:r>
      <w:r>
        <w:rPr>
          <w:rFonts w:hint="eastAsia"/>
          <w:lang w:eastAsia="zh-CN"/>
        </w:rPr>
        <w:t>需</w:t>
      </w:r>
      <w:r>
        <w:rPr>
          <w:rFonts w:hint="eastAsia"/>
        </w:rPr>
        <w:t>具备</w:t>
      </w:r>
      <w:r>
        <w:rPr>
          <w:rFonts w:hint="eastAsia"/>
          <w:lang w:eastAsia="zh-CN"/>
        </w:rPr>
        <w:t>信息</w:t>
      </w:r>
      <w:r>
        <w:rPr>
          <w:rFonts w:hint="eastAsia"/>
        </w:rPr>
        <w:t>系统项目管理师（高级）</w:t>
      </w:r>
      <w:r>
        <w:rPr>
          <w:rFonts w:hint="eastAsia"/>
          <w:lang w:eastAsia="zh-CN"/>
        </w:rPr>
        <w:t>证书</w:t>
      </w:r>
      <w:r>
        <w:rPr>
          <w:rFonts w:hint="eastAsia"/>
        </w:rPr>
        <w:t>，技术负责人</w:t>
      </w:r>
      <w:r>
        <w:rPr>
          <w:rFonts w:hint="eastAsia"/>
          <w:lang w:eastAsia="zh-CN"/>
        </w:rPr>
        <w:t>需</w:t>
      </w:r>
      <w:r>
        <w:rPr>
          <w:rFonts w:hint="eastAsia"/>
        </w:rPr>
        <w:t>具备系统分析师</w:t>
      </w:r>
      <w:r>
        <w:rPr>
          <w:rFonts w:hint="eastAsia"/>
          <w:lang w:eastAsia="zh-CN"/>
        </w:rPr>
        <w:t>（高级）</w:t>
      </w:r>
      <w:r>
        <w:rPr>
          <w:rFonts w:hint="eastAsia"/>
        </w:rPr>
        <w:t>、团队成员</w:t>
      </w:r>
      <w:r>
        <w:rPr>
          <w:rFonts w:hint="eastAsia"/>
          <w:lang w:eastAsia="zh-CN"/>
        </w:rPr>
        <w:t>需</w:t>
      </w:r>
      <w:r>
        <w:rPr>
          <w:rFonts w:hint="eastAsia"/>
        </w:rPr>
        <w:t>具备工程师资质</w:t>
      </w:r>
      <w:r>
        <w:rPr>
          <w:rFonts w:hint="eastAsia"/>
          <w:lang w:eastAsia="zh-CN"/>
        </w:rPr>
        <w:t>（中级职称）</w:t>
      </w:r>
      <w:r>
        <w:rPr>
          <w:rFonts w:hint="eastAsia"/>
        </w:rPr>
        <w:t>。</w:t>
      </w:r>
    </w:p>
    <w:p>
      <w:pPr>
        <w:pStyle w:val="3"/>
        <w:rPr>
          <w:rFonts w:hint="eastAsia"/>
        </w:rPr>
      </w:pPr>
      <w:bookmarkStart w:id="31" w:name="_Toc63785512"/>
      <w:r>
        <w:rPr>
          <w:rFonts w:hint="eastAsia"/>
        </w:rPr>
        <w:t>技术文件要求</w:t>
      </w:r>
    </w:p>
    <w:p>
      <w:pPr>
        <w:rPr>
          <w:rFonts w:hint="eastAsia"/>
        </w:rPr>
      </w:pPr>
      <w:r>
        <w:rPr>
          <w:rFonts w:hint="eastAsia"/>
          <w:lang w:eastAsia="zh-CN"/>
        </w:rPr>
        <w:t>响应供应商</w:t>
      </w:r>
      <w:r>
        <w:rPr>
          <w:rFonts w:hint="eastAsia"/>
        </w:rPr>
        <w:t>提供的书面技术资料应能确保系统正常运行所需的管理、运营及维护有关的全套文件。技术文件应该全面、完整、详细。</w:t>
      </w:r>
      <w:r>
        <w:rPr>
          <w:rFonts w:hint="eastAsia"/>
          <w:lang w:eastAsia="zh-CN"/>
        </w:rPr>
        <w:t>响应供应商</w:t>
      </w:r>
      <w:r>
        <w:rPr>
          <w:rFonts w:hint="eastAsia"/>
        </w:rPr>
        <w:t>提供的技术文件至少应包括：</w:t>
      </w:r>
    </w:p>
    <w:p>
      <w:pPr>
        <w:rPr>
          <w:rFonts w:hint="eastAsia"/>
        </w:rPr>
      </w:pPr>
      <w:r>
        <w:rPr>
          <w:rFonts w:hint="eastAsia"/>
        </w:rPr>
        <w:t>－</w:t>
      </w:r>
      <w:r>
        <w:t xml:space="preserve"> 系统说明文件； </w:t>
      </w:r>
    </w:p>
    <w:p>
      <w:pPr>
        <w:rPr>
          <w:rFonts w:hint="eastAsia"/>
        </w:rPr>
      </w:pPr>
      <w:r>
        <w:rPr>
          <w:rFonts w:hint="eastAsia"/>
        </w:rPr>
        <w:t>－</w:t>
      </w:r>
      <w:r>
        <w:t xml:space="preserve"> 技术手册(安装、测试、操作、维护、故障排除等)； </w:t>
      </w:r>
    </w:p>
    <w:p>
      <w:pPr>
        <w:rPr>
          <w:rFonts w:hint="eastAsia"/>
        </w:rPr>
      </w:pPr>
      <w:r>
        <w:rPr>
          <w:rFonts w:hint="eastAsia"/>
        </w:rPr>
        <w:t>－</w:t>
      </w:r>
      <w:r>
        <w:t xml:space="preserve"> 项目文档，应该包括：</w:t>
      </w:r>
    </w:p>
    <w:p>
      <w:pPr>
        <w:ind w:left="360"/>
        <w:rPr>
          <w:rFonts w:hint="eastAsia"/>
        </w:rPr>
      </w:pPr>
      <w:r>
        <w:t>(1)</w:t>
      </w:r>
      <w:r>
        <w:rPr>
          <w:rFonts w:hint="eastAsia"/>
        </w:rPr>
        <w:t>产品使用说明书</w:t>
      </w:r>
    </w:p>
    <w:p>
      <w:pPr>
        <w:ind w:left="360"/>
        <w:rPr>
          <w:rFonts w:hint="eastAsia"/>
        </w:rPr>
      </w:pPr>
      <w:r>
        <w:t>(2)</w:t>
      </w:r>
      <w:r>
        <w:tab/>
      </w:r>
      <w:r>
        <w:t>系统总体设计说明书</w:t>
      </w:r>
    </w:p>
    <w:p>
      <w:pPr>
        <w:ind w:left="360"/>
        <w:rPr>
          <w:rFonts w:hint="eastAsia"/>
        </w:rPr>
      </w:pPr>
      <w:r>
        <w:t>(3)</w:t>
      </w:r>
      <w:r>
        <w:rPr>
          <w:rFonts w:hint="eastAsia"/>
        </w:rPr>
        <w:t>软硬件产品功能清单</w:t>
      </w:r>
    </w:p>
    <w:p>
      <w:pPr>
        <w:ind w:left="360"/>
        <w:rPr>
          <w:rFonts w:hint="eastAsia"/>
        </w:rPr>
      </w:pPr>
      <w:r>
        <w:t>(</w:t>
      </w:r>
      <w:r>
        <w:rPr>
          <w:rFonts w:hint="eastAsia"/>
        </w:rPr>
        <w:t>4</w:t>
      </w:r>
      <w:r>
        <w:t>)</w:t>
      </w:r>
      <w:r>
        <w:tab/>
      </w:r>
      <w:r>
        <w:rPr>
          <w:rFonts w:hint="eastAsia"/>
        </w:rPr>
        <w:t>安全管理方案、应急方案</w:t>
      </w:r>
    </w:p>
    <w:p>
      <w:pPr>
        <w:pStyle w:val="12"/>
        <w:ind w:firstLine="480"/>
        <w:rPr>
          <w:rFonts w:hint="eastAsia"/>
          <w:strike/>
        </w:rPr>
      </w:pPr>
      <w:r>
        <w:rPr>
          <w:rFonts w:hint="eastAsia"/>
          <w:sz w:val="24"/>
          <w:szCs w:val="24"/>
        </w:rPr>
        <w:t>提供全套技术文件纸介质</w:t>
      </w:r>
      <w:r>
        <w:rPr>
          <w:sz w:val="24"/>
          <w:szCs w:val="24"/>
        </w:rPr>
        <w:t>3套以及电子文件1套。</w:t>
      </w:r>
      <w:bookmarkEnd w:id="31"/>
    </w:p>
    <w:p>
      <w:pPr>
        <w:pStyle w:val="12"/>
        <w:ind w:firstLine="420"/>
        <w:rPr>
          <w:rFonts w:hint="eastAsia"/>
        </w:rPr>
      </w:pPr>
    </w:p>
    <w:p>
      <w:pPr>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454"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E74E3"/>
    <w:multiLevelType w:val="singleLevel"/>
    <w:tmpl w:val="F5AE74E3"/>
    <w:lvl w:ilvl="0" w:tentative="0">
      <w:start w:val="1"/>
      <w:numFmt w:val="decimal"/>
      <w:suff w:val="nothing"/>
      <w:lvlText w:val="%1）"/>
      <w:lvlJc w:val="left"/>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F04040"/>
    <w:rsid w:val="00005EA8"/>
    <w:rsid w:val="0006749A"/>
    <w:rsid w:val="00076FBD"/>
    <w:rsid w:val="000B37E3"/>
    <w:rsid w:val="000B3F3C"/>
    <w:rsid w:val="000D64C8"/>
    <w:rsid w:val="00101F3B"/>
    <w:rsid w:val="00112A13"/>
    <w:rsid w:val="0013069B"/>
    <w:rsid w:val="001648E3"/>
    <w:rsid w:val="00173EFC"/>
    <w:rsid w:val="00180710"/>
    <w:rsid w:val="00192BBF"/>
    <w:rsid w:val="001A7EDC"/>
    <w:rsid w:val="001D7D8C"/>
    <w:rsid w:val="001E7C98"/>
    <w:rsid w:val="00225F44"/>
    <w:rsid w:val="00237DDD"/>
    <w:rsid w:val="002B4B36"/>
    <w:rsid w:val="002E2C8A"/>
    <w:rsid w:val="00332BD3"/>
    <w:rsid w:val="0034638E"/>
    <w:rsid w:val="00352FAB"/>
    <w:rsid w:val="003738CD"/>
    <w:rsid w:val="003A6B66"/>
    <w:rsid w:val="003C12D5"/>
    <w:rsid w:val="003E40FB"/>
    <w:rsid w:val="00444753"/>
    <w:rsid w:val="004557DB"/>
    <w:rsid w:val="00471288"/>
    <w:rsid w:val="0048780E"/>
    <w:rsid w:val="004B2A13"/>
    <w:rsid w:val="0052360B"/>
    <w:rsid w:val="005533ED"/>
    <w:rsid w:val="005A6C5C"/>
    <w:rsid w:val="005B7ACB"/>
    <w:rsid w:val="00643165"/>
    <w:rsid w:val="006740CD"/>
    <w:rsid w:val="007052A3"/>
    <w:rsid w:val="00724455"/>
    <w:rsid w:val="0072575B"/>
    <w:rsid w:val="0076415C"/>
    <w:rsid w:val="007B6FCA"/>
    <w:rsid w:val="007E1CA3"/>
    <w:rsid w:val="008444FB"/>
    <w:rsid w:val="00873F6E"/>
    <w:rsid w:val="008C7675"/>
    <w:rsid w:val="008E64AF"/>
    <w:rsid w:val="008F0D90"/>
    <w:rsid w:val="008F4407"/>
    <w:rsid w:val="009314B3"/>
    <w:rsid w:val="00944E55"/>
    <w:rsid w:val="00996320"/>
    <w:rsid w:val="00A0580A"/>
    <w:rsid w:val="00A10CEA"/>
    <w:rsid w:val="00A61824"/>
    <w:rsid w:val="00A72D36"/>
    <w:rsid w:val="00AA1A08"/>
    <w:rsid w:val="00AA79D5"/>
    <w:rsid w:val="00AE4BC0"/>
    <w:rsid w:val="00AF530A"/>
    <w:rsid w:val="00B11392"/>
    <w:rsid w:val="00C15C1E"/>
    <w:rsid w:val="00C86D5C"/>
    <w:rsid w:val="00CD7D04"/>
    <w:rsid w:val="00CE33B9"/>
    <w:rsid w:val="00CE56BA"/>
    <w:rsid w:val="00D446A9"/>
    <w:rsid w:val="00DE1372"/>
    <w:rsid w:val="00DE6D1F"/>
    <w:rsid w:val="00DF6795"/>
    <w:rsid w:val="00E315BA"/>
    <w:rsid w:val="00E31C12"/>
    <w:rsid w:val="00EB1374"/>
    <w:rsid w:val="00F04040"/>
    <w:rsid w:val="00F45BBC"/>
    <w:rsid w:val="00F67D59"/>
    <w:rsid w:val="00F957DB"/>
    <w:rsid w:val="00FF587E"/>
    <w:rsid w:val="023C4E17"/>
    <w:rsid w:val="02EC0F13"/>
    <w:rsid w:val="02F94AB6"/>
    <w:rsid w:val="0457672F"/>
    <w:rsid w:val="045D72C7"/>
    <w:rsid w:val="04BD7D66"/>
    <w:rsid w:val="05E35C98"/>
    <w:rsid w:val="06CB676A"/>
    <w:rsid w:val="08CA7B52"/>
    <w:rsid w:val="092C1016"/>
    <w:rsid w:val="0FA25CB6"/>
    <w:rsid w:val="10D10E21"/>
    <w:rsid w:val="10F468BD"/>
    <w:rsid w:val="12AC38F3"/>
    <w:rsid w:val="16BE59A3"/>
    <w:rsid w:val="192468F6"/>
    <w:rsid w:val="194D74B2"/>
    <w:rsid w:val="1B6B3C20"/>
    <w:rsid w:val="1C0425E7"/>
    <w:rsid w:val="1CDC3027"/>
    <w:rsid w:val="1E05035C"/>
    <w:rsid w:val="1EA307B4"/>
    <w:rsid w:val="209D2ACD"/>
    <w:rsid w:val="20A025BE"/>
    <w:rsid w:val="20A53730"/>
    <w:rsid w:val="2217240B"/>
    <w:rsid w:val="222D60D3"/>
    <w:rsid w:val="27473793"/>
    <w:rsid w:val="2CBD0053"/>
    <w:rsid w:val="347B4A7C"/>
    <w:rsid w:val="34847DD4"/>
    <w:rsid w:val="36851BE2"/>
    <w:rsid w:val="37AB5678"/>
    <w:rsid w:val="37E167BB"/>
    <w:rsid w:val="385B0E4C"/>
    <w:rsid w:val="3A23599A"/>
    <w:rsid w:val="3AB14360"/>
    <w:rsid w:val="3D5B369C"/>
    <w:rsid w:val="3DB167DC"/>
    <w:rsid w:val="3DB334D8"/>
    <w:rsid w:val="3F60143E"/>
    <w:rsid w:val="4044666A"/>
    <w:rsid w:val="42764AD5"/>
    <w:rsid w:val="469519CD"/>
    <w:rsid w:val="46EC4416"/>
    <w:rsid w:val="471843AC"/>
    <w:rsid w:val="47D06A35"/>
    <w:rsid w:val="485E2293"/>
    <w:rsid w:val="48945CB4"/>
    <w:rsid w:val="4F922F4F"/>
    <w:rsid w:val="4FBF7ABB"/>
    <w:rsid w:val="4FCE5F50"/>
    <w:rsid w:val="4FDA66A3"/>
    <w:rsid w:val="500B2D00"/>
    <w:rsid w:val="50F96FFC"/>
    <w:rsid w:val="51CE38FA"/>
    <w:rsid w:val="529214B7"/>
    <w:rsid w:val="544E58B1"/>
    <w:rsid w:val="554F21C6"/>
    <w:rsid w:val="559A4897"/>
    <w:rsid w:val="55B55BE8"/>
    <w:rsid w:val="55D3606E"/>
    <w:rsid w:val="56A97331"/>
    <w:rsid w:val="57DF519E"/>
    <w:rsid w:val="58FE78A6"/>
    <w:rsid w:val="5C090159"/>
    <w:rsid w:val="5D1F603D"/>
    <w:rsid w:val="5E2F0501"/>
    <w:rsid w:val="5FD96977"/>
    <w:rsid w:val="5FFED27D"/>
    <w:rsid w:val="60892B28"/>
    <w:rsid w:val="60F65306"/>
    <w:rsid w:val="615A5895"/>
    <w:rsid w:val="620138DD"/>
    <w:rsid w:val="63041F5D"/>
    <w:rsid w:val="64430863"/>
    <w:rsid w:val="645D785C"/>
    <w:rsid w:val="680B0829"/>
    <w:rsid w:val="68747C2B"/>
    <w:rsid w:val="69FD516D"/>
    <w:rsid w:val="6A002D52"/>
    <w:rsid w:val="6ACB3360"/>
    <w:rsid w:val="6C384A25"/>
    <w:rsid w:val="6F2F0361"/>
    <w:rsid w:val="6FE80510"/>
    <w:rsid w:val="70E07092"/>
    <w:rsid w:val="71C31235"/>
    <w:rsid w:val="736305DA"/>
    <w:rsid w:val="753501C6"/>
    <w:rsid w:val="76FD6F97"/>
    <w:rsid w:val="7863107C"/>
    <w:rsid w:val="795C61F7"/>
    <w:rsid w:val="799519AA"/>
    <w:rsid w:val="79FF1871"/>
    <w:rsid w:val="7C3C5E6C"/>
    <w:rsid w:val="7C63164A"/>
    <w:rsid w:val="7CAF2317"/>
    <w:rsid w:val="7DFD696E"/>
    <w:rsid w:val="7ED1449D"/>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3"/>
    <w:basedOn w:val="3"/>
    <w:next w:val="1"/>
    <w:link w:val="19"/>
    <w:unhideWhenUsed/>
    <w:qFormat/>
    <w:uiPriority w:val="0"/>
    <w:pPr>
      <w:numPr>
        <w:ilvl w:val="2"/>
      </w:numPr>
      <w:outlineLvl w:val="2"/>
    </w:pPr>
  </w:style>
  <w:style w:type="paragraph" w:styleId="5">
    <w:name w:val="heading 6"/>
    <w:basedOn w:val="1"/>
    <w:next w:val="1"/>
    <w:qFormat/>
    <w:uiPriority w:val="9"/>
    <w:pPr>
      <w:keepNext/>
      <w:keepLines/>
      <w:spacing w:before="240" w:after="64" w:line="320" w:lineRule="auto"/>
      <w:outlineLvl w:val="5"/>
    </w:pPr>
    <w:rPr>
      <w:rFonts w:ascii="Cambria" w:hAnsi="Cambria"/>
      <w:b/>
      <w:bCs/>
      <w:kern w:val="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2">
    <w:name w:val="正文正文2"/>
    <w:basedOn w:val="1"/>
    <w:autoRedefine/>
    <w:qFormat/>
    <w:uiPriority w:val="0"/>
    <w:pPr>
      <w:ind w:firstLine="460"/>
    </w:pPr>
    <w:rPr>
      <w:sz w:val="21"/>
      <w:szCs w:val="21"/>
    </w:rPr>
  </w:style>
  <w:style w:type="paragraph" w:customStyle="1" w:styleId="13">
    <w:name w:val="四级"/>
    <w:basedOn w:val="14"/>
    <w:qFormat/>
    <w:uiPriority w:val="0"/>
    <w:pPr>
      <w:spacing w:line="240" w:lineRule="auto"/>
      <w:ind w:firstLine="0" w:firstLineChars="0"/>
      <w:outlineLvl w:val="3"/>
    </w:pPr>
    <w:rPr>
      <w:rFonts w:ascii="仿宋_GB2312" w:eastAsia="仿宋_GB2312"/>
      <w:b/>
      <w:bCs/>
      <w:sz w:val="28"/>
      <w:szCs w:val="28"/>
    </w:rPr>
  </w:style>
  <w:style w:type="paragraph" w:customStyle="1" w:styleId="14">
    <w:name w:val="样式2"/>
    <w:basedOn w:val="1"/>
    <w:link w:val="16"/>
    <w:qFormat/>
    <w:uiPriority w:val="0"/>
    <w:pPr>
      <w:widowControl/>
      <w:adjustRightInd w:val="0"/>
      <w:ind w:firstLine="200"/>
    </w:pPr>
    <w:rPr>
      <w:kern w:val="0"/>
      <w:lang w:eastAsia="en-US"/>
    </w:rPr>
  </w:style>
  <w:style w:type="character" w:customStyle="1" w:styleId="15">
    <w:name w:val="页脚 字符"/>
    <w:basedOn w:val="10"/>
    <w:link w:val="6"/>
    <w:qFormat/>
    <w:uiPriority w:val="99"/>
    <w:rPr>
      <w:rFonts w:ascii="宋体" w:hAnsi="宋体" w:eastAsia="宋体" w:cs="Times New Roman"/>
      <w:kern w:val="2"/>
      <w:sz w:val="18"/>
      <w:szCs w:val="18"/>
    </w:rPr>
  </w:style>
  <w:style w:type="character" w:customStyle="1" w:styleId="16">
    <w:name w:val="样式2 字符"/>
    <w:basedOn w:val="10"/>
    <w:link w:val="14"/>
    <w:qFormat/>
    <w:uiPriority w:val="0"/>
    <w:rPr>
      <w:rFonts w:ascii="宋体" w:hAnsi="宋体" w:eastAsia="宋体" w:cs="Times New Roman"/>
      <w:sz w:val="24"/>
      <w:szCs w:val="24"/>
      <w:lang w:eastAsia="en-US"/>
    </w:rPr>
  </w:style>
  <w:style w:type="paragraph" w:styleId="17">
    <w:name w:val="List Paragraph"/>
    <w:basedOn w:val="1"/>
    <w:unhideWhenUsed/>
    <w:qFormat/>
    <w:uiPriority w:val="99"/>
    <w:pPr>
      <w:ind w:firstLine="420"/>
    </w:pPr>
  </w:style>
  <w:style w:type="character" w:customStyle="1" w:styleId="18">
    <w:name w:val="页眉 字符"/>
    <w:basedOn w:val="10"/>
    <w:link w:val="7"/>
    <w:qFormat/>
    <w:uiPriority w:val="99"/>
    <w:rPr>
      <w:rFonts w:ascii="Times New Roman" w:hAnsi="Times New Roman" w:eastAsia="宋体" w:cs="Times New Roman"/>
      <w:kern w:val="2"/>
      <w:sz w:val="18"/>
      <w:szCs w:val="18"/>
    </w:rPr>
  </w:style>
  <w:style w:type="character" w:customStyle="1" w:styleId="19">
    <w:name w:val="标题 3 字符"/>
    <w:basedOn w:val="10"/>
    <w:link w:val="4"/>
    <w:qFormat/>
    <w:uiPriority w:val="0"/>
    <w:rPr>
      <w:rFonts w:ascii="宋体" w:hAnsi="宋体" w:eastAsia="宋体" w:cs="Times New Roman"/>
      <w:b/>
      <w:bCs/>
      <w:kern w:val="2"/>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853</Words>
  <Characters>860</Characters>
  <Lines>59</Lines>
  <Paragraphs>16</Paragraphs>
  <TotalTime>4336</TotalTime>
  <ScaleCrop>false</ScaleCrop>
  <LinksUpToDate>false</LinksUpToDate>
  <CharactersWithSpaces>860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2025-08-08T05:54:00Z</dcterms:created>
  <dc:creator>user</dc:creator>
  <cp:lastModifiedBy>user</cp:lastModifiedBy>
  <dcterms:modified xsi:type="dcterms:W3CDTF">2026-01-09T13:10:31Z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696D7B374B6D43BAB1FA25D1B2F99EAF_13</vt:lpwstr>
  </property>
  <property fmtid="{D5CDD505-2E9C-101B-9397-08002B2CF9AE}" pid="4" name="KSOTemplateDocerSaveRecord">
    <vt:lpwstr>eyJoZGlkIjoiMTFjOTEzMGJjYjNiYTY3YTlhYWRmZTBkMTk2MWZlYmIiLCJ1c2VySWQiOiIxMjIxOTQ4MTc2In0=</vt:lpwstr>
  </property>
</Properties>
</file>