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3"/>
        <w:spacing w:line="360" w:lineRule="auto"/>
        <w:jc w:val="center"/>
        <w:rPr>
          <w:rFonts w:eastAsia="方正小标宋_GBK"/>
          <w:b/>
          <w:bCs/>
          <w:sz w:val="44"/>
          <w:szCs w:val="44"/>
        </w:rPr>
      </w:pPr>
      <w:bookmarkStart w:id="0" w:name="_Toc21641"/>
      <w:bookmarkStart w:id="1" w:name="_Toc463690192"/>
      <w:bookmarkStart w:id="2" w:name="_Toc460922279"/>
      <w:bookmarkStart w:id="3" w:name="_Toc8808311"/>
      <w:bookmarkStart w:id="4" w:name="_Toc47418928"/>
      <w:bookmarkStart w:id="5" w:name="_Toc48995841"/>
      <w:bookmarkStart w:id="6" w:name="_Toc67110500"/>
      <w:bookmarkStart w:id="7" w:name="_Toc67110068"/>
      <w:bookmarkStart w:id="8" w:name="_Toc47261875"/>
      <w:bookmarkStart w:id="9" w:name="_Toc68590754"/>
      <w:bookmarkStart w:id="10" w:name="_Toc47261680"/>
      <w:bookmarkStart w:id="11" w:name="_Toc47262059"/>
      <w:bookmarkStart w:id="12" w:name="_Toc47418245"/>
      <w:bookmarkStart w:id="13" w:name="_Toc47415931"/>
      <w:bookmarkStart w:id="14" w:name="_Toc68072830"/>
      <w:bookmarkStart w:id="15" w:name="_Toc68072828"/>
      <w:bookmarkStart w:id="16" w:name="_Toc67110498"/>
      <w:bookmarkStart w:id="17" w:name="_Toc48791225"/>
      <w:bookmarkStart w:id="18" w:name="_Toc49019485"/>
      <w:bookmarkStart w:id="19" w:name="_Toc49019224"/>
      <w:bookmarkStart w:id="20" w:name="_Toc67110070"/>
      <w:bookmarkStart w:id="21" w:name="_Toc68590756"/>
      <w:bookmarkStart w:id="22" w:name="_Toc49019487"/>
      <w:bookmarkStart w:id="23" w:name="_Toc413614157"/>
      <w:bookmarkStart w:id="24" w:name="_Toc413614158"/>
      <w:bookmarkStart w:id="25" w:name="_Toc47418721"/>
      <w:bookmarkStart w:id="26" w:name="_Toc447895535"/>
      <w:bookmarkStart w:id="27" w:name="_Toc47416185"/>
      <w:bookmarkStart w:id="28" w:name="_Toc49019226"/>
      <w:r>
        <w:rPr>
          <w:rFonts w:hint="eastAsia" w:eastAsia="方正小标宋_GBK"/>
          <w:b/>
          <w:bCs/>
          <w:sz w:val="44"/>
          <w:szCs w:val="44"/>
        </w:rPr>
        <w:t>北</w:t>
      </w:r>
      <w:r>
        <w:rPr>
          <w:rFonts w:eastAsia="方正小标宋_GBK"/>
          <w:b/>
          <w:bCs/>
          <w:sz w:val="44"/>
          <w:szCs w:val="44"/>
        </w:rPr>
        <w:t>综合区绿地养护项目招标需求</w:t>
      </w:r>
    </w:p>
    <w:p>
      <w:pPr>
        <w:spacing w:line="360" w:lineRule="auto"/>
        <w:contextualSpacing/>
        <w:jc w:val="center"/>
        <w:outlineLvl w:val="1"/>
        <w:rPr>
          <w:b/>
          <w:bCs/>
          <w:color w:val="000000"/>
          <w:sz w:val="24"/>
          <w:szCs w:val="24"/>
        </w:rPr>
      </w:pPr>
      <w:r>
        <w:rPr>
          <w:b/>
          <w:bCs/>
          <w:color w:val="000000"/>
          <w:sz w:val="24"/>
          <w:szCs w:val="24"/>
        </w:rPr>
        <w:t>一、项目概况</w:t>
      </w:r>
      <w:bookmarkEnd w:id="0"/>
      <w:bookmarkEnd w:id="1"/>
      <w:bookmarkEnd w:id="2"/>
      <w:bookmarkEnd w:id="3"/>
      <w:bookmarkStart w:id="29" w:name="_Toc460922281"/>
      <w:bookmarkStart w:id="30" w:name="_Toc463690194"/>
    </w:p>
    <w:p>
      <w:pPr>
        <w:spacing w:line="360" w:lineRule="auto"/>
        <w:ind w:firstLine="472" w:firstLineChars="196"/>
        <w:contextualSpacing/>
        <w:outlineLvl w:val="2"/>
        <w:rPr>
          <w:b/>
          <w:bCs/>
          <w:color w:val="000000"/>
          <w:sz w:val="24"/>
          <w:szCs w:val="24"/>
        </w:rPr>
      </w:pPr>
      <w:bookmarkStart w:id="31" w:name="_Toc8808312"/>
      <w:bookmarkStart w:id="32" w:name="_Toc774"/>
      <w:r>
        <w:rPr>
          <w:b/>
          <w:bCs/>
          <w:color w:val="000000"/>
          <w:sz w:val="24"/>
          <w:szCs w:val="24"/>
        </w:rPr>
        <w:t>1.项目名称</w:t>
      </w:r>
      <w:bookmarkEnd w:id="31"/>
      <w:bookmarkEnd w:id="32"/>
    </w:p>
    <w:p>
      <w:pPr>
        <w:spacing w:line="360" w:lineRule="auto"/>
        <w:ind w:firstLine="470" w:firstLineChars="196"/>
        <w:contextualSpacing/>
        <w:outlineLvl w:val="2"/>
        <w:rPr>
          <w:sz w:val="24"/>
          <w:szCs w:val="24"/>
        </w:rPr>
      </w:pPr>
      <w:bookmarkStart w:id="33" w:name="_Toc26740"/>
      <w:bookmarkStart w:id="34" w:name="_Toc8808313"/>
      <w:r>
        <w:rPr>
          <w:rFonts w:hint="eastAsia"/>
          <w:sz w:val="24"/>
          <w:szCs w:val="24"/>
        </w:rPr>
        <w:t>北</w:t>
      </w:r>
      <w:r>
        <w:rPr>
          <w:sz w:val="24"/>
          <w:szCs w:val="24"/>
        </w:rPr>
        <w:t>综合区绿地养护项目</w:t>
      </w:r>
    </w:p>
    <w:p>
      <w:pPr>
        <w:spacing w:line="360" w:lineRule="auto"/>
        <w:ind w:firstLine="472" w:firstLineChars="196"/>
        <w:contextualSpacing/>
        <w:outlineLvl w:val="2"/>
        <w:rPr>
          <w:b/>
          <w:bCs/>
          <w:color w:val="000000"/>
          <w:sz w:val="24"/>
          <w:szCs w:val="24"/>
        </w:rPr>
      </w:pPr>
      <w:r>
        <w:rPr>
          <w:b/>
          <w:bCs/>
          <w:color w:val="000000"/>
          <w:sz w:val="24"/>
          <w:szCs w:val="24"/>
        </w:rPr>
        <w:t>2.项目地点</w:t>
      </w:r>
      <w:bookmarkEnd w:id="33"/>
      <w:bookmarkEnd w:id="34"/>
    </w:p>
    <w:bookmarkEnd w:id="29"/>
    <w:bookmarkEnd w:id="30"/>
    <w:p>
      <w:pPr>
        <w:spacing w:line="360" w:lineRule="auto"/>
        <w:ind w:firstLine="470" w:firstLineChars="196"/>
        <w:contextualSpacing/>
        <w:jc w:val="left"/>
        <w:outlineLvl w:val="2"/>
        <w:rPr>
          <w:bCs/>
          <w:sz w:val="24"/>
          <w:szCs w:val="24"/>
        </w:rPr>
      </w:pPr>
      <w:r>
        <w:rPr>
          <w:bCs/>
          <w:sz w:val="24"/>
          <w:szCs w:val="24"/>
        </w:rPr>
        <w:t>临港</w:t>
      </w:r>
      <w:r>
        <w:rPr>
          <w:rFonts w:hint="eastAsia"/>
          <w:bCs/>
          <w:sz w:val="24"/>
          <w:szCs w:val="24"/>
        </w:rPr>
        <w:t>综合区内</w:t>
      </w:r>
    </w:p>
    <w:p>
      <w:pPr>
        <w:spacing w:line="360" w:lineRule="auto"/>
        <w:ind w:firstLine="472" w:firstLineChars="196"/>
        <w:contextualSpacing/>
        <w:jc w:val="left"/>
        <w:outlineLvl w:val="2"/>
        <w:rPr>
          <w:b/>
          <w:bCs/>
          <w:color w:val="000000"/>
          <w:sz w:val="24"/>
          <w:szCs w:val="24"/>
        </w:rPr>
      </w:pPr>
      <w:r>
        <w:rPr>
          <w:rFonts w:hint="eastAsia"/>
          <w:b/>
          <w:bCs/>
          <w:color w:val="000000"/>
          <w:sz w:val="24"/>
          <w:szCs w:val="24"/>
        </w:rPr>
        <w:t>3</w:t>
      </w:r>
      <w:r>
        <w:rPr>
          <w:b/>
          <w:bCs/>
          <w:color w:val="000000"/>
          <w:sz w:val="24"/>
          <w:szCs w:val="24"/>
        </w:rPr>
        <w:t>.</w:t>
      </w:r>
      <w:r>
        <w:rPr>
          <w:rFonts w:hint="eastAsia"/>
          <w:b/>
          <w:bCs/>
          <w:color w:val="000000"/>
          <w:sz w:val="24"/>
          <w:szCs w:val="24"/>
        </w:rPr>
        <w:t>采购</w:t>
      </w:r>
      <w:r>
        <w:rPr>
          <w:b/>
          <w:bCs/>
          <w:color w:val="000000"/>
          <w:sz w:val="24"/>
          <w:szCs w:val="24"/>
        </w:rPr>
        <w:t>预算</w:t>
      </w:r>
      <w:r>
        <w:rPr>
          <w:rFonts w:hint="eastAsia"/>
          <w:b/>
          <w:bCs/>
          <w:color w:val="000000"/>
          <w:sz w:val="24"/>
          <w:szCs w:val="24"/>
        </w:rPr>
        <w:t>及服务期限</w:t>
      </w:r>
    </w:p>
    <w:p>
      <w:pPr>
        <w:spacing w:line="360" w:lineRule="auto"/>
        <w:ind w:firstLine="480"/>
        <w:contextualSpacing/>
        <w:outlineLvl w:val="2"/>
        <w:rPr>
          <w:rFonts w:hint="eastAsia" w:eastAsia="宋体"/>
          <w:color w:val="000000"/>
          <w:kern w:val="0"/>
          <w:sz w:val="24"/>
          <w:szCs w:val="24"/>
          <w:lang w:eastAsia="zh-CN"/>
        </w:rPr>
      </w:pPr>
      <w:r>
        <w:rPr>
          <w:rFonts w:hint="eastAsia"/>
          <w:color w:val="000000"/>
          <w:kern w:val="0"/>
          <w:sz w:val="24"/>
          <w:szCs w:val="24"/>
        </w:rPr>
        <w:t>3.1</w:t>
      </w:r>
      <w:r>
        <w:rPr>
          <w:color w:val="000000"/>
          <w:kern w:val="0"/>
          <w:sz w:val="24"/>
          <w:szCs w:val="24"/>
        </w:rPr>
        <w:t>预算金额按照财政发文要求，</w:t>
      </w:r>
      <w:r>
        <w:rPr>
          <w:rFonts w:hint="eastAsia"/>
          <w:color w:val="auto"/>
          <w:kern w:val="0"/>
          <w:sz w:val="24"/>
          <w:szCs w:val="24"/>
          <w:highlight w:val="none"/>
          <w:lang w:val="en-US" w:eastAsia="zh-CN"/>
        </w:rPr>
        <w:t>本包件预算金额为</w:t>
      </w:r>
      <w:r>
        <w:rPr>
          <w:color w:val="000000"/>
          <w:kern w:val="0"/>
          <w:sz w:val="24"/>
          <w:szCs w:val="24"/>
        </w:rPr>
        <w:t>835.66</w:t>
      </w:r>
      <w:r>
        <w:rPr>
          <w:rFonts w:hint="eastAsia"/>
          <w:color w:val="000000"/>
          <w:kern w:val="0"/>
          <w:sz w:val="24"/>
          <w:szCs w:val="24"/>
        </w:rPr>
        <w:t>万元（首年）</w:t>
      </w:r>
      <w:r>
        <w:rPr>
          <w:rFonts w:hint="eastAsia"/>
          <w:color w:val="000000"/>
          <w:kern w:val="0"/>
          <w:sz w:val="24"/>
          <w:szCs w:val="24"/>
          <w:lang w:eastAsia="zh-CN"/>
        </w:rPr>
        <w:t>。</w:t>
      </w:r>
    </w:p>
    <w:p>
      <w:pPr>
        <w:spacing w:line="360" w:lineRule="auto"/>
        <w:ind w:firstLine="480"/>
        <w:contextualSpacing/>
        <w:outlineLvl w:val="2"/>
        <w:rPr>
          <w:rFonts w:hint="eastAsia"/>
          <w:color w:val="000000"/>
          <w:kern w:val="0"/>
          <w:sz w:val="24"/>
          <w:szCs w:val="24"/>
        </w:rPr>
      </w:pPr>
      <w:r>
        <w:rPr>
          <w:rFonts w:hint="eastAsia"/>
          <w:color w:val="000000"/>
          <w:kern w:val="0"/>
          <w:sz w:val="24"/>
          <w:szCs w:val="24"/>
        </w:rPr>
        <w:t>3.2 本</w:t>
      </w:r>
      <w:r>
        <w:rPr>
          <w:rFonts w:hint="eastAsia"/>
          <w:color w:val="auto"/>
          <w:kern w:val="0"/>
          <w:sz w:val="24"/>
          <w:szCs w:val="24"/>
          <w:highlight w:val="none"/>
          <w:lang w:val="en-US" w:eastAsia="zh-CN"/>
        </w:rPr>
        <w:t>包件</w:t>
      </w:r>
      <w:r>
        <w:rPr>
          <w:rFonts w:hint="eastAsia"/>
          <w:color w:val="000000"/>
          <w:kern w:val="0"/>
          <w:sz w:val="24"/>
          <w:szCs w:val="24"/>
        </w:rPr>
        <w:t>服务期限自合同签订之日起期限三年，采取一次招标三年沿用、分三个年度分别签订合同的方式实施。本合同服务期限自2026年1月起</w:t>
      </w:r>
      <w:r>
        <w:rPr>
          <w:rFonts w:hint="eastAsia"/>
          <w:color w:val="000000"/>
          <w:kern w:val="0"/>
          <w:sz w:val="24"/>
          <w:szCs w:val="24"/>
          <w:lang w:eastAsia="zh-CN"/>
        </w:rPr>
        <w:t>，期限一年</w:t>
      </w:r>
      <w:r>
        <w:rPr>
          <w:rFonts w:hint="eastAsia"/>
          <w:color w:val="000000"/>
          <w:kern w:val="0"/>
          <w:sz w:val="24"/>
          <w:szCs w:val="24"/>
        </w:rPr>
        <w:t>。</w:t>
      </w:r>
    </w:p>
    <w:p>
      <w:pPr>
        <w:spacing w:line="360" w:lineRule="auto"/>
        <w:ind w:firstLine="480"/>
        <w:contextualSpacing/>
        <w:outlineLvl w:val="2"/>
        <w:rPr>
          <w:rFonts w:hint="eastAsia"/>
          <w:color w:val="000000"/>
          <w:kern w:val="0"/>
          <w:sz w:val="24"/>
          <w:szCs w:val="24"/>
        </w:rPr>
      </w:pPr>
      <w:r>
        <w:rPr>
          <w:rFonts w:hint="eastAsia"/>
          <w:color w:val="000000"/>
          <w:kern w:val="0"/>
          <w:sz w:val="24"/>
          <w:szCs w:val="24"/>
        </w:rPr>
        <w:t>3.3 基于履约能力的考虑，每个投标人最多只能中标本项目的1个包件，如同一投标人在多个包件得分排名均为第一，则中标包号最小的包件。</w:t>
      </w:r>
    </w:p>
    <w:p>
      <w:pPr>
        <w:spacing w:line="360" w:lineRule="auto"/>
        <w:ind w:firstLine="472" w:firstLineChars="196"/>
        <w:contextualSpacing/>
        <w:jc w:val="left"/>
        <w:outlineLvl w:val="2"/>
        <w:rPr>
          <w:b/>
          <w:bCs/>
          <w:color w:val="000000"/>
          <w:sz w:val="24"/>
          <w:szCs w:val="24"/>
        </w:rPr>
      </w:pPr>
      <w:bookmarkStart w:id="35" w:name="_Toc7986"/>
      <w:bookmarkStart w:id="36" w:name="_Toc8808314"/>
      <w:r>
        <w:rPr>
          <w:rFonts w:hint="eastAsia"/>
          <w:b/>
          <w:bCs/>
          <w:color w:val="000000"/>
          <w:sz w:val="24"/>
          <w:szCs w:val="24"/>
        </w:rPr>
        <w:t>4</w:t>
      </w:r>
      <w:r>
        <w:rPr>
          <w:b/>
          <w:bCs/>
          <w:color w:val="000000"/>
          <w:sz w:val="24"/>
          <w:szCs w:val="24"/>
        </w:rPr>
        <w:t>.</w:t>
      </w:r>
      <w:r>
        <w:rPr>
          <w:rFonts w:hint="eastAsia"/>
          <w:b/>
          <w:bCs/>
          <w:color w:val="000000"/>
          <w:sz w:val="24"/>
          <w:szCs w:val="24"/>
        </w:rPr>
        <w:t>项目</w:t>
      </w:r>
      <w:r>
        <w:rPr>
          <w:b/>
          <w:bCs/>
          <w:color w:val="000000"/>
          <w:sz w:val="24"/>
          <w:szCs w:val="24"/>
        </w:rPr>
        <w:t>范围与内容</w:t>
      </w:r>
      <w:bookmarkEnd w:id="35"/>
      <w:bookmarkEnd w:id="36"/>
    </w:p>
    <w:p>
      <w:pPr>
        <w:spacing w:line="360" w:lineRule="auto"/>
        <w:ind w:firstLine="480"/>
        <w:contextualSpacing/>
        <w:outlineLvl w:val="2"/>
        <w:rPr>
          <w:color w:val="000000"/>
          <w:kern w:val="0"/>
          <w:sz w:val="24"/>
          <w:szCs w:val="24"/>
        </w:rPr>
      </w:pPr>
      <w:r>
        <w:rPr>
          <w:rFonts w:hint="eastAsia"/>
          <w:color w:val="000000"/>
          <w:kern w:val="0"/>
          <w:sz w:val="24"/>
          <w:szCs w:val="24"/>
        </w:rPr>
        <w:t>4.1项目范围</w:t>
      </w:r>
      <w:r>
        <w:rPr>
          <w:color w:val="000000"/>
          <w:kern w:val="0"/>
          <w:sz w:val="24"/>
          <w:szCs w:val="24"/>
        </w:rPr>
        <w:t>按照分级、分类标准要求，对金桥综合区绿地</w:t>
      </w:r>
      <w:r>
        <w:rPr>
          <w:rFonts w:hint="eastAsia"/>
          <w:color w:val="000000"/>
          <w:kern w:val="0"/>
          <w:sz w:val="24"/>
          <w:szCs w:val="24"/>
        </w:rPr>
        <w:t>临港综合区(先行区)新九四塘河(洲德路-北沪城河)新建河道公园、临港综合区乐活水岸结构、临港综合区(先行区)西一河(丹漪路-雪涛路)景观工程、茂海路(银涛路-东大公路)道路附属绿化、洲涛路(茂海路-世纪塘路)道路附属绿化、洲德路(两港大道-润荷路)道路附属绿化、润荷路(银涛路-三三公路)道路附属绿化、凯汇路(丹漪路-银涛路)道路附属绿化，</w:t>
      </w:r>
      <w:r>
        <w:rPr>
          <w:color w:val="000000"/>
          <w:kern w:val="0"/>
          <w:sz w:val="24"/>
          <w:szCs w:val="24"/>
        </w:rPr>
        <w:t>共399838.52平方米区域做好综合养护工作。</w:t>
      </w:r>
    </w:p>
    <w:p>
      <w:pPr>
        <w:spacing w:line="360" w:lineRule="auto"/>
        <w:ind w:firstLine="480"/>
        <w:contextualSpacing/>
        <w:outlineLvl w:val="2"/>
        <w:rPr>
          <w:color w:val="000000"/>
          <w:kern w:val="0"/>
          <w:sz w:val="24"/>
          <w:szCs w:val="24"/>
        </w:rPr>
      </w:pPr>
      <w:r>
        <w:rPr>
          <w:rFonts w:hint="eastAsia"/>
          <w:color w:val="000000"/>
          <w:kern w:val="0"/>
          <w:sz w:val="24"/>
          <w:szCs w:val="24"/>
        </w:rPr>
        <w:t>4.2项目</w:t>
      </w:r>
      <w:r>
        <w:rPr>
          <w:color w:val="000000"/>
          <w:kern w:val="0"/>
          <w:sz w:val="24"/>
          <w:szCs w:val="24"/>
        </w:rPr>
        <w:t>内容包括公园绿地日常养护管理、安全管理、建立应急突发情况预案机制、配套设施及地块内设施的运维管理、日常（节假日）活动组织、信访投诉案件处理和内业资料整理等内容。</w:t>
      </w:r>
    </w:p>
    <w:p>
      <w:pPr>
        <w:numPr>
          <w:ilvl w:val="-1"/>
          <w:numId w:val="0"/>
        </w:numPr>
        <w:spacing w:line="360" w:lineRule="auto"/>
        <w:ind w:firstLine="482" w:firstLineChars="200"/>
        <w:contextualSpacing/>
        <w:jc w:val="left"/>
        <w:outlineLvl w:val="2"/>
        <w:rPr>
          <w:b/>
          <w:bCs/>
          <w:color w:val="auto"/>
          <w:sz w:val="24"/>
          <w:szCs w:val="24"/>
          <w:highlight w:val="none"/>
        </w:rPr>
      </w:pPr>
      <w:bookmarkStart w:id="37" w:name="_Toc463690198"/>
      <w:bookmarkStart w:id="38" w:name="_Toc460922285"/>
      <w:bookmarkStart w:id="39" w:name="_Toc21191"/>
      <w:bookmarkStart w:id="40" w:name="_Toc8808318"/>
      <w:r>
        <w:rPr>
          <w:rFonts w:hint="eastAsia"/>
          <w:b/>
          <w:bCs/>
          <w:color w:val="auto"/>
          <w:sz w:val="24"/>
          <w:szCs w:val="24"/>
          <w:highlight w:val="none"/>
          <w:lang w:val="en-US" w:eastAsia="zh-CN"/>
        </w:rPr>
        <w:t>5 费用组成</w:t>
      </w:r>
    </w:p>
    <w:p>
      <w:pPr>
        <w:tabs>
          <w:tab w:val="left" w:pos="3060"/>
        </w:tabs>
        <w:spacing w:line="360" w:lineRule="auto"/>
        <w:ind w:firstLine="480" w:firstLineChars="200"/>
        <w:contextualSpacing/>
        <w:rPr>
          <w:rFonts w:hint="eastAsia" w:ascii="宋体" w:hAnsi="宋体"/>
          <w:bCs/>
          <w:color w:val="auto"/>
          <w:sz w:val="24"/>
          <w:szCs w:val="24"/>
          <w:highlight w:val="none"/>
          <w:lang w:val="en-US" w:eastAsia="zh-CN"/>
        </w:rPr>
      </w:pPr>
      <w:r>
        <w:rPr>
          <w:rFonts w:hint="eastAsia" w:ascii="宋体" w:hAnsi="宋体"/>
          <w:bCs/>
          <w:color w:val="auto"/>
          <w:sz w:val="24"/>
          <w:szCs w:val="24"/>
          <w:highlight w:val="none"/>
          <w:lang w:val="en-US" w:eastAsia="zh-CN"/>
        </w:rPr>
        <w:t>本项目合同款分一类费用和二类费用分别支付，其中一类费用闭口包干，二类费用按照项目实际养护工作量进行结算。</w:t>
      </w:r>
    </w:p>
    <w:p>
      <w:pPr>
        <w:numPr>
          <w:ilvl w:val="-1"/>
          <w:numId w:val="0"/>
        </w:numPr>
        <w:spacing w:line="360" w:lineRule="auto"/>
        <w:ind w:firstLine="480" w:firstLineChars="200"/>
        <w:contextualSpacing/>
        <w:outlineLvl w:val="2"/>
        <w:rPr>
          <w:rFonts w:hint="eastAsia"/>
          <w:color w:val="auto"/>
          <w:kern w:val="0"/>
          <w:sz w:val="24"/>
          <w:szCs w:val="24"/>
          <w:highlight w:val="none"/>
          <w:lang w:val="en-US" w:eastAsia="zh-CN"/>
        </w:rPr>
      </w:pPr>
      <w:r>
        <w:rPr>
          <w:rFonts w:hint="eastAsia" w:ascii="宋体" w:hAnsi="宋体"/>
          <w:bCs/>
          <w:color w:val="auto"/>
          <w:sz w:val="24"/>
          <w:szCs w:val="24"/>
          <w:highlight w:val="none"/>
          <w:lang w:val="en-US" w:eastAsia="zh-CN"/>
        </w:rPr>
        <w:t>5.1一类费用占合同总金额的85%，</w:t>
      </w:r>
      <w:r>
        <w:rPr>
          <w:rFonts w:hint="eastAsia"/>
          <w:color w:val="auto"/>
          <w:kern w:val="0"/>
          <w:sz w:val="24"/>
          <w:szCs w:val="24"/>
          <w:highlight w:val="none"/>
          <w:lang w:val="en-US" w:eastAsia="zh-CN"/>
        </w:rPr>
        <w:t xml:space="preserve">如涉及设施量调整，在第4季度养护费用中予以平衡。 </w:t>
      </w:r>
    </w:p>
    <w:p>
      <w:pPr>
        <w:numPr>
          <w:ilvl w:val="-1"/>
          <w:numId w:val="0"/>
        </w:numPr>
        <w:spacing w:line="360" w:lineRule="auto"/>
        <w:ind w:firstLine="480" w:firstLineChars="200"/>
        <w:contextualSpacing/>
        <w:outlineLvl w:val="2"/>
        <w:rPr>
          <w:rFonts w:ascii="宋体" w:hAnsi="宋体"/>
          <w:bCs/>
          <w:color w:val="auto"/>
          <w:sz w:val="24"/>
          <w:szCs w:val="24"/>
          <w:highlight w:val="none"/>
        </w:rPr>
      </w:pPr>
      <w:r>
        <w:rPr>
          <w:rFonts w:hint="eastAsia" w:ascii="宋体" w:hAnsi="宋体"/>
          <w:bCs/>
          <w:color w:val="auto"/>
          <w:sz w:val="24"/>
          <w:szCs w:val="24"/>
          <w:highlight w:val="none"/>
          <w:lang w:val="en-US" w:eastAsia="zh-CN"/>
        </w:rPr>
        <w:t>5.2二类费用占合同总金额的15%，二类费用的使用按照临港新片区绿地养护资金二类经费使用管理的相关规定执行。</w:t>
      </w:r>
    </w:p>
    <w:p>
      <w:pPr>
        <w:numPr>
          <w:ilvl w:val="0"/>
          <w:numId w:val="0"/>
        </w:numPr>
        <w:tabs>
          <w:tab w:val="left" w:pos="3060"/>
        </w:tabs>
        <w:spacing w:line="360" w:lineRule="auto"/>
        <w:ind w:firstLine="480" w:firstLineChars="200"/>
        <w:contextualSpacing/>
        <w:rPr>
          <w:rFonts w:hint="eastAsia" w:eastAsia="宋体"/>
          <w:b/>
          <w:bCs/>
          <w:color w:val="000000"/>
          <w:sz w:val="24"/>
          <w:szCs w:val="24"/>
          <w:lang w:val="en-US" w:eastAsia="zh-CN"/>
        </w:rPr>
      </w:pPr>
      <w:r>
        <w:rPr>
          <w:rFonts w:hint="eastAsia" w:ascii="宋体" w:hAnsi="宋体" w:eastAsia="宋体"/>
          <w:bCs/>
          <w:color w:val="FF0000"/>
          <w:sz w:val="24"/>
          <w:szCs w:val="24"/>
          <w:highlight w:val="none"/>
          <w:lang w:eastAsia="zh-CN"/>
        </w:rPr>
        <w:t>★供应商报价时二类经费按投标总价的15%计算，即：二类经费=投标总价*15%。</w:t>
      </w:r>
    </w:p>
    <w:p>
      <w:pPr>
        <w:spacing w:line="360" w:lineRule="auto"/>
        <w:contextualSpacing/>
        <w:jc w:val="center"/>
        <w:outlineLvl w:val="1"/>
        <w:rPr>
          <w:b/>
          <w:bCs/>
          <w:color w:val="000000"/>
          <w:sz w:val="24"/>
          <w:szCs w:val="24"/>
        </w:rPr>
      </w:pPr>
      <w:r>
        <w:rPr>
          <w:b/>
          <w:bCs/>
          <w:color w:val="000000"/>
          <w:sz w:val="24"/>
          <w:szCs w:val="24"/>
        </w:rPr>
        <w:t>二、</w:t>
      </w:r>
      <w:bookmarkEnd w:id="37"/>
      <w:bookmarkEnd w:id="38"/>
      <w:r>
        <w:rPr>
          <w:b/>
          <w:bCs/>
          <w:color w:val="000000"/>
          <w:sz w:val="24"/>
          <w:szCs w:val="24"/>
        </w:rPr>
        <w:t>技术质量</w:t>
      </w:r>
      <w:bookmarkEnd w:id="39"/>
      <w:bookmarkEnd w:id="40"/>
      <w:r>
        <w:rPr>
          <w:b/>
          <w:bCs/>
          <w:color w:val="000000"/>
          <w:sz w:val="24"/>
          <w:szCs w:val="24"/>
        </w:rPr>
        <w:t>规范</w:t>
      </w:r>
    </w:p>
    <w:p>
      <w:pPr>
        <w:spacing w:line="360" w:lineRule="auto"/>
        <w:ind w:firstLine="480" w:firstLineChars="200"/>
        <w:contextualSpacing/>
        <w:jc w:val="left"/>
        <w:rPr>
          <w:b/>
          <w:bCs/>
          <w:sz w:val="24"/>
          <w:szCs w:val="24"/>
          <w:u w:val="single"/>
        </w:rPr>
      </w:pPr>
      <w:bookmarkStart w:id="41" w:name="_Toc30186"/>
      <w:bookmarkStart w:id="42" w:name="_Toc8808319"/>
      <w:r>
        <w:rPr>
          <w:sz w:val="24"/>
          <w:szCs w:val="24"/>
        </w:rPr>
        <w:t>本项目的养护质量检查评定、养护维修技术标准及养护施工安全文明要求适用国家现行法律、规范、规程、标准以及上海市现行规范标准，具体包括：</w:t>
      </w:r>
    </w:p>
    <w:p>
      <w:pPr>
        <w:numPr>
          <w:ilvl w:val="0"/>
          <w:numId w:val="2"/>
        </w:numPr>
        <w:spacing w:line="360" w:lineRule="auto"/>
        <w:ind w:firstLine="480" w:firstLineChars="200"/>
        <w:contextualSpacing/>
        <w:jc w:val="left"/>
        <w:rPr>
          <w:sz w:val="24"/>
          <w:szCs w:val="24"/>
        </w:rPr>
      </w:pPr>
      <w:r>
        <w:rPr>
          <w:sz w:val="24"/>
          <w:szCs w:val="24"/>
        </w:rPr>
        <w:t>《上海市绿化条例》（2015）</w:t>
      </w:r>
    </w:p>
    <w:p>
      <w:pPr>
        <w:numPr>
          <w:ilvl w:val="0"/>
          <w:numId w:val="2"/>
        </w:numPr>
        <w:spacing w:line="360" w:lineRule="auto"/>
        <w:ind w:firstLine="480" w:firstLineChars="200"/>
        <w:contextualSpacing/>
        <w:jc w:val="left"/>
        <w:rPr>
          <w:sz w:val="24"/>
          <w:szCs w:val="24"/>
        </w:rPr>
      </w:pPr>
      <w:r>
        <w:rPr>
          <w:sz w:val="24"/>
          <w:szCs w:val="24"/>
        </w:rPr>
        <w:t>《园林绿化养护技术等级标准》（DG/TJ08-0702-2</w:t>
      </w:r>
      <w:bookmarkStart w:id="65" w:name="_GoBack"/>
      <w:bookmarkEnd w:id="65"/>
      <w:r>
        <w:rPr>
          <w:sz w:val="24"/>
          <w:szCs w:val="24"/>
        </w:rPr>
        <w:t>011）</w:t>
      </w:r>
    </w:p>
    <w:p>
      <w:pPr>
        <w:numPr>
          <w:ilvl w:val="0"/>
          <w:numId w:val="2"/>
        </w:numPr>
        <w:spacing w:line="360" w:lineRule="auto"/>
        <w:ind w:firstLine="480" w:firstLineChars="200"/>
        <w:contextualSpacing/>
        <w:jc w:val="left"/>
        <w:rPr>
          <w:sz w:val="24"/>
          <w:szCs w:val="24"/>
        </w:rPr>
      </w:pPr>
      <w:r>
        <w:rPr>
          <w:sz w:val="24"/>
          <w:szCs w:val="24"/>
        </w:rPr>
        <w:t>《园林绿化植物栽植技术规程》（DG/TJ08-18-2011）</w:t>
      </w:r>
    </w:p>
    <w:p>
      <w:pPr>
        <w:numPr>
          <w:ilvl w:val="0"/>
          <w:numId w:val="2"/>
        </w:numPr>
        <w:spacing w:line="360" w:lineRule="auto"/>
        <w:ind w:firstLine="480" w:firstLineChars="200"/>
        <w:contextualSpacing/>
        <w:jc w:val="left"/>
        <w:rPr>
          <w:sz w:val="24"/>
          <w:szCs w:val="24"/>
        </w:rPr>
      </w:pPr>
      <w:r>
        <w:rPr>
          <w:sz w:val="24"/>
          <w:szCs w:val="24"/>
        </w:rPr>
        <w:t>《园林绿化养护技术规程》（DG/TJ08-19-2011）</w:t>
      </w:r>
    </w:p>
    <w:p>
      <w:pPr>
        <w:numPr>
          <w:ilvl w:val="0"/>
          <w:numId w:val="2"/>
        </w:numPr>
        <w:spacing w:line="360" w:lineRule="auto"/>
        <w:ind w:firstLine="480" w:firstLineChars="200"/>
        <w:contextualSpacing/>
        <w:jc w:val="left"/>
        <w:rPr>
          <w:sz w:val="24"/>
          <w:szCs w:val="24"/>
        </w:rPr>
      </w:pPr>
      <w:r>
        <w:rPr>
          <w:sz w:val="24"/>
          <w:szCs w:val="24"/>
        </w:rPr>
        <w:t>《花坛、花镜技术规程》（DG/TJ 08-66-2016）</w:t>
      </w:r>
    </w:p>
    <w:p>
      <w:pPr>
        <w:numPr>
          <w:ilvl w:val="0"/>
          <w:numId w:val="2"/>
        </w:numPr>
        <w:spacing w:line="360" w:lineRule="auto"/>
        <w:ind w:firstLine="480" w:firstLineChars="200"/>
        <w:contextualSpacing/>
        <w:jc w:val="left"/>
        <w:rPr>
          <w:sz w:val="24"/>
          <w:szCs w:val="24"/>
        </w:rPr>
      </w:pPr>
      <w:r>
        <w:rPr>
          <w:sz w:val="24"/>
          <w:szCs w:val="24"/>
        </w:rPr>
        <w:t>《花坪建植和养护技术规程》（DG/TJ 08-67-2015）</w:t>
      </w:r>
    </w:p>
    <w:p>
      <w:pPr>
        <w:numPr>
          <w:ilvl w:val="0"/>
          <w:numId w:val="2"/>
        </w:numPr>
        <w:spacing w:line="360" w:lineRule="auto"/>
        <w:ind w:firstLine="480" w:firstLineChars="200"/>
        <w:contextualSpacing/>
        <w:jc w:val="left"/>
        <w:rPr>
          <w:sz w:val="24"/>
          <w:szCs w:val="24"/>
        </w:rPr>
      </w:pPr>
      <w:r>
        <w:rPr>
          <w:sz w:val="24"/>
          <w:szCs w:val="24"/>
        </w:rPr>
        <w:t>《立体绿化技术规程》（DG/TJ 08-75-2014）</w:t>
      </w:r>
    </w:p>
    <w:p>
      <w:pPr>
        <w:numPr>
          <w:ilvl w:val="0"/>
          <w:numId w:val="2"/>
        </w:numPr>
        <w:spacing w:line="360" w:lineRule="auto"/>
        <w:ind w:firstLine="480" w:firstLineChars="200"/>
        <w:contextualSpacing/>
        <w:jc w:val="left"/>
        <w:rPr>
          <w:sz w:val="24"/>
          <w:szCs w:val="24"/>
        </w:rPr>
      </w:pPr>
      <w:r>
        <w:rPr>
          <w:sz w:val="24"/>
          <w:szCs w:val="24"/>
        </w:rPr>
        <w:t>《绿化植物保护技术规程》（DG/TJ 08-35-2014）</w:t>
      </w:r>
    </w:p>
    <w:p>
      <w:pPr>
        <w:numPr>
          <w:ilvl w:val="0"/>
          <w:numId w:val="2"/>
        </w:numPr>
        <w:spacing w:line="360" w:lineRule="auto"/>
        <w:ind w:firstLine="480" w:firstLineChars="200"/>
        <w:contextualSpacing/>
        <w:jc w:val="left"/>
        <w:rPr>
          <w:sz w:val="24"/>
          <w:szCs w:val="24"/>
        </w:rPr>
      </w:pPr>
      <w:r>
        <w:rPr>
          <w:sz w:val="24"/>
          <w:szCs w:val="24"/>
        </w:rPr>
        <w:t>《上海市古树名木和古树后续资源保护条例》</w:t>
      </w:r>
    </w:p>
    <w:p>
      <w:pPr>
        <w:numPr>
          <w:ilvl w:val="0"/>
          <w:numId w:val="2"/>
        </w:numPr>
        <w:spacing w:line="360" w:lineRule="auto"/>
        <w:ind w:firstLine="480" w:firstLineChars="200"/>
        <w:contextualSpacing/>
        <w:jc w:val="left"/>
        <w:rPr>
          <w:sz w:val="24"/>
          <w:szCs w:val="24"/>
        </w:rPr>
      </w:pPr>
      <w:r>
        <w:rPr>
          <w:sz w:val="24"/>
          <w:szCs w:val="24"/>
        </w:rPr>
        <w:t>《中华人民共和国水污染防治法》（2008）</w:t>
      </w:r>
    </w:p>
    <w:p>
      <w:pPr>
        <w:numPr>
          <w:ilvl w:val="0"/>
          <w:numId w:val="2"/>
        </w:numPr>
        <w:spacing w:line="360" w:lineRule="auto"/>
        <w:ind w:firstLine="480" w:firstLineChars="200"/>
        <w:contextualSpacing/>
        <w:jc w:val="left"/>
        <w:rPr>
          <w:sz w:val="24"/>
          <w:szCs w:val="24"/>
        </w:rPr>
      </w:pPr>
      <w:r>
        <w:rPr>
          <w:sz w:val="24"/>
          <w:szCs w:val="24"/>
        </w:rPr>
        <w:t>《城镇排水与污水处理条例》（2014）</w:t>
      </w:r>
    </w:p>
    <w:p>
      <w:pPr>
        <w:numPr>
          <w:ilvl w:val="0"/>
          <w:numId w:val="2"/>
        </w:numPr>
        <w:spacing w:line="360" w:lineRule="auto"/>
        <w:ind w:firstLine="480" w:firstLineChars="200"/>
        <w:contextualSpacing/>
        <w:jc w:val="left"/>
        <w:rPr>
          <w:sz w:val="24"/>
          <w:szCs w:val="24"/>
        </w:rPr>
      </w:pPr>
      <w:r>
        <w:rPr>
          <w:sz w:val="24"/>
          <w:szCs w:val="24"/>
        </w:rPr>
        <w:t>《上海市防汛条例》（2010年修正）</w:t>
      </w:r>
    </w:p>
    <w:p>
      <w:pPr>
        <w:numPr>
          <w:ilvl w:val="0"/>
          <w:numId w:val="2"/>
        </w:numPr>
        <w:spacing w:line="360" w:lineRule="auto"/>
        <w:ind w:firstLine="480" w:firstLineChars="200"/>
        <w:contextualSpacing/>
        <w:jc w:val="left"/>
        <w:rPr>
          <w:sz w:val="24"/>
          <w:szCs w:val="24"/>
        </w:rPr>
      </w:pPr>
      <w:r>
        <w:rPr>
          <w:sz w:val="24"/>
          <w:szCs w:val="24"/>
        </w:rPr>
        <w:t>《上海市排水管理条例》（2010年修正）</w:t>
      </w:r>
    </w:p>
    <w:p>
      <w:pPr>
        <w:numPr>
          <w:ilvl w:val="0"/>
          <w:numId w:val="2"/>
        </w:numPr>
        <w:spacing w:line="360" w:lineRule="auto"/>
        <w:ind w:firstLine="480" w:firstLineChars="200"/>
        <w:contextualSpacing/>
        <w:jc w:val="left"/>
        <w:rPr>
          <w:sz w:val="24"/>
          <w:szCs w:val="24"/>
        </w:rPr>
      </w:pPr>
      <w:r>
        <w:rPr>
          <w:sz w:val="24"/>
          <w:szCs w:val="24"/>
        </w:rPr>
        <w:t>《城市道路和公共场所清扫保洁管理办法》</w:t>
      </w:r>
    </w:p>
    <w:p>
      <w:pPr>
        <w:numPr>
          <w:ilvl w:val="0"/>
          <w:numId w:val="2"/>
        </w:numPr>
        <w:spacing w:line="360" w:lineRule="auto"/>
        <w:ind w:firstLine="480" w:firstLineChars="200"/>
        <w:contextualSpacing/>
        <w:jc w:val="left"/>
        <w:rPr>
          <w:sz w:val="24"/>
          <w:szCs w:val="24"/>
        </w:rPr>
      </w:pPr>
      <w:r>
        <w:rPr>
          <w:sz w:val="24"/>
          <w:szCs w:val="24"/>
        </w:rPr>
        <w:t>《上海市道路和公共场所清扫保洁服务管理办法》（沪府令83号）</w:t>
      </w:r>
    </w:p>
    <w:p>
      <w:pPr>
        <w:numPr>
          <w:ilvl w:val="0"/>
          <w:numId w:val="2"/>
        </w:numPr>
        <w:spacing w:line="360" w:lineRule="auto"/>
        <w:ind w:firstLine="480" w:firstLineChars="200"/>
        <w:contextualSpacing/>
        <w:jc w:val="left"/>
        <w:rPr>
          <w:sz w:val="24"/>
          <w:szCs w:val="24"/>
        </w:rPr>
      </w:pPr>
      <w:r>
        <w:rPr>
          <w:sz w:val="24"/>
          <w:szCs w:val="24"/>
        </w:rPr>
        <w:t>《道路和公共广场及附属公共设施保洁质量和服务要求》（DB 31/T 524-2011）</w:t>
      </w:r>
    </w:p>
    <w:p>
      <w:pPr>
        <w:numPr>
          <w:ilvl w:val="0"/>
          <w:numId w:val="2"/>
        </w:numPr>
        <w:spacing w:line="360" w:lineRule="auto"/>
        <w:ind w:firstLine="480" w:firstLineChars="200"/>
        <w:contextualSpacing/>
        <w:jc w:val="left"/>
        <w:rPr>
          <w:sz w:val="24"/>
          <w:szCs w:val="24"/>
        </w:rPr>
      </w:pPr>
      <w:r>
        <w:rPr>
          <w:sz w:val="24"/>
          <w:szCs w:val="24"/>
        </w:rPr>
        <w:t>《中华人民共和国突发事件应对法》</w:t>
      </w:r>
    </w:p>
    <w:p>
      <w:pPr>
        <w:numPr>
          <w:ilvl w:val="0"/>
          <w:numId w:val="2"/>
        </w:numPr>
        <w:spacing w:line="360" w:lineRule="auto"/>
        <w:ind w:firstLine="480" w:firstLineChars="200"/>
        <w:contextualSpacing/>
        <w:jc w:val="left"/>
        <w:rPr>
          <w:sz w:val="24"/>
          <w:szCs w:val="24"/>
        </w:rPr>
      </w:pPr>
      <w:r>
        <w:rPr>
          <w:sz w:val="24"/>
          <w:szCs w:val="24"/>
        </w:rPr>
        <w:t>《中华人民共和国安全生产法》</w:t>
      </w:r>
    </w:p>
    <w:p>
      <w:pPr>
        <w:numPr>
          <w:ilvl w:val="0"/>
          <w:numId w:val="2"/>
        </w:numPr>
        <w:spacing w:line="360" w:lineRule="auto"/>
        <w:ind w:firstLine="480" w:firstLineChars="200"/>
        <w:contextualSpacing/>
        <w:jc w:val="left"/>
        <w:rPr>
          <w:sz w:val="24"/>
          <w:szCs w:val="24"/>
        </w:rPr>
      </w:pPr>
      <w:r>
        <w:rPr>
          <w:sz w:val="24"/>
          <w:szCs w:val="24"/>
        </w:rPr>
        <w:t xml:space="preserve">《上海市市政工程养护维修预算定额》（SHA1-41(07)-2018） </w:t>
      </w:r>
    </w:p>
    <w:p>
      <w:pPr>
        <w:numPr>
          <w:ilvl w:val="0"/>
          <w:numId w:val="2"/>
        </w:numPr>
        <w:spacing w:line="360" w:lineRule="auto"/>
        <w:ind w:firstLine="480" w:firstLineChars="200"/>
        <w:contextualSpacing/>
        <w:jc w:val="left"/>
        <w:rPr>
          <w:bCs/>
          <w:color w:val="000000"/>
          <w:sz w:val="24"/>
          <w:szCs w:val="24"/>
        </w:rPr>
      </w:pPr>
      <w:r>
        <w:rPr>
          <w:sz w:val="24"/>
          <w:szCs w:val="24"/>
        </w:rPr>
        <w:t>《上海市安全生产条例》</w:t>
      </w:r>
    </w:p>
    <w:p>
      <w:pPr>
        <w:numPr>
          <w:ilvl w:val="0"/>
          <w:numId w:val="2"/>
        </w:numPr>
        <w:spacing w:line="360" w:lineRule="auto"/>
        <w:ind w:firstLine="480" w:firstLineChars="200"/>
        <w:contextualSpacing/>
        <w:jc w:val="left"/>
        <w:rPr>
          <w:sz w:val="24"/>
          <w:szCs w:val="24"/>
        </w:rPr>
      </w:pPr>
      <w:r>
        <w:rPr>
          <w:bCs/>
          <w:color w:val="000000"/>
          <w:sz w:val="24"/>
          <w:szCs w:val="24"/>
        </w:rPr>
        <w:t>《上海市市容环境卫生管理条例》</w:t>
      </w:r>
    </w:p>
    <w:p>
      <w:pPr>
        <w:numPr>
          <w:ilvl w:val="0"/>
          <w:numId w:val="2"/>
        </w:numPr>
        <w:spacing w:line="360" w:lineRule="auto"/>
        <w:ind w:firstLine="480" w:firstLineChars="200"/>
        <w:contextualSpacing/>
        <w:jc w:val="left"/>
        <w:rPr>
          <w:sz w:val="24"/>
          <w:szCs w:val="24"/>
        </w:rPr>
      </w:pPr>
      <w:r>
        <w:rPr>
          <w:bCs/>
          <w:color w:val="000000"/>
          <w:sz w:val="24"/>
          <w:szCs w:val="24"/>
        </w:rPr>
        <w:t>《上海市绿地养护概算定额（2010）》</w:t>
      </w:r>
    </w:p>
    <w:p>
      <w:pPr>
        <w:numPr>
          <w:ilvl w:val="0"/>
          <w:numId w:val="2"/>
        </w:numPr>
        <w:spacing w:line="360" w:lineRule="auto"/>
        <w:ind w:firstLine="480" w:firstLineChars="200"/>
        <w:contextualSpacing/>
        <w:jc w:val="left"/>
        <w:rPr>
          <w:bCs/>
          <w:color w:val="000000"/>
          <w:sz w:val="24"/>
          <w:szCs w:val="24"/>
        </w:rPr>
      </w:pPr>
      <w:r>
        <w:rPr>
          <w:bCs/>
          <w:color w:val="000000"/>
          <w:sz w:val="24"/>
          <w:szCs w:val="24"/>
        </w:rPr>
        <w:t>《临港新片区生态环境发展“十四五”规划》</w:t>
      </w:r>
    </w:p>
    <w:p>
      <w:pPr>
        <w:spacing w:line="360" w:lineRule="auto"/>
        <w:ind w:firstLine="480" w:firstLineChars="200"/>
        <w:contextualSpacing/>
        <w:jc w:val="left"/>
        <w:rPr>
          <w:sz w:val="24"/>
          <w:szCs w:val="24"/>
        </w:rPr>
      </w:pPr>
      <w:r>
        <w:rPr>
          <w:sz w:val="24"/>
          <w:szCs w:val="24"/>
        </w:rPr>
        <w:t>各投标人应充分注意，凡涉及国家或行业管理部门颁发的相关规范、规程和标准，无论其是否在本招标文件中列明，中标人应无条件执行。标准、规范等不一致的，以要求高者为准。</w:t>
      </w:r>
    </w:p>
    <w:p>
      <w:pPr>
        <w:pStyle w:val="43"/>
      </w:pPr>
    </w:p>
    <w:bookmarkEnd w:id="41"/>
    <w:bookmarkEnd w:id="42"/>
    <w:p>
      <w:pPr>
        <w:jc w:val="center"/>
        <w:rPr>
          <w:b/>
          <w:bCs/>
          <w:color w:val="000000"/>
          <w:sz w:val="24"/>
          <w:szCs w:val="24"/>
        </w:rPr>
      </w:pPr>
      <w:bookmarkStart w:id="43" w:name="_Toc24526"/>
      <w:bookmarkStart w:id="44" w:name="_Toc8808320"/>
      <w:r>
        <w:rPr>
          <w:b/>
          <w:bCs/>
          <w:color w:val="000000"/>
          <w:sz w:val="24"/>
          <w:szCs w:val="24"/>
        </w:rPr>
        <w:t>三、</w:t>
      </w:r>
      <w:r>
        <w:rPr>
          <w:rFonts w:hint="eastAsia"/>
          <w:b/>
          <w:bCs/>
          <w:color w:val="000000"/>
          <w:sz w:val="24"/>
          <w:szCs w:val="24"/>
        </w:rPr>
        <w:t>项目</w:t>
      </w:r>
      <w:r>
        <w:rPr>
          <w:b/>
          <w:bCs/>
          <w:color w:val="000000"/>
          <w:sz w:val="24"/>
          <w:szCs w:val="24"/>
        </w:rPr>
        <w:t>内容与质量、人员要求</w:t>
      </w:r>
      <w:bookmarkEnd w:id="43"/>
      <w:bookmarkEnd w:id="44"/>
    </w:p>
    <w:p>
      <w:pPr>
        <w:spacing w:line="360" w:lineRule="auto"/>
        <w:ind w:firstLine="472" w:firstLineChars="196"/>
        <w:contextualSpacing/>
        <w:jc w:val="left"/>
        <w:outlineLvl w:val="2"/>
        <w:rPr>
          <w:b/>
          <w:bCs/>
          <w:color w:val="000000"/>
          <w:sz w:val="24"/>
          <w:szCs w:val="24"/>
        </w:rPr>
      </w:pPr>
      <w:bookmarkStart w:id="45" w:name="OLE_LINK22"/>
      <w:r>
        <w:rPr>
          <w:b/>
          <w:bCs/>
          <w:color w:val="000000"/>
          <w:sz w:val="24"/>
          <w:szCs w:val="24"/>
        </w:rPr>
        <w:t>1.设施量</w:t>
      </w:r>
      <w:r>
        <w:rPr>
          <w:rFonts w:hint="eastAsia"/>
          <w:b/>
          <w:bCs/>
          <w:color w:val="000000"/>
          <w:sz w:val="24"/>
          <w:szCs w:val="24"/>
        </w:rPr>
        <w:t>清单</w:t>
      </w:r>
    </w:p>
    <w:bookmarkEnd w:id="45"/>
    <w:p>
      <w:pPr>
        <w:tabs>
          <w:tab w:val="left" w:pos="3060"/>
        </w:tabs>
        <w:spacing w:line="360" w:lineRule="auto"/>
        <w:ind w:firstLine="480" w:firstLineChars="200"/>
        <w:contextualSpacing/>
        <w:jc w:val="left"/>
        <w:rPr>
          <w:rFonts w:hint="eastAsia" w:ascii="宋体" w:hAnsi="宋体"/>
          <w:sz w:val="24"/>
          <w:szCs w:val="24"/>
        </w:rPr>
      </w:pPr>
      <w:r>
        <w:rPr>
          <w:rFonts w:ascii="宋体" w:hAnsi="宋体"/>
          <w:sz w:val="24"/>
          <w:szCs w:val="24"/>
        </w:rPr>
        <w:t>设施量清单详见附</w:t>
      </w:r>
    </w:p>
    <w:p>
      <w:pPr>
        <w:tabs>
          <w:tab w:val="left" w:pos="3060"/>
        </w:tabs>
        <w:spacing w:line="360" w:lineRule="auto"/>
        <w:ind w:firstLine="480" w:firstLineChars="200"/>
        <w:contextualSpacing/>
        <w:jc w:val="left"/>
        <w:rPr>
          <w:sz w:val="28"/>
          <w:szCs w:val="28"/>
        </w:rPr>
      </w:pPr>
      <w:r>
        <w:rPr>
          <w:rFonts w:ascii="宋体" w:hAnsi="宋体"/>
          <w:sz w:val="24"/>
          <w:szCs w:val="24"/>
        </w:rPr>
        <w:t>说明：</w:t>
      </w:r>
      <w:bookmarkStart w:id="46" w:name="OLE_LINK235"/>
      <w:r>
        <w:rPr>
          <w:rFonts w:ascii="宋体" w:hAnsi="宋体"/>
          <w:color w:val="FF0000"/>
          <w:sz w:val="24"/>
          <w:szCs w:val="24"/>
        </w:rPr>
        <w:t>★</w:t>
      </w:r>
      <w:bookmarkEnd w:id="46"/>
      <w:r>
        <w:rPr>
          <w:rFonts w:ascii="宋体" w:hAnsi="宋体"/>
          <w:color w:val="FF0000"/>
          <w:sz w:val="24"/>
          <w:szCs w:val="24"/>
        </w:rPr>
        <w:t>投标人不得对</w:t>
      </w:r>
      <w:bookmarkStart w:id="47" w:name="OLE_LINK97"/>
      <w:r>
        <w:rPr>
          <w:rFonts w:ascii="宋体" w:hAnsi="宋体"/>
          <w:color w:val="FF0000"/>
          <w:sz w:val="24"/>
          <w:szCs w:val="24"/>
        </w:rPr>
        <w:t>《</w:t>
      </w:r>
      <w:bookmarkStart w:id="48" w:name="OLE_LINK66"/>
      <w:r>
        <w:rPr>
          <w:rFonts w:ascii="宋体" w:hAnsi="宋体"/>
          <w:color w:val="FF0000"/>
          <w:sz w:val="24"/>
          <w:szCs w:val="24"/>
        </w:rPr>
        <w:t>设施量清单》</w:t>
      </w:r>
      <w:bookmarkEnd w:id="47"/>
      <w:r>
        <w:rPr>
          <w:rFonts w:ascii="宋体" w:hAnsi="宋体"/>
          <w:color w:val="FF0000"/>
          <w:sz w:val="24"/>
          <w:szCs w:val="24"/>
        </w:rPr>
        <w:t>表内工作量进行缩减</w:t>
      </w:r>
      <w:bookmarkEnd w:id="48"/>
      <w:r>
        <w:rPr>
          <w:rFonts w:ascii="宋体" w:hAnsi="宋体"/>
          <w:color w:val="FF0000"/>
          <w:sz w:val="24"/>
          <w:szCs w:val="24"/>
        </w:rPr>
        <w:t>，否则视为投标不响应。</w:t>
      </w:r>
    </w:p>
    <w:p>
      <w:pPr>
        <w:spacing w:line="360" w:lineRule="auto"/>
        <w:ind w:firstLine="472" w:firstLineChars="196"/>
        <w:contextualSpacing/>
        <w:jc w:val="left"/>
        <w:outlineLvl w:val="2"/>
        <w:rPr>
          <w:b/>
          <w:bCs/>
          <w:color w:val="000000"/>
          <w:sz w:val="24"/>
          <w:szCs w:val="24"/>
        </w:rPr>
      </w:pPr>
      <w:r>
        <w:rPr>
          <w:b/>
          <w:bCs/>
          <w:color w:val="000000"/>
          <w:sz w:val="24"/>
          <w:szCs w:val="24"/>
        </w:rPr>
        <w:t>2.综合养护工作基本要求</w:t>
      </w:r>
    </w:p>
    <w:p>
      <w:pPr>
        <w:tabs>
          <w:tab w:val="left" w:pos="3060"/>
        </w:tabs>
        <w:spacing w:line="360" w:lineRule="auto"/>
        <w:ind w:firstLine="480" w:firstLineChars="200"/>
        <w:contextualSpacing/>
        <w:rPr>
          <w:sz w:val="24"/>
          <w:szCs w:val="24"/>
        </w:rPr>
      </w:pPr>
      <w:bookmarkStart w:id="49" w:name="_Toc460922288"/>
      <w:bookmarkStart w:id="50" w:name="_Toc463690201"/>
      <w:r>
        <w:rPr>
          <w:sz w:val="24"/>
          <w:szCs w:val="24"/>
        </w:rPr>
        <w:t>承包商须对合同条款中苗木管理、设施管理、卫生保洁、安全管理进行预防性、经常性、周期性和及时性的养护管理，根据设施的实际状况制定养护计划，及时修复被损设施。协同业主及其它相关部门迅速处置应急事件，制定相应的应急预案，除发生不可抗力事件，其它任何情况下必须保持苗木管理、设施管理、卫生保洁、安全管理处于良好的技术状态，实现管养范围各类设施安全良好、规范齐全、运行状况良好。提升市民、游客的舒适度、体验度、满意度。</w:t>
      </w:r>
    </w:p>
    <w:p>
      <w:pPr>
        <w:spacing w:line="360" w:lineRule="auto"/>
        <w:ind w:firstLine="472" w:firstLineChars="196"/>
        <w:contextualSpacing/>
        <w:jc w:val="left"/>
        <w:outlineLvl w:val="2"/>
        <w:rPr>
          <w:b/>
          <w:bCs/>
          <w:sz w:val="24"/>
          <w:szCs w:val="24"/>
        </w:rPr>
      </w:pPr>
      <w:r>
        <w:rPr>
          <w:b/>
          <w:bCs/>
          <w:sz w:val="24"/>
          <w:szCs w:val="24"/>
        </w:rPr>
        <w:t>3.日常养护要求</w:t>
      </w:r>
    </w:p>
    <w:p>
      <w:pPr>
        <w:tabs>
          <w:tab w:val="left" w:pos="3060"/>
        </w:tabs>
        <w:spacing w:line="360" w:lineRule="auto"/>
        <w:ind w:firstLine="480" w:firstLineChars="200"/>
        <w:contextualSpacing/>
        <w:jc w:val="left"/>
        <w:rPr>
          <w:sz w:val="24"/>
          <w:szCs w:val="24"/>
        </w:rPr>
      </w:pPr>
      <w:r>
        <w:rPr>
          <w:sz w:val="24"/>
          <w:szCs w:val="24"/>
        </w:rPr>
        <w:t>3.1绿化日常养护要求</w:t>
      </w:r>
    </w:p>
    <w:p>
      <w:pPr>
        <w:tabs>
          <w:tab w:val="left" w:pos="3060"/>
        </w:tabs>
        <w:spacing w:line="360" w:lineRule="auto"/>
        <w:ind w:firstLine="480" w:firstLineChars="200"/>
        <w:contextualSpacing/>
        <w:rPr>
          <w:bCs/>
          <w:sz w:val="24"/>
          <w:szCs w:val="24"/>
        </w:rPr>
      </w:pPr>
      <w:r>
        <w:rPr>
          <w:bCs/>
          <w:sz w:val="24"/>
          <w:szCs w:val="24"/>
        </w:rPr>
        <w:t>1）绿地要求：草坪生长良好，覆盖率达90%以上，无大面积斑秃。花卉生长正常。</w:t>
      </w:r>
      <w:r>
        <w:rPr>
          <w:sz w:val="24"/>
          <w:szCs w:val="24"/>
        </w:rPr>
        <w:t>确保重大节日有花</w:t>
      </w:r>
      <w:r>
        <w:rPr>
          <w:bCs/>
          <w:sz w:val="24"/>
          <w:szCs w:val="24"/>
        </w:rPr>
        <w:t>，无大面积植物受害。</w:t>
      </w:r>
    </w:p>
    <w:p>
      <w:pPr>
        <w:tabs>
          <w:tab w:val="left" w:pos="3060"/>
        </w:tabs>
        <w:spacing w:line="360" w:lineRule="auto"/>
        <w:ind w:firstLine="480" w:firstLineChars="200"/>
        <w:contextualSpacing/>
        <w:rPr>
          <w:bCs/>
          <w:sz w:val="24"/>
          <w:szCs w:val="24"/>
        </w:rPr>
      </w:pPr>
      <w:r>
        <w:rPr>
          <w:bCs/>
          <w:sz w:val="24"/>
          <w:szCs w:val="24"/>
        </w:rPr>
        <w:t>2）乔木要求：生长正常，树冠基本完整，主侧枝分枝基本均匀，内膛通风透光。叶色基本正常，基本无焦叶、卷叶。枝干生长正常，无明显枯死枝，基本无病虫害。</w:t>
      </w:r>
    </w:p>
    <w:p>
      <w:pPr>
        <w:tabs>
          <w:tab w:val="left" w:pos="3060"/>
        </w:tabs>
        <w:spacing w:line="360" w:lineRule="auto"/>
        <w:ind w:firstLine="480" w:firstLineChars="200"/>
        <w:contextualSpacing/>
        <w:jc w:val="left"/>
        <w:rPr>
          <w:bCs/>
          <w:sz w:val="24"/>
          <w:szCs w:val="24"/>
        </w:rPr>
      </w:pPr>
      <w:r>
        <w:rPr>
          <w:bCs/>
          <w:sz w:val="24"/>
          <w:szCs w:val="24"/>
        </w:rPr>
        <w:t>3）花灌木要求：花灌木开花适时、正常，花后修剪及时。绿篱、色块枝叶正常，整齐一致。</w:t>
      </w:r>
    </w:p>
    <w:p>
      <w:pPr>
        <w:tabs>
          <w:tab w:val="left" w:pos="3060"/>
        </w:tabs>
        <w:spacing w:line="360" w:lineRule="auto"/>
        <w:ind w:firstLine="480" w:firstLineChars="200"/>
        <w:contextualSpacing/>
        <w:rPr>
          <w:bCs/>
          <w:sz w:val="24"/>
          <w:szCs w:val="24"/>
        </w:rPr>
      </w:pPr>
      <w:r>
        <w:rPr>
          <w:bCs/>
          <w:sz w:val="24"/>
          <w:szCs w:val="24"/>
        </w:rPr>
        <w:t>4）设施维护：园林建筑、园路广场以及路灯等绿地基础设施维护良好，桌椅、垃圾筒、井盖和指示牌等园林设施基本做到维护及时。</w:t>
      </w:r>
    </w:p>
    <w:p>
      <w:pPr>
        <w:tabs>
          <w:tab w:val="left" w:pos="3060"/>
        </w:tabs>
        <w:spacing w:line="360" w:lineRule="auto"/>
        <w:ind w:firstLine="480" w:firstLineChars="200"/>
        <w:contextualSpacing/>
        <w:rPr>
          <w:bCs/>
          <w:sz w:val="24"/>
          <w:szCs w:val="24"/>
        </w:rPr>
      </w:pPr>
      <w:r>
        <w:rPr>
          <w:bCs/>
          <w:sz w:val="24"/>
          <w:szCs w:val="24"/>
        </w:rPr>
        <w:t>5）卫生保洁保洁绿地及广场整洁，无砖块、碎石等建筑垃圾，绿化生产垃圾（如树枝、树叶、草屑）、绿地内水面杂物应日产日清，做到保洁及时。</w:t>
      </w:r>
    </w:p>
    <w:p>
      <w:pPr>
        <w:tabs>
          <w:tab w:val="left" w:pos="3060"/>
        </w:tabs>
        <w:spacing w:line="360" w:lineRule="auto"/>
        <w:ind w:firstLine="480" w:firstLineChars="200"/>
        <w:contextualSpacing/>
        <w:rPr>
          <w:bCs/>
          <w:sz w:val="24"/>
          <w:szCs w:val="24"/>
        </w:rPr>
      </w:pPr>
      <w:r>
        <w:rPr>
          <w:bCs/>
          <w:sz w:val="24"/>
          <w:szCs w:val="24"/>
        </w:rPr>
        <w:t>6）适时浇水：适时喷水除尘，全年基本保持叶面无积尘。国庆、春节、五一等法定节假日，以及业主通知的庆典、迎接检查、重要接待活动前冲洗叶面，确保叶面无积尘。发现植物缺水及时浇水。</w:t>
      </w:r>
    </w:p>
    <w:p>
      <w:pPr>
        <w:tabs>
          <w:tab w:val="left" w:pos="3060"/>
        </w:tabs>
        <w:ind w:firstLine="480" w:firstLineChars="200"/>
        <w:rPr>
          <w:bCs/>
          <w:sz w:val="24"/>
          <w:szCs w:val="24"/>
        </w:rPr>
      </w:pPr>
      <w:r>
        <w:rPr>
          <w:bCs/>
          <w:sz w:val="24"/>
          <w:szCs w:val="24"/>
        </w:rPr>
        <w:t>7）绿地完整，无堆物、堆料、违章搭建，树干、园林建筑、小品等上面无钉拴刻画等现象。</w:t>
      </w:r>
    </w:p>
    <w:p>
      <w:pPr>
        <w:tabs>
          <w:tab w:val="left" w:pos="540"/>
          <w:tab w:val="left" w:pos="900"/>
        </w:tabs>
        <w:spacing w:line="360" w:lineRule="auto"/>
        <w:ind w:firstLine="480" w:firstLineChars="200"/>
        <w:contextualSpacing/>
        <w:jc w:val="left"/>
        <w:rPr>
          <w:sz w:val="24"/>
          <w:szCs w:val="24"/>
        </w:rPr>
      </w:pPr>
      <w:r>
        <w:rPr>
          <w:sz w:val="24"/>
          <w:szCs w:val="24"/>
        </w:rPr>
        <w:t>3.2道路日常养护要求</w:t>
      </w:r>
    </w:p>
    <w:p>
      <w:pPr>
        <w:spacing w:line="360" w:lineRule="auto"/>
        <w:ind w:firstLine="480" w:firstLineChars="200"/>
        <w:contextualSpacing/>
        <w:jc w:val="left"/>
        <w:rPr>
          <w:sz w:val="24"/>
          <w:szCs w:val="24"/>
        </w:rPr>
      </w:pPr>
      <w:r>
        <w:rPr>
          <w:sz w:val="24"/>
          <w:szCs w:val="24"/>
        </w:rPr>
        <w:t>1)确保绿地、园路干净整洁，无垃圾杂物，无石砾砖块，无鼠洞、蚊蝇孳生地，无干枝枯叶，绿化植物上无垃圾杂物悬挂，及时清理水体中的生活垃圾、枯枝残叶和水面漂浮物，保持水面清洁。</w:t>
      </w:r>
    </w:p>
    <w:p>
      <w:pPr>
        <w:spacing w:line="360" w:lineRule="auto"/>
        <w:ind w:firstLine="480" w:firstLineChars="200"/>
        <w:contextualSpacing/>
        <w:jc w:val="left"/>
        <w:rPr>
          <w:sz w:val="24"/>
          <w:szCs w:val="24"/>
        </w:rPr>
      </w:pPr>
      <w:r>
        <w:rPr>
          <w:sz w:val="24"/>
          <w:szCs w:val="24"/>
        </w:rPr>
        <w:t>2）路面小修养护及掘路修复符合质量要求，每月完成指令性小修及重点养护项目，完成率100%。</w:t>
      </w:r>
    </w:p>
    <w:p>
      <w:pPr>
        <w:spacing w:line="360" w:lineRule="auto"/>
        <w:ind w:firstLine="480" w:firstLineChars="200"/>
        <w:contextualSpacing/>
        <w:jc w:val="left"/>
        <w:rPr>
          <w:sz w:val="24"/>
          <w:szCs w:val="24"/>
        </w:rPr>
      </w:pPr>
      <w:r>
        <w:rPr>
          <w:sz w:val="24"/>
          <w:szCs w:val="24"/>
        </w:rPr>
        <w:t>3）道路要求“一平、四无、一新”，即道路平整；无下水道堵塞和晴天积水、无人行道板和侧平石缺损。</w:t>
      </w:r>
    </w:p>
    <w:p>
      <w:pPr>
        <w:pStyle w:val="28"/>
        <w:spacing w:line="360" w:lineRule="auto"/>
        <w:ind w:firstLine="480" w:firstLineChars="200"/>
        <w:contextualSpacing/>
        <w:rPr>
          <w:rFonts w:ascii="Times New Roman" w:hAnsi="Times New Roman"/>
          <w:sz w:val="24"/>
          <w:szCs w:val="24"/>
        </w:rPr>
      </w:pPr>
      <w:r>
        <w:rPr>
          <w:rFonts w:ascii="Times New Roman" w:hAnsi="Times New Roman"/>
          <w:sz w:val="24"/>
          <w:szCs w:val="24"/>
        </w:rPr>
        <w:t>4）各类附属设施保持清洁完好，保持园路、桥梁设施、公园小品、立杆及护栏等各类附属设施完好。无设施安全及交通安全隐患。</w:t>
      </w:r>
    </w:p>
    <w:p>
      <w:pPr>
        <w:spacing w:line="360" w:lineRule="auto"/>
        <w:ind w:firstLine="480" w:firstLineChars="200"/>
        <w:contextualSpacing/>
        <w:jc w:val="left"/>
        <w:rPr>
          <w:sz w:val="24"/>
          <w:szCs w:val="24"/>
        </w:rPr>
      </w:pPr>
      <w:r>
        <w:rPr>
          <w:bCs/>
          <w:sz w:val="24"/>
          <w:szCs w:val="24"/>
        </w:rPr>
        <w:t>5）</w:t>
      </w:r>
      <w:r>
        <w:rPr>
          <w:sz w:val="24"/>
          <w:szCs w:val="24"/>
        </w:rPr>
        <w:t>根据路况巡视反馈的信息，及时对路面各种病害，结合养护技术规范的规定和业主的要求，及时对路面进行养护维修。在养护维修施工中，加大预养护工作力度和机械化作业。</w:t>
      </w:r>
    </w:p>
    <w:p>
      <w:pPr>
        <w:tabs>
          <w:tab w:val="left" w:pos="3060"/>
        </w:tabs>
        <w:spacing w:line="360" w:lineRule="auto"/>
        <w:ind w:firstLine="480" w:firstLineChars="200"/>
        <w:contextualSpacing/>
        <w:jc w:val="left"/>
        <w:rPr>
          <w:bCs/>
          <w:sz w:val="24"/>
          <w:szCs w:val="24"/>
        </w:rPr>
      </w:pPr>
      <w:r>
        <w:rPr>
          <w:sz w:val="24"/>
          <w:szCs w:val="24"/>
        </w:rPr>
        <w:t>6）为保证畅通无阻，加强桥梁的检查和保养、维修与加固工作，使其经常处于完好的技术状态，延长其使用年限。桥梁按规定进行检查，以便系统地掌握技术状态及时发现缺损，采取相应的养护措施。</w:t>
      </w:r>
    </w:p>
    <w:p>
      <w:pPr>
        <w:spacing w:line="360" w:lineRule="auto"/>
        <w:ind w:firstLine="480" w:firstLineChars="200"/>
        <w:contextualSpacing/>
        <w:rPr>
          <w:sz w:val="24"/>
          <w:szCs w:val="24"/>
        </w:rPr>
      </w:pPr>
      <w:r>
        <w:rPr>
          <w:sz w:val="24"/>
          <w:szCs w:val="24"/>
        </w:rPr>
        <w:t>7）附属设施养护要求：</w:t>
      </w:r>
    </w:p>
    <w:p>
      <w:pPr>
        <w:spacing w:line="360" w:lineRule="auto"/>
        <w:ind w:firstLine="480" w:firstLineChars="200"/>
        <w:contextualSpacing/>
        <w:rPr>
          <w:sz w:val="24"/>
          <w:szCs w:val="24"/>
        </w:rPr>
      </w:pPr>
      <w:r>
        <w:rPr>
          <w:sz w:val="24"/>
          <w:szCs w:val="24"/>
        </w:rPr>
        <w:t>护栏、桥梁护栏、隔离墩和反光立杆宜2月清洗一次，表面采用油漆处理的设施宜每年油漆一次；路名牌和桥名牌每月清洗一次。如遇重大节庆和活动期间增加保养频率，并保持设施清洁。园椅、园凳、垃圾箱、圆灯等构件</w:t>
      </w:r>
      <w:r>
        <w:rPr>
          <w:spacing w:val="3"/>
          <w:sz w:val="24"/>
          <w:szCs w:val="24"/>
        </w:rPr>
        <w:t xml:space="preserve"> </w:t>
      </w:r>
      <w:r>
        <w:rPr>
          <w:spacing w:val="6"/>
          <w:sz w:val="24"/>
          <w:szCs w:val="24"/>
        </w:rPr>
        <w:t>完好、无破损，</w:t>
      </w:r>
      <w:r>
        <w:rPr>
          <w:sz w:val="24"/>
          <w:szCs w:val="24"/>
        </w:rPr>
        <w:t>按要求配置无障碍设施。</w:t>
      </w:r>
    </w:p>
    <w:p>
      <w:pPr>
        <w:tabs>
          <w:tab w:val="left" w:pos="540"/>
          <w:tab w:val="left" w:pos="900"/>
        </w:tabs>
        <w:spacing w:line="360" w:lineRule="auto"/>
        <w:ind w:firstLine="480" w:firstLineChars="200"/>
        <w:contextualSpacing/>
        <w:jc w:val="left"/>
        <w:rPr>
          <w:sz w:val="24"/>
          <w:szCs w:val="24"/>
        </w:rPr>
      </w:pPr>
      <w:r>
        <w:rPr>
          <w:bCs/>
          <w:sz w:val="24"/>
          <w:szCs w:val="24"/>
        </w:rPr>
        <w:t>3.3</w:t>
      </w:r>
      <w:r>
        <w:rPr>
          <w:sz w:val="24"/>
          <w:szCs w:val="24"/>
        </w:rPr>
        <w:t>排水日常养护要求</w:t>
      </w:r>
    </w:p>
    <w:p>
      <w:pPr>
        <w:pStyle w:val="23"/>
        <w:ind w:firstLine="480" w:firstLineChars="200"/>
        <w:contextualSpacing/>
        <w:jc w:val="left"/>
        <w:rPr>
          <w:bCs/>
        </w:rPr>
      </w:pPr>
      <w:r>
        <w:rPr>
          <w:bCs/>
        </w:rPr>
        <w:t>1）管道检查项目可分为功能状况和结构状况两类：功能状况方面的主要检查项目应包括管道积泥（泥沙、碎砖石、固结的水泥浆及其它异物），检查井积泥、雨水口积泥、排放口积泥、泥垢和油脂、树根、水位和水流；结构状况方面的主要检查项目应包括裂缝、变形、腐蚀、错口、脱节、破损与孔洞、渗漏。各类设备完整、清洁，无隐患，老 化、损坏，管道畅通、无污染、无渗漏。</w:t>
      </w:r>
    </w:p>
    <w:p>
      <w:pPr>
        <w:pStyle w:val="23"/>
        <w:ind w:firstLine="480" w:firstLineChars="200"/>
        <w:contextualSpacing/>
        <w:jc w:val="left"/>
        <w:rPr>
          <w:bCs/>
        </w:rPr>
      </w:pPr>
      <w:r>
        <w:rPr>
          <w:bCs/>
        </w:rPr>
        <w:t xml:space="preserve">2）排水管道养护应符合下列规定： </w:t>
      </w:r>
    </w:p>
    <w:p>
      <w:pPr>
        <w:pStyle w:val="23"/>
        <w:ind w:firstLine="480" w:firstLineChars="200"/>
        <w:contextualSpacing/>
        <w:jc w:val="left"/>
        <w:rPr>
          <w:bCs/>
        </w:rPr>
      </w:pPr>
      <w:r>
        <w:rPr>
          <w:bCs/>
        </w:rPr>
        <w:t>（1）错口、脱节、破损、孔洞、异管穿入、渗漏、冒溢等情况。 </w:t>
      </w:r>
    </w:p>
    <w:p>
      <w:pPr>
        <w:pStyle w:val="23"/>
        <w:ind w:firstLine="480" w:firstLineChars="200"/>
        <w:contextualSpacing/>
        <w:jc w:val="left"/>
        <w:rPr>
          <w:bCs/>
        </w:rPr>
      </w:pPr>
      <w:r>
        <w:rPr>
          <w:bCs/>
        </w:rPr>
        <w:t xml:space="preserve">（2）压力管养护应采用满负荷开泵的方式进行水力冲洗，至少每三个月一次。  </w:t>
      </w:r>
    </w:p>
    <w:p>
      <w:pPr>
        <w:pStyle w:val="23"/>
        <w:ind w:firstLine="480" w:firstLineChars="200"/>
        <w:contextualSpacing/>
        <w:jc w:val="left"/>
        <w:rPr>
          <w:bCs/>
        </w:rPr>
      </w:pPr>
      <w:r>
        <w:rPr>
          <w:bCs/>
        </w:rPr>
        <w:t>（3）定期清除透气井内的浮渣。</w:t>
      </w:r>
    </w:p>
    <w:p>
      <w:pPr>
        <w:pStyle w:val="23"/>
        <w:ind w:firstLine="480" w:firstLineChars="200"/>
        <w:contextualSpacing/>
        <w:jc w:val="left"/>
        <w:rPr>
          <w:bCs/>
        </w:rPr>
      </w:pPr>
      <w:r>
        <w:rPr>
          <w:bCs/>
        </w:rPr>
        <w:t>（4）保持排气阀、压力井、透气井等附属设施的完好有效。</w:t>
      </w:r>
    </w:p>
    <w:p>
      <w:pPr>
        <w:pStyle w:val="23"/>
        <w:ind w:firstLine="480" w:firstLineChars="200"/>
        <w:contextualSpacing/>
        <w:jc w:val="left"/>
        <w:rPr>
          <w:bCs/>
        </w:rPr>
      </w:pPr>
      <w:r>
        <w:rPr>
          <w:bCs/>
        </w:rPr>
        <w:t>（5）定期开盖检查压力井盖板，发现盖板锈蚀、密封垫老化、井体 裂缝、管内积泥等情况应及时维修和保养。</w:t>
      </w:r>
    </w:p>
    <w:p>
      <w:pPr>
        <w:pStyle w:val="23"/>
        <w:ind w:firstLine="480" w:firstLineChars="200"/>
        <w:contextualSpacing/>
        <w:jc w:val="left"/>
        <w:rPr>
          <w:bCs/>
        </w:rPr>
      </w:pPr>
      <w:r>
        <w:rPr>
          <w:bCs/>
        </w:rPr>
        <w:t>3）管道、检查井和雨水口内不得留有石块等阻碍排水的杂物。</w:t>
      </w:r>
    </w:p>
    <w:p>
      <w:pPr>
        <w:pStyle w:val="23"/>
        <w:contextualSpacing/>
        <w:jc w:val="center"/>
        <w:rPr>
          <w:bCs/>
        </w:rPr>
      </w:pPr>
      <w:r>
        <w:rPr>
          <w:bCs/>
        </w:rPr>
        <w:t>管道、检查井和雨水口的允许积泥深度</w:t>
      </w:r>
    </w:p>
    <w:tbl>
      <w:tblPr>
        <w:tblStyle w:val="4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701"/>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61" w:type="dxa"/>
            <w:gridSpan w:val="2"/>
            <w:vAlign w:val="center"/>
          </w:tcPr>
          <w:p>
            <w:pPr>
              <w:pStyle w:val="23"/>
              <w:contextualSpacing/>
              <w:jc w:val="center"/>
              <w:rPr>
                <w:bCs/>
                <w:kern w:val="2"/>
              </w:rPr>
            </w:pPr>
            <w:r>
              <w:rPr>
                <w:bCs/>
                <w:kern w:val="2"/>
              </w:rPr>
              <w:t>设施类别</w:t>
            </w:r>
          </w:p>
        </w:tc>
        <w:tc>
          <w:tcPr>
            <w:tcW w:w="5812" w:type="dxa"/>
            <w:vAlign w:val="center"/>
          </w:tcPr>
          <w:p>
            <w:pPr>
              <w:pStyle w:val="23"/>
              <w:contextualSpacing/>
              <w:jc w:val="center"/>
              <w:rPr>
                <w:bCs/>
                <w:kern w:val="2"/>
              </w:rPr>
            </w:pPr>
            <w:r>
              <w:rPr>
                <w:bCs/>
                <w:kern w:val="2"/>
              </w:rPr>
              <w:t>允许积泥深度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61" w:type="dxa"/>
            <w:gridSpan w:val="2"/>
            <w:vMerge w:val="restart"/>
            <w:vAlign w:val="center"/>
          </w:tcPr>
          <w:p>
            <w:pPr>
              <w:pStyle w:val="23"/>
              <w:contextualSpacing/>
              <w:jc w:val="center"/>
              <w:rPr>
                <w:bCs/>
                <w:kern w:val="2"/>
              </w:rPr>
            </w:pPr>
            <w:r>
              <w:rPr>
                <w:bCs/>
                <w:kern w:val="2"/>
              </w:rPr>
              <w:t>管道</w:t>
            </w:r>
          </w:p>
          <w:p>
            <w:pPr>
              <w:pStyle w:val="23"/>
              <w:ind w:firstLine="480" w:firstLineChars="200"/>
              <w:contextualSpacing/>
              <w:jc w:val="center"/>
              <w:rPr>
                <w:bCs/>
                <w:kern w:val="2"/>
              </w:rPr>
            </w:pPr>
          </w:p>
        </w:tc>
        <w:tc>
          <w:tcPr>
            <w:tcW w:w="5812" w:type="dxa"/>
            <w:vAlign w:val="center"/>
          </w:tcPr>
          <w:p>
            <w:pPr>
              <w:pStyle w:val="23"/>
              <w:contextualSpacing/>
              <w:jc w:val="center"/>
              <w:rPr>
                <w:bCs/>
                <w:kern w:val="2"/>
              </w:rPr>
            </w:pPr>
            <w:r>
              <w:rPr>
                <w:bCs/>
                <w:kern w:val="2"/>
              </w:rPr>
              <w:t>小型管 管径的1/4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61" w:type="dxa"/>
            <w:gridSpan w:val="2"/>
            <w:vMerge w:val="continue"/>
            <w:vAlign w:val="center"/>
          </w:tcPr>
          <w:p>
            <w:pPr>
              <w:pStyle w:val="23"/>
              <w:ind w:firstLine="480" w:firstLineChars="200"/>
              <w:contextualSpacing/>
              <w:jc w:val="center"/>
              <w:rPr>
                <w:bCs/>
                <w:kern w:val="2"/>
              </w:rPr>
            </w:pPr>
          </w:p>
        </w:tc>
        <w:tc>
          <w:tcPr>
            <w:tcW w:w="5812" w:type="dxa"/>
            <w:vAlign w:val="center"/>
          </w:tcPr>
          <w:p>
            <w:pPr>
              <w:pStyle w:val="23"/>
              <w:contextualSpacing/>
              <w:jc w:val="center"/>
              <w:rPr>
                <w:bCs/>
                <w:kern w:val="2"/>
              </w:rPr>
            </w:pPr>
            <w:r>
              <w:rPr>
                <w:bCs/>
                <w:kern w:val="2"/>
              </w:rPr>
              <w:t>大型管 管径的1/5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60" w:type="dxa"/>
            <w:vMerge w:val="restart"/>
            <w:vAlign w:val="center"/>
          </w:tcPr>
          <w:p>
            <w:pPr>
              <w:pStyle w:val="23"/>
              <w:contextualSpacing/>
              <w:jc w:val="center"/>
              <w:rPr>
                <w:bCs/>
                <w:kern w:val="2"/>
              </w:rPr>
            </w:pPr>
            <w:r>
              <w:rPr>
                <w:bCs/>
                <w:kern w:val="2"/>
              </w:rPr>
              <w:t>检查井</w:t>
            </w:r>
          </w:p>
        </w:tc>
        <w:tc>
          <w:tcPr>
            <w:tcW w:w="1701" w:type="dxa"/>
            <w:vAlign w:val="center"/>
          </w:tcPr>
          <w:p>
            <w:pPr>
              <w:pStyle w:val="23"/>
              <w:contextualSpacing/>
              <w:jc w:val="center"/>
              <w:rPr>
                <w:bCs/>
                <w:kern w:val="2"/>
              </w:rPr>
            </w:pPr>
            <w:r>
              <w:rPr>
                <w:bCs/>
                <w:kern w:val="2"/>
              </w:rPr>
              <w:t>落底井</w:t>
            </w:r>
          </w:p>
        </w:tc>
        <w:tc>
          <w:tcPr>
            <w:tcW w:w="5812" w:type="dxa"/>
            <w:vAlign w:val="center"/>
          </w:tcPr>
          <w:p>
            <w:pPr>
              <w:pStyle w:val="23"/>
              <w:contextualSpacing/>
              <w:jc w:val="center"/>
              <w:rPr>
                <w:bCs/>
                <w:kern w:val="2"/>
              </w:rPr>
            </w:pPr>
            <w:r>
              <w:rPr>
                <w:bCs/>
                <w:kern w:val="2"/>
              </w:rPr>
              <w:t>管底以下50mm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vAlign w:val="center"/>
          </w:tcPr>
          <w:p>
            <w:pPr>
              <w:pStyle w:val="23"/>
              <w:ind w:firstLine="480" w:firstLineChars="200"/>
              <w:contextualSpacing/>
              <w:jc w:val="center"/>
              <w:rPr>
                <w:bCs/>
                <w:kern w:val="2"/>
              </w:rPr>
            </w:pPr>
          </w:p>
        </w:tc>
        <w:tc>
          <w:tcPr>
            <w:tcW w:w="1701" w:type="dxa"/>
            <w:vAlign w:val="center"/>
          </w:tcPr>
          <w:p>
            <w:pPr>
              <w:pStyle w:val="23"/>
              <w:contextualSpacing/>
              <w:jc w:val="center"/>
              <w:rPr>
                <w:bCs/>
                <w:kern w:val="2"/>
              </w:rPr>
            </w:pPr>
            <w:r>
              <w:rPr>
                <w:bCs/>
                <w:kern w:val="2"/>
              </w:rPr>
              <w:t>半落底</w:t>
            </w:r>
          </w:p>
        </w:tc>
        <w:tc>
          <w:tcPr>
            <w:tcW w:w="5812" w:type="dxa"/>
            <w:vAlign w:val="center"/>
          </w:tcPr>
          <w:p>
            <w:pPr>
              <w:pStyle w:val="23"/>
              <w:contextualSpacing/>
              <w:jc w:val="center"/>
              <w:rPr>
                <w:bCs/>
                <w:kern w:val="2"/>
              </w:rPr>
            </w:pPr>
            <w:r>
              <w:rPr>
                <w:bCs/>
                <w:kern w:val="2"/>
              </w:rPr>
              <w:t>不超过管底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560" w:type="dxa"/>
            <w:vMerge w:val="continue"/>
            <w:vAlign w:val="center"/>
          </w:tcPr>
          <w:p>
            <w:pPr>
              <w:pStyle w:val="23"/>
              <w:ind w:firstLine="480" w:firstLineChars="200"/>
              <w:contextualSpacing/>
              <w:jc w:val="center"/>
              <w:rPr>
                <w:bCs/>
                <w:kern w:val="2"/>
              </w:rPr>
            </w:pPr>
          </w:p>
        </w:tc>
        <w:tc>
          <w:tcPr>
            <w:tcW w:w="1701" w:type="dxa"/>
            <w:vMerge w:val="restart"/>
            <w:vAlign w:val="center"/>
          </w:tcPr>
          <w:p>
            <w:pPr>
              <w:pStyle w:val="23"/>
              <w:contextualSpacing/>
              <w:jc w:val="center"/>
              <w:rPr>
                <w:bCs/>
                <w:kern w:val="2"/>
              </w:rPr>
            </w:pPr>
            <w:r>
              <w:rPr>
                <w:bCs/>
                <w:kern w:val="2"/>
              </w:rPr>
              <w:t>平底井</w:t>
            </w:r>
          </w:p>
        </w:tc>
        <w:tc>
          <w:tcPr>
            <w:tcW w:w="5812" w:type="dxa"/>
            <w:vAlign w:val="center"/>
          </w:tcPr>
          <w:p>
            <w:pPr>
              <w:pStyle w:val="23"/>
              <w:contextualSpacing/>
              <w:jc w:val="center"/>
              <w:rPr>
                <w:bCs/>
                <w:kern w:val="2"/>
              </w:rPr>
            </w:pPr>
            <w:r>
              <w:rPr>
                <w:bCs/>
                <w:kern w:val="2"/>
              </w:rPr>
              <w:t>小型管 管径的1/4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560" w:type="dxa"/>
            <w:vMerge w:val="continue"/>
            <w:vAlign w:val="center"/>
          </w:tcPr>
          <w:p>
            <w:pPr>
              <w:pStyle w:val="23"/>
              <w:ind w:firstLine="480" w:firstLineChars="200"/>
              <w:contextualSpacing/>
              <w:jc w:val="center"/>
              <w:rPr>
                <w:bCs/>
                <w:kern w:val="2"/>
              </w:rPr>
            </w:pPr>
          </w:p>
        </w:tc>
        <w:tc>
          <w:tcPr>
            <w:tcW w:w="1701" w:type="dxa"/>
            <w:vMerge w:val="continue"/>
            <w:vAlign w:val="center"/>
          </w:tcPr>
          <w:p>
            <w:pPr>
              <w:pStyle w:val="23"/>
              <w:ind w:firstLine="480" w:firstLineChars="200"/>
              <w:contextualSpacing/>
              <w:jc w:val="center"/>
              <w:rPr>
                <w:bCs/>
                <w:kern w:val="2"/>
              </w:rPr>
            </w:pPr>
          </w:p>
        </w:tc>
        <w:tc>
          <w:tcPr>
            <w:tcW w:w="5812" w:type="dxa"/>
            <w:vAlign w:val="center"/>
          </w:tcPr>
          <w:p>
            <w:pPr>
              <w:pStyle w:val="23"/>
              <w:contextualSpacing/>
              <w:jc w:val="center"/>
              <w:rPr>
                <w:bCs/>
                <w:kern w:val="2"/>
              </w:rPr>
            </w:pPr>
            <w:r>
              <w:rPr>
                <w:bCs/>
                <w:kern w:val="2"/>
              </w:rPr>
              <w:t>大型管 管径的1/5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560" w:type="dxa"/>
            <w:vMerge w:val="restart"/>
            <w:vAlign w:val="center"/>
          </w:tcPr>
          <w:p>
            <w:pPr>
              <w:pStyle w:val="23"/>
              <w:contextualSpacing/>
              <w:jc w:val="center"/>
              <w:rPr>
                <w:bCs/>
                <w:kern w:val="2"/>
              </w:rPr>
            </w:pPr>
            <w:r>
              <w:rPr>
                <w:bCs/>
                <w:kern w:val="2"/>
              </w:rPr>
              <w:t>雨水口</w:t>
            </w:r>
          </w:p>
        </w:tc>
        <w:tc>
          <w:tcPr>
            <w:tcW w:w="1701" w:type="dxa"/>
            <w:vAlign w:val="center"/>
          </w:tcPr>
          <w:p>
            <w:pPr>
              <w:pStyle w:val="23"/>
              <w:contextualSpacing/>
              <w:jc w:val="center"/>
              <w:rPr>
                <w:bCs/>
                <w:kern w:val="2"/>
              </w:rPr>
            </w:pPr>
            <w:r>
              <w:rPr>
                <w:bCs/>
                <w:kern w:val="2"/>
              </w:rPr>
              <w:t>有沉泥槽</w:t>
            </w:r>
          </w:p>
        </w:tc>
        <w:tc>
          <w:tcPr>
            <w:tcW w:w="5812" w:type="dxa"/>
            <w:vAlign w:val="center"/>
          </w:tcPr>
          <w:p>
            <w:pPr>
              <w:pStyle w:val="23"/>
              <w:contextualSpacing/>
              <w:jc w:val="center"/>
              <w:rPr>
                <w:bCs/>
                <w:kern w:val="2"/>
              </w:rPr>
            </w:pPr>
            <w:r>
              <w:rPr>
                <w:bCs/>
                <w:kern w:val="2"/>
              </w:rPr>
              <w:t>管底以下50mm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560" w:type="dxa"/>
            <w:vMerge w:val="continue"/>
            <w:vAlign w:val="center"/>
          </w:tcPr>
          <w:p>
            <w:pPr>
              <w:pStyle w:val="23"/>
              <w:ind w:firstLine="480" w:firstLineChars="200"/>
              <w:contextualSpacing/>
              <w:jc w:val="center"/>
              <w:rPr>
                <w:bCs/>
                <w:kern w:val="2"/>
              </w:rPr>
            </w:pPr>
          </w:p>
        </w:tc>
        <w:tc>
          <w:tcPr>
            <w:tcW w:w="1701" w:type="dxa"/>
            <w:vAlign w:val="center"/>
          </w:tcPr>
          <w:p>
            <w:pPr>
              <w:pStyle w:val="23"/>
              <w:contextualSpacing/>
              <w:jc w:val="center"/>
              <w:rPr>
                <w:bCs/>
                <w:kern w:val="2"/>
              </w:rPr>
            </w:pPr>
            <w:r>
              <w:rPr>
                <w:bCs/>
                <w:kern w:val="2"/>
              </w:rPr>
              <w:t>无沉泥槽</w:t>
            </w:r>
          </w:p>
        </w:tc>
        <w:tc>
          <w:tcPr>
            <w:tcW w:w="5812" w:type="dxa"/>
            <w:vAlign w:val="center"/>
          </w:tcPr>
          <w:p>
            <w:pPr>
              <w:pStyle w:val="23"/>
              <w:contextualSpacing/>
              <w:jc w:val="center"/>
              <w:rPr>
                <w:bCs/>
                <w:kern w:val="2"/>
              </w:rPr>
            </w:pPr>
            <w:r>
              <w:rPr>
                <w:bCs/>
                <w:kern w:val="2"/>
              </w:rPr>
              <w:t>管底以上50mm</w:t>
            </w:r>
          </w:p>
        </w:tc>
      </w:tr>
    </w:tbl>
    <w:p>
      <w:pPr>
        <w:tabs>
          <w:tab w:val="left" w:pos="3060"/>
        </w:tabs>
        <w:spacing w:line="360" w:lineRule="auto"/>
        <w:ind w:firstLine="480" w:firstLineChars="200"/>
        <w:contextualSpacing/>
        <w:rPr>
          <w:bCs/>
          <w:sz w:val="24"/>
          <w:szCs w:val="24"/>
        </w:rPr>
      </w:pPr>
      <w:r>
        <w:rPr>
          <w:bCs/>
          <w:sz w:val="24"/>
          <w:szCs w:val="24"/>
        </w:rPr>
        <w:t>备注：管道分类标准：</w:t>
      </w:r>
    </w:p>
    <w:p>
      <w:pPr>
        <w:tabs>
          <w:tab w:val="left" w:pos="3060"/>
        </w:tabs>
        <w:spacing w:line="360" w:lineRule="auto"/>
        <w:ind w:firstLine="480" w:firstLineChars="200"/>
        <w:contextualSpacing/>
        <w:rPr>
          <w:bCs/>
          <w:sz w:val="24"/>
          <w:szCs w:val="24"/>
        </w:rPr>
      </w:pPr>
      <w:r>
        <w:rPr>
          <w:bCs/>
          <w:sz w:val="24"/>
          <w:szCs w:val="24"/>
        </w:rPr>
        <w:t>管道：    小型管 DN600 mm及以下</w:t>
      </w:r>
    </w:p>
    <w:p>
      <w:pPr>
        <w:tabs>
          <w:tab w:val="left" w:pos="3060"/>
        </w:tabs>
        <w:spacing w:line="360" w:lineRule="auto"/>
        <w:ind w:firstLine="1680" w:firstLineChars="700"/>
        <w:contextualSpacing/>
        <w:rPr>
          <w:bCs/>
          <w:sz w:val="24"/>
          <w:szCs w:val="24"/>
        </w:rPr>
      </w:pPr>
      <w:r>
        <w:rPr>
          <w:bCs/>
          <w:sz w:val="24"/>
          <w:szCs w:val="24"/>
        </w:rPr>
        <w:t>大型管 DN600 mm以上</w:t>
      </w:r>
    </w:p>
    <w:p>
      <w:pPr>
        <w:tabs>
          <w:tab w:val="left" w:pos="3060"/>
        </w:tabs>
        <w:spacing w:line="360" w:lineRule="auto"/>
        <w:ind w:firstLine="480" w:firstLineChars="200"/>
        <w:contextualSpacing/>
        <w:rPr>
          <w:bCs/>
          <w:sz w:val="24"/>
          <w:szCs w:val="24"/>
        </w:rPr>
      </w:pPr>
      <w:r>
        <w:rPr>
          <w:bCs/>
          <w:sz w:val="24"/>
          <w:szCs w:val="24"/>
        </w:rPr>
        <w:t>检查井：  落底井 管底以下沉泥槽深度大于30cm  </w:t>
      </w:r>
    </w:p>
    <w:p>
      <w:pPr>
        <w:tabs>
          <w:tab w:val="left" w:pos="3060"/>
        </w:tabs>
        <w:spacing w:line="360" w:lineRule="auto"/>
        <w:ind w:firstLine="480" w:firstLineChars="200"/>
        <w:contextualSpacing/>
        <w:rPr>
          <w:bCs/>
          <w:sz w:val="24"/>
          <w:szCs w:val="24"/>
        </w:rPr>
      </w:pPr>
      <w:r>
        <w:rPr>
          <w:bCs/>
          <w:sz w:val="24"/>
          <w:szCs w:val="24"/>
        </w:rPr>
        <w:t>     半落底 管底以下沉泥槽深度小于30cm  </w:t>
      </w:r>
    </w:p>
    <w:p>
      <w:pPr>
        <w:tabs>
          <w:tab w:val="left" w:pos="3060"/>
        </w:tabs>
        <w:spacing w:line="360" w:lineRule="auto"/>
        <w:ind w:firstLine="480" w:firstLineChars="200"/>
        <w:contextualSpacing/>
        <w:rPr>
          <w:bCs/>
          <w:sz w:val="24"/>
          <w:szCs w:val="24"/>
        </w:rPr>
      </w:pPr>
      <w:r>
        <w:rPr>
          <w:bCs/>
          <w:sz w:val="24"/>
          <w:szCs w:val="24"/>
        </w:rPr>
        <w:t>      平底井 井底与管底齐平</w:t>
      </w:r>
    </w:p>
    <w:p>
      <w:pPr>
        <w:tabs>
          <w:tab w:val="left" w:pos="3060"/>
        </w:tabs>
        <w:spacing w:line="360" w:lineRule="auto"/>
        <w:ind w:firstLine="480" w:firstLineChars="200"/>
        <w:contextualSpacing/>
        <w:rPr>
          <w:sz w:val="24"/>
          <w:szCs w:val="24"/>
        </w:rPr>
      </w:pPr>
      <w:r>
        <w:rPr>
          <w:bCs/>
          <w:sz w:val="24"/>
          <w:szCs w:val="24"/>
        </w:rPr>
        <w:t>3.4</w:t>
      </w:r>
      <w:r>
        <w:rPr>
          <w:sz w:val="24"/>
          <w:szCs w:val="24"/>
        </w:rPr>
        <w:t>灌溉系统、灯光、监控养护要求</w:t>
      </w:r>
    </w:p>
    <w:p>
      <w:pPr>
        <w:spacing w:line="360" w:lineRule="auto"/>
        <w:ind w:firstLine="480" w:firstLineChars="200"/>
        <w:contextualSpacing/>
        <w:rPr>
          <w:sz w:val="24"/>
          <w:szCs w:val="24"/>
        </w:rPr>
      </w:pPr>
      <w:r>
        <w:rPr>
          <w:sz w:val="24"/>
          <w:szCs w:val="24"/>
        </w:rPr>
        <w:t>灌溉系统、灯光、监控设施的基本维护（包括但不限于日常巡检巡修、能耗、自然损坏、偷盗或人为损坏的修复等）。</w:t>
      </w:r>
    </w:p>
    <w:p>
      <w:pPr>
        <w:spacing w:line="360" w:lineRule="auto"/>
        <w:ind w:firstLine="480" w:firstLineChars="200"/>
        <w:contextualSpacing/>
        <w:rPr>
          <w:sz w:val="24"/>
          <w:szCs w:val="24"/>
        </w:rPr>
      </w:pPr>
      <w:r>
        <w:rPr>
          <w:sz w:val="24"/>
          <w:szCs w:val="24"/>
        </w:rPr>
        <w:t xml:space="preserve">承包商须对上述设施进行预防性、经常性、周期性和及时性的运行维护管理，根据设施的实际状况制定运维计划，及时发现和修复设施各类缺陷和故障，确保设施达到养护要求。在运维过程中应根据业主方要求做好自检、自查、自改。 </w:t>
      </w:r>
    </w:p>
    <w:p>
      <w:pPr>
        <w:spacing w:line="360" w:lineRule="auto"/>
        <w:ind w:firstLine="480" w:firstLineChars="200"/>
        <w:contextualSpacing/>
        <w:rPr>
          <w:sz w:val="24"/>
          <w:szCs w:val="24"/>
        </w:rPr>
      </w:pPr>
      <w:r>
        <w:rPr>
          <w:sz w:val="24"/>
          <w:szCs w:val="24"/>
        </w:rPr>
        <w:t>设施设施完好率应≥95%。</w:t>
      </w:r>
    </w:p>
    <w:p>
      <w:pPr>
        <w:spacing w:line="360" w:lineRule="auto"/>
        <w:ind w:firstLine="480" w:firstLineChars="200"/>
        <w:contextualSpacing/>
        <w:rPr>
          <w:sz w:val="24"/>
          <w:szCs w:val="24"/>
        </w:rPr>
      </w:pPr>
      <w:r>
        <w:rPr>
          <w:sz w:val="24"/>
          <w:szCs w:val="24"/>
        </w:rPr>
        <w:t xml:space="preserve">及时修复率应达到 100%。 </w:t>
      </w:r>
    </w:p>
    <w:p>
      <w:pPr>
        <w:spacing w:line="360" w:lineRule="auto"/>
        <w:ind w:firstLine="480" w:firstLineChars="200"/>
        <w:contextualSpacing/>
        <w:rPr>
          <w:sz w:val="24"/>
          <w:szCs w:val="24"/>
        </w:rPr>
      </w:pPr>
      <w:r>
        <w:rPr>
          <w:sz w:val="24"/>
          <w:szCs w:val="24"/>
        </w:rPr>
        <w:t>承包商应每月制定巡检计划，对设施进行巡检。巡检周期正常不应超过 1个月，各类缺陷自发现至消除或降低等级的时间应符合下列规定：（1）危急缺陷不超过 24小时；（2）严重缺陷不超过 1周；（3）一般缺陷不超过一个巡检周期；（4）轻微缺陷结合道路设施整修工程处理。</w:t>
      </w:r>
    </w:p>
    <w:p>
      <w:pPr>
        <w:spacing w:line="360" w:lineRule="auto"/>
        <w:ind w:firstLine="480" w:firstLineChars="200"/>
        <w:contextualSpacing/>
        <w:jc w:val="left"/>
        <w:rPr>
          <w:sz w:val="24"/>
          <w:szCs w:val="24"/>
        </w:rPr>
      </w:pPr>
      <w:r>
        <w:rPr>
          <w:sz w:val="24"/>
          <w:szCs w:val="24"/>
        </w:rPr>
        <w:t>承包商应结合实际情况进行巡视，对设施完好进行监护。巡视内容主要对设施的损坏、以及其他将来对正常运行养护产生影响的行为。巡视所发现问题进行跟踪或及时制止，并及时汇总上报相关情况。</w:t>
      </w:r>
    </w:p>
    <w:p>
      <w:pPr>
        <w:spacing w:line="360" w:lineRule="auto"/>
        <w:ind w:firstLine="482" w:firstLineChars="200"/>
        <w:contextualSpacing/>
        <w:jc w:val="left"/>
        <w:rPr>
          <w:b/>
          <w:bCs/>
          <w:sz w:val="24"/>
          <w:szCs w:val="24"/>
        </w:rPr>
      </w:pPr>
      <w:r>
        <w:rPr>
          <w:b/>
          <w:bCs/>
          <w:sz w:val="24"/>
          <w:szCs w:val="24"/>
        </w:rPr>
        <w:t>4、管理要求</w:t>
      </w:r>
    </w:p>
    <w:p>
      <w:pPr>
        <w:tabs>
          <w:tab w:val="left" w:pos="3060"/>
        </w:tabs>
        <w:spacing w:line="360" w:lineRule="auto"/>
        <w:ind w:firstLine="480" w:firstLineChars="200"/>
        <w:contextualSpacing/>
        <w:rPr>
          <w:bCs/>
          <w:sz w:val="24"/>
          <w:szCs w:val="24"/>
        </w:rPr>
      </w:pPr>
      <w:r>
        <w:rPr>
          <w:bCs/>
          <w:sz w:val="24"/>
          <w:szCs w:val="24"/>
        </w:rPr>
        <w:t>1）中标人在投标书中承诺并经招标人认定的项目经理及专业技术、管理人员必须是本单位职工（在本单位缴纳四金）和该项目施工现场的实际操作者，并应常驻项目现场。未经发包单位同意，中标人不得调换或撤离上述人员。如发包单位认为有必要，可要求中标人对上述人员中的部分人员作出更好的调整。</w:t>
      </w:r>
    </w:p>
    <w:p>
      <w:pPr>
        <w:tabs>
          <w:tab w:val="left" w:pos="3060"/>
        </w:tabs>
        <w:spacing w:line="360" w:lineRule="auto"/>
        <w:ind w:firstLine="480" w:firstLineChars="200"/>
        <w:contextualSpacing/>
        <w:rPr>
          <w:sz w:val="24"/>
          <w:szCs w:val="24"/>
        </w:rPr>
      </w:pPr>
      <w:r>
        <w:rPr>
          <w:bCs/>
          <w:sz w:val="24"/>
          <w:szCs w:val="24"/>
        </w:rPr>
        <w:t>2）中标人应严格按国家、上海市有关规定进行养护维修及运行管理，并无条件地接受发包单位、项目监理单位、审计单位等对项目质量、进度、造价、安全、现场文明施工等方面的考核与监督管理。</w:t>
      </w:r>
    </w:p>
    <w:p>
      <w:pPr>
        <w:spacing w:line="360" w:lineRule="auto"/>
        <w:ind w:firstLine="472" w:firstLineChars="196"/>
        <w:contextualSpacing/>
        <w:jc w:val="left"/>
        <w:outlineLvl w:val="2"/>
        <w:rPr>
          <w:b/>
          <w:bCs/>
          <w:sz w:val="24"/>
          <w:szCs w:val="24"/>
        </w:rPr>
      </w:pPr>
      <w:bookmarkStart w:id="51" w:name="_Toc21269"/>
      <w:bookmarkStart w:id="52" w:name="_Toc8808321"/>
      <w:bookmarkStart w:id="53" w:name="_Toc497211022"/>
      <w:bookmarkStart w:id="54" w:name="_Toc463690203"/>
      <w:bookmarkStart w:id="55" w:name="_Toc460922290"/>
      <w:r>
        <w:rPr>
          <w:b/>
          <w:bCs/>
          <w:sz w:val="24"/>
          <w:szCs w:val="24"/>
        </w:rPr>
        <w:t>5、人员要求</w:t>
      </w:r>
      <w:bookmarkEnd w:id="51"/>
      <w:bookmarkEnd w:id="52"/>
      <w:bookmarkEnd w:id="53"/>
    </w:p>
    <w:bookmarkEnd w:id="54"/>
    <w:bookmarkEnd w:id="55"/>
    <w:p>
      <w:pPr>
        <w:spacing w:line="360" w:lineRule="auto"/>
        <w:ind w:firstLine="480" w:firstLineChars="200"/>
        <w:contextualSpacing/>
        <w:rPr>
          <w:sz w:val="24"/>
          <w:szCs w:val="24"/>
        </w:rPr>
      </w:pPr>
      <w:r>
        <w:rPr>
          <w:sz w:val="24"/>
          <w:szCs w:val="24"/>
        </w:rPr>
        <w:t>5.1人员要求</w:t>
      </w:r>
    </w:p>
    <w:p>
      <w:pPr>
        <w:spacing w:line="360" w:lineRule="auto"/>
        <w:ind w:firstLine="480" w:firstLineChars="200"/>
        <w:contextualSpacing/>
        <w:rPr>
          <w:bCs/>
          <w:sz w:val="24"/>
          <w:szCs w:val="24"/>
        </w:rPr>
      </w:pPr>
      <w:r>
        <w:rPr>
          <w:bCs/>
          <w:sz w:val="24"/>
          <w:szCs w:val="24"/>
        </w:rPr>
        <w:t>5.1.1投标人拟派的项目经理及专业技术、管理人员实际以养护专业要求为准，且必须是本单位职工（</w:t>
      </w:r>
      <w:r>
        <w:rPr>
          <w:sz w:val="24"/>
          <w:szCs w:val="24"/>
        </w:rPr>
        <w:t>提供近三个月内任一月份的社保缴金证明</w:t>
      </w:r>
      <w:r>
        <w:rPr>
          <w:bCs/>
          <w:sz w:val="24"/>
          <w:szCs w:val="24"/>
        </w:rPr>
        <w:t>），且为该项目施工现场的实际操作者，并应常驻项目现场。未经采购人同意，中标人不得调换或撤离上述人员，如采购人认为有必要，可要求中标人对上述人员中的部分人员作出更好的调整。</w:t>
      </w:r>
    </w:p>
    <w:p>
      <w:pPr>
        <w:tabs>
          <w:tab w:val="left" w:pos="3060"/>
        </w:tabs>
        <w:spacing w:line="360" w:lineRule="auto"/>
        <w:ind w:firstLine="480" w:firstLineChars="200"/>
        <w:contextualSpacing/>
        <w:rPr>
          <w:bCs/>
          <w:sz w:val="24"/>
          <w:szCs w:val="24"/>
        </w:rPr>
      </w:pPr>
      <w:r>
        <w:rPr>
          <w:bCs/>
          <w:sz w:val="24"/>
          <w:szCs w:val="24"/>
        </w:rPr>
        <w:t>5.1.2管理人员配置表</w:t>
      </w:r>
    </w:p>
    <w:p>
      <w:pPr>
        <w:spacing w:line="360" w:lineRule="auto"/>
        <w:contextualSpacing/>
        <w:jc w:val="center"/>
        <w:rPr>
          <w:b/>
          <w:bCs/>
          <w:kern w:val="0"/>
          <w:sz w:val="24"/>
          <w:szCs w:val="24"/>
        </w:rPr>
      </w:pPr>
    </w:p>
    <w:p>
      <w:pPr>
        <w:spacing w:line="360" w:lineRule="auto"/>
        <w:contextualSpacing/>
        <w:jc w:val="center"/>
        <w:rPr>
          <w:b/>
          <w:bCs/>
          <w:kern w:val="0"/>
          <w:sz w:val="24"/>
          <w:szCs w:val="24"/>
        </w:rPr>
      </w:pPr>
      <w:r>
        <w:rPr>
          <w:b/>
          <w:bCs/>
          <w:kern w:val="0"/>
          <w:sz w:val="24"/>
          <w:szCs w:val="24"/>
        </w:rPr>
        <w:t>管理（技术）人员配置表</w:t>
      </w:r>
    </w:p>
    <w:tbl>
      <w:tblPr>
        <w:tblStyle w:val="486"/>
        <w:tblW w:w="9773" w:type="dxa"/>
        <w:tblInd w:w="3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0"/>
        <w:gridCol w:w="1095"/>
        <w:gridCol w:w="1293"/>
        <w:gridCol w:w="2060"/>
        <w:gridCol w:w="1012"/>
        <w:gridCol w:w="1500"/>
        <w:gridCol w:w="194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870" w:type="dxa"/>
            <w:tcBorders>
              <w:top w:val="single" w:color="000000" w:sz="6" w:space="0"/>
              <w:left w:val="single" w:color="000000" w:sz="6" w:space="0"/>
            </w:tcBorders>
            <w:textDirection w:val="tbRlV"/>
            <w:vAlign w:val="top"/>
          </w:tcPr>
          <w:p>
            <w:pPr>
              <w:pStyle w:val="487"/>
              <w:spacing w:before="175" w:line="218" w:lineRule="auto"/>
              <w:ind w:left="46"/>
              <w:rPr>
                <w:color w:val="auto"/>
                <w:sz w:val="20"/>
                <w:szCs w:val="20"/>
              </w:rPr>
            </w:pPr>
            <w:r>
              <w:rPr>
                <w:color w:val="auto"/>
                <w:spacing w:val="8"/>
                <w:sz w:val="20"/>
                <w:szCs w:val="20"/>
              </w:rPr>
              <w:t>序</w:t>
            </w:r>
            <w:r>
              <w:rPr>
                <w:color w:val="auto"/>
                <w:spacing w:val="-35"/>
                <w:sz w:val="20"/>
                <w:szCs w:val="20"/>
              </w:rPr>
              <w:t xml:space="preserve"> </w:t>
            </w:r>
            <w:r>
              <w:rPr>
                <w:color w:val="auto"/>
                <w:spacing w:val="8"/>
                <w:sz w:val="20"/>
                <w:szCs w:val="20"/>
              </w:rPr>
              <w:t>号</w:t>
            </w:r>
          </w:p>
        </w:tc>
        <w:tc>
          <w:tcPr>
            <w:tcW w:w="1095" w:type="dxa"/>
            <w:tcBorders>
              <w:top w:val="single" w:color="000000" w:sz="6" w:space="0"/>
            </w:tcBorders>
            <w:vAlign w:val="center"/>
          </w:tcPr>
          <w:p>
            <w:pPr>
              <w:kinsoku/>
              <w:autoSpaceDE/>
              <w:autoSpaceDN/>
              <w:adjustRightInd/>
              <w:snapToGrid/>
              <w:spacing w:before="182" w:line="0" w:lineRule="atLeast"/>
              <w:contextualSpacing/>
              <w:jc w:val="both"/>
              <w:textAlignment w:val="auto"/>
              <w:rPr>
                <w:color w:val="auto"/>
                <w:sz w:val="20"/>
                <w:szCs w:val="20"/>
              </w:rPr>
            </w:pPr>
            <w:r>
              <w:rPr>
                <w:rFonts w:ascii="宋体" w:hAnsi="宋体"/>
                <w:bCs/>
                <w:color w:val="auto"/>
                <w:kern w:val="0"/>
              </w:rPr>
              <w:t>岗位类别</w:t>
            </w:r>
          </w:p>
        </w:tc>
        <w:tc>
          <w:tcPr>
            <w:tcW w:w="1293" w:type="dxa"/>
            <w:tcBorders>
              <w:top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color w:val="auto"/>
                <w:sz w:val="20"/>
                <w:szCs w:val="20"/>
              </w:rPr>
            </w:pPr>
            <w:r>
              <w:rPr>
                <w:rFonts w:ascii="宋体" w:hAnsi="宋体"/>
                <w:bCs/>
                <w:color w:val="auto"/>
                <w:kern w:val="0"/>
              </w:rPr>
              <w:t>岗位名称</w:t>
            </w:r>
          </w:p>
        </w:tc>
        <w:tc>
          <w:tcPr>
            <w:tcW w:w="2060" w:type="dxa"/>
            <w:tcBorders>
              <w:top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color w:val="auto"/>
                <w:sz w:val="20"/>
                <w:szCs w:val="20"/>
              </w:rPr>
            </w:pPr>
            <w:r>
              <w:rPr>
                <w:rFonts w:ascii="宋体" w:hAnsi="宋体"/>
                <w:bCs/>
                <w:color w:val="auto"/>
                <w:kern w:val="0"/>
              </w:rPr>
              <w:t>级别</w:t>
            </w:r>
          </w:p>
        </w:tc>
        <w:tc>
          <w:tcPr>
            <w:tcW w:w="1012" w:type="dxa"/>
            <w:tcBorders>
              <w:top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eastAsia" w:ascii="宋体" w:hAnsi="宋体"/>
                <w:bCs/>
                <w:color w:val="auto"/>
                <w:kern w:val="0"/>
              </w:rPr>
            </w:pPr>
            <w:r>
              <w:rPr>
                <w:rFonts w:hint="eastAsia" w:ascii="宋体" w:hAnsi="宋体"/>
                <w:bCs/>
                <w:color w:val="auto"/>
                <w:kern w:val="0"/>
              </w:rPr>
              <w:t>最少配置</w:t>
            </w:r>
          </w:p>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color w:val="auto"/>
                <w:sz w:val="20"/>
                <w:szCs w:val="20"/>
              </w:rPr>
            </w:pPr>
            <w:r>
              <w:rPr>
                <w:rFonts w:ascii="宋体" w:hAnsi="宋体"/>
                <w:bCs/>
                <w:color w:val="auto"/>
                <w:kern w:val="0"/>
              </w:rPr>
              <w:t>数量</w:t>
            </w:r>
          </w:p>
        </w:tc>
        <w:tc>
          <w:tcPr>
            <w:tcW w:w="1500" w:type="dxa"/>
            <w:tcBorders>
              <w:top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color w:val="auto"/>
                <w:sz w:val="20"/>
                <w:szCs w:val="20"/>
              </w:rPr>
            </w:pPr>
            <w:r>
              <w:rPr>
                <w:rFonts w:ascii="宋体" w:hAnsi="宋体"/>
                <w:bCs/>
                <w:color w:val="auto"/>
                <w:kern w:val="0"/>
              </w:rPr>
              <w:t>应提供验证资料</w:t>
            </w:r>
          </w:p>
        </w:tc>
        <w:tc>
          <w:tcPr>
            <w:tcW w:w="1943" w:type="dxa"/>
            <w:tcBorders>
              <w:top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color w:val="auto"/>
                <w:sz w:val="20"/>
                <w:szCs w:val="20"/>
              </w:rPr>
            </w:pPr>
            <w:r>
              <w:rPr>
                <w:rFonts w:ascii="宋体" w:hAnsi="宋体"/>
                <w:bCs/>
                <w:color w:val="auto"/>
                <w:kern w:val="0"/>
              </w:rPr>
              <w:t>提供其他验证材料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0" w:type="dxa"/>
            <w:tcBorders>
              <w:left w:val="single" w:color="000000" w:sz="6" w:space="0"/>
            </w:tcBorders>
            <w:vAlign w:val="top"/>
          </w:tcPr>
          <w:p>
            <w:pPr>
              <w:pStyle w:val="487"/>
              <w:spacing w:before="179" w:line="270" w:lineRule="exact"/>
              <w:ind w:left="241"/>
              <w:rPr>
                <w:color w:val="auto"/>
                <w:sz w:val="20"/>
                <w:szCs w:val="20"/>
              </w:rPr>
            </w:pPr>
            <w:r>
              <w:rPr>
                <w:color w:val="auto"/>
                <w:position w:val="1"/>
                <w:sz w:val="20"/>
                <w:szCs w:val="20"/>
              </w:rPr>
              <w:t>1</w:t>
            </w:r>
          </w:p>
        </w:tc>
        <w:tc>
          <w:tcPr>
            <w:tcW w:w="1095" w:type="dxa"/>
            <w:vMerge w:val="restart"/>
            <w:tcBorders>
              <w:bottom w:val="nil"/>
            </w:tcBorders>
            <w:vAlign w:val="top"/>
          </w:tcPr>
          <w:p>
            <w:pPr>
              <w:autoSpaceDE w:val="0"/>
              <w:autoSpaceDN w:val="0"/>
              <w:spacing w:line="270" w:lineRule="auto"/>
              <w:rPr>
                <w:rFonts w:ascii="Arial"/>
                <w:color w:val="auto"/>
                <w:sz w:val="21"/>
              </w:rPr>
            </w:pPr>
          </w:p>
          <w:p>
            <w:pPr>
              <w:autoSpaceDE w:val="0"/>
              <w:autoSpaceDN w:val="0"/>
              <w:spacing w:line="270" w:lineRule="auto"/>
              <w:rPr>
                <w:rFonts w:ascii="Arial"/>
                <w:color w:val="auto"/>
                <w:sz w:val="21"/>
              </w:rPr>
            </w:pPr>
          </w:p>
          <w:p>
            <w:pPr>
              <w:autoSpaceDE w:val="0"/>
              <w:autoSpaceDN w:val="0"/>
              <w:spacing w:line="271" w:lineRule="auto"/>
              <w:rPr>
                <w:rFonts w:ascii="Arial"/>
                <w:color w:val="auto"/>
                <w:sz w:val="21"/>
              </w:rPr>
            </w:pPr>
          </w:p>
          <w:p>
            <w:pPr>
              <w:pStyle w:val="487"/>
              <w:spacing w:before="65" w:line="228" w:lineRule="auto"/>
              <w:ind w:left="110"/>
              <w:rPr>
                <w:color w:val="auto"/>
                <w:sz w:val="20"/>
                <w:szCs w:val="20"/>
              </w:rPr>
            </w:pPr>
            <w:r>
              <w:rPr>
                <w:color w:val="auto"/>
                <w:spacing w:val="6"/>
                <w:sz w:val="20"/>
                <w:szCs w:val="20"/>
              </w:rPr>
              <w:t>管理人员</w:t>
            </w:r>
          </w:p>
        </w:tc>
        <w:tc>
          <w:tcPr>
            <w:tcW w:w="1293" w:type="dxa"/>
            <w:vAlign w:val="top"/>
          </w:tcPr>
          <w:p>
            <w:pPr>
              <w:pStyle w:val="487"/>
              <w:spacing w:before="179" w:line="228" w:lineRule="auto"/>
              <w:ind w:left="253"/>
              <w:rPr>
                <w:color w:val="auto"/>
                <w:sz w:val="20"/>
                <w:szCs w:val="20"/>
              </w:rPr>
            </w:pPr>
            <w:r>
              <w:rPr>
                <w:color w:val="auto"/>
                <w:spacing w:val="6"/>
                <w:sz w:val="20"/>
                <w:szCs w:val="20"/>
              </w:rPr>
              <w:t>项目经理</w:t>
            </w:r>
          </w:p>
        </w:tc>
        <w:tc>
          <w:tcPr>
            <w:tcW w:w="2060" w:type="dxa"/>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color w:val="auto"/>
              </w:rPr>
            </w:pPr>
            <w:r>
              <w:rPr>
                <w:rFonts w:hint="eastAsia" w:ascii="宋体" w:hAnsi="宋体"/>
                <w:color w:val="auto"/>
                <w:kern w:val="0"/>
              </w:rPr>
              <w:t>高级工程师</w:t>
            </w:r>
            <w:r>
              <w:rPr>
                <w:rFonts w:hint="eastAsia" w:ascii="宋体" w:hAnsi="宋体"/>
                <w:color w:val="auto"/>
                <w:kern w:val="0"/>
                <w:lang w:eastAsia="zh-CN"/>
              </w:rPr>
              <w:t>职称</w:t>
            </w:r>
          </w:p>
        </w:tc>
        <w:tc>
          <w:tcPr>
            <w:tcW w:w="1012" w:type="dxa"/>
            <w:vAlign w:val="top"/>
          </w:tcPr>
          <w:p>
            <w:pPr>
              <w:pStyle w:val="487"/>
              <w:spacing w:before="179" w:line="270" w:lineRule="exact"/>
              <w:jc w:val="center"/>
              <w:rPr>
                <w:color w:val="auto"/>
                <w:sz w:val="20"/>
                <w:szCs w:val="20"/>
              </w:rPr>
            </w:pPr>
            <w:r>
              <w:rPr>
                <w:color w:val="auto"/>
                <w:position w:val="1"/>
                <w:sz w:val="20"/>
                <w:szCs w:val="20"/>
              </w:rPr>
              <w:t>1</w:t>
            </w:r>
          </w:p>
        </w:tc>
        <w:tc>
          <w:tcPr>
            <w:tcW w:w="1500" w:type="dxa"/>
            <w:vAlign w:val="top"/>
          </w:tcPr>
          <w:p>
            <w:pPr>
              <w:pStyle w:val="487"/>
              <w:spacing w:before="178" w:line="228" w:lineRule="auto"/>
              <w:ind w:left="117"/>
              <w:rPr>
                <w:color w:val="auto"/>
                <w:sz w:val="20"/>
                <w:szCs w:val="20"/>
              </w:rPr>
            </w:pPr>
            <w:r>
              <w:rPr>
                <w:color w:val="auto"/>
                <w:spacing w:val="7"/>
                <w:sz w:val="20"/>
                <w:szCs w:val="20"/>
              </w:rPr>
              <w:t>社保缴金证明</w:t>
            </w:r>
          </w:p>
        </w:tc>
        <w:tc>
          <w:tcPr>
            <w:tcW w:w="1943" w:type="dxa"/>
            <w:tcBorders>
              <w:right w:val="single" w:color="000000" w:sz="6" w:space="0"/>
            </w:tcBorders>
            <w:vAlign w:val="top"/>
          </w:tcPr>
          <w:p>
            <w:pPr>
              <w:pStyle w:val="487"/>
              <w:spacing w:before="45" w:line="238" w:lineRule="auto"/>
              <w:ind w:left="120" w:right="233" w:firstLine="7"/>
              <w:rPr>
                <w:color w:val="auto"/>
                <w:sz w:val="20"/>
                <w:szCs w:val="20"/>
              </w:rPr>
            </w:pPr>
            <w:r>
              <w:rPr>
                <w:color w:val="auto"/>
                <w:spacing w:val="6"/>
                <w:sz w:val="20"/>
                <w:szCs w:val="20"/>
              </w:rPr>
              <w:t>资格/职称证书扫</w:t>
            </w:r>
            <w:r>
              <w:rPr>
                <w:color w:val="auto"/>
                <w:spacing w:val="3"/>
                <w:sz w:val="20"/>
                <w:szCs w:val="20"/>
              </w:rPr>
              <w:t>描件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0" w:type="dxa"/>
            <w:tcBorders>
              <w:left w:val="single" w:color="000000" w:sz="6" w:space="0"/>
            </w:tcBorders>
            <w:vAlign w:val="top"/>
          </w:tcPr>
          <w:p>
            <w:pPr>
              <w:pStyle w:val="487"/>
              <w:spacing w:before="181" w:line="269" w:lineRule="exact"/>
              <w:ind w:left="229"/>
              <w:rPr>
                <w:color w:val="auto"/>
                <w:sz w:val="20"/>
                <w:szCs w:val="20"/>
              </w:rPr>
            </w:pPr>
            <w:r>
              <w:rPr>
                <w:color w:val="auto"/>
                <w:position w:val="1"/>
                <w:sz w:val="20"/>
                <w:szCs w:val="20"/>
              </w:rPr>
              <w:t>3</w:t>
            </w:r>
          </w:p>
        </w:tc>
        <w:tc>
          <w:tcPr>
            <w:tcW w:w="1095" w:type="dxa"/>
            <w:vMerge w:val="continue"/>
            <w:tcBorders>
              <w:top w:val="nil"/>
              <w:bottom w:val="nil"/>
            </w:tcBorders>
            <w:vAlign w:val="top"/>
          </w:tcPr>
          <w:p>
            <w:pPr>
              <w:autoSpaceDE w:val="0"/>
              <w:autoSpaceDN w:val="0"/>
              <w:rPr>
                <w:rFonts w:ascii="Arial"/>
                <w:color w:val="auto"/>
                <w:sz w:val="21"/>
              </w:rPr>
            </w:pPr>
          </w:p>
        </w:tc>
        <w:tc>
          <w:tcPr>
            <w:tcW w:w="1293" w:type="dxa"/>
            <w:tcBorders>
              <w:bottom w:val="single" w:color="auto" w:sz="4" w:space="0"/>
            </w:tcBorders>
            <w:vAlign w:val="top"/>
          </w:tcPr>
          <w:p>
            <w:pPr>
              <w:pStyle w:val="487"/>
              <w:spacing w:before="181" w:line="228" w:lineRule="auto"/>
              <w:ind w:left="250"/>
              <w:rPr>
                <w:color w:val="auto"/>
                <w:sz w:val="20"/>
                <w:szCs w:val="20"/>
              </w:rPr>
            </w:pPr>
            <w:r>
              <w:rPr>
                <w:color w:val="auto"/>
                <w:spacing w:val="7"/>
                <w:sz w:val="20"/>
                <w:szCs w:val="20"/>
              </w:rPr>
              <w:t>养护主管</w:t>
            </w:r>
          </w:p>
        </w:tc>
        <w:tc>
          <w:tcPr>
            <w:tcW w:w="2060" w:type="dxa"/>
            <w:vAlign w:val="top"/>
          </w:tcPr>
          <w:p>
            <w:pPr>
              <w:pStyle w:val="487"/>
              <w:spacing w:before="47" w:line="237" w:lineRule="auto"/>
              <w:ind w:left="302" w:right="195" w:hanging="85"/>
              <w:rPr>
                <w:color w:val="auto"/>
              </w:rPr>
            </w:pPr>
            <w:r>
              <w:rPr>
                <w:color w:val="auto"/>
                <w:spacing w:val="2"/>
                <w:sz w:val="20"/>
                <w:szCs w:val="20"/>
              </w:rPr>
              <w:t>中级及以</w:t>
            </w:r>
            <w:r>
              <w:rPr>
                <w:color w:val="auto"/>
                <w:spacing w:val="6"/>
                <w:sz w:val="20"/>
                <w:szCs w:val="20"/>
              </w:rPr>
              <w:t>上职称</w:t>
            </w:r>
            <w:r>
              <w:rPr>
                <w:rFonts w:hint="eastAsia"/>
                <w:color w:val="auto"/>
                <w:spacing w:val="6"/>
                <w:sz w:val="20"/>
                <w:szCs w:val="20"/>
                <w:lang w:eastAsia="zh-CN"/>
              </w:rPr>
              <w:t>（</w:t>
            </w:r>
            <w:r>
              <w:rPr>
                <w:rFonts w:hint="eastAsia"/>
                <w:color w:val="auto"/>
                <w:spacing w:val="6"/>
                <w:sz w:val="20"/>
                <w:szCs w:val="20"/>
                <w:lang w:val="en-US" w:eastAsia="zh-CN"/>
              </w:rPr>
              <w:t>绿化、环境</w:t>
            </w:r>
            <w:r>
              <w:rPr>
                <w:rFonts w:hint="eastAsia"/>
                <w:color w:val="auto"/>
                <w:spacing w:val="6"/>
                <w:sz w:val="20"/>
                <w:szCs w:val="20"/>
                <w:lang w:eastAsia="zh-CN"/>
              </w:rPr>
              <w:t>）</w:t>
            </w:r>
          </w:p>
        </w:tc>
        <w:tc>
          <w:tcPr>
            <w:tcW w:w="1012" w:type="dxa"/>
            <w:vAlign w:val="top"/>
          </w:tcPr>
          <w:p>
            <w:pPr>
              <w:pStyle w:val="487"/>
              <w:spacing w:before="181" w:line="270" w:lineRule="exact"/>
              <w:jc w:val="center"/>
              <w:rPr>
                <w:rFonts w:hint="eastAsia" w:eastAsia="宋体"/>
                <w:color w:val="auto"/>
                <w:sz w:val="20"/>
                <w:szCs w:val="20"/>
                <w:lang w:eastAsia="zh-CN"/>
              </w:rPr>
            </w:pPr>
            <w:r>
              <w:rPr>
                <w:rFonts w:hint="eastAsia"/>
                <w:color w:val="auto"/>
                <w:position w:val="1"/>
                <w:sz w:val="20"/>
                <w:szCs w:val="20"/>
                <w:lang w:val="en-US" w:eastAsia="zh-CN"/>
              </w:rPr>
              <w:t>2</w:t>
            </w:r>
          </w:p>
        </w:tc>
        <w:tc>
          <w:tcPr>
            <w:tcW w:w="1500" w:type="dxa"/>
            <w:vAlign w:val="top"/>
          </w:tcPr>
          <w:p>
            <w:pPr>
              <w:pStyle w:val="487"/>
              <w:spacing w:before="181" w:line="228" w:lineRule="auto"/>
              <w:ind w:left="117"/>
              <w:rPr>
                <w:color w:val="auto"/>
                <w:sz w:val="20"/>
                <w:szCs w:val="20"/>
              </w:rPr>
            </w:pPr>
            <w:r>
              <w:rPr>
                <w:color w:val="auto"/>
                <w:spacing w:val="7"/>
                <w:sz w:val="20"/>
                <w:szCs w:val="20"/>
              </w:rPr>
              <w:t>社保缴金证明</w:t>
            </w:r>
          </w:p>
        </w:tc>
        <w:tc>
          <w:tcPr>
            <w:tcW w:w="1943" w:type="dxa"/>
            <w:tcBorders>
              <w:right w:val="single" w:color="000000" w:sz="6" w:space="0"/>
            </w:tcBorders>
            <w:vAlign w:val="top"/>
          </w:tcPr>
          <w:p>
            <w:pPr>
              <w:pStyle w:val="487"/>
              <w:spacing w:before="181" w:line="227" w:lineRule="auto"/>
              <w:ind w:left="119"/>
              <w:rPr>
                <w:color w:val="auto"/>
                <w:sz w:val="20"/>
                <w:szCs w:val="20"/>
              </w:rPr>
            </w:pPr>
            <w:r>
              <w:rPr>
                <w:color w:val="auto"/>
                <w:spacing w:val="8"/>
                <w:sz w:val="20"/>
                <w:szCs w:val="20"/>
              </w:rPr>
              <w:t>职称证书扫描件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0" w:type="dxa"/>
            <w:tcBorders>
              <w:left w:val="single" w:color="000000" w:sz="6" w:space="0"/>
              <w:bottom w:val="single" w:color="auto" w:sz="4" w:space="0"/>
            </w:tcBorders>
            <w:vAlign w:val="top"/>
          </w:tcPr>
          <w:p>
            <w:pPr>
              <w:autoSpaceDE w:val="0"/>
              <w:autoSpaceDN w:val="0"/>
              <w:spacing w:line="248" w:lineRule="auto"/>
              <w:ind w:firstLine="0"/>
              <w:rPr>
                <w:rFonts w:ascii="Arial"/>
                <w:color w:val="auto"/>
                <w:sz w:val="21"/>
              </w:rPr>
            </w:pPr>
          </w:p>
          <w:p>
            <w:pPr>
              <w:pStyle w:val="487"/>
              <w:spacing w:before="65" w:line="270" w:lineRule="exact"/>
              <w:ind w:left="224"/>
              <w:rPr>
                <w:color w:val="auto"/>
                <w:sz w:val="20"/>
                <w:szCs w:val="20"/>
              </w:rPr>
            </w:pPr>
            <w:r>
              <w:rPr>
                <w:color w:val="auto"/>
                <w:position w:val="1"/>
                <w:sz w:val="20"/>
                <w:szCs w:val="20"/>
              </w:rPr>
              <w:t>4</w:t>
            </w:r>
          </w:p>
        </w:tc>
        <w:tc>
          <w:tcPr>
            <w:tcW w:w="1095" w:type="dxa"/>
            <w:vMerge w:val="continue"/>
            <w:tcBorders>
              <w:top w:val="nil"/>
              <w:bottom w:val="single" w:color="auto" w:sz="4" w:space="0"/>
              <w:right w:val="single" w:color="auto" w:sz="4" w:space="0"/>
            </w:tcBorders>
            <w:vAlign w:val="top"/>
          </w:tcPr>
          <w:p>
            <w:pPr>
              <w:autoSpaceDE w:val="0"/>
              <w:autoSpaceDN w:val="0"/>
              <w:rPr>
                <w:rFonts w:ascii="Arial"/>
                <w:color w:val="auto"/>
                <w:sz w:val="21"/>
              </w:rPr>
            </w:pPr>
          </w:p>
        </w:tc>
        <w:tc>
          <w:tcPr>
            <w:tcW w:w="1293" w:type="dxa"/>
            <w:tcBorders>
              <w:top w:val="single" w:color="auto" w:sz="4" w:space="0"/>
              <w:left w:val="single" w:color="auto" w:sz="4" w:space="0"/>
              <w:bottom w:val="single" w:color="auto" w:sz="4" w:space="0"/>
              <w:right w:val="single" w:color="auto" w:sz="4" w:space="0"/>
            </w:tcBorders>
            <w:vAlign w:val="top"/>
          </w:tcPr>
          <w:p>
            <w:pPr>
              <w:pStyle w:val="487"/>
              <w:spacing w:before="181" w:line="228" w:lineRule="auto"/>
              <w:ind w:left="250"/>
              <w:jc w:val="left"/>
              <w:rPr>
                <w:color w:val="auto"/>
                <w:sz w:val="20"/>
                <w:szCs w:val="20"/>
              </w:rPr>
            </w:pPr>
            <w:r>
              <w:rPr>
                <w:color w:val="auto"/>
                <w:spacing w:val="7"/>
                <w:sz w:val="20"/>
                <w:szCs w:val="20"/>
              </w:rPr>
              <w:t>工程师</w:t>
            </w:r>
          </w:p>
        </w:tc>
        <w:tc>
          <w:tcPr>
            <w:tcW w:w="2060" w:type="dxa"/>
            <w:tcBorders>
              <w:left w:val="single" w:color="auto" w:sz="4" w:space="0"/>
            </w:tcBorders>
            <w:vAlign w:val="top"/>
          </w:tcPr>
          <w:p>
            <w:pPr>
              <w:pStyle w:val="487"/>
              <w:spacing w:before="47" w:line="237" w:lineRule="auto"/>
              <w:ind w:left="302" w:right="195" w:hanging="85"/>
              <w:rPr>
                <w:color w:val="auto"/>
              </w:rPr>
            </w:pPr>
            <w:r>
              <w:rPr>
                <w:color w:val="auto"/>
                <w:spacing w:val="2"/>
                <w:sz w:val="20"/>
                <w:szCs w:val="20"/>
              </w:rPr>
              <w:t>中级职称</w:t>
            </w:r>
            <w:r>
              <w:rPr>
                <w:color w:val="auto"/>
                <w:spacing w:val="7"/>
                <w:sz w:val="20"/>
                <w:szCs w:val="20"/>
              </w:rPr>
              <w:t>及以上</w:t>
            </w:r>
            <w:r>
              <w:rPr>
                <w:rFonts w:hint="eastAsia"/>
                <w:color w:val="auto"/>
                <w:spacing w:val="7"/>
                <w:sz w:val="20"/>
                <w:szCs w:val="20"/>
                <w:lang w:eastAsia="zh-CN"/>
              </w:rPr>
              <w:t>（</w:t>
            </w:r>
            <w:r>
              <w:rPr>
                <w:rFonts w:hint="eastAsia"/>
                <w:color w:val="auto"/>
                <w:spacing w:val="7"/>
                <w:sz w:val="20"/>
                <w:szCs w:val="20"/>
                <w:lang w:val="en-US" w:eastAsia="zh-CN"/>
              </w:rPr>
              <w:t>绿化、市政各一名）</w:t>
            </w:r>
          </w:p>
        </w:tc>
        <w:tc>
          <w:tcPr>
            <w:tcW w:w="1012" w:type="dxa"/>
            <w:vAlign w:val="top"/>
          </w:tcPr>
          <w:p>
            <w:pPr>
              <w:pStyle w:val="487"/>
              <w:spacing w:before="184" w:line="270" w:lineRule="exact"/>
              <w:ind w:left="0"/>
              <w:jc w:val="center"/>
              <w:rPr>
                <w:rFonts w:hint="eastAsia" w:eastAsia="宋体"/>
                <w:color w:val="auto"/>
                <w:sz w:val="20"/>
                <w:szCs w:val="20"/>
                <w:lang w:eastAsia="zh-CN"/>
              </w:rPr>
            </w:pPr>
            <w:r>
              <w:rPr>
                <w:rFonts w:hint="eastAsia"/>
                <w:color w:val="auto"/>
                <w:position w:val="1"/>
                <w:sz w:val="20"/>
                <w:szCs w:val="20"/>
                <w:lang w:val="en-US" w:eastAsia="zh-CN"/>
              </w:rPr>
              <w:t>2</w:t>
            </w:r>
          </w:p>
        </w:tc>
        <w:tc>
          <w:tcPr>
            <w:tcW w:w="1500" w:type="dxa"/>
            <w:vAlign w:val="top"/>
          </w:tcPr>
          <w:p>
            <w:pPr>
              <w:pStyle w:val="487"/>
              <w:spacing w:before="183" w:line="228" w:lineRule="auto"/>
              <w:ind w:left="117"/>
              <w:rPr>
                <w:color w:val="auto"/>
                <w:sz w:val="20"/>
                <w:szCs w:val="20"/>
              </w:rPr>
            </w:pPr>
            <w:r>
              <w:rPr>
                <w:color w:val="auto"/>
                <w:spacing w:val="7"/>
                <w:sz w:val="20"/>
                <w:szCs w:val="20"/>
              </w:rPr>
              <w:t>社保缴金证明</w:t>
            </w:r>
          </w:p>
        </w:tc>
        <w:tc>
          <w:tcPr>
            <w:tcW w:w="1943" w:type="dxa"/>
            <w:tcBorders>
              <w:right w:val="single" w:color="000000" w:sz="6" w:space="0"/>
            </w:tcBorders>
            <w:vAlign w:val="top"/>
          </w:tcPr>
          <w:p>
            <w:pPr>
              <w:pStyle w:val="487"/>
              <w:spacing w:before="183" w:line="227" w:lineRule="auto"/>
              <w:ind w:left="234"/>
              <w:rPr>
                <w:color w:val="auto"/>
                <w:sz w:val="20"/>
                <w:szCs w:val="20"/>
              </w:rPr>
            </w:pPr>
            <w:r>
              <w:rPr>
                <w:color w:val="auto"/>
                <w:spacing w:val="8"/>
                <w:sz w:val="20"/>
                <w:szCs w:val="20"/>
              </w:rPr>
              <w:t>职称证书扫描件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0" w:type="dxa"/>
            <w:vMerge w:val="restart"/>
            <w:tcBorders>
              <w:top w:val="single" w:color="auto" w:sz="4" w:space="0"/>
              <w:left w:val="single" w:color="auto" w:sz="4" w:space="0"/>
              <w:bottom w:val="single" w:color="auto" w:sz="4" w:space="0"/>
              <w:right w:val="single" w:color="auto" w:sz="4" w:space="0"/>
            </w:tcBorders>
            <w:vAlign w:val="top"/>
          </w:tcPr>
          <w:p>
            <w:pPr>
              <w:autoSpaceDE w:val="0"/>
              <w:autoSpaceDN w:val="0"/>
              <w:spacing w:line="258" w:lineRule="auto"/>
              <w:rPr>
                <w:rFonts w:ascii="Arial"/>
                <w:color w:val="auto"/>
                <w:sz w:val="21"/>
              </w:rPr>
            </w:pPr>
          </w:p>
          <w:p>
            <w:pPr>
              <w:autoSpaceDE w:val="0"/>
              <w:autoSpaceDN w:val="0"/>
              <w:spacing w:line="259" w:lineRule="auto"/>
              <w:rPr>
                <w:rFonts w:ascii="Arial"/>
                <w:color w:val="auto"/>
                <w:sz w:val="21"/>
              </w:rPr>
            </w:pPr>
          </w:p>
          <w:p>
            <w:pPr>
              <w:autoSpaceDE w:val="0"/>
              <w:autoSpaceDN w:val="0"/>
              <w:spacing w:line="259" w:lineRule="auto"/>
              <w:rPr>
                <w:rFonts w:ascii="Arial"/>
                <w:color w:val="auto"/>
                <w:sz w:val="21"/>
              </w:rPr>
            </w:pPr>
          </w:p>
          <w:p>
            <w:pPr>
              <w:autoSpaceDE w:val="0"/>
              <w:autoSpaceDN w:val="0"/>
              <w:spacing w:line="259" w:lineRule="auto"/>
              <w:rPr>
                <w:rFonts w:ascii="Arial"/>
                <w:color w:val="auto"/>
                <w:sz w:val="21"/>
              </w:rPr>
            </w:pPr>
          </w:p>
          <w:p>
            <w:pPr>
              <w:autoSpaceDE w:val="0"/>
              <w:autoSpaceDN w:val="0"/>
              <w:spacing w:line="259" w:lineRule="auto"/>
              <w:rPr>
                <w:rFonts w:ascii="Arial"/>
                <w:color w:val="auto"/>
                <w:sz w:val="21"/>
              </w:rPr>
            </w:pPr>
          </w:p>
          <w:p>
            <w:pPr>
              <w:autoSpaceDE w:val="0"/>
              <w:autoSpaceDN w:val="0"/>
              <w:spacing w:line="259" w:lineRule="auto"/>
              <w:rPr>
                <w:rFonts w:ascii="Arial"/>
                <w:color w:val="auto"/>
                <w:sz w:val="21"/>
              </w:rPr>
            </w:pPr>
          </w:p>
          <w:p>
            <w:pPr>
              <w:pStyle w:val="487"/>
              <w:spacing w:before="65" w:line="268" w:lineRule="exact"/>
              <w:ind w:left="229"/>
              <w:rPr>
                <w:color w:val="auto"/>
                <w:sz w:val="20"/>
                <w:szCs w:val="20"/>
              </w:rPr>
            </w:pPr>
            <w:r>
              <w:rPr>
                <w:color w:val="auto"/>
                <w:position w:val="1"/>
                <w:sz w:val="20"/>
                <w:szCs w:val="20"/>
              </w:rPr>
              <w:t>5</w:t>
            </w:r>
          </w:p>
        </w:tc>
        <w:tc>
          <w:tcPr>
            <w:tcW w:w="1095" w:type="dxa"/>
            <w:vMerge w:val="restart"/>
            <w:tcBorders>
              <w:top w:val="single" w:color="auto" w:sz="4" w:space="0"/>
              <w:left w:val="single" w:color="auto" w:sz="4" w:space="0"/>
              <w:bottom w:val="single" w:color="auto" w:sz="4" w:space="0"/>
              <w:right w:val="single" w:color="auto" w:sz="4" w:space="0"/>
            </w:tcBorders>
            <w:vAlign w:val="top"/>
          </w:tcPr>
          <w:p>
            <w:pPr>
              <w:autoSpaceDE w:val="0"/>
              <w:autoSpaceDN w:val="0"/>
              <w:spacing w:line="283" w:lineRule="auto"/>
              <w:rPr>
                <w:rFonts w:ascii="Arial"/>
                <w:color w:val="auto"/>
                <w:sz w:val="21"/>
              </w:rPr>
            </w:pPr>
          </w:p>
          <w:p>
            <w:pPr>
              <w:autoSpaceDE w:val="0"/>
              <w:autoSpaceDN w:val="0"/>
              <w:spacing w:line="284" w:lineRule="auto"/>
              <w:rPr>
                <w:rFonts w:ascii="Arial"/>
                <w:color w:val="auto"/>
                <w:sz w:val="21"/>
              </w:rPr>
            </w:pPr>
          </w:p>
          <w:p>
            <w:pPr>
              <w:autoSpaceDE w:val="0"/>
              <w:autoSpaceDN w:val="0"/>
              <w:spacing w:line="284" w:lineRule="auto"/>
              <w:rPr>
                <w:rFonts w:ascii="Arial"/>
                <w:color w:val="auto"/>
                <w:sz w:val="21"/>
              </w:rPr>
            </w:pPr>
          </w:p>
          <w:p>
            <w:pPr>
              <w:autoSpaceDE w:val="0"/>
              <w:autoSpaceDN w:val="0"/>
              <w:spacing w:line="284" w:lineRule="auto"/>
              <w:rPr>
                <w:rFonts w:ascii="Arial"/>
                <w:color w:val="auto"/>
                <w:sz w:val="21"/>
              </w:rPr>
            </w:pPr>
          </w:p>
          <w:p>
            <w:pPr>
              <w:autoSpaceDE w:val="0"/>
              <w:autoSpaceDN w:val="0"/>
              <w:spacing w:line="284" w:lineRule="auto"/>
              <w:rPr>
                <w:rFonts w:ascii="Arial"/>
                <w:color w:val="auto"/>
                <w:sz w:val="21"/>
              </w:rPr>
            </w:pPr>
          </w:p>
          <w:p>
            <w:pPr>
              <w:pStyle w:val="487"/>
              <w:spacing w:before="65" w:line="252" w:lineRule="auto"/>
              <w:ind w:left="340" w:right="134" w:hanging="212"/>
              <w:rPr>
                <w:color w:val="auto"/>
                <w:sz w:val="20"/>
                <w:szCs w:val="20"/>
              </w:rPr>
            </w:pPr>
            <w:r>
              <w:rPr>
                <w:color w:val="auto"/>
                <w:spacing w:val="7"/>
                <w:sz w:val="20"/>
                <w:szCs w:val="20"/>
              </w:rPr>
              <w:t>其他专业技</w:t>
            </w:r>
            <w:r>
              <w:rPr>
                <w:color w:val="auto"/>
                <w:spacing w:val="6"/>
                <w:sz w:val="20"/>
                <w:szCs w:val="20"/>
              </w:rPr>
              <w:t>术人员</w:t>
            </w:r>
          </w:p>
        </w:tc>
        <w:tc>
          <w:tcPr>
            <w:tcW w:w="1293" w:type="dxa"/>
            <w:tcBorders>
              <w:top w:val="single" w:color="auto" w:sz="4" w:space="0"/>
              <w:left w:val="single" w:color="auto" w:sz="4" w:space="0"/>
            </w:tcBorders>
            <w:vAlign w:val="top"/>
          </w:tcPr>
          <w:p>
            <w:pPr>
              <w:pStyle w:val="487"/>
              <w:spacing w:before="185" w:line="228" w:lineRule="auto"/>
              <w:ind w:left="147"/>
              <w:rPr>
                <w:color w:val="auto"/>
                <w:sz w:val="20"/>
                <w:szCs w:val="20"/>
              </w:rPr>
            </w:pPr>
            <w:r>
              <w:rPr>
                <w:color w:val="auto"/>
                <w:spacing w:val="7"/>
                <w:sz w:val="20"/>
                <w:szCs w:val="20"/>
              </w:rPr>
              <w:t>质量负责人</w:t>
            </w:r>
          </w:p>
        </w:tc>
        <w:tc>
          <w:tcPr>
            <w:tcW w:w="2060" w:type="dxa"/>
            <w:vAlign w:val="top"/>
          </w:tcPr>
          <w:p>
            <w:pPr>
              <w:pStyle w:val="487"/>
              <w:spacing w:before="185" w:line="233" w:lineRule="auto"/>
              <w:ind w:left="564"/>
              <w:rPr>
                <w:color w:val="auto"/>
                <w:sz w:val="20"/>
                <w:szCs w:val="20"/>
              </w:rPr>
            </w:pPr>
            <w:r>
              <w:rPr>
                <w:color w:val="auto"/>
                <w:sz w:val="20"/>
                <w:szCs w:val="20"/>
              </w:rPr>
              <w:t>/</w:t>
            </w:r>
          </w:p>
        </w:tc>
        <w:tc>
          <w:tcPr>
            <w:tcW w:w="1012" w:type="dxa"/>
            <w:vAlign w:val="top"/>
          </w:tcPr>
          <w:p>
            <w:pPr>
              <w:pStyle w:val="487"/>
              <w:spacing w:before="185" w:line="270" w:lineRule="exact"/>
              <w:jc w:val="center"/>
              <w:rPr>
                <w:color w:val="auto"/>
                <w:sz w:val="20"/>
                <w:szCs w:val="20"/>
              </w:rPr>
            </w:pPr>
            <w:r>
              <w:rPr>
                <w:color w:val="auto"/>
                <w:position w:val="1"/>
                <w:sz w:val="20"/>
                <w:szCs w:val="20"/>
              </w:rPr>
              <w:t>2</w:t>
            </w:r>
          </w:p>
        </w:tc>
        <w:tc>
          <w:tcPr>
            <w:tcW w:w="1500" w:type="dxa"/>
            <w:vAlign w:val="top"/>
          </w:tcPr>
          <w:p>
            <w:pPr>
              <w:pStyle w:val="487"/>
              <w:spacing w:before="185" w:line="228" w:lineRule="auto"/>
              <w:ind w:left="117"/>
              <w:rPr>
                <w:color w:val="auto"/>
                <w:sz w:val="20"/>
                <w:szCs w:val="20"/>
              </w:rPr>
            </w:pPr>
            <w:r>
              <w:rPr>
                <w:color w:val="auto"/>
                <w:spacing w:val="7"/>
                <w:sz w:val="20"/>
                <w:szCs w:val="20"/>
              </w:rPr>
              <w:t>社保缴金证明</w:t>
            </w:r>
          </w:p>
        </w:tc>
        <w:tc>
          <w:tcPr>
            <w:tcW w:w="1943" w:type="dxa"/>
            <w:tcBorders>
              <w:right w:val="single" w:color="000000" w:sz="6" w:space="0"/>
            </w:tcBorders>
            <w:vAlign w:val="top"/>
          </w:tcPr>
          <w:p>
            <w:pPr>
              <w:autoSpaceDE w:val="0"/>
              <w:autoSpaceDN w:val="0"/>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0" w:type="dxa"/>
            <w:vMerge w:val="continue"/>
            <w:tcBorders>
              <w:top w:val="single" w:color="auto" w:sz="4" w:space="0"/>
              <w:left w:val="single" w:color="auto" w:sz="4" w:space="0"/>
              <w:bottom w:val="single" w:color="auto" w:sz="4" w:space="0"/>
            </w:tcBorders>
            <w:vAlign w:val="top"/>
          </w:tcPr>
          <w:p>
            <w:pPr>
              <w:autoSpaceDE w:val="0"/>
              <w:autoSpaceDN w:val="0"/>
              <w:rPr>
                <w:rFonts w:ascii="Arial"/>
                <w:color w:val="auto"/>
                <w:sz w:val="21"/>
              </w:rPr>
            </w:pPr>
          </w:p>
        </w:tc>
        <w:tc>
          <w:tcPr>
            <w:tcW w:w="1095" w:type="dxa"/>
            <w:vMerge w:val="continue"/>
            <w:tcBorders>
              <w:top w:val="single" w:color="auto" w:sz="4" w:space="0"/>
              <w:bottom w:val="single" w:color="auto" w:sz="4" w:space="0"/>
              <w:right w:val="single" w:color="auto" w:sz="4" w:space="0"/>
            </w:tcBorders>
            <w:vAlign w:val="top"/>
          </w:tcPr>
          <w:p>
            <w:pPr>
              <w:autoSpaceDE w:val="0"/>
              <w:autoSpaceDN w:val="0"/>
              <w:rPr>
                <w:rFonts w:ascii="Arial"/>
                <w:color w:val="auto"/>
                <w:sz w:val="21"/>
              </w:rPr>
            </w:pPr>
          </w:p>
        </w:tc>
        <w:tc>
          <w:tcPr>
            <w:tcW w:w="1293" w:type="dxa"/>
            <w:tcBorders>
              <w:left w:val="single" w:color="auto" w:sz="4" w:space="0"/>
            </w:tcBorders>
            <w:vAlign w:val="top"/>
          </w:tcPr>
          <w:p>
            <w:pPr>
              <w:pStyle w:val="487"/>
              <w:spacing w:before="187" w:line="228" w:lineRule="auto"/>
              <w:ind w:left="150"/>
              <w:rPr>
                <w:color w:val="auto"/>
                <w:sz w:val="20"/>
                <w:szCs w:val="20"/>
              </w:rPr>
            </w:pPr>
            <w:r>
              <w:rPr>
                <w:color w:val="auto"/>
                <w:spacing w:val="7"/>
                <w:sz w:val="20"/>
                <w:szCs w:val="20"/>
              </w:rPr>
              <w:t>安全负责人</w:t>
            </w:r>
          </w:p>
        </w:tc>
        <w:tc>
          <w:tcPr>
            <w:tcW w:w="2060" w:type="dxa"/>
            <w:vAlign w:val="top"/>
          </w:tcPr>
          <w:p>
            <w:pPr>
              <w:pStyle w:val="487"/>
              <w:spacing w:before="187" w:line="233" w:lineRule="auto"/>
              <w:ind w:left="564"/>
              <w:rPr>
                <w:color w:val="auto"/>
                <w:sz w:val="20"/>
                <w:szCs w:val="20"/>
              </w:rPr>
            </w:pPr>
            <w:r>
              <w:rPr>
                <w:color w:val="auto"/>
                <w:sz w:val="20"/>
                <w:szCs w:val="20"/>
              </w:rPr>
              <w:t>/</w:t>
            </w:r>
          </w:p>
        </w:tc>
        <w:tc>
          <w:tcPr>
            <w:tcW w:w="1012" w:type="dxa"/>
            <w:vAlign w:val="top"/>
          </w:tcPr>
          <w:p>
            <w:pPr>
              <w:pStyle w:val="487"/>
              <w:spacing w:before="187" w:line="270" w:lineRule="exact"/>
              <w:jc w:val="center"/>
              <w:rPr>
                <w:color w:val="auto"/>
                <w:sz w:val="20"/>
                <w:szCs w:val="20"/>
              </w:rPr>
            </w:pPr>
            <w:r>
              <w:rPr>
                <w:color w:val="auto"/>
                <w:position w:val="1"/>
                <w:sz w:val="20"/>
                <w:szCs w:val="20"/>
              </w:rPr>
              <w:t>2</w:t>
            </w:r>
          </w:p>
        </w:tc>
        <w:tc>
          <w:tcPr>
            <w:tcW w:w="1500" w:type="dxa"/>
            <w:vAlign w:val="top"/>
          </w:tcPr>
          <w:p>
            <w:pPr>
              <w:pStyle w:val="487"/>
              <w:spacing w:before="187" w:line="228" w:lineRule="auto"/>
              <w:ind w:left="117"/>
              <w:rPr>
                <w:color w:val="auto"/>
                <w:sz w:val="20"/>
                <w:szCs w:val="20"/>
              </w:rPr>
            </w:pPr>
            <w:r>
              <w:rPr>
                <w:color w:val="auto"/>
                <w:spacing w:val="7"/>
                <w:sz w:val="20"/>
                <w:szCs w:val="20"/>
              </w:rPr>
              <w:t>社保缴金证明</w:t>
            </w:r>
          </w:p>
        </w:tc>
        <w:tc>
          <w:tcPr>
            <w:tcW w:w="1943" w:type="dxa"/>
            <w:tcBorders>
              <w:right w:val="single" w:color="000000" w:sz="6" w:space="0"/>
            </w:tcBorders>
            <w:vAlign w:val="top"/>
          </w:tcPr>
          <w:p>
            <w:pPr>
              <w:autoSpaceDE w:val="0"/>
              <w:autoSpaceDN w:val="0"/>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0" w:type="dxa"/>
            <w:vMerge w:val="continue"/>
            <w:tcBorders>
              <w:top w:val="single" w:color="auto" w:sz="4" w:space="0"/>
              <w:left w:val="single" w:color="auto" w:sz="4" w:space="0"/>
              <w:bottom w:val="single" w:color="auto" w:sz="4" w:space="0"/>
            </w:tcBorders>
            <w:vAlign w:val="top"/>
          </w:tcPr>
          <w:p>
            <w:pPr>
              <w:autoSpaceDE w:val="0"/>
              <w:autoSpaceDN w:val="0"/>
              <w:rPr>
                <w:rFonts w:ascii="Arial"/>
                <w:color w:val="auto"/>
                <w:sz w:val="21"/>
              </w:rPr>
            </w:pPr>
          </w:p>
        </w:tc>
        <w:tc>
          <w:tcPr>
            <w:tcW w:w="1095" w:type="dxa"/>
            <w:vMerge w:val="continue"/>
            <w:tcBorders>
              <w:top w:val="single" w:color="auto" w:sz="4" w:space="0"/>
              <w:bottom w:val="single" w:color="auto" w:sz="4" w:space="0"/>
              <w:right w:val="single" w:color="auto" w:sz="4" w:space="0"/>
            </w:tcBorders>
            <w:vAlign w:val="top"/>
          </w:tcPr>
          <w:p>
            <w:pPr>
              <w:autoSpaceDE w:val="0"/>
              <w:autoSpaceDN w:val="0"/>
              <w:rPr>
                <w:rFonts w:ascii="Arial"/>
                <w:color w:val="auto"/>
                <w:sz w:val="21"/>
              </w:rPr>
            </w:pPr>
          </w:p>
        </w:tc>
        <w:tc>
          <w:tcPr>
            <w:tcW w:w="1293" w:type="dxa"/>
            <w:tcBorders>
              <w:left w:val="single" w:color="auto" w:sz="4" w:space="0"/>
            </w:tcBorders>
            <w:vAlign w:val="top"/>
          </w:tcPr>
          <w:p>
            <w:pPr>
              <w:pStyle w:val="487"/>
              <w:spacing w:before="187" w:line="228" w:lineRule="auto"/>
              <w:ind w:left="155"/>
              <w:rPr>
                <w:color w:val="auto"/>
                <w:sz w:val="20"/>
                <w:szCs w:val="20"/>
              </w:rPr>
            </w:pPr>
            <w:r>
              <w:rPr>
                <w:color w:val="auto"/>
                <w:spacing w:val="6"/>
                <w:sz w:val="20"/>
                <w:szCs w:val="20"/>
              </w:rPr>
              <w:t>资料负责人</w:t>
            </w:r>
          </w:p>
        </w:tc>
        <w:tc>
          <w:tcPr>
            <w:tcW w:w="2060" w:type="dxa"/>
            <w:vAlign w:val="top"/>
          </w:tcPr>
          <w:p>
            <w:pPr>
              <w:pStyle w:val="487"/>
              <w:spacing w:before="187" w:line="233" w:lineRule="auto"/>
              <w:ind w:left="564"/>
              <w:rPr>
                <w:color w:val="auto"/>
                <w:sz w:val="20"/>
                <w:szCs w:val="20"/>
              </w:rPr>
            </w:pPr>
            <w:r>
              <w:rPr>
                <w:color w:val="auto"/>
                <w:sz w:val="20"/>
                <w:szCs w:val="20"/>
              </w:rPr>
              <w:t>/</w:t>
            </w:r>
          </w:p>
        </w:tc>
        <w:tc>
          <w:tcPr>
            <w:tcW w:w="1012" w:type="dxa"/>
            <w:vAlign w:val="top"/>
          </w:tcPr>
          <w:p>
            <w:pPr>
              <w:pStyle w:val="487"/>
              <w:spacing w:before="187" w:line="270" w:lineRule="exact"/>
              <w:ind w:left="554"/>
              <w:rPr>
                <w:color w:val="auto"/>
                <w:sz w:val="20"/>
                <w:szCs w:val="20"/>
              </w:rPr>
            </w:pPr>
            <w:r>
              <w:rPr>
                <w:color w:val="auto"/>
                <w:position w:val="1"/>
                <w:sz w:val="20"/>
                <w:szCs w:val="20"/>
              </w:rPr>
              <w:t>2</w:t>
            </w:r>
          </w:p>
        </w:tc>
        <w:tc>
          <w:tcPr>
            <w:tcW w:w="1500" w:type="dxa"/>
            <w:vAlign w:val="top"/>
          </w:tcPr>
          <w:p>
            <w:pPr>
              <w:pStyle w:val="487"/>
              <w:spacing w:before="187" w:line="228" w:lineRule="auto"/>
              <w:ind w:left="117"/>
              <w:rPr>
                <w:color w:val="auto"/>
                <w:sz w:val="20"/>
                <w:szCs w:val="20"/>
              </w:rPr>
            </w:pPr>
            <w:r>
              <w:rPr>
                <w:color w:val="auto"/>
                <w:spacing w:val="7"/>
                <w:sz w:val="20"/>
                <w:szCs w:val="20"/>
              </w:rPr>
              <w:t>社保缴金证明</w:t>
            </w:r>
          </w:p>
        </w:tc>
        <w:tc>
          <w:tcPr>
            <w:tcW w:w="1943" w:type="dxa"/>
            <w:tcBorders>
              <w:right w:val="single" w:color="000000" w:sz="6" w:space="0"/>
            </w:tcBorders>
            <w:vAlign w:val="top"/>
          </w:tcPr>
          <w:p>
            <w:pPr>
              <w:autoSpaceDE w:val="0"/>
              <w:autoSpaceDN w:val="0"/>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0" w:type="dxa"/>
            <w:vMerge w:val="continue"/>
            <w:tcBorders>
              <w:top w:val="single" w:color="auto" w:sz="4" w:space="0"/>
              <w:left w:val="single" w:color="auto" w:sz="4" w:space="0"/>
              <w:bottom w:val="single" w:color="auto" w:sz="4" w:space="0"/>
            </w:tcBorders>
            <w:vAlign w:val="top"/>
          </w:tcPr>
          <w:p>
            <w:pPr>
              <w:autoSpaceDE w:val="0"/>
              <w:autoSpaceDN w:val="0"/>
              <w:rPr>
                <w:rFonts w:ascii="Arial"/>
                <w:color w:val="auto"/>
                <w:sz w:val="21"/>
              </w:rPr>
            </w:pPr>
          </w:p>
        </w:tc>
        <w:tc>
          <w:tcPr>
            <w:tcW w:w="1095" w:type="dxa"/>
            <w:vMerge w:val="continue"/>
            <w:tcBorders>
              <w:top w:val="single" w:color="auto" w:sz="4" w:space="0"/>
              <w:bottom w:val="single" w:color="auto" w:sz="4" w:space="0"/>
              <w:right w:val="single" w:color="auto" w:sz="4" w:space="0"/>
            </w:tcBorders>
            <w:vAlign w:val="top"/>
          </w:tcPr>
          <w:p>
            <w:pPr>
              <w:autoSpaceDE w:val="0"/>
              <w:autoSpaceDN w:val="0"/>
              <w:rPr>
                <w:rFonts w:ascii="Arial"/>
                <w:color w:val="auto"/>
                <w:sz w:val="21"/>
              </w:rPr>
            </w:pPr>
          </w:p>
        </w:tc>
        <w:tc>
          <w:tcPr>
            <w:tcW w:w="1293" w:type="dxa"/>
            <w:tcBorders>
              <w:left w:val="single" w:color="auto" w:sz="4" w:space="0"/>
            </w:tcBorders>
            <w:vAlign w:val="top"/>
          </w:tcPr>
          <w:p>
            <w:pPr>
              <w:pStyle w:val="487"/>
              <w:spacing w:before="189" w:line="228" w:lineRule="auto"/>
              <w:ind w:left="145"/>
              <w:rPr>
                <w:color w:val="auto"/>
                <w:sz w:val="20"/>
                <w:szCs w:val="20"/>
              </w:rPr>
            </w:pPr>
            <w:r>
              <w:rPr>
                <w:color w:val="auto"/>
                <w:spacing w:val="8"/>
                <w:sz w:val="20"/>
                <w:szCs w:val="20"/>
              </w:rPr>
              <w:t>施工负责人</w:t>
            </w:r>
          </w:p>
        </w:tc>
        <w:tc>
          <w:tcPr>
            <w:tcW w:w="2060" w:type="dxa"/>
            <w:vAlign w:val="top"/>
          </w:tcPr>
          <w:p>
            <w:pPr>
              <w:pStyle w:val="487"/>
              <w:spacing w:before="189" w:line="233" w:lineRule="auto"/>
              <w:ind w:left="564"/>
              <w:rPr>
                <w:color w:val="auto"/>
                <w:sz w:val="20"/>
                <w:szCs w:val="20"/>
              </w:rPr>
            </w:pPr>
            <w:r>
              <w:rPr>
                <w:color w:val="auto"/>
                <w:sz w:val="20"/>
                <w:szCs w:val="20"/>
              </w:rPr>
              <w:t>/</w:t>
            </w:r>
          </w:p>
        </w:tc>
        <w:tc>
          <w:tcPr>
            <w:tcW w:w="1012" w:type="dxa"/>
            <w:vAlign w:val="top"/>
          </w:tcPr>
          <w:p>
            <w:pPr>
              <w:pStyle w:val="487"/>
              <w:spacing w:before="190" w:line="270" w:lineRule="exact"/>
              <w:ind w:left="554"/>
              <w:rPr>
                <w:rFonts w:hint="eastAsia" w:eastAsia="宋体"/>
                <w:color w:val="auto"/>
                <w:sz w:val="20"/>
                <w:szCs w:val="20"/>
                <w:lang w:eastAsia="zh-CN"/>
              </w:rPr>
            </w:pPr>
            <w:r>
              <w:rPr>
                <w:rFonts w:hint="eastAsia"/>
                <w:color w:val="auto"/>
                <w:position w:val="1"/>
                <w:sz w:val="20"/>
                <w:szCs w:val="20"/>
                <w:lang w:val="en-US" w:eastAsia="zh-CN"/>
              </w:rPr>
              <w:t>3</w:t>
            </w:r>
          </w:p>
        </w:tc>
        <w:tc>
          <w:tcPr>
            <w:tcW w:w="1500" w:type="dxa"/>
            <w:vAlign w:val="top"/>
          </w:tcPr>
          <w:p>
            <w:pPr>
              <w:pStyle w:val="487"/>
              <w:spacing w:before="189" w:line="228" w:lineRule="auto"/>
              <w:ind w:left="117"/>
              <w:rPr>
                <w:color w:val="auto"/>
                <w:sz w:val="20"/>
                <w:szCs w:val="20"/>
              </w:rPr>
            </w:pPr>
            <w:r>
              <w:rPr>
                <w:color w:val="auto"/>
                <w:spacing w:val="7"/>
                <w:sz w:val="20"/>
                <w:szCs w:val="20"/>
              </w:rPr>
              <w:t>社保缴金证明</w:t>
            </w:r>
          </w:p>
        </w:tc>
        <w:tc>
          <w:tcPr>
            <w:tcW w:w="1943" w:type="dxa"/>
            <w:tcBorders>
              <w:right w:val="single" w:color="000000" w:sz="6" w:space="0"/>
            </w:tcBorders>
            <w:vAlign w:val="top"/>
          </w:tcPr>
          <w:p>
            <w:pPr>
              <w:autoSpaceDE w:val="0"/>
              <w:autoSpaceDN w:val="0"/>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0" w:type="dxa"/>
            <w:vMerge w:val="continue"/>
            <w:tcBorders>
              <w:top w:val="single" w:color="auto" w:sz="4" w:space="0"/>
              <w:left w:val="single" w:color="auto" w:sz="4" w:space="0"/>
              <w:bottom w:val="single" w:color="auto" w:sz="4" w:space="0"/>
            </w:tcBorders>
            <w:vAlign w:val="top"/>
          </w:tcPr>
          <w:p>
            <w:pPr>
              <w:autoSpaceDE w:val="0"/>
              <w:autoSpaceDN w:val="0"/>
              <w:rPr>
                <w:rFonts w:ascii="Arial"/>
                <w:color w:val="auto"/>
                <w:sz w:val="21"/>
              </w:rPr>
            </w:pPr>
          </w:p>
        </w:tc>
        <w:tc>
          <w:tcPr>
            <w:tcW w:w="1095" w:type="dxa"/>
            <w:vMerge w:val="continue"/>
            <w:tcBorders>
              <w:top w:val="single" w:color="auto" w:sz="4" w:space="0"/>
              <w:bottom w:val="single" w:color="auto" w:sz="4" w:space="0"/>
              <w:right w:val="single" w:color="auto" w:sz="4" w:space="0"/>
            </w:tcBorders>
            <w:vAlign w:val="top"/>
          </w:tcPr>
          <w:p>
            <w:pPr>
              <w:autoSpaceDE w:val="0"/>
              <w:autoSpaceDN w:val="0"/>
              <w:rPr>
                <w:rFonts w:ascii="Arial"/>
                <w:color w:val="auto"/>
                <w:sz w:val="21"/>
              </w:rPr>
            </w:pPr>
          </w:p>
        </w:tc>
        <w:tc>
          <w:tcPr>
            <w:tcW w:w="1293" w:type="dxa"/>
            <w:tcBorders>
              <w:left w:val="single" w:color="auto" w:sz="4" w:space="0"/>
            </w:tcBorders>
            <w:vAlign w:val="top"/>
          </w:tcPr>
          <w:p>
            <w:pPr>
              <w:pStyle w:val="487"/>
              <w:spacing w:before="189" w:line="228" w:lineRule="auto"/>
              <w:ind w:left="151"/>
              <w:rPr>
                <w:color w:val="auto"/>
                <w:sz w:val="20"/>
                <w:szCs w:val="20"/>
              </w:rPr>
            </w:pPr>
            <w:r>
              <w:rPr>
                <w:color w:val="auto"/>
                <w:spacing w:val="7"/>
                <w:sz w:val="20"/>
                <w:szCs w:val="20"/>
              </w:rPr>
              <w:t>劳务负责人</w:t>
            </w:r>
          </w:p>
        </w:tc>
        <w:tc>
          <w:tcPr>
            <w:tcW w:w="2060" w:type="dxa"/>
            <w:vAlign w:val="top"/>
          </w:tcPr>
          <w:p>
            <w:pPr>
              <w:pStyle w:val="487"/>
              <w:spacing w:before="189" w:line="233" w:lineRule="auto"/>
              <w:ind w:left="564"/>
              <w:rPr>
                <w:color w:val="auto"/>
                <w:sz w:val="20"/>
                <w:szCs w:val="20"/>
              </w:rPr>
            </w:pPr>
            <w:r>
              <w:rPr>
                <w:color w:val="auto"/>
                <w:sz w:val="20"/>
                <w:szCs w:val="20"/>
              </w:rPr>
              <w:t>/</w:t>
            </w:r>
          </w:p>
        </w:tc>
        <w:tc>
          <w:tcPr>
            <w:tcW w:w="1012" w:type="dxa"/>
            <w:vAlign w:val="top"/>
          </w:tcPr>
          <w:p>
            <w:pPr>
              <w:pStyle w:val="487"/>
              <w:spacing w:before="190" w:line="270" w:lineRule="exact"/>
              <w:ind w:left="554"/>
              <w:rPr>
                <w:color w:val="auto"/>
                <w:sz w:val="20"/>
                <w:szCs w:val="20"/>
              </w:rPr>
            </w:pPr>
            <w:r>
              <w:rPr>
                <w:color w:val="auto"/>
                <w:position w:val="1"/>
                <w:sz w:val="20"/>
                <w:szCs w:val="20"/>
              </w:rPr>
              <w:t>2</w:t>
            </w:r>
          </w:p>
        </w:tc>
        <w:tc>
          <w:tcPr>
            <w:tcW w:w="1500" w:type="dxa"/>
            <w:vAlign w:val="top"/>
          </w:tcPr>
          <w:p>
            <w:pPr>
              <w:pStyle w:val="487"/>
              <w:spacing w:before="189" w:line="228" w:lineRule="auto"/>
              <w:ind w:left="117"/>
              <w:rPr>
                <w:color w:val="auto"/>
                <w:sz w:val="20"/>
                <w:szCs w:val="20"/>
              </w:rPr>
            </w:pPr>
            <w:r>
              <w:rPr>
                <w:color w:val="auto"/>
                <w:spacing w:val="7"/>
                <w:sz w:val="20"/>
                <w:szCs w:val="20"/>
              </w:rPr>
              <w:t>社保缴金证明</w:t>
            </w:r>
          </w:p>
        </w:tc>
        <w:tc>
          <w:tcPr>
            <w:tcW w:w="1943" w:type="dxa"/>
            <w:tcBorders>
              <w:right w:val="single" w:color="000000" w:sz="6" w:space="0"/>
            </w:tcBorders>
            <w:vAlign w:val="top"/>
          </w:tcPr>
          <w:p>
            <w:pPr>
              <w:autoSpaceDE w:val="0"/>
              <w:autoSpaceDN w:val="0"/>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0" w:type="dxa"/>
            <w:vMerge w:val="continue"/>
            <w:tcBorders>
              <w:top w:val="single" w:color="auto" w:sz="4" w:space="0"/>
              <w:left w:val="single" w:color="auto" w:sz="4" w:space="0"/>
              <w:bottom w:val="single" w:color="auto" w:sz="4" w:space="0"/>
            </w:tcBorders>
            <w:vAlign w:val="top"/>
          </w:tcPr>
          <w:p>
            <w:pPr>
              <w:autoSpaceDE w:val="0"/>
              <w:autoSpaceDN w:val="0"/>
              <w:rPr>
                <w:rFonts w:ascii="Arial"/>
                <w:color w:val="auto"/>
                <w:sz w:val="21"/>
              </w:rPr>
            </w:pPr>
          </w:p>
        </w:tc>
        <w:tc>
          <w:tcPr>
            <w:tcW w:w="1095" w:type="dxa"/>
            <w:vMerge w:val="continue"/>
            <w:tcBorders>
              <w:top w:val="single" w:color="auto" w:sz="4" w:space="0"/>
              <w:bottom w:val="single" w:color="auto" w:sz="4" w:space="0"/>
              <w:right w:val="single" w:color="auto" w:sz="4" w:space="0"/>
            </w:tcBorders>
            <w:vAlign w:val="top"/>
          </w:tcPr>
          <w:p>
            <w:pPr>
              <w:autoSpaceDE w:val="0"/>
              <w:autoSpaceDN w:val="0"/>
              <w:rPr>
                <w:rFonts w:ascii="Arial"/>
                <w:color w:val="auto"/>
                <w:sz w:val="21"/>
              </w:rPr>
            </w:pPr>
          </w:p>
        </w:tc>
        <w:tc>
          <w:tcPr>
            <w:tcW w:w="1293" w:type="dxa"/>
            <w:tcBorders>
              <w:left w:val="single" w:color="auto" w:sz="4" w:space="0"/>
            </w:tcBorders>
            <w:vAlign w:val="top"/>
          </w:tcPr>
          <w:p>
            <w:pPr>
              <w:pStyle w:val="487"/>
              <w:spacing w:before="190" w:line="227" w:lineRule="auto"/>
              <w:ind w:left="354"/>
              <w:rPr>
                <w:color w:val="auto"/>
                <w:sz w:val="20"/>
                <w:szCs w:val="20"/>
              </w:rPr>
            </w:pPr>
            <w:r>
              <w:rPr>
                <w:color w:val="auto"/>
                <w:spacing w:val="7"/>
                <w:sz w:val="20"/>
                <w:szCs w:val="20"/>
              </w:rPr>
              <w:t>机械员</w:t>
            </w:r>
          </w:p>
        </w:tc>
        <w:tc>
          <w:tcPr>
            <w:tcW w:w="2060" w:type="dxa"/>
            <w:vAlign w:val="top"/>
          </w:tcPr>
          <w:p>
            <w:pPr>
              <w:pStyle w:val="487"/>
              <w:spacing w:before="189" w:line="233" w:lineRule="auto"/>
              <w:ind w:left="564"/>
              <w:rPr>
                <w:color w:val="auto"/>
                <w:sz w:val="20"/>
                <w:szCs w:val="20"/>
              </w:rPr>
            </w:pPr>
            <w:r>
              <w:rPr>
                <w:color w:val="auto"/>
                <w:sz w:val="20"/>
                <w:szCs w:val="20"/>
              </w:rPr>
              <w:t>/</w:t>
            </w:r>
          </w:p>
        </w:tc>
        <w:tc>
          <w:tcPr>
            <w:tcW w:w="1012" w:type="dxa"/>
            <w:vAlign w:val="top"/>
          </w:tcPr>
          <w:p>
            <w:pPr>
              <w:pStyle w:val="487"/>
              <w:spacing w:before="190" w:line="270" w:lineRule="exact"/>
              <w:ind w:left="567"/>
              <w:rPr>
                <w:color w:val="auto"/>
                <w:sz w:val="20"/>
                <w:szCs w:val="20"/>
              </w:rPr>
            </w:pPr>
            <w:r>
              <w:rPr>
                <w:color w:val="auto"/>
                <w:position w:val="1"/>
                <w:sz w:val="20"/>
                <w:szCs w:val="20"/>
              </w:rPr>
              <w:t>1</w:t>
            </w:r>
          </w:p>
        </w:tc>
        <w:tc>
          <w:tcPr>
            <w:tcW w:w="1500" w:type="dxa"/>
            <w:vAlign w:val="top"/>
          </w:tcPr>
          <w:p>
            <w:pPr>
              <w:pStyle w:val="487"/>
              <w:spacing w:before="189" w:line="228" w:lineRule="auto"/>
              <w:ind w:left="117"/>
              <w:rPr>
                <w:color w:val="auto"/>
                <w:sz w:val="20"/>
                <w:szCs w:val="20"/>
              </w:rPr>
            </w:pPr>
            <w:r>
              <w:rPr>
                <w:color w:val="auto"/>
                <w:spacing w:val="7"/>
                <w:sz w:val="20"/>
                <w:szCs w:val="20"/>
              </w:rPr>
              <w:t>社保缴金证明</w:t>
            </w:r>
          </w:p>
        </w:tc>
        <w:tc>
          <w:tcPr>
            <w:tcW w:w="1943" w:type="dxa"/>
            <w:tcBorders>
              <w:right w:val="single" w:color="000000" w:sz="6" w:space="0"/>
            </w:tcBorders>
            <w:vAlign w:val="top"/>
          </w:tcPr>
          <w:p>
            <w:pPr>
              <w:autoSpaceDE w:val="0"/>
              <w:autoSpaceDN w:val="0"/>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9773" w:type="dxa"/>
            <w:gridSpan w:val="7"/>
            <w:tcBorders>
              <w:left w:val="single" w:color="000000" w:sz="6" w:space="0"/>
              <w:bottom w:val="single" w:color="000000" w:sz="6" w:space="0"/>
              <w:right w:val="single" w:color="000000" w:sz="6" w:space="0"/>
            </w:tcBorders>
            <w:vAlign w:val="top"/>
          </w:tcPr>
          <w:p>
            <w:pPr>
              <w:pStyle w:val="487"/>
              <w:spacing w:before="55"/>
              <w:ind w:left="115" w:right="103" w:firstLine="417"/>
              <w:rPr>
                <w:color w:val="auto"/>
                <w:sz w:val="20"/>
                <w:szCs w:val="20"/>
              </w:rPr>
            </w:pPr>
            <w:r>
              <w:rPr>
                <w:color w:val="auto"/>
                <w:spacing w:val="9"/>
                <w:sz w:val="20"/>
                <w:szCs w:val="20"/>
              </w:rPr>
              <w:t>备注：《管理（技术）人员配置》表中配备人员应为本单位员工，提供近</w:t>
            </w:r>
            <w:r>
              <w:rPr>
                <w:color w:val="auto"/>
                <w:spacing w:val="-35"/>
                <w:sz w:val="20"/>
                <w:szCs w:val="20"/>
              </w:rPr>
              <w:t xml:space="preserve"> </w:t>
            </w:r>
            <w:r>
              <w:rPr>
                <w:color w:val="auto"/>
                <w:spacing w:val="9"/>
                <w:sz w:val="20"/>
                <w:szCs w:val="20"/>
              </w:rPr>
              <w:t>3</w:t>
            </w:r>
            <w:r>
              <w:rPr>
                <w:color w:val="auto"/>
                <w:spacing w:val="-38"/>
                <w:sz w:val="20"/>
                <w:szCs w:val="20"/>
              </w:rPr>
              <w:t xml:space="preserve"> </w:t>
            </w:r>
            <w:r>
              <w:rPr>
                <w:color w:val="auto"/>
                <w:spacing w:val="9"/>
                <w:sz w:val="20"/>
                <w:szCs w:val="20"/>
              </w:rPr>
              <w:t>个</w:t>
            </w:r>
            <w:r>
              <w:rPr>
                <w:color w:val="auto"/>
                <w:spacing w:val="8"/>
                <w:sz w:val="20"/>
                <w:szCs w:val="20"/>
              </w:rPr>
              <w:t>月内任意一个</w:t>
            </w:r>
            <w:r>
              <w:rPr>
                <w:color w:val="auto"/>
                <w:spacing w:val="7"/>
                <w:sz w:val="20"/>
                <w:szCs w:val="20"/>
              </w:rPr>
              <w:t>月单位缴纳社会保险证明。</w:t>
            </w:r>
          </w:p>
        </w:tc>
      </w:tr>
    </w:tbl>
    <w:p>
      <w:pPr>
        <w:tabs>
          <w:tab w:val="left" w:pos="3060"/>
        </w:tabs>
        <w:spacing w:line="360" w:lineRule="auto"/>
        <w:contextualSpacing/>
        <w:rPr>
          <w:bCs/>
          <w:sz w:val="24"/>
          <w:szCs w:val="24"/>
        </w:rPr>
      </w:pPr>
    </w:p>
    <w:p>
      <w:pPr>
        <w:tabs>
          <w:tab w:val="left" w:pos="3060"/>
        </w:tabs>
        <w:spacing w:line="360" w:lineRule="auto"/>
        <w:contextualSpacing/>
        <w:rPr>
          <w:bCs/>
          <w:sz w:val="24"/>
          <w:szCs w:val="24"/>
        </w:rPr>
      </w:pPr>
      <w:r>
        <w:rPr>
          <w:bCs/>
          <w:sz w:val="24"/>
          <w:szCs w:val="24"/>
        </w:rPr>
        <w:t>5.1.3作业工人配备要求</w:t>
      </w:r>
    </w:p>
    <w:p>
      <w:pPr>
        <w:tabs>
          <w:tab w:val="left" w:pos="3060"/>
        </w:tabs>
        <w:spacing w:line="360" w:lineRule="auto"/>
        <w:ind w:firstLine="480" w:firstLineChars="200"/>
        <w:contextualSpacing/>
        <w:rPr>
          <w:b/>
          <w:bCs/>
          <w:sz w:val="24"/>
          <w:szCs w:val="24"/>
          <w:u w:val="wavyHeavy"/>
        </w:rPr>
      </w:pPr>
      <w:r>
        <w:rPr>
          <w:bCs/>
          <w:sz w:val="24"/>
          <w:szCs w:val="24"/>
        </w:rPr>
        <w:t>根据本项目设施量，投标人需配备一定数量的一线养护作业工人，从事</w:t>
      </w:r>
      <w:r>
        <w:rPr>
          <w:bCs/>
          <w:sz w:val="24"/>
          <w:szCs w:val="24"/>
          <w:u w:val="single"/>
        </w:rPr>
        <w:t>绿化养护、</w:t>
      </w:r>
      <w:r>
        <w:rPr>
          <w:kern w:val="0"/>
          <w:sz w:val="24"/>
          <w:szCs w:val="24"/>
          <w:u w:val="single"/>
        </w:rPr>
        <w:t>保洁员、安保人员</w:t>
      </w:r>
      <w:r>
        <w:rPr>
          <w:bCs/>
          <w:sz w:val="24"/>
          <w:szCs w:val="24"/>
        </w:rPr>
        <w:t>等作业；其中：一线养护作业工人中的主要技术工人必须满足以下要求：</w:t>
      </w:r>
    </w:p>
    <w:p>
      <w:pPr>
        <w:tabs>
          <w:tab w:val="left" w:pos="3060"/>
        </w:tabs>
        <w:spacing w:line="360" w:lineRule="auto"/>
        <w:contextualSpacing/>
        <w:jc w:val="center"/>
        <w:rPr>
          <w:b/>
          <w:bCs/>
          <w:sz w:val="24"/>
          <w:szCs w:val="24"/>
        </w:rPr>
      </w:pPr>
      <w:r>
        <w:rPr>
          <w:b/>
          <w:bCs/>
          <w:sz w:val="24"/>
          <w:szCs w:val="24"/>
        </w:rPr>
        <w:t>一线主要劳动力配置表</w:t>
      </w:r>
    </w:p>
    <w:tbl>
      <w:tblPr>
        <w:tblStyle w:val="49"/>
        <w:tblW w:w="4930" w:type="pct"/>
        <w:jc w:val="center"/>
        <w:tblLayout w:type="autofit"/>
        <w:tblCellMar>
          <w:top w:w="0" w:type="dxa"/>
          <w:left w:w="108" w:type="dxa"/>
          <w:bottom w:w="0" w:type="dxa"/>
          <w:right w:w="108" w:type="dxa"/>
        </w:tblCellMar>
      </w:tblPr>
      <w:tblGrid>
        <w:gridCol w:w="894"/>
        <w:gridCol w:w="1741"/>
        <w:gridCol w:w="1535"/>
        <w:gridCol w:w="2506"/>
        <w:gridCol w:w="3147"/>
      </w:tblGrid>
      <w:tr>
        <w:tblPrEx>
          <w:tblCellMar>
            <w:top w:w="0" w:type="dxa"/>
            <w:left w:w="108" w:type="dxa"/>
            <w:bottom w:w="0" w:type="dxa"/>
            <w:right w:w="108" w:type="dxa"/>
          </w:tblCellMar>
        </w:tblPrEx>
        <w:trPr>
          <w:trHeight w:val="624" w:hRule="atLeast"/>
          <w:jc w:val="center"/>
        </w:trPr>
        <w:tc>
          <w:tcPr>
            <w:tcW w:w="455" w:type="pct"/>
            <w:vMerge w:val="restart"/>
            <w:tcBorders>
              <w:top w:val="single" w:color="auto" w:sz="4" w:space="0"/>
              <w:left w:val="single" w:color="auto" w:sz="4" w:space="0"/>
              <w:bottom w:val="single" w:color="000000" w:sz="4" w:space="0"/>
              <w:right w:val="single" w:color="auto" w:sz="4" w:space="0"/>
            </w:tcBorders>
            <w:vAlign w:val="center"/>
          </w:tcPr>
          <w:p>
            <w:pPr>
              <w:widowControl/>
              <w:spacing w:line="360" w:lineRule="auto"/>
              <w:contextualSpacing/>
              <w:jc w:val="center"/>
              <w:rPr>
                <w:b/>
                <w:bCs/>
                <w:kern w:val="0"/>
                <w:sz w:val="24"/>
                <w:szCs w:val="24"/>
              </w:rPr>
            </w:pPr>
            <w:bookmarkStart w:id="56" w:name="OLE_LINK21"/>
            <w:r>
              <w:rPr>
                <w:b/>
                <w:bCs/>
                <w:kern w:val="0"/>
                <w:sz w:val="24"/>
                <w:szCs w:val="24"/>
              </w:rPr>
              <w:t>序号</w:t>
            </w:r>
          </w:p>
        </w:tc>
        <w:tc>
          <w:tcPr>
            <w:tcW w:w="886" w:type="pct"/>
            <w:vMerge w:val="restart"/>
            <w:tcBorders>
              <w:top w:val="single" w:color="auto" w:sz="4" w:space="0"/>
              <w:left w:val="single" w:color="auto" w:sz="4" w:space="0"/>
              <w:bottom w:val="single" w:color="000000" w:sz="4" w:space="0"/>
              <w:right w:val="single" w:color="auto" w:sz="4" w:space="0"/>
            </w:tcBorders>
            <w:vAlign w:val="center"/>
          </w:tcPr>
          <w:p>
            <w:pPr>
              <w:widowControl/>
              <w:spacing w:line="360" w:lineRule="auto"/>
              <w:contextualSpacing/>
              <w:jc w:val="center"/>
              <w:rPr>
                <w:b/>
                <w:bCs/>
                <w:kern w:val="0"/>
                <w:sz w:val="24"/>
                <w:szCs w:val="24"/>
              </w:rPr>
            </w:pPr>
            <w:r>
              <w:rPr>
                <w:b/>
                <w:bCs/>
                <w:kern w:val="0"/>
                <w:sz w:val="24"/>
                <w:szCs w:val="24"/>
              </w:rPr>
              <w:t>岗位类别</w:t>
            </w:r>
          </w:p>
        </w:tc>
        <w:tc>
          <w:tcPr>
            <w:tcW w:w="781" w:type="pct"/>
            <w:vMerge w:val="restart"/>
            <w:tcBorders>
              <w:top w:val="single" w:color="auto" w:sz="4" w:space="0"/>
              <w:left w:val="single" w:color="auto" w:sz="4" w:space="0"/>
              <w:bottom w:val="single" w:color="000000" w:sz="4" w:space="0"/>
              <w:right w:val="single" w:color="auto" w:sz="4" w:space="0"/>
            </w:tcBorders>
            <w:vAlign w:val="center"/>
          </w:tcPr>
          <w:p>
            <w:pPr>
              <w:widowControl/>
              <w:spacing w:line="360" w:lineRule="auto"/>
              <w:contextualSpacing/>
              <w:jc w:val="center"/>
              <w:rPr>
                <w:b/>
                <w:bCs/>
                <w:kern w:val="0"/>
                <w:sz w:val="24"/>
                <w:szCs w:val="24"/>
              </w:rPr>
            </w:pPr>
            <w:r>
              <w:rPr>
                <w:b/>
                <w:bCs/>
                <w:kern w:val="0"/>
                <w:sz w:val="24"/>
                <w:szCs w:val="24"/>
              </w:rPr>
              <w:t>岗位名称</w:t>
            </w:r>
          </w:p>
        </w:tc>
        <w:tc>
          <w:tcPr>
            <w:tcW w:w="1275" w:type="pct"/>
            <w:tcBorders>
              <w:top w:val="single" w:color="auto" w:sz="4" w:space="0"/>
              <w:left w:val="single" w:color="auto" w:sz="4" w:space="0"/>
              <w:bottom w:val="single" w:color="auto" w:sz="4" w:space="0"/>
              <w:right w:val="single" w:color="000000" w:sz="4" w:space="0"/>
            </w:tcBorders>
            <w:vAlign w:val="center"/>
          </w:tcPr>
          <w:p>
            <w:pPr>
              <w:widowControl/>
              <w:spacing w:line="360" w:lineRule="auto"/>
              <w:contextualSpacing/>
              <w:jc w:val="center"/>
              <w:rPr>
                <w:b/>
                <w:bCs/>
                <w:kern w:val="0"/>
                <w:sz w:val="24"/>
                <w:szCs w:val="24"/>
              </w:rPr>
            </w:pPr>
            <w:r>
              <w:rPr>
                <w:b/>
                <w:bCs/>
                <w:kern w:val="0"/>
                <w:sz w:val="24"/>
                <w:szCs w:val="24"/>
              </w:rPr>
              <w:t>投标单位要求</w:t>
            </w:r>
          </w:p>
        </w:tc>
        <w:tc>
          <w:tcPr>
            <w:tcW w:w="1601" w:type="pct"/>
            <w:vMerge w:val="restart"/>
            <w:tcBorders>
              <w:top w:val="single" w:color="auto" w:sz="4" w:space="0"/>
              <w:left w:val="nil"/>
              <w:right w:val="single" w:color="auto" w:sz="4" w:space="0"/>
            </w:tcBorders>
            <w:vAlign w:val="center"/>
          </w:tcPr>
          <w:p>
            <w:pPr>
              <w:widowControl/>
              <w:spacing w:line="360" w:lineRule="auto"/>
              <w:contextualSpacing/>
              <w:jc w:val="center"/>
              <w:rPr>
                <w:b/>
                <w:bCs/>
                <w:kern w:val="0"/>
                <w:sz w:val="24"/>
                <w:szCs w:val="24"/>
              </w:rPr>
            </w:pPr>
            <w:r>
              <w:rPr>
                <w:b/>
                <w:bCs/>
                <w:kern w:val="0"/>
                <w:sz w:val="24"/>
                <w:szCs w:val="24"/>
              </w:rPr>
              <w:t>备注</w:t>
            </w:r>
          </w:p>
        </w:tc>
      </w:tr>
      <w:tr>
        <w:tblPrEx>
          <w:tblCellMar>
            <w:top w:w="0" w:type="dxa"/>
            <w:left w:w="108" w:type="dxa"/>
            <w:bottom w:w="0" w:type="dxa"/>
            <w:right w:w="108" w:type="dxa"/>
          </w:tblCellMar>
        </w:tblPrEx>
        <w:trPr>
          <w:trHeight w:val="624" w:hRule="atLeast"/>
          <w:jc w:val="center"/>
        </w:trPr>
        <w:tc>
          <w:tcPr>
            <w:tcW w:w="455" w:type="pct"/>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contextualSpacing/>
              <w:jc w:val="left"/>
              <w:rPr>
                <w:b/>
                <w:bCs/>
                <w:kern w:val="0"/>
                <w:sz w:val="24"/>
                <w:szCs w:val="24"/>
              </w:rPr>
            </w:pPr>
          </w:p>
        </w:tc>
        <w:tc>
          <w:tcPr>
            <w:tcW w:w="886" w:type="pct"/>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contextualSpacing/>
              <w:jc w:val="left"/>
              <w:rPr>
                <w:b/>
                <w:bCs/>
                <w:kern w:val="0"/>
                <w:sz w:val="24"/>
                <w:szCs w:val="24"/>
              </w:rPr>
            </w:pPr>
          </w:p>
        </w:tc>
        <w:tc>
          <w:tcPr>
            <w:tcW w:w="781" w:type="pct"/>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auto"/>
              <w:contextualSpacing/>
              <w:jc w:val="left"/>
              <w:rPr>
                <w:b/>
                <w:bCs/>
                <w:kern w:val="0"/>
                <w:sz w:val="24"/>
                <w:szCs w:val="24"/>
              </w:rPr>
            </w:pPr>
          </w:p>
        </w:tc>
        <w:tc>
          <w:tcPr>
            <w:tcW w:w="1275" w:type="pct"/>
            <w:tcBorders>
              <w:top w:val="nil"/>
              <w:left w:val="single" w:color="auto" w:sz="4" w:space="0"/>
              <w:bottom w:val="single" w:color="auto" w:sz="4" w:space="0"/>
              <w:right w:val="single" w:color="auto" w:sz="4" w:space="0"/>
            </w:tcBorders>
            <w:vAlign w:val="center"/>
          </w:tcPr>
          <w:p>
            <w:pPr>
              <w:widowControl/>
              <w:spacing w:line="360" w:lineRule="auto"/>
              <w:contextualSpacing/>
              <w:jc w:val="center"/>
              <w:rPr>
                <w:b/>
                <w:bCs/>
                <w:kern w:val="0"/>
                <w:sz w:val="24"/>
                <w:szCs w:val="24"/>
              </w:rPr>
            </w:pPr>
            <w:r>
              <w:rPr>
                <w:b/>
                <w:bCs/>
                <w:kern w:val="0"/>
                <w:sz w:val="24"/>
                <w:szCs w:val="24"/>
              </w:rPr>
              <w:t>要求最低配置数量</w:t>
            </w:r>
          </w:p>
        </w:tc>
        <w:tc>
          <w:tcPr>
            <w:tcW w:w="1601" w:type="pct"/>
            <w:vMerge w:val="continue"/>
            <w:tcBorders>
              <w:left w:val="nil"/>
              <w:bottom w:val="single" w:color="auto" w:sz="4" w:space="0"/>
              <w:right w:val="single" w:color="auto" w:sz="4" w:space="0"/>
            </w:tcBorders>
            <w:vAlign w:val="center"/>
          </w:tcPr>
          <w:p>
            <w:pPr>
              <w:widowControl/>
              <w:spacing w:line="360" w:lineRule="auto"/>
              <w:contextualSpacing/>
              <w:jc w:val="center"/>
              <w:rPr>
                <w:b/>
                <w:bCs/>
                <w:kern w:val="0"/>
                <w:sz w:val="24"/>
                <w:szCs w:val="24"/>
              </w:rPr>
            </w:pPr>
          </w:p>
        </w:tc>
      </w:tr>
      <w:tr>
        <w:tblPrEx>
          <w:tblCellMar>
            <w:top w:w="0" w:type="dxa"/>
            <w:left w:w="108" w:type="dxa"/>
            <w:bottom w:w="0" w:type="dxa"/>
            <w:right w:w="108" w:type="dxa"/>
          </w:tblCellMar>
        </w:tblPrEx>
        <w:trPr>
          <w:trHeight w:val="936" w:hRule="atLeast"/>
          <w:jc w:val="center"/>
        </w:trPr>
        <w:tc>
          <w:tcPr>
            <w:tcW w:w="455" w:type="pct"/>
            <w:tcBorders>
              <w:top w:val="nil"/>
              <w:left w:val="single" w:color="auto" w:sz="4" w:space="0"/>
              <w:bottom w:val="single" w:color="auto" w:sz="4" w:space="0"/>
              <w:right w:val="single" w:color="auto" w:sz="4" w:space="0"/>
            </w:tcBorders>
            <w:vAlign w:val="center"/>
          </w:tcPr>
          <w:p>
            <w:pPr>
              <w:widowControl/>
              <w:spacing w:line="360" w:lineRule="auto"/>
              <w:jc w:val="center"/>
              <w:textAlignment w:val="center"/>
              <w:rPr>
                <w:kern w:val="0"/>
                <w:sz w:val="24"/>
                <w:szCs w:val="24"/>
              </w:rPr>
            </w:pPr>
            <w:r>
              <w:rPr>
                <w:kern w:val="0"/>
                <w:sz w:val="24"/>
                <w:szCs w:val="24"/>
              </w:rPr>
              <w:t>1</w:t>
            </w:r>
          </w:p>
        </w:tc>
        <w:tc>
          <w:tcPr>
            <w:tcW w:w="886" w:type="pct"/>
            <w:vMerge w:val="restart"/>
            <w:tcBorders>
              <w:top w:val="nil"/>
              <w:left w:val="single" w:color="auto" w:sz="4" w:space="0"/>
              <w:right w:val="single" w:color="auto" w:sz="4" w:space="0"/>
            </w:tcBorders>
            <w:vAlign w:val="center"/>
          </w:tcPr>
          <w:p>
            <w:pPr>
              <w:widowControl/>
              <w:spacing w:line="360" w:lineRule="auto"/>
              <w:jc w:val="center"/>
              <w:textAlignment w:val="center"/>
              <w:rPr>
                <w:kern w:val="0"/>
                <w:sz w:val="24"/>
                <w:szCs w:val="24"/>
              </w:rPr>
            </w:pPr>
            <w:r>
              <w:rPr>
                <w:kern w:val="0"/>
                <w:sz w:val="24"/>
                <w:szCs w:val="24"/>
              </w:rPr>
              <w:t>一线劳动力</w:t>
            </w:r>
          </w:p>
        </w:tc>
        <w:tc>
          <w:tcPr>
            <w:tcW w:w="781" w:type="pct"/>
            <w:tcBorders>
              <w:top w:val="nil"/>
              <w:left w:val="nil"/>
              <w:bottom w:val="single" w:color="auto" w:sz="4" w:space="0"/>
              <w:right w:val="single" w:color="auto" w:sz="4" w:space="0"/>
            </w:tcBorders>
            <w:vAlign w:val="center"/>
          </w:tcPr>
          <w:p>
            <w:pPr>
              <w:widowControl/>
              <w:spacing w:line="360" w:lineRule="auto"/>
              <w:jc w:val="center"/>
              <w:textAlignment w:val="center"/>
              <w:rPr>
                <w:kern w:val="0"/>
                <w:sz w:val="24"/>
                <w:szCs w:val="24"/>
              </w:rPr>
            </w:pPr>
            <w:r>
              <w:rPr>
                <w:kern w:val="0"/>
                <w:sz w:val="24"/>
                <w:szCs w:val="24"/>
              </w:rPr>
              <w:t>绿化养护工</w:t>
            </w:r>
          </w:p>
        </w:tc>
        <w:tc>
          <w:tcPr>
            <w:tcW w:w="1275" w:type="pct"/>
            <w:tcBorders>
              <w:top w:val="nil"/>
              <w:left w:val="nil"/>
              <w:bottom w:val="single" w:color="auto" w:sz="4" w:space="0"/>
              <w:right w:val="single" w:color="auto" w:sz="4" w:space="0"/>
            </w:tcBorders>
            <w:vAlign w:val="center"/>
          </w:tcPr>
          <w:p>
            <w:pPr>
              <w:widowControl/>
              <w:spacing w:line="360" w:lineRule="auto"/>
              <w:jc w:val="center"/>
              <w:textAlignment w:val="center"/>
              <w:rPr>
                <w:kern w:val="0"/>
                <w:sz w:val="24"/>
                <w:szCs w:val="24"/>
              </w:rPr>
            </w:pPr>
            <w:r>
              <w:rPr>
                <w:rFonts w:hint="eastAsia"/>
                <w:kern w:val="0"/>
                <w:sz w:val="24"/>
                <w:szCs w:val="24"/>
              </w:rPr>
              <w:t>80</w:t>
            </w:r>
          </w:p>
        </w:tc>
        <w:tc>
          <w:tcPr>
            <w:tcW w:w="1601" w:type="pct"/>
            <w:tcBorders>
              <w:top w:val="nil"/>
              <w:left w:val="nil"/>
              <w:bottom w:val="single" w:color="auto" w:sz="4" w:space="0"/>
              <w:right w:val="single" w:color="auto" w:sz="4" w:space="0"/>
            </w:tcBorders>
          </w:tcPr>
          <w:p>
            <w:pPr>
              <w:widowControl/>
              <w:spacing w:line="360" w:lineRule="auto"/>
              <w:jc w:val="left"/>
              <w:textAlignment w:val="center"/>
              <w:rPr>
                <w:kern w:val="0"/>
                <w:sz w:val="24"/>
                <w:szCs w:val="24"/>
              </w:rPr>
            </w:pPr>
            <w:r>
              <w:rPr>
                <w:rFonts w:hint="eastAsia" w:ascii="宋体" w:hAnsi="宋体" w:cs="宋体"/>
                <w:kern w:val="0"/>
                <w:sz w:val="24"/>
                <w:szCs w:val="24"/>
              </w:rPr>
              <w:t>人均日养护面积5000平方米，工人日均作业时间不得大于1.5班次</w:t>
            </w:r>
          </w:p>
        </w:tc>
      </w:tr>
      <w:tr>
        <w:tblPrEx>
          <w:tblCellMar>
            <w:top w:w="0" w:type="dxa"/>
            <w:left w:w="108" w:type="dxa"/>
            <w:bottom w:w="0" w:type="dxa"/>
            <w:right w:w="108" w:type="dxa"/>
          </w:tblCellMar>
        </w:tblPrEx>
        <w:trPr>
          <w:trHeight w:val="936" w:hRule="atLeast"/>
          <w:jc w:val="center"/>
        </w:trPr>
        <w:tc>
          <w:tcPr>
            <w:tcW w:w="455" w:type="pct"/>
            <w:tcBorders>
              <w:top w:val="nil"/>
              <w:left w:val="single" w:color="auto" w:sz="4" w:space="0"/>
              <w:bottom w:val="single" w:color="auto" w:sz="4" w:space="0"/>
              <w:right w:val="single" w:color="auto" w:sz="4" w:space="0"/>
            </w:tcBorders>
            <w:vAlign w:val="center"/>
          </w:tcPr>
          <w:p>
            <w:pPr>
              <w:widowControl/>
              <w:spacing w:line="360" w:lineRule="auto"/>
              <w:jc w:val="center"/>
              <w:textAlignment w:val="center"/>
              <w:rPr>
                <w:kern w:val="0"/>
                <w:sz w:val="24"/>
                <w:szCs w:val="24"/>
              </w:rPr>
            </w:pPr>
            <w:r>
              <w:rPr>
                <w:kern w:val="0"/>
                <w:sz w:val="24"/>
                <w:szCs w:val="24"/>
              </w:rPr>
              <w:t>2</w:t>
            </w:r>
          </w:p>
        </w:tc>
        <w:tc>
          <w:tcPr>
            <w:tcW w:w="886" w:type="pct"/>
            <w:vMerge w:val="continue"/>
            <w:tcBorders>
              <w:left w:val="single" w:color="auto" w:sz="4" w:space="0"/>
              <w:right w:val="single" w:color="auto" w:sz="4" w:space="0"/>
            </w:tcBorders>
            <w:vAlign w:val="center"/>
          </w:tcPr>
          <w:p>
            <w:pPr>
              <w:spacing w:line="360" w:lineRule="auto"/>
              <w:jc w:val="center"/>
              <w:rPr>
                <w:kern w:val="0"/>
                <w:sz w:val="24"/>
                <w:szCs w:val="24"/>
              </w:rPr>
            </w:pPr>
          </w:p>
        </w:tc>
        <w:tc>
          <w:tcPr>
            <w:tcW w:w="781" w:type="pct"/>
            <w:tcBorders>
              <w:top w:val="nil"/>
              <w:left w:val="nil"/>
              <w:bottom w:val="single" w:color="auto" w:sz="4" w:space="0"/>
              <w:right w:val="single" w:color="auto" w:sz="4" w:space="0"/>
            </w:tcBorders>
            <w:vAlign w:val="center"/>
          </w:tcPr>
          <w:p>
            <w:pPr>
              <w:widowControl/>
              <w:spacing w:line="360" w:lineRule="auto"/>
              <w:jc w:val="center"/>
              <w:textAlignment w:val="center"/>
              <w:rPr>
                <w:kern w:val="0"/>
                <w:sz w:val="24"/>
                <w:szCs w:val="24"/>
              </w:rPr>
            </w:pPr>
            <w:r>
              <w:rPr>
                <w:kern w:val="0"/>
                <w:sz w:val="24"/>
                <w:szCs w:val="24"/>
              </w:rPr>
              <w:t>公共区域保洁员</w:t>
            </w:r>
          </w:p>
        </w:tc>
        <w:tc>
          <w:tcPr>
            <w:tcW w:w="1275" w:type="pct"/>
            <w:tcBorders>
              <w:top w:val="nil"/>
              <w:left w:val="nil"/>
              <w:bottom w:val="single" w:color="auto" w:sz="4" w:space="0"/>
              <w:right w:val="single" w:color="auto" w:sz="4" w:space="0"/>
            </w:tcBorders>
            <w:vAlign w:val="center"/>
          </w:tcPr>
          <w:p>
            <w:pPr>
              <w:widowControl/>
              <w:spacing w:line="360" w:lineRule="auto"/>
              <w:jc w:val="center"/>
              <w:textAlignment w:val="center"/>
              <w:rPr>
                <w:kern w:val="0"/>
                <w:sz w:val="24"/>
                <w:szCs w:val="24"/>
              </w:rPr>
            </w:pPr>
            <w:r>
              <w:rPr>
                <w:rFonts w:hint="eastAsia"/>
                <w:kern w:val="0"/>
                <w:sz w:val="24"/>
                <w:szCs w:val="24"/>
              </w:rPr>
              <w:t>20</w:t>
            </w:r>
          </w:p>
        </w:tc>
        <w:tc>
          <w:tcPr>
            <w:tcW w:w="1601" w:type="pct"/>
            <w:tcBorders>
              <w:top w:val="nil"/>
              <w:left w:val="nil"/>
              <w:bottom w:val="single" w:color="auto" w:sz="4" w:space="0"/>
              <w:right w:val="single" w:color="auto" w:sz="4" w:space="0"/>
            </w:tcBorders>
          </w:tcPr>
          <w:p>
            <w:pPr>
              <w:widowControl/>
              <w:spacing w:line="360" w:lineRule="auto"/>
              <w:jc w:val="left"/>
              <w:textAlignment w:val="center"/>
              <w:rPr>
                <w:kern w:val="0"/>
                <w:sz w:val="24"/>
                <w:szCs w:val="24"/>
              </w:rPr>
            </w:pPr>
            <w:r>
              <w:rPr>
                <w:rFonts w:hint="eastAsia" w:ascii="宋体" w:hAnsi="宋体" w:cs="宋体"/>
                <w:kern w:val="0"/>
                <w:sz w:val="24"/>
                <w:szCs w:val="24"/>
              </w:rPr>
              <w:t>人均养护面积20000平米</w:t>
            </w:r>
          </w:p>
        </w:tc>
      </w:tr>
      <w:tr>
        <w:tblPrEx>
          <w:tblCellMar>
            <w:top w:w="0" w:type="dxa"/>
            <w:left w:w="108" w:type="dxa"/>
            <w:bottom w:w="0" w:type="dxa"/>
            <w:right w:w="108" w:type="dxa"/>
          </w:tblCellMar>
        </w:tblPrEx>
        <w:trPr>
          <w:trHeight w:val="936"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kern w:val="0"/>
                <w:sz w:val="24"/>
                <w:szCs w:val="24"/>
              </w:rPr>
            </w:pPr>
            <w:r>
              <w:rPr>
                <w:kern w:val="0"/>
                <w:sz w:val="24"/>
                <w:szCs w:val="24"/>
              </w:rPr>
              <w:t>3</w:t>
            </w:r>
          </w:p>
        </w:tc>
        <w:tc>
          <w:tcPr>
            <w:tcW w:w="886" w:type="pct"/>
            <w:vMerge w:val="continue"/>
            <w:tcBorders>
              <w:left w:val="single" w:color="auto" w:sz="4" w:space="0"/>
              <w:bottom w:val="single" w:color="auto" w:sz="4" w:space="0"/>
              <w:right w:val="single" w:color="auto" w:sz="4" w:space="0"/>
            </w:tcBorders>
            <w:vAlign w:val="center"/>
          </w:tcPr>
          <w:p>
            <w:pPr>
              <w:spacing w:line="360" w:lineRule="auto"/>
              <w:jc w:val="center"/>
              <w:rPr>
                <w:kern w:val="0"/>
                <w:sz w:val="24"/>
                <w:szCs w:val="24"/>
              </w:rPr>
            </w:pPr>
          </w:p>
        </w:tc>
        <w:tc>
          <w:tcPr>
            <w:tcW w:w="781" w:type="pct"/>
            <w:tcBorders>
              <w:top w:val="single" w:color="auto" w:sz="4" w:space="0"/>
              <w:left w:val="nil"/>
              <w:bottom w:val="single" w:color="auto" w:sz="4" w:space="0"/>
              <w:right w:val="single" w:color="auto" w:sz="4" w:space="0"/>
            </w:tcBorders>
            <w:vAlign w:val="center"/>
          </w:tcPr>
          <w:p>
            <w:pPr>
              <w:widowControl/>
              <w:spacing w:line="360" w:lineRule="auto"/>
              <w:jc w:val="center"/>
              <w:textAlignment w:val="center"/>
              <w:rPr>
                <w:kern w:val="0"/>
                <w:sz w:val="24"/>
                <w:szCs w:val="24"/>
              </w:rPr>
            </w:pPr>
            <w:r>
              <w:rPr>
                <w:kern w:val="0"/>
                <w:sz w:val="24"/>
                <w:szCs w:val="24"/>
              </w:rPr>
              <w:t>安保人员</w:t>
            </w:r>
          </w:p>
        </w:tc>
        <w:tc>
          <w:tcPr>
            <w:tcW w:w="1275" w:type="pct"/>
            <w:tcBorders>
              <w:top w:val="single" w:color="auto" w:sz="4" w:space="0"/>
              <w:left w:val="nil"/>
              <w:bottom w:val="single" w:color="auto" w:sz="4" w:space="0"/>
              <w:right w:val="single" w:color="auto" w:sz="4" w:space="0"/>
            </w:tcBorders>
            <w:vAlign w:val="center"/>
          </w:tcPr>
          <w:p>
            <w:pPr>
              <w:widowControl/>
              <w:spacing w:line="360" w:lineRule="auto"/>
              <w:jc w:val="center"/>
              <w:textAlignment w:val="center"/>
              <w:rPr>
                <w:kern w:val="0"/>
                <w:sz w:val="24"/>
                <w:szCs w:val="24"/>
              </w:rPr>
            </w:pPr>
            <w:r>
              <w:rPr>
                <w:rFonts w:hint="eastAsia"/>
                <w:kern w:val="0"/>
                <w:sz w:val="24"/>
                <w:szCs w:val="24"/>
              </w:rPr>
              <w:t>6</w:t>
            </w:r>
          </w:p>
        </w:tc>
        <w:tc>
          <w:tcPr>
            <w:tcW w:w="1601" w:type="pct"/>
            <w:tcBorders>
              <w:top w:val="single" w:color="auto" w:sz="4" w:space="0"/>
              <w:left w:val="nil"/>
              <w:bottom w:val="single" w:color="auto" w:sz="4" w:space="0"/>
              <w:right w:val="single" w:color="auto" w:sz="4" w:space="0"/>
            </w:tcBorders>
            <w:vAlign w:val="center"/>
          </w:tcPr>
          <w:p>
            <w:pPr>
              <w:widowControl/>
              <w:spacing w:line="360" w:lineRule="auto"/>
              <w:jc w:val="left"/>
              <w:textAlignment w:val="center"/>
              <w:rPr>
                <w:kern w:val="0"/>
                <w:sz w:val="24"/>
                <w:szCs w:val="24"/>
              </w:rPr>
            </w:pPr>
          </w:p>
        </w:tc>
      </w:tr>
      <w:bookmarkEnd w:id="56"/>
    </w:tbl>
    <w:p>
      <w:pPr>
        <w:spacing w:line="360" w:lineRule="auto"/>
        <w:ind w:firstLine="0" w:firstLineChars="0"/>
        <w:contextualSpacing/>
        <w:rPr>
          <w:sz w:val="24"/>
          <w:szCs w:val="24"/>
        </w:rPr>
      </w:pPr>
    </w:p>
    <w:p>
      <w:pPr>
        <w:spacing w:line="360" w:lineRule="auto"/>
        <w:ind w:firstLine="0" w:firstLineChars="0"/>
        <w:contextualSpacing/>
        <w:jc w:val="left"/>
        <w:outlineLvl w:val="2"/>
        <w:rPr>
          <w:b/>
          <w:bCs/>
          <w:sz w:val="24"/>
          <w:szCs w:val="24"/>
        </w:rPr>
      </w:pPr>
      <w:r>
        <w:rPr>
          <w:b/>
          <w:bCs/>
          <w:sz w:val="24"/>
          <w:szCs w:val="24"/>
        </w:rPr>
        <w:t>6</w:t>
      </w:r>
      <w:r>
        <w:rPr>
          <w:rFonts w:hint="eastAsia"/>
          <w:b/>
          <w:bCs/>
          <w:sz w:val="24"/>
          <w:szCs w:val="24"/>
        </w:rPr>
        <w:t>、养护机械设备配备要求</w:t>
      </w:r>
    </w:p>
    <w:p>
      <w:pPr>
        <w:spacing w:line="360" w:lineRule="auto"/>
        <w:ind w:firstLine="472" w:firstLineChars="196"/>
        <w:contextualSpacing/>
        <w:jc w:val="center"/>
        <w:outlineLvl w:val="2"/>
        <w:rPr>
          <w:rFonts w:hint="eastAsia" w:ascii="宋体" w:hAnsi="宋体" w:cs="宋体"/>
          <w:b/>
          <w:bCs/>
          <w:sz w:val="24"/>
          <w:szCs w:val="24"/>
        </w:rPr>
      </w:pPr>
      <w:r>
        <w:rPr>
          <w:rFonts w:hint="eastAsia" w:ascii="宋体" w:hAnsi="宋体" w:cs="宋体"/>
          <w:b/>
          <w:bCs/>
          <w:sz w:val="24"/>
          <w:szCs w:val="24"/>
        </w:rPr>
        <w:t>养护机械设备配备清单</w:t>
      </w:r>
    </w:p>
    <w:tbl>
      <w:tblPr>
        <w:tblStyle w:val="49"/>
        <w:tblW w:w="9607" w:type="dxa"/>
        <w:jc w:val="center"/>
        <w:tblLayout w:type="fixed"/>
        <w:tblCellMar>
          <w:top w:w="0" w:type="dxa"/>
          <w:left w:w="108" w:type="dxa"/>
          <w:bottom w:w="0" w:type="dxa"/>
          <w:right w:w="108" w:type="dxa"/>
        </w:tblCellMar>
      </w:tblPr>
      <w:tblGrid>
        <w:gridCol w:w="1049"/>
        <w:gridCol w:w="2404"/>
        <w:gridCol w:w="982"/>
        <w:gridCol w:w="833"/>
        <w:gridCol w:w="2497"/>
        <w:gridCol w:w="1842"/>
      </w:tblGrid>
      <w:tr>
        <w:tblPrEx>
          <w:tblCellMar>
            <w:top w:w="0" w:type="dxa"/>
            <w:left w:w="108" w:type="dxa"/>
            <w:bottom w:w="0" w:type="dxa"/>
            <w:right w:w="108" w:type="dxa"/>
          </w:tblCellMar>
        </w:tblPrEx>
        <w:trPr>
          <w:trHeight w:val="567" w:hRule="atLeast"/>
          <w:jc w:val="center"/>
        </w:trPr>
        <w:tc>
          <w:tcPr>
            <w:tcW w:w="104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序号</w:t>
            </w:r>
          </w:p>
        </w:tc>
        <w:tc>
          <w:tcPr>
            <w:tcW w:w="24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机械设备名称</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单位</w:t>
            </w:r>
          </w:p>
        </w:tc>
        <w:tc>
          <w:tcPr>
            <w:tcW w:w="833"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数量</w:t>
            </w:r>
          </w:p>
        </w:tc>
        <w:tc>
          <w:tcPr>
            <w:tcW w:w="2497"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配置要求</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备注</w:t>
            </w:r>
          </w:p>
        </w:tc>
      </w:tr>
      <w:tr>
        <w:tblPrEx>
          <w:tblCellMar>
            <w:top w:w="0" w:type="dxa"/>
            <w:left w:w="108" w:type="dxa"/>
            <w:bottom w:w="0" w:type="dxa"/>
            <w:right w:w="108" w:type="dxa"/>
          </w:tblCellMar>
        </w:tblPrEx>
        <w:trPr>
          <w:trHeight w:val="567" w:hRule="atLeast"/>
          <w:jc w:val="center"/>
        </w:trPr>
        <w:tc>
          <w:tcPr>
            <w:tcW w:w="1049" w:type="dxa"/>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1</w:t>
            </w:r>
          </w:p>
        </w:tc>
        <w:tc>
          <w:tcPr>
            <w:tcW w:w="2404"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pacing w:val="-2"/>
                <w:sz w:val="24"/>
                <w:szCs w:val="24"/>
              </w:rPr>
              <w:t>载货汽车</w:t>
            </w:r>
          </w:p>
        </w:tc>
        <w:tc>
          <w:tcPr>
            <w:tcW w:w="982"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辆</w:t>
            </w:r>
          </w:p>
        </w:tc>
        <w:tc>
          <w:tcPr>
            <w:tcW w:w="833"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2</w:t>
            </w:r>
          </w:p>
        </w:tc>
        <w:tc>
          <w:tcPr>
            <w:tcW w:w="2497"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spacing w:val="-1"/>
                <w:sz w:val="24"/>
                <w:szCs w:val="24"/>
              </w:rPr>
              <w:t>符合通行、环保要求</w:t>
            </w:r>
          </w:p>
        </w:tc>
        <w:tc>
          <w:tcPr>
            <w:tcW w:w="1842"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bookmarkStart w:id="57" w:name="OLE_LINK14"/>
            <w:r>
              <w:rPr>
                <w:rFonts w:hint="eastAsia" w:ascii="宋体" w:hAnsi="宋体" w:cs="宋体"/>
                <w:kern w:val="0"/>
                <w:sz w:val="24"/>
                <w:szCs w:val="24"/>
              </w:rPr>
              <w:t>自有或租赁</w:t>
            </w:r>
            <w:bookmarkEnd w:id="57"/>
          </w:p>
        </w:tc>
      </w:tr>
      <w:tr>
        <w:tblPrEx>
          <w:tblCellMar>
            <w:top w:w="0" w:type="dxa"/>
            <w:left w:w="108" w:type="dxa"/>
            <w:bottom w:w="0" w:type="dxa"/>
            <w:right w:w="108" w:type="dxa"/>
          </w:tblCellMar>
        </w:tblPrEx>
        <w:trPr>
          <w:trHeight w:val="567" w:hRule="atLeast"/>
          <w:jc w:val="center"/>
        </w:trPr>
        <w:tc>
          <w:tcPr>
            <w:tcW w:w="1049" w:type="dxa"/>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2</w:t>
            </w:r>
          </w:p>
        </w:tc>
        <w:tc>
          <w:tcPr>
            <w:tcW w:w="2404"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pacing w:val="-2"/>
                <w:sz w:val="24"/>
                <w:szCs w:val="24"/>
              </w:rPr>
              <w:t>巡视车</w:t>
            </w:r>
          </w:p>
        </w:tc>
        <w:tc>
          <w:tcPr>
            <w:tcW w:w="982"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辆</w:t>
            </w:r>
          </w:p>
        </w:tc>
        <w:tc>
          <w:tcPr>
            <w:tcW w:w="833"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1</w:t>
            </w:r>
          </w:p>
        </w:tc>
        <w:tc>
          <w:tcPr>
            <w:tcW w:w="2497"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spacing w:val="-1"/>
                <w:sz w:val="24"/>
                <w:szCs w:val="24"/>
              </w:rPr>
              <w:t>符合通行、环保要求</w:t>
            </w: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自有或租赁</w:t>
            </w:r>
          </w:p>
        </w:tc>
      </w:tr>
      <w:tr>
        <w:tblPrEx>
          <w:tblCellMar>
            <w:top w:w="0" w:type="dxa"/>
            <w:left w:w="108" w:type="dxa"/>
            <w:bottom w:w="0" w:type="dxa"/>
            <w:right w:w="108" w:type="dxa"/>
          </w:tblCellMar>
        </w:tblPrEx>
        <w:trPr>
          <w:trHeight w:val="567" w:hRule="atLeast"/>
          <w:jc w:val="center"/>
        </w:trPr>
        <w:tc>
          <w:tcPr>
            <w:tcW w:w="1049" w:type="dxa"/>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3</w:t>
            </w:r>
          </w:p>
        </w:tc>
        <w:tc>
          <w:tcPr>
            <w:tcW w:w="2404"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pacing w:val="-2"/>
                <w:sz w:val="24"/>
                <w:szCs w:val="24"/>
              </w:rPr>
              <w:t>压缩式垃圾车</w:t>
            </w:r>
          </w:p>
        </w:tc>
        <w:tc>
          <w:tcPr>
            <w:tcW w:w="982"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辆</w:t>
            </w:r>
          </w:p>
        </w:tc>
        <w:tc>
          <w:tcPr>
            <w:tcW w:w="833"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1</w:t>
            </w:r>
          </w:p>
        </w:tc>
        <w:tc>
          <w:tcPr>
            <w:tcW w:w="2497"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spacing w:val="-1"/>
                <w:sz w:val="24"/>
                <w:szCs w:val="24"/>
              </w:rPr>
              <w:t>符合通行、环保要求</w:t>
            </w: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自有或租赁</w:t>
            </w:r>
          </w:p>
        </w:tc>
      </w:tr>
      <w:tr>
        <w:tblPrEx>
          <w:tblCellMar>
            <w:top w:w="0" w:type="dxa"/>
            <w:left w:w="108" w:type="dxa"/>
            <w:bottom w:w="0" w:type="dxa"/>
            <w:right w:w="108" w:type="dxa"/>
          </w:tblCellMar>
        </w:tblPrEx>
        <w:trPr>
          <w:trHeight w:val="567" w:hRule="atLeast"/>
          <w:jc w:val="center"/>
        </w:trPr>
        <w:tc>
          <w:tcPr>
            <w:tcW w:w="1049" w:type="dxa"/>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4</w:t>
            </w:r>
          </w:p>
        </w:tc>
        <w:tc>
          <w:tcPr>
            <w:tcW w:w="2404"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pacing w:val="-2"/>
                <w:sz w:val="24"/>
                <w:szCs w:val="24"/>
              </w:rPr>
              <w:t>洗扫车</w:t>
            </w:r>
          </w:p>
        </w:tc>
        <w:tc>
          <w:tcPr>
            <w:tcW w:w="982"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辆</w:t>
            </w:r>
          </w:p>
        </w:tc>
        <w:tc>
          <w:tcPr>
            <w:tcW w:w="833"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1</w:t>
            </w:r>
          </w:p>
        </w:tc>
        <w:tc>
          <w:tcPr>
            <w:tcW w:w="2497"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spacing w:val="-1"/>
                <w:sz w:val="24"/>
                <w:szCs w:val="24"/>
              </w:rPr>
              <w:t>符合通行、环保要求</w:t>
            </w: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自有或租赁</w:t>
            </w:r>
          </w:p>
        </w:tc>
      </w:tr>
      <w:tr>
        <w:tblPrEx>
          <w:tblCellMar>
            <w:top w:w="0" w:type="dxa"/>
            <w:left w:w="108" w:type="dxa"/>
            <w:bottom w:w="0" w:type="dxa"/>
            <w:right w:w="108" w:type="dxa"/>
          </w:tblCellMar>
        </w:tblPrEx>
        <w:trPr>
          <w:trHeight w:val="567" w:hRule="atLeast"/>
          <w:jc w:val="center"/>
        </w:trPr>
        <w:tc>
          <w:tcPr>
            <w:tcW w:w="1049" w:type="dxa"/>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5</w:t>
            </w:r>
          </w:p>
        </w:tc>
        <w:tc>
          <w:tcPr>
            <w:tcW w:w="2404"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pacing w:val="4"/>
                <w:sz w:val="24"/>
                <w:szCs w:val="24"/>
              </w:rPr>
              <w:t>吊车</w:t>
            </w:r>
          </w:p>
        </w:tc>
        <w:tc>
          <w:tcPr>
            <w:tcW w:w="982"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台</w:t>
            </w:r>
          </w:p>
        </w:tc>
        <w:tc>
          <w:tcPr>
            <w:tcW w:w="833" w:type="dxa"/>
            <w:tcBorders>
              <w:top w:val="nil"/>
              <w:left w:val="nil"/>
              <w:bottom w:val="single" w:color="auto" w:sz="4" w:space="0"/>
              <w:right w:val="single" w:color="auto" w:sz="4" w:space="0"/>
            </w:tcBorders>
          </w:tcPr>
          <w:p>
            <w:pPr>
              <w:widowControl/>
              <w:jc w:val="center"/>
              <w:rPr>
                <w:rFonts w:hint="eastAsia" w:ascii="宋体" w:hAnsi="宋体" w:cs="宋体"/>
                <w:kern w:val="0"/>
                <w:sz w:val="24"/>
                <w:szCs w:val="24"/>
              </w:rPr>
            </w:pPr>
            <w:r>
              <w:rPr>
                <w:rFonts w:hint="eastAsia" w:ascii="宋体" w:hAnsi="宋体" w:cs="宋体"/>
                <w:sz w:val="24"/>
                <w:szCs w:val="24"/>
              </w:rPr>
              <w:t>2</w:t>
            </w:r>
          </w:p>
        </w:tc>
        <w:tc>
          <w:tcPr>
            <w:tcW w:w="2497"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spacing w:val="-1"/>
                <w:sz w:val="24"/>
                <w:szCs w:val="24"/>
              </w:rPr>
              <w:t>符合通行、环保要求</w:t>
            </w: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自有或租赁</w:t>
            </w:r>
          </w:p>
        </w:tc>
      </w:tr>
      <w:tr>
        <w:tblPrEx>
          <w:tblCellMar>
            <w:top w:w="0" w:type="dxa"/>
            <w:left w:w="108" w:type="dxa"/>
            <w:bottom w:w="0" w:type="dxa"/>
            <w:right w:w="108" w:type="dxa"/>
          </w:tblCellMar>
        </w:tblPrEx>
        <w:trPr>
          <w:trHeight w:val="567" w:hRule="atLeast"/>
          <w:jc w:val="center"/>
        </w:trPr>
        <w:tc>
          <w:tcPr>
            <w:tcW w:w="1049" w:type="dxa"/>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6</w:t>
            </w:r>
          </w:p>
        </w:tc>
        <w:tc>
          <w:tcPr>
            <w:tcW w:w="2404"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pacing w:val="-3"/>
                <w:sz w:val="24"/>
                <w:szCs w:val="24"/>
              </w:rPr>
              <w:t>绿篱机</w:t>
            </w:r>
          </w:p>
        </w:tc>
        <w:tc>
          <w:tcPr>
            <w:tcW w:w="982"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台</w:t>
            </w:r>
          </w:p>
        </w:tc>
        <w:tc>
          <w:tcPr>
            <w:tcW w:w="833"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pacing w:val="-6"/>
                <w:sz w:val="24"/>
                <w:szCs w:val="24"/>
              </w:rPr>
              <w:t>2</w:t>
            </w:r>
          </w:p>
        </w:tc>
        <w:tc>
          <w:tcPr>
            <w:tcW w:w="2497"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自有或租赁</w:t>
            </w:r>
          </w:p>
        </w:tc>
      </w:tr>
      <w:tr>
        <w:tblPrEx>
          <w:tblCellMar>
            <w:top w:w="0" w:type="dxa"/>
            <w:left w:w="108" w:type="dxa"/>
            <w:bottom w:w="0" w:type="dxa"/>
            <w:right w:w="108" w:type="dxa"/>
          </w:tblCellMar>
        </w:tblPrEx>
        <w:trPr>
          <w:trHeight w:val="567" w:hRule="atLeast"/>
          <w:jc w:val="center"/>
        </w:trPr>
        <w:tc>
          <w:tcPr>
            <w:tcW w:w="1049" w:type="dxa"/>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7</w:t>
            </w:r>
          </w:p>
        </w:tc>
        <w:tc>
          <w:tcPr>
            <w:tcW w:w="2404"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pacing w:val="-3"/>
                <w:sz w:val="24"/>
                <w:szCs w:val="24"/>
              </w:rPr>
              <w:t>割灌机</w:t>
            </w:r>
          </w:p>
        </w:tc>
        <w:tc>
          <w:tcPr>
            <w:tcW w:w="982"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台</w:t>
            </w:r>
          </w:p>
        </w:tc>
        <w:tc>
          <w:tcPr>
            <w:tcW w:w="833"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2</w:t>
            </w:r>
          </w:p>
        </w:tc>
        <w:tc>
          <w:tcPr>
            <w:tcW w:w="2497"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自有或租赁</w:t>
            </w:r>
          </w:p>
        </w:tc>
      </w:tr>
      <w:tr>
        <w:tblPrEx>
          <w:tblCellMar>
            <w:top w:w="0" w:type="dxa"/>
            <w:left w:w="108" w:type="dxa"/>
            <w:bottom w:w="0" w:type="dxa"/>
            <w:right w:w="108" w:type="dxa"/>
          </w:tblCellMar>
        </w:tblPrEx>
        <w:trPr>
          <w:trHeight w:val="567" w:hRule="atLeast"/>
          <w:jc w:val="center"/>
        </w:trPr>
        <w:tc>
          <w:tcPr>
            <w:tcW w:w="1049" w:type="dxa"/>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8</w:t>
            </w:r>
          </w:p>
        </w:tc>
        <w:tc>
          <w:tcPr>
            <w:tcW w:w="2404"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pacing w:val="-3"/>
                <w:sz w:val="24"/>
                <w:szCs w:val="24"/>
              </w:rPr>
              <w:t>药水车</w:t>
            </w:r>
          </w:p>
        </w:tc>
        <w:tc>
          <w:tcPr>
            <w:tcW w:w="982"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辆</w:t>
            </w:r>
          </w:p>
        </w:tc>
        <w:tc>
          <w:tcPr>
            <w:tcW w:w="833"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2</w:t>
            </w:r>
          </w:p>
        </w:tc>
        <w:tc>
          <w:tcPr>
            <w:tcW w:w="2497"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自有或租赁</w:t>
            </w:r>
          </w:p>
        </w:tc>
      </w:tr>
      <w:tr>
        <w:tblPrEx>
          <w:tblCellMar>
            <w:top w:w="0" w:type="dxa"/>
            <w:left w:w="108" w:type="dxa"/>
            <w:bottom w:w="0" w:type="dxa"/>
            <w:right w:w="108" w:type="dxa"/>
          </w:tblCellMar>
        </w:tblPrEx>
        <w:trPr>
          <w:trHeight w:val="567" w:hRule="atLeast"/>
          <w:jc w:val="center"/>
        </w:trPr>
        <w:tc>
          <w:tcPr>
            <w:tcW w:w="1049" w:type="dxa"/>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9</w:t>
            </w:r>
          </w:p>
        </w:tc>
        <w:tc>
          <w:tcPr>
            <w:tcW w:w="2404"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pacing w:val="-2"/>
                <w:sz w:val="24"/>
                <w:szCs w:val="24"/>
              </w:rPr>
              <w:t>树木削枝机</w:t>
            </w:r>
          </w:p>
        </w:tc>
        <w:tc>
          <w:tcPr>
            <w:tcW w:w="982"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台</w:t>
            </w:r>
          </w:p>
        </w:tc>
        <w:tc>
          <w:tcPr>
            <w:tcW w:w="833"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1</w:t>
            </w:r>
          </w:p>
        </w:tc>
        <w:tc>
          <w:tcPr>
            <w:tcW w:w="2497"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自有或租赁</w:t>
            </w:r>
          </w:p>
        </w:tc>
      </w:tr>
      <w:tr>
        <w:tblPrEx>
          <w:tblCellMar>
            <w:top w:w="0" w:type="dxa"/>
            <w:left w:w="108" w:type="dxa"/>
            <w:bottom w:w="0" w:type="dxa"/>
            <w:right w:w="108" w:type="dxa"/>
          </w:tblCellMar>
        </w:tblPrEx>
        <w:trPr>
          <w:trHeight w:val="567" w:hRule="atLeast"/>
          <w:jc w:val="center"/>
        </w:trPr>
        <w:tc>
          <w:tcPr>
            <w:tcW w:w="1049" w:type="dxa"/>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10</w:t>
            </w:r>
          </w:p>
        </w:tc>
        <w:tc>
          <w:tcPr>
            <w:tcW w:w="2404"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pacing w:val="-3"/>
                <w:sz w:val="24"/>
                <w:szCs w:val="24"/>
              </w:rPr>
              <w:t>油锯</w:t>
            </w:r>
          </w:p>
        </w:tc>
        <w:tc>
          <w:tcPr>
            <w:tcW w:w="982"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台</w:t>
            </w:r>
          </w:p>
        </w:tc>
        <w:tc>
          <w:tcPr>
            <w:tcW w:w="833"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1</w:t>
            </w:r>
          </w:p>
        </w:tc>
        <w:tc>
          <w:tcPr>
            <w:tcW w:w="2497"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自有或租赁</w:t>
            </w:r>
          </w:p>
        </w:tc>
      </w:tr>
      <w:tr>
        <w:tblPrEx>
          <w:tblCellMar>
            <w:top w:w="0" w:type="dxa"/>
            <w:left w:w="108" w:type="dxa"/>
            <w:bottom w:w="0" w:type="dxa"/>
            <w:right w:w="108" w:type="dxa"/>
          </w:tblCellMar>
        </w:tblPrEx>
        <w:trPr>
          <w:trHeight w:val="567" w:hRule="atLeast"/>
          <w:jc w:val="center"/>
        </w:trPr>
        <w:tc>
          <w:tcPr>
            <w:tcW w:w="1049" w:type="dxa"/>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11</w:t>
            </w:r>
          </w:p>
        </w:tc>
        <w:tc>
          <w:tcPr>
            <w:tcW w:w="2404"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pacing w:val="-2"/>
                <w:sz w:val="24"/>
                <w:szCs w:val="24"/>
              </w:rPr>
              <w:t>背式吹风机</w:t>
            </w:r>
          </w:p>
        </w:tc>
        <w:tc>
          <w:tcPr>
            <w:tcW w:w="982"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台</w:t>
            </w:r>
          </w:p>
        </w:tc>
        <w:tc>
          <w:tcPr>
            <w:tcW w:w="833"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4</w:t>
            </w:r>
          </w:p>
        </w:tc>
        <w:tc>
          <w:tcPr>
            <w:tcW w:w="2497"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自有或租赁</w:t>
            </w:r>
          </w:p>
        </w:tc>
      </w:tr>
      <w:tr>
        <w:tblPrEx>
          <w:tblCellMar>
            <w:top w:w="0" w:type="dxa"/>
            <w:left w:w="108" w:type="dxa"/>
            <w:bottom w:w="0" w:type="dxa"/>
            <w:right w:w="108" w:type="dxa"/>
          </w:tblCellMar>
        </w:tblPrEx>
        <w:trPr>
          <w:trHeight w:val="567" w:hRule="atLeast"/>
          <w:jc w:val="center"/>
        </w:trPr>
        <w:tc>
          <w:tcPr>
            <w:tcW w:w="1049" w:type="dxa"/>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12</w:t>
            </w:r>
          </w:p>
        </w:tc>
        <w:tc>
          <w:tcPr>
            <w:tcW w:w="2404"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pacing w:val="5"/>
                <w:sz w:val="24"/>
                <w:szCs w:val="24"/>
              </w:rPr>
              <w:t>水泵</w:t>
            </w:r>
          </w:p>
        </w:tc>
        <w:tc>
          <w:tcPr>
            <w:tcW w:w="982"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台</w:t>
            </w:r>
          </w:p>
        </w:tc>
        <w:tc>
          <w:tcPr>
            <w:tcW w:w="833"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2</w:t>
            </w:r>
          </w:p>
        </w:tc>
        <w:tc>
          <w:tcPr>
            <w:tcW w:w="2497"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自有或租赁</w:t>
            </w:r>
          </w:p>
        </w:tc>
      </w:tr>
      <w:tr>
        <w:tblPrEx>
          <w:tblCellMar>
            <w:top w:w="0" w:type="dxa"/>
            <w:left w:w="108" w:type="dxa"/>
            <w:bottom w:w="0" w:type="dxa"/>
            <w:right w:w="108" w:type="dxa"/>
          </w:tblCellMar>
        </w:tblPrEx>
        <w:trPr>
          <w:trHeight w:val="567" w:hRule="atLeast"/>
          <w:jc w:val="center"/>
        </w:trPr>
        <w:tc>
          <w:tcPr>
            <w:tcW w:w="1049" w:type="dxa"/>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13</w:t>
            </w:r>
          </w:p>
        </w:tc>
        <w:tc>
          <w:tcPr>
            <w:tcW w:w="2404"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pacing w:val="-3"/>
                <w:sz w:val="24"/>
                <w:szCs w:val="24"/>
              </w:rPr>
              <w:t>发电机</w:t>
            </w:r>
          </w:p>
        </w:tc>
        <w:tc>
          <w:tcPr>
            <w:tcW w:w="982"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台</w:t>
            </w:r>
          </w:p>
        </w:tc>
        <w:tc>
          <w:tcPr>
            <w:tcW w:w="833"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2</w:t>
            </w:r>
          </w:p>
        </w:tc>
        <w:tc>
          <w:tcPr>
            <w:tcW w:w="2497"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自有或租赁</w:t>
            </w:r>
          </w:p>
        </w:tc>
      </w:tr>
      <w:tr>
        <w:tblPrEx>
          <w:tblCellMar>
            <w:top w:w="0" w:type="dxa"/>
            <w:left w:w="108" w:type="dxa"/>
            <w:bottom w:w="0" w:type="dxa"/>
            <w:right w:w="108" w:type="dxa"/>
          </w:tblCellMar>
        </w:tblPrEx>
        <w:trPr>
          <w:trHeight w:val="567" w:hRule="atLeast"/>
          <w:jc w:val="center"/>
        </w:trPr>
        <w:tc>
          <w:tcPr>
            <w:tcW w:w="1049" w:type="dxa"/>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14</w:t>
            </w:r>
          </w:p>
        </w:tc>
        <w:tc>
          <w:tcPr>
            <w:tcW w:w="2404"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pacing w:val="-3"/>
                <w:sz w:val="24"/>
                <w:szCs w:val="24"/>
              </w:rPr>
              <w:t>无人机</w:t>
            </w:r>
          </w:p>
        </w:tc>
        <w:tc>
          <w:tcPr>
            <w:tcW w:w="982"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台</w:t>
            </w:r>
          </w:p>
        </w:tc>
        <w:tc>
          <w:tcPr>
            <w:tcW w:w="833"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1</w:t>
            </w:r>
          </w:p>
        </w:tc>
        <w:tc>
          <w:tcPr>
            <w:tcW w:w="2497"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自有或租赁</w:t>
            </w:r>
          </w:p>
        </w:tc>
      </w:tr>
      <w:tr>
        <w:tblPrEx>
          <w:tblCellMar>
            <w:top w:w="0" w:type="dxa"/>
            <w:left w:w="108" w:type="dxa"/>
            <w:bottom w:w="0" w:type="dxa"/>
            <w:right w:w="108" w:type="dxa"/>
          </w:tblCellMar>
        </w:tblPrEx>
        <w:trPr>
          <w:trHeight w:val="567" w:hRule="atLeast"/>
          <w:jc w:val="center"/>
        </w:trPr>
        <w:tc>
          <w:tcPr>
            <w:tcW w:w="1049" w:type="dxa"/>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15</w:t>
            </w:r>
          </w:p>
        </w:tc>
        <w:tc>
          <w:tcPr>
            <w:tcW w:w="2404"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pacing w:val="-3"/>
                <w:sz w:val="24"/>
                <w:szCs w:val="24"/>
              </w:rPr>
              <w:t>割草机</w:t>
            </w:r>
          </w:p>
        </w:tc>
        <w:tc>
          <w:tcPr>
            <w:tcW w:w="982" w:type="dxa"/>
            <w:tcBorders>
              <w:top w:val="nil"/>
              <w:left w:val="nil"/>
              <w:bottom w:val="single" w:color="auto" w:sz="4" w:space="0"/>
              <w:right w:val="single" w:color="auto" w:sz="4" w:space="0"/>
            </w:tcBorders>
          </w:tcPr>
          <w:p>
            <w:pPr>
              <w:widowControl/>
              <w:spacing w:line="360" w:lineRule="auto"/>
              <w:jc w:val="center"/>
              <w:rPr>
                <w:rFonts w:hint="eastAsia" w:ascii="宋体" w:hAnsi="宋体" w:cs="宋体"/>
                <w:kern w:val="0"/>
                <w:sz w:val="24"/>
                <w:szCs w:val="24"/>
              </w:rPr>
            </w:pPr>
            <w:r>
              <w:rPr>
                <w:rFonts w:hint="eastAsia" w:ascii="宋体" w:hAnsi="宋体" w:cs="宋体"/>
                <w:sz w:val="24"/>
                <w:szCs w:val="24"/>
              </w:rPr>
              <w:t>台</w:t>
            </w:r>
          </w:p>
        </w:tc>
        <w:tc>
          <w:tcPr>
            <w:tcW w:w="833"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2</w:t>
            </w:r>
          </w:p>
        </w:tc>
        <w:tc>
          <w:tcPr>
            <w:tcW w:w="2497"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自有或租赁</w:t>
            </w:r>
          </w:p>
        </w:tc>
      </w:tr>
      <w:tr>
        <w:tblPrEx>
          <w:tblCellMar>
            <w:top w:w="0" w:type="dxa"/>
            <w:left w:w="108" w:type="dxa"/>
            <w:bottom w:w="0" w:type="dxa"/>
            <w:right w:w="108" w:type="dxa"/>
          </w:tblCellMar>
        </w:tblPrEx>
        <w:trPr>
          <w:trHeight w:val="567" w:hRule="atLeast"/>
          <w:jc w:val="center"/>
        </w:trPr>
        <w:tc>
          <w:tcPr>
            <w:tcW w:w="1049" w:type="dxa"/>
            <w:tcBorders>
              <w:top w:val="nil"/>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16</w:t>
            </w:r>
          </w:p>
        </w:tc>
        <w:tc>
          <w:tcPr>
            <w:tcW w:w="2404"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spacing w:val="-3"/>
                <w:sz w:val="24"/>
                <w:szCs w:val="24"/>
              </w:rPr>
              <w:t>应急设备与物资</w:t>
            </w:r>
          </w:p>
        </w:tc>
        <w:tc>
          <w:tcPr>
            <w:tcW w:w="982"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p>
        </w:tc>
        <w:tc>
          <w:tcPr>
            <w:tcW w:w="833"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p>
        </w:tc>
        <w:tc>
          <w:tcPr>
            <w:tcW w:w="2497"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p>
        </w:tc>
        <w:tc>
          <w:tcPr>
            <w:tcW w:w="1842"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企业自报</w:t>
            </w:r>
          </w:p>
        </w:tc>
      </w:tr>
    </w:tbl>
    <w:p>
      <w:pPr>
        <w:spacing w:line="360" w:lineRule="auto"/>
        <w:contextualSpacing/>
        <w:rPr>
          <w:kern w:val="0"/>
          <w:sz w:val="24"/>
          <w:szCs w:val="24"/>
        </w:rPr>
      </w:pPr>
    </w:p>
    <w:p>
      <w:pPr>
        <w:spacing w:line="360" w:lineRule="auto"/>
        <w:contextualSpacing/>
        <w:rPr>
          <w:kern w:val="0"/>
          <w:sz w:val="24"/>
          <w:szCs w:val="24"/>
        </w:rPr>
      </w:pPr>
      <w:r>
        <w:rPr>
          <w:kern w:val="0"/>
          <w:sz w:val="24"/>
          <w:szCs w:val="24"/>
        </w:rPr>
        <w:t>注：（1）上述设备中车辆的尾气排放标准必须符合国家和上海市的有关标准。严禁使用黄标车车辆。</w:t>
      </w:r>
    </w:p>
    <w:p>
      <w:pPr>
        <w:tabs>
          <w:tab w:val="left" w:pos="3060"/>
        </w:tabs>
        <w:spacing w:line="360" w:lineRule="auto"/>
        <w:ind w:firstLine="480" w:firstLineChars="200"/>
        <w:contextualSpacing/>
        <w:rPr>
          <w:sz w:val="24"/>
          <w:szCs w:val="24"/>
        </w:rPr>
      </w:pPr>
      <w:r>
        <w:rPr>
          <w:kern w:val="0"/>
          <w:sz w:val="24"/>
          <w:szCs w:val="24"/>
        </w:rPr>
        <w:t>（2）</w:t>
      </w:r>
      <w:r>
        <w:rPr>
          <w:sz w:val="24"/>
          <w:szCs w:val="24"/>
        </w:rPr>
        <w:t>上表中自有或租赁机械，应提供相关证明（如购买发票、租赁合同等）</w:t>
      </w:r>
      <w:r>
        <w:rPr>
          <w:kern w:val="0"/>
          <w:sz w:val="24"/>
          <w:szCs w:val="24"/>
        </w:rPr>
        <w:t>。</w:t>
      </w:r>
    </w:p>
    <w:p>
      <w:pPr>
        <w:spacing w:line="360" w:lineRule="auto"/>
        <w:ind w:firstLine="472" w:firstLineChars="196"/>
        <w:contextualSpacing/>
        <w:jc w:val="left"/>
        <w:outlineLvl w:val="2"/>
        <w:rPr>
          <w:b/>
          <w:bCs/>
          <w:sz w:val="24"/>
          <w:szCs w:val="24"/>
        </w:rPr>
      </w:pPr>
      <w:bookmarkStart w:id="58" w:name="_Toc1336"/>
      <w:bookmarkStart w:id="59" w:name="_Toc8808322"/>
      <w:r>
        <w:rPr>
          <w:rFonts w:hint="eastAsia"/>
          <w:b/>
          <w:bCs/>
          <w:sz w:val="24"/>
          <w:szCs w:val="24"/>
        </w:rPr>
        <w:t>7</w:t>
      </w:r>
      <w:r>
        <w:rPr>
          <w:b/>
          <w:bCs/>
          <w:sz w:val="24"/>
          <w:szCs w:val="24"/>
        </w:rPr>
        <w:t>、安全文明作业及应急处置要求</w:t>
      </w:r>
      <w:bookmarkEnd w:id="58"/>
      <w:bookmarkEnd w:id="59"/>
    </w:p>
    <w:p>
      <w:pPr>
        <w:tabs>
          <w:tab w:val="left" w:pos="3060"/>
        </w:tabs>
        <w:spacing w:line="360" w:lineRule="auto"/>
        <w:ind w:firstLine="480" w:firstLineChars="200"/>
        <w:contextualSpacing/>
        <w:rPr>
          <w:sz w:val="24"/>
          <w:szCs w:val="24"/>
        </w:rPr>
      </w:pPr>
      <w:bookmarkStart w:id="60" w:name="_Toc463690205"/>
      <w:bookmarkStart w:id="61" w:name="_Toc460922292"/>
      <w:r>
        <w:rPr>
          <w:rFonts w:hint="eastAsia"/>
          <w:sz w:val="24"/>
          <w:szCs w:val="24"/>
        </w:rPr>
        <w:t>7</w:t>
      </w:r>
      <w:r>
        <w:rPr>
          <w:sz w:val="24"/>
          <w:szCs w:val="24"/>
        </w:rPr>
        <w:t>.1安全文明施工措施与要求</w:t>
      </w:r>
      <w:bookmarkEnd w:id="60"/>
      <w:bookmarkEnd w:id="61"/>
    </w:p>
    <w:p>
      <w:pPr>
        <w:tabs>
          <w:tab w:val="left" w:pos="3060"/>
        </w:tabs>
        <w:spacing w:line="360" w:lineRule="auto"/>
        <w:ind w:firstLine="480" w:firstLineChars="200"/>
        <w:contextualSpacing/>
        <w:rPr>
          <w:sz w:val="24"/>
          <w:szCs w:val="24"/>
        </w:rPr>
      </w:pPr>
      <w:r>
        <w:rPr>
          <w:sz w:val="24"/>
          <w:szCs w:val="24"/>
        </w:rPr>
        <w:t>承包商应依据现行标准规范，结合合同标段实际环境、养护作业时间长短等，制定相应的安全、文明施工具体措施，确保安全生产。</w:t>
      </w:r>
    </w:p>
    <w:p>
      <w:pPr>
        <w:tabs>
          <w:tab w:val="left" w:pos="3060"/>
        </w:tabs>
        <w:spacing w:line="360" w:lineRule="auto"/>
        <w:ind w:firstLine="480" w:firstLineChars="200"/>
        <w:contextualSpacing/>
        <w:rPr>
          <w:sz w:val="24"/>
          <w:szCs w:val="24"/>
        </w:rPr>
      </w:pPr>
      <w:r>
        <w:rPr>
          <w:sz w:val="24"/>
          <w:szCs w:val="24"/>
        </w:rPr>
        <w:t>1）承包商必须取得《安全诚信手册》，主要负责人、项目经理、安全管理人员培训合格并具有相应证书。承包商应对养护人员进行全员培训，有针对性地开展安全交底活动，重点强调其岗位的安全风险及防范措施；特种作业人员必须接受专业培训，持证上岗。</w:t>
      </w:r>
    </w:p>
    <w:p>
      <w:pPr>
        <w:tabs>
          <w:tab w:val="left" w:pos="3060"/>
        </w:tabs>
        <w:spacing w:line="360" w:lineRule="auto"/>
        <w:ind w:firstLine="480" w:firstLineChars="200"/>
        <w:contextualSpacing/>
        <w:rPr>
          <w:sz w:val="24"/>
          <w:szCs w:val="24"/>
        </w:rPr>
      </w:pPr>
      <w:r>
        <w:rPr>
          <w:sz w:val="24"/>
          <w:szCs w:val="24"/>
        </w:rPr>
        <w:t>2）建立职工（含劳务工等各种类型用工）花名册等档案资料，与职工签订劳动合同，为其办理国家规定的相关保险，并按规定标准安排专业健康体检和配备劳动防护用品。</w:t>
      </w:r>
    </w:p>
    <w:p>
      <w:pPr>
        <w:tabs>
          <w:tab w:val="left" w:pos="3060"/>
        </w:tabs>
        <w:spacing w:line="360" w:lineRule="auto"/>
        <w:ind w:firstLine="480" w:firstLineChars="200"/>
        <w:contextualSpacing/>
        <w:rPr>
          <w:sz w:val="24"/>
          <w:szCs w:val="24"/>
        </w:rPr>
      </w:pPr>
      <w:r>
        <w:rPr>
          <w:sz w:val="24"/>
          <w:szCs w:val="24"/>
        </w:rPr>
        <w:t>3)建立健全安全生产工作责任体系和组织管理网络，设置安全生产监管部门，配备专职安全监管人员，对施工作业安全进行现场监督；按照“横向到边，纵向到底”责任制要求将安全责任分解，承包商法定代表人与项目部、项目部与下属各责任部门必须签订安全协议书；定期召开安全生产工作会议，每月不少于一次；组织开展安全生产检查，每旬不少于一次。</w:t>
      </w:r>
    </w:p>
    <w:p>
      <w:pPr>
        <w:tabs>
          <w:tab w:val="left" w:pos="3060"/>
        </w:tabs>
        <w:spacing w:line="360" w:lineRule="auto"/>
        <w:ind w:firstLine="480" w:firstLineChars="200"/>
        <w:contextualSpacing/>
        <w:rPr>
          <w:sz w:val="24"/>
          <w:szCs w:val="24"/>
        </w:rPr>
      </w:pPr>
      <w:r>
        <w:rPr>
          <w:sz w:val="24"/>
          <w:szCs w:val="24"/>
        </w:rPr>
        <w:t>4)凡占用机动车道进行的养护工程作业，必须按照规范要求设置养护维修作业控制区，并配置专用标志车（防撞车）和各项安全器材；养护人员上路作业必须统一着装，乘坐专用车辆，不得乘坐在无专用设施的货车车斗内。</w:t>
      </w:r>
    </w:p>
    <w:p>
      <w:pPr>
        <w:tabs>
          <w:tab w:val="left" w:pos="3060"/>
        </w:tabs>
        <w:spacing w:line="360" w:lineRule="auto"/>
        <w:ind w:firstLine="480" w:firstLineChars="200"/>
        <w:contextualSpacing/>
        <w:rPr>
          <w:sz w:val="24"/>
          <w:szCs w:val="24"/>
        </w:rPr>
      </w:pPr>
      <w:r>
        <w:rPr>
          <w:sz w:val="24"/>
          <w:szCs w:val="24"/>
        </w:rPr>
        <w:t>5)进入养护作业现场的作业机械和车辆，应按规定配置警示标志、灯具。</w:t>
      </w:r>
    </w:p>
    <w:p>
      <w:pPr>
        <w:tabs>
          <w:tab w:val="left" w:pos="3060"/>
        </w:tabs>
        <w:spacing w:line="360" w:lineRule="auto"/>
        <w:ind w:firstLine="480" w:firstLineChars="200"/>
        <w:contextualSpacing/>
        <w:rPr>
          <w:sz w:val="24"/>
          <w:szCs w:val="24"/>
        </w:rPr>
      </w:pPr>
      <w:r>
        <w:rPr>
          <w:sz w:val="24"/>
          <w:szCs w:val="24"/>
        </w:rPr>
        <w:t>6)严格执行JGJ4688-2005《施工现场临时用电安全技术规范》规定，采用三级配电系统、TN-S接零保护系统、三级漏电保护系统；所有的配电箱、开关电箱符合要求，临时用电工程所用电器装置、元器件、电线电缆等电工产品必须按国家规定通过“3C”认证，并经市建设工程安全协会登记备案的进行配置。</w:t>
      </w:r>
    </w:p>
    <w:p>
      <w:pPr>
        <w:tabs>
          <w:tab w:val="left" w:pos="3060"/>
        </w:tabs>
        <w:spacing w:line="360" w:lineRule="auto"/>
        <w:ind w:firstLine="480" w:firstLineChars="200"/>
        <w:contextualSpacing/>
        <w:rPr>
          <w:sz w:val="24"/>
          <w:szCs w:val="24"/>
        </w:rPr>
      </w:pPr>
      <w:r>
        <w:rPr>
          <w:sz w:val="24"/>
          <w:szCs w:val="24"/>
        </w:rPr>
        <w:t>7)如养护施工过程中发生重特大安全事故，承包商应快速、及时赶到现场，实施紧急处置，并协同有关单位和部门做好善后处理和稳定工作；紧急处置的结果须及时上报业主。</w:t>
      </w:r>
    </w:p>
    <w:p>
      <w:pPr>
        <w:tabs>
          <w:tab w:val="left" w:pos="3060"/>
        </w:tabs>
        <w:spacing w:line="360" w:lineRule="auto"/>
        <w:ind w:firstLine="480" w:firstLineChars="200"/>
        <w:contextualSpacing/>
        <w:rPr>
          <w:sz w:val="24"/>
          <w:szCs w:val="24"/>
        </w:rPr>
      </w:pPr>
      <w:r>
        <w:rPr>
          <w:sz w:val="24"/>
          <w:szCs w:val="24"/>
        </w:rPr>
        <w:t>8)创建文明工地，做到养护工地规范有序，便民利民，工完料清场地清，将养护工程对交通的影响降到最低，每旬至少进行一次文明工地检查。</w:t>
      </w:r>
    </w:p>
    <w:p>
      <w:pPr>
        <w:tabs>
          <w:tab w:val="left" w:pos="3060"/>
        </w:tabs>
        <w:spacing w:line="360" w:lineRule="auto"/>
        <w:ind w:firstLine="480" w:firstLineChars="200"/>
        <w:contextualSpacing/>
        <w:rPr>
          <w:sz w:val="24"/>
          <w:szCs w:val="24"/>
        </w:rPr>
      </w:pPr>
      <w:r>
        <w:rPr>
          <w:sz w:val="24"/>
          <w:szCs w:val="24"/>
        </w:rPr>
        <w:t>9)开展多方面的共建联建活动；开展立功竞赛活动。</w:t>
      </w:r>
    </w:p>
    <w:p>
      <w:pPr>
        <w:tabs>
          <w:tab w:val="left" w:pos="3060"/>
        </w:tabs>
        <w:spacing w:line="360" w:lineRule="auto"/>
        <w:ind w:firstLine="480" w:firstLineChars="200"/>
        <w:contextualSpacing/>
        <w:rPr>
          <w:sz w:val="24"/>
          <w:szCs w:val="24"/>
        </w:rPr>
      </w:pPr>
      <w:r>
        <w:rPr>
          <w:sz w:val="24"/>
          <w:szCs w:val="24"/>
        </w:rPr>
        <w:t>7.2应急处置要求</w:t>
      </w:r>
    </w:p>
    <w:p>
      <w:pPr>
        <w:tabs>
          <w:tab w:val="left" w:pos="3060"/>
        </w:tabs>
        <w:spacing w:line="360" w:lineRule="auto"/>
        <w:ind w:firstLine="480" w:firstLineChars="200"/>
        <w:contextualSpacing/>
        <w:rPr>
          <w:sz w:val="24"/>
          <w:szCs w:val="24"/>
        </w:rPr>
      </w:pPr>
      <w:r>
        <w:rPr>
          <w:sz w:val="24"/>
          <w:szCs w:val="24"/>
        </w:rPr>
        <w:t>1）按照其性质、严重程度、可控性等因素，灾害性天气、突发事件的等级划分为Ⅰ级（特别重大）、Ⅱ级（重大）、Ⅲ级（较大）、Ⅳ级（一般）四级。</w:t>
      </w:r>
    </w:p>
    <w:p>
      <w:pPr>
        <w:tabs>
          <w:tab w:val="left" w:pos="3060"/>
        </w:tabs>
        <w:spacing w:line="360" w:lineRule="auto"/>
        <w:ind w:firstLine="480" w:firstLineChars="200"/>
        <w:contextualSpacing/>
        <w:rPr>
          <w:sz w:val="24"/>
          <w:szCs w:val="24"/>
        </w:rPr>
      </w:pPr>
      <w:r>
        <w:rPr>
          <w:sz w:val="24"/>
          <w:szCs w:val="24"/>
        </w:rPr>
        <w:t>2）承包商须针对各级各类可能发生的灾害天气和突发事件，建立应急处置预案，应急预案应包括组织领导体系、预警和预防机制、应急响应工程措施、临时交通组织方案、保障措施（包括应急人员、物资、机械设备、资金等）等内容。</w:t>
      </w:r>
    </w:p>
    <w:p>
      <w:pPr>
        <w:tabs>
          <w:tab w:val="left" w:pos="3060"/>
        </w:tabs>
        <w:spacing w:line="360" w:lineRule="auto"/>
        <w:ind w:firstLine="480" w:firstLineChars="200"/>
        <w:contextualSpacing/>
        <w:rPr>
          <w:sz w:val="24"/>
          <w:szCs w:val="24"/>
        </w:rPr>
      </w:pPr>
      <w:r>
        <w:rPr>
          <w:sz w:val="24"/>
          <w:szCs w:val="24"/>
        </w:rPr>
        <w:t>3）建立应急指挥领导小组，负责应急救援总体指挥，并落实各部门职责和相关措施。</w:t>
      </w:r>
    </w:p>
    <w:p>
      <w:pPr>
        <w:tabs>
          <w:tab w:val="left" w:pos="3060"/>
        </w:tabs>
        <w:spacing w:line="360" w:lineRule="auto"/>
        <w:ind w:firstLine="480" w:firstLineChars="200"/>
        <w:contextualSpacing/>
        <w:rPr>
          <w:sz w:val="24"/>
          <w:szCs w:val="24"/>
        </w:rPr>
      </w:pPr>
      <w:r>
        <w:rPr>
          <w:sz w:val="24"/>
          <w:szCs w:val="24"/>
        </w:rPr>
        <w:t>4）组建一支具有综合救援能力的应急救援队伍（人员总数不得少于15人），一旦紧急情况发生，能在最短时间内到达现场进行应急处置。</w:t>
      </w:r>
    </w:p>
    <w:p>
      <w:pPr>
        <w:tabs>
          <w:tab w:val="left" w:pos="3060"/>
        </w:tabs>
        <w:spacing w:line="360" w:lineRule="auto"/>
        <w:ind w:firstLine="480" w:firstLineChars="200"/>
        <w:contextualSpacing/>
        <w:rPr>
          <w:sz w:val="24"/>
          <w:szCs w:val="24"/>
        </w:rPr>
      </w:pPr>
      <w:r>
        <w:rPr>
          <w:sz w:val="24"/>
          <w:szCs w:val="24"/>
        </w:rPr>
        <w:t>5）定期检查应急救援物资与机具，确保物资储备数量充足、机具设备完好可用。</w:t>
      </w:r>
    </w:p>
    <w:p>
      <w:pPr>
        <w:tabs>
          <w:tab w:val="left" w:pos="3060"/>
        </w:tabs>
        <w:spacing w:line="360" w:lineRule="auto"/>
        <w:ind w:firstLine="480" w:firstLineChars="200"/>
        <w:contextualSpacing/>
        <w:rPr>
          <w:sz w:val="24"/>
          <w:szCs w:val="24"/>
        </w:rPr>
      </w:pPr>
      <w:r>
        <w:rPr>
          <w:sz w:val="24"/>
          <w:szCs w:val="24"/>
        </w:rPr>
        <w:t>6）与气象部门建立热线联络制度，及时掌握灾害性天气的预警信息，特别在灾害性天气易发季节，需密切关注气象变化情况，针对其可能带来城市道路通行障碍做好相关防御措施。</w:t>
      </w:r>
    </w:p>
    <w:p>
      <w:pPr>
        <w:tabs>
          <w:tab w:val="left" w:pos="3060"/>
        </w:tabs>
        <w:spacing w:line="360" w:lineRule="auto"/>
        <w:ind w:firstLine="480" w:firstLineChars="200"/>
        <w:contextualSpacing/>
        <w:rPr>
          <w:sz w:val="24"/>
          <w:szCs w:val="24"/>
        </w:rPr>
      </w:pPr>
      <w:r>
        <w:rPr>
          <w:sz w:val="24"/>
          <w:szCs w:val="24"/>
        </w:rPr>
        <w:t>7）与交警、消防、医疗等部门建立联动机制，一旦发生紧急情况，能与交警及其它相关部门协调配合，维持道路的正常运行和良好秩序，并将实施情况及时上报业主。</w:t>
      </w:r>
    </w:p>
    <w:p>
      <w:pPr>
        <w:tabs>
          <w:tab w:val="left" w:pos="3060"/>
        </w:tabs>
        <w:spacing w:line="360" w:lineRule="auto"/>
        <w:ind w:firstLine="480" w:firstLineChars="200"/>
        <w:contextualSpacing/>
        <w:rPr>
          <w:sz w:val="24"/>
          <w:szCs w:val="24"/>
        </w:rPr>
      </w:pPr>
      <w:r>
        <w:rPr>
          <w:sz w:val="24"/>
          <w:szCs w:val="24"/>
        </w:rPr>
        <w:t>8）按照“上海市灾害性气候应急处置手册”、“浦东新区突发突发事件应急处置预案”要求，启动相应预警等级的应急响应。</w:t>
      </w:r>
    </w:p>
    <w:p>
      <w:pPr>
        <w:tabs>
          <w:tab w:val="left" w:pos="3060"/>
        </w:tabs>
        <w:spacing w:line="360" w:lineRule="auto"/>
        <w:ind w:firstLine="480" w:firstLineChars="200"/>
        <w:contextualSpacing/>
        <w:rPr>
          <w:sz w:val="24"/>
          <w:szCs w:val="24"/>
        </w:rPr>
      </w:pPr>
      <w:r>
        <w:rPr>
          <w:sz w:val="24"/>
          <w:szCs w:val="24"/>
        </w:rPr>
        <w:t>9）定期或不定期开展多方式多类别的应急演练，提高应急队伍的响应速度、救援水平和协同能力，并根据演练过程总结和结果评估，完善应急预案。</w:t>
      </w:r>
    </w:p>
    <w:p>
      <w:pPr>
        <w:tabs>
          <w:tab w:val="left" w:pos="3060"/>
        </w:tabs>
        <w:spacing w:line="360" w:lineRule="auto"/>
        <w:ind w:firstLine="480" w:firstLineChars="200"/>
        <w:contextualSpacing/>
        <w:rPr>
          <w:sz w:val="24"/>
          <w:szCs w:val="24"/>
        </w:rPr>
      </w:pPr>
      <w:r>
        <w:rPr>
          <w:sz w:val="24"/>
          <w:szCs w:val="24"/>
        </w:rPr>
        <w:t>10）建立应急值守制度，安排专职人员，监测、收集各类信息；一旦发现突发性的紧急事件，在启动应急响应的同时，必须及时将情况上报业主，上报的应急信息必须实事求是，不得瞒报、谎报和拖延不报，上报形式可用电话口头初报，随后再书面报告；业主应急值班联系电话。</w:t>
      </w:r>
    </w:p>
    <w:p>
      <w:pPr>
        <w:pStyle w:val="43"/>
        <w:spacing w:line="360" w:lineRule="auto"/>
        <w:rPr>
          <w:sz w:val="24"/>
          <w:szCs w:val="24"/>
        </w:rPr>
      </w:pPr>
      <w:r>
        <w:rPr>
          <w:sz w:val="24"/>
          <w:szCs w:val="24"/>
        </w:rPr>
        <w:t xml:space="preserve">    11）做好防汛防台各项工作，完善各类应急预案，每年组织不少于1次的防汛防台应急演练，及时处置暴雨路面积水和树木倒伏，确保辖区安全度汛。接到应急指令10分钟之内到达现场快速处置，应急处置率100%。</w:t>
      </w:r>
    </w:p>
    <w:p>
      <w:pPr>
        <w:spacing w:line="360" w:lineRule="auto"/>
        <w:ind w:firstLine="472" w:firstLineChars="196"/>
        <w:contextualSpacing/>
        <w:jc w:val="left"/>
        <w:outlineLvl w:val="2"/>
        <w:rPr>
          <w:b/>
          <w:bCs/>
          <w:sz w:val="24"/>
          <w:szCs w:val="24"/>
        </w:rPr>
      </w:pPr>
      <w:bookmarkStart w:id="62" w:name="_Toc497211024"/>
      <w:bookmarkStart w:id="63" w:name="_Toc463690206"/>
      <w:bookmarkStart w:id="64" w:name="_Toc460922293"/>
      <w:r>
        <w:rPr>
          <w:rFonts w:hint="eastAsia"/>
          <w:b/>
          <w:bCs/>
          <w:sz w:val="24"/>
          <w:szCs w:val="24"/>
        </w:rPr>
        <w:t>8</w:t>
      </w:r>
      <w:r>
        <w:rPr>
          <w:b/>
          <w:bCs/>
          <w:sz w:val="24"/>
          <w:szCs w:val="24"/>
        </w:rPr>
        <w:t>、养护作业用房配备要求</w:t>
      </w:r>
      <w:bookmarkEnd w:id="62"/>
      <w:bookmarkEnd w:id="63"/>
      <w:bookmarkEnd w:id="64"/>
    </w:p>
    <w:p>
      <w:pPr>
        <w:tabs>
          <w:tab w:val="left" w:pos="3060"/>
        </w:tabs>
        <w:spacing w:line="360" w:lineRule="auto"/>
        <w:ind w:firstLine="480" w:firstLineChars="200"/>
        <w:contextualSpacing/>
        <w:rPr>
          <w:sz w:val="24"/>
          <w:szCs w:val="24"/>
        </w:rPr>
      </w:pPr>
      <w:r>
        <w:rPr>
          <w:sz w:val="24"/>
          <w:szCs w:val="24"/>
        </w:rPr>
        <w:t>中标企业使用公园内配备的养护作业用房应根据管理养护要求，自行配备电脑、电话、打印机、传真机等办公设施；中标企业应确保道班房的使用安全和设施设备的完好，并承担使用期间的所有运行费用和房屋及设施设备的维修维护费用。</w:t>
      </w:r>
    </w:p>
    <w:p>
      <w:pPr>
        <w:spacing w:line="360" w:lineRule="auto"/>
        <w:ind w:firstLine="470" w:firstLineChars="196"/>
        <w:contextualSpacing/>
        <w:outlineLvl w:val="2"/>
        <w:rPr>
          <w:rFonts w:hint="eastAsia" w:ascii="宋体" w:hAnsi="宋体"/>
          <w:bCs/>
          <w:sz w:val="24"/>
          <w:szCs w:val="24"/>
        </w:rPr>
      </w:pPr>
      <w:r>
        <w:rPr>
          <w:rFonts w:hint="eastAsia" w:ascii="宋体" w:hAnsi="宋体"/>
          <w:bCs/>
          <w:sz w:val="24"/>
          <w:szCs w:val="24"/>
        </w:rPr>
        <w:t>附件一：《北综合区绿地养护项目设施量清单》</w:t>
      </w:r>
    </w:p>
    <w:p>
      <w:pPr>
        <w:tabs>
          <w:tab w:val="left" w:pos="3060"/>
        </w:tabs>
        <w:spacing w:line="360" w:lineRule="auto"/>
        <w:ind w:firstLine="480" w:firstLineChars="200"/>
        <w:contextualSpacing/>
        <w:rPr>
          <w:rFonts w:hint="eastAsia" w:ascii="宋体" w:hAnsi="宋体"/>
          <w:bCs/>
          <w:sz w:val="24"/>
          <w:szCs w:val="24"/>
        </w:rPr>
      </w:pPr>
      <w:r>
        <w:rPr>
          <w:rFonts w:hint="eastAsia" w:ascii="宋体" w:hAnsi="宋体"/>
          <w:bCs/>
          <w:sz w:val="24"/>
          <w:szCs w:val="24"/>
        </w:rPr>
        <w:t>附件二：《临港新片区绿地养护资金二类经费使用管理的暂行规定》</w:t>
      </w:r>
    </w:p>
    <w:p>
      <w:pPr>
        <w:tabs>
          <w:tab w:val="left" w:pos="3060"/>
        </w:tabs>
        <w:spacing w:line="360" w:lineRule="auto"/>
        <w:ind w:firstLine="480" w:firstLineChars="200"/>
        <w:contextualSpacing/>
        <w:rPr>
          <w:rFonts w:hint="eastAsia" w:ascii="宋体" w:hAnsi="宋体"/>
          <w:bCs/>
          <w:sz w:val="24"/>
          <w:szCs w:val="24"/>
        </w:rPr>
      </w:pPr>
      <w:r>
        <w:rPr>
          <w:rFonts w:hint="eastAsia" w:ascii="宋体" w:hAnsi="宋体"/>
          <w:bCs/>
          <w:sz w:val="24"/>
          <w:szCs w:val="24"/>
        </w:rPr>
        <w:t>附件三：临港新片区绿地养护管理指导意见</w:t>
      </w:r>
    </w:p>
    <w:p>
      <w:pPr>
        <w:tabs>
          <w:tab w:val="left" w:pos="3060"/>
        </w:tabs>
        <w:spacing w:line="360" w:lineRule="auto"/>
        <w:contextualSpacing/>
        <w:rPr>
          <w:sz w:val="24"/>
          <w:szCs w:val="24"/>
        </w:rPr>
      </w:pPr>
      <w:r>
        <w:rPr>
          <w:rFonts w:hint="eastAsia" w:ascii="宋体" w:hAnsi="宋体"/>
          <w:bCs/>
          <w:sz w:val="24"/>
          <w:szCs w:val="24"/>
        </w:rPr>
        <w:t>附件四：临港新片区绿地养护管理考核办法（试行）</w:t>
      </w:r>
    </w:p>
    <w:p>
      <w:pPr>
        <w:jc w:val="left"/>
        <w:rPr>
          <w:rFonts w:hint="eastAsia" w:ascii="宋体" w:hAnsi="宋体"/>
          <w:bCs/>
          <w:sz w:val="24"/>
          <w:szCs w:val="24"/>
        </w:rPr>
      </w:pPr>
      <w:r>
        <w:rPr>
          <w:rFonts w:hint="eastAsia" w:ascii="宋体" w:hAnsi="宋体"/>
          <w:bCs/>
          <w:sz w:val="24"/>
          <w:szCs w:val="24"/>
        </w:rPr>
        <w:t>附件一：北综合区绿地养护项目设施量清单</w:t>
      </w:r>
    </w:p>
    <w:p>
      <w:pPr>
        <w:spacing w:line="360" w:lineRule="auto"/>
        <w:ind w:firstLine="470" w:firstLineChars="196"/>
        <w:contextualSpacing/>
        <w:jc w:val="center"/>
        <w:outlineLvl w:val="2"/>
        <w:rPr>
          <w:rFonts w:hint="eastAsia" w:ascii="宋体" w:hAnsi="宋体"/>
          <w:bCs/>
          <w:sz w:val="24"/>
          <w:szCs w:val="24"/>
        </w:rPr>
      </w:pPr>
    </w:p>
    <w:p>
      <w:pPr>
        <w:spacing w:line="360" w:lineRule="auto"/>
        <w:ind w:firstLine="470" w:firstLineChars="196"/>
        <w:contextualSpacing/>
        <w:jc w:val="center"/>
        <w:outlineLvl w:val="2"/>
        <w:rPr>
          <w:rFonts w:hint="eastAsia" w:ascii="宋体" w:hAnsi="宋体"/>
          <w:bCs/>
          <w:sz w:val="24"/>
          <w:szCs w:val="24"/>
        </w:rPr>
      </w:pPr>
      <w:r>
        <w:rPr>
          <w:rFonts w:hint="eastAsia" w:ascii="宋体" w:hAnsi="宋体"/>
          <w:bCs/>
          <w:sz w:val="24"/>
          <w:szCs w:val="24"/>
        </w:rPr>
        <w:t>北综合区绿地养护项目设施量清单汇总</w:t>
      </w:r>
    </w:p>
    <w:tbl>
      <w:tblPr>
        <w:tblStyle w:val="49"/>
        <w:tblW w:w="9727" w:type="dxa"/>
        <w:tblInd w:w="121" w:type="dxa"/>
        <w:tblLayout w:type="fixed"/>
        <w:tblCellMar>
          <w:top w:w="0" w:type="dxa"/>
          <w:left w:w="108" w:type="dxa"/>
          <w:bottom w:w="0" w:type="dxa"/>
          <w:right w:w="108" w:type="dxa"/>
        </w:tblCellMar>
      </w:tblPr>
      <w:tblGrid>
        <w:gridCol w:w="787"/>
        <w:gridCol w:w="7283"/>
        <w:gridCol w:w="1657"/>
      </w:tblGrid>
      <w:tr>
        <w:tblPrEx>
          <w:tblCellMar>
            <w:top w:w="0" w:type="dxa"/>
            <w:left w:w="108" w:type="dxa"/>
            <w:bottom w:w="0" w:type="dxa"/>
            <w:right w:w="108" w:type="dxa"/>
          </w:tblCellMar>
        </w:tblPrEx>
        <w:trPr>
          <w:trHeight w:val="780" w:hRule="atLeast"/>
        </w:trPr>
        <w:tc>
          <w:tcPr>
            <w:tcW w:w="78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color w:val="000000"/>
                <w:kern w:val="0"/>
                <w:sz w:val="24"/>
                <w:szCs w:val="24"/>
              </w:rPr>
            </w:pPr>
            <w:r>
              <w:rPr>
                <w:rFonts w:hint="eastAsia" w:ascii="宋体" w:hAnsi="宋体" w:cs="宋体"/>
                <w:b/>
                <w:bCs/>
                <w:color w:val="000000"/>
                <w:kern w:val="0"/>
                <w:sz w:val="24"/>
                <w:szCs w:val="24"/>
              </w:rPr>
              <w:t>序号</w:t>
            </w:r>
          </w:p>
        </w:tc>
        <w:tc>
          <w:tcPr>
            <w:tcW w:w="7283"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bCs/>
                <w:color w:val="000000"/>
                <w:kern w:val="0"/>
                <w:sz w:val="24"/>
                <w:szCs w:val="24"/>
              </w:rPr>
            </w:pPr>
            <w:r>
              <w:rPr>
                <w:rFonts w:hint="eastAsia" w:ascii="宋体" w:hAnsi="宋体" w:cs="宋体"/>
                <w:b/>
                <w:bCs/>
                <w:color w:val="000000"/>
                <w:kern w:val="0"/>
                <w:sz w:val="24"/>
                <w:szCs w:val="24"/>
              </w:rPr>
              <w:t>地块名称</w:t>
            </w:r>
          </w:p>
        </w:tc>
        <w:tc>
          <w:tcPr>
            <w:tcW w:w="1657"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bCs/>
                <w:color w:val="000000"/>
                <w:kern w:val="0"/>
                <w:sz w:val="24"/>
                <w:szCs w:val="24"/>
              </w:rPr>
            </w:pPr>
            <w:r>
              <w:rPr>
                <w:rFonts w:hint="eastAsia" w:ascii="宋体" w:hAnsi="宋体" w:cs="宋体"/>
                <w:b/>
                <w:bCs/>
                <w:color w:val="000000"/>
                <w:kern w:val="0"/>
                <w:sz w:val="24"/>
                <w:szCs w:val="24"/>
              </w:rPr>
              <w:t>面积（㎡)</w:t>
            </w:r>
          </w:p>
        </w:tc>
      </w:tr>
      <w:tr>
        <w:tblPrEx>
          <w:tblCellMar>
            <w:top w:w="0" w:type="dxa"/>
            <w:left w:w="108" w:type="dxa"/>
            <w:bottom w:w="0" w:type="dxa"/>
            <w:right w:w="108" w:type="dxa"/>
          </w:tblCellMar>
        </w:tblPrEx>
        <w:trPr>
          <w:trHeight w:val="639" w:hRule="atLeast"/>
        </w:trPr>
        <w:tc>
          <w:tcPr>
            <w:tcW w:w="78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c>
          <w:tcPr>
            <w:tcW w:w="7283"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rPr>
              <w:t>上海临港综合区（先行区）新九四塘河（洲德路-北沪城河）新建河道</w:t>
            </w:r>
            <w:r>
              <w:rPr>
                <w:rFonts w:hint="eastAsia" w:ascii="宋体" w:hAnsi="宋体" w:cs="宋体"/>
                <w:color w:val="000000"/>
                <w:kern w:val="0"/>
                <w:sz w:val="22"/>
                <w:szCs w:val="22"/>
                <w:lang w:eastAsia="zh-CN"/>
              </w:rPr>
              <w:t>公园</w:t>
            </w:r>
          </w:p>
        </w:tc>
        <w:tc>
          <w:tcPr>
            <w:tcW w:w="1657"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44335</w:t>
            </w:r>
          </w:p>
        </w:tc>
      </w:tr>
      <w:tr>
        <w:tblPrEx>
          <w:tblCellMar>
            <w:top w:w="0" w:type="dxa"/>
            <w:left w:w="108" w:type="dxa"/>
            <w:bottom w:w="0" w:type="dxa"/>
            <w:right w:w="108" w:type="dxa"/>
          </w:tblCellMar>
        </w:tblPrEx>
        <w:trPr>
          <w:trHeight w:val="639" w:hRule="atLeast"/>
        </w:trPr>
        <w:tc>
          <w:tcPr>
            <w:tcW w:w="78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w:t>
            </w:r>
          </w:p>
        </w:tc>
        <w:tc>
          <w:tcPr>
            <w:tcW w:w="728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临港综合区乐活水岸结构</w:t>
            </w:r>
          </w:p>
        </w:tc>
        <w:tc>
          <w:tcPr>
            <w:tcW w:w="1657"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8674.17</w:t>
            </w:r>
          </w:p>
        </w:tc>
      </w:tr>
      <w:tr>
        <w:tblPrEx>
          <w:tblCellMar>
            <w:top w:w="0" w:type="dxa"/>
            <w:left w:w="108" w:type="dxa"/>
            <w:bottom w:w="0" w:type="dxa"/>
            <w:right w:w="108" w:type="dxa"/>
          </w:tblCellMar>
        </w:tblPrEx>
        <w:trPr>
          <w:trHeight w:val="639" w:hRule="atLeast"/>
        </w:trPr>
        <w:tc>
          <w:tcPr>
            <w:tcW w:w="78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w:t>
            </w:r>
          </w:p>
        </w:tc>
        <w:tc>
          <w:tcPr>
            <w:tcW w:w="728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临港综合区九四塘随塘河结构</w:t>
            </w:r>
          </w:p>
        </w:tc>
        <w:tc>
          <w:tcPr>
            <w:tcW w:w="1657"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58190.83</w:t>
            </w:r>
          </w:p>
        </w:tc>
      </w:tr>
      <w:tr>
        <w:tblPrEx>
          <w:tblCellMar>
            <w:top w:w="0" w:type="dxa"/>
            <w:left w:w="108" w:type="dxa"/>
            <w:bottom w:w="0" w:type="dxa"/>
            <w:right w:w="108" w:type="dxa"/>
          </w:tblCellMar>
        </w:tblPrEx>
        <w:trPr>
          <w:trHeight w:val="639" w:hRule="atLeast"/>
        </w:trPr>
        <w:tc>
          <w:tcPr>
            <w:tcW w:w="78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w:t>
            </w:r>
          </w:p>
        </w:tc>
        <w:tc>
          <w:tcPr>
            <w:tcW w:w="728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上海临港综合区（先行区）西一河（丹漪路-雪涛路）景观项目</w:t>
            </w:r>
          </w:p>
        </w:tc>
        <w:tc>
          <w:tcPr>
            <w:tcW w:w="1657"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12220.5</w:t>
            </w:r>
          </w:p>
        </w:tc>
      </w:tr>
      <w:tr>
        <w:tblPrEx>
          <w:tblCellMar>
            <w:top w:w="0" w:type="dxa"/>
            <w:left w:w="108" w:type="dxa"/>
            <w:bottom w:w="0" w:type="dxa"/>
            <w:right w:w="108" w:type="dxa"/>
          </w:tblCellMar>
        </w:tblPrEx>
        <w:trPr>
          <w:trHeight w:val="639" w:hRule="atLeast"/>
        </w:trPr>
        <w:tc>
          <w:tcPr>
            <w:tcW w:w="78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w:t>
            </w:r>
          </w:p>
        </w:tc>
        <w:tc>
          <w:tcPr>
            <w:tcW w:w="728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洲德路(两港大道-润荷路)道路附属绿化</w:t>
            </w:r>
          </w:p>
        </w:tc>
        <w:tc>
          <w:tcPr>
            <w:tcW w:w="1657"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 xml:space="preserve">117740.00 </w:t>
            </w:r>
          </w:p>
        </w:tc>
      </w:tr>
      <w:tr>
        <w:tblPrEx>
          <w:tblCellMar>
            <w:top w:w="0" w:type="dxa"/>
            <w:left w:w="108" w:type="dxa"/>
            <w:bottom w:w="0" w:type="dxa"/>
            <w:right w:w="108" w:type="dxa"/>
          </w:tblCellMar>
        </w:tblPrEx>
        <w:trPr>
          <w:trHeight w:val="639" w:hRule="atLeast"/>
        </w:trPr>
        <w:tc>
          <w:tcPr>
            <w:tcW w:w="78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w:t>
            </w:r>
          </w:p>
        </w:tc>
        <w:tc>
          <w:tcPr>
            <w:tcW w:w="728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茂海路（银涛路-东大公路）道路附属绿化</w:t>
            </w:r>
          </w:p>
        </w:tc>
        <w:tc>
          <w:tcPr>
            <w:tcW w:w="165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 xml:space="preserve">85018.82 </w:t>
            </w:r>
          </w:p>
        </w:tc>
      </w:tr>
      <w:tr>
        <w:tblPrEx>
          <w:tblCellMar>
            <w:top w:w="0" w:type="dxa"/>
            <w:left w:w="108" w:type="dxa"/>
            <w:bottom w:w="0" w:type="dxa"/>
            <w:right w:w="108" w:type="dxa"/>
          </w:tblCellMar>
        </w:tblPrEx>
        <w:trPr>
          <w:trHeight w:val="639" w:hRule="atLeast"/>
        </w:trPr>
        <w:tc>
          <w:tcPr>
            <w:tcW w:w="78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7</w:t>
            </w:r>
          </w:p>
        </w:tc>
        <w:tc>
          <w:tcPr>
            <w:tcW w:w="728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洲涛路（茂海路-世纪塘路）道路附属绿化</w:t>
            </w:r>
          </w:p>
        </w:tc>
        <w:tc>
          <w:tcPr>
            <w:tcW w:w="165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 xml:space="preserve">46827.00 </w:t>
            </w:r>
          </w:p>
        </w:tc>
      </w:tr>
      <w:tr>
        <w:tblPrEx>
          <w:tblCellMar>
            <w:top w:w="0" w:type="dxa"/>
            <w:left w:w="108" w:type="dxa"/>
            <w:bottom w:w="0" w:type="dxa"/>
            <w:right w:w="108" w:type="dxa"/>
          </w:tblCellMar>
        </w:tblPrEx>
        <w:trPr>
          <w:trHeight w:val="639" w:hRule="atLeast"/>
        </w:trPr>
        <w:tc>
          <w:tcPr>
            <w:tcW w:w="78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w:t>
            </w:r>
          </w:p>
        </w:tc>
        <w:tc>
          <w:tcPr>
            <w:tcW w:w="728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润荷路（银涛路-三三公路）道路附属绿化</w:t>
            </w:r>
          </w:p>
        </w:tc>
        <w:tc>
          <w:tcPr>
            <w:tcW w:w="165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 xml:space="preserve">14317.20 </w:t>
            </w:r>
          </w:p>
        </w:tc>
      </w:tr>
      <w:tr>
        <w:tblPrEx>
          <w:tblCellMar>
            <w:top w:w="0" w:type="dxa"/>
            <w:left w:w="108" w:type="dxa"/>
            <w:bottom w:w="0" w:type="dxa"/>
            <w:right w:w="108" w:type="dxa"/>
          </w:tblCellMar>
        </w:tblPrEx>
        <w:trPr>
          <w:trHeight w:val="639" w:hRule="atLeast"/>
        </w:trPr>
        <w:tc>
          <w:tcPr>
            <w:tcW w:w="78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w:t>
            </w:r>
          </w:p>
        </w:tc>
        <w:tc>
          <w:tcPr>
            <w:tcW w:w="728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凯汇路（丹漪路-银涛路）道路附属绿化</w:t>
            </w:r>
          </w:p>
        </w:tc>
        <w:tc>
          <w:tcPr>
            <w:tcW w:w="165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 xml:space="preserve">12515.00 </w:t>
            </w:r>
          </w:p>
        </w:tc>
      </w:tr>
    </w:tbl>
    <w:p>
      <w:pPr>
        <w:spacing w:line="360" w:lineRule="auto"/>
        <w:ind w:firstLine="472" w:firstLineChars="196"/>
        <w:contextualSpacing/>
        <w:jc w:val="left"/>
        <w:outlineLvl w:val="2"/>
        <w:rPr>
          <w:b/>
          <w:bCs/>
          <w:color w:val="000000"/>
          <w:sz w:val="24"/>
          <w:szCs w:val="24"/>
        </w:rPr>
      </w:pPr>
    </w:p>
    <w:p>
      <w:pPr>
        <w:spacing w:line="360" w:lineRule="auto"/>
        <w:ind w:firstLine="472" w:firstLineChars="196"/>
        <w:contextualSpacing/>
        <w:jc w:val="left"/>
        <w:outlineLvl w:val="2"/>
        <w:rPr>
          <w:b/>
          <w:bCs/>
          <w:color w:val="000000"/>
          <w:sz w:val="24"/>
          <w:szCs w:val="24"/>
        </w:rPr>
      </w:pPr>
    </w:p>
    <w:tbl>
      <w:tblPr>
        <w:tblStyle w:val="49"/>
        <w:tblW w:w="9748" w:type="dxa"/>
        <w:tblInd w:w="108" w:type="dxa"/>
        <w:tblLayout w:type="fixed"/>
        <w:tblCellMar>
          <w:top w:w="0" w:type="dxa"/>
          <w:left w:w="108" w:type="dxa"/>
          <w:bottom w:w="0" w:type="dxa"/>
          <w:right w:w="108" w:type="dxa"/>
        </w:tblCellMar>
      </w:tblPr>
      <w:tblGrid>
        <w:gridCol w:w="882"/>
        <w:gridCol w:w="3331"/>
        <w:gridCol w:w="1815"/>
        <w:gridCol w:w="1920"/>
        <w:gridCol w:w="1800"/>
      </w:tblGrid>
      <w:tr>
        <w:tblPrEx>
          <w:tblCellMar>
            <w:top w:w="0" w:type="dxa"/>
            <w:left w:w="108" w:type="dxa"/>
            <w:bottom w:w="0" w:type="dxa"/>
            <w:right w:w="108" w:type="dxa"/>
          </w:tblCellMar>
        </w:tblPrEx>
        <w:trPr>
          <w:trHeight w:val="441" w:hRule="atLeast"/>
        </w:trPr>
        <w:tc>
          <w:tcPr>
            <w:tcW w:w="9748" w:type="dxa"/>
            <w:gridSpan w:val="5"/>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（1）综合区（先行区）新九四塘河（洲德路-北护城河）新建河道设施量清单</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序号</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设施名称</w:t>
            </w:r>
          </w:p>
        </w:tc>
        <w:tc>
          <w:tcPr>
            <w:tcW w:w="1815"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单位</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数量</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备注</w:t>
            </w:r>
          </w:p>
        </w:tc>
      </w:tr>
      <w:tr>
        <w:tblPrEx>
          <w:tblCellMar>
            <w:top w:w="0" w:type="dxa"/>
            <w:left w:w="108" w:type="dxa"/>
            <w:bottom w:w="0" w:type="dxa"/>
            <w:right w:w="108" w:type="dxa"/>
          </w:tblCellMar>
        </w:tblPrEx>
        <w:trPr>
          <w:trHeight w:val="321" w:hRule="atLeast"/>
        </w:trPr>
        <w:tc>
          <w:tcPr>
            <w:tcW w:w="6028"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保洁和巡视</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　</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保洁和巡视</w:t>
            </w:r>
          </w:p>
        </w:tc>
        <w:tc>
          <w:tcPr>
            <w:tcW w:w="181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44335</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　</w:t>
            </w:r>
          </w:p>
        </w:tc>
      </w:tr>
      <w:tr>
        <w:tblPrEx>
          <w:tblCellMar>
            <w:top w:w="0" w:type="dxa"/>
            <w:left w:w="108" w:type="dxa"/>
            <w:bottom w:w="0" w:type="dxa"/>
            <w:right w:w="108" w:type="dxa"/>
          </w:tblCellMar>
        </w:tblPrEx>
        <w:trPr>
          <w:trHeight w:val="321" w:hRule="atLeast"/>
        </w:trPr>
        <w:tc>
          <w:tcPr>
            <w:tcW w:w="6028"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绿化</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　</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马褂木</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丛生元宝枫</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丛生三角枫</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柔枝红千层</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苏铁</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造型红花檵木桩</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密实卫矛球</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丛生橘树</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丛生黄连木</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三角枫</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红运玉兰</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木本绣球</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海滨木槿</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14</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金枝国槐</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白玉兰</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16</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木本绣球</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17</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羽毛枫</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18</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紫叶李</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19</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山茶</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20</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乌桕</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21</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八棱海棠</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22</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海滨木槿</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23</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丛生南天竹</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24</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黄山栾树</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25</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大叶黄杨球</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26</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金丝垂柳</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27</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腊梅</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28</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杨梅</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29</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鸡爪槭</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30</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紫叶李</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31</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山麻杆</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32</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金边胡颓子球</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33</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加拿大紫叶紫荆</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34</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丛生紫薇</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35</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祖米海棠（北美）</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36</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枇杷</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37</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黄连木</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38</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红枫</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39</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女贞</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40</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河津樱</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41</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金森女贞球</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42</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巨紫荆</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43</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蓝羊茅</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44</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紫荆</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14</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45</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丛生花石榴</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14</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46</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丛生香柚</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47</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墨西哥落羽杉</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48</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金丝垂柳</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49</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银姬小蜡球</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50</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美国红火球紫薇</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16</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51</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红花继木球</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16</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52</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红罗宾红叶石楠球</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17</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53</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垂枝樱</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18</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54</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丛生乌桕</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20</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55</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十月樱</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20</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56</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丛生朴树</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21</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57</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香蒲</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23</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58</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银杏</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25</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59</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垂丝海棠</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25</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60</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金边黄杨球</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26</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61</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丛生金桂</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27</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62</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花叶蔓长春</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27</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63</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无患子</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31</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64</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晚樱</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31</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65</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金叶络石</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34</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66</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海桐球</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36</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67</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小丑火棘</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38</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68</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彩叶杞柳</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40</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69</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红罗宾红叶石楠</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41</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70</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矮蒲苇</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41</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71</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娜塔栎</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43</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72</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金丝桃</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43</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73</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南天竹</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44</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74</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连香树</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46</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75</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葡枝亮绿忍冬</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46</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76</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花叶香桃木</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47</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77</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墨西哥鼠尾草</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52</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78</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榉树</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62</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79</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千叶蓍</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63</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80</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常绿萱草</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64</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81</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花叶芦竹</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76</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82</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水生美人蕉</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77</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83</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水果兰</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79</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84</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粉花松果菊</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82</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85</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染井吉野樱</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84</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86</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蒲苇</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88</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87</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金边胡颓子</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96</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88</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美国连翘</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98</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89</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棣棠</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103</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90</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栽植绿篱</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105</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91</w:t>
            </w:r>
          </w:p>
        </w:tc>
        <w:tc>
          <w:tcPr>
            <w:tcW w:w="3331"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香樟</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123</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92</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紫娇花</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126</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93</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百子莲</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145</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94</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吉祥草</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147</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95</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蓝花梭鱼草</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154</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96</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八角金盘</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158</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97</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花叶络石</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158</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98</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金叶水杉</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165</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99</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花镜组合</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177</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100</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八仙花</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186</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101</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火焰南天竹</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198</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102</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黄金菊</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202</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103</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花叶芒</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202</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104</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荷花</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208</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105</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密花千屈菜</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218</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106</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金边黄杨</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226</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107</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地被观赏竹</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242</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108</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金叶大花六道木</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247</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109</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金焰绣线菊</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268</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110</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再力花</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294</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111</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红罗宾红叶石楠</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303</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112</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大吴风草</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334</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113</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金森女贞</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341</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114</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小兔子狼尾草</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355</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115</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木贼</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361</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116</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佛甲草</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368</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117</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大花金鸡菊</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372</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118</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旱伞草</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376</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119</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洒金桃叶珊瑚</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383</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120</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金禾女贞</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393</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121</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红花继木</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409</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122</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黄菖蒲</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576</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123</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大叶黄杨</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690</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124</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细叶芒</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757</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125</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海桐</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763</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126</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金边石菖蒲</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1164</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127</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阔叶金边麦冬+二月兰</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1372</w:t>
            </w:r>
          </w:p>
        </w:tc>
        <w:tc>
          <w:tcPr>
            <w:tcW w:w="180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128</w:t>
            </w:r>
          </w:p>
        </w:tc>
        <w:tc>
          <w:tcPr>
            <w:tcW w:w="3331" w:type="dxa"/>
            <w:tcBorders>
              <w:top w:val="nil"/>
              <w:left w:val="nil"/>
              <w:bottom w:val="single" w:color="auto" w:sz="4" w:space="0"/>
              <w:right w:val="single" w:color="auto" w:sz="4" w:space="0"/>
            </w:tcBorders>
            <w:shd w:val="clear" w:color="FFFFFF" w:fill="FFFFFF"/>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毛鹃</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1412</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129</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百慕大秋季追播黑麦草</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13218</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130</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河石</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组</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29</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131</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景石</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组</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景观</w:t>
            </w:r>
          </w:p>
        </w:tc>
        <w:tc>
          <w:tcPr>
            <w:tcW w:w="181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150*25mm厚塑木地板</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718.27</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沥青车行道</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122</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30mm厚生态透水胶粘夜光石面层</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590</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30mm厚胶粘石灰石面层</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732.66</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300*300*60mm厚浅灰色细面料陶瓷透水砖错缝铺贴</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6697.95</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300*300*60mm厚深灰色细面料陶瓷透水砖错缝铺贴</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4213</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细面料陶瓷透水砖铺装</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4213</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智慧发光地砖地坪</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39.3</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塑胶跑道</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433.8</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散置黄色水洗石英砂地坪</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25.54</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11</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竹木木平台</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632.27</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塑木木平台</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426</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13</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景观照明配电箱（户外型）AL1</w:t>
            </w:r>
          </w:p>
        </w:tc>
        <w:tc>
          <w:tcPr>
            <w:tcW w:w="181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台</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16</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14</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庭院灯</w:t>
            </w:r>
          </w:p>
        </w:tc>
        <w:tc>
          <w:tcPr>
            <w:tcW w:w="181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套</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77</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15</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草坪灯</w:t>
            </w:r>
          </w:p>
        </w:tc>
        <w:tc>
          <w:tcPr>
            <w:tcW w:w="181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套</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61</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射树灯</w:t>
            </w:r>
          </w:p>
        </w:tc>
        <w:tc>
          <w:tcPr>
            <w:tcW w:w="181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套</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23</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17</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埋地灯（带灯体桶）</w:t>
            </w:r>
          </w:p>
        </w:tc>
        <w:tc>
          <w:tcPr>
            <w:tcW w:w="181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套</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70</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18</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小射灯</w:t>
            </w:r>
          </w:p>
        </w:tc>
        <w:tc>
          <w:tcPr>
            <w:tcW w:w="181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套</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90</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19</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水下射灯</w:t>
            </w:r>
          </w:p>
        </w:tc>
        <w:tc>
          <w:tcPr>
            <w:tcW w:w="181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套</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84</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20</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牛眼灯</w:t>
            </w:r>
          </w:p>
        </w:tc>
        <w:tc>
          <w:tcPr>
            <w:tcW w:w="181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套</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154</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21</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嵌壁灯</w:t>
            </w:r>
          </w:p>
        </w:tc>
        <w:tc>
          <w:tcPr>
            <w:tcW w:w="181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套</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47</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室外家具</w:t>
            </w:r>
          </w:p>
        </w:tc>
        <w:tc>
          <w:tcPr>
            <w:tcW w:w="181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成品垃圾桶</w:t>
            </w:r>
          </w:p>
        </w:tc>
        <w:tc>
          <w:tcPr>
            <w:tcW w:w="181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个</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20</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成品座椅</w:t>
            </w:r>
          </w:p>
        </w:tc>
        <w:tc>
          <w:tcPr>
            <w:tcW w:w="181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个</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24</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管理用房</w:t>
            </w:r>
          </w:p>
        </w:tc>
        <w:tc>
          <w:tcPr>
            <w:tcW w:w="181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管理用房</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760</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333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停车场</w:t>
            </w:r>
          </w:p>
        </w:tc>
        <w:tc>
          <w:tcPr>
            <w:tcW w:w="181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310</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333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灯具</w:t>
            </w:r>
          </w:p>
        </w:tc>
        <w:tc>
          <w:tcPr>
            <w:tcW w:w="181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套</w:t>
            </w:r>
          </w:p>
        </w:tc>
        <w:tc>
          <w:tcPr>
            <w:tcW w:w="192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w:t>
            </w:r>
          </w:p>
        </w:tc>
        <w:tc>
          <w:tcPr>
            <w:tcW w:w="180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bl>
    <w:p>
      <w:pPr>
        <w:rPr>
          <w:sz w:val="28"/>
          <w:szCs w:val="28"/>
        </w:rPr>
      </w:pPr>
    </w:p>
    <w:tbl>
      <w:tblPr>
        <w:tblStyle w:val="49"/>
        <w:tblW w:w="9755" w:type="dxa"/>
        <w:tblInd w:w="108" w:type="dxa"/>
        <w:tblLayout w:type="fixed"/>
        <w:tblCellMar>
          <w:top w:w="0" w:type="dxa"/>
          <w:left w:w="108" w:type="dxa"/>
          <w:bottom w:w="0" w:type="dxa"/>
          <w:right w:w="108" w:type="dxa"/>
        </w:tblCellMar>
      </w:tblPr>
      <w:tblGrid>
        <w:gridCol w:w="871"/>
        <w:gridCol w:w="3349"/>
        <w:gridCol w:w="1808"/>
        <w:gridCol w:w="1935"/>
        <w:gridCol w:w="1792"/>
      </w:tblGrid>
      <w:tr>
        <w:tblPrEx>
          <w:tblCellMar>
            <w:top w:w="0" w:type="dxa"/>
            <w:left w:w="108" w:type="dxa"/>
            <w:bottom w:w="0" w:type="dxa"/>
            <w:right w:w="108" w:type="dxa"/>
          </w:tblCellMar>
        </w:tblPrEx>
        <w:trPr>
          <w:trHeight w:val="441" w:hRule="atLeast"/>
        </w:trPr>
        <w:tc>
          <w:tcPr>
            <w:tcW w:w="9755" w:type="dxa"/>
            <w:gridSpan w:val="5"/>
            <w:tcBorders>
              <w:top w:val="nil"/>
              <w:left w:val="nil"/>
              <w:bottom w:val="single" w:color="auto" w:sz="4" w:space="0"/>
              <w:right w:val="nil"/>
            </w:tcBorders>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（2）临港综合区乐活水岸结构设施量清单</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序号</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名称</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单位</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数量</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备注</w:t>
            </w:r>
          </w:p>
        </w:tc>
      </w:tr>
      <w:tr>
        <w:tblPrEx>
          <w:tblCellMar>
            <w:top w:w="0" w:type="dxa"/>
            <w:left w:w="108" w:type="dxa"/>
            <w:bottom w:w="0" w:type="dxa"/>
            <w:right w:w="108" w:type="dxa"/>
          </w:tblCellMar>
        </w:tblPrEx>
        <w:trPr>
          <w:trHeight w:val="321" w:hRule="atLeast"/>
        </w:trPr>
        <w:tc>
          <w:tcPr>
            <w:tcW w:w="6028"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保洁与巡视</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保洁和巡视</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8674.17</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6028"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绿化</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小叶黄杨球</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338</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白玉兰</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枫杨</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广玉兰</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桂花</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海桐</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红花檀木</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槐树</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11</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金叶女贞球</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栾树</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11</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女贞</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盘丝海棠</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13</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朴树</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21</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14</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石楠</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15</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乌柏</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香樟树</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29</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17</w:t>
            </w:r>
          </w:p>
        </w:tc>
        <w:tc>
          <w:tcPr>
            <w:tcW w:w="3349"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小琴丝竹</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40</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18</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杨梅树</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19</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紫薇</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20</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紫叶李</w:t>
            </w:r>
          </w:p>
        </w:tc>
        <w:tc>
          <w:tcPr>
            <w:tcW w:w="180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25</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6028"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其他设施</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铁凳</w:t>
            </w:r>
          </w:p>
        </w:tc>
        <w:tc>
          <w:tcPr>
            <w:tcW w:w="1808"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矮石墙</w:t>
            </w:r>
          </w:p>
        </w:tc>
        <w:tc>
          <w:tcPr>
            <w:tcW w:w="1808"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米</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176</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334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垃圾桶</w:t>
            </w:r>
          </w:p>
        </w:tc>
        <w:tc>
          <w:tcPr>
            <w:tcW w:w="1808"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17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bl>
    <w:p>
      <w:pPr>
        <w:rPr>
          <w:sz w:val="28"/>
          <w:szCs w:val="28"/>
        </w:rPr>
      </w:pPr>
    </w:p>
    <w:tbl>
      <w:tblPr>
        <w:tblStyle w:val="49"/>
        <w:tblW w:w="9778" w:type="dxa"/>
        <w:tblInd w:w="108" w:type="dxa"/>
        <w:tblLayout w:type="fixed"/>
        <w:tblCellMar>
          <w:top w:w="0" w:type="dxa"/>
          <w:left w:w="108" w:type="dxa"/>
          <w:bottom w:w="0" w:type="dxa"/>
          <w:right w:w="108" w:type="dxa"/>
        </w:tblCellMar>
      </w:tblPr>
      <w:tblGrid>
        <w:gridCol w:w="882"/>
        <w:gridCol w:w="3338"/>
        <w:gridCol w:w="1800"/>
        <w:gridCol w:w="1935"/>
        <w:gridCol w:w="1823"/>
      </w:tblGrid>
      <w:tr>
        <w:tblPrEx>
          <w:tblCellMar>
            <w:top w:w="0" w:type="dxa"/>
            <w:left w:w="108" w:type="dxa"/>
            <w:bottom w:w="0" w:type="dxa"/>
            <w:right w:w="108" w:type="dxa"/>
          </w:tblCellMar>
        </w:tblPrEx>
        <w:trPr>
          <w:trHeight w:val="441" w:hRule="atLeast"/>
        </w:trPr>
        <w:tc>
          <w:tcPr>
            <w:tcW w:w="9778" w:type="dxa"/>
            <w:gridSpan w:val="5"/>
            <w:tcBorders>
              <w:top w:val="nil"/>
              <w:left w:val="nil"/>
              <w:bottom w:val="single" w:color="auto" w:sz="4" w:space="0"/>
              <w:right w:val="nil"/>
            </w:tcBorders>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（3）临港综合区九四塘随塘河结构设施量清单</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序号</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名称</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单位</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数量</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备注</w:t>
            </w:r>
          </w:p>
        </w:tc>
      </w:tr>
      <w:tr>
        <w:tblPrEx>
          <w:tblCellMar>
            <w:top w:w="0" w:type="dxa"/>
            <w:left w:w="108" w:type="dxa"/>
            <w:bottom w:w="0" w:type="dxa"/>
            <w:right w:w="108" w:type="dxa"/>
          </w:tblCellMar>
        </w:tblPrEx>
        <w:trPr>
          <w:trHeight w:val="321" w:hRule="atLeast"/>
        </w:trPr>
        <w:tc>
          <w:tcPr>
            <w:tcW w:w="602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保洁与巡视</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保洁和巡视</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58190.83</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602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绿化</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特型银杏</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白玉兰</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池杉</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11</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垂柳</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71</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垂丝海棠</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24</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枫杨</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17</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广玉兰</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83</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桂花</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43</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黄连木</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腊梅</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32</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11</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榔榆</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梨树</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36</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13</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罗汉松</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24</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14</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落羽杉</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24</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15</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毛泡桐</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朴树</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17</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楸树</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18</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三角枫</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15</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19</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山茶</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29</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20</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石楠</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70</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21</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水杉</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80</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22</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晚樱</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113</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23</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蚊母树</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23</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24</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乌柏</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77</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25</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无患子</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35</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26</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喜树</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27</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香泡</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28</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香樟</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65</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29</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雪松</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8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30</w:t>
            </w:r>
          </w:p>
        </w:tc>
        <w:tc>
          <w:tcPr>
            <w:tcW w:w="333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直生银杏</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53</w:t>
            </w:r>
          </w:p>
        </w:tc>
        <w:tc>
          <w:tcPr>
            <w:tcW w:w="182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bl>
    <w:p>
      <w:pPr>
        <w:rPr>
          <w:sz w:val="28"/>
          <w:szCs w:val="28"/>
        </w:rPr>
      </w:pPr>
    </w:p>
    <w:tbl>
      <w:tblPr>
        <w:tblStyle w:val="49"/>
        <w:tblW w:w="9815" w:type="dxa"/>
        <w:tblInd w:w="108" w:type="dxa"/>
        <w:tblLayout w:type="fixed"/>
        <w:tblCellMar>
          <w:top w:w="0" w:type="dxa"/>
          <w:left w:w="108" w:type="dxa"/>
          <w:bottom w:w="0" w:type="dxa"/>
          <w:right w:w="108" w:type="dxa"/>
        </w:tblCellMar>
      </w:tblPr>
      <w:tblGrid>
        <w:gridCol w:w="871"/>
        <w:gridCol w:w="3357"/>
        <w:gridCol w:w="1800"/>
        <w:gridCol w:w="1927"/>
        <w:gridCol w:w="1860"/>
      </w:tblGrid>
      <w:tr>
        <w:tblPrEx>
          <w:tblCellMar>
            <w:top w:w="0" w:type="dxa"/>
            <w:left w:w="108" w:type="dxa"/>
            <w:bottom w:w="0" w:type="dxa"/>
            <w:right w:w="108" w:type="dxa"/>
          </w:tblCellMar>
        </w:tblPrEx>
        <w:trPr>
          <w:trHeight w:val="441" w:hRule="atLeast"/>
        </w:trPr>
        <w:tc>
          <w:tcPr>
            <w:tcW w:w="9815" w:type="dxa"/>
            <w:gridSpan w:val="5"/>
            <w:tcBorders>
              <w:top w:val="nil"/>
              <w:left w:val="nil"/>
              <w:bottom w:val="single" w:color="auto" w:sz="4" w:space="0"/>
              <w:right w:val="nil"/>
            </w:tcBorders>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（4）西一河(丹路-雪涛路)景观设施量清单</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序号</w:t>
            </w:r>
          </w:p>
        </w:tc>
        <w:tc>
          <w:tcPr>
            <w:tcW w:w="3357"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名称</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单位</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数量</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备注</w:t>
            </w:r>
          </w:p>
        </w:tc>
      </w:tr>
      <w:tr>
        <w:tblPrEx>
          <w:tblCellMar>
            <w:top w:w="0" w:type="dxa"/>
            <w:left w:w="108" w:type="dxa"/>
            <w:bottom w:w="0" w:type="dxa"/>
            <w:right w:w="108" w:type="dxa"/>
          </w:tblCellMar>
        </w:tblPrEx>
        <w:trPr>
          <w:trHeight w:val="321" w:hRule="atLeast"/>
        </w:trPr>
        <w:tc>
          <w:tcPr>
            <w:tcW w:w="6028"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保洁与巡视</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5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保洁和巡视</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12220.5</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6028"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绿化</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5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多杆香樟</w:t>
            </w:r>
          </w:p>
        </w:tc>
        <w:tc>
          <w:tcPr>
            <w:tcW w:w="1800"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335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香樟-3</w:t>
            </w:r>
          </w:p>
        </w:tc>
        <w:tc>
          <w:tcPr>
            <w:tcW w:w="1800"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62</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3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香樟-1</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86</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女贞-2</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2</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丛生香柚-1</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6</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红叶石楠树-1</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14</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橘树-1</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3</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枇杷-1</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18</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银杏-2</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14</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丛生朴树-1</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9</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11</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丛生朴树-2</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3</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无患子-3</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120</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13</w:t>
            </w:r>
          </w:p>
        </w:tc>
        <w:tc>
          <w:tcPr>
            <w:tcW w:w="3357"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三角枫-2</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14</w:t>
            </w:r>
          </w:p>
        </w:tc>
        <w:tc>
          <w:tcPr>
            <w:tcW w:w="3357"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丛生乌桕-2</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11</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15</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金丝垂柳-1</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4</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w:t>
            </w:r>
          </w:p>
        </w:tc>
        <w:tc>
          <w:tcPr>
            <w:tcW w:w="3357"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金叶水杉</w:t>
            </w:r>
          </w:p>
        </w:tc>
        <w:tc>
          <w:tcPr>
            <w:tcW w:w="180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9</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17</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红运玉兰</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29</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18</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八棱海棠</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13</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19</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紫薇-1</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14</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20</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垂丝海棠-2</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49</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21</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金枝国槐</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25</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22</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花石榴-1</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7</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23</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花石榴-2</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10</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24</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鸡爪槭-1</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6</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25</w:t>
            </w:r>
          </w:p>
        </w:tc>
        <w:tc>
          <w:tcPr>
            <w:tcW w:w="3357"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红枫-1</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9</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26</w:t>
            </w:r>
          </w:p>
        </w:tc>
        <w:tc>
          <w:tcPr>
            <w:tcW w:w="3357"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羽毛枫</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2</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27</w:t>
            </w:r>
          </w:p>
        </w:tc>
        <w:tc>
          <w:tcPr>
            <w:tcW w:w="3357"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紫荆</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28</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28</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连香树</w:t>
            </w:r>
          </w:p>
        </w:tc>
        <w:tc>
          <w:tcPr>
            <w:tcW w:w="180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bottom"/>
          </w:tcPr>
          <w:p>
            <w:pPr>
              <w:widowControl/>
              <w:jc w:val="center"/>
              <w:rPr>
                <w:rFonts w:hint="eastAsia" w:ascii="宋体" w:hAnsi="宋体" w:cs="宋体"/>
                <w:kern w:val="0"/>
                <w:sz w:val="22"/>
                <w:szCs w:val="22"/>
              </w:rPr>
            </w:pPr>
            <w:r>
              <w:rPr>
                <w:rFonts w:hint="eastAsia" w:ascii="宋体" w:hAnsi="宋体" w:cs="宋体"/>
                <w:kern w:val="0"/>
                <w:sz w:val="22"/>
                <w:szCs w:val="22"/>
              </w:rPr>
              <w:t>5</w:t>
            </w:r>
          </w:p>
        </w:tc>
        <w:tc>
          <w:tcPr>
            <w:tcW w:w="1860" w:type="dxa"/>
            <w:tcBorders>
              <w:top w:val="nil"/>
              <w:left w:val="nil"/>
              <w:bottom w:val="single" w:color="000000" w:sz="4" w:space="0"/>
              <w:right w:val="single" w:color="000000" w:sz="4" w:space="0"/>
            </w:tcBorders>
            <w:noWrap/>
            <w:vAlign w:val="bottom"/>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29</w:t>
            </w:r>
          </w:p>
        </w:tc>
        <w:tc>
          <w:tcPr>
            <w:tcW w:w="3357"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红梅</w:t>
            </w:r>
          </w:p>
        </w:tc>
        <w:tc>
          <w:tcPr>
            <w:tcW w:w="180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7</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30</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金森女贞球B</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18</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31</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银姬小蜡球B</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67</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32</w:t>
            </w:r>
          </w:p>
        </w:tc>
        <w:tc>
          <w:tcPr>
            <w:tcW w:w="3357"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苏铁A</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2</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33</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密实卫矛球</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4</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34</w:t>
            </w:r>
          </w:p>
        </w:tc>
        <w:tc>
          <w:tcPr>
            <w:tcW w:w="3357"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毛鹃</w:t>
            </w:r>
          </w:p>
        </w:tc>
        <w:tc>
          <w:tcPr>
            <w:tcW w:w="180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578</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35</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水果兰</w:t>
            </w:r>
          </w:p>
        </w:tc>
        <w:tc>
          <w:tcPr>
            <w:tcW w:w="1800"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238</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36</w:t>
            </w:r>
          </w:p>
        </w:tc>
        <w:tc>
          <w:tcPr>
            <w:tcW w:w="3357"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金森女贞</w:t>
            </w:r>
          </w:p>
        </w:tc>
        <w:tc>
          <w:tcPr>
            <w:tcW w:w="1800"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124</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37</w:t>
            </w:r>
          </w:p>
        </w:tc>
        <w:tc>
          <w:tcPr>
            <w:tcW w:w="3357"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红罗宾红叶石楠</w:t>
            </w:r>
          </w:p>
        </w:tc>
        <w:tc>
          <w:tcPr>
            <w:tcW w:w="1800"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104</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38</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黄金菊</w:t>
            </w:r>
          </w:p>
        </w:tc>
        <w:tc>
          <w:tcPr>
            <w:tcW w:w="1800"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632</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39</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金叶石菖蒲</w:t>
            </w:r>
          </w:p>
        </w:tc>
        <w:tc>
          <w:tcPr>
            <w:tcW w:w="1800"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188</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40</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草坪</w:t>
            </w:r>
          </w:p>
        </w:tc>
        <w:tc>
          <w:tcPr>
            <w:tcW w:w="1800"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6995</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41</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小兔子狼尾草</w:t>
            </w:r>
          </w:p>
        </w:tc>
        <w:tc>
          <w:tcPr>
            <w:tcW w:w="1800"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single" w:color="000000" w:sz="4" w:space="0"/>
              <w:bottom w:val="single" w:color="000000" w:sz="4" w:space="0"/>
              <w:right w:val="single" w:color="000000" w:sz="4" w:space="0"/>
            </w:tcBorders>
            <w:noWrap/>
            <w:vAlign w:val="bottom"/>
          </w:tcPr>
          <w:p>
            <w:pPr>
              <w:widowControl/>
              <w:jc w:val="center"/>
              <w:rPr>
                <w:rFonts w:hint="eastAsia" w:ascii="宋体" w:hAnsi="宋体" w:cs="宋体"/>
                <w:kern w:val="0"/>
                <w:sz w:val="22"/>
                <w:szCs w:val="22"/>
              </w:rPr>
            </w:pPr>
            <w:r>
              <w:rPr>
                <w:rFonts w:hint="eastAsia" w:ascii="宋体" w:hAnsi="宋体" w:cs="宋体"/>
                <w:kern w:val="0"/>
                <w:sz w:val="22"/>
                <w:szCs w:val="22"/>
              </w:rPr>
              <w:t>29</w:t>
            </w:r>
          </w:p>
        </w:tc>
        <w:tc>
          <w:tcPr>
            <w:tcW w:w="1860" w:type="dxa"/>
            <w:tcBorders>
              <w:top w:val="nil"/>
              <w:left w:val="nil"/>
              <w:bottom w:val="single" w:color="000000" w:sz="4" w:space="0"/>
              <w:right w:val="single" w:color="000000" w:sz="4" w:space="0"/>
            </w:tcBorders>
            <w:noWrap/>
            <w:vAlign w:val="bottom"/>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42</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矮蒲苇</w:t>
            </w:r>
          </w:p>
        </w:tc>
        <w:tc>
          <w:tcPr>
            <w:tcW w:w="1800"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single" w:color="000000" w:sz="4" w:space="0"/>
              <w:bottom w:val="single" w:color="000000" w:sz="4" w:space="0"/>
              <w:right w:val="single" w:color="000000" w:sz="4" w:space="0"/>
            </w:tcBorders>
            <w:noWrap/>
            <w:vAlign w:val="bottom"/>
          </w:tcPr>
          <w:p>
            <w:pPr>
              <w:widowControl/>
              <w:jc w:val="center"/>
              <w:rPr>
                <w:rFonts w:hint="eastAsia" w:ascii="宋体" w:hAnsi="宋体" w:cs="宋体"/>
                <w:kern w:val="0"/>
                <w:sz w:val="22"/>
                <w:szCs w:val="22"/>
              </w:rPr>
            </w:pPr>
            <w:r>
              <w:rPr>
                <w:rFonts w:hint="eastAsia" w:ascii="宋体" w:hAnsi="宋体" w:cs="宋体"/>
                <w:kern w:val="0"/>
                <w:sz w:val="22"/>
                <w:szCs w:val="22"/>
              </w:rPr>
              <w:t>16</w:t>
            </w:r>
          </w:p>
        </w:tc>
        <w:tc>
          <w:tcPr>
            <w:tcW w:w="1860" w:type="dxa"/>
            <w:tcBorders>
              <w:top w:val="nil"/>
              <w:left w:val="nil"/>
              <w:bottom w:val="single" w:color="000000" w:sz="4" w:space="0"/>
              <w:right w:val="single" w:color="000000" w:sz="4" w:space="0"/>
            </w:tcBorders>
            <w:noWrap/>
            <w:vAlign w:val="bottom"/>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43</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细叶芒</w:t>
            </w:r>
          </w:p>
        </w:tc>
        <w:tc>
          <w:tcPr>
            <w:tcW w:w="1800"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single" w:color="000000" w:sz="4" w:space="0"/>
              <w:bottom w:val="single" w:color="000000" w:sz="4" w:space="0"/>
              <w:right w:val="single" w:color="000000" w:sz="4" w:space="0"/>
            </w:tcBorders>
            <w:noWrap/>
            <w:vAlign w:val="bottom"/>
          </w:tcPr>
          <w:p>
            <w:pPr>
              <w:widowControl/>
              <w:jc w:val="center"/>
              <w:rPr>
                <w:rFonts w:hint="eastAsia" w:ascii="宋体" w:hAnsi="宋体" w:cs="宋体"/>
                <w:kern w:val="0"/>
                <w:sz w:val="22"/>
                <w:szCs w:val="22"/>
              </w:rPr>
            </w:pPr>
            <w:r>
              <w:rPr>
                <w:rFonts w:hint="eastAsia" w:ascii="宋体" w:hAnsi="宋体" w:cs="宋体"/>
                <w:kern w:val="0"/>
                <w:sz w:val="22"/>
                <w:szCs w:val="22"/>
              </w:rPr>
              <w:t>24</w:t>
            </w:r>
          </w:p>
        </w:tc>
        <w:tc>
          <w:tcPr>
            <w:tcW w:w="1860" w:type="dxa"/>
            <w:tcBorders>
              <w:top w:val="nil"/>
              <w:left w:val="nil"/>
              <w:bottom w:val="single" w:color="000000" w:sz="4" w:space="0"/>
              <w:right w:val="single" w:color="000000" w:sz="4" w:space="0"/>
            </w:tcBorders>
            <w:noWrap/>
            <w:vAlign w:val="bottom"/>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44</w:t>
            </w:r>
          </w:p>
        </w:tc>
        <w:tc>
          <w:tcPr>
            <w:tcW w:w="3357" w:type="dxa"/>
            <w:tcBorders>
              <w:top w:val="nil"/>
              <w:left w:val="single" w:color="000000" w:sz="4" w:space="0"/>
              <w:bottom w:val="nil"/>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花叶芒</w:t>
            </w:r>
          </w:p>
        </w:tc>
        <w:tc>
          <w:tcPr>
            <w:tcW w:w="1800"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single" w:color="000000" w:sz="4" w:space="0"/>
              <w:bottom w:val="single" w:color="000000" w:sz="4" w:space="0"/>
              <w:right w:val="single" w:color="000000" w:sz="4" w:space="0"/>
            </w:tcBorders>
            <w:noWrap/>
            <w:vAlign w:val="bottom"/>
          </w:tcPr>
          <w:p>
            <w:pPr>
              <w:widowControl/>
              <w:jc w:val="center"/>
              <w:rPr>
                <w:rFonts w:hint="eastAsia" w:ascii="宋体" w:hAnsi="宋体" w:cs="宋体"/>
                <w:kern w:val="0"/>
                <w:sz w:val="22"/>
                <w:szCs w:val="22"/>
              </w:rPr>
            </w:pPr>
            <w:r>
              <w:rPr>
                <w:rFonts w:hint="eastAsia" w:ascii="宋体" w:hAnsi="宋体" w:cs="宋体"/>
                <w:kern w:val="0"/>
                <w:sz w:val="22"/>
                <w:szCs w:val="22"/>
              </w:rPr>
              <w:t>67</w:t>
            </w:r>
          </w:p>
        </w:tc>
        <w:tc>
          <w:tcPr>
            <w:tcW w:w="1860" w:type="dxa"/>
            <w:tcBorders>
              <w:top w:val="nil"/>
              <w:left w:val="nil"/>
              <w:bottom w:val="single" w:color="000000" w:sz="4" w:space="0"/>
              <w:right w:val="single" w:color="000000" w:sz="4" w:space="0"/>
            </w:tcBorders>
            <w:noWrap/>
            <w:vAlign w:val="bottom"/>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45</w:t>
            </w:r>
          </w:p>
        </w:tc>
        <w:tc>
          <w:tcPr>
            <w:tcW w:w="3357"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矢羽芒</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single" w:color="000000" w:sz="4" w:space="0"/>
              <w:bottom w:val="nil"/>
              <w:right w:val="single" w:color="000000" w:sz="4" w:space="0"/>
            </w:tcBorders>
            <w:noWrap/>
            <w:vAlign w:val="bottom"/>
          </w:tcPr>
          <w:p>
            <w:pPr>
              <w:widowControl/>
              <w:jc w:val="center"/>
              <w:rPr>
                <w:rFonts w:hint="eastAsia" w:ascii="宋体" w:hAnsi="宋体" w:cs="宋体"/>
                <w:kern w:val="0"/>
                <w:sz w:val="22"/>
                <w:szCs w:val="22"/>
              </w:rPr>
            </w:pPr>
            <w:r>
              <w:rPr>
                <w:rFonts w:hint="eastAsia" w:ascii="宋体" w:hAnsi="宋体" w:cs="宋体"/>
                <w:kern w:val="0"/>
                <w:sz w:val="22"/>
                <w:szCs w:val="22"/>
              </w:rPr>
              <w:t>24</w:t>
            </w:r>
          </w:p>
        </w:tc>
        <w:tc>
          <w:tcPr>
            <w:tcW w:w="1860" w:type="dxa"/>
            <w:tcBorders>
              <w:top w:val="nil"/>
              <w:left w:val="nil"/>
              <w:bottom w:val="nil"/>
              <w:right w:val="single" w:color="000000" w:sz="4" w:space="0"/>
            </w:tcBorders>
            <w:noWrap/>
            <w:vAlign w:val="bottom"/>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9815" w:type="dxa"/>
            <w:gridSpan w:val="5"/>
            <w:tcBorders>
              <w:top w:val="single" w:color="auto" w:sz="4" w:space="0"/>
              <w:left w:val="single" w:color="auto" w:sz="4" w:space="0"/>
              <w:bottom w:val="single" w:color="auto" w:sz="4" w:space="0"/>
              <w:right w:val="single" w:color="000000"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景观</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5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铺装</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200</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335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跑道</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1461.7</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3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景墙</w:t>
            </w:r>
          </w:p>
        </w:tc>
        <w:tc>
          <w:tcPr>
            <w:tcW w:w="1800" w:type="dxa"/>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项</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整石坐凳</w:t>
            </w:r>
          </w:p>
        </w:tc>
        <w:tc>
          <w:tcPr>
            <w:tcW w:w="180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19.53</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休闲廊架</w:t>
            </w:r>
          </w:p>
        </w:tc>
        <w:tc>
          <w:tcPr>
            <w:tcW w:w="1800" w:type="dxa"/>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项</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9815" w:type="dxa"/>
            <w:gridSpan w:val="5"/>
            <w:tcBorders>
              <w:top w:val="single" w:color="auto" w:sz="4" w:space="0"/>
              <w:left w:val="single" w:color="auto" w:sz="4" w:space="0"/>
              <w:bottom w:val="single" w:color="auto" w:sz="4" w:space="0"/>
              <w:right w:val="single" w:color="000000"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海绵城市</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57"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DN200</w:t>
            </w:r>
          </w:p>
        </w:tc>
        <w:tc>
          <w:tcPr>
            <w:tcW w:w="1800"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m</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336.7</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3357"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DN300</w:t>
            </w:r>
          </w:p>
        </w:tc>
        <w:tc>
          <w:tcPr>
            <w:tcW w:w="1800"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m</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362.1</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3357"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DN400</w:t>
            </w:r>
          </w:p>
        </w:tc>
        <w:tc>
          <w:tcPr>
            <w:tcW w:w="1800"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m</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129.6</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3357"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DN500</w:t>
            </w:r>
          </w:p>
        </w:tc>
        <w:tc>
          <w:tcPr>
            <w:tcW w:w="1800"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m</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27.1</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w:t>
            </w:r>
          </w:p>
        </w:tc>
        <w:tc>
          <w:tcPr>
            <w:tcW w:w="3357" w:type="dxa"/>
            <w:tcBorders>
              <w:top w:val="nil"/>
              <w:left w:val="nil"/>
              <w:bottom w:val="nil"/>
              <w:right w:val="nil"/>
            </w:tcBorders>
            <w:noWrap/>
            <w:vAlign w:val="center"/>
          </w:tcPr>
          <w:p>
            <w:pPr>
              <w:widowControl/>
              <w:jc w:val="center"/>
              <w:rPr>
                <w:rFonts w:hint="eastAsia" w:ascii="宋体" w:hAnsi="宋体" w:cs="宋体"/>
                <w:color w:val="000000"/>
                <w:kern w:val="0"/>
                <w:sz w:val="18"/>
                <w:szCs w:val="18"/>
              </w:rPr>
            </w:pPr>
            <w:r>
              <w:rPr>
                <w:rFonts w:ascii="Calibri" w:hAnsi="Calibri" w:cs="Calibri"/>
                <w:color w:val="000000"/>
                <w:kern w:val="0"/>
                <w:sz w:val="18"/>
                <w:szCs w:val="18"/>
              </w:rPr>
              <w:t>φ</w:t>
            </w:r>
            <w:r>
              <w:rPr>
                <w:rFonts w:hint="eastAsia" w:ascii="宋体" w:hAnsi="宋体" w:cs="宋体"/>
                <w:color w:val="000000"/>
                <w:kern w:val="0"/>
                <w:sz w:val="18"/>
                <w:szCs w:val="18"/>
              </w:rPr>
              <w:t>1000检查井埋深</w:t>
            </w:r>
            <w:r>
              <w:rPr>
                <w:rFonts w:ascii="Calibri" w:hAnsi="Calibri" w:cs="Calibri"/>
                <w:color w:val="000000"/>
                <w:kern w:val="0"/>
                <w:sz w:val="18"/>
                <w:szCs w:val="18"/>
              </w:rPr>
              <w:t>2.0m</w:t>
            </w:r>
          </w:p>
        </w:tc>
        <w:tc>
          <w:tcPr>
            <w:tcW w:w="1800"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座</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3</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w:t>
            </w:r>
          </w:p>
        </w:tc>
        <w:tc>
          <w:tcPr>
            <w:tcW w:w="3357" w:type="dxa"/>
            <w:tcBorders>
              <w:top w:val="nil"/>
              <w:left w:val="nil"/>
              <w:bottom w:val="nil"/>
              <w:right w:val="nil"/>
            </w:tcBorders>
            <w:vAlign w:val="center"/>
          </w:tcPr>
          <w:p>
            <w:pPr>
              <w:widowControl/>
              <w:jc w:val="center"/>
              <w:rPr>
                <w:rFonts w:hint="eastAsia" w:ascii="宋体" w:hAnsi="宋体" w:cs="宋体"/>
                <w:kern w:val="0"/>
                <w:sz w:val="20"/>
                <w:szCs w:val="20"/>
              </w:rPr>
            </w:pPr>
            <w:r>
              <w:rPr>
                <w:rFonts w:ascii="Calibri" w:hAnsi="Calibri" w:cs="Calibri"/>
                <w:kern w:val="0"/>
                <w:sz w:val="20"/>
                <w:szCs w:val="20"/>
              </w:rPr>
              <w:t>φ1000</w:t>
            </w:r>
            <w:r>
              <w:rPr>
                <w:rFonts w:hint="eastAsia" w:ascii="宋体" w:hAnsi="宋体" w:cs="宋体"/>
                <w:kern w:val="0"/>
                <w:sz w:val="20"/>
                <w:szCs w:val="20"/>
              </w:rPr>
              <w:t>检查井埋深</w:t>
            </w:r>
            <w:r>
              <w:rPr>
                <w:rFonts w:ascii="Calibri" w:hAnsi="Calibri" w:cs="Calibri"/>
                <w:kern w:val="0"/>
                <w:sz w:val="20"/>
                <w:szCs w:val="20"/>
              </w:rPr>
              <w:t>1.5m</w:t>
            </w:r>
          </w:p>
        </w:tc>
        <w:tc>
          <w:tcPr>
            <w:tcW w:w="1800"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座</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27</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w:t>
            </w:r>
          </w:p>
        </w:tc>
        <w:tc>
          <w:tcPr>
            <w:tcW w:w="3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溢流井</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座</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50</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tc>
        <w:tc>
          <w:tcPr>
            <w:tcW w:w="3357" w:type="dxa"/>
            <w:tcBorders>
              <w:top w:val="nil"/>
              <w:left w:val="single" w:color="000000" w:sz="4" w:space="0"/>
              <w:bottom w:val="single" w:color="000000" w:sz="4" w:space="0"/>
              <w:right w:val="single" w:color="000000" w:sz="4" w:space="0"/>
            </w:tcBorders>
            <w:noWrap/>
            <w:vAlign w:val="center"/>
          </w:tcPr>
          <w:p/>
        </w:tc>
        <w:tc>
          <w:tcPr>
            <w:tcW w:w="1800" w:type="dxa"/>
            <w:tcBorders>
              <w:top w:val="nil"/>
              <w:left w:val="nil"/>
              <w:bottom w:val="single" w:color="000000" w:sz="4" w:space="0"/>
              <w:right w:val="single" w:color="000000" w:sz="4" w:space="0"/>
            </w:tcBorders>
            <w:vAlign w:val="center"/>
          </w:tcPr>
          <w:p/>
        </w:tc>
        <w:tc>
          <w:tcPr>
            <w:tcW w:w="1927" w:type="dxa"/>
            <w:tcBorders>
              <w:top w:val="nil"/>
              <w:left w:val="nil"/>
              <w:bottom w:val="single" w:color="000000" w:sz="4" w:space="0"/>
              <w:right w:val="single" w:color="000000" w:sz="4" w:space="0"/>
            </w:tcBorders>
            <w:noWrap/>
            <w:vAlign w:val="center"/>
          </w:tcPr>
          <w:p/>
        </w:tc>
        <w:tc>
          <w:tcPr>
            <w:tcW w:w="1860" w:type="dxa"/>
            <w:tcBorders>
              <w:top w:val="nil"/>
              <w:left w:val="nil"/>
              <w:bottom w:val="single" w:color="000000" w:sz="4" w:space="0"/>
              <w:right w:val="single" w:color="000000" w:sz="4" w:space="0"/>
            </w:tcBorders>
            <w:noWrap/>
            <w:vAlign w:val="center"/>
          </w:tcPr>
          <w:p/>
        </w:tc>
      </w:tr>
      <w:tr>
        <w:tblPrEx>
          <w:tblCellMar>
            <w:top w:w="0" w:type="dxa"/>
            <w:left w:w="108" w:type="dxa"/>
            <w:bottom w:w="0" w:type="dxa"/>
            <w:right w:w="108" w:type="dxa"/>
          </w:tblCellMar>
        </w:tblPrEx>
        <w:trPr>
          <w:trHeight w:val="321" w:hRule="atLeast"/>
        </w:trPr>
        <w:tc>
          <w:tcPr>
            <w:tcW w:w="9815" w:type="dxa"/>
            <w:gridSpan w:val="5"/>
            <w:tcBorders>
              <w:top w:val="single" w:color="auto" w:sz="4" w:space="0"/>
              <w:left w:val="single" w:color="auto" w:sz="4" w:space="0"/>
              <w:bottom w:val="single" w:color="auto" w:sz="4" w:space="0"/>
              <w:right w:val="single" w:color="000000"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其他设施</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5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垃圾箱</w:t>
            </w:r>
          </w:p>
        </w:tc>
        <w:tc>
          <w:tcPr>
            <w:tcW w:w="1800"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16</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335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太阳能座椅</w:t>
            </w:r>
          </w:p>
        </w:tc>
        <w:tc>
          <w:tcPr>
            <w:tcW w:w="1800"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21</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3357"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吊床</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3</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321" w:hRule="atLeast"/>
        </w:trPr>
        <w:tc>
          <w:tcPr>
            <w:tcW w:w="871"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3357" w:type="dxa"/>
            <w:tcBorders>
              <w:top w:val="nil"/>
              <w:left w:val="single" w:color="000000" w:sz="4" w:space="0"/>
              <w:bottom w:val="single" w:color="000000" w:sz="4" w:space="0"/>
              <w:right w:val="single" w:color="000000"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秋千</w:t>
            </w:r>
          </w:p>
        </w:tc>
        <w:tc>
          <w:tcPr>
            <w:tcW w:w="180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个</w:t>
            </w:r>
          </w:p>
        </w:tc>
        <w:tc>
          <w:tcPr>
            <w:tcW w:w="1927"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2</w:t>
            </w:r>
          </w:p>
        </w:tc>
        <w:tc>
          <w:tcPr>
            <w:tcW w:w="1860" w:type="dxa"/>
            <w:tcBorders>
              <w:top w:val="nil"/>
              <w:left w:val="nil"/>
              <w:bottom w:val="single" w:color="000000" w:sz="4" w:space="0"/>
              <w:right w:val="single" w:color="000000" w:sz="4" w:space="0"/>
            </w:tcBorders>
            <w:noWrap/>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　</w:t>
            </w:r>
          </w:p>
        </w:tc>
      </w:tr>
    </w:tbl>
    <w:p>
      <w:pPr>
        <w:rPr>
          <w:sz w:val="28"/>
          <w:szCs w:val="28"/>
        </w:rPr>
      </w:pPr>
    </w:p>
    <w:tbl>
      <w:tblPr>
        <w:tblStyle w:val="49"/>
        <w:tblW w:w="9800" w:type="dxa"/>
        <w:tblInd w:w="108" w:type="dxa"/>
        <w:tblLayout w:type="fixed"/>
        <w:tblCellMar>
          <w:top w:w="0" w:type="dxa"/>
          <w:left w:w="108" w:type="dxa"/>
          <w:bottom w:w="0" w:type="dxa"/>
          <w:right w:w="108" w:type="dxa"/>
        </w:tblCellMar>
      </w:tblPr>
      <w:tblGrid>
        <w:gridCol w:w="854"/>
        <w:gridCol w:w="3381"/>
        <w:gridCol w:w="1800"/>
        <w:gridCol w:w="1935"/>
        <w:gridCol w:w="1830"/>
      </w:tblGrid>
      <w:tr>
        <w:tblPrEx>
          <w:tblCellMar>
            <w:top w:w="0" w:type="dxa"/>
            <w:left w:w="108" w:type="dxa"/>
            <w:bottom w:w="0" w:type="dxa"/>
            <w:right w:w="108" w:type="dxa"/>
          </w:tblCellMar>
        </w:tblPrEx>
        <w:trPr>
          <w:trHeight w:val="441" w:hRule="atLeast"/>
        </w:trPr>
        <w:tc>
          <w:tcPr>
            <w:tcW w:w="9800" w:type="dxa"/>
            <w:gridSpan w:val="5"/>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（5）综合区（先行区）洲德路（两港大道-茂海路）设施量清单</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序号</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设施名称</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单位</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数量</w:t>
            </w:r>
          </w:p>
        </w:tc>
        <w:tc>
          <w:tcPr>
            <w:tcW w:w="183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备注</w:t>
            </w:r>
          </w:p>
        </w:tc>
      </w:tr>
      <w:tr>
        <w:tblPrEx>
          <w:tblCellMar>
            <w:top w:w="0" w:type="dxa"/>
            <w:left w:w="108" w:type="dxa"/>
            <w:bottom w:w="0" w:type="dxa"/>
            <w:right w:w="108" w:type="dxa"/>
          </w:tblCellMar>
        </w:tblPrEx>
        <w:trPr>
          <w:trHeight w:val="321" w:hRule="atLeast"/>
        </w:trPr>
        <w:tc>
          <w:tcPr>
            <w:tcW w:w="6035"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保洁和巡视</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　</w:t>
            </w:r>
          </w:p>
        </w:tc>
        <w:tc>
          <w:tcPr>
            <w:tcW w:w="183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保洁和巡视</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117740</w:t>
            </w:r>
          </w:p>
        </w:tc>
        <w:tc>
          <w:tcPr>
            <w:tcW w:w="183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　</w:t>
            </w:r>
          </w:p>
        </w:tc>
      </w:tr>
      <w:tr>
        <w:tblPrEx>
          <w:tblCellMar>
            <w:top w:w="0" w:type="dxa"/>
            <w:left w:w="108" w:type="dxa"/>
            <w:bottom w:w="0" w:type="dxa"/>
            <w:right w:w="108" w:type="dxa"/>
          </w:tblCellMar>
        </w:tblPrEx>
        <w:trPr>
          <w:trHeight w:val="321" w:hRule="atLeast"/>
        </w:trPr>
        <w:tc>
          <w:tcPr>
            <w:tcW w:w="6035"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（两港大道-茂海路）绿化</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　</w:t>
            </w:r>
          </w:p>
        </w:tc>
        <w:tc>
          <w:tcPr>
            <w:tcW w:w="183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香樟</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1315</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广玉兰</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70</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榉树</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251</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香泡</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纳塔栎</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金叶水杉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266</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水杉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952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石楠树</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红花槭(十月红)</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39</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丛生朴树</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朴树A</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15</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朴树B</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83</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金枝国槐A（高接）</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314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14</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金枝国槐B（高接）</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76</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金丝垂柳</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26</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16</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乌桕</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27</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17</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实生银杏</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197</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18</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合欢</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98</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19</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北美枫香</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192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20</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黄山栾树</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107</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21</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黄连木</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22</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三角枫</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23</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巨紫荆</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18</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24</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榔榆</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25</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臭椿</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26</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红运玉兰</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210</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27</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飞黄玉兰</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46</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28</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紫玉兰</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65</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29</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大石榴</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14</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30</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紫薇A</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121</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31</w:t>
            </w:r>
          </w:p>
        </w:tc>
        <w:tc>
          <w:tcPr>
            <w:tcW w:w="3381" w:type="dxa"/>
            <w:tcBorders>
              <w:top w:val="single" w:color="auto" w:sz="4" w:space="0"/>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紫薇B</w:t>
            </w:r>
          </w:p>
        </w:tc>
        <w:tc>
          <w:tcPr>
            <w:tcW w:w="1800"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丛</w:t>
            </w:r>
          </w:p>
        </w:tc>
        <w:tc>
          <w:tcPr>
            <w:tcW w:w="1935"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510</w:t>
            </w:r>
          </w:p>
        </w:tc>
        <w:tc>
          <w:tcPr>
            <w:tcW w:w="1830" w:type="dxa"/>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32</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木槿</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丛</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77</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33</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紫丁香</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50</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34</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金桂A</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118</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35</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金桂B</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536</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36</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金桂C</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37</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杨梅</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33</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38</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红叶石楠</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1084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39</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八棱海棠</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18</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40</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垂丝海棠</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140</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41</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早樱A</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224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42</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早樱B</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83</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43</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晚樱</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202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44</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蜡梅</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60</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45</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紫荆</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170</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46</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杂种元宝枫</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155</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47</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鸡爪槭A</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58</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48</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鸡爪槭B</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140</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49</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北美海棠</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497</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50</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紫叶李A</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80</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51</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紫叶李B</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41</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52</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红枫A</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220</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53</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红枫B</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572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54</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碧桃</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68</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55</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花石榴</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114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56</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贴梗海棠</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57</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澳洲朱蕉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438</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58</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红巨人朱蕉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365</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59</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金边丝兰</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961</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60</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高杆金边丝兰</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54</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61</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凤尾兰</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660</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62</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喷雪花</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丛</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29</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63</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密实卫矛</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丛</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176</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64</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美国连翘</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丛</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65</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山麻杆</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丛</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129</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66</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金叶红瑞木</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丛</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126</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67</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穗花牡荆A</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183</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68</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穗花牡荆B</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丛</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69</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山茶</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87</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70</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造型红花檵木桩</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71</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造型罗汉松A</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23</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72</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造型罗汉松B</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73</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皮球柏</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74</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桔黄岩柏</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75</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蓝剑柏</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41</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76</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柔枝红千层</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77</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狭叶红千层</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78</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紫黄栌</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79</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红栌</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80</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高杆紫叶紫荆</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81</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棕榈</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82</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银海枣A</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197</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83</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银海枣B</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46</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84</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布迪椰子</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40</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85</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加拿利海枣</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86</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苏铁A</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167</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87</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苏铁B</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53</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88</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无刺枸骨球A</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105</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89</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无刺枸骨球B</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90</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海桐球A</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90</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91</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海桐球B</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11</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92</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龙柏球</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93</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瓜子黄杨球A</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28</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94</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瓜子黄杨球B</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95</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龟甲冬青球A</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96</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龟甲冬青球B</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97</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红叶石楠球A</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108</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98</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红叶石楠球B</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214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99</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红花继木球A</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281</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100</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红花继木球B</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63</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101</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茶梅球A</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179</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102</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茶梅球B</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95</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103</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小丑火棘球</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146</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104</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金森女贞球A</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261</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105</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金森女贞球B</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204</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106</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结香球</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107</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银姬小蜡球</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109</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108</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金边胡颓子球</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118</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109</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花叶刺桂</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110</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金边黄杨球</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45</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111</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彩叶杞柳球</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150</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112</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金禾女贞球</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72</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113</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水果兰球</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107</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114</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乌哺鸡竹</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1200</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115</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花叶芒</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丛</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154</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116</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矮蒲苇</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丛</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37</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117</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细叶芒</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丛</w:t>
            </w:r>
          </w:p>
        </w:tc>
        <w:tc>
          <w:tcPr>
            <w:tcW w:w="1935"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178</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118</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八角金盘</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3107</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119</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熊掌木</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4940</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120</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洒金桃叶珊瑚</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2588</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121</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红罗宾红叶石楠</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6712</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122</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大叶黄杨</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3028</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123</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金边黄杨</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2150</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124</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海桐</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1210</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125</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毛鹃</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5697</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126</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紫鹃</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303</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127</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红花继木</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1941</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128</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金禾女贞</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352</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129</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金森女贞</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3950</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130</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伞房决明</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110</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131</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茶梅</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727</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132</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红王子锦带花</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192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133</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彩叶杞柳</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828</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134</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匍枝亮绿忍冬</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1212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135</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矮生紫薇</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143</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136</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小丑火棘</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852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137</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银姬小腊</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38</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138</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八仙花</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11</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139</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倭海棠</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462</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140</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金焰绣线菊</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65</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141</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南天竹</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817</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142</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火焰南天竹</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693</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143</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矮生铺地柏</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144</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花叶香桃木</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98</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145</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金叶大花六道木</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696</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146</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金边胡颓子</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51</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147</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水果兰</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694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148</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绵毛水苏</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149</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墨西哥鼠尾草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482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150</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超级鼠尾草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194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151</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庭菖蒲</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48</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152</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黄菖蒲</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80</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153</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红花美人蕉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40</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154</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紫叶美人蕉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16</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155</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花叶美人蕉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128</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156</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宿根福禄考</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157</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紫花美女樱</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578</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158</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玫红美女樱</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862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159</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粉毯美女樱</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220</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160</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细裂叶美女樱</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51</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161</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粉花随意草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428</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162</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常绿萱草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490</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163</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常绿鸢尾</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2173</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164</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蛇鞭菊</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11</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165</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黄金菊</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939</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166</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大花金鸡菊</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1568</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167</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粉花松果菊</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87</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168</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银香菊</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56</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169</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千叶蓍</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170</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细叶银蒿</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11</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171</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紫娇花</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711</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172</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金叶过路黄</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59</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173</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大吴风草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160</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174</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紫叶千鸟花</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75</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175</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花叶玉簪</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176</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迷迭香</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14</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177</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佛甲草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178</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中华景天</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179</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红叶景天</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22</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180</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紫叶狼尾草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264</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181</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小兔子狼尾草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348</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182</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矮蒲苇</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27</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183</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蓝羊茅</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97</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184</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粉黛乱子草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446</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185</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水葱</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186</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木贼</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187</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花叶芦竹</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35</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188</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百子莲</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883</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189</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旱伞草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33</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190</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千屈菜</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191</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细叶芒</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815</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192</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银边麦冬</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4630</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193</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红花酢浆草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301</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194</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麦冬+二月兰</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3674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195</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细叶麦冬</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2461</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196</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金叶石菖蒲</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282</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197</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花叶芒</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105</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198</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血草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48</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199</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紫花随意草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40</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200</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八宝景天</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201</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三七景天</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202</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长穗火炬花</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86</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203</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草坪</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16165</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204</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时令花卉</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1429</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kern w:val="0"/>
                <w:sz w:val="24"/>
                <w:szCs w:val="24"/>
              </w:rPr>
              <w:t>　</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b/>
                <w:bCs/>
                <w:kern w:val="0"/>
                <w:sz w:val="24"/>
                <w:szCs w:val="24"/>
              </w:rPr>
              <w:t>景观</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kern w:val="0"/>
                <w:sz w:val="24"/>
                <w:szCs w:val="24"/>
              </w:rPr>
              <w:t>1</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塑胶跑道</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color w:val="000000"/>
                <w:kern w:val="0"/>
                <w:sz w:val="24"/>
                <w:szCs w:val="24"/>
              </w:rPr>
              <w:t>㎡</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color w:val="000000"/>
                <w:kern w:val="0"/>
                <w:sz w:val="24"/>
                <w:szCs w:val="24"/>
              </w:rPr>
              <w:t>900</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kern w:val="0"/>
                <w:sz w:val="24"/>
                <w:szCs w:val="24"/>
              </w:rPr>
              <w:t>　</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color w:val="000000"/>
                <w:kern w:val="0"/>
                <w:sz w:val="24"/>
                <w:szCs w:val="24"/>
              </w:rPr>
              <w:t>　</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color w:val="000000"/>
                <w:kern w:val="0"/>
                <w:sz w:val="24"/>
                <w:szCs w:val="24"/>
              </w:rPr>
              <w:t>　</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kern w:val="0"/>
                <w:sz w:val="24"/>
                <w:szCs w:val="24"/>
              </w:rPr>
              <w:t>　</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b/>
                <w:bCs/>
                <w:kern w:val="0"/>
                <w:sz w:val="24"/>
                <w:szCs w:val="24"/>
              </w:rPr>
              <w:t>其他</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kern w:val="0"/>
                <w:sz w:val="24"/>
                <w:szCs w:val="24"/>
              </w:rPr>
              <w:t>1</w:t>
            </w: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电箱</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套</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p>
        </w:tc>
        <w:tc>
          <w:tcPr>
            <w:tcW w:w="338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szCs w:val="24"/>
              </w:rPr>
            </w:pP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kern w:val="0"/>
                <w:sz w:val="24"/>
                <w:szCs w:val="24"/>
              </w:rPr>
            </w:pP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p>
        </w:tc>
      </w:tr>
      <w:tr>
        <w:tblPrEx>
          <w:tblCellMar>
            <w:top w:w="0" w:type="dxa"/>
            <w:left w:w="108" w:type="dxa"/>
            <w:bottom w:w="0" w:type="dxa"/>
            <w:right w:w="108" w:type="dxa"/>
          </w:tblCellMar>
        </w:tblPrEx>
        <w:trPr>
          <w:trHeight w:val="321" w:hRule="atLeast"/>
        </w:trPr>
        <w:tc>
          <w:tcPr>
            <w:tcW w:w="6035"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洲德路 (茂海路-润荷路)绿化</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　</w:t>
            </w:r>
          </w:p>
        </w:tc>
        <w:tc>
          <w:tcPr>
            <w:tcW w:w="183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湿地松</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164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2</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罗汉松</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227</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3</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红叶李</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145</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4</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海滨木槿</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93</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棣棠</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157</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w:t>
            </w:r>
          </w:p>
        </w:tc>
        <w:tc>
          <w:tcPr>
            <w:tcW w:w="338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凤尾兰</w:t>
            </w:r>
          </w:p>
        </w:tc>
        <w:tc>
          <w:tcPr>
            <w:tcW w:w="1800"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株</w:t>
            </w:r>
          </w:p>
        </w:tc>
        <w:tc>
          <w:tcPr>
            <w:tcW w:w="1935"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785</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7</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锦带花</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493</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8</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马蔺</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971</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9</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迎春</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2083</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10</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鸢尾</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1413</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11</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云南黄馨</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536</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12</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红叶石楠</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66</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13</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金丝桃</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138</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14</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细叶芒</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212</w:t>
            </w:r>
          </w:p>
        </w:tc>
        <w:tc>
          <w:tcPr>
            <w:tcW w:w="1830" w:type="dxa"/>
            <w:tcBorders>
              <w:top w:val="nil"/>
              <w:left w:val="nil"/>
              <w:bottom w:val="single" w:color="auto" w:sz="4" w:space="0"/>
              <w:right w:val="single" w:color="auto" w:sz="4" w:space="0"/>
            </w:tcBorders>
            <w:noWrap/>
            <w:vAlign w:val="center"/>
          </w:tcPr>
          <w:p>
            <w:pPr>
              <w:widowControl/>
              <w:jc w:val="left"/>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15</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紫穗狼尾草</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394</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16</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蔓长春花</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397</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17</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麦冬</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123</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18</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葱兰</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590</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r>
        <w:tblPrEx>
          <w:tblCellMar>
            <w:top w:w="0" w:type="dxa"/>
            <w:left w:w="108" w:type="dxa"/>
            <w:bottom w:w="0" w:type="dxa"/>
            <w:right w:w="108" w:type="dxa"/>
          </w:tblCellMar>
        </w:tblPrEx>
        <w:trPr>
          <w:trHeight w:val="321" w:hRule="atLeast"/>
        </w:trPr>
        <w:tc>
          <w:tcPr>
            <w:tcW w:w="85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19</w:t>
            </w:r>
          </w:p>
        </w:tc>
        <w:tc>
          <w:tcPr>
            <w:tcW w:w="3381"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草坪</w:t>
            </w:r>
          </w:p>
        </w:tc>
        <w:tc>
          <w:tcPr>
            <w:tcW w:w="180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35" w:type="dxa"/>
            <w:tcBorders>
              <w:top w:val="nil"/>
              <w:left w:val="nil"/>
              <w:bottom w:val="single" w:color="auto" w:sz="4" w:space="0"/>
              <w:right w:val="single" w:color="auto" w:sz="4" w:space="0"/>
            </w:tcBorders>
            <w:noWrap/>
            <w:vAlign w:val="bottom"/>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265</w:t>
            </w:r>
          </w:p>
        </w:tc>
        <w:tc>
          <w:tcPr>
            <w:tcW w:w="183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szCs w:val="24"/>
              </w:rPr>
            </w:pPr>
            <w:r>
              <w:rPr>
                <w:rFonts w:hint="eastAsia" w:ascii="宋体" w:hAnsi="宋体" w:cs="宋体"/>
                <w:color w:val="000000"/>
                <w:kern w:val="0"/>
                <w:sz w:val="24"/>
                <w:szCs w:val="24"/>
              </w:rPr>
              <w:t>　</w:t>
            </w:r>
          </w:p>
        </w:tc>
      </w:tr>
    </w:tbl>
    <w:p>
      <w:pPr>
        <w:rPr>
          <w:sz w:val="28"/>
          <w:szCs w:val="28"/>
        </w:rPr>
      </w:pPr>
    </w:p>
    <w:tbl>
      <w:tblPr>
        <w:tblStyle w:val="49"/>
        <w:tblW w:w="9718" w:type="dxa"/>
        <w:tblInd w:w="108" w:type="dxa"/>
        <w:tblLayout w:type="fixed"/>
        <w:tblCellMar>
          <w:top w:w="0" w:type="dxa"/>
          <w:left w:w="108" w:type="dxa"/>
          <w:bottom w:w="0" w:type="dxa"/>
          <w:right w:w="108" w:type="dxa"/>
        </w:tblCellMar>
      </w:tblPr>
      <w:tblGrid>
        <w:gridCol w:w="852"/>
        <w:gridCol w:w="3368"/>
        <w:gridCol w:w="1830"/>
        <w:gridCol w:w="1928"/>
        <w:gridCol w:w="1740"/>
      </w:tblGrid>
      <w:tr>
        <w:tblPrEx>
          <w:tblCellMar>
            <w:top w:w="0" w:type="dxa"/>
            <w:left w:w="108" w:type="dxa"/>
            <w:bottom w:w="0" w:type="dxa"/>
            <w:right w:w="108" w:type="dxa"/>
          </w:tblCellMar>
        </w:tblPrEx>
        <w:trPr>
          <w:trHeight w:val="441" w:hRule="atLeast"/>
        </w:trPr>
        <w:tc>
          <w:tcPr>
            <w:tcW w:w="9718" w:type="dxa"/>
            <w:gridSpan w:val="5"/>
            <w:tcBorders>
              <w:top w:val="nil"/>
              <w:left w:val="nil"/>
              <w:bottom w:val="single" w:color="auto" w:sz="4" w:space="0"/>
              <w:right w:val="nil"/>
            </w:tcBorders>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（6）茂海路(银涛路-东大公路)道路附属绿化施量清单</w:t>
            </w:r>
          </w:p>
        </w:tc>
      </w:tr>
      <w:tr>
        <w:tblPrEx>
          <w:tblCellMar>
            <w:top w:w="0" w:type="dxa"/>
            <w:left w:w="108" w:type="dxa"/>
            <w:bottom w:w="0" w:type="dxa"/>
            <w:right w:w="108" w:type="dxa"/>
          </w:tblCellMar>
        </w:tblPrEx>
        <w:trPr>
          <w:trHeight w:val="321" w:hRule="atLeast"/>
        </w:trPr>
        <w:tc>
          <w:tcPr>
            <w:tcW w:w="85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序号</w:t>
            </w:r>
          </w:p>
        </w:tc>
        <w:tc>
          <w:tcPr>
            <w:tcW w:w="336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名称</w:t>
            </w:r>
          </w:p>
        </w:tc>
        <w:tc>
          <w:tcPr>
            <w:tcW w:w="183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单位</w:t>
            </w:r>
          </w:p>
        </w:tc>
        <w:tc>
          <w:tcPr>
            <w:tcW w:w="1928"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数量</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备注</w:t>
            </w:r>
          </w:p>
        </w:tc>
      </w:tr>
      <w:tr>
        <w:tblPrEx>
          <w:tblCellMar>
            <w:top w:w="0" w:type="dxa"/>
            <w:left w:w="108" w:type="dxa"/>
            <w:bottom w:w="0" w:type="dxa"/>
            <w:right w:w="108" w:type="dxa"/>
          </w:tblCellMar>
        </w:tblPrEx>
        <w:trPr>
          <w:trHeight w:val="321" w:hRule="atLeast"/>
        </w:trPr>
        <w:tc>
          <w:tcPr>
            <w:tcW w:w="605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保洁与巡视</w:t>
            </w:r>
          </w:p>
        </w:tc>
        <w:tc>
          <w:tcPr>
            <w:tcW w:w="192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6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保洁和巡视</w:t>
            </w:r>
          </w:p>
        </w:tc>
        <w:tc>
          <w:tcPr>
            <w:tcW w:w="183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85018.82</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605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绿化</w:t>
            </w:r>
          </w:p>
        </w:tc>
        <w:tc>
          <w:tcPr>
            <w:tcW w:w="192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68"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女贞</w:t>
            </w:r>
          </w:p>
        </w:tc>
        <w:tc>
          <w:tcPr>
            <w:tcW w:w="1830"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8"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908</w:t>
            </w:r>
          </w:p>
        </w:tc>
        <w:tc>
          <w:tcPr>
            <w:tcW w:w="1740"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336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黄山栾树B</w:t>
            </w:r>
          </w:p>
        </w:tc>
        <w:tc>
          <w:tcPr>
            <w:tcW w:w="183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619</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336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金丝柳</w:t>
            </w:r>
          </w:p>
        </w:tc>
        <w:tc>
          <w:tcPr>
            <w:tcW w:w="183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442</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336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夹竹桃</w:t>
            </w:r>
          </w:p>
        </w:tc>
        <w:tc>
          <w:tcPr>
            <w:tcW w:w="183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3035</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w:t>
            </w:r>
          </w:p>
        </w:tc>
        <w:tc>
          <w:tcPr>
            <w:tcW w:w="336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枸骨</w:t>
            </w:r>
          </w:p>
        </w:tc>
        <w:tc>
          <w:tcPr>
            <w:tcW w:w="183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6191</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w:t>
            </w:r>
          </w:p>
        </w:tc>
        <w:tc>
          <w:tcPr>
            <w:tcW w:w="336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八角金盘</w:t>
            </w:r>
          </w:p>
        </w:tc>
        <w:tc>
          <w:tcPr>
            <w:tcW w:w="183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5983</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w:t>
            </w:r>
          </w:p>
        </w:tc>
        <w:tc>
          <w:tcPr>
            <w:tcW w:w="336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大吴风草</w:t>
            </w:r>
          </w:p>
        </w:tc>
        <w:tc>
          <w:tcPr>
            <w:tcW w:w="183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9304</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w:t>
            </w:r>
          </w:p>
        </w:tc>
        <w:tc>
          <w:tcPr>
            <w:tcW w:w="336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红叶石楠</w:t>
            </w:r>
          </w:p>
        </w:tc>
        <w:tc>
          <w:tcPr>
            <w:tcW w:w="183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2932</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w:t>
            </w:r>
          </w:p>
        </w:tc>
        <w:tc>
          <w:tcPr>
            <w:tcW w:w="336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金森女贞</w:t>
            </w:r>
          </w:p>
        </w:tc>
        <w:tc>
          <w:tcPr>
            <w:tcW w:w="183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994</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w:t>
            </w:r>
          </w:p>
        </w:tc>
        <w:tc>
          <w:tcPr>
            <w:tcW w:w="336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阔叶麦冬</w:t>
            </w:r>
          </w:p>
        </w:tc>
        <w:tc>
          <w:tcPr>
            <w:tcW w:w="183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17418</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11</w:t>
            </w:r>
          </w:p>
        </w:tc>
        <w:tc>
          <w:tcPr>
            <w:tcW w:w="336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芦苇</w:t>
            </w:r>
          </w:p>
        </w:tc>
        <w:tc>
          <w:tcPr>
            <w:tcW w:w="183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1349</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w:t>
            </w:r>
          </w:p>
        </w:tc>
        <w:tc>
          <w:tcPr>
            <w:tcW w:w="336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水生美人蕉</w:t>
            </w:r>
          </w:p>
        </w:tc>
        <w:tc>
          <w:tcPr>
            <w:tcW w:w="183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1022</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2"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13</w:t>
            </w:r>
          </w:p>
        </w:tc>
        <w:tc>
          <w:tcPr>
            <w:tcW w:w="336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草坪</w:t>
            </w:r>
          </w:p>
        </w:tc>
        <w:tc>
          <w:tcPr>
            <w:tcW w:w="183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8"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21468</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bl>
    <w:p>
      <w:pPr>
        <w:rPr>
          <w:sz w:val="28"/>
          <w:szCs w:val="28"/>
        </w:rPr>
      </w:pPr>
    </w:p>
    <w:tbl>
      <w:tblPr>
        <w:tblStyle w:val="49"/>
        <w:tblW w:w="9725" w:type="dxa"/>
        <w:tblInd w:w="108" w:type="dxa"/>
        <w:tblLayout w:type="fixed"/>
        <w:tblCellMar>
          <w:top w:w="0" w:type="dxa"/>
          <w:left w:w="108" w:type="dxa"/>
          <w:bottom w:w="0" w:type="dxa"/>
          <w:right w:w="108" w:type="dxa"/>
        </w:tblCellMar>
      </w:tblPr>
      <w:tblGrid>
        <w:gridCol w:w="859"/>
        <w:gridCol w:w="3354"/>
        <w:gridCol w:w="1860"/>
        <w:gridCol w:w="1927"/>
        <w:gridCol w:w="1725"/>
      </w:tblGrid>
      <w:tr>
        <w:tblPrEx>
          <w:tblCellMar>
            <w:top w:w="0" w:type="dxa"/>
            <w:left w:w="108" w:type="dxa"/>
            <w:bottom w:w="0" w:type="dxa"/>
            <w:right w:w="108" w:type="dxa"/>
          </w:tblCellMar>
        </w:tblPrEx>
        <w:trPr>
          <w:trHeight w:val="441" w:hRule="atLeast"/>
        </w:trPr>
        <w:tc>
          <w:tcPr>
            <w:tcW w:w="9725" w:type="dxa"/>
            <w:gridSpan w:val="5"/>
            <w:tcBorders>
              <w:top w:val="nil"/>
              <w:left w:val="nil"/>
              <w:bottom w:val="single" w:color="auto" w:sz="4" w:space="0"/>
              <w:right w:val="nil"/>
            </w:tcBorders>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（7）洲涛路(茂海路-世纪塘路)道路附属绿化施量清单</w:t>
            </w:r>
          </w:p>
        </w:tc>
      </w:tr>
      <w:tr>
        <w:tblPrEx>
          <w:tblCellMar>
            <w:top w:w="0" w:type="dxa"/>
            <w:left w:w="108" w:type="dxa"/>
            <w:bottom w:w="0" w:type="dxa"/>
            <w:right w:w="108" w:type="dxa"/>
          </w:tblCellMar>
        </w:tblPrEx>
        <w:trPr>
          <w:trHeight w:val="321"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序号</w:t>
            </w:r>
          </w:p>
        </w:tc>
        <w:tc>
          <w:tcPr>
            <w:tcW w:w="3354"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名称</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单位</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数量</w:t>
            </w:r>
          </w:p>
        </w:tc>
        <w:tc>
          <w:tcPr>
            <w:tcW w:w="1725"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备注</w:t>
            </w:r>
          </w:p>
        </w:tc>
      </w:tr>
      <w:tr>
        <w:tblPrEx>
          <w:tblCellMar>
            <w:top w:w="0" w:type="dxa"/>
            <w:left w:w="108" w:type="dxa"/>
            <w:bottom w:w="0" w:type="dxa"/>
            <w:right w:w="108" w:type="dxa"/>
          </w:tblCellMar>
        </w:tblPrEx>
        <w:trPr>
          <w:trHeight w:val="321" w:hRule="atLeast"/>
        </w:trPr>
        <w:tc>
          <w:tcPr>
            <w:tcW w:w="607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保洁与巡视</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72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54"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保洁和巡视</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46827</w:t>
            </w:r>
          </w:p>
        </w:tc>
        <w:tc>
          <w:tcPr>
            <w:tcW w:w="172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607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绿化</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72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54"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香樟</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429</w:t>
            </w:r>
          </w:p>
        </w:tc>
        <w:tc>
          <w:tcPr>
            <w:tcW w:w="172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3354"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无患子</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193</w:t>
            </w:r>
          </w:p>
        </w:tc>
        <w:tc>
          <w:tcPr>
            <w:tcW w:w="172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3354"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黄山栾树B</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217</w:t>
            </w:r>
          </w:p>
        </w:tc>
        <w:tc>
          <w:tcPr>
            <w:tcW w:w="172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3354"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金丝柳</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226</w:t>
            </w:r>
          </w:p>
        </w:tc>
        <w:tc>
          <w:tcPr>
            <w:tcW w:w="172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w:t>
            </w:r>
          </w:p>
        </w:tc>
        <w:tc>
          <w:tcPr>
            <w:tcW w:w="3354"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海桐</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2619</w:t>
            </w:r>
          </w:p>
        </w:tc>
        <w:tc>
          <w:tcPr>
            <w:tcW w:w="172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w:t>
            </w:r>
          </w:p>
        </w:tc>
        <w:tc>
          <w:tcPr>
            <w:tcW w:w="3354"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红叶石楠</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654</w:t>
            </w:r>
          </w:p>
        </w:tc>
        <w:tc>
          <w:tcPr>
            <w:tcW w:w="172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w:t>
            </w:r>
          </w:p>
        </w:tc>
        <w:tc>
          <w:tcPr>
            <w:tcW w:w="3354"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金森女贞</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811</w:t>
            </w:r>
          </w:p>
        </w:tc>
        <w:tc>
          <w:tcPr>
            <w:tcW w:w="172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w:t>
            </w:r>
          </w:p>
        </w:tc>
        <w:tc>
          <w:tcPr>
            <w:tcW w:w="3354"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芦苇</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1080</w:t>
            </w:r>
          </w:p>
        </w:tc>
        <w:tc>
          <w:tcPr>
            <w:tcW w:w="172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w:t>
            </w:r>
          </w:p>
        </w:tc>
        <w:tc>
          <w:tcPr>
            <w:tcW w:w="3354"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水生美人蕉</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894</w:t>
            </w:r>
          </w:p>
        </w:tc>
        <w:tc>
          <w:tcPr>
            <w:tcW w:w="172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w:t>
            </w:r>
          </w:p>
        </w:tc>
        <w:tc>
          <w:tcPr>
            <w:tcW w:w="3354"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金娃娃萱草</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3757</w:t>
            </w:r>
          </w:p>
        </w:tc>
        <w:tc>
          <w:tcPr>
            <w:tcW w:w="172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11</w:t>
            </w:r>
          </w:p>
        </w:tc>
        <w:tc>
          <w:tcPr>
            <w:tcW w:w="3354"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葱兰</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3757</w:t>
            </w:r>
          </w:p>
        </w:tc>
        <w:tc>
          <w:tcPr>
            <w:tcW w:w="172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w:t>
            </w:r>
          </w:p>
        </w:tc>
        <w:tc>
          <w:tcPr>
            <w:tcW w:w="3354"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鸢尾</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2655</w:t>
            </w:r>
          </w:p>
        </w:tc>
        <w:tc>
          <w:tcPr>
            <w:tcW w:w="172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13</w:t>
            </w:r>
          </w:p>
        </w:tc>
        <w:tc>
          <w:tcPr>
            <w:tcW w:w="3354"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吉祥草</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2655</w:t>
            </w:r>
          </w:p>
        </w:tc>
        <w:tc>
          <w:tcPr>
            <w:tcW w:w="172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21"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14</w:t>
            </w:r>
          </w:p>
        </w:tc>
        <w:tc>
          <w:tcPr>
            <w:tcW w:w="3354"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草坪</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27"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22917</w:t>
            </w:r>
          </w:p>
        </w:tc>
        <w:tc>
          <w:tcPr>
            <w:tcW w:w="1725"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bl>
    <w:p>
      <w:pPr>
        <w:rPr>
          <w:sz w:val="28"/>
          <w:szCs w:val="28"/>
        </w:rPr>
      </w:pPr>
    </w:p>
    <w:tbl>
      <w:tblPr>
        <w:tblStyle w:val="49"/>
        <w:tblW w:w="9725" w:type="dxa"/>
        <w:tblInd w:w="108" w:type="dxa"/>
        <w:tblLayout w:type="fixed"/>
        <w:tblCellMar>
          <w:top w:w="0" w:type="dxa"/>
          <w:left w:w="108" w:type="dxa"/>
          <w:bottom w:w="0" w:type="dxa"/>
          <w:right w:w="108" w:type="dxa"/>
        </w:tblCellMar>
      </w:tblPr>
      <w:tblGrid>
        <w:gridCol w:w="837"/>
        <w:gridCol w:w="3361"/>
        <w:gridCol w:w="1882"/>
        <w:gridCol w:w="1913"/>
        <w:gridCol w:w="1732"/>
      </w:tblGrid>
      <w:tr>
        <w:tblPrEx>
          <w:tblCellMar>
            <w:top w:w="0" w:type="dxa"/>
            <w:left w:w="108" w:type="dxa"/>
            <w:bottom w:w="0" w:type="dxa"/>
            <w:right w:w="108" w:type="dxa"/>
          </w:tblCellMar>
        </w:tblPrEx>
        <w:trPr>
          <w:trHeight w:val="441" w:hRule="atLeast"/>
        </w:trPr>
        <w:tc>
          <w:tcPr>
            <w:tcW w:w="9725" w:type="dxa"/>
            <w:gridSpan w:val="5"/>
            <w:tcBorders>
              <w:top w:val="nil"/>
              <w:left w:val="nil"/>
              <w:bottom w:val="single" w:color="auto" w:sz="4" w:space="0"/>
              <w:right w:val="nil"/>
            </w:tcBorders>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（8）润荷路(</w:t>
            </w:r>
            <w:r>
              <w:rPr>
                <w:rFonts w:hint="eastAsia"/>
              </w:rPr>
              <w:t>银涛路-三三公路</w:t>
            </w:r>
            <w:r>
              <w:rPr>
                <w:rFonts w:hint="eastAsia" w:ascii="宋体" w:hAnsi="宋体" w:cs="宋体"/>
                <w:b/>
                <w:bCs/>
                <w:kern w:val="0"/>
                <w:sz w:val="24"/>
                <w:szCs w:val="24"/>
              </w:rPr>
              <w:t>)道路附属绿化施量清单</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序号</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名称</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单位</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数量</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备注</w:t>
            </w:r>
          </w:p>
        </w:tc>
      </w:tr>
      <w:tr>
        <w:tblPrEx>
          <w:tblCellMar>
            <w:top w:w="0" w:type="dxa"/>
            <w:left w:w="108" w:type="dxa"/>
            <w:bottom w:w="0" w:type="dxa"/>
            <w:right w:w="108" w:type="dxa"/>
          </w:tblCellMar>
        </w:tblPrEx>
        <w:trPr>
          <w:trHeight w:val="441" w:hRule="atLeast"/>
        </w:trPr>
        <w:tc>
          <w:tcPr>
            <w:tcW w:w="608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保洁与巡视</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保洁和巡视</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14317.2</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608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绿化</w:t>
            </w:r>
          </w:p>
        </w:tc>
        <w:tc>
          <w:tcPr>
            <w:tcW w:w="1913"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732"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61"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女贞</w:t>
            </w:r>
          </w:p>
        </w:tc>
        <w:tc>
          <w:tcPr>
            <w:tcW w:w="1882"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株</w:t>
            </w:r>
          </w:p>
        </w:tc>
        <w:tc>
          <w:tcPr>
            <w:tcW w:w="1913"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160</w:t>
            </w:r>
          </w:p>
        </w:tc>
        <w:tc>
          <w:tcPr>
            <w:tcW w:w="1732"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无患子</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株</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85</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乌桕</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株</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82</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湿地松</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株</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73</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合欢</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株</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91</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海滨木槿</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株</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131</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棣棠</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株</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263</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伞房决明</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株</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166</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红千层球</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株</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141</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海桐</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937</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11</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红叶石楠</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235</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金叶女贞</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537</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13</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绣线菊</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1384</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14</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金丝桃</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1529</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15</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锦带花</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423</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胡颓子</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325</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17</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单叶蔓荆</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1133</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18</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蔓长春花</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253</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19</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马蔺</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483</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20</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鸢尾</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415</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21</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麦冬</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74</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22</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葱兰</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516</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441" w:hRule="atLeast"/>
        </w:trPr>
        <w:tc>
          <w:tcPr>
            <w:tcW w:w="837"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23</w:t>
            </w:r>
          </w:p>
        </w:tc>
        <w:tc>
          <w:tcPr>
            <w:tcW w:w="3361"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草坪</w:t>
            </w:r>
          </w:p>
        </w:tc>
        <w:tc>
          <w:tcPr>
            <w:tcW w:w="188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w:t>
            </w:r>
          </w:p>
        </w:tc>
        <w:tc>
          <w:tcPr>
            <w:tcW w:w="1913"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4979</w:t>
            </w:r>
          </w:p>
        </w:tc>
        <w:tc>
          <w:tcPr>
            <w:tcW w:w="173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bl>
    <w:p>
      <w:pPr>
        <w:rPr>
          <w:sz w:val="28"/>
          <w:szCs w:val="28"/>
        </w:rPr>
      </w:pPr>
    </w:p>
    <w:tbl>
      <w:tblPr>
        <w:tblStyle w:val="49"/>
        <w:tblW w:w="9740" w:type="dxa"/>
        <w:tblInd w:w="108" w:type="dxa"/>
        <w:tblLayout w:type="fixed"/>
        <w:tblCellMar>
          <w:top w:w="0" w:type="dxa"/>
          <w:left w:w="108" w:type="dxa"/>
          <w:bottom w:w="0" w:type="dxa"/>
          <w:right w:w="108" w:type="dxa"/>
        </w:tblCellMar>
      </w:tblPr>
      <w:tblGrid>
        <w:gridCol w:w="859"/>
        <w:gridCol w:w="3369"/>
        <w:gridCol w:w="1860"/>
        <w:gridCol w:w="1912"/>
        <w:gridCol w:w="1740"/>
      </w:tblGrid>
      <w:tr>
        <w:tblPrEx>
          <w:tblCellMar>
            <w:top w:w="0" w:type="dxa"/>
            <w:left w:w="108" w:type="dxa"/>
            <w:bottom w:w="0" w:type="dxa"/>
            <w:right w:w="108" w:type="dxa"/>
          </w:tblCellMar>
        </w:tblPrEx>
        <w:trPr>
          <w:trHeight w:val="441" w:hRule="atLeast"/>
        </w:trPr>
        <w:tc>
          <w:tcPr>
            <w:tcW w:w="9740" w:type="dxa"/>
            <w:gridSpan w:val="5"/>
            <w:tcBorders>
              <w:top w:val="nil"/>
              <w:left w:val="nil"/>
              <w:bottom w:val="single" w:color="auto" w:sz="4" w:space="0"/>
              <w:right w:val="nil"/>
            </w:tcBorders>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（9）凯汇路(丹漪路-银涛路)道路附属绿化施量清单</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序号</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名称</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单位</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数量</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备注</w:t>
            </w:r>
          </w:p>
        </w:tc>
      </w:tr>
      <w:tr>
        <w:tblPrEx>
          <w:tblCellMar>
            <w:top w:w="0" w:type="dxa"/>
            <w:left w:w="108" w:type="dxa"/>
            <w:bottom w:w="0" w:type="dxa"/>
            <w:right w:w="108" w:type="dxa"/>
          </w:tblCellMar>
        </w:tblPrEx>
        <w:trPr>
          <w:trHeight w:val="300" w:hRule="atLeast"/>
        </w:trPr>
        <w:tc>
          <w:tcPr>
            <w:tcW w:w="6088"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保洁与巡视</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保洁和巡视</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12515</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6088"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b/>
                <w:bCs/>
                <w:kern w:val="0"/>
                <w:sz w:val="24"/>
                <w:szCs w:val="24"/>
              </w:rPr>
            </w:pPr>
            <w:r>
              <w:rPr>
                <w:rFonts w:hint="eastAsia" w:ascii="宋体" w:hAnsi="宋体" w:cs="宋体"/>
                <w:b/>
                <w:bCs/>
                <w:kern w:val="0"/>
                <w:sz w:val="24"/>
                <w:szCs w:val="24"/>
              </w:rPr>
              <w:t>绿化</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红枫B</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红枫</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18</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鸡爪槭A</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26</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鸡爪槭B</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24</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香樟B</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161</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日本早樱B</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日本早樱</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136</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大石榴</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19</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金枝槐A</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35</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金枝槐B</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11</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榔榆</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12</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杂种元宝枫</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38</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13</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从生乌桕B</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14</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从生乌桕A</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15</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丛生胡柚A</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丛生胡柚B</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17</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合欢</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16</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18</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朴树B</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27</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19</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丛生朴树</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20</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杨梅</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66</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21</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碧桃</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156</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22</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紫薇B</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49</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23</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金桂B</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80</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24</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金桂C</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50</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25</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黄山栾树</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77</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26</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红叶石楠球a</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62</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27</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红叶石楠球b</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85</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28</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金森女贞球</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49</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29</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金森女贞球b</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109</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30</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茶梅球</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139</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31</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苏铁A</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30</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32</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细叶芒</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32</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33</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矮蒲苇</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40</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34</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花叶芒</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32</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35</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红花继木</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株</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30</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36</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金森女贞</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250</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37</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矮生紫薇</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960</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38</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紫娇花</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986</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39</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吉祥草</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72</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40</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红罗宾石楠</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190</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41</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毛娟</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2871</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42</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南天竹</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1328</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43</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金叶石菖蒲</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342</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44</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洒金珊瑚</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350</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45</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佛甲草</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184</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46</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黄金菊</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397</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47</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茶梅球</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405</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48</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熊掌木</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305</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49</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草坪</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422</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50</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八角金盘</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2977</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51</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红花满天星</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291</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52</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鹅卵石</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587</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53</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河石组合</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组</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500</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54</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黑石组合</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组</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50</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r>
        <w:tblPrEx>
          <w:tblCellMar>
            <w:top w:w="0" w:type="dxa"/>
            <w:left w:w="108" w:type="dxa"/>
            <w:bottom w:w="0" w:type="dxa"/>
            <w:right w:w="108" w:type="dxa"/>
          </w:tblCellMar>
        </w:tblPrEx>
        <w:trPr>
          <w:trHeight w:val="300" w:hRule="atLeast"/>
        </w:trPr>
        <w:tc>
          <w:tcPr>
            <w:tcW w:w="859"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55</w:t>
            </w:r>
          </w:p>
        </w:tc>
        <w:tc>
          <w:tcPr>
            <w:tcW w:w="3369"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黑山石组合</w:t>
            </w:r>
          </w:p>
        </w:tc>
        <w:tc>
          <w:tcPr>
            <w:tcW w:w="186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组</w:t>
            </w:r>
          </w:p>
        </w:tc>
        <w:tc>
          <w:tcPr>
            <w:tcW w:w="1912"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1740" w:type="dxa"/>
            <w:tcBorders>
              <w:top w:val="nil"/>
              <w:left w:val="nil"/>
              <w:bottom w:val="single" w:color="auto" w:sz="4" w:space="0"/>
              <w:right w:val="single" w:color="auto" w:sz="4" w:space="0"/>
            </w:tcBorders>
            <w:noWrap/>
            <w:vAlign w:val="center"/>
          </w:tcPr>
          <w:p>
            <w:pPr>
              <w:widowControl/>
              <w:jc w:val="center"/>
              <w:rPr>
                <w:rFonts w:hint="eastAsia" w:ascii="宋体" w:hAnsi="宋体" w:cs="宋体"/>
                <w:kern w:val="0"/>
                <w:sz w:val="24"/>
                <w:szCs w:val="24"/>
              </w:rPr>
            </w:pPr>
            <w:r>
              <w:rPr>
                <w:rFonts w:hint="eastAsia" w:ascii="宋体" w:hAnsi="宋体" w:cs="宋体"/>
                <w:kern w:val="0"/>
                <w:sz w:val="24"/>
                <w:szCs w:val="24"/>
              </w:rPr>
              <w:t>　</w:t>
            </w:r>
          </w:p>
        </w:tc>
      </w:tr>
    </w:tbl>
    <w:p>
      <w:pPr>
        <w:tabs>
          <w:tab w:val="left" w:pos="3060"/>
        </w:tabs>
        <w:spacing w:line="360" w:lineRule="auto"/>
        <w:ind w:firstLine="480" w:firstLineChars="200"/>
        <w:contextualSpacing/>
        <w:rPr>
          <w:sz w:val="24"/>
          <w:szCs w:val="24"/>
        </w:rPr>
      </w:pP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49"/>
    <w:bookmarkEnd w:id="50"/>
    <w:p>
      <w:pPr>
        <w:pStyle w:val="19"/>
        <w:spacing w:line="360" w:lineRule="auto"/>
        <w:contextualSpacing/>
        <w:rPr>
          <w:sz w:val="24"/>
          <w:szCs w:val="24"/>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Courier">
    <w:altName w:val="Courier New"/>
    <w:panose1 w:val="02070409020205020404"/>
    <w:charset w:val="00"/>
    <w:family w:val="modern"/>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方正魏碑简体">
    <w:panose1 w:val="03000509000000000000"/>
    <w:charset w:val="86"/>
    <w:family w:val="roman"/>
    <w:pitch w:val="default"/>
    <w:sig w:usb0="00000001" w:usb1="080E0000" w:usb2="00000000" w:usb3="00000000" w:csb0="00040000" w:csb1="00000000"/>
  </w:font>
  <w:font w:name="Consolas">
    <w:panose1 w:val="020B0609020204030204"/>
    <w:charset w:val="00"/>
    <w:family w:val="modern"/>
    <w:pitch w:val="default"/>
    <w:sig w:usb0="E10002FF" w:usb1="4000FCFF" w:usb2="00000009" w:usb3="00000000" w:csb0="6000019F" w:csb1="DFD70000"/>
  </w:font>
  <w:font w:name="Verdana">
    <w:altName w:val="Indeal Pro 1.23"/>
    <w:panose1 w:val="020B0604030504040204"/>
    <w:charset w:val="00"/>
    <w:family w:val="swiss"/>
    <w:pitch w:val="default"/>
    <w:sig w:usb0="00000000" w:usb1="00000000" w:usb2="00000010" w:usb3="00000000" w:csb0="2000019F" w:csb1="00000000"/>
  </w:font>
  <w:font w:name="Indeal Pro 1.23">
    <w:panose1 w:val="020B0604030504040204"/>
    <w:charset w:val="00"/>
    <w:family w:val="auto"/>
    <w:pitch w:val="default"/>
    <w:sig w:usb0="00000287" w:usb1="00000000" w:usb2="00000000" w:usb3="00000000" w:csb0="2000019F" w:csb1="00000000"/>
  </w:font>
  <w:font w:name="Arial Unicode MS">
    <w:panose1 w:val="020B0604020202020204"/>
    <w:charset w:val="86"/>
    <w:family w:val="roman"/>
    <w:pitch w:val="default"/>
    <w:sig w:usb0="FFFFFFFF" w:usb1="E9FFFFFF" w:usb2="0000003F" w:usb3="00000000" w:csb0="601F00FF" w:csb1="FFFF0000"/>
  </w:font>
  <w:font w:name="华文仿宋">
    <w:panose1 w:val="02010600040101010101"/>
    <w:charset w:val="86"/>
    <w:family w:val="auto"/>
    <w:pitch w:val="default"/>
    <w:sig w:usb0="00000287" w:usb1="080F0000" w:usb2="00000000" w:usb3="00000000" w:csb0="0004009F" w:csb1="DFD70000"/>
  </w:font>
  <w:font w:name="Tahoma">
    <w:altName w:val="DejaVu Sans"/>
    <w:panose1 w:val="020B0604030504040204"/>
    <w:charset w:val="00"/>
    <w:family w:val="swiss"/>
    <w:pitch w:val="default"/>
    <w:sig w:usb0="00000000" w:usb1="00000000" w:usb2="00000029" w:usb3="00000000" w:csb0="200101FF" w:csb1="20280000"/>
  </w:font>
  <w:font w:name="DejaVu Sans">
    <w:panose1 w:val="020B0603030804020204"/>
    <w:charset w:val="00"/>
    <w:family w:val="auto"/>
    <w:pitch w:val="default"/>
    <w:sig w:usb0="E7006EFF" w:usb1="D200FDFF" w:usb2="0A246029" w:usb3="0400200C" w:csb0="600001FF" w:csb1="DFFF0000"/>
  </w:font>
  <w:font w:name="Arial Narrow">
    <w:panose1 w:val="020B0606020202030204"/>
    <w:charset w:val="00"/>
    <w:family w:val="swiss"/>
    <w:pitch w:val="default"/>
    <w:sig w:usb0="00000287" w:usb1="00000800" w:usb2="00000000" w:usb3="00000000" w:csb0="2000009F" w:csb1="DFD70000"/>
  </w:font>
  <w:font w:name="楷体_GB2312">
    <w:panose1 w:val="02010609030101010101"/>
    <w:charset w:val="86"/>
    <w:family w:val="modern"/>
    <w:pitch w:val="default"/>
    <w:sig w:usb0="00000001" w:usb1="080E0000" w:usb2="00000000" w:usb3="00000000" w:csb0="00040000" w:csb1="00000000"/>
  </w:font>
  <w:font w:name="Garamond">
    <w:panose1 w:val="02020404030301010803"/>
    <w:charset w:val="00"/>
    <w:family w:val="roman"/>
    <w:pitch w:val="default"/>
    <w:sig w:usb0="00000287" w:usb1="00000000" w:usb2="00000000" w:usb3="00000000" w:csb0="0000009F" w:csb1="DFD70000"/>
  </w:font>
  <w:font w:name="仿宋_GB2312">
    <w:panose1 w:val="02010609030101010101"/>
    <w:charset w:val="86"/>
    <w:family w:val="modern"/>
    <w:pitch w:val="default"/>
    <w:sig w:usb0="00000001" w:usb1="080E0000" w:usb2="00000000" w:usb3="00000000" w:csb0="00040000" w:csb1="00000000"/>
  </w:font>
  <w:font w:name="Tms Rmn">
    <w:altName w:val="759-CAI978"/>
    <w:panose1 w:val="02020603040505020304"/>
    <w:charset w:val="00"/>
    <w:family w:val="roman"/>
    <w:pitch w:val="default"/>
    <w:sig w:usb0="00000000" w:usb1="00000000" w:usb2="00000000" w:usb3="00000000" w:csb0="00000001" w:csb1="00000000"/>
  </w:font>
  <w:font w:name="759-CAI978">
    <w:panose1 w:val="02020803040505020304"/>
    <w:charset w:val="00"/>
    <w:family w:val="auto"/>
    <w:pitch w:val="default"/>
    <w:sig w:usb0="00000000" w:usb1="00000000" w:usb2="00000000" w:usb3="00000000" w:csb0="00000000" w:csb1="00000000"/>
  </w:font>
  <w:font w:name="BatangChe">
    <w:panose1 w:val="02030609000101010101"/>
    <w:charset w:val="81"/>
    <w:family w:val="modern"/>
    <w:pitch w:val="default"/>
    <w:sig w:usb0="B00002AF" w:usb1="69D77CFB" w:usb2="00000030" w:usb3="00000000" w:csb0="4008009F" w:csb1="DFD70000"/>
  </w:font>
  <w:font w:name="Calibri Light">
    <w:altName w:val="Century Gothic"/>
    <w:panose1 w:val="020F0302020204030204"/>
    <w:charset w:val="00"/>
    <w:family w:val="swiss"/>
    <w:pitch w:val="default"/>
    <w:sig w:usb0="00000000" w:usb1="00000000" w:usb2="00000009" w:usb3="00000000" w:csb0="200001FF" w:csb1="00000000"/>
  </w:font>
  <w:font w:name="Century Gothic">
    <w:panose1 w:val="020B0502020202020204"/>
    <w:charset w:val="00"/>
    <w:family w:val="auto"/>
    <w:pitch w:val="default"/>
    <w:sig w:usb0="00000287" w:usb1="00000000" w:usb2="00000000" w:usb3="00000000" w:csb0="2000009F" w:csb1="DFD70000"/>
  </w:font>
  <w:font w:name="??">
    <w:altName w:val="DejaVu Math TeX Gyre"/>
    <w:panose1 w:val="00000000000000000000"/>
    <w:charset w:val="00"/>
    <w:family w:val="roman"/>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center"/>
    </w:pPr>
    <w:r>
      <w:fldChar w:fldCharType="begin"/>
    </w:r>
    <w:r>
      <w:instrText xml:space="preserve"> PAGE   \* MERGEFORMAT </w:instrText>
    </w:r>
    <w:r>
      <w:fldChar w:fldCharType="separate"/>
    </w:r>
    <w:r>
      <w:rPr>
        <w:lang w:val="zh-CN"/>
      </w:rPr>
      <w:t>20</w:t>
    </w:r>
    <w:r>
      <w:fldChar w:fldCharType="end"/>
    </w:r>
  </w:p>
  <w:p>
    <w:pPr>
      <w:pStyle w:val="3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4061E1"/>
    <w:multiLevelType w:val="singleLevel"/>
    <w:tmpl w:val="DC4061E1"/>
    <w:lvl w:ilvl="0" w:tentative="0">
      <w:start w:val="1"/>
      <w:numFmt w:val="decimal"/>
      <w:suff w:val="nothing"/>
      <w:lvlText w:val="（%1）"/>
      <w:lvlJc w:val="left"/>
    </w:lvl>
  </w:abstractNum>
  <w:abstractNum w:abstractNumId="1">
    <w:nsid w:val="05CA3611"/>
    <w:multiLevelType w:val="multilevel"/>
    <w:tmpl w:val="05CA3611"/>
    <w:lvl w:ilvl="0" w:tentative="0">
      <w:start w:val="9"/>
      <w:numFmt w:val="decimal"/>
      <w:lvlText w:val="%1"/>
      <w:lvlJc w:val="left"/>
      <w:pPr>
        <w:tabs>
          <w:tab w:val="left" w:pos="510"/>
        </w:tabs>
        <w:ind w:left="510" w:hanging="510"/>
      </w:pPr>
      <w:rPr>
        <w:rFonts w:hint="default"/>
      </w:rPr>
    </w:lvl>
    <w:lvl w:ilvl="1" w:tentative="0">
      <w:start w:val="1"/>
      <w:numFmt w:val="decimal"/>
      <w:lvlText w:val="%1-%2"/>
      <w:lvlJc w:val="left"/>
      <w:pPr>
        <w:tabs>
          <w:tab w:val="left" w:pos="510"/>
        </w:tabs>
        <w:ind w:left="510" w:hanging="51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pStyle w:val="6"/>
      <w:lvlText w:val="%1-%2.%3.%4.%5"/>
      <w:lvlJc w:val="left"/>
      <w:pPr>
        <w:tabs>
          <w:tab w:val="left" w:pos="1080"/>
        </w:tabs>
        <w:ind w:left="1080" w:hanging="1080"/>
      </w:pPr>
      <w:rPr>
        <w:rFonts w:hint="default"/>
      </w:rPr>
    </w:lvl>
    <w:lvl w:ilvl="5" w:tentative="0">
      <w:start w:val="1"/>
      <w:numFmt w:val="decimal"/>
      <w:pStyle w:val="8"/>
      <w:lvlText w:val="%1-%2.%3.%4.%5.%6"/>
      <w:lvlJc w:val="left"/>
      <w:pPr>
        <w:tabs>
          <w:tab w:val="left" w:pos="1080"/>
        </w:tabs>
        <w:ind w:left="1080" w:hanging="1080"/>
      </w:pPr>
      <w:rPr>
        <w:rFonts w:hint="default"/>
      </w:rPr>
    </w:lvl>
    <w:lvl w:ilvl="6" w:tentative="0">
      <w:start w:val="1"/>
      <w:numFmt w:val="decimal"/>
      <w:pStyle w:val="9"/>
      <w:lvlText w:val="%1-%2.%3.%4.%5.%6.%7"/>
      <w:lvlJc w:val="left"/>
      <w:pPr>
        <w:tabs>
          <w:tab w:val="left" w:pos="1080"/>
        </w:tabs>
        <w:ind w:left="1080" w:hanging="1080"/>
      </w:pPr>
      <w:rPr>
        <w:rFonts w:hint="default"/>
      </w:rPr>
    </w:lvl>
    <w:lvl w:ilvl="7" w:tentative="0">
      <w:start w:val="1"/>
      <w:numFmt w:val="decimal"/>
      <w:pStyle w:val="10"/>
      <w:lvlText w:val="%1-%2.%3.%4.%5.%6.%7.%8"/>
      <w:lvlJc w:val="left"/>
      <w:pPr>
        <w:tabs>
          <w:tab w:val="left" w:pos="1440"/>
        </w:tabs>
        <w:ind w:left="1440" w:hanging="1440"/>
      </w:pPr>
      <w:rPr>
        <w:rFonts w:hint="default"/>
      </w:rPr>
    </w:lvl>
    <w:lvl w:ilvl="8" w:tentative="0">
      <w:start w:val="1"/>
      <w:numFmt w:val="decimal"/>
      <w:pStyle w:val="11"/>
      <w:lvlText w:val="%1-%2.%3.%4.%5.%6.%7.%8.%9"/>
      <w:lvlJc w:val="left"/>
      <w:pPr>
        <w:tabs>
          <w:tab w:val="left" w:pos="1440"/>
        </w:tabs>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ZTExMDU4NDI0OTk2MjcyNDQzZTc5ZTQwZjY4MmEifQ=="/>
  </w:docVars>
  <w:rsids>
    <w:rsidRoot w:val="00040B87"/>
    <w:rsid w:val="000073DD"/>
    <w:rsid w:val="00007629"/>
    <w:rsid w:val="00021910"/>
    <w:rsid w:val="00021BCE"/>
    <w:rsid w:val="00037E68"/>
    <w:rsid w:val="00040B87"/>
    <w:rsid w:val="0004345F"/>
    <w:rsid w:val="00047A13"/>
    <w:rsid w:val="00063CD9"/>
    <w:rsid w:val="000718A0"/>
    <w:rsid w:val="00077C0A"/>
    <w:rsid w:val="00093521"/>
    <w:rsid w:val="000B42C6"/>
    <w:rsid w:val="000C6722"/>
    <w:rsid w:val="000D58A4"/>
    <w:rsid w:val="00110F8E"/>
    <w:rsid w:val="001305B9"/>
    <w:rsid w:val="001311D6"/>
    <w:rsid w:val="0015750C"/>
    <w:rsid w:val="00170384"/>
    <w:rsid w:val="00180F5B"/>
    <w:rsid w:val="00187FCE"/>
    <w:rsid w:val="001926F3"/>
    <w:rsid w:val="001A3882"/>
    <w:rsid w:val="001B48D5"/>
    <w:rsid w:val="001B48EA"/>
    <w:rsid w:val="001B6983"/>
    <w:rsid w:val="001C0FB9"/>
    <w:rsid w:val="001D16CE"/>
    <w:rsid w:val="001E5CF9"/>
    <w:rsid w:val="001F70D2"/>
    <w:rsid w:val="00200DF1"/>
    <w:rsid w:val="002014E7"/>
    <w:rsid w:val="00204134"/>
    <w:rsid w:val="0020591A"/>
    <w:rsid w:val="00210D6B"/>
    <w:rsid w:val="002174BF"/>
    <w:rsid w:val="00234957"/>
    <w:rsid w:val="00240D67"/>
    <w:rsid w:val="002522DB"/>
    <w:rsid w:val="0025681C"/>
    <w:rsid w:val="00257F17"/>
    <w:rsid w:val="0026629E"/>
    <w:rsid w:val="00295331"/>
    <w:rsid w:val="002B4634"/>
    <w:rsid w:val="002C4167"/>
    <w:rsid w:val="002C4A70"/>
    <w:rsid w:val="002C70E5"/>
    <w:rsid w:val="002D7432"/>
    <w:rsid w:val="002E3C44"/>
    <w:rsid w:val="002E75B9"/>
    <w:rsid w:val="002E7E9A"/>
    <w:rsid w:val="002F6D4F"/>
    <w:rsid w:val="00302FE1"/>
    <w:rsid w:val="00316CBB"/>
    <w:rsid w:val="003267C1"/>
    <w:rsid w:val="00342E5B"/>
    <w:rsid w:val="00361DF5"/>
    <w:rsid w:val="0037698E"/>
    <w:rsid w:val="00384168"/>
    <w:rsid w:val="00397B0D"/>
    <w:rsid w:val="003A5F87"/>
    <w:rsid w:val="003B49AE"/>
    <w:rsid w:val="003B5120"/>
    <w:rsid w:val="003D0849"/>
    <w:rsid w:val="003F58A2"/>
    <w:rsid w:val="003F6FDA"/>
    <w:rsid w:val="00404A50"/>
    <w:rsid w:val="00432ADF"/>
    <w:rsid w:val="00440602"/>
    <w:rsid w:val="00442A43"/>
    <w:rsid w:val="00455609"/>
    <w:rsid w:val="00471E79"/>
    <w:rsid w:val="004755FE"/>
    <w:rsid w:val="00483465"/>
    <w:rsid w:val="00483E78"/>
    <w:rsid w:val="004A5311"/>
    <w:rsid w:val="004A76F2"/>
    <w:rsid w:val="004E5DB8"/>
    <w:rsid w:val="004F0AAB"/>
    <w:rsid w:val="004F4D91"/>
    <w:rsid w:val="004F6B5B"/>
    <w:rsid w:val="005001FC"/>
    <w:rsid w:val="00504BB9"/>
    <w:rsid w:val="00516D33"/>
    <w:rsid w:val="005170D1"/>
    <w:rsid w:val="00517EA2"/>
    <w:rsid w:val="00532A4C"/>
    <w:rsid w:val="005336D7"/>
    <w:rsid w:val="00540BE4"/>
    <w:rsid w:val="00561EE2"/>
    <w:rsid w:val="00582A15"/>
    <w:rsid w:val="00594387"/>
    <w:rsid w:val="005A53D3"/>
    <w:rsid w:val="005B0C39"/>
    <w:rsid w:val="005E05F8"/>
    <w:rsid w:val="005E4135"/>
    <w:rsid w:val="005E4840"/>
    <w:rsid w:val="005F3B51"/>
    <w:rsid w:val="00603680"/>
    <w:rsid w:val="006233F6"/>
    <w:rsid w:val="00624045"/>
    <w:rsid w:val="006329F1"/>
    <w:rsid w:val="006634F6"/>
    <w:rsid w:val="00671D5E"/>
    <w:rsid w:val="00672E72"/>
    <w:rsid w:val="00684C4F"/>
    <w:rsid w:val="00686732"/>
    <w:rsid w:val="006B5ED3"/>
    <w:rsid w:val="006B76B8"/>
    <w:rsid w:val="006C4E91"/>
    <w:rsid w:val="006C66F6"/>
    <w:rsid w:val="006D7C0C"/>
    <w:rsid w:val="006E2EF0"/>
    <w:rsid w:val="006F0104"/>
    <w:rsid w:val="006F6BBB"/>
    <w:rsid w:val="00700CCB"/>
    <w:rsid w:val="00703801"/>
    <w:rsid w:val="00705A3C"/>
    <w:rsid w:val="00713DAE"/>
    <w:rsid w:val="00716D4B"/>
    <w:rsid w:val="007216FC"/>
    <w:rsid w:val="0072599A"/>
    <w:rsid w:val="00727337"/>
    <w:rsid w:val="00744540"/>
    <w:rsid w:val="00744E47"/>
    <w:rsid w:val="007806D0"/>
    <w:rsid w:val="00780E24"/>
    <w:rsid w:val="00793174"/>
    <w:rsid w:val="007B388A"/>
    <w:rsid w:val="007B77B2"/>
    <w:rsid w:val="007E24EA"/>
    <w:rsid w:val="007E27BA"/>
    <w:rsid w:val="007F136B"/>
    <w:rsid w:val="00800DD2"/>
    <w:rsid w:val="00837BC7"/>
    <w:rsid w:val="00840963"/>
    <w:rsid w:val="0084633F"/>
    <w:rsid w:val="00850D7A"/>
    <w:rsid w:val="00853E40"/>
    <w:rsid w:val="0085426A"/>
    <w:rsid w:val="008579B1"/>
    <w:rsid w:val="008632C7"/>
    <w:rsid w:val="0087317E"/>
    <w:rsid w:val="00895301"/>
    <w:rsid w:val="00897EBD"/>
    <w:rsid w:val="008A4FC7"/>
    <w:rsid w:val="008B6AFB"/>
    <w:rsid w:val="008C2837"/>
    <w:rsid w:val="0095417E"/>
    <w:rsid w:val="009843D6"/>
    <w:rsid w:val="00992044"/>
    <w:rsid w:val="00992EC7"/>
    <w:rsid w:val="00997D75"/>
    <w:rsid w:val="009E2A5E"/>
    <w:rsid w:val="009E54AC"/>
    <w:rsid w:val="009F2584"/>
    <w:rsid w:val="009F7CA5"/>
    <w:rsid w:val="00A1015B"/>
    <w:rsid w:val="00A24D7B"/>
    <w:rsid w:val="00A27E71"/>
    <w:rsid w:val="00A32909"/>
    <w:rsid w:val="00A40991"/>
    <w:rsid w:val="00A445B8"/>
    <w:rsid w:val="00A55128"/>
    <w:rsid w:val="00A56914"/>
    <w:rsid w:val="00A60DDD"/>
    <w:rsid w:val="00A614CB"/>
    <w:rsid w:val="00A840E7"/>
    <w:rsid w:val="00A8487B"/>
    <w:rsid w:val="00A97A66"/>
    <w:rsid w:val="00AA0EC7"/>
    <w:rsid w:val="00AB277C"/>
    <w:rsid w:val="00AB2B94"/>
    <w:rsid w:val="00AB594F"/>
    <w:rsid w:val="00AF0890"/>
    <w:rsid w:val="00AF5C68"/>
    <w:rsid w:val="00B14674"/>
    <w:rsid w:val="00B16683"/>
    <w:rsid w:val="00B45ACC"/>
    <w:rsid w:val="00B45D61"/>
    <w:rsid w:val="00B507B4"/>
    <w:rsid w:val="00B51408"/>
    <w:rsid w:val="00B87DB5"/>
    <w:rsid w:val="00BC1E2A"/>
    <w:rsid w:val="00BC30C8"/>
    <w:rsid w:val="00BD2D99"/>
    <w:rsid w:val="00C02236"/>
    <w:rsid w:val="00C03F9B"/>
    <w:rsid w:val="00C07799"/>
    <w:rsid w:val="00C17ADD"/>
    <w:rsid w:val="00C23158"/>
    <w:rsid w:val="00C40AED"/>
    <w:rsid w:val="00C61EEC"/>
    <w:rsid w:val="00C920AB"/>
    <w:rsid w:val="00CA38CD"/>
    <w:rsid w:val="00CA3CF7"/>
    <w:rsid w:val="00CB44DB"/>
    <w:rsid w:val="00CB7C88"/>
    <w:rsid w:val="00CF2071"/>
    <w:rsid w:val="00D03CFE"/>
    <w:rsid w:val="00D071AE"/>
    <w:rsid w:val="00D100DB"/>
    <w:rsid w:val="00D175FB"/>
    <w:rsid w:val="00D764AC"/>
    <w:rsid w:val="00D90725"/>
    <w:rsid w:val="00D91762"/>
    <w:rsid w:val="00D92FDE"/>
    <w:rsid w:val="00D93F2A"/>
    <w:rsid w:val="00DA6FB0"/>
    <w:rsid w:val="00DF3084"/>
    <w:rsid w:val="00DF4F06"/>
    <w:rsid w:val="00E23ED2"/>
    <w:rsid w:val="00E33422"/>
    <w:rsid w:val="00E54C96"/>
    <w:rsid w:val="00E55A55"/>
    <w:rsid w:val="00E70988"/>
    <w:rsid w:val="00E81927"/>
    <w:rsid w:val="00EB552D"/>
    <w:rsid w:val="00EC4B24"/>
    <w:rsid w:val="00F0300E"/>
    <w:rsid w:val="00F16426"/>
    <w:rsid w:val="00F23F90"/>
    <w:rsid w:val="00F445C2"/>
    <w:rsid w:val="00F76102"/>
    <w:rsid w:val="00F82BE0"/>
    <w:rsid w:val="00F91F6B"/>
    <w:rsid w:val="00FA1FF2"/>
    <w:rsid w:val="00FA6888"/>
    <w:rsid w:val="00FC41AC"/>
    <w:rsid w:val="00FE27C6"/>
    <w:rsid w:val="00FF191C"/>
    <w:rsid w:val="02187A1B"/>
    <w:rsid w:val="037225DE"/>
    <w:rsid w:val="0458719A"/>
    <w:rsid w:val="052548FF"/>
    <w:rsid w:val="06406019"/>
    <w:rsid w:val="07D805E6"/>
    <w:rsid w:val="081F5E9B"/>
    <w:rsid w:val="0B770C7B"/>
    <w:rsid w:val="0BAA21E2"/>
    <w:rsid w:val="0DA36C8F"/>
    <w:rsid w:val="0F4C76FE"/>
    <w:rsid w:val="10541CA7"/>
    <w:rsid w:val="11016338"/>
    <w:rsid w:val="11396BAA"/>
    <w:rsid w:val="12C17021"/>
    <w:rsid w:val="140130D1"/>
    <w:rsid w:val="175172D8"/>
    <w:rsid w:val="18300B23"/>
    <w:rsid w:val="1F3B6880"/>
    <w:rsid w:val="2033695B"/>
    <w:rsid w:val="207C65DA"/>
    <w:rsid w:val="240313CB"/>
    <w:rsid w:val="24742165"/>
    <w:rsid w:val="249819D5"/>
    <w:rsid w:val="251D0DBA"/>
    <w:rsid w:val="256772F0"/>
    <w:rsid w:val="266577BB"/>
    <w:rsid w:val="26E21E43"/>
    <w:rsid w:val="2A4041FF"/>
    <w:rsid w:val="2A4247E5"/>
    <w:rsid w:val="2C374801"/>
    <w:rsid w:val="2D9F55B8"/>
    <w:rsid w:val="2F5870A4"/>
    <w:rsid w:val="32D26C03"/>
    <w:rsid w:val="37890B86"/>
    <w:rsid w:val="3A2E48F9"/>
    <w:rsid w:val="3BAF45A5"/>
    <w:rsid w:val="3CB85D87"/>
    <w:rsid w:val="3CF568CF"/>
    <w:rsid w:val="3D720F57"/>
    <w:rsid w:val="3DE832CC"/>
    <w:rsid w:val="3F9A2896"/>
    <w:rsid w:val="42DD77A7"/>
    <w:rsid w:val="47213B71"/>
    <w:rsid w:val="49EA5591"/>
    <w:rsid w:val="4AE62CA6"/>
    <w:rsid w:val="4E646783"/>
    <w:rsid w:val="50483F54"/>
    <w:rsid w:val="510F5B66"/>
    <w:rsid w:val="5132565A"/>
    <w:rsid w:val="5345033E"/>
    <w:rsid w:val="57A3346D"/>
    <w:rsid w:val="5866766D"/>
    <w:rsid w:val="58AD5B53"/>
    <w:rsid w:val="5ADE65E1"/>
    <w:rsid w:val="5DBB1B93"/>
    <w:rsid w:val="5DCF608A"/>
    <w:rsid w:val="5F0D571B"/>
    <w:rsid w:val="613622F4"/>
    <w:rsid w:val="614822A7"/>
    <w:rsid w:val="64C4676F"/>
    <w:rsid w:val="65192C98"/>
    <w:rsid w:val="653C0605"/>
    <w:rsid w:val="668F2BD4"/>
    <w:rsid w:val="66E5794C"/>
    <w:rsid w:val="67136A7E"/>
    <w:rsid w:val="67277FC8"/>
    <w:rsid w:val="676B7F53"/>
    <w:rsid w:val="682B6B7F"/>
    <w:rsid w:val="693A5569"/>
    <w:rsid w:val="6AB83EA7"/>
    <w:rsid w:val="6C1412A7"/>
    <w:rsid w:val="6C1B2047"/>
    <w:rsid w:val="6C416227"/>
    <w:rsid w:val="6E411B63"/>
    <w:rsid w:val="6EB56801"/>
    <w:rsid w:val="70D84935"/>
    <w:rsid w:val="71306ECF"/>
    <w:rsid w:val="71537B51"/>
    <w:rsid w:val="727B5535"/>
    <w:rsid w:val="739A1B46"/>
    <w:rsid w:val="74795D66"/>
    <w:rsid w:val="74AF65B5"/>
    <w:rsid w:val="74CF7A85"/>
    <w:rsid w:val="761C3397"/>
    <w:rsid w:val="7740596B"/>
    <w:rsid w:val="78181036"/>
    <w:rsid w:val="78D54BBC"/>
    <w:rsid w:val="797A042B"/>
    <w:rsid w:val="7A584DCA"/>
    <w:rsid w:val="7C56616F"/>
    <w:rsid w:val="7CF7D8D0"/>
    <w:rsid w:val="7D1517C6"/>
    <w:rsid w:val="7F566E72"/>
    <w:rsid w:val="7FAFFE81"/>
    <w:rsid w:val="7FBC00E4"/>
    <w:rsid w:val="7FDE1766"/>
    <w:rsid w:val="97CA99EF"/>
    <w:rsid w:val="B77DF8FB"/>
    <w:rsid w:val="BFDF45F6"/>
    <w:rsid w:val="CF3FC246"/>
    <w:rsid w:val="D2795134"/>
    <w:rsid w:val="DFDB2986"/>
    <w:rsid w:val="F7FF7281"/>
    <w:rsid w:val="F93F3C99"/>
    <w:rsid w:val="F9EBE441"/>
    <w:rsid w:val="FAD9D715"/>
    <w:rsid w:val="FEFFF8A6"/>
    <w:rsid w:val="FF20341E"/>
    <w:rsid w:val="FFFE36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99" w:semiHidden="0" w:name="Normal Indent"/>
    <w:lsdException w:qFormat="1" w:unhideWhenUsed="0"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nhideWhenUsed="0" w:uiPriority="99" w:semiHidden="0" w:name="List Bullet"/>
    <w:lsdException w:qFormat="1" w:unhideWhenUsed="0" w:uiPriority="99" w:semiHidden="0" w:name="List Number"/>
    <w:lsdException w:uiPriority="99" w:name="List 2"/>
    <w:lsdException w:uiPriority="99" w:name="List 3"/>
    <w:lsdException w:uiPriority="99" w:name="List 4"/>
    <w:lsdException w:uiPriority="99"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uiPriority="99"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qFormat="1" w:uiPriority="99" w:semiHidden="0" w:name="HTML Code"/>
    <w:lsdException w:qFormat="1" w:uiPriority="99" w:semiHidden="0" w:name="HTML Definition"/>
    <w:lsdException w:qFormat="1" w:uiPriority="99" w:semiHidden="0" w:name="HTML Keyboard"/>
    <w:lsdException w:qFormat="1" w:unhideWhenUsed="0" w:uiPriority="99" w:semiHidden="0" w:name="HTML Preformatted"/>
    <w:lsdException w:qFormat="1" w:uiPriority="99" w:semiHidden="0"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62"/>
    <w:autoRedefine/>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63"/>
    <w:autoRedefine/>
    <w:qFormat/>
    <w:uiPriority w:val="9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64"/>
    <w:autoRedefine/>
    <w:qFormat/>
    <w:uiPriority w:val="99"/>
    <w:pPr>
      <w:keepNext/>
      <w:keepLines/>
      <w:spacing w:before="120" w:after="120"/>
      <w:outlineLvl w:val="2"/>
    </w:pPr>
    <w:rPr>
      <w:b/>
      <w:bCs/>
      <w:kern w:val="0"/>
      <w:sz w:val="32"/>
      <w:szCs w:val="32"/>
    </w:rPr>
  </w:style>
  <w:style w:type="paragraph" w:styleId="5">
    <w:name w:val="heading 4"/>
    <w:basedOn w:val="1"/>
    <w:next w:val="1"/>
    <w:link w:val="65"/>
    <w:autoRedefine/>
    <w:qFormat/>
    <w:uiPriority w:val="99"/>
    <w:pPr>
      <w:keepNext/>
      <w:keepLines/>
      <w:spacing w:before="280" w:after="290" w:line="376" w:lineRule="auto"/>
      <w:outlineLvl w:val="3"/>
    </w:pPr>
    <w:rPr>
      <w:rFonts w:ascii="Arial" w:hAnsi="Arial" w:eastAsia="黑体"/>
      <w:b/>
      <w:bCs/>
      <w:kern w:val="0"/>
      <w:sz w:val="28"/>
      <w:szCs w:val="28"/>
    </w:rPr>
  </w:style>
  <w:style w:type="paragraph" w:styleId="6">
    <w:name w:val="heading 5"/>
    <w:basedOn w:val="1"/>
    <w:next w:val="7"/>
    <w:link w:val="66"/>
    <w:autoRedefine/>
    <w:qFormat/>
    <w:uiPriority w:val="99"/>
    <w:pPr>
      <w:keepNext/>
      <w:keepLines/>
      <w:numPr>
        <w:ilvl w:val="4"/>
        <w:numId w:val="1"/>
      </w:numPr>
      <w:spacing w:before="280" w:after="290" w:line="376" w:lineRule="auto"/>
      <w:outlineLvl w:val="4"/>
    </w:pPr>
    <w:rPr>
      <w:b/>
      <w:bCs/>
      <w:kern w:val="0"/>
      <w:sz w:val="28"/>
      <w:szCs w:val="28"/>
    </w:rPr>
  </w:style>
  <w:style w:type="paragraph" w:styleId="8">
    <w:name w:val="heading 6"/>
    <w:basedOn w:val="1"/>
    <w:next w:val="7"/>
    <w:link w:val="68"/>
    <w:autoRedefine/>
    <w:qFormat/>
    <w:uiPriority w:val="99"/>
    <w:pPr>
      <w:keepNext/>
      <w:keepLines/>
      <w:numPr>
        <w:ilvl w:val="5"/>
        <w:numId w:val="1"/>
      </w:numPr>
      <w:spacing w:before="240" w:after="64" w:line="320" w:lineRule="auto"/>
      <w:outlineLvl w:val="5"/>
    </w:pPr>
    <w:rPr>
      <w:rFonts w:ascii="Arial" w:hAnsi="Arial" w:eastAsia="黑体"/>
      <w:b/>
      <w:bCs/>
      <w:kern w:val="0"/>
      <w:sz w:val="24"/>
      <w:szCs w:val="24"/>
    </w:rPr>
  </w:style>
  <w:style w:type="paragraph" w:styleId="9">
    <w:name w:val="heading 7"/>
    <w:basedOn w:val="1"/>
    <w:next w:val="1"/>
    <w:link w:val="69"/>
    <w:autoRedefine/>
    <w:qFormat/>
    <w:uiPriority w:val="99"/>
    <w:pPr>
      <w:keepNext/>
      <w:keepLines/>
      <w:numPr>
        <w:ilvl w:val="6"/>
        <w:numId w:val="1"/>
      </w:numPr>
      <w:spacing w:before="240" w:after="64" w:line="320" w:lineRule="auto"/>
      <w:outlineLvl w:val="6"/>
    </w:pPr>
    <w:rPr>
      <w:b/>
      <w:bCs/>
      <w:kern w:val="0"/>
      <w:sz w:val="24"/>
      <w:szCs w:val="24"/>
    </w:rPr>
  </w:style>
  <w:style w:type="paragraph" w:styleId="10">
    <w:name w:val="heading 8"/>
    <w:basedOn w:val="1"/>
    <w:next w:val="7"/>
    <w:link w:val="70"/>
    <w:autoRedefine/>
    <w:qFormat/>
    <w:uiPriority w:val="99"/>
    <w:pPr>
      <w:keepNext/>
      <w:keepLines/>
      <w:numPr>
        <w:ilvl w:val="7"/>
        <w:numId w:val="1"/>
      </w:numPr>
      <w:spacing w:before="240" w:after="64" w:line="320" w:lineRule="auto"/>
      <w:outlineLvl w:val="7"/>
    </w:pPr>
    <w:rPr>
      <w:rFonts w:ascii="Arial" w:hAnsi="Arial" w:eastAsia="黑体"/>
      <w:kern w:val="0"/>
      <w:sz w:val="24"/>
      <w:szCs w:val="24"/>
    </w:rPr>
  </w:style>
  <w:style w:type="paragraph" w:styleId="11">
    <w:name w:val="heading 9"/>
    <w:basedOn w:val="1"/>
    <w:next w:val="7"/>
    <w:link w:val="71"/>
    <w:autoRedefine/>
    <w:qFormat/>
    <w:uiPriority w:val="99"/>
    <w:pPr>
      <w:keepNext/>
      <w:keepLines/>
      <w:numPr>
        <w:ilvl w:val="8"/>
        <w:numId w:val="1"/>
      </w:numPr>
      <w:spacing w:before="240" w:after="64" w:line="320" w:lineRule="auto"/>
      <w:outlineLvl w:val="8"/>
    </w:pPr>
    <w:rPr>
      <w:rFonts w:ascii="Arial" w:hAnsi="Arial" w:eastAsia="黑体"/>
      <w:kern w:val="0"/>
      <w:sz w:val="20"/>
      <w:szCs w:val="20"/>
    </w:rPr>
  </w:style>
  <w:style w:type="character" w:default="1" w:styleId="51">
    <w:name w:val="Default Paragraph Font"/>
    <w:semiHidden/>
    <w:unhideWhenUsed/>
    <w:qFormat/>
    <w:uiPriority w:val="1"/>
  </w:style>
  <w:style w:type="table" w:default="1" w:styleId="49">
    <w:name w:val="Normal Table"/>
    <w:semiHidden/>
    <w:unhideWhenUsed/>
    <w:qFormat/>
    <w:uiPriority w:val="99"/>
    <w:tblPr>
      <w:tblCellMar>
        <w:top w:w="0" w:type="dxa"/>
        <w:left w:w="108" w:type="dxa"/>
        <w:bottom w:w="0" w:type="dxa"/>
        <w:right w:w="108" w:type="dxa"/>
      </w:tblCellMar>
    </w:tblPr>
  </w:style>
  <w:style w:type="paragraph" w:styleId="7">
    <w:name w:val="Normal Indent"/>
    <w:basedOn w:val="1"/>
    <w:link w:val="67"/>
    <w:autoRedefine/>
    <w:qFormat/>
    <w:uiPriority w:val="99"/>
    <w:pPr>
      <w:ind w:firstLine="420"/>
    </w:pPr>
    <w:rPr>
      <w:kern w:val="0"/>
      <w:sz w:val="20"/>
    </w:rPr>
  </w:style>
  <w:style w:type="paragraph" w:styleId="12">
    <w:name w:val="toc 7"/>
    <w:basedOn w:val="1"/>
    <w:next w:val="1"/>
    <w:autoRedefine/>
    <w:qFormat/>
    <w:uiPriority w:val="39"/>
    <w:pPr>
      <w:ind w:left="2520" w:leftChars="1200"/>
    </w:pPr>
  </w:style>
  <w:style w:type="paragraph" w:styleId="13">
    <w:name w:val="Note Heading"/>
    <w:basedOn w:val="1"/>
    <w:next w:val="1"/>
    <w:link w:val="72"/>
    <w:autoRedefine/>
    <w:qFormat/>
    <w:uiPriority w:val="99"/>
    <w:pPr>
      <w:jc w:val="center"/>
    </w:pPr>
    <w:rPr>
      <w:kern w:val="0"/>
      <w:sz w:val="20"/>
    </w:rPr>
  </w:style>
  <w:style w:type="paragraph" w:styleId="14">
    <w:name w:val="List Bullet 4"/>
    <w:basedOn w:val="1"/>
    <w:autoRedefine/>
    <w:qFormat/>
    <w:uiPriority w:val="99"/>
    <w:pPr>
      <w:widowControl/>
      <w:tabs>
        <w:tab w:val="left" w:pos="840"/>
      </w:tabs>
      <w:overflowPunct w:val="0"/>
      <w:autoSpaceDE w:val="0"/>
      <w:autoSpaceDN w:val="0"/>
      <w:adjustRightInd w:val="0"/>
      <w:ind w:left="1180" w:hanging="340"/>
      <w:jc w:val="left"/>
      <w:textAlignment w:val="baseline"/>
    </w:pPr>
    <w:rPr>
      <w:rFonts w:ascii="Courier" w:hAnsi="Courier" w:cs="Courier"/>
      <w:kern w:val="0"/>
      <w:sz w:val="24"/>
      <w:szCs w:val="24"/>
    </w:rPr>
  </w:style>
  <w:style w:type="paragraph" w:styleId="15">
    <w:name w:val="List Number"/>
    <w:basedOn w:val="1"/>
    <w:autoRedefine/>
    <w:qFormat/>
    <w:uiPriority w:val="99"/>
    <w:pPr>
      <w:tabs>
        <w:tab w:val="left" w:pos="560"/>
      </w:tabs>
      <w:ind w:left="900" w:hanging="340"/>
    </w:pPr>
  </w:style>
  <w:style w:type="paragraph" w:styleId="16">
    <w:name w:val="caption"/>
    <w:basedOn w:val="1"/>
    <w:next w:val="1"/>
    <w:autoRedefine/>
    <w:qFormat/>
    <w:uiPriority w:val="99"/>
    <w:pPr>
      <w:spacing w:line="480" w:lineRule="auto"/>
    </w:pPr>
    <w:rPr>
      <w:rFonts w:ascii="华文中宋" w:hAnsi="华文中宋" w:eastAsia="华文中宋" w:cs="华文中宋"/>
      <w:sz w:val="36"/>
      <w:szCs w:val="36"/>
    </w:rPr>
  </w:style>
  <w:style w:type="paragraph" w:styleId="17">
    <w:name w:val="List Bullet"/>
    <w:basedOn w:val="1"/>
    <w:autoRedefine/>
    <w:qFormat/>
    <w:uiPriority w:val="99"/>
    <w:pPr>
      <w:adjustRightInd w:val="0"/>
      <w:spacing w:line="300" w:lineRule="auto"/>
      <w:ind w:left="360" w:hanging="360"/>
      <w:textAlignment w:val="baseline"/>
    </w:pPr>
    <w:rPr>
      <w:kern w:val="0"/>
      <w:sz w:val="24"/>
      <w:szCs w:val="24"/>
    </w:rPr>
  </w:style>
  <w:style w:type="paragraph" w:styleId="18">
    <w:name w:val="Document Map"/>
    <w:basedOn w:val="1"/>
    <w:link w:val="73"/>
    <w:autoRedefine/>
    <w:semiHidden/>
    <w:qFormat/>
    <w:uiPriority w:val="99"/>
    <w:pPr>
      <w:shd w:val="clear" w:color="auto" w:fill="000080"/>
    </w:pPr>
    <w:rPr>
      <w:kern w:val="0"/>
      <w:sz w:val="20"/>
    </w:rPr>
  </w:style>
  <w:style w:type="paragraph" w:styleId="19">
    <w:name w:val="annotation text"/>
    <w:basedOn w:val="1"/>
    <w:link w:val="74"/>
    <w:autoRedefine/>
    <w:qFormat/>
    <w:uiPriority w:val="99"/>
    <w:pPr>
      <w:jc w:val="left"/>
    </w:pPr>
    <w:rPr>
      <w:kern w:val="0"/>
      <w:sz w:val="20"/>
    </w:rPr>
  </w:style>
  <w:style w:type="paragraph" w:styleId="20">
    <w:name w:val="Salutation"/>
    <w:basedOn w:val="1"/>
    <w:next w:val="1"/>
    <w:link w:val="75"/>
    <w:autoRedefine/>
    <w:qFormat/>
    <w:uiPriority w:val="99"/>
    <w:pPr>
      <w:spacing w:beforeLines="40" w:afterLines="40" w:line="312" w:lineRule="auto"/>
    </w:pPr>
    <w:rPr>
      <w:kern w:val="0"/>
      <w:sz w:val="24"/>
      <w:szCs w:val="24"/>
    </w:rPr>
  </w:style>
  <w:style w:type="paragraph" w:styleId="21">
    <w:name w:val="Body Text 3"/>
    <w:basedOn w:val="1"/>
    <w:link w:val="76"/>
    <w:autoRedefine/>
    <w:qFormat/>
    <w:uiPriority w:val="99"/>
    <w:pPr>
      <w:autoSpaceDE w:val="0"/>
      <w:autoSpaceDN w:val="0"/>
      <w:jc w:val="center"/>
    </w:pPr>
    <w:rPr>
      <w:kern w:val="0"/>
      <w:sz w:val="16"/>
      <w:szCs w:val="16"/>
    </w:rPr>
  </w:style>
  <w:style w:type="paragraph" w:styleId="22">
    <w:name w:val="List Bullet 3"/>
    <w:basedOn w:val="1"/>
    <w:autoRedefine/>
    <w:qFormat/>
    <w:uiPriority w:val="99"/>
    <w:pPr>
      <w:widowControl/>
      <w:tabs>
        <w:tab w:val="left" w:pos="1265"/>
      </w:tabs>
      <w:overflowPunct w:val="0"/>
      <w:autoSpaceDE w:val="0"/>
      <w:autoSpaceDN w:val="0"/>
      <w:adjustRightInd w:val="0"/>
      <w:spacing w:line="300" w:lineRule="auto"/>
      <w:ind w:left="1265" w:hanging="360"/>
      <w:jc w:val="left"/>
      <w:textAlignment w:val="baseline"/>
    </w:pPr>
    <w:rPr>
      <w:rFonts w:ascii="Courier" w:hAnsi="Courier" w:cs="Courier"/>
      <w:kern w:val="0"/>
      <w:sz w:val="24"/>
      <w:szCs w:val="24"/>
    </w:rPr>
  </w:style>
  <w:style w:type="paragraph" w:styleId="23">
    <w:name w:val="Body Text"/>
    <w:basedOn w:val="1"/>
    <w:link w:val="77"/>
    <w:autoRedefine/>
    <w:qFormat/>
    <w:uiPriority w:val="99"/>
    <w:pPr>
      <w:spacing w:line="360" w:lineRule="auto"/>
    </w:pPr>
    <w:rPr>
      <w:kern w:val="0"/>
      <w:sz w:val="24"/>
      <w:szCs w:val="24"/>
    </w:rPr>
  </w:style>
  <w:style w:type="paragraph" w:styleId="24">
    <w:name w:val="Body Text Indent"/>
    <w:basedOn w:val="1"/>
    <w:link w:val="78"/>
    <w:autoRedefine/>
    <w:qFormat/>
    <w:uiPriority w:val="0"/>
    <w:pPr>
      <w:ind w:firstLine="444"/>
    </w:pPr>
    <w:rPr>
      <w:b/>
      <w:bCs/>
      <w:kern w:val="0"/>
      <w:sz w:val="24"/>
      <w:szCs w:val="24"/>
    </w:rPr>
  </w:style>
  <w:style w:type="paragraph" w:styleId="25">
    <w:name w:val="List Bullet 2"/>
    <w:basedOn w:val="1"/>
    <w:autoRedefine/>
    <w:qFormat/>
    <w:uiPriority w:val="99"/>
    <w:pPr>
      <w:tabs>
        <w:tab w:val="left" w:pos="1680"/>
      </w:tabs>
      <w:spacing w:line="360" w:lineRule="auto"/>
      <w:ind w:left="1680" w:hanging="420"/>
    </w:pPr>
    <w:rPr>
      <w:sz w:val="24"/>
      <w:szCs w:val="24"/>
    </w:rPr>
  </w:style>
  <w:style w:type="paragraph" w:styleId="26">
    <w:name w:val="toc 5"/>
    <w:basedOn w:val="1"/>
    <w:next w:val="1"/>
    <w:autoRedefine/>
    <w:qFormat/>
    <w:uiPriority w:val="39"/>
    <w:pPr>
      <w:ind w:left="1680" w:leftChars="800"/>
    </w:pPr>
  </w:style>
  <w:style w:type="paragraph" w:styleId="27">
    <w:name w:val="toc 3"/>
    <w:basedOn w:val="1"/>
    <w:next w:val="1"/>
    <w:autoRedefine/>
    <w:qFormat/>
    <w:uiPriority w:val="39"/>
    <w:pPr>
      <w:tabs>
        <w:tab w:val="right" w:leader="dot" w:pos="9231"/>
      </w:tabs>
      <w:ind w:left="840" w:leftChars="400"/>
    </w:pPr>
  </w:style>
  <w:style w:type="paragraph" w:styleId="28">
    <w:name w:val="Plain Text"/>
    <w:basedOn w:val="1"/>
    <w:link w:val="79"/>
    <w:autoRedefine/>
    <w:qFormat/>
    <w:uiPriority w:val="99"/>
    <w:rPr>
      <w:rFonts w:ascii="宋体" w:hAnsi="Courier New"/>
      <w:kern w:val="0"/>
      <w:sz w:val="20"/>
    </w:rPr>
  </w:style>
  <w:style w:type="paragraph" w:styleId="29">
    <w:name w:val="toc 8"/>
    <w:basedOn w:val="1"/>
    <w:next w:val="1"/>
    <w:autoRedefine/>
    <w:qFormat/>
    <w:uiPriority w:val="39"/>
    <w:pPr>
      <w:ind w:left="2940" w:leftChars="1400"/>
    </w:pPr>
  </w:style>
  <w:style w:type="paragraph" w:styleId="30">
    <w:name w:val="Date"/>
    <w:basedOn w:val="1"/>
    <w:next w:val="1"/>
    <w:link w:val="80"/>
    <w:autoRedefine/>
    <w:qFormat/>
    <w:uiPriority w:val="99"/>
    <w:rPr>
      <w:kern w:val="0"/>
      <w:sz w:val="20"/>
    </w:rPr>
  </w:style>
  <w:style w:type="paragraph" w:styleId="31">
    <w:name w:val="Body Text Indent 2"/>
    <w:basedOn w:val="1"/>
    <w:link w:val="81"/>
    <w:autoRedefine/>
    <w:qFormat/>
    <w:uiPriority w:val="99"/>
    <w:pPr>
      <w:adjustRightInd w:val="0"/>
      <w:spacing w:line="360" w:lineRule="auto"/>
      <w:ind w:firstLine="420" w:firstLineChars="175"/>
    </w:pPr>
    <w:rPr>
      <w:rFonts w:ascii="宋体"/>
      <w:b/>
      <w:bCs/>
      <w:kern w:val="0"/>
      <w:sz w:val="24"/>
      <w:szCs w:val="24"/>
    </w:rPr>
  </w:style>
  <w:style w:type="paragraph" w:styleId="32">
    <w:name w:val="Balloon Text"/>
    <w:basedOn w:val="1"/>
    <w:link w:val="82"/>
    <w:autoRedefine/>
    <w:semiHidden/>
    <w:qFormat/>
    <w:uiPriority w:val="99"/>
    <w:rPr>
      <w:kern w:val="0"/>
      <w:sz w:val="18"/>
      <w:szCs w:val="18"/>
    </w:rPr>
  </w:style>
  <w:style w:type="paragraph" w:styleId="33">
    <w:name w:val="footer"/>
    <w:basedOn w:val="1"/>
    <w:link w:val="83"/>
    <w:autoRedefine/>
    <w:unhideWhenUsed/>
    <w:qFormat/>
    <w:uiPriority w:val="99"/>
    <w:pPr>
      <w:tabs>
        <w:tab w:val="center" w:pos="4153"/>
        <w:tab w:val="right" w:pos="8306"/>
      </w:tabs>
      <w:snapToGrid w:val="0"/>
      <w:jc w:val="left"/>
    </w:pPr>
    <w:rPr>
      <w:kern w:val="0"/>
      <w:sz w:val="18"/>
      <w:szCs w:val="18"/>
    </w:rPr>
  </w:style>
  <w:style w:type="paragraph" w:styleId="34">
    <w:name w:val="header"/>
    <w:basedOn w:val="1"/>
    <w:link w:val="84"/>
    <w:autoRedefine/>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35">
    <w:name w:val="toc 1"/>
    <w:basedOn w:val="1"/>
    <w:next w:val="1"/>
    <w:qFormat/>
    <w:uiPriority w:val="39"/>
    <w:pPr>
      <w:tabs>
        <w:tab w:val="left" w:pos="840"/>
        <w:tab w:val="right" w:leader="dot" w:pos="9231"/>
      </w:tabs>
    </w:pPr>
  </w:style>
  <w:style w:type="paragraph" w:styleId="36">
    <w:name w:val="toc 4"/>
    <w:basedOn w:val="1"/>
    <w:next w:val="1"/>
    <w:autoRedefine/>
    <w:qFormat/>
    <w:uiPriority w:val="39"/>
    <w:pPr>
      <w:ind w:left="1260" w:leftChars="600"/>
    </w:pPr>
  </w:style>
  <w:style w:type="paragraph" w:styleId="37">
    <w:name w:val="Subtitle"/>
    <w:basedOn w:val="1"/>
    <w:next w:val="1"/>
    <w:link w:val="85"/>
    <w:autoRedefine/>
    <w:qFormat/>
    <w:uiPriority w:val="99"/>
    <w:pPr>
      <w:spacing w:beforeLines="100" w:afterLines="50" w:line="360" w:lineRule="auto"/>
      <w:jc w:val="center"/>
    </w:pPr>
    <w:rPr>
      <w:rFonts w:ascii="Arial" w:hAnsi="Arial" w:eastAsia="方正魏碑简体"/>
      <w:kern w:val="28"/>
      <w:sz w:val="32"/>
      <w:szCs w:val="32"/>
    </w:rPr>
  </w:style>
  <w:style w:type="paragraph" w:styleId="38">
    <w:name w:val="footnote text"/>
    <w:basedOn w:val="1"/>
    <w:link w:val="86"/>
    <w:autoRedefine/>
    <w:semiHidden/>
    <w:qFormat/>
    <w:uiPriority w:val="99"/>
    <w:pPr>
      <w:snapToGrid w:val="0"/>
      <w:jc w:val="left"/>
    </w:pPr>
    <w:rPr>
      <w:kern w:val="0"/>
      <w:sz w:val="18"/>
      <w:szCs w:val="18"/>
    </w:rPr>
  </w:style>
  <w:style w:type="paragraph" w:styleId="39">
    <w:name w:val="toc 6"/>
    <w:basedOn w:val="1"/>
    <w:next w:val="1"/>
    <w:autoRedefine/>
    <w:qFormat/>
    <w:uiPriority w:val="39"/>
    <w:pPr>
      <w:ind w:left="2100" w:leftChars="1000"/>
    </w:pPr>
  </w:style>
  <w:style w:type="paragraph" w:styleId="40">
    <w:name w:val="Body Text Indent 3"/>
    <w:basedOn w:val="1"/>
    <w:link w:val="87"/>
    <w:autoRedefine/>
    <w:qFormat/>
    <w:uiPriority w:val="99"/>
    <w:pPr>
      <w:spacing w:afterLines="50"/>
      <w:ind w:firstLine="420" w:firstLineChars="200"/>
    </w:pPr>
    <w:rPr>
      <w:kern w:val="0"/>
      <w:sz w:val="20"/>
    </w:rPr>
  </w:style>
  <w:style w:type="paragraph" w:styleId="41">
    <w:name w:val="toc 2"/>
    <w:basedOn w:val="1"/>
    <w:next w:val="1"/>
    <w:autoRedefine/>
    <w:qFormat/>
    <w:uiPriority w:val="39"/>
    <w:pPr>
      <w:tabs>
        <w:tab w:val="left" w:pos="851"/>
        <w:tab w:val="right" w:leader="dot" w:pos="9231"/>
      </w:tabs>
      <w:ind w:left="420" w:leftChars="200"/>
    </w:pPr>
  </w:style>
  <w:style w:type="paragraph" w:styleId="42">
    <w:name w:val="toc 9"/>
    <w:basedOn w:val="1"/>
    <w:next w:val="1"/>
    <w:autoRedefine/>
    <w:qFormat/>
    <w:uiPriority w:val="39"/>
    <w:pPr>
      <w:ind w:left="3360" w:leftChars="1600"/>
    </w:pPr>
  </w:style>
  <w:style w:type="paragraph" w:styleId="43">
    <w:name w:val="Body Text 2"/>
    <w:basedOn w:val="1"/>
    <w:link w:val="88"/>
    <w:autoRedefine/>
    <w:qFormat/>
    <w:uiPriority w:val="99"/>
    <w:pPr>
      <w:spacing w:after="120" w:line="480" w:lineRule="auto"/>
    </w:pPr>
    <w:rPr>
      <w:kern w:val="0"/>
      <w:sz w:val="20"/>
    </w:rPr>
  </w:style>
  <w:style w:type="paragraph" w:styleId="44">
    <w:name w:val="HTML Preformatted"/>
    <w:basedOn w:val="1"/>
    <w:link w:val="89"/>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4"/>
    </w:rPr>
  </w:style>
  <w:style w:type="paragraph" w:styleId="45">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46">
    <w:name w:val="Title"/>
    <w:basedOn w:val="1"/>
    <w:link w:val="90"/>
    <w:autoRedefine/>
    <w:qFormat/>
    <w:uiPriority w:val="99"/>
    <w:pPr>
      <w:spacing w:before="240" w:after="240" w:line="360" w:lineRule="auto"/>
      <w:jc w:val="center"/>
    </w:pPr>
    <w:rPr>
      <w:rFonts w:ascii="Arial" w:hAnsi="Arial" w:eastAsia="黑体"/>
      <w:kern w:val="0"/>
      <w:sz w:val="44"/>
      <w:szCs w:val="44"/>
    </w:rPr>
  </w:style>
  <w:style w:type="paragraph" w:styleId="47">
    <w:name w:val="annotation subject"/>
    <w:basedOn w:val="19"/>
    <w:next w:val="19"/>
    <w:link w:val="91"/>
    <w:autoRedefine/>
    <w:semiHidden/>
    <w:qFormat/>
    <w:uiPriority w:val="99"/>
    <w:rPr>
      <w:b/>
      <w:bCs/>
    </w:rPr>
  </w:style>
  <w:style w:type="paragraph" w:styleId="48">
    <w:name w:val="Body Text First Indent"/>
    <w:basedOn w:val="23"/>
    <w:link w:val="92"/>
    <w:autoRedefine/>
    <w:qFormat/>
    <w:uiPriority w:val="99"/>
    <w:pPr>
      <w:spacing w:after="120" w:line="300" w:lineRule="auto"/>
      <w:ind w:firstLine="510"/>
    </w:pPr>
  </w:style>
  <w:style w:type="table" w:styleId="50">
    <w:name w:val="Table Grid"/>
    <w:basedOn w:val="49"/>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2">
    <w:name w:val="Strong"/>
    <w:autoRedefine/>
    <w:qFormat/>
    <w:uiPriority w:val="99"/>
    <w:rPr>
      <w:b/>
      <w:bCs/>
    </w:rPr>
  </w:style>
  <w:style w:type="character" w:styleId="53">
    <w:name w:val="page number"/>
    <w:autoRedefine/>
    <w:qFormat/>
    <w:uiPriority w:val="99"/>
  </w:style>
  <w:style w:type="character" w:styleId="54">
    <w:name w:val="FollowedHyperlink"/>
    <w:autoRedefine/>
    <w:qFormat/>
    <w:uiPriority w:val="99"/>
    <w:rPr>
      <w:color w:val="337AB7"/>
      <w:u w:val="none"/>
    </w:rPr>
  </w:style>
  <w:style w:type="character" w:styleId="55">
    <w:name w:val="Emphasis"/>
    <w:autoRedefine/>
    <w:qFormat/>
    <w:uiPriority w:val="99"/>
    <w:rPr>
      <w:i/>
      <w:iCs/>
    </w:rPr>
  </w:style>
  <w:style w:type="character" w:styleId="56">
    <w:name w:val="HTML Definition"/>
    <w:autoRedefine/>
    <w:unhideWhenUsed/>
    <w:qFormat/>
    <w:uiPriority w:val="99"/>
    <w:rPr>
      <w:i/>
    </w:rPr>
  </w:style>
  <w:style w:type="character" w:styleId="57">
    <w:name w:val="Hyperlink"/>
    <w:autoRedefine/>
    <w:qFormat/>
    <w:uiPriority w:val="99"/>
    <w:rPr>
      <w:color w:val="337AB7"/>
      <w:u w:val="none"/>
    </w:rPr>
  </w:style>
  <w:style w:type="character" w:styleId="58">
    <w:name w:val="HTML Code"/>
    <w:autoRedefine/>
    <w:unhideWhenUsed/>
    <w:qFormat/>
    <w:uiPriority w:val="99"/>
    <w:rPr>
      <w:rFonts w:hint="default" w:ascii="Consolas" w:hAnsi="Consolas" w:eastAsia="Consolas" w:cs="Consolas"/>
      <w:color w:val="C7254E"/>
      <w:sz w:val="21"/>
      <w:szCs w:val="21"/>
      <w:shd w:val="clear" w:color="auto" w:fill="F9F2F4"/>
    </w:rPr>
  </w:style>
  <w:style w:type="character" w:styleId="59">
    <w:name w:val="annotation reference"/>
    <w:autoRedefine/>
    <w:semiHidden/>
    <w:qFormat/>
    <w:uiPriority w:val="99"/>
    <w:rPr>
      <w:sz w:val="21"/>
      <w:szCs w:val="21"/>
    </w:rPr>
  </w:style>
  <w:style w:type="character" w:styleId="60">
    <w:name w:val="HTML Keyboard"/>
    <w:autoRedefine/>
    <w:unhideWhenUsed/>
    <w:qFormat/>
    <w:uiPriority w:val="99"/>
    <w:rPr>
      <w:rFonts w:ascii="Consolas" w:hAnsi="Consolas" w:eastAsia="Consolas" w:cs="Consolas"/>
      <w:color w:val="FFFFFF"/>
      <w:sz w:val="21"/>
      <w:szCs w:val="21"/>
      <w:shd w:val="clear" w:color="auto" w:fill="333333"/>
    </w:rPr>
  </w:style>
  <w:style w:type="character" w:styleId="61">
    <w:name w:val="HTML Sample"/>
    <w:autoRedefine/>
    <w:unhideWhenUsed/>
    <w:qFormat/>
    <w:uiPriority w:val="99"/>
    <w:rPr>
      <w:rFonts w:hint="default" w:ascii="Consolas" w:hAnsi="Consolas" w:eastAsia="Consolas" w:cs="Consolas"/>
      <w:b/>
      <w:color w:val="FFFFFF"/>
      <w:sz w:val="21"/>
      <w:szCs w:val="21"/>
      <w:shd w:val="clear" w:color="auto" w:fill="777777"/>
    </w:rPr>
  </w:style>
  <w:style w:type="character" w:customStyle="1" w:styleId="62">
    <w:name w:val="标题 1 字符"/>
    <w:link w:val="2"/>
    <w:autoRedefine/>
    <w:qFormat/>
    <w:uiPriority w:val="99"/>
    <w:rPr>
      <w:rFonts w:ascii="Times New Roman" w:hAnsi="Times New Roman" w:eastAsia="宋体" w:cs="Times New Roman"/>
      <w:b/>
      <w:bCs/>
      <w:kern w:val="44"/>
      <w:sz w:val="44"/>
      <w:szCs w:val="44"/>
    </w:rPr>
  </w:style>
  <w:style w:type="character" w:customStyle="1" w:styleId="63">
    <w:name w:val="标题 2 字符"/>
    <w:link w:val="3"/>
    <w:autoRedefine/>
    <w:qFormat/>
    <w:locked/>
    <w:uiPriority w:val="99"/>
    <w:rPr>
      <w:rFonts w:ascii="Cambria" w:hAnsi="Cambria" w:eastAsia="宋体" w:cs="Times New Roman"/>
      <w:b/>
      <w:bCs/>
      <w:kern w:val="0"/>
      <w:sz w:val="32"/>
      <w:szCs w:val="32"/>
    </w:rPr>
  </w:style>
  <w:style w:type="character" w:customStyle="1" w:styleId="64">
    <w:name w:val="标题 3 字符"/>
    <w:link w:val="4"/>
    <w:autoRedefine/>
    <w:qFormat/>
    <w:uiPriority w:val="99"/>
    <w:rPr>
      <w:rFonts w:ascii="Times New Roman" w:hAnsi="Times New Roman" w:eastAsia="宋体" w:cs="Times New Roman"/>
      <w:b/>
      <w:bCs/>
      <w:sz w:val="32"/>
      <w:szCs w:val="32"/>
    </w:rPr>
  </w:style>
  <w:style w:type="character" w:customStyle="1" w:styleId="65">
    <w:name w:val="标题 4 字符"/>
    <w:link w:val="5"/>
    <w:autoRedefine/>
    <w:qFormat/>
    <w:uiPriority w:val="99"/>
    <w:rPr>
      <w:rFonts w:ascii="Arial" w:hAnsi="Arial" w:eastAsia="黑体" w:cs="Times New Roman"/>
      <w:b/>
      <w:bCs/>
      <w:sz w:val="28"/>
      <w:szCs w:val="28"/>
    </w:rPr>
  </w:style>
  <w:style w:type="character" w:customStyle="1" w:styleId="66">
    <w:name w:val="标题 5 字符"/>
    <w:link w:val="6"/>
    <w:autoRedefine/>
    <w:qFormat/>
    <w:uiPriority w:val="99"/>
    <w:rPr>
      <w:rFonts w:ascii="Times New Roman" w:hAnsi="Times New Roman" w:eastAsia="宋体" w:cs="Times New Roman"/>
      <w:b/>
      <w:bCs/>
      <w:kern w:val="0"/>
      <w:sz w:val="28"/>
      <w:szCs w:val="28"/>
    </w:rPr>
  </w:style>
  <w:style w:type="character" w:customStyle="1" w:styleId="67">
    <w:name w:val="正文缩进 字符"/>
    <w:link w:val="7"/>
    <w:qFormat/>
    <w:locked/>
    <w:uiPriority w:val="99"/>
    <w:rPr>
      <w:rFonts w:ascii="Times New Roman" w:hAnsi="Times New Roman" w:eastAsia="宋体" w:cs="Times New Roman"/>
      <w:szCs w:val="21"/>
    </w:rPr>
  </w:style>
  <w:style w:type="character" w:customStyle="1" w:styleId="68">
    <w:name w:val="标题 6 字符"/>
    <w:link w:val="8"/>
    <w:autoRedefine/>
    <w:qFormat/>
    <w:uiPriority w:val="99"/>
    <w:rPr>
      <w:rFonts w:ascii="Arial" w:hAnsi="Arial" w:eastAsia="黑体" w:cs="Times New Roman"/>
      <w:b/>
      <w:bCs/>
      <w:kern w:val="0"/>
      <w:sz w:val="24"/>
      <w:szCs w:val="24"/>
    </w:rPr>
  </w:style>
  <w:style w:type="character" w:customStyle="1" w:styleId="69">
    <w:name w:val="标题 7 字符"/>
    <w:link w:val="9"/>
    <w:autoRedefine/>
    <w:qFormat/>
    <w:uiPriority w:val="99"/>
    <w:rPr>
      <w:rFonts w:ascii="Times New Roman" w:hAnsi="Times New Roman" w:eastAsia="宋体" w:cs="Times New Roman"/>
      <w:b/>
      <w:bCs/>
      <w:kern w:val="0"/>
      <w:sz w:val="24"/>
      <w:szCs w:val="24"/>
    </w:rPr>
  </w:style>
  <w:style w:type="character" w:customStyle="1" w:styleId="70">
    <w:name w:val="标题 8 字符"/>
    <w:link w:val="10"/>
    <w:autoRedefine/>
    <w:qFormat/>
    <w:uiPriority w:val="99"/>
    <w:rPr>
      <w:rFonts w:ascii="Arial" w:hAnsi="Arial" w:eastAsia="黑体" w:cs="Times New Roman"/>
      <w:kern w:val="0"/>
      <w:sz w:val="24"/>
      <w:szCs w:val="24"/>
    </w:rPr>
  </w:style>
  <w:style w:type="character" w:customStyle="1" w:styleId="71">
    <w:name w:val="标题 9 字符"/>
    <w:link w:val="11"/>
    <w:autoRedefine/>
    <w:qFormat/>
    <w:uiPriority w:val="99"/>
    <w:rPr>
      <w:rFonts w:ascii="Arial" w:hAnsi="Arial" w:eastAsia="黑体" w:cs="Times New Roman"/>
      <w:kern w:val="0"/>
      <w:sz w:val="20"/>
      <w:szCs w:val="20"/>
    </w:rPr>
  </w:style>
  <w:style w:type="character" w:customStyle="1" w:styleId="72">
    <w:name w:val="注释标题 字符"/>
    <w:link w:val="13"/>
    <w:autoRedefine/>
    <w:qFormat/>
    <w:uiPriority w:val="99"/>
    <w:rPr>
      <w:rFonts w:ascii="Times New Roman" w:hAnsi="Times New Roman" w:eastAsia="宋体" w:cs="Times New Roman"/>
      <w:szCs w:val="21"/>
    </w:rPr>
  </w:style>
  <w:style w:type="character" w:customStyle="1" w:styleId="73">
    <w:name w:val="文档结构图 字符"/>
    <w:link w:val="18"/>
    <w:autoRedefine/>
    <w:semiHidden/>
    <w:qFormat/>
    <w:uiPriority w:val="99"/>
    <w:rPr>
      <w:rFonts w:ascii="Times New Roman" w:hAnsi="Times New Roman" w:eastAsia="宋体" w:cs="Times New Roman"/>
      <w:szCs w:val="21"/>
      <w:shd w:val="clear" w:color="auto" w:fill="000080"/>
    </w:rPr>
  </w:style>
  <w:style w:type="character" w:customStyle="1" w:styleId="74">
    <w:name w:val="批注文字 字符"/>
    <w:link w:val="19"/>
    <w:autoRedefine/>
    <w:qFormat/>
    <w:uiPriority w:val="99"/>
    <w:rPr>
      <w:rFonts w:ascii="Times New Roman" w:hAnsi="Times New Roman" w:eastAsia="宋体" w:cs="Times New Roman"/>
      <w:szCs w:val="21"/>
    </w:rPr>
  </w:style>
  <w:style w:type="character" w:customStyle="1" w:styleId="75">
    <w:name w:val="称呼 字符"/>
    <w:link w:val="20"/>
    <w:autoRedefine/>
    <w:qFormat/>
    <w:uiPriority w:val="99"/>
    <w:rPr>
      <w:rFonts w:ascii="Times New Roman" w:hAnsi="Times New Roman" w:eastAsia="宋体" w:cs="Times New Roman"/>
      <w:sz w:val="24"/>
      <w:szCs w:val="24"/>
    </w:rPr>
  </w:style>
  <w:style w:type="character" w:customStyle="1" w:styleId="76">
    <w:name w:val="正文文本 3 字符"/>
    <w:link w:val="21"/>
    <w:autoRedefine/>
    <w:qFormat/>
    <w:uiPriority w:val="99"/>
    <w:rPr>
      <w:rFonts w:ascii="Times New Roman" w:hAnsi="Times New Roman" w:eastAsia="宋体" w:cs="Times New Roman"/>
      <w:sz w:val="16"/>
      <w:szCs w:val="16"/>
    </w:rPr>
  </w:style>
  <w:style w:type="character" w:customStyle="1" w:styleId="77">
    <w:name w:val="正文文本 字符"/>
    <w:link w:val="23"/>
    <w:autoRedefine/>
    <w:qFormat/>
    <w:uiPriority w:val="99"/>
    <w:rPr>
      <w:rFonts w:ascii="Times New Roman" w:hAnsi="Times New Roman" w:eastAsia="宋体" w:cs="Times New Roman"/>
      <w:sz w:val="24"/>
      <w:szCs w:val="24"/>
    </w:rPr>
  </w:style>
  <w:style w:type="character" w:customStyle="1" w:styleId="78">
    <w:name w:val="正文文本缩进 字符"/>
    <w:link w:val="24"/>
    <w:autoRedefine/>
    <w:qFormat/>
    <w:uiPriority w:val="0"/>
    <w:rPr>
      <w:rFonts w:ascii="Times New Roman" w:hAnsi="Times New Roman" w:eastAsia="宋体" w:cs="Times New Roman"/>
      <w:b/>
      <w:bCs/>
      <w:sz w:val="24"/>
      <w:szCs w:val="24"/>
    </w:rPr>
  </w:style>
  <w:style w:type="character" w:customStyle="1" w:styleId="79">
    <w:name w:val="纯文本 字符"/>
    <w:link w:val="28"/>
    <w:autoRedefine/>
    <w:qFormat/>
    <w:uiPriority w:val="99"/>
    <w:rPr>
      <w:rFonts w:ascii="宋体" w:hAnsi="Courier New" w:eastAsia="宋体" w:cs="Times New Roman"/>
      <w:szCs w:val="21"/>
    </w:rPr>
  </w:style>
  <w:style w:type="character" w:customStyle="1" w:styleId="80">
    <w:name w:val="日期 字符"/>
    <w:link w:val="30"/>
    <w:autoRedefine/>
    <w:qFormat/>
    <w:uiPriority w:val="99"/>
    <w:rPr>
      <w:rFonts w:ascii="Times New Roman" w:hAnsi="Times New Roman" w:eastAsia="宋体" w:cs="Times New Roman"/>
      <w:szCs w:val="21"/>
    </w:rPr>
  </w:style>
  <w:style w:type="character" w:customStyle="1" w:styleId="81">
    <w:name w:val="正文文本缩进 2 字符"/>
    <w:link w:val="31"/>
    <w:autoRedefine/>
    <w:qFormat/>
    <w:uiPriority w:val="99"/>
    <w:rPr>
      <w:rFonts w:ascii="宋体" w:hAnsi="Times New Roman" w:eastAsia="宋体" w:cs="Times New Roman"/>
      <w:b/>
      <w:bCs/>
      <w:sz w:val="24"/>
      <w:szCs w:val="24"/>
    </w:rPr>
  </w:style>
  <w:style w:type="character" w:customStyle="1" w:styleId="82">
    <w:name w:val="批注框文本 字符"/>
    <w:link w:val="32"/>
    <w:autoRedefine/>
    <w:semiHidden/>
    <w:qFormat/>
    <w:uiPriority w:val="99"/>
    <w:rPr>
      <w:rFonts w:ascii="Times New Roman" w:hAnsi="Times New Roman" w:eastAsia="宋体" w:cs="Times New Roman"/>
      <w:sz w:val="18"/>
      <w:szCs w:val="18"/>
    </w:rPr>
  </w:style>
  <w:style w:type="character" w:customStyle="1" w:styleId="83">
    <w:name w:val="页脚 字符"/>
    <w:link w:val="33"/>
    <w:qFormat/>
    <w:uiPriority w:val="99"/>
    <w:rPr>
      <w:sz w:val="18"/>
      <w:szCs w:val="18"/>
    </w:rPr>
  </w:style>
  <w:style w:type="character" w:customStyle="1" w:styleId="84">
    <w:name w:val="页眉 字符"/>
    <w:link w:val="34"/>
    <w:autoRedefine/>
    <w:qFormat/>
    <w:uiPriority w:val="99"/>
    <w:rPr>
      <w:sz w:val="18"/>
      <w:szCs w:val="18"/>
    </w:rPr>
  </w:style>
  <w:style w:type="character" w:customStyle="1" w:styleId="85">
    <w:name w:val="副标题 字符"/>
    <w:link w:val="37"/>
    <w:autoRedefine/>
    <w:qFormat/>
    <w:uiPriority w:val="99"/>
    <w:rPr>
      <w:rFonts w:ascii="Arial" w:hAnsi="Arial" w:eastAsia="方正魏碑简体" w:cs="Times New Roman"/>
      <w:kern w:val="28"/>
      <w:sz w:val="32"/>
      <w:szCs w:val="32"/>
    </w:rPr>
  </w:style>
  <w:style w:type="character" w:customStyle="1" w:styleId="86">
    <w:name w:val="脚注文本 字符"/>
    <w:link w:val="38"/>
    <w:semiHidden/>
    <w:qFormat/>
    <w:locked/>
    <w:uiPriority w:val="99"/>
    <w:rPr>
      <w:rFonts w:ascii="Times New Roman" w:hAnsi="Times New Roman" w:eastAsia="宋体" w:cs="Times New Roman"/>
      <w:sz w:val="18"/>
      <w:szCs w:val="18"/>
    </w:rPr>
  </w:style>
  <w:style w:type="character" w:customStyle="1" w:styleId="87">
    <w:name w:val="正文文本缩进 3 字符"/>
    <w:link w:val="40"/>
    <w:autoRedefine/>
    <w:qFormat/>
    <w:uiPriority w:val="99"/>
    <w:rPr>
      <w:rFonts w:ascii="Times New Roman" w:hAnsi="Times New Roman" w:eastAsia="宋体" w:cs="Times New Roman"/>
      <w:szCs w:val="21"/>
    </w:rPr>
  </w:style>
  <w:style w:type="character" w:customStyle="1" w:styleId="88">
    <w:name w:val="正文文本 2 字符"/>
    <w:link w:val="43"/>
    <w:autoRedefine/>
    <w:qFormat/>
    <w:uiPriority w:val="99"/>
    <w:rPr>
      <w:rFonts w:ascii="Times New Roman" w:hAnsi="Times New Roman" w:eastAsia="宋体" w:cs="Times New Roman"/>
      <w:szCs w:val="21"/>
    </w:rPr>
  </w:style>
  <w:style w:type="character" w:customStyle="1" w:styleId="89">
    <w:name w:val="HTML 预设格式 字符"/>
    <w:link w:val="44"/>
    <w:qFormat/>
    <w:uiPriority w:val="99"/>
    <w:rPr>
      <w:rFonts w:ascii="宋体" w:hAnsi="Times New Roman" w:eastAsia="宋体" w:cs="Times New Roman"/>
      <w:kern w:val="0"/>
      <w:sz w:val="24"/>
      <w:szCs w:val="24"/>
    </w:rPr>
  </w:style>
  <w:style w:type="character" w:customStyle="1" w:styleId="90">
    <w:name w:val="标题 字符"/>
    <w:link w:val="46"/>
    <w:qFormat/>
    <w:uiPriority w:val="99"/>
    <w:rPr>
      <w:rFonts w:ascii="Arial" w:hAnsi="Arial" w:eastAsia="黑体" w:cs="Times New Roman"/>
      <w:sz w:val="44"/>
      <w:szCs w:val="44"/>
    </w:rPr>
  </w:style>
  <w:style w:type="character" w:customStyle="1" w:styleId="91">
    <w:name w:val="批注主题 字符"/>
    <w:link w:val="47"/>
    <w:semiHidden/>
    <w:qFormat/>
    <w:uiPriority w:val="99"/>
    <w:rPr>
      <w:rFonts w:ascii="Times New Roman" w:hAnsi="Times New Roman" w:eastAsia="宋体" w:cs="Times New Roman"/>
      <w:b/>
      <w:bCs/>
      <w:szCs w:val="21"/>
    </w:rPr>
  </w:style>
  <w:style w:type="character" w:customStyle="1" w:styleId="92">
    <w:name w:val="正文文本首行缩进 字符"/>
    <w:link w:val="48"/>
    <w:qFormat/>
    <w:uiPriority w:val="99"/>
    <w:rPr>
      <w:rFonts w:ascii="Times New Roman" w:hAnsi="Times New Roman" w:eastAsia="宋体" w:cs="Times New Roman"/>
      <w:sz w:val="24"/>
      <w:szCs w:val="24"/>
    </w:rPr>
  </w:style>
  <w:style w:type="character" w:customStyle="1" w:styleId="93">
    <w:name w:val="标题 2 Char"/>
    <w:qFormat/>
    <w:uiPriority w:val="99"/>
    <w:rPr>
      <w:rFonts w:ascii="Cambria" w:hAnsi="Cambria" w:eastAsia="宋体" w:cs="Times New Roman"/>
      <w:b/>
      <w:bCs/>
      <w:sz w:val="32"/>
      <w:szCs w:val="32"/>
    </w:rPr>
  </w:style>
  <w:style w:type="character" w:customStyle="1" w:styleId="94">
    <w:name w:val="脚注文本 Char"/>
    <w:autoRedefine/>
    <w:qFormat/>
    <w:uiPriority w:val="99"/>
    <w:rPr>
      <w:rFonts w:ascii="Times New Roman" w:hAnsi="Times New Roman" w:eastAsia="宋体" w:cs="Times New Roman"/>
      <w:sz w:val="18"/>
      <w:szCs w:val="18"/>
    </w:rPr>
  </w:style>
  <w:style w:type="paragraph" w:customStyle="1" w:styleId="95">
    <w:name w:val="font14"/>
    <w:basedOn w:val="1"/>
    <w:autoRedefine/>
    <w:qFormat/>
    <w:uiPriority w:val="99"/>
    <w:pPr>
      <w:widowControl/>
      <w:spacing w:before="100" w:beforeAutospacing="1" w:after="100" w:afterAutospacing="1"/>
      <w:jc w:val="left"/>
    </w:pPr>
    <w:rPr>
      <w:rFonts w:ascii="Arial" w:hAnsi="Arial" w:cs="Arial"/>
      <w:color w:val="000000"/>
      <w:kern w:val="0"/>
      <w:sz w:val="16"/>
      <w:szCs w:val="16"/>
    </w:rPr>
  </w:style>
  <w:style w:type="paragraph" w:customStyle="1" w:styleId="96">
    <w:name w:val="彩色列表 - 着色 11"/>
    <w:basedOn w:val="1"/>
    <w:autoRedefine/>
    <w:qFormat/>
    <w:uiPriority w:val="99"/>
    <w:pPr>
      <w:autoSpaceDE w:val="0"/>
      <w:autoSpaceDN w:val="0"/>
      <w:adjustRightInd w:val="0"/>
      <w:ind w:firstLine="420" w:firstLineChars="200"/>
      <w:jc w:val="left"/>
      <w:textAlignment w:val="baseline"/>
    </w:pPr>
    <w:rPr>
      <w:rFonts w:ascii="宋体" w:cs="宋体"/>
      <w:kern w:val="0"/>
      <w:sz w:val="34"/>
      <w:szCs w:val="34"/>
    </w:rPr>
  </w:style>
  <w:style w:type="paragraph" w:customStyle="1" w:styleId="97">
    <w:name w:val="xl10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98">
    <w:name w:val="item"/>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99">
    <w:name w:val="普通 (Web)"/>
    <w:basedOn w:val="1"/>
    <w:qFormat/>
    <w:uiPriority w:val="99"/>
    <w:pPr>
      <w:spacing w:line="300" w:lineRule="auto"/>
    </w:pPr>
    <w:rPr>
      <w:sz w:val="24"/>
      <w:szCs w:val="24"/>
    </w:rPr>
  </w:style>
  <w:style w:type="paragraph" w:customStyle="1" w:styleId="100">
    <w:name w:val="p18"/>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01">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02">
    <w:name w:val="Char1"/>
    <w:basedOn w:val="1"/>
    <w:semiHidden/>
    <w:qFormat/>
    <w:uiPriority w:val="99"/>
    <w:pPr>
      <w:widowControl/>
      <w:spacing w:after="160" w:line="240" w:lineRule="exact"/>
      <w:jc w:val="left"/>
    </w:pPr>
    <w:rPr>
      <w:rFonts w:ascii="Verdana" w:hAnsi="Verdana" w:cs="Verdana"/>
      <w:kern w:val="0"/>
      <w:sz w:val="20"/>
      <w:szCs w:val="20"/>
      <w:lang w:eastAsia="en-US"/>
    </w:rPr>
  </w:style>
  <w:style w:type="paragraph" w:customStyle="1" w:styleId="103">
    <w:name w:val="xl59"/>
    <w:basedOn w:val="1"/>
    <w:autoRedefine/>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cs="Arial Unicode MS"/>
      <w:kern w:val="0"/>
      <w:sz w:val="20"/>
      <w:szCs w:val="20"/>
    </w:rPr>
  </w:style>
  <w:style w:type="paragraph" w:customStyle="1" w:styleId="104">
    <w:name w:val="xl26"/>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仿宋" w:hAnsi="华文仿宋" w:eastAsia="华文仿宋" w:cs="华文仿宋"/>
      <w:b/>
      <w:bCs/>
      <w:kern w:val="0"/>
      <w:sz w:val="22"/>
      <w:szCs w:val="22"/>
    </w:rPr>
  </w:style>
  <w:style w:type="paragraph" w:customStyle="1" w:styleId="105">
    <w:name w:val="21"/>
    <w:basedOn w:val="1"/>
    <w:qFormat/>
    <w:uiPriority w:val="99"/>
    <w:pPr>
      <w:widowControl/>
      <w:snapToGrid w:val="0"/>
      <w:spacing w:before="100" w:beforeAutospacing="1" w:after="100" w:afterAutospacing="1"/>
    </w:pPr>
    <w:rPr>
      <w:kern w:val="0"/>
    </w:rPr>
  </w:style>
  <w:style w:type="paragraph" w:customStyle="1" w:styleId="106">
    <w:name w:val="18"/>
    <w:basedOn w:val="1"/>
    <w:autoRedefine/>
    <w:qFormat/>
    <w:uiPriority w:val="99"/>
    <w:pPr>
      <w:widowControl/>
      <w:pBdr>
        <w:bottom w:val="single" w:color="000000" w:sz="6" w:space="1"/>
      </w:pBdr>
      <w:snapToGrid w:val="0"/>
      <w:spacing w:before="100" w:beforeAutospacing="1" w:after="100" w:afterAutospacing="1"/>
      <w:jc w:val="center"/>
    </w:pPr>
    <w:rPr>
      <w:kern w:val="0"/>
      <w:sz w:val="18"/>
      <w:szCs w:val="18"/>
    </w:rPr>
  </w:style>
  <w:style w:type="paragraph" w:customStyle="1" w:styleId="107">
    <w:name w:val="样式 正文文本缩进 + 段前: 2 字符"/>
    <w:basedOn w:val="1"/>
    <w:qFormat/>
    <w:uiPriority w:val="99"/>
    <w:pPr>
      <w:ind w:left="420" w:leftChars="200"/>
      <w:jc w:val="left"/>
    </w:pPr>
    <w:rPr>
      <w:sz w:val="28"/>
      <w:szCs w:val="28"/>
      <w:lang w:eastAsia="zh-TW"/>
    </w:rPr>
  </w:style>
  <w:style w:type="paragraph" w:customStyle="1" w:styleId="108">
    <w:name w:val="xl130"/>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09">
    <w:name w:val="xl93"/>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6"/>
      <w:szCs w:val="16"/>
    </w:rPr>
  </w:style>
  <w:style w:type="paragraph" w:customStyle="1" w:styleId="110">
    <w:name w:val="xl10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111">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0"/>
      <w:szCs w:val="20"/>
    </w:rPr>
  </w:style>
  <w:style w:type="paragraph" w:customStyle="1" w:styleId="112">
    <w:name w:val="xl38"/>
    <w:basedOn w:val="1"/>
    <w:qFormat/>
    <w:uiPriority w:val="99"/>
    <w:pPr>
      <w:widowControl/>
      <w:pBdr>
        <w:top w:val="single" w:color="auto" w:sz="4" w:space="0"/>
        <w:bottom w:val="single" w:color="auto" w:sz="4" w:space="0"/>
      </w:pBdr>
      <w:spacing w:before="100" w:beforeAutospacing="1" w:after="100" w:afterAutospacing="1"/>
      <w:jc w:val="center"/>
    </w:pPr>
    <w:rPr>
      <w:rFonts w:ascii="Arial Unicode MS" w:hAnsi="Arial Unicode MS" w:cs="Arial Unicode MS"/>
      <w:kern w:val="0"/>
      <w:sz w:val="20"/>
      <w:szCs w:val="20"/>
    </w:rPr>
  </w:style>
  <w:style w:type="paragraph" w:customStyle="1" w:styleId="113">
    <w:name w:val="xl44"/>
    <w:basedOn w:val="1"/>
    <w:autoRedefine/>
    <w:qFormat/>
    <w:uiPriority w:val="99"/>
    <w:pPr>
      <w:widowControl/>
      <w:pBdr>
        <w:top w:val="single" w:color="auto" w:sz="4" w:space="0"/>
      </w:pBdr>
      <w:spacing w:before="100" w:beforeAutospacing="1" w:after="100" w:afterAutospacing="1"/>
      <w:jc w:val="left"/>
      <w:textAlignment w:val="bottom"/>
    </w:pPr>
    <w:rPr>
      <w:rFonts w:ascii="Arial Unicode MS" w:hAnsi="Arial Unicode MS" w:cs="Arial Unicode MS"/>
      <w:kern w:val="0"/>
      <w:sz w:val="20"/>
      <w:szCs w:val="20"/>
    </w:rPr>
  </w:style>
  <w:style w:type="paragraph" w:customStyle="1" w:styleId="114">
    <w:name w:val="xl8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16"/>
      <w:szCs w:val="16"/>
    </w:rPr>
  </w:style>
  <w:style w:type="paragraph" w:customStyle="1" w:styleId="115">
    <w:name w:val="xl10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16">
    <w:name w:val="font16"/>
    <w:basedOn w:val="1"/>
    <w:autoRedefine/>
    <w:qFormat/>
    <w:uiPriority w:val="99"/>
    <w:pPr>
      <w:widowControl/>
      <w:spacing w:before="100" w:beforeAutospacing="1" w:after="100" w:afterAutospacing="1"/>
      <w:jc w:val="left"/>
    </w:pPr>
    <w:rPr>
      <w:rFonts w:ascii="宋体" w:hAnsi="宋体" w:cs="宋体"/>
      <w:kern w:val="0"/>
      <w:sz w:val="16"/>
      <w:szCs w:val="16"/>
    </w:rPr>
  </w:style>
  <w:style w:type="paragraph" w:customStyle="1" w:styleId="117">
    <w:name w:val="xl11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118">
    <w:name w:val="Char11"/>
    <w:basedOn w:val="1"/>
    <w:autoRedefine/>
    <w:qFormat/>
    <w:uiPriority w:val="99"/>
    <w:pPr>
      <w:tabs>
        <w:tab w:val="left" w:pos="360"/>
      </w:tabs>
    </w:pPr>
    <w:rPr>
      <w:sz w:val="24"/>
      <w:szCs w:val="24"/>
    </w:rPr>
  </w:style>
  <w:style w:type="paragraph" w:customStyle="1" w:styleId="119">
    <w:name w:val="font8"/>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120">
    <w:name w:val="xl137"/>
    <w:basedOn w:val="1"/>
    <w:autoRedefine/>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21">
    <w:name w:val="TOC Heading1"/>
    <w:basedOn w:val="2"/>
    <w:next w:val="1"/>
    <w:autoRedefine/>
    <w:qFormat/>
    <w:uiPriority w:val="99"/>
    <w:pPr>
      <w:widowControl/>
      <w:spacing w:before="480" w:after="0" w:line="276" w:lineRule="auto"/>
      <w:jc w:val="left"/>
      <w:outlineLvl w:val="9"/>
    </w:pPr>
    <w:rPr>
      <w:rFonts w:ascii="Cambria" w:hAnsi="Cambria" w:cs="Cambria"/>
      <w:color w:val="365F91"/>
      <w:kern w:val="0"/>
      <w:sz w:val="28"/>
      <w:szCs w:val="28"/>
    </w:rPr>
  </w:style>
  <w:style w:type="paragraph" w:customStyle="1" w:styleId="122">
    <w:name w:val="标准款样式"/>
    <w:basedOn w:val="1"/>
    <w:link w:val="123"/>
    <w:autoRedefine/>
    <w:qFormat/>
    <w:uiPriority w:val="99"/>
    <w:rPr>
      <w:rFonts w:ascii="黑体" w:hAnsi="宋体"/>
      <w:kern w:val="0"/>
      <w:sz w:val="20"/>
    </w:rPr>
  </w:style>
  <w:style w:type="character" w:customStyle="1" w:styleId="123">
    <w:name w:val="标准款样式 Char"/>
    <w:link w:val="122"/>
    <w:autoRedefine/>
    <w:qFormat/>
    <w:locked/>
    <w:uiPriority w:val="99"/>
    <w:rPr>
      <w:rFonts w:ascii="黑体" w:hAnsi="宋体" w:eastAsia="宋体" w:cs="Times New Roman"/>
      <w:szCs w:val="21"/>
    </w:rPr>
  </w:style>
  <w:style w:type="paragraph" w:customStyle="1" w:styleId="124">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16"/>
      <w:szCs w:val="16"/>
    </w:rPr>
  </w:style>
  <w:style w:type="paragraph" w:customStyle="1" w:styleId="125">
    <w:name w:val="xl125"/>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126">
    <w:name w:val="xl8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kern w:val="0"/>
      <w:sz w:val="16"/>
      <w:szCs w:val="16"/>
    </w:rPr>
  </w:style>
  <w:style w:type="paragraph" w:customStyle="1" w:styleId="127">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kern w:val="0"/>
      <w:sz w:val="16"/>
      <w:szCs w:val="16"/>
    </w:rPr>
  </w:style>
  <w:style w:type="paragraph" w:customStyle="1" w:styleId="128">
    <w:name w:val="xl36"/>
    <w:basedOn w:val="1"/>
    <w:autoRedefine/>
    <w:qFormat/>
    <w:uiPriority w:val="99"/>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cs="Arial Unicode MS"/>
      <w:kern w:val="0"/>
      <w:sz w:val="22"/>
      <w:szCs w:val="22"/>
    </w:rPr>
  </w:style>
  <w:style w:type="paragraph" w:customStyle="1" w:styleId="129">
    <w:name w:val="xl126"/>
    <w:basedOn w:val="1"/>
    <w:autoRedefine/>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cs="宋体"/>
      <w:kern w:val="0"/>
      <w:sz w:val="18"/>
      <w:szCs w:val="18"/>
    </w:rPr>
  </w:style>
  <w:style w:type="paragraph" w:customStyle="1" w:styleId="130">
    <w:name w:val="xl9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6"/>
      <w:szCs w:val="16"/>
    </w:rPr>
  </w:style>
  <w:style w:type="paragraph" w:customStyle="1" w:styleId="131">
    <w:name w:val="+正文 Char Char3 Char Char"/>
    <w:basedOn w:val="1"/>
    <w:link w:val="132"/>
    <w:autoRedefine/>
    <w:qFormat/>
    <w:uiPriority w:val="99"/>
    <w:pPr>
      <w:spacing w:line="360" w:lineRule="auto"/>
      <w:ind w:firstLine="200" w:firstLineChars="200"/>
    </w:pPr>
    <w:rPr>
      <w:rFonts w:ascii="宋体"/>
      <w:kern w:val="0"/>
      <w:sz w:val="24"/>
      <w:szCs w:val="24"/>
    </w:rPr>
  </w:style>
  <w:style w:type="character" w:customStyle="1" w:styleId="132">
    <w:name w:val="+正文 Char Char3 Char Char Char Char"/>
    <w:link w:val="131"/>
    <w:autoRedefine/>
    <w:qFormat/>
    <w:locked/>
    <w:uiPriority w:val="99"/>
    <w:rPr>
      <w:rFonts w:ascii="宋体" w:hAnsi="Times New Roman" w:eastAsia="宋体" w:cs="Times New Roman"/>
      <w:sz w:val="24"/>
      <w:szCs w:val="24"/>
    </w:rPr>
  </w:style>
  <w:style w:type="paragraph" w:customStyle="1" w:styleId="133">
    <w:name w:val="修订1"/>
    <w:autoRedefine/>
    <w:semiHidden/>
    <w:qFormat/>
    <w:uiPriority w:val="99"/>
    <w:rPr>
      <w:rFonts w:ascii="Times New Roman" w:hAnsi="Times New Roman" w:eastAsia="宋体" w:cs="Times New Roman"/>
      <w:kern w:val="2"/>
      <w:sz w:val="21"/>
      <w:szCs w:val="21"/>
      <w:lang w:val="en-US" w:eastAsia="zh-CN" w:bidi="ar-SA"/>
    </w:rPr>
  </w:style>
  <w:style w:type="paragraph" w:customStyle="1" w:styleId="134">
    <w:name w:val="xl136"/>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135">
    <w:name w:val="xl27"/>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kern w:val="0"/>
      <w:sz w:val="22"/>
      <w:szCs w:val="22"/>
    </w:rPr>
  </w:style>
  <w:style w:type="paragraph" w:customStyle="1" w:styleId="136">
    <w:name w:val="xl34"/>
    <w:basedOn w:val="1"/>
    <w:autoRedefine/>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cs="Arial Unicode MS"/>
      <w:kern w:val="0"/>
      <w:sz w:val="20"/>
      <w:szCs w:val="20"/>
    </w:rPr>
  </w:style>
  <w:style w:type="paragraph" w:customStyle="1" w:styleId="137">
    <w:name w:val="xl135"/>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138">
    <w:name w:val="Char2"/>
    <w:basedOn w:val="1"/>
    <w:autoRedefine/>
    <w:qFormat/>
    <w:uiPriority w:val="99"/>
    <w:pPr>
      <w:tabs>
        <w:tab w:val="left" w:pos="360"/>
      </w:tabs>
    </w:pPr>
    <w:rPr>
      <w:sz w:val="24"/>
      <w:szCs w:val="24"/>
    </w:rPr>
  </w:style>
  <w:style w:type="paragraph" w:customStyle="1" w:styleId="139">
    <w:name w:val="Style4"/>
    <w:basedOn w:val="5"/>
    <w:autoRedefine/>
    <w:qFormat/>
    <w:uiPriority w:val="99"/>
    <w:pPr>
      <w:keepNext w:val="0"/>
      <w:keepLines w:val="0"/>
      <w:widowControl/>
      <w:tabs>
        <w:tab w:val="left" w:pos="425"/>
        <w:tab w:val="left" w:pos="697"/>
        <w:tab w:val="left" w:pos="1417"/>
        <w:tab w:val="left" w:pos="1616"/>
        <w:tab w:val="left" w:pos="1914"/>
        <w:tab w:val="left" w:pos="2162"/>
        <w:tab w:val="left" w:pos="2411"/>
        <w:tab w:val="left" w:pos="3685"/>
        <w:tab w:val="right" w:pos="4536"/>
        <w:tab w:val="left" w:pos="4819"/>
        <w:tab w:val="left" w:pos="5952"/>
        <w:tab w:val="left" w:pos="7177"/>
        <w:tab w:val="left" w:pos="822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before="0" w:after="60" w:line="240" w:lineRule="auto"/>
      <w:jc w:val="left"/>
      <w:outlineLvl w:val="9"/>
    </w:pPr>
    <w:rPr>
      <w:rFonts w:ascii="Times New Roman" w:hAnsi="Times New Roman" w:eastAsia="宋体"/>
      <w:b w:val="0"/>
      <w:bCs w:val="0"/>
      <w:lang w:val="fr-FR" w:eastAsia="en-US"/>
    </w:rPr>
  </w:style>
  <w:style w:type="paragraph" w:styleId="140">
    <w:name w:val="Intense Quote"/>
    <w:basedOn w:val="1"/>
    <w:next w:val="1"/>
    <w:link w:val="141"/>
    <w:autoRedefine/>
    <w:qFormat/>
    <w:uiPriority w:val="99"/>
    <w:pPr>
      <w:widowControl/>
      <w:pBdr>
        <w:bottom w:val="single" w:color="4F81BD" w:sz="4" w:space="4"/>
      </w:pBdr>
      <w:spacing w:before="200" w:after="280" w:line="276" w:lineRule="auto"/>
      <w:ind w:left="936" w:right="936"/>
      <w:jc w:val="left"/>
    </w:pPr>
    <w:rPr>
      <w:b/>
      <w:bCs/>
      <w:i/>
      <w:iCs/>
      <w:color w:val="4F81BD"/>
      <w:kern w:val="0"/>
      <w:sz w:val="20"/>
    </w:rPr>
  </w:style>
  <w:style w:type="character" w:customStyle="1" w:styleId="141">
    <w:name w:val="明显引用 字符"/>
    <w:link w:val="140"/>
    <w:autoRedefine/>
    <w:qFormat/>
    <w:uiPriority w:val="99"/>
    <w:rPr>
      <w:rFonts w:ascii="Times New Roman" w:hAnsi="Times New Roman" w:eastAsia="宋体" w:cs="Times New Roman"/>
      <w:b/>
      <w:bCs/>
      <w:i/>
      <w:iCs/>
      <w:color w:val="4F81BD"/>
      <w:szCs w:val="21"/>
    </w:rPr>
  </w:style>
  <w:style w:type="paragraph" w:customStyle="1" w:styleId="142">
    <w:name w:val="font10"/>
    <w:basedOn w:val="1"/>
    <w:autoRedefine/>
    <w:qFormat/>
    <w:uiPriority w:val="0"/>
    <w:pPr>
      <w:widowControl/>
      <w:spacing w:before="100" w:beforeAutospacing="1" w:after="100" w:afterAutospacing="1"/>
      <w:jc w:val="left"/>
    </w:pPr>
    <w:rPr>
      <w:kern w:val="0"/>
      <w:sz w:val="16"/>
      <w:szCs w:val="16"/>
    </w:rPr>
  </w:style>
  <w:style w:type="paragraph" w:customStyle="1" w:styleId="143">
    <w:name w:val="xl10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44">
    <w:name w:val="xl132"/>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b/>
      <w:bCs/>
      <w:kern w:val="0"/>
      <w:sz w:val="20"/>
      <w:szCs w:val="20"/>
    </w:rPr>
  </w:style>
  <w:style w:type="paragraph" w:customStyle="1" w:styleId="145">
    <w:name w:val="xl80"/>
    <w:basedOn w:val="1"/>
    <w:autoRedefine/>
    <w:qFormat/>
    <w:uiPriority w:val="0"/>
    <w:pPr>
      <w:widowControl/>
      <w:spacing w:before="100" w:beforeAutospacing="1" w:after="100" w:afterAutospacing="1"/>
      <w:jc w:val="left"/>
    </w:pPr>
    <w:rPr>
      <w:rFonts w:ascii="Arial" w:hAnsi="Arial" w:cs="Arial"/>
      <w:kern w:val="0"/>
      <w:sz w:val="16"/>
      <w:szCs w:val="16"/>
    </w:rPr>
  </w:style>
  <w:style w:type="paragraph" w:customStyle="1" w:styleId="146">
    <w:name w:val="xl128"/>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16"/>
      <w:szCs w:val="16"/>
    </w:rPr>
  </w:style>
  <w:style w:type="paragraph" w:customStyle="1" w:styleId="147">
    <w:name w:val="文字列表"/>
    <w:basedOn w:val="48"/>
    <w:autoRedefine/>
    <w:qFormat/>
    <w:uiPriority w:val="99"/>
  </w:style>
  <w:style w:type="paragraph" w:customStyle="1" w:styleId="148">
    <w:name w:val="xl7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149">
    <w:name w:val="图例编号"/>
    <w:basedOn w:val="48"/>
    <w:next w:val="48"/>
    <w:autoRedefine/>
    <w:qFormat/>
    <w:uiPriority w:val="99"/>
  </w:style>
  <w:style w:type="paragraph" w:customStyle="1" w:styleId="150">
    <w:name w:val="xl7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kern w:val="0"/>
      <w:sz w:val="16"/>
      <w:szCs w:val="16"/>
    </w:rPr>
  </w:style>
  <w:style w:type="paragraph" w:customStyle="1" w:styleId="151">
    <w:name w:val="xl10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52">
    <w:name w:val="xl24"/>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kern w:val="0"/>
      <w:sz w:val="20"/>
      <w:szCs w:val="20"/>
    </w:rPr>
  </w:style>
  <w:style w:type="paragraph" w:customStyle="1" w:styleId="153">
    <w:name w:val="xl7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54">
    <w:name w:val="xl120"/>
    <w:basedOn w:val="1"/>
    <w:autoRedefine/>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cs="宋体"/>
      <w:kern w:val="0"/>
      <w:sz w:val="18"/>
      <w:szCs w:val="18"/>
    </w:rPr>
  </w:style>
  <w:style w:type="paragraph" w:customStyle="1" w:styleId="155">
    <w:name w:val="xl10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56">
    <w:name w:val="Char1 Char Char Char Char Char Char Char Char Char"/>
    <w:basedOn w:val="1"/>
    <w:autoRedefine/>
    <w:qFormat/>
    <w:uiPriority w:val="99"/>
    <w:rPr>
      <w:rFonts w:ascii="Tahoma" w:hAnsi="Tahoma" w:cs="Tahoma"/>
      <w:sz w:val="24"/>
      <w:szCs w:val="24"/>
    </w:rPr>
  </w:style>
  <w:style w:type="paragraph" w:styleId="157">
    <w:name w:val="No Spacing"/>
    <w:autoRedefine/>
    <w:qFormat/>
    <w:uiPriority w:val="99"/>
    <w:rPr>
      <w:rFonts w:ascii="Calibri" w:hAnsi="Calibri" w:eastAsia="宋体" w:cs="Calibri"/>
      <w:sz w:val="22"/>
      <w:szCs w:val="22"/>
      <w:lang w:val="en-US" w:eastAsia="en-US" w:bidi="ar-SA"/>
    </w:rPr>
  </w:style>
  <w:style w:type="paragraph" w:customStyle="1" w:styleId="158">
    <w:name w:val="24"/>
    <w:basedOn w:val="1"/>
    <w:autoRedefine/>
    <w:qFormat/>
    <w:uiPriority w:val="99"/>
    <w:pPr>
      <w:widowControl/>
      <w:snapToGrid w:val="0"/>
      <w:spacing w:before="100" w:beforeAutospacing="1" w:after="100" w:afterAutospacing="1"/>
      <w:ind w:firstLine="420"/>
    </w:pPr>
    <w:rPr>
      <w:kern w:val="0"/>
    </w:rPr>
  </w:style>
  <w:style w:type="paragraph" w:customStyle="1" w:styleId="159">
    <w:name w:val="xl102"/>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160">
    <w:name w:val="xl55"/>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cs="Arial Unicode MS"/>
      <w:kern w:val="0"/>
      <w:sz w:val="20"/>
      <w:szCs w:val="20"/>
    </w:rPr>
  </w:style>
  <w:style w:type="paragraph" w:customStyle="1" w:styleId="161">
    <w:name w:val="xl28"/>
    <w:basedOn w:val="1"/>
    <w:autoRedefine/>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cs="Arial Unicode MS"/>
      <w:kern w:val="0"/>
      <w:sz w:val="20"/>
      <w:szCs w:val="20"/>
    </w:rPr>
  </w:style>
  <w:style w:type="paragraph" w:customStyle="1" w:styleId="162">
    <w:name w:val="xl90"/>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163">
    <w:name w:val="点点"/>
    <w:basedOn w:val="1"/>
    <w:autoRedefine/>
    <w:qFormat/>
    <w:uiPriority w:val="99"/>
    <w:pPr>
      <w:tabs>
        <w:tab w:val="left" w:pos="360"/>
      </w:tabs>
      <w:spacing w:before="120" w:after="120" w:line="360" w:lineRule="auto"/>
      <w:ind w:firstLine="539"/>
    </w:pPr>
    <w:rPr>
      <w:rFonts w:ascii="Arial Narrow" w:hAnsi="Arial Narrow" w:eastAsia="楷体_GB2312" w:cs="Arial Narrow"/>
      <w:sz w:val="24"/>
      <w:szCs w:val="24"/>
    </w:rPr>
  </w:style>
  <w:style w:type="paragraph" w:customStyle="1" w:styleId="164">
    <w:name w:val="xl58"/>
    <w:basedOn w:val="1"/>
    <w:autoRedefine/>
    <w:qFormat/>
    <w:uiPriority w:val="99"/>
    <w:pPr>
      <w:widowControl/>
      <w:pBdr>
        <w:left w:val="single" w:color="auto" w:sz="4" w:space="0"/>
        <w:right w:val="single" w:color="auto" w:sz="4" w:space="0"/>
      </w:pBdr>
      <w:spacing w:before="100" w:beforeAutospacing="1" w:after="100" w:afterAutospacing="1"/>
      <w:jc w:val="center"/>
    </w:pPr>
    <w:rPr>
      <w:rFonts w:ascii="Arial Unicode MS" w:hAnsi="Arial Unicode MS" w:cs="Arial Unicode MS"/>
      <w:kern w:val="0"/>
      <w:sz w:val="20"/>
      <w:szCs w:val="20"/>
    </w:rPr>
  </w:style>
  <w:style w:type="paragraph" w:customStyle="1" w:styleId="165">
    <w:name w:val="xl116"/>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0"/>
      <w:szCs w:val="20"/>
    </w:rPr>
  </w:style>
  <w:style w:type="paragraph" w:customStyle="1" w:styleId="166">
    <w:name w:val="缩进正文"/>
    <w:basedOn w:val="1"/>
    <w:autoRedefine/>
    <w:qFormat/>
    <w:uiPriority w:val="99"/>
    <w:pPr>
      <w:spacing w:beforeLines="25" w:afterLines="25" w:line="360" w:lineRule="auto"/>
      <w:ind w:firstLine="480" w:firstLineChars="200"/>
    </w:pPr>
    <w:rPr>
      <w:sz w:val="24"/>
      <w:szCs w:val="24"/>
    </w:rPr>
  </w:style>
  <w:style w:type="paragraph" w:customStyle="1" w:styleId="167">
    <w:name w:val="Char Char Char Char Char Char Char Char Char Char1"/>
    <w:basedOn w:val="1"/>
    <w:autoRedefine/>
    <w:qFormat/>
    <w:uiPriority w:val="99"/>
    <w:pPr>
      <w:tabs>
        <w:tab w:val="left" w:pos="794"/>
        <w:tab w:val="left" w:pos="1191"/>
        <w:tab w:val="left" w:pos="1588"/>
        <w:tab w:val="left" w:pos="1985"/>
      </w:tabs>
      <w:autoSpaceDE w:val="0"/>
      <w:autoSpaceDN w:val="0"/>
      <w:adjustRightInd w:val="0"/>
      <w:spacing w:before="136"/>
    </w:pPr>
    <w:rPr>
      <w:rFonts w:ascii="Tahoma" w:hAnsi="Tahoma" w:cs="Tahoma"/>
      <w:kern w:val="0"/>
      <w:sz w:val="24"/>
      <w:szCs w:val="24"/>
      <w:lang w:val="en-GB"/>
    </w:rPr>
  </w:style>
  <w:style w:type="paragraph" w:customStyle="1" w:styleId="168">
    <w:name w:val="xl123"/>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i/>
      <w:iCs/>
      <w:kern w:val="0"/>
      <w:sz w:val="20"/>
      <w:szCs w:val="20"/>
    </w:rPr>
  </w:style>
  <w:style w:type="paragraph" w:customStyle="1" w:styleId="169">
    <w:name w:val="xl8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170">
    <w:name w:val="9c"/>
    <w:basedOn w:val="1"/>
    <w:autoRedefine/>
    <w:qFormat/>
    <w:uiPriority w:val="99"/>
    <w:pPr>
      <w:widowControl/>
      <w:spacing w:before="240" w:afterLines="50" w:line="360" w:lineRule="auto"/>
      <w:ind w:left="119"/>
      <w:jc w:val="left"/>
    </w:pPr>
    <w:rPr>
      <w:rFonts w:ascii="Arial" w:hAnsi="Arial" w:cs="Arial"/>
      <w:b/>
      <w:bCs/>
      <w:color w:val="99CCCC"/>
      <w:kern w:val="0"/>
      <w:sz w:val="24"/>
      <w:szCs w:val="24"/>
    </w:rPr>
  </w:style>
  <w:style w:type="paragraph" w:customStyle="1" w:styleId="171">
    <w:name w:val="xl89"/>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16"/>
      <w:szCs w:val="16"/>
    </w:rPr>
  </w:style>
  <w:style w:type="paragraph" w:customStyle="1" w:styleId="172">
    <w:name w:val="xl12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73">
    <w:name w:val="xl11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16"/>
      <w:szCs w:val="16"/>
    </w:rPr>
  </w:style>
  <w:style w:type="paragraph" w:customStyle="1" w:styleId="174">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175">
    <w:name w:val="xl5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cs="Arial Unicode MS"/>
      <w:kern w:val="0"/>
      <w:sz w:val="20"/>
      <w:szCs w:val="20"/>
    </w:rPr>
  </w:style>
  <w:style w:type="paragraph" w:customStyle="1" w:styleId="176">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FF0000"/>
      <w:kern w:val="0"/>
      <w:sz w:val="24"/>
      <w:szCs w:val="24"/>
    </w:rPr>
  </w:style>
  <w:style w:type="paragraph" w:customStyle="1" w:styleId="177">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16"/>
      <w:szCs w:val="16"/>
    </w:rPr>
  </w:style>
  <w:style w:type="paragraph" w:customStyle="1" w:styleId="178">
    <w:name w:val="正文文本缩进 21"/>
    <w:basedOn w:val="1"/>
    <w:qFormat/>
    <w:uiPriority w:val="99"/>
    <w:pPr>
      <w:autoSpaceDE w:val="0"/>
      <w:autoSpaceDN w:val="0"/>
      <w:adjustRightInd w:val="0"/>
      <w:ind w:firstLine="540"/>
      <w:textAlignment w:val="baseline"/>
    </w:pPr>
    <w:rPr>
      <w:sz w:val="24"/>
      <w:szCs w:val="24"/>
    </w:rPr>
  </w:style>
  <w:style w:type="paragraph" w:customStyle="1" w:styleId="179">
    <w:name w:val="font12"/>
    <w:basedOn w:val="1"/>
    <w:qFormat/>
    <w:uiPriority w:val="0"/>
    <w:pPr>
      <w:widowControl/>
      <w:spacing w:before="100" w:beforeAutospacing="1" w:after="100" w:afterAutospacing="1"/>
      <w:jc w:val="left"/>
    </w:pPr>
    <w:rPr>
      <w:rFonts w:ascii="宋体" w:hAnsi="宋体" w:cs="宋体"/>
      <w:color w:val="000000"/>
      <w:kern w:val="0"/>
      <w:sz w:val="16"/>
      <w:szCs w:val="16"/>
    </w:rPr>
  </w:style>
  <w:style w:type="paragraph" w:customStyle="1" w:styleId="180">
    <w:name w:val="xl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cs="Arial Unicode MS"/>
      <w:kern w:val="0"/>
      <w:sz w:val="20"/>
      <w:szCs w:val="20"/>
    </w:rPr>
  </w:style>
  <w:style w:type="paragraph" w:customStyle="1" w:styleId="181">
    <w:name w:val="附录标题1"/>
    <w:basedOn w:val="2"/>
    <w:next w:val="1"/>
    <w:autoRedefine/>
    <w:qFormat/>
    <w:uiPriority w:val="99"/>
    <w:pPr>
      <w:pageBreakBefore/>
      <w:pBdr>
        <w:bottom w:val="single" w:color="C0C0C0" w:sz="18" w:space="1"/>
      </w:pBdr>
      <w:tabs>
        <w:tab w:val="left" w:pos="360"/>
      </w:tabs>
      <w:adjustRightInd w:val="0"/>
      <w:snapToGrid w:val="0"/>
      <w:ind w:left="576" w:right="42" w:rightChars="20" w:hanging="576"/>
    </w:pPr>
    <w:rPr>
      <w:rFonts w:ascii="宋体" w:hAnsi="Garamond" w:eastAsia="黑体" w:cs="宋体"/>
      <w:color w:val="000000"/>
      <w:sz w:val="40"/>
      <w:szCs w:val="40"/>
    </w:rPr>
  </w:style>
  <w:style w:type="paragraph" w:customStyle="1" w:styleId="182">
    <w:name w:val="xl5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cs="Arial Unicode MS"/>
      <w:kern w:val="0"/>
      <w:sz w:val="20"/>
      <w:szCs w:val="20"/>
    </w:rPr>
  </w:style>
  <w:style w:type="paragraph" w:customStyle="1" w:styleId="183">
    <w:name w:val="xl53"/>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rFonts w:ascii="Arial Unicode MS" w:hAnsi="Arial Unicode MS" w:cs="Arial Unicode MS"/>
      <w:kern w:val="0"/>
      <w:sz w:val="20"/>
      <w:szCs w:val="20"/>
    </w:rPr>
  </w:style>
  <w:style w:type="paragraph" w:customStyle="1" w:styleId="184">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b/>
      <w:bCs/>
      <w:kern w:val="0"/>
      <w:sz w:val="16"/>
      <w:szCs w:val="16"/>
    </w:rPr>
  </w:style>
  <w:style w:type="paragraph" w:customStyle="1" w:styleId="185">
    <w:name w:val="xl54"/>
    <w:basedOn w:val="1"/>
    <w:qFormat/>
    <w:uiPriority w:val="99"/>
    <w:pPr>
      <w:widowControl/>
      <w:pBdr>
        <w:top w:val="single" w:color="auto" w:sz="4" w:space="0"/>
        <w:right w:val="single" w:color="auto" w:sz="4" w:space="0"/>
      </w:pBdr>
      <w:spacing w:before="100" w:beforeAutospacing="1" w:after="100" w:afterAutospacing="1"/>
      <w:jc w:val="center"/>
    </w:pPr>
    <w:rPr>
      <w:rFonts w:ascii="Arial Unicode MS" w:hAnsi="Arial Unicode MS" w:cs="Arial Unicode MS"/>
      <w:kern w:val="0"/>
      <w:sz w:val="20"/>
      <w:szCs w:val="20"/>
    </w:rPr>
  </w:style>
  <w:style w:type="paragraph" w:customStyle="1" w:styleId="186">
    <w:name w:val="22"/>
    <w:basedOn w:val="1"/>
    <w:qFormat/>
    <w:uiPriority w:val="99"/>
    <w:pPr>
      <w:widowControl/>
      <w:snapToGrid w:val="0"/>
      <w:spacing w:before="100" w:beforeAutospacing="1" w:after="100" w:afterAutospacing="1"/>
    </w:pPr>
    <w:rPr>
      <w:kern w:val="0"/>
    </w:rPr>
  </w:style>
  <w:style w:type="paragraph" w:customStyle="1" w:styleId="187">
    <w:name w:val="xl56"/>
    <w:basedOn w:val="1"/>
    <w:qFormat/>
    <w:uiPriority w:val="99"/>
    <w:pPr>
      <w:widowControl/>
      <w:pBdr>
        <w:bottom w:val="single" w:color="auto" w:sz="4" w:space="0"/>
      </w:pBdr>
      <w:spacing w:before="100" w:beforeAutospacing="1" w:after="100" w:afterAutospacing="1"/>
      <w:jc w:val="center"/>
    </w:pPr>
    <w:rPr>
      <w:rFonts w:ascii="华文仿宋" w:hAnsi="华文仿宋" w:eastAsia="华文仿宋" w:cs="华文仿宋"/>
      <w:b/>
      <w:bCs/>
      <w:kern w:val="0"/>
      <w:sz w:val="32"/>
      <w:szCs w:val="32"/>
    </w:rPr>
  </w:style>
  <w:style w:type="paragraph" w:styleId="188">
    <w:name w:val="List Paragraph"/>
    <w:basedOn w:val="1"/>
    <w:qFormat/>
    <w:uiPriority w:val="34"/>
    <w:pPr>
      <w:ind w:firstLine="420" w:firstLineChars="200"/>
    </w:pPr>
  </w:style>
  <w:style w:type="paragraph" w:customStyle="1" w:styleId="189">
    <w:name w:val="xl41"/>
    <w:basedOn w:val="1"/>
    <w:autoRedefine/>
    <w:qFormat/>
    <w:uiPriority w:val="99"/>
    <w:pPr>
      <w:widowControl/>
      <w:pBdr>
        <w:top w:val="single" w:color="auto" w:sz="4" w:space="0"/>
        <w:right w:val="single" w:color="auto" w:sz="4" w:space="0"/>
      </w:pBdr>
      <w:spacing w:before="100" w:beforeAutospacing="1" w:after="100" w:afterAutospacing="1"/>
      <w:jc w:val="left"/>
      <w:textAlignment w:val="bottom"/>
    </w:pPr>
    <w:rPr>
      <w:rFonts w:ascii="Arial Unicode MS" w:hAnsi="Arial Unicode MS" w:cs="Arial Unicode MS"/>
      <w:kern w:val="0"/>
      <w:sz w:val="20"/>
      <w:szCs w:val="20"/>
    </w:rPr>
  </w:style>
  <w:style w:type="paragraph" w:customStyle="1" w:styleId="190">
    <w:name w:val="四号　首行缩进"/>
    <w:basedOn w:val="1"/>
    <w:autoRedefine/>
    <w:qFormat/>
    <w:uiPriority w:val="99"/>
    <w:pPr>
      <w:spacing w:line="360" w:lineRule="auto"/>
    </w:pPr>
    <w:rPr>
      <w:rFonts w:ascii="宋体" w:hAnsi="宋体" w:cs="宋体"/>
    </w:rPr>
  </w:style>
  <w:style w:type="paragraph" w:customStyle="1" w:styleId="191">
    <w:name w:val="xl10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FF0000"/>
      <w:kern w:val="0"/>
      <w:sz w:val="20"/>
      <w:szCs w:val="20"/>
    </w:rPr>
  </w:style>
  <w:style w:type="paragraph" w:customStyle="1" w:styleId="192">
    <w:name w:val="xl11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193">
    <w:name w:val="Char Char Char Char Char Char Char Char Char Char Char Char Char Char Char Char"/>
    <w:basedOn w:val="1"/>
    <w:autoRedefine/>
    <w:qFormat/>
    <w:uiPriority w:val="99"/>
    <w:pPr>
      <w:tabs>
        <w:tab w:val="left" w:pos="360"/>
      </w:tabs>
    </w:pPr>
    <w:rPr>
      <w:sz w:val="24"/>
      <w:szCs w:val="24"/>
    </w:rPr>
  </w:style>
  <w:style w:type="paragraph" w:customStyle="1" w:styleId="194">
    <w:name w:val="xl131"/>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bottom"/>
    </w:pPr>
    <w:rPr>
      <w:rFonts w:ascii="宋体" w:hAnsi="宋体" w:cs="宋体"/>
      <w:b/>
      <w:bCs/>
      <w:kern w:val="0"/>
      <w:sz w:val="20"/>
      <w:szCs w:val="20"/>
    </w:rPr>
  </w:style>
  <w:style w:type="paragraph" w:customStyle="1" w:styleId="195">
    <w:name w:val="xl51"/>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kern w:val="0"/>
      <w:sz w:val="20"/>
      <w:szCs w:val="20"/>
    </w:rPr>
  </w:style>
  <w:style w:type="paragraph" w:customStyle="1" w:styleId="196">
    <w:name w:val="xl46"/>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kern w:val="0"/>
      <w:sz w:val="20"/>
      <w:szCs w:val="20"/>
    </w:rPr>
  </w:style>
  <w:style w:type="paragraph" w:customStyle="1" w:styleId="197">
    <w:name w:val="表格3"/>
    <w:basedOn w:val="1"/>
    <w:autoRedefine/>
    <w:qFormat/>
    <w:uiPriority w:val="99"/>
    <w:pPr>
      <w:adjustRightInd w:val="0"/>
      <w:spacing w:line="360" w:lineRule="atLeast"/>
      <w:ind w:left="72" w:leftChars="30" w:right="72" w:rightChars="30"/>
      <w:textAlignment w:val="baseline"/>
    </w:pPr>
    <w:rPr>
      <w:kern w:val="0"/>
    </w:rPr>
  </w:style>
  <w:style w:type="paragraph" w:customStyle="1" w:styleId="198">
    <w:name w:val="xl7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color w:val="000000"/>
      <w:kern w:val="0"/>
      <w:sz w:val="16"/>
      <w:szCs w:val="16"/>
    </w:rPr>
  </w:style>
  <w:style w:type="paragraph" w:customStyle="1" w:styleId="199">
    <w:name w:val="font11"/>
    <w:basedOn w:val="1"/>
    <w:autoRedefine/>
    <w:qFormat/>
    <w:uiPriority w:val="0"/>
    <w:pPr>
      <w:widowControl/>
      <w:spacing w:before="100" w:beforeAutospacing="1" w:after="100" w:afterAutospacing="1"/>
      <w:jc w:val="left"/>
    </w:pPr>
    <w:rPr>
      <w:rFonts w:ascii="Arial" w:hAnsi="Arial" w:cs="Arial"/>
      <w:kern w:val="0"/>
      <w:sz w:val="16"/>
      <w:szCs w:val="16"/>
    </w:rPr>
  </w:style>
  <w:style w:type="paragraph" w:customStyle="1" w:styleId="200">
    <w:name w:val="xl133"/>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16"/>
      <w:szCs w:val="16"/>
    </w:rPr>
  </w:style>
  <w:style w:type="paragraph" w:customStyle="1" w:styleId="201">
    <w:name w:val="xl101"/>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16"/>
      <w:szCs w:val="16"/>
    </w:rPr>
  </w:style>
  <w:style w:type="paragraph" w:customStyle="1" w:styleId="202">
    <w:name w:val="xl31"/>
    <w:basedOn w:val="1"/>
    <w:autoRedefine/>
    <w:qFormat/>
    <w:uiPriority w:val="99"/>
    <w:pPr>
      <w:widowControl/>
      <w:pBdr>
        <w:left w:val="single" w:color="auto" w:sz="4" w:space="0"/>
        <w:right w:val="single" w:color="auto" w:sz="4" w:space="0"/>
      </w:pBdr>
      <w:spacing w:before="100" w:beforeAutospacing="1" w:after="100" w:afterAutospacing="1"/>
      <w:jc w:val="center"/>
    </w:pPr>
    <w:rPr>
      <w:rFonts w:ascii="Arial Unicode MS" w:hAnsi="Arial Unicode MS" w:cs="Arial Unicode MS"/>
      <w:kern w:val="0"/>
      <w:sz w:val="20"/>
      <w:szCs w:val="20"/>
    </w:rPr>
  </w:style>
  <w:style w:type="paragraph" w:customStyle="1" w:styleId="203">
    <w:name w:val="xl49"/>
    <w:basedOn w:val="1"/>
    <w:autoRedefine/>
    <w:qFormat/>
    <w:uiPriority w:val="99"/>
    <w:pPr>
      <w:widowControl/>
      <w:pBdr>
        <w:left w:val="single" w:color="auto" w:sz="4" w:space="0"/>
        <w:right w:val="single" w:color="auto" w:sz="4" w:space="0"/>
      </w:pBdr>
      <w:spacing w:before="100" w:beforeAutospacing="1" w:after="100" w:afterAutospacing="1"/>
      <w:jc w:val="left"/>
      <w:textAlignment w:val="bottom"/>
    </w:pPr>
    <w:rPr>
      <w:rFonts w:ascii="Arial Unicode MS" w:hAnsi="Arial Unicode MS" w:cs="Arial Unicode MS"/>
      <w:kern w:val="0"/>
      <w:sz w:val="20"/>
      <w:szCs w:val="20"/>
    </w:rPr>
  </w:style>
  <w:style w:type="paragraph" w:customStyle="1" w:styleId="204">
    <w:name w:val="xl122"/>
    <w:basedOn w:val="1"/>
    <w:autoRedefine/>
    <w:qFormat/>
    <w:uiPriority w:val="0"/>
    <w:pPr>
      <w:widowControl/>
      <w:pBdr>
        <w:left w:val="single" w:color="auto" w:sz="4" w:space="0"/>
        <w:bottom w:val="single" w:color="auto" w:sz="4" w:space="0"/>
      </w:pBdr>
      <w:spacing w:before="100" w:beforeAutospacing="1" w:after="100" w:afterAutospacing="1"/>
      <w:jc w:val="left"/>
    </w:pPr>
    <w:rPr>
      <w:rFonts w:ascii="宋体" w:hAnsi="宋体" w:cs="宋体"/>
      <w:kern w:val="0"/>
      <w:sz w:val="20"/>
      <w:szCs w:val="20"/>
    </w:rPr>
  </w:style>
  <w:style w:type="paragraph" w:customStyle="1" w:styleId="205">
    <w:name w:val="xl37"/>
    <w:basedOn w:val="1"/>
    <w:autoRedefine/>
    <w:qFormat/>
    <w:uiPriority w:val="99"/>
    <w:pPr>
      <w:widowControl/>
      <w:pBdr>
        <w:top w:val="single" w:color="auto" w:sz="4" w:space="0"/>
        <w:bottom w:val="single" w:color="auto" w:sz="4" w:space="0"/>
      </w:pBdr>
      <w:spacing w:before="100" w:beforeAutospacing="1" w:after="100" w:afterAutospacing="1"/>
      <w:jc w:val="left"/>
      <w:textAlignment w:val="bottom"/>
    </w:pPr>
    <w:rPr>
      <w:rFonts w:ascii="Arial Unicode MS" w:hAnsi="Arial Unicode MS" w:cs="Arial Unicode MS"/>
      <w:kern w:val="0"/>
      <w:sz w:val="20"/>
      <w:szCs w:val="20"/>
    </w:rPr>
  </w:style>
  <w:style w:type="paragraph" w:customStyle="1" w:styleId="206">
    <w:name w:val="+列表1 Char Char Char"/>
    <w:basedOn w:val="1"/>
    <w:link w:val="207"/>
    <w:autoRedefine/>
    <w:qFormat/>
    <w:uiPriority w:val="99"/>
    <w:pPr>
      <w:jc w:val="center"/>
    </w:pPr>
    <w:rPr>
      <w:rFonts w:ascii="宋体"/>
      <w:kern w:val="0"/>
      <w:sz w:val="20"/>
    </w:rPr>
  </w:style>
  <w:style w:type="character" w:customStyle="1" w:styleId="207">
    <w:name w:val="+列表1 Char Char Char Char Char"/>
    <w:link w:val="206"/>
    <w:autoRedefine/>
    <w:qFormat/>
    <w:locked/>
    <w:uiPriority w:val="99"/>
    <w:rPr>
      <w:rFonts w:ascii="宋体" w:hAnsi="Times New Roman" w:eastAsia="宋体" w:cs="Times New Roman"/>
      <w:szCs w:val="21"/>
    </w:rPr>
  </w:style>
  <w:style w:type="paragraph" w:customStyle="1" w:styleId="208">
    <w:name w:val="Char Char Char"/>
    <w:basedOn w:val="1"/>
    <w:autoRedefine/>
    <w:qFormat/>
    <w:uiPriority w:val="99"/>
    <w:rPr>
      <w:rFonts w:ascii="宋体" w:hAnsi="宋体" w:cs="宋体"/>
    </w:rPr>
  </w:style>
  <w:style w:type="paragraph" w:customStyle="1" w:styleId="209">
    <w:name w:val="+正文 Char2"/>
    <w:basedOn w:val="1"/>
    <w:link w:val="210"/>
    <w:autoRedefine/>
    <w:qFormat/>
    <w:uiPriority w:val="99"/>
    <w:pPr>
      <w:spacing w:line="360" w:lineRule="auto"/>
      <w:ind w:firstLine="200" w:firstLineChars="200"/>
    </w:pPr>
    <w:rPr>
      <w:rFonts w:ascii="宋体"/>
      <w:kern w:val="0"/>
      <w:sz w:val="24"/>
      <w:szCs w:val="24"/>
    </w:rPr>
  </w:style>
  <w:style w:type="character" w:customStyle="1" w:styleId="210">
    <w:name w:val="+正文 Char2 Char Char"/>
    <w:link w:val="209"/>
    <w:autoRedefine/>
    <w:qFormat/>
    <w:locked/>
    <w:uiPriority w:val="99"/>
    <w:rPr>
      <w:rFonts w:ascii="宋体" w:hAnsi="Times New Roman" w:eastAsia="宋体" w:cs="Times New Roman"/>
      <w:sz w:val="24"/>
      <w:szCs w:val="24"/>
    </w:rPr>
  </w:style>
  <w:style w:type="paragraph" w:customStyle="1" w:styleId="211">
    <w:name w:val="flName"/>
    <w:basedOn w:val="1"/>
    <w:autoRedefine/>
    <w:qFormat/>
    <w:uiPriority w:val="99"/>
    <w:pPr>
      <w:adjustRightInd w:val="0"/>
      <w:spacing w:before="320" w:after="160" w:line="360" w:lineRule="atLeast"/>
      <w:jc w:val="center"/>
    </w:pPr>
    <w:rPr>
      <w:rFonts w:ascii="Arial" w:eastAsia="黑体" w:cs="Arial"/>
      <w:kern w:val="0"/>
      <w:sz w:val="32"/>
      <w:szCs w:val="32"/>
    </w:rPr>
  </w:style>
  <w:style w:type="paragraph" w:customStyle="1" w:styleId="212">
    <w:name w:val="文档编号"/>
    <w:basedOn w:val="1"/>
    <w:next w:val="1"/>
    <w:autoRedefine/>
    <w:qFormat/>
    <w:uiPriority w:val="99"/>
    <w:pPr>
      <w:autoSpaceDE w:val="0"/>
      <w:autoSpaceDN w:val="0"/>
      <w:adjustRightInd w:val="0"/>
      <w:spacing w:before="120" w:line="360" w:lineRule="auto"/>
      <w:jc w:val="center"/>
      <w:textAlignment w:val="baseline"/>
    </w:pPr>
    <w:rPr>
      <w:rFonts w:ascii="宋体" w:cs="宋体"/>
      <w:color w:val="000000"/>
      <w:kern w:val="0"/>
      <w:sz w:val="24"/>
      <w:szCs w:val="24"/>
    </w:rPr>
  </w:style>
  <w:style w:type="paragraph" w:customStyle="1" w:styleId="213">
    <w:name w:val="xl139"/>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styleId="214">
    <w:name w:val="Quote"/>
    <w:basedOn w:val="1"/>
    <w:next w:val="1"/>
    <w:link w:val="215"/>
    <w:autoRedefine/>
    <w:qFormat/>
    <w:uiPriority w:val="99"/>
    <w:pPr>
      <w:widowControl/>
      <w:spacing w:after="200" w:line="276" w:lineRule="auto"/>
      <w:jc w:val="left"/>
    </w:pPr>
    <w:rPr>
      <w:i/>
      <w:iCs/>
      <w:color w:val="000000"/>
      <w:kern w:val="0"/>
      <w:sz w:val="20"/>
    </w:rPr>
  </w:style>
  <w:style w:type="character" w:customStyle="1" w:styleId="215">
    <w:name w:val="引用 字符"/>
    <w:link w:val="214"/>
    <w:autoRedefine/>
    <w:qFormat/>
    <w:uiPriority w:val="99"/>
    <w:rPr>
      <w:rFonts w:ascii="Times New Roman" w:hAnsi="Times New Roman" w:eastAsia="宋体" w:cs="Times New Roman"/>
      <w:i/>
      <w:iCs/>
      <w:color w:val="000000"/>
      <w:szCs w:val="21"/>
    </w:rPr>
  </w:style>
  <w:style w:type="paragraph" w:customStyle="1" w:styleId="216">
    <w:name w:val="flType"/>
    <w:basedOn w:val="1"/>
    <w:autoRedefine/>
    <w:qFormat/>
    <w:uiPriority w:val="0"/>
    <w:pPr>
      <w:adjustRightInd w:val="0"/>
      <w:spacing w:after="284" w:line="113" w:lineRule="atLeast"/>
      <w:jc w:val="center"/>
      <w:textAlignment w:val="baseline"/>
    </w:pPr>
    <w:rPr>
      <w:kern w:val="0"/>
      <w:sz w:val="24"/>
      <w:szCs w:val="24"/>
    </w:rPr>
  </w:style>
  <w:style w:type="paragraph" w:customStyle="1" w:styleId="217">
    <w:name w:val="列出段落1"/>
    <w:basedOn w:val="1"/>
    <w:autoRedefine/>
    <w:qFormat/>
    <w:uiPriority w:val="99"/>
    <w:pPr>
      <w:widowControl/>
      <w:adjustRightInd w:val="0"/>
      <w:spacing w:line="360" w:lineRule="auto"/>
      <w:ind w:firstLine="420" w:firstLineChars="200"/>
      <w:jc w:val="left"/>
    </w:pPr>
    <w:rPr>
      <w:rFonts w:ascii="Arial" w:hAnsi="Arial" w:cs="Arial"/>
      <w:kern w:val="0"/>
      <w:lang w:eastAsia="en-US"/>
    </w:rPr>
  </w:style>
  <w:style w:type="paragraph" w:customStyle="1" w:styleId="218">
    <w:name w:val="p0"/>
    <w:basedOn w:val="1"/>
    <w:autoRedefine/>
    <w:qFormat/>
    <w:uiPriority w:val="99"/>
    <w:pPr>
      <w:widowControl/>
    </w:pPr>
    <w:rPr>
      <w:kern w:val="0"/>
    </w:rPr>
  </w:style>
  <w:style w:type="paragraph" w:customStyle="1" w:styleId="219">
    <w:name w:val="+正文 Char Char Char"/>
    <w:basedOn w:val="1"/>
    <w:link w:val="220"/>
    <w:autoRedefine/>
    <w:qFormat/>
    <w:uiPriority w:val="99"/>
    <w:pPr>
      <w:spacing w:line="360" w:lineRule="auto"/>
      <w:ind w:firstLine="200" w:firstLineChars="200"/>
    </w:pPr>
    <w:rPr>
      <w:rFonts w:ascii="楷体_GB2312" w:eastAsia="楷体_GB2312"/>
      <w:kern w:val="0"/>
      <w:sz w:val="24"/>
      <w:szCs w:val="24"/>
    </w:rPr>
  </w:style>
  <w:style w:type="character" w:customStyle="1" w:styleId="220">
    <w:name w:val="+正文 Char Char"/>
    <w:link w:val="219"/>
    <w:autoRedefine/>
    <w:qFormat/>
    <w:locked/>
    <w:uiPriority w:val="99"/>
    <w:rPr>
      <w:rFonts w:ascii="楷体_GB2312" w:hAnsi="Times New Roman" w:eastAsia="楷体_GB2312" w:cs="Times New Roman"/>
      <w:sz w:val="24"/>
      <w:szCs w:val="24"/>
    </w:rPr>
  </w:style>
  <w:style w:type="paragraph" w:customStyle="1" w:styleId="221">
    <w:name w:val="20"/>
    <w:basedOn w:val="1"/>
    <w:autoRedefine/>
    <w:qFormat/>
    <w:uiPriority w:val="99"/>
    <w:pPr>
      <w:widowControl/>
      <w:snapToGrid w:val="0"/>
      <w:spacing w:before="100" w:beforeAutospacing="1" w:after="100" w:afterAutospacing="1"/>
      <w:jc w:val="left"/>
    </w:pPr>
    <w:rPr>
      <w:rFonts w:ascii="宋体" w:hAnsi="宋体" w:cs="宋体"/>
      <w:kern w:val="0"/>
      <w:sz w:val="24"/>
      <w:szCs w:val="24"/>
    </w:rPr>
  </w:style>
  <w:style w:type="paragraph" w:customStyle="1" w:styleId="222">
    <w:name w:val="表文字"/>
    <w:basedOn w:val="1"/>
    <w:link w:val="223"/>
    <w:autoRedefine/>
    <w:qFormat/>
    <w:uiPriority w:val="99"/>
    <w:pPr>
      <w:adjustRightInd w:val="0"/>
      <w:snapToGrid w:val="0"/>
      <w:spacing w:line="320" w:lineRule="exact"/>
      <w:ind w:right="-31" w:rightChars="-31" w:firstLine="448" w:firstLineChars="200"/>
      <w:jc w:val="center"/>
    </w:pPr>
    <w:rPr>
      <w:rFonts w:ascii="楷体_GB2312" w:hAnsi="宋体" w:eastAsia="楷体_GB2312"/>
      <w:spacing w:val="-8"/>
      <w:kern w:val="0"/>
      <w:sz w:val="24"/>
      <w:szCs w:val="24"/>
      <w:lang w:val="zh-CN"/>
    </w:rPr>
  </w:style>
  <w:style w:type="character" w:customStyle="1" w:styleId="223">
    <w:name w:val="表文字 Char Char"/>
    <w:link w:val="222"/>
    <w:autoRedefine/>
    <w:qFormat/>
    <w:locked/>
    <w:uiPriority w:val="99"/>
    <w:rPr>
      <w:rFonts w:ascii="楷体_GB2312" w:hAnsi="宋体" w:eastAsia="楷体_GB2312" w:cs="Times New Roman"/>
      <w:spacing w:val="-8"/>
      <w:kern w:val="0"/>
      <w:sz w:val="24"/>
      <w:szCs w:val="24"/>
      <w:lang w:val="zh-CN"/>
    </w:rPr>
  </w:style>
  <w:style w:type="paragraph" w:customStyle="1" w:styleId="224">
    <w:name w:val="xl117"/>
    <w:basedOn w:val="1"/>
    <w:autoRedefine/>
    <w:qFormat/>
    <w:uiPriority w:val="0"/>
    <w:pPr>
      <w:widowControl/>
      <w:pBdr>
        <w:left w:val="single" w:color="auto" w:sz="4" w:space="0"/>
      </w:pBdr>
      <w:spacing w:before="100" w:beforeAutospacing="1" w:after="100" w:afterAutospacing="1"/>
      <w:jc w:val="left"/>
    </w:pPr>
    <w:rPr>
      <w:rFonts w:ascii="宋体" w:hAnsi="宋体" w:cs="宋体"/>
      <w:kern w:val="0"/>
      <w:sz w:val="20"/>
      <w:szCs w:val="20"/>
    </w:rPr>
  </w:style>
  <w:style w:type="paragraph" w:customStyle="1" w:styleId="225">
    <w:name w:val="xl75"/>
    <w:basedOn w:val="1"/>
    <w:autoRedefine/>
    <w:qFormat/>
    <w:uiPriority w:val="0"/>
    <w:pPr>
      <w:widowControl/>
      <w:spacing w:before="100" w:beforeAutospacing="1" w:after="100" w:afterAutospacing="1"/>
      <w:jc w:val="center"/>
    </w:pPr>
    <w:rPr>
      <w:rFonts w:ascii="Arial" w:hAnsi="Arial" w:cs="Arial"/>
      <w:kern w:val="0"/>
      <w:sz w:val="16"/>
      <w:szCs w:val="16"/>
    </w:rPr>
  </w:style>
  <w:style w:type="paragraph" w:customStyle="1" w:styleId="226">
    <w:name w:val="Char4"/>
    <w:basedOn w:val="1"/>
    <w:autoRedefine/>
    <w:qFormat/>
    <w:uiPriority w:val="99"/>
    <w:rPr>
      <w:rFonts w:ascii="Tahoma" w:hAnsi="Tahoma" w:cs="Tahoma"/>
      <w:sz w:val="24"/>
      <w:szCs w:val="24"/>
    </w:rPr>
  </w:style>
  <w:style w:type="paragraph" w:customStyle="1" w:styleId="227">
    <w:name w:val="p15"/>
    <w:basedOn w:val="1"/>
    <w:autoRedefine/>
    <w:qFormat/>
    <w:uiPriority w:val="99"/>
    <w:pPr>
      <w:widowControl/>
      <w:ind w:firstLine="420"/>
    </w:pPr>
    <w:rPr>
      <w:rFonts w:ascii="Calibri" w:hAnsi="Calibri" w:cs="Calibri"/>
      <w:kern w:val="0"/>
    </w:rPr>
  </w:style>
  <w:style w:type="paragraph" w:customStyle="1" w:styleId="228">
    <w:name w:val="xl48"/>
    <w:basedOn w:val="1"/>
    <w:autoRedefine/>
    <w:qFormat/>
    <w:uiPriority w:val="99"/>
    <w:pPr>
      <w:widowControl/>
      <w:pBdr>
        <w:right w:val="single" w:color="auto" w:sz="4" w:space="0"/>
      </w:pBdr>
      <w:spacing w:before="100" w:beforeAutospacing="1" w:after="100" w:afterAutospacing="1"/>
      <w:jc w:val="left"/>
      <w:textAlignment w:val="bottom"/>
    </w:pPr>
    <w:rPr>
      <w:rFonts w:ascii="Arial Unicode MS" w:hAnsi="Arial Unicode MS" w:cs="Arial Unicode MS"/>
      <w:kern w:val="0"/>
      <w:sz w:val="20"/>
      <w:szCs w:val="20"/>
    </w:rPr>
  </w:style>
  <w:style w:type="paragraph" w:customStyle="1" w:styleId="229">
    <w:name w:val="段"/>
    <w:link w:val="230"/>
    <w:autoRedefine/>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Cs w:val="21"/>
      <w:lang w:val="en-US" w:eastAsia="zh-CN" w:bidi="ar-SA"/>
    </w:rPr>
  </w:style>
  <w:style w:type="character" w:customStyle="1" w:styleId="230">
    <w:name w:val="段 Char"/>
    <w:link w:val="229"/>
    <w:autoRedefine/>
    <w:qFormat/>
    <w:locked/>
    <w:uiPriority w:val="99"/>
    <w:rPr>
      <w:rFonts w:ascii="宋体"/>
      <w:szCs w:val="21"/>
      <w:lang w:bidi="ar-SA"/>
    </w:rPr>
  </w:style>
  <w:style w:type="paragraph" w:customStyle="1" w:styleId="231">
    <w:name w:val="xl45"/>
    <w:basedOn w:val="1"/>
    <w:autoRedefine/>
    <w:qFormat/>
    <w:uiPriority w:val="99"/>
    <w:pPr>
      <w:widowControl/>
      <w:pBdr>
        <w:top w:val="single" w:color="auto" w:sz="4" w:space="0"/>
      </w:pBdr>
      <w:spacing w:before="100" w:beforeAutospacing="1" w:after="100" w:afterAutospacing="1"/>
      <w:jc w:val="center"/>
    </w:pPr>
    <w:rPr>
      <w:rFonts w:ascii="Arial Unicode MS" w:hAnsi="Arial Unicode MS" w:cs="Arial Unicode MS"/>
      <w:kern w:val="0"/>
      <w:sz w:val="20"/>
      <w:szCs w:val="20"/>
    </w:rPr>
  </w:style>
  <w:style w:type="paragraph" w:customStyle="1" w:styleId="232">
    <w:name w:val="正文1"/>
    <w:autoRedefine/>
    <w:qFormat/>
    <w:uiPriority w:val="99"/>
    <w:pPr>
      <w:widowControl w:val="0"/>
      <w:adjustRightInd w:val="0"/>
      <w:spacing w:line="315" w:lineRule="atLeast"/>
      <w:jc w:val="both"/>
      <w:textAlignment w:val="baseline"/>
    </w:pPr>
    <w:rPr>
      <w:rFonts w:ascii="宋体" w:hAnsi="Times New Roman" w:eastAsia="宋体" w:cs="宋体"/>
      <w:sz w:val="24"/>
      <w:szCs w:val="24"/>
      <w:lang w:val="en-US" w:eastAsia="zh-CN" w:bidi="ar-SA"/>
    </w:rPr>
  </w:style>
  <w:style w:type="paragraph" w:customStyle="1" w:styleId="233">
    <w:name w:val="文档正文"/>
    <w:basedOn w:val="1"/>
    <w:autoRedefine/>
    <w:qFormat/>
    <w:uiPriority w:val="99"/>
    <w:pPr>
      <w:spacing w:line="360" w:lineRule="auto"/>
    </w:pPr>
    <w:rPr>
      <w:rFonts w:ascii="宋体" w:hAnsi="宋体" w:cs="宋体"/>
      <w:b/>
      <w:bCs/>
    </w:rPr>
  </w:style>
  <w:style w:type="paragraph" w:customStyle="1" w:styleId="234">
    <w:name w:val="xl82"/>
    <w:basedOn w:val="1"/>
    <w:autoRedefine/>
    <w:qFormat/>
    <w:uiPriority w:val="0"/>
    <w:pPr>
      <w:widowControl/>
      <w:spacing w:before="100" w:beforeAutospacing="1" w:after="100" w:afterAutospacing="1"/>
      <w:jc w:val="left"/>
    </w:pPr>
    <w:rPr>
      <w:rFonts w:ascii="Arial" w:hAnsi="Arial" w:cs="Arial"/>
      <w:kern w:val="0"/>
      <w:sz w:val="16"/>
      <w:szCs w:val="16"/>
    </w:rPr>
  </w:style>
  <w:style w:type="paragraph" w:customStyle="1" w:styleId="235">
    <w:name w:val="xl7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16"/>
      <w:szCs w:val="16"/>
    </w:rPr>
  </w:style>
  <w:style w:type="paragraph" w:customStyle="1" w:styleId="236">
    <w:name w:val="xl8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37">
    <w:name w:val="xl10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38">
    <w:name w:val="Char Char Char Char Char Char Char Char Char Char"/>
    <w:basedOn w:val="1"/>
    <w:autoRedefine/>
    <w:qFormat/>
    <w:uiPriority w:val="99"/>
    <w:pPr>
      <w:adjustRightInd w:val="0"/>
      <w:spacing w:line="360" w:lineRule="auto"/>
    </w:pPr>
    <w:rPr>
      <w:kern w:val="0"/>
      <w:sz w:val="24"/>
      <w:szCs w:val="24"/>
    </w:rPr>
  </w:style>
  <w:style w:type="paragraph" w:customStyle="1" w:styleId="239">
    <w:name w:val="p17"/>
    <w:basedOn w:val="1"/>
    <w:autoRedefine/>
    <w:qFormat/>
    <w:uiPriority w:val="99"/>
    <w:pPr>
      <w:widowControl/>
    </w:pPr>
    <w:rPr>
      <w:kern w:val="0"/>
    </w:rPr>
  </w:style>
  <w:style w:type="paragraph" w:customStyle="1" w:styleId="240">
    <w:name w:val="引用1"/>
    <w:basedOn w:val="1"/>
    <w:next w:val="1"/>
    <w:link w:val="241"/>
    <w:autoRedefine/>
    <w:qFormat/>
    <w:uiPriority w:val="99"/>
    <w:pPr>
      <w:widowControl/>
      <w:spacing w:after="200" w:line="276" w:lineRule="auto"/>
      <w:jc w:val="left"/>
    </w:pPr>
    <w:rPr>
      <w:rFonts w:ascii="Calibri" w:hAnsi="Calibri"/>
      <w:i/>
      <w:iCs/>
      <w:color w:val="000000"/>
      <w:kern w:val="0"/>
      <w:sz w:val="22"/>
      <w:szCs w:val="20"/>
      <w:lang w:eastAsia="en-US"/>
    </w:rPr>
  </w:style>
  <w:style w:type="character" w:customStyle="1" w:styleId="241">
    <w:name w:val="引用 Char1"/>
    <w:link w:val="240"/>
    <w:autoRedefine/>
    <w:qFormat/>
    <w:locked/>
    <w:uiPriority w:val="99"/>
    <w:rPr>
      <w:rFonts w:ascii="Calibri" w:hAnsi="Calibri" w:eastAsia="宋体" w:cs="Times New Roman"/>
      <w:i/>
      <w:iCs/>
      <w:color w:val="000000"/>
      <w:kern w:val="0"/>
      <w:sz w:val="22"/>
      <w:lang w:eastAsia="en-US"/>
    </w:rPr>
  </w:style>
  <w:style w:type="paragraph" w:customStyle="1" w:styleId="242">
    <w:name w:val="xl47"/>
    <w:basedOn w:val="1"/>
    <w:autoRedefine/>
    <w:qFormat/>
    <w:uiPriority w:val="99"/>
    <w:pPr>
      <w:widowControl/>
      <w:pBdr>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cs="Arial Unicode MS"/>
      <w:kern w:val="0"/>
      <w:sz w:val="20"/>
      <w:szCs w:val="20"/>
    </w:rPr>
  </w:style>
  <w:style w:type="paragraph" w:customStyle="1" w:styleId="243">
    <w:name w:val="+正文"/>
    <w:basedOn w:val="1"/>
    <w:link w:val="244"/>
    <w:autoRedefine/>
    <w:qFormat/>
    <w:uiPriority w:val="99"/>
    <w:pPr>
      <w:spacing w:line="360" w:lineRule="auto"/>
      <w:ind w:firstLine="200" w:firstLineChars="200"/>
    </w:pPr>
    <w:rPr>
      <w:rFonts w:ascii="宋体"/>
      <w:kern w:val="0"/>
      <w:sz w:val="24"/>
      <w:szCs w:val="24"/>
    </w:rPr>
  </w:style>
  <w:style w:type="character" w:customStyle="1" w:styleId="244">
    <w:name w:val="+正文 Char4"/>
    <w:link w:val="243"/>
    <w:autoRedefine/>
    <w:qFormat/>
    <w:locked/>
    <w:uiPriority w:val="99"/>
    <w:rPr>
      <w:rFonts w:ascii="宋体" w:hAnsi="Times New Roman" w:eastAsia="宋体" w:cs="Times New Roman"/>
      <w:sz w:val="24"/>
      <w:szCs w:val="24"/>
    </w:rPr>
  </w:style>
  <w:style w:type="paragraph" w:customStyle="1" w:styleId="245">
    <w:name w:val="0"/>
    <w:basedOn w:val="1"/>
    <w:autoRedefine/>
    <w:qFormat/>
    <w:uiPriority w:val="99"/>
    <w:pPr>
      <w:widowControl/>
      <w:snapToGrid w:val="0"/>
    </w:pPr>
    <w:rPr>
      <w:kern w:val="0"/>
    </w:rPr>
  </w:style>
  <w:style w:type="paragraph" w:customStyle="1" w:styleId="246">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16"/>
      <w:szCs w:val="16"/>
    </w:rPr>
  </w:style>
  <w:style w:type="paragraph" w:customStyle="1" w:styleId="247">
    <w:name w:val="xl9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248">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49">
    <w:name w:val="font7"/>
    <w:basedOn w:val="1"/>
    <w:autoRedefine/>
    <w:qFormat/>
    <w:uiPriority w:val="0"/>
    <w:pPr>
      <w:widowControl/>
      <w:spacing w:before="100" w:beforeAutospacing="1" w:after="100" w:afterAutospacing="1"/>
      <w:jc w:val="left"/>
    </w:pPr>
    <w:rPr>
      <w:rFonts w:ascii="宋体" w:hAnsi="宋体" w:cs="宋体"/>
      <w:kern w:val="0"/>
      <w:sz w:val="16"/>
      <w:szCs w:val="16"/>
    </w:rPr>
  </w:style>
  <w:style w:type="paragraph" w:customStyle="1" w:styleId="250">
    <w:name w:val="xl25"/>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仿宋" w:hAnsi="华文仿宋" w:eastAsia="华文仿宋" w:cs="华文仿宋"/>
      <w:b/>
      <w:bCs/>
      <w:kern w:val="0"/>
      <w:sz w:val="22"/>
      <w:szCs w:val="22"/>
    </w:rPr>
  </w:style>
  <w:style w:type="paragraph" w:customStyle="1" w:styleId="251">
    <w:name w:val="+正文 Char Char2 Char"/>
    <w:basedOn w:val="1"/>
    <w:link w:val="252"/>
    <w:autoRedefine/>
    <w:qFormat/>
    <w:uiPriority w:val="99"/>
    <w:pPr>
      <w:spacing w:line="360" w:lineRule="auto"/>
      <w:ind w:firstLine="200" w:firstLineChars="200"/>
    </w:pPr>
    <w:rPr>
      <w:rFonts w:ascii="宋体"/>
      <w:kern w:val="0"/>
      <w:sz w:val="24"/>
      <w:szCs w:val="24"/>
    </w:rPr>
  </w:style>
  <w:style w:type="character" w:customStyle="1" w:styleId="252">
    <w:name w:val="+正文 Char Char2 Char Char Char"/>
    <w:link w:val="251"/>
    <w:autoRedefine/>
    <w:qFormat/>
    <w:locked/>
    <w:uiPriority w:val="99"/>
    <w:rPr>
      <w:rFonts w:ascii="宋体" w:hAnsi="Times New Roman" w:eastAsia="宋体" w:cs="Times New Roman"/>
      <w:sz w:val="24"/>
      <w:szCs w:val="24"/>
    </w:rPr>
  </w:style>
  <w:style w:type="paragraph" w:customStyle="1" w:styleId="253">
    <w:name w:val="仿宋4号"/>
    <w:basedOn w:val="1"/>
    <w:autoRedefine/>
    <w:qFormat/>
    <w:uiPriority w:val="99"/>
    <w:rPr>
      <w:rFonts w:ascii="仿宋_GB2312" w:hAnsi="宋体" w:eastAsia="仿宋_GB2312" w:cs="仿宋_GB2312"/>
      <w:sz w:val="28"/>
      <w:szCs w:val="28"/>
    </w:rPr>
  </w:style>
  <w:style w:type="paragraph" w:customStyle="1" w:styleId="254">
    <w:name w:val="一般正文"/>
    <w:basedOn w:val="1"/>
    <w:autoRedefine/>
    <w:qFormat/>
    <w:uiPriority w:val="99"/>
    <w:pPr>
      <w:spacing w:line="360" w:lineRule="auto"/>
      <w:ind w:firstLine="480" w:firstLineChars="200"/>
    </w:pPr>
    <w:rPr>
      <w:sz w:val="24"/>
      <w:szCs w:val="24"/>
    </w:rPr>
  </w:style>
  <w:style w:type="paragraph" w:customStyle="1" w:styleId="255">
    <w:name w:val="xl134"/>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256">
    <w:name w:val="font1"/>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257">
    <w:name w:val="xl7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kern w:val="0"/>
      <w:sz w:val="16"/>
      <w:szCs w:val="16"/>
    </w:rPr>
  </w:style>
  <w:style w:type="paragraph" w:customStyle="1" w:styleId="258">
    <w:name w:val="xl40"/>
    <w:basedOn w:val="1"/>
    <w:autoRedefine/>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cs="Arial Unicode MS"/>
      <w:kern w:val="0"/>
      <w:sz w:val="20"/>
      <w:szCs w:val="20"/>
    </w:rPr>
  </w:style>
  <w:style w:type="paragraph" w:customStyle="1" w:styleId="259">
    <w:name w:val="xl9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60">
    <w:name w:val="xl127"/>
    <w:basedOn w:val="1"/>
    <w:autoRedefine/>
    <w:qFormat/>
    <w:uiPriority w:val="0"/>
    <w:pPr>
      <w:widowControl/>
      <w:pBdr>
        <w:left w:val="single" w:color="000000" w:sz="4" w:space="0"/>
        <w:bottom w:val="single" w:color="000000" w:sz="4" w:space="0"/>
      </w:pBdr>
      <w:spacing w:before="100" w:beforeAutospacing="1" w:after="100" w:afterAutospacing="1"/>
      <w:jc w:val="center"/>
    </w:pPr>
    <w:rPr>
      <w:rFonts w:ascii="宋体" w:hAnsi="宋体" w:cs="宋体"/>
      <w:kern w:val="0"/>
      <w:sz w:val="18"/>
      <w:szCs w:val="18"/>
    </w:rPr>
  </w:style>
  <w:style w:type="paragraph" w:customStyle="1" w:styleId="261">
    <w:name w:val="23"/>
    <w:basedOn w:val="1"/>
    <w:autoRedefine/>
    <w:qFormat/>
    <w:uiPriority w:val="99"/>
    <w:pPr>
      <w:widowControl/>
      <w:snapToGrid w:val="0"/>
      <w:spacing w:before="100" w:beforeAutospacing="1" w:after="100" w:afterAutospacing="1"/>
      <w:ind w:left="840"/>
    </w:pPr>
    <w:rPr>
      <w:kern w:val="0"/>
    </w:rPr>
  </w:style>
  <w:style w:type="paragraph" w:customStyle="1" w:styleId="262">
    <w:name w:val="TOC 标题1"/>
    <w:basedOn w:val="2"/>
    <w:next w:val="1"/>
    <w:autoRedefine/>
    <w:qFormat/>
    <w:uiPriority w:val="99"/>
    <w:pPr>
      <w:widowControl/>
      <w:spacing w:before="480" w:after="0" w:line="276" w:lineRule="auto"/>
      <w:jc w:val="left"/>
      <w:outlineLvl w:val="9"/>
    </w:pPr>
    <w:rPr>
      <w:rFonts w:ascii="Cambria" w:hAnsi="Cambria" w:cs="Cambria"/>
      <w:color w:val="365F91"/>
      <w:kern w:val="0"/>
      <w:sz w:val="28"/>
      <w:szCs w:val="28"/>
    </w:rPr>
  </w:style>
  <w:style w:type="paragraph" w:customStyle="1" w:styleId="263">
    <w:name w:val="xl30"/>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cs="Arial Unicode MS"/>
      <w:kern w:val="0"/>
      <w:sz w:val="20"/>
      <w:szCs w:val="20"/>
    </w:rPr>
  </w:style>
  <w:style w:type="paragraph" w:customStyle="1" w:styleId="264">
    <w:name w:val="xl6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16"/>
      <w:szCs w:val="16"/>
    </w:rPr>
  </w:style>
  <w:style w:type="paragraph" w:customStyle="1" w:styleId="265">
    <w:name w:val="+正文 Char Char5 Char"/>
    <w:basedOn w:val="1"/>
    <w:link w:val="266"/>
    <w:autoRedefine/>
    <w:qFormat/>
    <w:uiPriority w:val="99"/>
    <w:pPr>
      <w:spacing w:line="360" w:lineRule="auto"/>
      <w:ind w:firstLine="200" w:firstLineChars="200"/>
    </w:pPr>
    <w:rPr>
      <w:rFonts w:ascii="宋体"/>
      <w:kern w:val="0"/>
      <w:sz w:val="24"/>
      <w:szCs w:val="24"/>
    </w:rPr>
  </w:style>
  <w:style w:type="character" w:customStyle="1" w:styleId="266">
    <w:name w:val="+正文 Char Char5 Char Char Char"/>
    <w:link w:val="265"/>
    <w:autoRedefine/>
    <w:qFormat/>
    <w:locked/>
    <w:uiPriority w:val="99"/>
    <w:rPr>
      <w:rFonts w:ascii="宋体" w:hAnsi="Times New Roman" w:eastAsia="宋体" w:cs="Times New Roman"/>
      <w:sz w:val="24"/>
      <w:szCs w:val="24"/>
    </w:rPr>
  </w:style>
  <w:style w:type="paragraph" w:customStyle="1" w:styleId="267">
    <w:name w:val="xl6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268">
    <w:name w:val="普通(网站)1"/>
    <w:basedOn w:val="1"/>
    <w:autoRedefine/>
    <w:qFormat/>
    <w:uiPriority w:val="99"/>
    <w:pPr>
      <w:widowControl/>
      <w:spacing w:before="100" w:beforeAutospacing="1" w:after="100" w:afterAutospacing="1"/>
      <w:jc w:val="left"/>
    </w:pPr>
    <w:rPr>
      <w:rFonts w:ascii="宋体" w:hAnsi="宋体" w:cs="宋体"/>
      <w:color w:val="000000"/>
      <w:kern w:val="0"/>
      <w:sz w:val="24"/>
      <w:szCs w:val="24"/>
    </w:rPr>
  </w:style>
  <w:style w:type="paragraph" w:customStyle="1" w:styleId="269">
    <w:name w:val="列出段落11"/>
    <w:basedOn w:val="1"/>
    <w:autoRedefine/>
    <w:qFormat/>
    <w:uiPriority w:val="99"/>
    <w:pPr>
      <w:widowControl/>
      <w:adjustRightInd w:val="0"/>
      <w:spacing w:line="360" w:lineRule="auto"/>
      <w:ind w:firstLine="420" w:firstLineChars="200"/>
      <w:jc w:val="left"/>
    </w:pPr>
    <w:rPr>
      <w:rFonts w:ascii="Arial" w:hAnsi="Arial" w:cs="Arial"/>
      <w:kern w:val="0"/>
      <w:lang w:eastAsia="en-US"/>
    </w:rPr>
  </w:style>
  <w:style w:type="paragraph" w:customStyle="1" w:styleId="270">
    <w:name w:val="xl121"/>
    <w:basedOn w:val="1"/>
    <w:autoRedefine/>
    <w:qFormat/>
    <w:uiPriority w:val="0"/>
    <w:pPr>
      <w:widowControl/>
      <w:pBdr>
        <w:left w:val="single" w:color="000000" w:sz="4" w:space="0"/>
        <w:bottom w:val="single" w:color="000000" w:sz="4" w:space="0"/>
      </w:pBdr>
      <w:spacing w:before="100" w:beforeAutospacing="1" w:after="100" w:afterAutospacing="1"/>
      <w:jc w:val="center"/>
    </w:pPr>
    <w:rPr>
      <w:rFonts w:ascii="宋体" w:hAnsi="宋体" w:cs="宋体"/>
      <w:kern w:val="0"/>
      <w:sz w:val="18"/>
      <w:szCs w:val="18"/>
    </w:rPr>
  </w:style>
  <w:style w:type="paragraph" w:customStyle="1" w:styleId="271">
    <w:name w:val="xl11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i/>
      <w:iCs/>
      <w:kern w:val="0"/>
      <w:sz w:val="18"/>
      <w:szCs w:val="18"/>
    </w:rPr>
  </w:style>
  <w:style w:type="paragraph" w:customStyle="1" w:styleId="272">
    <w:name w:val="xl39"/>
    <w:basedOn w:val="1"/>
    <w:autoRedefine/>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cs="Arial Unicode MS"/>
      <w:b/>
      <w:bCs/>
      <w:kern w:val="0"/>
      <w:sz w:val="20"/>
      <w:szCs w:val="20"/>
    </w:rPr>
  </w:style>
  <w:style w:type="paragraph" w:customStyle="1" w:styleId="273">
    <w:name w:val="正文段"/>
    <w:basedOn w:val="1"/>
    <w:autoRedefine/>
    <w:qFormat/>
    <w:uiPriority w:val="99"/>
    <w:pPr>
      <w:autoSpaceDE w:val="0"/>
      <w:autoSpaceDN w:val="0"/>
      <w:adjustRightInd w:val="0"/>
      <w:spacing w:after="240" w:line="360" w:lineRule="atLeast"/>
      <w:ind w:firstLine="454"/>
      <w:textAlignment w:val="baseline"/>
    </w:pPr>
    <w:rPr>
      <w:rFonts w:ascii="宋体" w:hAnsi="Tms Rmn" w:cs="宋体"/>
      <w:kern w:val="0"/>
      <w:sz w:val="24"/>
      <w:szCs w:val="24"/>
    </w:rPr>
  </w:style>
  <w:style w:type="paragraph" w:customStyle="1" w:styleId="274">
    <w:name w:val="标准次分项"/>
    <w:basedOn w:val="1"/>
    <w:autoRedefine/>
    <w:qFormat/>
    <w:uiPriority w:val="99"/>
    <w:pPr>
      <w:jc w:val="left"/>
    </w:pPr>
    <w:rPr>
      <w:rFonts w:ascii="宋体" w:hAnsi="宋体" w:cs="宋体"/>
    </w:rPr>
  </w:style>
  <w:style w:type="paragraph" w:customStyle="1" w:styleId="275">
    <w:name w:val="font5"/>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276">
    <w:name w:val="xl11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kern w:val="0"/>
      <w:sz w:val="18"/>
      <w:szCs w:val="18"/>
    </w:rPr>
  </w:style>
  <w:style w:type="paragraph" w:customStyle="1" w:styleId="277">
    <w:name w:val="+1. Char"/>
    <w:basedOn w:val="1"/>
    <w:link w:val="278"/>
    <w:autoRedefine/>
    <w:qFormat/>
    <w:uiPriority w:val="99"/>
    <w:rPr>
      <w:kern w:val="0"/>
      <w:sz w:val="20"/>
    </w:rPr>
  </w:style>
  <w:style w:type="character" w:customStyle="1" w:styleId="278">
    <w:name w:val="+1. Char Char Char"/>
    <w:link w:val="277"/>
    <w:autoRedefine/>
    <w:qFormat/>
    <w:locked/>
    <w:uiPriority w:val="99"/>
    <w:rPr>
      <w:rFonts w:ascii="Times New Roman" w:hAnsi="Times New Roman" w:eastAsia="宋体" w:cs="Times New Roman"/>
      <w:szCs w:val="21"/>
    </w:rPr>
  </w:style>
  <w:style w:type="paragraph" w:customStyle="1" w:styleId="279">
    <w:name w:val="font6"/>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280">
    <w:name w:val="+正文 Char5 Char Char Char"/>
    <w:basedOn w:val="1"/>
    <w:link w:val="281"/>
    <w:autoRedefine/>
    <w:qFormat/>
    <w:uiPriority w:val="99"/>
    <w:pPr>
      <w:spacing w:line="360" w:lineRule="auto"/>
      <w:ind w:firstLine="200" w:firstLineChars="200"/>
    </w:pPr>
    <w:rPr>
      <w:rFonts w:ascii="宋体"/>
      <w:kern w:val="0"/>
      <w:sz w:val="24"/>
      <w:szCs w:val="24"/>
    </w:rPr>
  </w:style>
  <w:style w:type="character" w:customStyle="1" w:styleId="281">
    <w:name w:val="+正文 Char5 Char Char Char Char Char"/>
    <w:link w:val="280"/>
    <w:autoRedefine/>
    <w:qFormat/>
    <w:locked/>
    <w:uiPriority w:val="99"/>
    <w:rPr>
      <w:rFonts w:ascii="宋体" w:hAnsi="Times New Roman" w:eastAsia="宋体" w:cs="Times New Roman"/>
      <w:sz w:val="24"/>
      <w:szCs w:val="24"/>
    </w:rPr>
  </w:style>
  <w:style w:type="paragraph" w:customStyle="1" w:styleId="282">
    <w:name w:val="xl9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283">
    <w:name w:val="xl119"/>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right"/>
    </w:pPr>
    <w:rPr>
      <w:rFonts w:ascii="宋体" w:hAnsi="宋体" w:cs="宋体"/>
      <w:kern w:val="0"/>
      <w:sz w:val="20"/>
      <w:szCs w:val="20"/>
    </w:rPr>
  </w:style>
  <w:style w:type="paragraph" w:customStyle="1" w:styleId="284">
    <w:name w:val="明显引用1"/>
    <w:basedOn w:val="1"/>
    <w:next w:val="1"/>
    <w:link w:val="285"/>
    <w:autoRedefine/>
    <w:qFormat/>
    <w:uiPriority w:val="99"/>
    <w:pPr>
      <w:widowControl/>
      <w:pBdr>
        <w:bottom w:val="single" w:color="4F81BD" w:sz="4" w:space="4"/>
      </w:pBdr>
      <w:spacing w:before="200" w:after="280" w:line="276" w:lineRule="auto"/>
      <w:ind w:left="936" w:right="936"/>
      <w:jc w:val="left"/>
    </w:pPr>
    <w:rPr>
      <w:rFonts w:ascii="Calibri" w:hAnsi="Calibri"/>
      <w:b/>
      <w:bCs/>
      <w:i/>
      <w:iCs/>
      <w:color w:val="4F81BD"/>
      <w:kern w:val="0"/>
      <w:sz w:val="22"/>
      <w:szCs w:val="20"/>
      <w:lang w:eastAsia="en-US"/>
    </w:rPr>
  </w:style>
  <w:style w:type="character" w:customStyle="1" w:styleId="285">
    <w:name w:val="明显引用 Char1"/>
    <w:link w:val="284"/>
    <w:autoRedefine/>
    <w:qFormat/>
    <w:locked/>
    <w:uiPriority w:val="99"/>
    <w:rPr>
      <w:rFonts w:ascii="Calibri" w:hAnsi="Calibri" w:eastAsia="宋体" w:cs="Times New Roman"/>
      <w:b/>
      <w:bCs/>
      <w:i/>
      <w:iCs/>
      <w:color w:val="4F81BD"/>
      <w:kern w:val="0"/>
      <w:sz w:val="22"/>
      <w:lang w:eastAsia="en-US"/>
    </w:rPr>
  </w:style>
  <w:style w:type="paragraph" w:customStyle="1" w:styleId="286">
    <w:name w:val="彩色列表 - 着色 12"/>
    <w:basedOn w:val="1"/>
    <w:autoRedefine/>
    <w:qFormat/>
    <w:uiPriority w:val="99"/>
    <w:pPr>
      <w:autoSpaceDE w:val="0"/>
      <w:autoSpaceDN w:val="0"/>
      <w:adjustRightInd w:val="0"/>
      <w:ind w:firstLine="420" w:firstLineChars="200"/>
      <w:jc w:val="left"/>
      <w:textAlignment w:val="baseline"/>
    </w:pPr>
    <w:rPr>
      <w:rFonts w:ascii="宋体" w:cs="宋体"/>
      <w:kern w:val="0"/>
      <w:sz w:val="34"/>
      <w:szCs w:val="34"/>
    </w:rPr>
  </w:style>
  <w:style w:type="paragraph" w:customStyle="1" w:styleId="287">
    <w:name w:val="19"/>
    <w:basedOn w:val="1"/>
    <w:autoRedefine/>
    <w:qFormat/>
    <w:uiPriority w:val="99"/>
    <w:pPr>
      <w:widowControl/>
      <w:snapToGrid w:val="0"/>
      <w:spacing w:before="100" w:beforeAutospacing="1" w:after="100" w:afterAutospacing="1" w:line="360" w:lineRule="auto"/>
    </w:pPr>
    <w:rPr>
      <w:kern w:val="0"/>
      <w:sz w:val="24"/>
      <w:szCs w:val="24"/>
    </w:rPr>
  </w:style>
  <w:style w:type="paragraph" w:customStyle="1" w:styleId="288">
    <w:name w:val="全文标题"/>
    <w:next w:val="1"/>
    <w:autoRedefine/>
    <w:qFormat/>
    <w:uiPriority w:val="99"/>
    <w:pPr>
      <w:jc w:val="center"/>
    </w:pPr>
    <w:rPr>
      <w:rFonts w:ascii="Arial" w:hAnsi="Arial" w:eastAsia="黑体" w:cs="Arial"/>
      <w:kern w:val="2"/>
      <w:sz w:val="52"/>
      <w:szCs w:val="52"/>
      <w:lang w:val="en-US" w:eastAsia="zh-CN" w:bidi="ar-SA"/>
    </w:rPr>
  </w:style>
  <w:style w:type="paragraph" w:customStyle="1" w:styleId="289">
    <w:name w:val="列出段落3"/>
    <w:basedOn w:val="1"/>
    <w:autoRedefine/>
    <w:qFormat/>
    <w:uiPriority w:val="99"/>
    <w:pPr>
      <w:ind w:firstLine="420" w:firstLineChars="200"/>
    </w:pPr>
  </w:style>
  <w:style w:type="paragraph" w:customStyle="1" w:styleId="290">
    <w:name w:val="xl29"/>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cs="Arial Unicode MS"/>
      <w:b/>
      <w:bCs/>
      <w:kern w:val="0"/>
      <w:sz w:val="20"/>
      <w:szCs w:val="20"/>
    </w:rPr>
  </w:style>
  <w:style w:type="paragraph" w:customStyle="1" w:styleId="291">
    <w:name w:val="xl9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292">
    <w:name w:val="1"/>
    <w:basedOn w:val="1"/>
    <w:autoRedefine/>
    <w:qFormat/>
    <w:uiPriority w:val="99"/>
    <w:pPr>
      <w:spacing w:afterLines="50" w:line="360" w:lineRule="auto"/>
    </w:pPr>
    <w:rPr>
      <w:rFonts w:ascii="仿宋_GB2312" w:hAnsi="宋体" w:eastAsia="仿宋_GB2312" w:cs="仿宋_GB2312"/>
      <w:sz w:val="24"/>
      <w:szCs w:val="24"/>
    </w:rPr>
  </w:style>
  <w:style w:type="paragraph" w:customStyle="1" w:styleId="293">
    <w:name w:val="font9"/>
    <w:basedOn w:val="1"/>
    <w:autoRedefine/>
    <w:qFormat/>
    <w:uiPriority w:val="0"/>
    <w:pPr>
      <w:widowControl/>
      <w:spacing w:before="100" w:beforeAutospacing="1" w:after="100" w:afterAutospacing="1"/>
      <w:jc w:val="left"/>
    </w:pPr>
    <w:rPr>
      <w:b/>
      <w:bCs/>
      <w:kern w:val="0"/>
      <w:sz w:val="16"/>
      <w:szCs w:val="16"/>
    </w:rPr>
  </w:style>
  <w:style w:type="paragraph" w:customStyle="1" w:styleId="294">
    <w:name w:val="Char"/>
    <w:basedOn w:val="1"/>
    <w:autoRedefine/>
    <w:qFormat/>
    <w:uiPriority w:val="99"/>
    <w:rPr>
      <w:rFonts w:ascii="Tahoma" w:hAnsi="Tahoma" w:cs="Tahoma"/>
      <w:sz w:val="24"/>
      <w:szCs w:val="24"/>
    </w:rPr>
  </w:style>
  <w:style w:type="paragraph" w:customStyle="1" w:styleId="295">
    <w:name w:val="无间隔1"/>
    <w:link w:val="296"/>
    <w:autoRedefine/>
    <w:qFormat/>
    <w:uiPriority w:val="99"/>
    <w:rPr>
      <w:rFonts w:ascii="Calibri" w:hAnsi="Calibri" w:eastAsia="宋体" w:cs="Times New Roman"/>
      <w:sz w:val="22"/>
      <w:lang w:val="en-US" w:eastAsia="en-US" w:bidi="ar-SA"/>
    </w:rPr>
  </w:style>
  <w:style w:type="character" w:customStyle="1" w:styleId="296">
    <w:name w:val="无间隔 Char"/>
    <w:link w:val="295"/>
    <w:autoRedefine/>
    <w:qFormat/>
    <w:locked/>
    <w:uiPriority w:val="99"/>
    <w:rPr>
      <w:rFonts w:ascii="Calibri" w:hAnsi="Calibri"/>
      <w:sz w:val="22"/>
      <w:lang w:eastAsia="en-US" w:bidi="ar-SA"/>
    </w:rPr>
  </w:style>
  <w:style w:type="paragraph" w:customStyle="1" w:styleId="297">
    <w:name w:val="xl43"/>
    <w:basedOn w:val="1"/>
    <w:autoRedefine/>
    <w:qFormat/>
    <w:uiPriority w:val="99"/>
    <w:pPr>
      <w:widowControl/>
      <w:pBdr>
        <w:top w:val="single" w:color="auto" w:sz="4" w:space="0"/>
        <w:left w:val="single" w:color="auto" w:sz="4" w:space="0"/>
        <w:right w:val="single" w:color="auto" w:sz="4" w:space="0"/>
      </w:pBdr>
      <w:spacing w:before="100" w:beforeAutospacing="1" w:after="100" w:afterAutospacing="1"/>
      <w:jc w:val="left"/>
    </w:pPr>
    <w:rPr>
      <w:rFonts w:ascii="Arial Unicode MS" w:hAnsi="Arial Unicode MS" w:cs="Arial Unicode MS"/>
      <w:kern w:val="0"/>
      <w:sz w:val="22"/>
      <w:szCs w:val="22"/>
    </w:rPr>
  </w:style>
  <w:style w:type="paragraph" w:customStyle="1" w:styleId="298">
    <w:name w:val="xl138"/>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99">
    <w:name w:val="xl32"/>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cs="Arial Unicode MS"/>
      <w:kern w:val="0"/>
      <w:sz w:val="20"/>
      <w:szCs w:val="20"/>
    </w:rPr>
  </w:style>
  <w:style w:type="paragraph" w:customStyle="1" w:styleId="300">
    <w:name w:val="font13"/>
    <w:basedOn w:val="1"/>
    <w:autoRedefine/>
    <w:qFormat/>
    <w:uiPriority w:val="99"/>
    <w:pPr>
      <w:widowControl/>
      <w:spacing w:before="100" w:beforeAutospacing="1" w:after="100" w:afterAutospacing="1"/>
      <w:jc w:val="left"/>
    </w:pPr>
    <w:rPr>
      <w:rFonts w:ascii="BatangChe" w:hAnsi="BatangChe" w:eastAsia="BatangChe" w:cs="BatangChe"/>
      <w:kern w:val="0"/>
      <w:sz w:val="16"/>
      <w:szCs w:val="16"/>
    </w:rPr>
  </w:style>
  <w:style w:type="paragraph" w:customStyle="1" w:styleId="301">
    <w:name w:val="font15"/>
    <w:basedOn w:val="1"/>
    <w:autoRedefine/>
    <w:qFormat/>
    <w:uiPriority w:val="99"/>
    <w:pPr>
      <w:widowControl/>
      <w:spacing w:before="100" w:beforeAutospacing="1" w:after="100" w:afterAutospacing="1"/>
      <w:jc w:val="left"/>
    </w:pPr>
    <w:rPr>
      <w:rFonts w:ascii="宋体" w:hAnsi="宋体" w:cs="宋体"/>
      <w:kern w:val="0"/>
      <w:sz w:val="18"/>
      <w:szCs w:val="18"/>
    </w:rPr>
  </w:style>
  <w:style w:type="paragraph" w:customStyle="1" w:styleId="302">
    <w:name w:val="xl7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kern w:val="0"/>
      <w:sz w:val="16"/>
      <w:szCs w:val="16"/>
    </w:rPr>
  </w:style>
  <w:style w:type="paragraph" w:customStyle="1" w:styleId="303">
    <w:name w:val="xl9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04">
    <w:name w:val="xl11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i/>
      <w:iCs/>
      <w:kern w:val="0"/>
      <w:sz w:val="18"/>
      <w:szCs w:val="18"/>
    </w:rPr>
  </w:style>
  <w:style w:type="paragraph" w:customStyle="1" w:styleId="305">
    <w:name w:val="17"/>
    <w:basedOn w:val="1"/>
    <w:autoRedefine/>
    <w:qFormat/>
    <w:uiPriority w:val="99"/>
    <w:pPr>
      <w:widowControl/>
      <w:snapToGrid w:val="0"/>
      <w:spacing w:before="100" w:beforeAutospacing="1" w:after="100" w:afterAutospacing="1"/>
      <w:jc w:val="left"/>
    </w:pPr>
    <w:rPr>
      <w:kern w:val="0"/>
      <w:sz w:val="18"/>
      <w:szCs w:val="18"/>
    </w:rPr>
  </w:style>
  <w:style w:type="paragraph" w:customStyle="1" w:styleId="306">
    <w:name w:val="表内文字"/>
    <w:basedOn w:val="1"/>
    <w:link w:val="307"/>
    <w:autoRedefine/>
    <w:qFormat/>
    <w:uiPriority w:val="0"/>
    <w:pPr>
      <w:jc w:val="center"/>
    </w:pPr>
    <w:rPr>
      <w:rFonts w:ascii="宋体" w:hAnsi="宋体"/>
      <w:color w:val="000000"/>
      <w:kern w:val="0"/>
      <w:sz w:val="20"/>
      <w:szCs w:val="24"/>
    </w:rPr>
  </w:style>
  <w:style w:type="character" w:customStyle="1" w:styleId="307">
    <w:name w:val="表内文字 Char"/>
    <w:link w:val="306"/>
    <w:autoRedefine/>
    <w:qFormat/>
    <w:uiPriority w:val="0"/>
    <w:rPr>
      <w:rFonts w:ascii="宋体" w:hAnsi="宋体" w:eastAsia="宋体" w:cs="Times New Roman"/>
      <w:color w:val="000000"/>
      <w:szCs w:val="24"/>
    </w:rPr>
  </w:style>
  <w:style w:type="paragraph" w:customStyle="1" w:styleId="308">
    <w:name w:val="列出段落2"/>
    <w:basedOn w:val="1"/>
    <w:autoRedefine/>
    <w:qFormat/>
    <w:uiPriority w:val="99"/>
    <w:pPr>
      <w:ind w:firstLine="420" w:firstLineChars="200"/>
    </w:pPr>
    <w:rPr>
      <w:rFonts w:ascii="Calibri" w:hAnsi="Calibri" w:cs="Calibri"/>
    </w:rPr>
  </w:style>
  <w:style w:type="paragraph" w:customStyle="1" w:styleId="309">
    <w:name w:val="xl33"/>
    <w:basedOn w:val="1"/>
    <w:autoRedefine/>
    <w:qFormat/>
    <w:uiPriority w:val="99"/>
    <w:pPr>
      <w:widowControl/>
      <w:pBdr>
        <w:top w:val="single" w:color="auto" w:sz="4" w:space="0"/>
        <w:left w:val="single" w:color="auto" w:sz="4" w:space="0"/>
        <w:right w:val="single" w:color="auto" w:sz="4" w:space="0"/>
      </w:pBdr>
      <w:spacing w:before="100" w:beforeAutospacing="1" w:after="100" w:afterAutospacing="1"/>
      <w:jc w:val="left"/>
      <w:textAlignment w:val="bottom"/>
    </w:pPr>
    <w:rPr>
      <w:rFonts w:ascii="Arial Unicode MS" w:hAnsi="Arial Unicode MS" w:cs="Arial Unicode MS"/>
      <w:kern w:val="0"/>
      <w:sz w:val="20"/>
      <w:szCs w:val="20"/>
    </w:rPr>
  </w:style>
  <w:style w:type="paragraph" w:customStyle="1" w:styleId="310">
    <w:name w:val="xl42"/>
    <w:basedOn w:val="1"/>
    <w:autoRedefine/>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bottom"/>
    </w:pPr>
    <w:rPr>
      <w:rFonts w:ascii="Arial Unicode MS" w:hAnsi="Arial Unicode MS" w:cs="Arial Unicode MS"/>
      <w:kern w:val="0"/>
      <w:sz w:val="20"/>
      <w:szCs w:val="20"/>
    </w:rPr>
  </w:style>
  <w:style w:type="paragraph" w:customStyle="1" w:styleId="311">
    <w:name w:val="xl124"/>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312">
    <w:name w:val="xl6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313">
    <w:name w:val="xl50"/>
    <w:basedOn w:val="1"/>
    <w:autoRedefine/>
    <w:qFormat/>
    <w:uiPriority w:val="99"/>
    <w:pPr>
      <w:widowControl/>
      <w:pBdr>
        <w:left w:val="single" w:color="auto" w:sz="4" w:space="0"/>
        <w:right w:val="single" w:color="auto" w:sz="4" w:space="0"/>
      </w:pBdr>
      <w:spacing w:before="100" w:beforeAutospacing="1" w:after="100" w:afterAutospacing="1"/>
      <w:jc w:val="left"/>
    </w:pPr>
    <w:rPr>
      <w:rFonts w:ascii="Arial Unicode MS" w:hAnsi="Arial Unicode MS" w:cs="Arial Unicode MS"/>
      <w:kern w:val="0"/>
      <w:sz w:val="20"/>
      <w:szCs w:val="20"/>
    </w:rPr>
  </w:style>
  <w:style w:type="character" w:customStyle="1" w:styleId="314">
    <w:name w:val="Subtitle Char"/>
    <w:autoRedefine/>
    <w:qFormat/>
    <w:locked/>
    <w:uiPriority w:val="99"/>
    <w:rPr>
      <w:rFonts w:ascii="Calibri Light" w:hAnsi="Calibri Light" w:eastAsia="宋体" w:cs="Calibri Light"/>
      <w:b/>
      <w:bCs/>
      <w:kern w:val="28"/>
      <w:sz w:val="32"/>
      <w:szCs w:val="32"/>
      <w:lang w:eastAsia="en-US"/>
    </w:rPr>
  </w:style>
  <w:style w:type="character" w:customStyle="1" w:styleId="315">
    <w:name w:val="注释标题 Char1"/>
    <w:autoRedefine/>
    <w:semiHidden/>
    <w:qFormat/>
    <w:uiPriority w:val="99"/>
  </w:style>
  <w:style w:type="character" w:customStyle="1" w:styleId="316">
    <w:name w:val="font41"/>
    <w:autoRedefine/>
    <w:qFormat/>
    <w:uiPriority w:val="0"/>
    <w:rPr>
      <w:rFonts w:hint="default" w:ascii="Times New Roman" w:hAnsi="Times New Roman" w:cs="Times New Roman"/>
      <w:b/>
      <w:color w:val="000000"/>
      <w:sz w:val="20"/>
      <w:szCs w:val="20"/>
      <w:u w:val="none"/>
    </w:rPr>
  </w:style>
  <w:style w:type="character" w:customStyle="1" w:styleId="317">
    <w:name w:val="明显引用 Char2"/>
    <w:semiHidden/>
    <w:qFormat/>
    <w:uiPriority w:val="99"/>
    <w:rPr>
      <w:b/>
      <w:bCs/>
      <w:i/>
      <w:iCs/>
      <w:color w:val="4F81BD"/>
      <w:kern w:val="2"/>
      <w:sz w:val="21"/>
      <w:szCs w:val="21"/>
    </w:rPr>
  </w:style>
  <w:style w:type="character" w:customStyle="1" w:styleId="318">
    <w:name w:val="Char Char6"/>
    <w:qFormat/>
    <w:uiPriority w:val="99"/>
    <w:rPr>
      <w:rFonts w:ascii="Arial" w:hAnsi="Arial" w:eastAsia="黑体" w:cs="Arial"/>
      <w:kern w:val="2"/>
      <w:sz w:val="44"/>
      <w:szCs w:val="44"/>
    </w:rPr>
  </w:style>
  <w:style w:type="character" w:customStyle="1" w:styleId="319">
    <w:name w:val="标题 Char1"/>
    <w:qFormat/>
    <w:uiPriority w:val="99"/>
    <w:rPr>
      <w:rFonts w:ascii="Cambria" w:hAnsi="Cambria" w:eastAsia="宋体" w:cs="Cambria"/>
      <w:b/>
      <w:bCs/>
      <w:sz w:val="32"/>
      <w:szCs w:val="32"/>
    </w:rPr>
  </w:style>
  <w:style w:type="character" w:customStyle="1" w:styleId="320">
    <w:name w:val="font101"/>
    <w:qFormat/>
    <w:uiPriority w:val="0"/>
    <w:rPr>
      <w:rFonts w:hint="eastAsia" w:ascii="宋体" w:hAnsi="宋体" w:eastAsia="宋体" w:cs="宋体"/>
      <w:color w:val="000000"/>
      <w:sz w:val="24"/>
      <w:szCs w:val="24"/>
      <w:u w:val="none"/>
      <w:vertAlign w:val="superscript"/>
    </w:rPr>
  </w:style>
  <w:style w:type="character" w:customStyle="1" w:styleId="321">
    <w:name w:val="日期 Char1"/>
    <w:semiHidden/>
    <w:qFormat/>
    <w:uiPriority w:val="99"/>
  </w:style>
  <w:style w:type="character" w:customStyle="1" w:styleId="322">
    <w:name w:val="页眉 Char1"/>
    <w:semiHidden/>
    <w:qFormat/>
    <w:uiPriority w:val="99"/>
    <w:rPr>
      <w:sz w:val="18"/>
      <w:szCs w:val="18"/>
    </w:rPr>
  </w:style>
  <w:style w:type="character" w:customStyle="1" w:styleId="323">
    <w:name w:val="居中 Char"/>
    <w:qFormat/>
    <w:uiPriority w:val="99"/>
    <w:rPr>
      <w:kern w:val="2"/>
      <w:sz w:val="24"/>
      <w:szCs w:val="24"/>
    </w:rPr>
  </w:style>
  <w:style w:type="character" w:customStyle="1" w:styleId="324">
    <w:name w:val="批注文字 Char1"/>
    <w:semiHidden/>
    <w:qFormat/>
    <w:uiPriority w:val="99"/>
  </w:style>
  <w:style w:type="character" w:customStyle="1" w:styleId="325">
    <w:name w:val="Intense Quote Char1"/>
    <w:qFormat/>
    <w:uiPriority w:val="99"/>
    <w:rPr>
      <w:b/>
      <w:bCs/>
      <w:i/>
      <w:iCs/>
      <w:color w:val="4F81BD"/>
      <w:sz w:val="21"/>
      <w:szCs w:val="21"/>
    </w:rPr>
  </w:style>
  <w:style w:type="character" w:customStyle="1" w:styleId="326">
    <w:name w:val="font81"/>
    <w:qFormat/>
    <w:uiPriority w:val="0"/>
    <w:rPr>
      <w:rFonts w:hint="eastAsia" w:ascii="宋体" w:hAnsi="宋体" w:eastAsia="宋体" w:cs="宋体"/>
      <w:b/>
      <w:color w:val="000000"/>
      <w:sz w:val="20"/>
      <w:szCs w:val="20"/>
      <w:u w:val="none"/>
    </w:rPr>
  </w:style>
  <w:style w:type="character" w:customStyle="1" w:styleId="327">
    <w:name w:val="Char Char1"/>
    <w:semiHidden/>
    <w:qFormat/>
    <w:uiPriority w:val="99"/>
    <w:rPr>
      <w:kern w:val="2"/>
      <w:sz w:val="21"/>
      <w:szCs w:val="21"/>
    </w:rPr>
  </w:style>
  <w:style w:type="character" w:customStyle="1" w:styleId="328">
    <w:name w:val="表正文 Char"/>
    <w:autoRedefine/>
    <w:qFormat/>
    <w:uiPriority w:val="99"/>
    <w:rPr>
      <w:rFonts w:eastAsia="宋体"/>
      <w:kern w:val="2"/>
      <w:sz w:val="24"/>
      <w:szCs w:val="24"/>
      <w:lang w:val="en-US" w:eastAsia="zh-CN"/>
    </w:rPr>
  </w:style>
  <w:style w:type="character" w:customStyle="1" w:styleId="329">
    <w:name w:val="old"/>
    <w:autoRedefine/>
    <w:qFormat/>
    <w:uiPriority w:val="0"/>
    <w:rPr>
      <w:color w:val="999999"/>
    </w:rPr>
  </w:style>
  <w:style w:type="character" w:customStyle="1" w:styleId="330">
    <w:name w:val="15"/>
    <w:autoRedefine/>
    <w:qFormat/>
    <w:uiPriority w:val="99"/>
    <w:rPr>
      <w:rFonts w:ascii="Calibri" w:hAnsi="Calibri" w:cs="Calibri"/>
    </w:rPr>
  </w:style>
  <w:style w:type="character" w:customStyle="1" w:styleId="331">
    <w:name w:val="font71"/>
    <w:autoRedefine/>
    <w:qFormat/>
    <w:uiPriority w:val="0"/>
    <w:rPr>
      <w:rFonts w:hint="eastAsia" w:ascii="宋体" w:hAnsi="宋体" w:eastAsia="宋体" w:cs="宋体"/>
      <w:b/>
      <w:color w:val="000000"/>
      <w:sz w:val="20"/>
      <w:szCs w:val="20"/>
      <w:u w:val="none"/>
    </w:rPr>
  </w:style>
  <w:style w:type="character" w:customStyle="1" w:styleId="332">
    <w:name w:val="font61"/>
    <w:autoRedefine/>
    <w:qFormat/>
    <w:uiPriority w:val="0"/>
    <w:rPr>
      <w:rFonts w:hint="eastAsia" w:ascii="宋体" w:hAnsi="宋体" w:eastAsia="宋体" w:cs="宋体"/>
      <w:color w:val="000000"/>
      <w:sz w:val="20"/>
      <w:szCs w:val="20"/>
      <w:u w:val="none"/>
      <w:vertAlign w:val="superscript"/>
    </w:rPr>
  </w:style>
  <w:style w:type="character" w:customStyle="1" w:styleId="333">
    <w:name w:val="Footer Char"/>
    <w:autoRedefine/>
    <w:semiHidden/>
    <w:qFormat/>
    <w:locked/>
    <w:uiPriority w:val="99"/>
    <w:rPr>
      <w:sz w:val="18"/>
      <w:szCs w:val="18"/>
    </w:rPr>
  </w:style>
  <w:style w:type="character" w:customStyle="1" w:styleId="334">
    <w:name w:val="称呼 Char1"/>
    <w:autoRedefine/>
    <w:semiHidden/>
    <w:qFormat/>
    <w:uiPriority w:val="99"/>
  </w:style>
  <w:style w:type="character" w:customStyle="1" w:styleId="335">
    <w:name w:val="Plain Text Char"/>
    <w:autoRedefine/>
    <w:qFormat/>
    <w:uiPriority w:val="99"/>
    <w:rPr>
      <w:rFonts w:ascii="宋体" w:hAnsi="Courier New" w:eastAsia="宋体" w:cs="宋体"/>
      <w:kern w:val="2"/>
      <w:sz w:val="21"/>
      <w:szCs w:val="21"/>
    </w:rPr>
  </w:style>
  <w:style w:type="character" w:customStyle="1" w:styleId="336">
    <w:name w:val="black1"/>
    <w:autoRedefine/>
    <w:qFormat/>
    <w:uiPriority w:val="99"/>
    <w:rPr>
      <w:rFonts w:ascii="??" w:hAnsi="??" w:cs="??"/>
      <w:color w:val="auto"/>
      <w:sz w:val="18"/>
      <w:szCs w:val="18"/>
      <w:u w:val="none"/>
    </w:rPr>
  </w:style>
  <w:style w:type="character" w:customStyle="1" w:styleId="337">
    <w:name w:val="引用 Char2"/>
    <w:autoRedefine/>
    <w:semiHidden/>
    <w:qFormat/>
    <w:uiPriority w:val="99"/>
    <w:rPr>
      <w:i/>
      <w:iCs/>
      <w:color w:val="000000"/>
      <w:kern w:val="2"/>
      <w:sz w:val="21"/>
      <w:szCs w:val="21"/>
    </w:rPr>
  </w:style>
  <w:style w:type="character" w:customStyle="1" w:styleId="338">
    <w:name w:val="font51"/>
    <w:autoRedefine/>
    <w:qFormat/>
    <w:uiPriority w:val="0"/>
    <w:rPr>
      <w:rFonts w:hint="eastAsia" w:ascii="宋体" w:hAnsi="宋体" w:eastAsia="宋体" w:cs="宋体"/>
      <w:color w:val="000000"/>
      <w:sz w:val="20"/>
      <w:szCs w:val="20"/>
      <w:u w:val="none"/>
      <w:vertAlign w:val="superscript"/>
    </w:rPr>
  </w:style>
  <w:style w:type="character" w:customStyle="1" w:styleId="339">
    <w:name w:val="正文文本 Char1"/>
    <w:autoRedefine/>
    <w:semiHidden/>
    <w:qFormat/>
    <w:uiPriority w:val="99"/>
  </w:style>
  <w:style w:type="character" w:customStyle="1" w:styleId="340">
    <w:name w:val="普通文字 Char Char"/>
    <w:autoRedefine/>
    <w:qFormat/>
    <w:uiPriority w:val="99"/>
    <w:rPr>
      <w:rFonts w:ascii="宋体" w:hAnsi="Courier New" w:cs="宋体"/>
      <w:kern w:val="2"/>
      <w:sz w:val="21"/>
      <w:szCs w:val="21"/>
    </w:rPr>
  </w:style>
  <w:style w:type="character" w:customStyle="1" w:styleId="341">
    <w:name w:val="Char Char"/>
    <w:autoRedefine/>
    <w:semiHidden/>
    <w:qFormat/>
    <w:uiPriority w:val="99"/>
    <w:rPr>
      <w:b/>
      <w:bCs/>
      <w:kern w:val="2"/>
      <w:sz w:val="21"/>
      <w:szCs w:val="21"/>
    </w:rPr>
  </w:style>
  <w:style w:type="character" w:customStyle="1" w:styleId="342">
    <w:name w:val="solutioncontent1"/>
    <w:autoRedefine/>
    <w:qFormat/>
    <w:uiPriority w:val="99"/>
    <w:rPr>
      <w:color w:val="auto"/>
      <w:sz w:val="15"/>
      <w:szCs w:val="15"/>
    </w:rPr>
  </w:style>
  <w:style w:type="character" w:customStyle="1" w:styleId="343">
    <w:name w:val="正文文本 3 Char1"/>
    <w:autoRedefine/>
    <w:semiHidden/>
    <w:qFormat/>
    <w:uiPriority w:val="99"/>
    <w:rPr>
      <w:sz w:val="16"/>
      <w:szCs w:val="16"/>
    </w:rPr>
  </w:style>
  <w:style w:type="character" w:customStyle="1" w:styleId="344">
    <w:name w:val="font12-blue-bold1"/>
    <w:autoRedefine/>
    <w:qFormat/>
    <w:uiPriority w:val="99"/>
    <w:rPr>
      <w:b/>
      <w:bCs/>
      <w:color w:val="auto"/>
      <w:sz w:val="18"/>
      <w:szCs w:val="18"/>
      <w:u w:val="none"/>
    </w:rPr>
  </w:style>
  <w:style w:type="character" w:customStyle="1" w:styleId="345">
    <w:name w:val="Heading 3 Char1"/>
    <w:autoRedefine/>
    <w:qFormat/>
    <w:uiPriority w:val="99"/>
    <w:rPr>
      <w:rFonts w:ascii="宋体" w:hAnsi="宋体" w:eastAsia="宋体" w:cs="宋体"/>
      <w:kern w:val="2"/>
      <w:sz w:val="32"/>
      <w:szCs w:val="32"/>
    </w:rPr>
  </w:style>
  <w:style w:type="character" w:customStyle="1" w:styleId="346">
    <w:name w:val="font01"/>
    <w:autoRedefine/>
    <w:qFormat/>
    <w:uiPriority w:val="0"/>
    <w:rPr>
      <w:rFonts w:hint="eastAsia" w:ascii="宋体" w:hAnsi="宋体" w:eastAsia="宋体" w:cs="宋体"/>
      <w:b/>
      <w:color w:val="000000"/>
      <w:sz w:val="20"/>
      <w:szCs w:val="20"/>
      <w:u w:val="none"/>
    </w:rPr>
  </w:style>
  <w:style w:type="character" w:customStyle="1" w:styleId="347">
    <w:name w:val="批注主题 Char1"/>
    <w:autoRedefine/>
    <w:semiHidden/>
    <w:qFormat/>
    <w:uiPriority w:val="99"/>
    <w:rPr>
      <w:b/>
      <w:bCs/>
    </w:rPr>
  </w:style>
  <w:style w:type="character" w:customStyle="1" w:styleId="348">
    <w:name w:val="grame"/>
    <w:autoRedefine/>
    <w:qFormat/>
    <w:uiPriority w:val="99"/>
  </w:style>
  <w:style w:type="character" w:customStyle="1" w:styleId="349">
    <w:name w:val="Char Char2"/>
    <w:autoRedefine/>
    <w:qFormat/>
    <w:uiPriority w:val="99"/>
    <w:rPr>
      <w:kern w:val="2"/>
      <w:sz w:val="24"/>
      <w:szCs w:val="24"/>
    </w:rPr>
  </w:style>
  <w:style w:type="character" w:customStyle="1" w:styleId="350">
    <w:name w:val="glyphicon6"/>
    <w:autoRedefine/>
    <w:qFormat/>
    <w:uiPriority w:val="0"/>
  </w:style>
  <w:style w:type="character" w:customStyle="1" w:styleId="351">
    <w:name w:val="HTML Preformatted Char"/>
    <w:autoRedefine/>
    <w:qFormat/>
    <w:uiPriority w:val="99"/>
    <w:rPr>
      <w:rFonts w:ascii="黑体" w:hAnsi="Courier New" w:eastAsia="黑体" w:cs="黑体"/>
      <w:kern w:val="2"/>
      <w:sz w:val="21"/>
      <w:szCs w:val="21"/>
      <w:lang w:val="en-US" w:eastAsia="zh-CN"/>
    </w:rPr>
  </w:style>
  <w:style w:type="character" w:customStyle="1" w:styleId="352">
    <w:name w:val="Char Char3"/>
    <w:autoRedefine/>
    <w:qFormat/>
    <w:uiPriority w:val="99"/>
    <w:rPr>
      <w:kern w:val="2"/>
      <w:sz w:val="21"/>
      <w:szCs w:val="21"/>
    </w:rPr>
  </w:style>
  <w:style w:type="character" w:customStyle="1" w:styleId="353">
    <w:name w:val="h Char Char"/>
    <w:autoRedefine/>
    <w:qFormat/>
    <w:uiPriority w:val="99"/>
    <w:rPr>
      <w:kern w:val="2"/>
      <w:sz w:val="18"/>
      <w:szCs w:val="18"/>
    </w:rPr>
  </w:style>
  <w:style w:type="character" w:customStyle="1" w:styleId="354">
    <w:name w:val="hour_am"/>
    <w:autoRedefine/>
    <w:qFormat/>
    <w:uiPriority w:val="0"/>
  </w:style>
  <w:style w:type="character" w:customStyle="1" w:styleId="355">
    <w:name w:val="Char Char7"/>
    <w:autoRedefine/>
    <w:qFormat/>
    <w:uiPriority w:val="99"/>
    <w:rPr>
      <w:kern w:val="2"/>
      <w:sz w:val="18"/>
      <w:szCs w:val="18"/>
    </w:rPr>
  </w:style>
  <w:style w:type="character" w:customStyle="1" w:styleId="356">
    <w:name w:val="表正文 Char1"/>
    <w:autoRedefine/>
    <w:qFormat/>
    <w:uiPriority w:val="99"/>
    <w:rPr>
      <w:kern w:val="2"/>
      <w:sz w:val="21"/>
      <w:szCs w:val="21"/>
    </w:rPr>
  </w:style>
  <w:style w:type="character" w:customStyle="1" w:styleId="357">
    <w:name w:val="页脚 Char1"/>
    <w:autoRedefine/>
    <w:semiHidden/>
    <w:qFormat/>
    <w:uiPriority w:val="99"/>
    <w:rPr>
      <w:sz w:val="18"/>
      <w:szCs w:val="18"/>
    </w:rPr>
  </w:style>
  <w:style w:type="character" w:customStyle="1" w:styleId="358">
    <w:name w:val="msoins"/>
    <w:autoRedefine/>
    <w:qFormat/>
    <w:uiPriority w:val="99"/>
  </w:style>
  <w:style w:type="character" w:customStyle="1" w:styleId="359">
    <w:name w:val="font91"/>
    <w:autoRedefine/>
    <w:qFormat/>
    <w:uiPriority w:val="0"/>
    <w:rPr>
      <w:rFonts w:hint="eastAsia" w:ascii="宋体" w:hAnsi="宋体" w:eastAsia="宋体" w:cs="宋体"/>
      <w:color w:val="000000"/>
      <w:sz w:val="20"/>
      <w:szCs w:val="20"/>
      <w:u w:val="none"/>
      <w:vertAlign w:val="superscript"/>
    </w:rPr>
  </w:style>
  <w:style w:type="character" w:customStyle="1" w:styleId="360">
    <w:name w:val="副标题 Char1"/>
    <w:autoRedefine/>
    <w:qFormat/>
    <w:uiPriority w:val="99"/>
    <w:rPr>
      <w:rFonts w:ascii="Cambria" w:hAnsi="Cambria" w:eastAsia="宋体" w:cs="Cambria"/>
      <w:b/>
      <w:bCs/>
      <w:kern w:val="28"/>
      <w:sz w:val="32"/>
      <w:szCs w:val="32"/>
    </w:rPr>
  </w:style>
  <w:style w:type="character" w:customStyle="1" w:styleId="361">
    <w:name w:val="hover2"/>
    <w:autoRedefine/>
    <w:qFormat/>
    <w:uiPriority w:val="0"/>
    <w:rPr>
      <w:shd w:val="clear" w:color="auto" w:fill="EEEEEE"/>
    </w:rPr>
  </w:style>
  <w:style w:type="character" w:customStyle="1" w:styleId="362">
    <w:name w:val="hour_pm"/>
    <w:autoRedefine/>
    <w:qFormat/>
    <w:uiPriority w:val="0"/>
  </w:style>
  <w:style w:type="character" w:customStyle="1" w:styleId="363">
    <w:name w:val="Body Text Indent Char"/>
    <w:autoRedefine/>
    <w:qFormat/>
    <w:locked/>
    <w:uiPriority w:val="99"/>
    <w:rPr>
      <w:kern w:val="2"/>
      <w:sz w:val="24"/>
      <w:szCs w:val="24"/>
    </w:rPr>
  </w:style>
  <w:style w:type="character" w:customStyle="1" w:styleId="364">
    <w:name w:val="font21"/>
    <w:autoRedefine/>
    <w:qFormat/>
    <w:uiPriority w:val="0"/>
    <w:rPr>
      <w:rFonts w:hint="eastAsia" w:ascii="宋体" w:hAnsi="宋体" w:eastAsia="宋体" w:cs="宋体"/>
      <w:b/>
      <w:color w:val="000000"/>
      <w:sz w:val="20"/>
      <w:szCs w:val="20"/>
      <w:u w:val="none"/>
    </w:rPr>
  </w:style>
  <w:style w:type="character" w:customStyle="1" w:styleId="365">
    <w:name w:val="16"/>
    <w:autoRedefine/>
    <w:qFormat/>
    <w:uiPriority w:val="99"/>
    <w:rPr>
      <w:rFonts w:ascii="Times New Roman" w:hAnsi="Times New Roman" w:cs="Times New Roman"/>
      <w:color w:val="0000FF"/>
      <w:sz w:val="20"/>
      <w:szCs w:val="20"/>
      <w:u w:val="single"/>
    </w:rPr>
  </w:style>
  <w:style w:type="character" w:customStyle="1" w:styleId="366">
    <w:name w:val="Quote Char1"/>
    <w:autoRedefine/>
    <w:qFormat/>
    <w:uiPriority w:val="99"/>
    <w:rPr>
      <w:i/>
      <w:iCs/>
      <w:color w:val="000000"/>
      <w:sz w:val="21"/>
      <w:szCs w:val="21"/>
    </w:rPr>
  </w:style>
  <w:style w:type="character" w:customStyle="1" w:styleId="367">
    <w:name w:val="正文首行缩进 Char1"/>
    <w:autoRedefine/>
    <w:semiHidden/>
    <w:qFormat/>
    <w:uiPriority w:val="99"/>
  </w:style>
  <w:style w:type="character" w:customStyle="1" w:styleId="368">
    <w:name w:val="font31"/>
    <w:autoRedefine/>
    <w:qFormat/>
    <w:uiPriority w:val="0"/>
    <w:rPr>
      <w:rFonts w:hint="default" w:ascii="Times New Roman" w:hAnsi="Times New Roman" w:cs="Times New Roman"/>
      <w:color w:val="000000"/>
      <w:sz w:val="21"/>
      <w:szCs w:val="21"/>
      <w:u w:val="none"/>
    </w:rPr>
  </w:style>
  <w:style w:type="character" w:customStyle="1" w:styleId="369">
    <w:name w:val="Char Char4"/>
    <w:autoRedefine/>
    <w:qFormat/>
    <w:uiPriority w:val="99"/>
    <w:rPr>
      <w:kern w:val="2"/>
      <w:sz w:val="16"/>
      <w:szCs w:val="16"/>
    </w:rPr>
  </w:style>
  <w:style w:type="character" w:customStyle="1" w:styleId="370">
    <w:name w:val="Char Char5"/>
    <w:autoRedefine/>
    <w:qFormat/>
    <w:uiPriority w:val="99"/>
    <w:rPr>
      <w:rFonts w:ascii="Arial" w:hAnsi="Arial" w:eastAsia="方正魏碑简体" w:cs="Arial"/>
      <w:kern w:val="28"/>
      <w:sz w:val="32"/>
      <w:szCs w:val="32"/>
    </w:rPr>
  </w:style>
  <w:style w:type="character" w:customStyle="1" w:styleId="371">
    <w:name w:val="Char Char8"/>
    <w:autoRedefine/>
    <w:qFormat/>
    <w:uiPriority w:val="99"/>
    <w:rPr>
      <w:kern w:val="2"/>
      <w:sz w:val="21"/>
      <w:szCs w:val="21"/>
    </w:rPr>
  </w:style>
  <w:style w:type="paragraph" w:customStyle="1" w:styleId="372">
    <w:name w:val="修订2"/>
    <w:autoRedefine/>
    <w:unhideWhenUsed/>
    <w:qFormat/>
    <w:uiPriority w:val="99"/>
    <w:rPr>
      <w:rFonts w:ascii="Times New Roman" w:hAnsi="Times New Roman" w:eastAsia="宋体" w:cs="Times New Roman"/>
      <w:kern w:val="2"/>
      <w:sz w:val="21"/>
      <w:szCs w:val="21"/>
      <w:lang w:val="en-US" w:eastAsia="zh-CN" w:bidi="ar-SA"/>
    </w:rPr>
  </w:style>
  <w:style w:type="paragraph" w:customStyle="1" w:styleId="373">
    <w:name w:val="xl6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374">
    <w:name w:val="xl6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8080"/>
      <w:kern w:val="0"/>
      <w:sz w:val="24"/>
      <w:szCs w:val="24"/>
      <w:u w:val="single"/>
    </w:rPr>
  </w:style>
  <w:style w:type="paragraph" w:customStyle="1" w:styleId="375">
    <w:name w:val="msonormal"/>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76">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kern w:val="0"/>
      <w:sz w:val="24"/>
      <w:szCs w:val="24"/>
    </w:rPr>
  </w:style>
  <w:style w:type="paragraph" w:customStyle="1" w:styleId="377">
    <w:name w:val="xl141"/>
    <w:basedOn w:val="1"/>
    <w:autoRedefine/>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378">
    <w:name w:val="xl14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379">
    <w:name w:val="xl14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380">
    <w:name w:val="xl1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32"/>
      <w:szCs w:val="32"/>
    </w:rPr>
  </w:style>
  <w:style w:type="paragraph" w:customStyle="1" w:styleId="381">
    <w:name w:val="xl14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kern w:val="0"/>
      <w:sz w:val="32"/>
      <w:szCs w:val="32"/>
    </w:rPr>
  </w:style>
  <w:style w:type="paragraph" w:customStyle="1" w:styleId="382">
    <w:name w:val="xl146"/>
    <w:basedOn w:val="1"/>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pPr>
    <w:rPr>
      <w:rFonts w:ascii="宋体" w:hAnsi="宋体" w:cs="宋体"/>
      <w:b/>
      <w:bCs/>
      <w:kern w:val="0"/>
      <w:sz w:val="32"/>
      <w:szCs w:val="32"/>
    </w:rPr>
  </w:style>
  <w:style w:type="paragraph" w:customStyle="1" w:styleId="383">
    <w:name w:val="xl147"/>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384">
    <w:name w:val="xl148"/>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5">
    <w:name w:val="xl149"/>
    <w:basedOn w:val="1"/>
    <w:autoRedefine/>
    <w:qFormat/>
    <w:uiPriority w:val="0"/>
    <w:pPr>
      <w:widowControl/>
      <w:pBdr>
        <w:top w:val="single" w:color="auto" w:sz="12"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6">
    <w:name w:val="xl150"/>
    <w:basedOn w:val="1"/>
    <w:autoRedefine/>
    <w:qFormat/>
    <w:uiPriority w:val="0"/>
    <w:pPr>
      <w:widowControl/>
      <w:pBdr>
        <w:top w:val="single" w:color="auto" w:sz="12"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32"/>
      <w:szCs w:val="32"/>
    </w:rPr>
  </w:style>
  <w:style w:type="paragraph" w:customStyle="1" w:styleId="387">
    <w:name w:val="xl151"/>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388">
    <w:name w:val="xl152"/>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389">
    <w:name w:val="xl153"/>
    <w:basedOn w:val="1"/>
    <w:autoRedefine/>
    <w:qFormat/>
    <w:uiPriority w:val="0"/>
    <w:pPr>
      <w:widowControl/>
      <w:pBdr>
        <w:top w:val="single" w:color="auto" w:sz="12"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90">
    <w:name w:val="xl154"/>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391">
    <w:name w:val="xl155"/>
    <w:basedOn w:val="1"/>
    <w:autoRedefine/>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392">
    <w:name w:val="xl156"/>
    <w:basedOn w:val="1"/>
    <w:autoRedefine/>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393">
    <w:name w:val="xl157"/>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394">
    <w:name w:val="xl158"/>
    <w:basedOn w:val="1"/>
    <w:autoRedefine/>
    <w:qFormat/>
    <w:uiPriority w:val="0"/>
    <w:pPr>
      <w:widowControl/>
      <w:pBdr>
        <w:top w:val="single" w:color="auto" w:sz="12" w:space="0"/>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395">
    <w:name w:val="xl159"/>
    <w:basedOn w:val="1"/>
    <w:autoRedefine/>
    <w:qFormat/>
    <w:uiPriority w:val="0"/>
    <w:pPr>
      <w:widowControl/>
      <w:pBdr>
        <w:top w:val="single" w:color="auto" w:sz="12" w:space="0"/>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396">
    <w:name w:val="xl160"/>
    <w:basedOn w:val="1"/>
    <w:autoRedefine/>
    <w:qFormat/>
    <w:uiPriority w:val="0"/>
    <w:pPr>
      <w:widowControl/>
      <w:pBdr>
        <w:top w:val="single" w:color="auto" w:sz="12"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397">
    <w:name w:val="xl161"/>
    <w:basedOn w:val="1"/>
    <w:autoRedefine/>
    <w:qFormat/>
    <w:uiPriority w:val="0"/>
    <w:pPr>
      <w:widowControl/>
      <w:pBdr>
        <w:top w:val="single" w:color="auto" w:sz="12"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398">
    <w:name w:val="xl162"/>
    <w:basedOn w:val="1"/>
    <w:autoRedefine/>
    <w:qFormat/>
    <w:uiPriority w:val="0"/>
    <w:pPr>
      <w:widowControl/>
      <w:pBdr>
        <w:top w:val="single" w:color="auto" w:sz="12"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kern w:val="0"/>
      <w:sz w:val="32"/>
      <w:szCs w:val="32"/>
    </w:rPr>
  </w:style>
  <w:style w:type="paragraph" w:customStyle="1" w:styleId="399">
    <w:name w:val="xl163"/>
    <w:basedOn w:val="1"/>
    <w:autoRedefine/>
    <w:qFormat/>
    <w:uiPriority w:val="0"/>
    <w:pPr>
      <w:widowControl/>
      <w:pBdr>
        <w:top w:val="single" w:color="auto" w:sz="4" w:space="0"/>
        <w:left w:val="single" w:color="auto" w:sz="4" w:space="0"/>
        <w:bottom w:val="single" w:color="auto" w:sz="12" w:space="0"/>
      </w:pBdr>
      <w:spacing w:before="100" w:beforeAutospacing="1" w:after="100" w:afterAutospacing="1"/>
      <w:jc w:val="center"/>
    </w:pPr>
    <w:rPr>
      <w:rFonts w:ascii="宋体" w:hAnsi="宋体" w:cs="宋体"/>
      <w:kern w:val="0"/>
      <w:sz w:val="24"/>
      <w:szCs w:val="24"/>
    </w:rPr>
  </w:style>
  <w:style w:type="paragraph" w:customStyle="1" w:styleId="400">
    <w:name w:val="xl164"/>
    <w:basedOn w:val="1"/>
    <w:autoRedefine/>
    <w:qFormat/>
    <w:uiPriority w:val="0"/>
    <w:pPr>
      <w:widowControl/>
      <w:pBdr>
        <w:top w:val="single" w:color="auto" w:sz="4" w:space="0"/>
        <w:left w:val="single" w:color="auto" w:sz="4" w:space="0"/>
        <w:bottom w:val="single" w:color="auto" w:sz="12" w:space="0"/>
      </w:pBdr>
      <w:spacing w:before="100" w:beforeAutospacing="1" w:after="100" w:afterAutospacing="1"/>
      <w:jc w:val="center"/>
    </w:pPr>
    <w:rPr>
      <w:rFonts w:ascii="宋体" w:hAnsi="宋体" w:cs="宋体"/>
      <w:kern w:val="0"/>
      <w:sz w:val="24"/>
      <w:szCs w:val="24"/>
    </w:rPr>
  </w:style>
  <w:style w:type="paragraph" w:customStyle="1" w:styleId="401">
    <w:name w:val="xl165"/>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02">
    <w:name w:val="xl166"/>
    <w:basedOn w:val="1"/>
    <w:autoRedefine/>
    <w:qFormat/>
    <w:uiPriority w:val="0"/>
    <w:pPr>
      <w:widowControl/>
      <w:pBdr>
        <w:top w:val="single" w:color="auto" w:sz="4" w:space="0"/>
        <w:left w:val="single" w:color="auto" w:sz="4" w:space="0"/>
        <w:bottom w:val="single" w:color="auto" w:sz="12" w:space="0"/>
      </w:pBdr>
      <w:spacing w:before="100" w:beforeAutospacing="1" w:after="100" w:afterAutospacing="1"/>
      <w:jc w:val="center"/>
    </w:pPr>
    <w:rPr>
      <w:rFonts w:ascii="宋体" w:hAnsi="宋体" w:cs="宋体"/>
      <w:kern w:val="0"/>
      <w:sz w:val="24"/>
      <w:szCs w:val="24"/>
    </w:rPr>
  </w:style>
  <w:style w:type="paragraph" w:customStyle="1" w:styleId="403">
    <w:name w:val="xl167"/>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textAlignment w:val="bottom"/>
    </w:pPr>
    <w:rPr>
      <w:rFonts w:ascii="宋体" w:hAnsi="宋体" w:cs="宋体"/>
      <w:kern w:val="0"/>
      <w:sz w:val="32"/>
      <w:szCs w:val="32"/>
    </w:rPr>
  </w:style>
  <w:style w:type="paragraph" w:customStyle="1" w:styleId="404">
    <w:name w:val="xl168"/>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05">
    <w:name w:val="xl169"/>
    <w:basedOn w:val="1"/>
    <w:autoRedefine/>
    <w:qFormat/>
    <w:uiPriority w:val="0"/>
    <w:pPr>
      <w:widowControl/>
      <w:pBdr>
        <w:top w:val="single" w:color="auto" w:sz="12" w:space="0"/>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406">
    <w:name w:val="xl170"/>
    <w:basedOn w:val="1"/>
    <w:autoRedefine/>
    <w:qFormat/>
    <w:uiPriority w:val="0"/>
    <w:pPr>
      <w:widowControl/>
      <w:pBdr>
        <w:top w:val="single" w:color="auto" w:sz="12" w:space="0"/>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407">
    <w:name w:val="xl171"/>
    <w:basedOn w:val="1"/>
    <w:autoRedefine/>
    <w:qFormat/>
    <w:uiPriority w:val="0"/>
    <w:pPr>
      <w:widowControl/>
      <w:pBdr>
        <w:top w:val="single" w:color="auto" w:sz="12"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08">
    <w:name w:val="xl172"/>
    <w:basedOn w:val="1"/>
    <w:autoRedefine/>
    <w:qFormat/>
    <w:uiPriority w:val="0"/>
    <w:pPr>
      <w:widowControl/>
      <w:pBdr>
        <w:top w:val="single" w:color="auto" w:sz="12"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09">
    <w:name w:val="xl173"/>
    <w:basedOn w:val="1"/>
    <w:autoRedefine/>
    <w:qFormat/>
    <w:uiPriority w:val="0"/>
    <w:pPr>
      <w:widowControl/>
      <w:pBdr>
        <w:top w:val="single" w:color="auto" w:sz="12"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410">
    <w:name w:val="xl174"/>
    <w:basedOn w:val="1"/>
    <w:autoRedefine/>
    <w:qFormat/>
    <w:uiPriority w:val="0"/>
    <w:pPr>
      <w:widowControl/>
      <w:pBdr>
        <w:top w:val="single" w:color="auto" w:sz="4" w:space="0"/>
        <w:left w:val="single" w:color="auto" w:sz="4" w:space="0"/>
        <w:bottom w:val="single" w:color="auto" w:sz="12" w:space="0"/>
      </w:pBdr>
      <w:spacing w:before="100" w:beforeAutospacing="1" w:after="100" w:afterAutospacing="1"/>
      <w:jc w:val="center"/>
    </w:pPr>
    <w:rPr>
      <w:rFonts w:ascii="宋体" w:hAnsi="宋体" w:cs="宋体"/>
      <w:kern w:val="0"/>
      <w:sz w:val="24"/>
      <w:szCs w:val="24"/>
    </w:rPr>
  </w:style>
  <w:style w:type="paragraph" w:customStyle="1" w:styleId="411">
    <w:name w:val="xl175"/>
    <w:basedOn w:val="1"/>
    <w:autoRedefine/>
    <w:qFormat/>
    <w:uiPriority w:val="0"/>
    <w:pPr>
      <w:widowControl/>
      <w:pBdr>
        <w:top w:val="single" w:color="auto" w:sz="4" w:space="0"/>
        <w:left w:val="single" w:color="auto" w:sz="4" w:space="0"/>
        <w:bottom w:val="single" w:color="auto" w:sz="12" w:space="0"/>
      </w:pBdr>
      <w:spacing w:before="100" w:beforeAutospacing="1" w:after="100" w:afterAutospacing="1"/>
      <w:jc w:val="center"/>
    </w:pPr>
    <w:rPr>
      <w:rFonts w:ascii="宋体" w:hAnsi="宋体" w:cs="宋体"/>
      <w:kern w:val="0"/>
      <w:sz w:val="24"/>
      <w:szCs w:val="24"/>
    </w:rPr>
  </w:style>
  <w:style w:type="paragraph" w:customStyle="1" w:styleId="412">
    <w:name w:val="xl176"/>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13">
    <w:name w:val="xl177"/>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14">
    <w:name w:val="xl178"/>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textAlignment w:val="bottom"/>
    </w:pPr>
    <w:rPr>
      <w:rFonts w:ascii="宋体" w:hAnsi="宋体" w:cs="宋体"/>
      <w:kern w:val="0"/>
      <w:sz w:val="32"/>
      <w:szCs w:val="32"/>
    </w:rPr>
  </w:style>
  <w:style w:type="paragraph" w:customStyle="1" w:styleId="415">
    <w:name w:val="xl179"/>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16">
    <w:name w:val="xl180"/>
    <w:basedOn w:val="1"/>
    <w:autoRedefine/>
    <w:qFormat/>
    <w:uiPriority w:val="0"/>
    <w:pPr>
      <w:widowControl/>
      <w:pBdr>
        <w:top w:val="single" w:color="auto" w:sz="12" w:space="0"/>
        <w:left w:val="single" w:color="auto" w:sz="4" w:space="0"/>
        <w:bottom w:val="single" w:color="auto" w:sz="12" w:space="0"/>
        <w:right w:val="single" w:color="auto" w:sz="4" w:space="0"/>
      </w:pBdr>
      <w:spacing w:before="100" w:beforeAutospacing="1" w:after="100" w:afterAutospacing="1"/>
      <w:jc w:val="left"/>
      <w:textAlignment w:val="top"/>
    </w:pPr>
    <w:rPr>
      <w:rFonts w:ascii="宋体" w:hAnsi="宋体" w:cs="宋体"/>
      <w:b/>
      <w:bCs/>
      <w:kern w:val="0"/>
      <w:sz w:val="32"/>
      <w:szCs w:val="32"/>
    </w:rPr>
  </w:style>
  <w:style w:type="paragraph" w:customStyle="1" w:styleId="417">
    <w:name w:val="xl181"/>
    <w:basedOn w:val="1"/>
    <w:autoRedefine/>
    <w:qFormat/>
    <w:uiPriority w:val="0"/>
    <w:pPr>
      <w:widowControl/>
      <w:pBdr>
        <w:top w:val="single" w:color="auto" w:sz="12" w:space="0"/>
        <w:left w:val="single" w:color="auto" w:sz="4" w:space="0"/>
        <w:bottom w:val="single" w:color="auto" w:sz="12" w:space="0"/>
        <w:right w:val="single" w:color="auto" w:sz="4" w:space="0"/>
      </w:pBdr>
      <w:spacing w:before="100" w:beforeAutospacing="1" w:after="100" w:afterAutospacing="1"/>
      <w:jc w:val="center"/>
      <w:textAlignment w:val="top"/>
    </w:pPr>
    <w:rPr>
      <w:rFonts w:ascii="宋体" w:hAnsi="宋体" w:cs="宋体"/>
      <w:b/>
      <w:bCs/>
      <w:kern w:val="0"/>
      <w:sz w:val="32"/>
      <w:szCs w:val="32"/>
    </w:rPr>
  </w:style>
  <w:style w:type="paragraph" w:customStyle="1" w:styleId="418">
    <w:name w:val="xl182"/>
    <w:basedOn w:val="1"/>
    <w:autoRedefine/>
    <w:qFormat/>
    <w:uiPriority w:val="0"/>
    <w:pPr>
      <w:widowControl/>
      <w:pBdr>
        <w:top w:val="single" w:color="auto" w:sz="12" w:space="0"/>
        <w:left w:val="single" w:color="auto" w:sz="4" w:space="0"/>
        <w:bottom w:val="single" w:color="auto" w:sz="12"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19">
    <w:name w:val="xl183"/>
    <w:basedOn w:val="1"/>
    <w:autoRedefine/>
    <w:qFormat/>
    <w:uiPriority w:val="0"/>
    <w:pPr>
      <w:widowControl/>
      <w:pBdr>
        <w:top w:val="single" w:color="auto" w:sz="12" w:space="0"/>
        <w:left w:val="single" w:color="auto" w:sz="4" w:space="0"/>
        <w:bottom w:val="single" w:color="auto" w:sz="12" w:space="0"/>
      </w:pBdr>
      <w:spacing w:before="100" w:beforeAutospacing="1" w:after="100" w:afterAutospacing="1"/>
      <w:jc w:val="center"/>
    </w:pPr>
    <w:rPr>
      <w:rFonts w:ascii="宋体" w:hAnsi="宋体" w:cs="宋体"/>
      <w:kern w:val="0"/>
      <w:sz w:val="24"/>
      <w:szCs w:val="24"/>
    </w:rPr>
  </w:style>
  <w:style w:type="paragraph" w:customStyle="1" w:styleId="420">
    <w:name w:val="xl184"/>
    <w:basedOn w:val="1"/>
    <w:autoRedefine/>
    <w:qFormat/>
    <w:uiPriority w:val="0"/>
    <w:pPr>
      <w:widowControl/>
      <w:pBdr>
        <w:top w:val="single" w:color="auto" w:sz="12" w:space="0"/>
        <w:left w:val="single" w:color="auto" w:sz="4" w:space="0"/>
        <w:bottom w:val="single" w:color="auto" w:sz="12"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21">
    <w:name w:val="xl185"/>
    <w:basedOn w:val="1"/>
    <w:autoRedefine/>
    <w:qFormat/>
    <w:uiPriority w:val="0"/>
    <w:pPr>
      <w:widowControl/>
      <w:pBdr>
        <w:top w:val="single" w:color="auto" w:sz="12" w:space="0"/>
        <w:left w:val="single" w:color="auto" w:sz="4" w:space="0"/>
        <w:bottom w:val="single" w:color="auto" w:sz="12" w:space="0"/>
      </w:pBdr>
      <w:spacing w:before="100" w:beforeAutospacing="1" w:after="100" w:afterAutospacing="1"/>
      <w:jc w:val="center"/>
    </w:pPr>
    <w:rPr>
      <w:rFonts w:ascii="宋体" w:hAnsi="宋体" w:cs="宋体"/>
      <w:kern w:val="0"/>
      <w:sz w:val="24"/>
      <w:szCs w:val="24"/>
    </w:rPr>
  </w:style>
  <w:style w:type="paragraph" w:customStyle="1" w:styleId="422">
    <w:name w:val="xl186"/>
    <w:basedOn w:val="1"/>
    <w:autoRedefine/>
    <w:qFormat/>
    <w:uiPriority w:val="0"/>
    <w:pPr>
      <w:widowControl/>
      <w:pBdr>
        <w:top w:val="single" w:color="auto" w:sz="12" w:space="0"/>
        <w:left w:val="single" w:color="auto" w:sz="4" w:space="0"/>
        <w:bottom w:val="single" w:color="auto" w:sz="12"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23">
    <w:name w:val="xl187"/>
    <w:basedOn w:val="1"/>
    <w:autoRedefine/>
    <w:qFormat/>
    <w:uiPriority w:val="0"/>
    <w:pPr>
      <w:widowControl/>
      <w:pBdr>
        <w:top w:val="single" w:color="auto" w:sz="12" w:space="0"/>
        <w:left w:val="single" w:color="auto" w:sz="4" w:space="0"/>
        <w:bottom w:val="single" w:color="auto" w:sz="12"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24">
    <w:name w:val="xl188"/>
    <w:basedOn w:val="1"/>
    <w:autoRedefine/>
    <w:qFormat/>
    <w:uiPriority w:val="0"/>
    <w:pPr>
      <w:widowControl/>
      <w:pBdr>
        <w:top w:val="single" w:color="auto" w:sz="12" w:space="0"/>
        <w:left w:val="single" w:color="auto" w:sz="4" w:space="0"/>
        <w:bottom w:val="single" w:color="auto" w:sz="12"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425">
    <w:name w:val="xl189"/>
    <w:basedOn w:val="1"/>
    <w:autoRedefine/>
    <w:qFormat/>
    <w:uiPriority w:val="0"/>
    <w:pPr>
      <w:widowControl/>
      <w:pBdr>
        <w:top w:val="single" w:color="auto" w:sz="12" w:space="0"/>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426">
    <w:name w:val="xl190"/>
    <w:basedOn w:val="1"/>
    <w:autoRedefine/>
    <w:qFormat/>
    <w:uiPriority w:val="0"/>
    <w:pPr>
      <w:widowControl/>
      <w:pBdr>
        <w:top w:val="single" w:color="auto" w:sz="12" w:space="0"/>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427">
    <w:name w:val="xl191"/>
    <w:basedOn w:val="1"/>
    <w:autoRedefine/>
    <w:qFormat/>
    <w:uiPriority w:val="0"/>
    <w:pPr>
      <w:widowControl/>
      <w:pBdr>
        <w:top w:val="single" w:color="auto" w:sz="12"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28">
    <w:name w:val="xl192"/>
    <w:basedOn w:val="1"/>
    <w:autoRedefine/>
    <w:qFormat/>
    <w:uiPriority w:val="0"/>
    <w:pPr>
      <w:widowControl/>
      <w:pBdr>
        <w:top w:val="single" w:color="auto" w:sz="4" w:space="0"/>
        <w:left w:val="single" w:color="auto" w:sz="4" w:space="0"/>
        <w:bottom w:val="single" w:color="auto" w:sz="12" w:space="0"/>
      </w:pBdr>
      <w:spacing w:before="100" w:beforeAutospacing="1" w:after="100" w:afterAutospacing="1"/>
      <w:jc w:val="center"/>
    </w:pPr>
    <w:rPr>
      <w:rFonts w:ascii="宋体" w:hAnsi="宋体" w:cs="宋体"/>
      <w:kern w:val="0"/>
      <w:sz w:val="24"/>
      <w:szCs w:val="24"/>
    </w:rPr>
  </w:style>
  <w:style w:type="paragraph" w:customStyle="1" w:styleId="429">
    <w:name w:val="xl193"/>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430">
    <w:name w:val="xl194"/>
    <w:basedOn w:val="1"/>
    <w:autoRedefine/>
    <w:qFormat/>
    <w:uiPriority w:val="0"/>
    <w:pPr>
      <w:widowControl/>
      <w:pBdr>
        <w:top w:val="single" w:color="auto" w:sz="4" w:space="0"/>
        <w:left w:val="single" w:color="auto" w:sz="4" w:space="0"/>
        <w:bottom w:val="single" w:color="auto" w:sz="12" w:space="0"/>
      </w:pBdr>
      <w:spacing w:before="100" w:beforeAutospacing="1" w:after="100" w:afterAutospacing="1"/>
      <w:jc w:val="center"/>
    </w:pPr>
    <w:rPr>
      <w:rFonts w:ascii="宋体" w:hAnsi="宋体" w:cs="宋体"/>
      <w:kern w:val="0"/>
      <w:sz w:val="24"/>
      <w:szCs w:val="24"/>
    </w:rPr>
  </w:style>
  <w:style w:type="paragraph" w:customStyle="1" w:styleId="431">
    <w:name w:val="xl195"/>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textAlignment w:val="bottom"/>
    </w:pPr>
    <w:rPr>
      <w:rFonts w:ascii="宋体" w:hAnsi="宋体" w:cs="宋体"/>
      <w:kern w:val="0"/>
      <w:sz w:val="32"/>
      <w:szCs w:val="32"/>
    </w:rPr>
  </w:style>
  <w:style w:type="paragraph" w:customStyle="1" w:styleId="432">
    <w:name w:val="xl196"/>
    <w:basedOn w:val="1"/>
    <w:autoRedefine/>
    <w:qFormat/>
    <w:uiPriority w:val="0"/>
    <w:pPr>
      <w:widowControl/>
      <w:pBdr>
        <w:top w:val="single" w:color="auto" w:sz="12" w:space="0"/>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433">
    <w:name w:val="xl197"/>
    <w:basedOn w:val="1"/>
    <w:autoRedefine/>
    <w:qFormat/>
    <w:uiPriority w:val="0"/>
    <w:pPr>
      <w:widowControl/>
      <w:pBdr>
        <w:top w:val="single" w:color="auto" w:sz="4" w:space="0"/>
        <w:left w:val="single" w:color="auto" w:sz="4" w:space="0"/>
        <w:bottom w:val="single" w:color="auto" w:sz="12" w:space="0"/>
      </w:pBdr>
      <w:spacing w:before="100" w:beforeAutospacing="1" w:after="100" w:afterAutospacing="1"/>
      <w:jc w:val="center"/>
    </w:pPr>
    <w:rPr>
      <w:rFonts w:ascii="宋体" w:hAnsi="宋体" w:cs="宋体"/>
      <w:kern w:val="0"/>
      <w:sz w:val="24"/>
      <w:szCs w:val="24"/>
    </w:rPr>
  </w:style>
  <w:style w:type="paragraph" w:customStyle="1" w:styleId="434">
    <w:name w:val="xl198"/>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35">
    <w:name w:val="xl199"/>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36">
    <w:name w:val="xl200"/>
    <w:basedOn w:val="1"/>
    <w:autoRedefine/>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4"/>
      <w:szCs w:val="24"/>
    </w:rPr>
  </w:style>
  <w:style w:type="paragraph" w:customStyle="1" w:styleId="437">
    <w:name w:val="xl201"/>
    <w:basedOn w:val="1"/>
    <w:autoRedefine/>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4"/>
      <w:szCs w:val="24"/>
    </w:rPr>
  </w:style>
  <w:style w:type="paragraph" w:customStyle="1" w:styleId="438">
    <w:name w:val="xl202"/>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39">
    <w:name w:val="xl203"/>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40">
    <w:name w:val="xl204"/>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41">
    <w:name w:val="xl205"/>
    <w:basedOn w:val="1"/>
    <w:autoRedefine/>
    <w:qFormat/>
    <w:uiPriority w:val="0"/>
    <w:pPr>
      <w:widowControl/>
      <w:pBdr>
        <w:top w:val="single" w:color="auto" w:sz="12"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42">
    <w:name w:val="xl206"/>
    <w:basedOn w:val="1"/>
    <w:autoRedefine/>
    <w:qFormat/>
    <w:uiPriority w:val="0"/>
    <w:pPr>
      <w:widowControl/>
      <w:pBdr>
        <w:top w:val="single" w:color="auto" w:sz="12"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kern w:val="0"/>
      <w:sz w:val="24"/>
      <w:szCs w:val="24"/>
    </w:rPr>
  </w:style>
  <w:style w:type="paragraph" w:customStyle="1" w:styleId="443">
    <w:name w:val="xl207"/>
    <w:basedOn w:val="1"/>
    <w:autoRedefine/>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40"/>
      <w:szCs w:val="40"/>
    </w:rPr>
  </w:style>
  <w:style w:type="paragraph" w:customStyle="1" w:styleId="444">
    <w:name w:val="xl208"/>
    <w:basedOn w:val="1"/>
    <w:autoRedefine/>
    <w:qFormat/>
    <w:uiPriority w:val="0"/>
    <w:pPr>
      <w:widowControl/>
      <w:pBdr>
        <w:left w:val="single" w:color="auto" w:sz="4" w:space="0"/>
        <w:right w:val="single" w:color="auto" w:sz="4" w:space="0"/>
      </w:pBdr>
      <w:spacing w:before="100" w:beforeAutospacing="1" w:after="100" w:afterAutospacing="1"/>
      <w:jc w:val="left"/>
      <w:textAlignment w:val="bottom"/>
    </w:pPr>
    <w:rPr>
      <w:rFonts w:ascii="宋体" w:hAnsi="宋体" w:cs="宋体"/>
      <w:kern w:val="0"/>
      <w:sz w:val="24"/>
      <w:szCs w:val="24"/>
    </w:rPr>
  </w:style>
  <w:style w:type="paragraph" w:customStyle="1" w:styleId="445">
    <w:name w:val="xl20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kern w:val="0"/>
      <w:sz w:val="24"/>
      <w:szCs w:val="24"/>
    </w:rPr>
  </w:style>
  <w:style w:type="paragraph" w:customStyle="1" w:styleId="446">
    <w:name w:val="xl210"/>
    <w:basedOn w:val="1"/>
    <w:autoRedefine/>
    <w:qFormat/>
    <w:uiPriority w:val="0"/>
    <w:pPr>
      <w:widowControl/>
      <w:pBdr>
        <w:left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47">
    <w:name w:val="xl211"/>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48">
    <w:name w:val="xl212"/>
    <w:basedOn w:val="1"/>
    <w:autoRedefine/>
    <w:qFormat/>
    <w:uiPriority w:val="0"/>
    <w:pPr>
      <w:widowControl/>
      <w:pBdr>
        <w:top w:val="single" w:color="auto" w:sz="12" w:space="0"/>
        <w:left w:val="single" w:color="auto" w:sz="4" w:space="0"/>
        <w:right w:val="single" w:color="auto" w:sz="4" w:space="0"/>
      </w:pBdr>
      <w:spacing w:before="100" w:beforeAutospacing="1" w:after="100" w:afterAutospacing="1"/>
      <w:jc w:val="left"/>
    </w:pPr>
    <w:rPr>
      <w:rFonts w:ascii="宋体" w:hAnsi="宋体" w:cs="宋体"/>
      <w:kern w:val="0"/>
      <w:sz w:val="32"/>
      <w:szCs w:val="32"/>
    </w:rPr>
  </w:style>
  <w:style w:type="paragraph" w:customStyle="1" w:styleId="449">
    <w:name w:val="xl213"/>
    <w:basedOn w:val="1"/>
    <w:autoRedefine/>
    <w:qFormat/>
    <w:uiPriority w:val="0"/>
    <w:pPr>
      <w:widowControl/>
      <w:pBdr>
        <w:left w:val="single" w:color="auto" w:sz="4" w:space="0"/>
        <w:right w:val="single" w:color="auto" w:sz="4" w:space="0"/>
      </w:pBdr>
      <w:spacing w:before="100" w:beforeAutospacing="1" w:after="100" w:afterAutospacing="1"/>
      <w:jc w:val="left"/>
    </w:pPr>
    <w:rPr>
      <w:rFonts w:ascii="宋体" w:hAnsi="宋体" w:cs="宋体"/>
      <w:kern w:val="0"/>
      <w:sz w:val="32"/>
      <w:szCs w:val="32"/>
    </w:rPr>
  </w:style>
  <w:style w:type="paragraph" w:customStyle="1" w:styleId="450">
    <w:name w:val="xl214"/>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32"/>
      <w:szCs w:val="32"/>
    </w:rPr>
  </w:style>
  <w:style w:type="paragraph" w:customStyle="1" w:styleId="451">
    <w:name w:val="xl215"/>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bottom"/>
    </w:pPr>
    <w:rPr>
      <w:rFonts w:ascii="宋体" w:hAnsi="宋体" w:cs="宋体"/>
      <w:kern w:val="0"/>
      <w:sz w:val="32"/>
      <w:szCs w:val="32"/>
    </w:rPr>
  </w:style>
  <w:style w:type="paragraph" w:customStyle="1" w:styleId="452">
    <w:name w:val="xl21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32"/>
      <w:szCs w:val="32"/>
    </w:rPr>
  </w:style>
  <w:style w:type="paragraph" w:customStyle="1" w:styleId="453">
    <w:name w:val="xl21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kern w:val="0"/>
      <w:sz w:val="24"/>
      <w:szCs w:val="24"/>
    </w:rPr>
  </w:style>
  <w:style w:type="paragraph" w:customStyle="1" w:styleId="454">
    <w:name w:val="xl21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top"/>
    </w:pPr>
    <w:rPr>
      <w:rFonts w:ascii="宋体" w:hAnsi="宋体" w:cs="宋体"/>
      <w:b/>
      <w:bCs/>
      <w:kern w:val="0"/>
      <w:sz w:val="32"/>
      <w:szCs w:val="32"/>
    </w:rPr>
  </w:style>
  <w:style w:type="paragraph" w:customStyle="1" w:styleId="455">
    <w:name w:val="xl219"/>
    <w:basedOn w:val="1"/>
    <w:qFormat/>
    <w:uiPriority w:val="0"/>
    <w:pPr>
      <w:widowControl/>
      <w:pBdr>
        <w:left w:val="single" w:color="auto" w:sz="4" w:space="0"/>
        <w:right w:val="single" w:color="auto" w:sz="4" w:space="0"/>
      </w:pBdr>
      <w:spacing w:before="100" w:beforeAutospacing="1" w:after="100" w:afterAutospacing="1"/>
      <w:jc w:val="left"/>
      <w:textAlignment w:val="top"/>
    </w:pPr>
    <w:rPr>
      <w:rFonts w:ascii="宋体" w:hAnsi="宋体" w:cs="宋体"/>
      <w:b/>
      <w:bCs/>
      <w:kern w:val="0"/>
      <w:sz w:val="32"/>
      <w:szCs w:val="32"/>
    </w:rPr>
  </w:style>
  <w:style w:type="paragraph" w:customStyle="1" w:styleId="456">
    <w:name w:val="xl220"/>
    <w:basedOn w:val="1"/>
    <w:qFormat/>
    <w:uiPriority w:val="0"/>
    <w:pPr>
      <w:widowControl/>
      <w:pBdr>
        <w:left w:val="single" w:color="auto" w:sz="4" w:space="0"/>
        <w:bottom w:val="single" w:color="auto" w:sz="12" w:space="0"/>
        <w:right w:val="single" w:color="auto" w:sz="4" w:space="0"/>
      </w:pBdr>
      <w:spacing w:before="100" w:beforeAutospacing="1" w:after="100" w:afterAutospacing="1"/>
      <w:jc w:val="left"/>
      <w:textAlignment w:val="top"/>
    </w:pPr>
    <w:rPr>
      <w:rFonts w:ascii="宋体" w:hAnsi="宋体" w:cs="宋体"/>
      <w:b/>
      <w:bCs/>
      <w:kern w:val="0"/>
      <w:sz w:val="32"/>
      <w:szCs w:val="32"/>
    </w:rPr>
  </w:style>
  <w:style w:type="paragraph" w:customStyle="1" w:styleId="457">
    <w:name w:val="xl22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32"/>
      <w:szCs w:val="32"/>
    </w:rPr>
  </w:style>
  <w:style w:type="paragraph" w:customStyle="1" w:styleId="458">
    <w:name w:val="xl222"/>
    <w:basedOn w:val="1"/>
    <w:qFormat/>
    <w:uiPriority w:val="0"/>
    <w:pPr>
      <w:widowControl/>
      <w:pBdr>
        <w:left w:val="single" w:color="auto" w:sz="4" w:space="0"/>
        <w:right w:val="single" w:color="auto" w:sz="4" w:space="0"/>
      </w:pBdr>
      <w:spacing w:before="100" w:beforeAutospacing="1" w:after="100" w:afterAutospacing="1"/>
      <w:jc w:val="center"/>
      <w:textAlignment w:val="top"/>
    </w:pPr>
    <w:rPr>
      <w:rFonts w:ascii="宋体" w:hAnsi="宋体" w:cs="宋体"/>
      <w:b/>
      <w:bCs/>
      <w:kern w:val="0"/>
      <w:sz w:val="32"/>
      <w:szCs w:val="32"/>
    </w:rPr>
  </w:style>
  <w:style w:type="paragraph" w:customStyle="1" w:styleId="459">
    <w:name w:val="xl223"/>
    <w:basedOn w:val="1"/>
    <w:qFormat/>
    <w:uiPriority w:val="0"/>
    <w:pPr>
      <w:widowControl/>
      <w:pBdr>
        <w:left w:val="single" w:color="auto" w:sz="4" w:space="0"/>
        <w:bottom w:val="single" w:color="auto" w:sz="12" w:space="0"/>
        <w:right w:val="single" w:color="auto" w:sz="4" w:space="0"/>
      </w:pBdr>
      <w:spacing w:before="100" w:beforeAutospacing="1" w:after="100" w:afterAutospacing="1"/>
      <w:jc w:val="center"/>
      <w:textAlignment w:val="top"/>
    </w:pPr>
    <w:rPr>
      <w:rFonts w:ascii="宋体" w:hAnsi="宋体" w:cs="宋体"/>
      <w:b/>
      <w:bCs/>
      <w:kern w:val="0"/>
      <w:sz w:val="32"/>
      <w:szCs w:val="32"/>
    </w:rPr>
  </w:style>
  <w:style w:type="paragraph" w:customStyle="1" w:styleId="460">
    <w:name w:val="xl224"/>
    <w:basedOn w:val="1"/>
    <w:qFormat/>
    <w:uiPriority w:val="0"/>
    <w:pPr>
      <w:widowControl/>
      <w:pBdr>
        <w:top w:val="single" w:color="auto" w:sz="12" w:space="0"/>
        <w:left w:val="single" w:color="auto" w:sz="4" w:space="0"/>
        <w:right w:val="single" w:color="auto" w:sz="4" w:space="0"/>
      </w:pBdr>
      <w:spacing w:before="100" w:beforeAutospacing="1" w:after="100" w:afterAutospacing="1"/>
      <w:jc w:val="left"/>
      <w:textAlignment w:val="top"/>
    </w:pPr>
    <w:rPr>
      <w:rFonts w:ascii="宋体" w:hAnsi="宋体" w:cs="宋体"/>
      <w:b/>
      <w:bCs/>
      <w:kern w:val="0"/>
      <w:sz w:val="32"/>
      <w:szCs w:val="32"/>
    </w:rPr>
  </w:style>
  <w:style w:type="paragraph" w:customStyle="1" w:styleId="461">
    <w:name w:val="xl225"/>
    <w:basedOn w:val="1"/>
    <w:qFormat/>
    <w:uiPriority w:val="0"/>
    <w:pPr>
      <w:widowControl/>
      <w:pBdr>
        <w:top w:val="single" w:color="auto" w:sz="12"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32"/>
      <w:szCs w:val="32"/>
    </w:rPr>
  </w:style>
  <w:style w:type="paragraph" w:customStyle="1" w:styleId="462">
    <w:name w:val="xl226"/>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60"/>
      <w:szCs w:val="60"/>
    </w:rPr>
  </w:style>
  <w:style w:type="paragraph" w:customStyle="1" w:styleId="463">
    <w:name w:val="xl227"/>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b/>
      <w:bCs/>
      <w:kern w:val="0"/>
      <w:sz w:val="60"/>
      <w:szCs w:val="60"/>
    </w:rPr>
  </w:style>
  <w:style w:type="paragraph" w:customStyle="1" w:styleId="464">
    <w:name w:val="xl22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60"/>
      <w:szCs w:val="60"/>
    </w:rPr>
  </w:style>
  <w:style w:type="paragraph" w:customStyle="1" w:styleId="465">
    <w:name w:val="xl229"/>
    <w:basedOn w:val="1"/>
    <w:qFormat/>
    <w:uiPriority w:val="0"/>
    <w:pPr>
      <w:widowControl/>
      <w:pBdr>
        <w:top w:val="single" w:color="auto" w:sz="12"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32"/>
      <w:szCs w:val="32"/>
    </w:rPr>
  </w:style>
  <w:style w:type="paragraph" w:customStyle="1" w:styleId="466">
    <w:name w:val="xl230"/>
    <w:basedOn w:val="1"/>
    <w:qFormat/>
    <w:uiPriority w:val="0"/>
    <w:pPr>
      <w:widowControl/>
      <w:pBdr>
        <w:left w:val="single" w:color="auto" w:sz="4" w:space="0"/>
        <w:right w:val="single" w:color="auto" w:sz="4" w:space="0"/>
      </w:pBdr>
      <w:spacing w:before="100" w:beforeAutospacing="1" w:after="100" w:afterAutospacing="1"/>
      <w:jc w:val="center"/>
      <w:textAlignment w:val="top"/>
    </w:pPr>
    <w:rPr>
      <w:rFonts w:ascii="宋体" w:hAnsi="宋体" w:cs="宋体"/>
      <w:b/>
      <w:bCs/>
      <w:kern w:val="0"/>
      <w:sz w:val="32"/>
      <w:szCs w:val="32"/>
    </w:rPr>
  </w:style>
  <w:style w:type="paragraph" w:customStyle="1" w:styleId="467">
    <w:name w:val="xl231"/>
    <w:basedOn w:val="1"/>
    <w:qFormat/>
    <w:uiPriority w:val="0"/>
    <w:pPr>
      <w:widowControl/>
      <w:pBdr>
        <w:left w:val="single" w:color="auto" w:sz="4" w:space="0"/>
        <w:bottom w:val="single" w:color="auto" w:sz="12" w:space="0"/>
        <w:right w:val="single" w:color="auto" w:sz="4" w:space="0"/>
      </w:pBdr>
      <w:spacing w:before="100" w:beforeAutospacing="1" w:after="100" w:afterAutospacing="1"/>
      <w:jc w:val="center"/>
      <w:textAlignment w:val="top"/>
    </w:pPr>
    <w:rPr>
      <w:rFonts w:ascii="宋体" w:hAnsi="宋体" w:cs="宋体"/>
      <w:b/>
      <w:bCs/>
      <w:kern w:val="0"/>
      <w:sz w:val="32"/>
      <w:szCs w:val="32"/>
    </w:rPr>
  </w:style>
  <w:style w:type="paragraph" w:customStyle="1" w:styleId="468">
    <w:name w:val="xl232"/>
    <w:basedOn w:val="1"/>
    <w:qFormat/>
    <w:uiPriority w:val="0"/>
    <w:pPr>
      <w:widowControl/>
      <w:pBdr>
        <w:top w:val="single" w:color="auto" w:sz="12"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b/>
      <w:bCs/>
      <w:kern w:val="0"/>
      <w:sz w:val="32"/>
      <w:szCs w:val="32"/>
    </w:rPr>
  </w:style>
  <w:style w:type="paragraph" w:customStyle="1" w:styleId="469">
    <w:name w:val="xl2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b/>
      <w:bCs/>
      <w:kern w:val="0"/>
      <w:sz w:val="32"/>
      <w:szCs w:val="32"/>
    </w:rPr>
  </w:style>
  <w:style w:type="paragraph" w:customStyle="1" w:styleId="470">
    <w:name w:val="xl234"/>
    <w:basedOn w:val="1"/>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left"/>
      <w:textAlignment w:val="top"/>
    </w:pPr>
    <w:rPr>
      <w:rFonts w:ascii="宋体" w:hAnsi="宋体" w:cs="宋体"/>
      <w:b/>
      <w:bCs/>
      <w:kern w:val="0"/>
      <w:sz w:val="32"/>
      <w:szCs w:val="32"/>
    </w:rPr>
  </w:style>
  <w:style w:type="paragraph" w:customStyle="1" w:styleId="471">
    <w:name w:val="xl235"/>
    <w:basedOn w:val="1"/>
    <w:qFormat/>
    <w:uiPriority w:val="0"/>
    <w:pPr>
      <w:widowControl/>
      <w:pBdr>
        <w:top w:val="single" w:color="auto" w:sz="12"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32"/>
      <w:szCs w:val="32"/>
    </w:rPr>
  </w:style>
  <w:style w:type="paragraph" w:customStyle="1" w:styleId="472">
    <w:name w:val="xl2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32"/>
      <w:szCs w:val="32"/>
    </w:rPr>
  </w:style>
  <w:style w:type="paragraph" w:customStyle="1" w:styleId="473">
    <w:name w:val="xl237"/>
    <w:basedOn w:val="1"/>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textAlignment w:val="top"/>
    </w:pPr>
    <w:rPr>
      <w:rFonts w:ascii="宋体" w:hAnsi="宋体" w:cs="宋体"/>
      <w:b/>
      <w:bCs/>
      <w:kern w:val="0"/>
      <w:sz w:val="32"/>
      <w:szCs w:val="32"/>
    </w:rPr>
  </w:style>
  <w:style w:type="paragraph" w:customStyle="1" w:styleId="474">
    <w:name w:val="xl238"/>
    <w:basedOn w:val="1"/>
    <w:qFormat/>
    <w:uiPriority w:val="0"/>
    <w:pPr>
      <w:widowControl/>
      <w:pBdr>
        <w:left w:val="single" w:color="auto" w:sz="4" w:space="0"/>
        <w:bottom w:val="single" w:color="auto" w:sz="4" w:space="0"/>
      </w:pBdr>
      <w:shd w:val="clear" w:color="000000" w:fill="FFFFFF"/>
      <w:spacing w:before="100" w:beforeAutospacing="1" w:after="100" w:afterAutospacing="1"/>
      <w:jc w:val="right"/>
    </w:pPr>
    <w:rPr>
      <w:rFonts w:ascii="宋体" w:hAnsi="宋体" w:cs="宋体"/>
      <w:b/>
      <w:bCs/>
      <w:kern w:val="0"/>
      <w:sz w:val="40"/>
      <w:szCs w:val="40"/>
    </w:rPr>
  </w:style>
  <w:style w:type="paragraph" w:customStyle="1" w:styleId="475">
    <w:name w:val="xl239"/>
    <w:basedOn w:val="1"/>
    <w:qFormat/>
    <w:uiPriority w:val="0"/>
    <w:pPr>
      <w:widowControl/>
      <w:pBdr>
        <w:bottom w:val="single" w:color="auto" w:sz="4" w:space="0"/>
        <w:right w:val="single" w:color="auto" w:sz="4" w:space="0"/>
      </w:pBdr>
      <w:shd w:val="clear" w:color="000000" w:fill="FFFFFF"/>
      <w:spacing w:before="100" w:beforeAutospacing="1" w:after="100" w:afterAutospacing="1"/>
      <w:jc w:val="right"/>
    </w:pPr>
    <w:rPr>
      <w:rFonts w:ascii="宋体" w:hAnsi="宋体" w:cs="宋体"/>
      <w:b/>
      <w:bCs/>
      <w:kern w:val="0"/>
      <w:sz w:val="40"/>
      <w:szCs w:val="40"/>
    </w:rPr>
  </w:style>
  <w:style w:type="paragraph" w:customStyle="1" w:styleId="476">
    <w:name w:val="xl240"/>
    <w:basedOn w:val="1"/>
    <w:qFormat/>
    <w:uiPriority w:val="0"/>
    <w:pPr>
      <w:widowControl/>
      <w:pBdr>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477">
    <w:name w:val="xl241"/>
    <w:basedOn w:val="1"/>
    <w:qFormat/>
    <w:uiPriority w:val="0"/>
    <w:pPr>
      <w:widowControl/>
      <w:pBdr>
        <w:bottom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478">
    <w:name w:val="xl242"/>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479">
    <w:name w:val="xl2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480">
    <w:name w:val="xl24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32"/>
      <w:szCs w:val="32"/>
    </w:rPr>
  </w:style>
  <w:style w:type="paragraph" w:customStyle="1" w:styleId="481">
    <w:name w:val="xl245"/>
    <w:basedOn w:val="1"/>
    <w:qFormat/>
    <w:uiPriority w:val="0"/>
    <w:pPr>
      <w:widowControl/>
      <w:pBdr>
        <w:top w:val="single" w:color="auto" w:sz="12" w:space="0"/>
        <w:left w:val="single" w:color="auto" w:sz="4" w:space="0"/>
        <w:bottom w:val="single" w:color="auto" w:sz="12" w:space="0"/>
        <w:right w:val="single" w:color="auto" w:sz="4" w:space="0"/>
      </w:pBdr>
      <w:spacing w:before="100" w:beforeAutospacing="1" w:after="100" w:afterAutospacing="1"/>
      <w:jc w:val="center"/>
      <w:textAlignment w:val="top"/>
    </w:pPr>
    <w:rPr>
      <w:rFonts w:ascii="宋体" w:hAnsi="宋体" w:cs="宋体"/>
      <w:b/>
      <w:bCs/>
      <w:kern w:val="0"/>
      <w:sz w:val="32"/>
      <w:szCs w:val="32"/>
    </w:rPr>
  </w:style>
  <w:style w:type="paragraph" w:customStyle="1" w:styleId="482">
    <w:name w:val="xl246"/>
    <w:basedOn w:val="1"/>
    <w:qFormat/>
    <w:uiPriority w:val="0"/>
    <w:pPr>
      <w:widowControl/>
      <w:pBdr>
        <w:top w:val="single" w:color="auto" w:sz="12"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32"/>
      <w:szCs w:val="32"/>
    </w:rPr>
  </w:style>
  <w:style w:type="paragraph" w:customStyle="1" w:styleId="483">
    <w:name w:val="xl2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32"/>
      <w:szCs w:val="32"/>
    </w:rPr>
  </w:style>
  <w:style w:type="paragraph" w:customStyle="1" w:styleId="484">
    <w:name w:val="xl248"/>
    <w:basedOn w:val="1"/>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textAlignment w:val="top"/>
    </w:pPr>
    <w:rPr>
      <w:rFonts w:ascii="宋体" w:hAnsi="宋体" w:cs="宋体"/>
      <w:b/>
      <w:bCs/>
      <w:kern w:val="0"/>
      <w:sz w:val="32"/>
      <w:szCs w:val="32"/>
    </w:rPr>
  </w:style>
  <w:style w:type="paragraph" w:customStyle="1" w:styleId="485">
    <w:name w:val="xl249"/>
    <w:basedOn w:val="1"/>
    <w:qFormat/>
    <w:uiPriority w:val="0"/>
    <w:pPr>
      <w:widowControl/>
      <w:spacing w:before="100" w:beforeAutospacing="1" w:after="100" w:afterAutospacing="1"/>
      <w:jc w:val="left"/>
      <w:textAlignment w:val="top"/>
    </w:pPr>
    <w:rPr>
      <w:rFonts w:ascii="宋体" w:hAnsi="宋体" w:cs="宋体"/>
      <w:kern w:val="0"/>
      <w:sz w:val="24"/>
      <w:szCs w:val="24"/>
    </w:rPr>
  </w:style>
  <w:style w:type="table" w:customStyle="1" w:styleId="486">
    <w:name w:val="Table Normal"/>
    <w:autoRedefine/>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487">
    <w:name w:val="Table Text"/>
    <w:basedOn w:val="1"/>
    <w:semiHidden/>
    <w:qFormat/>
    <w:uiPriority w:val="0"/>
    <w:pPr>
      <w:widowControl/>
      <w:kinsoku w:val="0"/>
      <w:autoSpaceDE w:val="0"/>
      <w:autoSpaceDN w:val="0"/>
      <w:adjustRightInd w:val="0"/>
      <w:snapToGrid w:val="0"/>
      <w:spacing w:after="160"/>
      <w:jc w:val="left"/>
      <w:textAlignment w:val="baseline"/>
    </w:pPr>
    <w:rPr>
      <w:rFonts w:ascii="宋体" w:hAnsi="宋体" w:cs="宋体"/>
      <w:snapToGrid w:val="0"/>
      <w:color w:val="000000"/>
      <w:kern w:val="0"/>
      <w:sz w:val="23"/>
      <w:szCs w:val="23"/>
      <w:lang w:eastAsia="en-US"/>
    </w:rPr>
  </w:style>
  <w:style w:type="paragraph" w:customStyle="1" w:styleId="488">
    <w:name w:val="修订3"/>
    <w:hidden/>
    <w:unhideWhenUsed/>
    <w:qFormat/>
    <w:uiPriority w:val="99"/>
    <w:rPr>
      <w:rFonts w:ascii="Times New Roman" w:hAnsi="Times New Roman" w:eastAsia="宋体" w:cs="Times New Roman"/>
      <w:kern w:val="2"/>
      <w:sz w:val="21"/>
      <w:szCs w:val="21"/>
      <w:lang w:val="en-US" w:eastAsia="zh-CN" w:bidi="ar-SA"/>
    </w:rPr>
  </w:style>
  <w:style w:type="paragraph" w:customStyle="1" w:styleId="489">
    <w:name w:val="Revision"/>
    <w:hidden/>
    <w:unhideWhenUsed/>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27</Pages>
  <Words>8116</Words>
  <Characters>8728</Characters>
  <Lines>3368</Lines>
  <Paragraphs>3748</Paragraphs>
  <TotalTime>0</TotalTime>
  <ScaleCrop>false</ScaleCrop>
  <LinksUpToDate>false</LinksUpToDate>
  <CharactersWithSpaces>8919</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2023-06-29T17:27:00Z</dcterms:created>
  <dc:creator>HP</dc:creator>
  <cp:lastModifiedBy>高际航</cp:lastModifiedBy>
  <cp:lastPrinted>2024-06-09T14:30:00Z</cp:lastPrinted>
  <dcterms:modified xsi:type="dcterms:W3CDTF">2025-11-19T14:26:03Z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71A9C7340F676D0056081C6927719D55_43</vt:lpwstr>
  </property>
  <property fmtid="{D5CDD505-2E9C-101B-9397-08002B2CF9AE}" pid="4" name="KSOTemplateDocerSaveRecord">
    <vt:lpwstr>eyJoZGlkIjoiMTY1NGUyZjM5ZDg3YjFlYjY3ZjY0YTllMWY0ZGM5ZmYiLCJ1c2VySWQiOiIyMzA3MDIzNTUifQ==</vt:lpwstr>
  </property>
</Properties>
</file>