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0F356">
      <w:pPr>
        <w:jc w:val="center"/>
        <w:rPr>
          <w:rFonts w:ascii="宋体" w:hAnsi="宋体" w:eastAsia="宋体" w:cs="宋体"/>
          <w:b/>
          <w:bCs/>
          <w:sz w:val="32"/>
          <w:szCs w:val="32"/>
        </w:rPr>
      </w:pPr>
      <w:r>
        <w:rPr>
          <w:rFonts w:hint="eastAsia" w:ascii="宋体" w:hAnsi="宋体" w:eastAsia="宋体" w:cs="宋体"/>
          <w:b/>
          <w:bCs/>
          <w:sz w:val="32"/>
          <w:szCs w:val="32"/>
        </w:rPr>
        <w:t>电梯采购需求标准</w:t>
      </w:r>
    </w:p>
    <w:p w14:paraId="0893ECA2">
      <w:pPr>
        <w:spacing w:line="360" w:lineRule="auto"/>
        <w:ind w:firstLine="420" w:firstLineChars="200"/>
        <w:rPr>
          <w:rFonts w:ascii="宋体" w:hAnsi="宋体" w:eastAsia="宋体" w:cs="宋体"/>
          <w:b/>
          <w:szCs w:val="21"/>
        </w:rPr>
      </w:pPr>
      <w:r>
        <w:rPr>
          <w:rFonts w:hint="eastAsia" w:ascii="宋体" w:hAnsi="宋体" w:eastAsia="宋体" w:cs="宋体"/>
          <w:b/>
          <w:szCs w:val="21"/>
        </w:rPr>
        <w:t>一、资格条件</w:t>
      </w:r>
    </w:p>
    <w:p w14:paraId="2DE9B3C8">
      <w:pPr>
        <w:spacing w:line="360" w:lineRule="auto"/>
        <w:ind w:firstLine="420" w:firstLineChars="200"/>
        <w:rPr>
          <w:rFonts w:ascii="宋体" w:hAnsi="宋体" w:eastAsia="宋体" w:cs="宋体"/>
          <w:szCs w:val="21"/>
        </w:rPr>
      </w:pPr>
      <w:r>
        <w:rPr>
          <w:rFonts w:hint="eastAsia" w:ascii="宋体" w:hAnsi="宋体" w:eastAsia="宋体" w:cs="宋体"/>
          <w:szCs w:val="21"/>
        </w:rPr>
        <w:t>（一）投标产品的制造厂家必须具备质量监督部门颁发的相应的《中华人民共和国特种设备制造许可证》或《中华人民共和国特种设备生产许可证（含安装、维修）》，许可子项目包含  本项目所采购电梯对应的类别，许可参数覆盖本项目所采购电梯的主参数。</w:t>
      </w:r>
    </w:p>
    <w:p w14:paraId="79A2CA95">
      <w:pPr>
        <w:spacing w:line="360" w:lineRule="auto"/>
        <w:ind w:firstLine="420" w:firstLineChars="200"/>
        <w:rPr>
          <w:rFonts w:ascii="宋体" w:hAnsi="宋体" w:eastAsia="宋体" w:cs="宋体"/>
          <w:szCs w:val="21"/>
        </w:rPr>
      </w:pPr>
      <w:r>
        <w:rPr>
          <w:rFonts w:hint="eastAsia" w:ascii="宋体" w:hAnsi="宋体" w:eastAsia="宋体" w:cs="宋体"/>
          <w:szCs w:val="21"/>
        </w:rPr>
        <w:t>（二）投标人必须具有质量监督部门颁发的相应的《中华人民共和国特种设备安装改造维修许可证》或《中华人民共和国特种设备生产许可证（含安装、维修）》，许可子项目包含本项目所采购电梯对应的类别，许可参数覆盖本项目所采购电梯的主参数。</w:t>
      </w:r>
    </w:p>
    <w:p w14:paraId="7542A88B">
      <w:pPr>
        <w:spacing w:line="360" w:lineRule="auto"/>
        <w:rPr>
          <w:rFonts w:ascii="宋体" w:hAnsi="宋体" w:eastAsia="宋体" w:cs="宋体"/>
          <w:szCs w:val="21"/>
        </w:rPr>
      </w:pPr>
    </w:p>
    <w:p w14:paraId="1948C46D">
      <w:pPr>
        <w:spacing w:line="360" w:lineRule="auto"/>
        <w:ind w:firstLine="420" w:firstLineChars="200"/>
        <w:rPr>
          <w:rFonts w:ascii="宋体" w:hAnsi="宋体" w:eastAsia="宋体" w:cs="宋体"/>
          <w:b/>
          <w:szCs w:val="21"/>
        </w:rPr>
      </w:pPr>
      <w:r>
        <w:rPr>
          <w:rFonts w:hint="eastAsia" w:ascii="宋体" w:hAnsi="宋体" w:eastAsia="宋体" w:cs="宋体"/>
          <w:b/>
          <w:szCs w:val="21"/>
        </w:rPr>
        <w:t>二、建筑物基本情况（建议提供图纸，电梯详图等）</w:t>
      </w:r>
    </w:p>
    <w:p w14:paraId="17A43AAE">
      <w:pPr>
        <w:spacing w:line="360" w:lineRule="auto"/>
        <w:ind w:firstLine="420" w:firstLineChars="200"/>
        <w:rPr>
          <w:rFonts w:ascii="宋体" w:hAnsi="宋体" w:eastAsia="宋体" w:cs="宋体"/>
          <w:szCs w:val="21"/>
        </w:rPr>
      </w:pPr>
      <w:r>
        <w:rPr>
          <w:rFonts w:hint="eastAsia" w:ascii="宋体" w:hAnsi="宋体" w:eastAsia="宋体" w:cs="宋体"/>
          <w:szCs w:val="21"/>
        </w:rPr>
        <w:t>（一）建筑物地址：上海市闵行区新虹街道，南至天山西路，西至申虹路</w:t>
      </w:r>
    </w:p>
    <w:p w14:paraId="126BD7B7">
      <w:pPr>
        <w:spacing w:line="360" w:lineRule="auto"/>
        <w:ind w:firstLine="420" w:firstLineChars="200"/>
        <w:rPr>
          <w:rFonts w:ascii="宋体" w:hAnsi="宋体" w:eastAsia="宋体" w:cs="宋体"/>
          <w:szCs w:val="21"/>
        </w:rPr>
      </w:pPr>
      <w:r>
        <w:rPr>
          <w:rFonts w:hint="eastAsia" w:ascii="宋体" w:hAnsi="宋体" w:eastAsia="宋体" w:cs="宋体"/>
          <w:szCs w:val="21"/>
        </w:rPr>
        <w:t>（二）建筑物状况：待新建项目</w:t>
      </w:r>
    </w:p>
    <w:p w14:paraId="6D383E7B">
      <w:pPr>
        <w:spacing w:line="360" w:lineRule="auto"/>
        <w:ind w:firstLine="420" w:firstLineChars="200"/>
        <w:rPr>
          <w:rFonts w:ascii="宋体" w:hAnsi="宋体" w:eastAsia="宋体" w:cs="宋体"/>
          <w:szCs w:val="21"/>
        </w:rPr>
      </w:pPr>
      <w:r>
        <w:rPr>
          <w:rFonts w:hint="eastAsia" w:ascii="宋体" w:hAnsi="宋体" w:eastAsia="宋体" w:cs="宋体"/>
          <w:szCs w:val="21"/>
        </w:rPr>
        <w:t>（三）建筑物抗震设计等级情况：当监测到烈度4度及以上地震时，电梯控制系统执行应急程序：首先发出声光警报，随后缓慢运行至最近楼层开门释放乘客，最后自动返回基站并停止运行</w:t>
      </w:r>
    </w:p>
    <w:p w14:paraId="21C1E467">
      <w:pPr>
        <w:spacing w:line="360" w:lineRule="auto"/>
        <w:ind w:firstLine="420" w:firstLineChars="200"/>
        <w:rPr>
          <w:rFonts w:ascii="宋体" w:hAnsi="宋体" w:eastAsia="宋体" w:cs="宋体"/>
          <w:szCs w:val="21"/>
        </w:rPr>
      </w:pPr>
      <w:r>
        <w:rPr>
          <w:rFonts w:hint="eastAsia" w:ascii="宋体" w:hAnsi="宋体" w:eastAsia="宋体" w:cs="宋体"/>
          <w:szCs w:val="21"/>
        </w:rPr>
        <w:t>（四）救援特殊要求：</w:t>
      </w:r>
    </w:p>
    <w:p w14:paraId="266416AA">
      <w:pPr>
        <w:spacing w:line="360" w:lineRule="auto"/>
        <w:ind w:firstLine="420" w:firstLineChars="200"/>
        <w:rPr>
          <w:rFonts w:ascii="宋体" w:hAnsi="宋体" w:eastAsia="宋体" w:cs="宋体"/>
          <w:szCs w:val="21"/>
        </w:rPr>
      </w:pPr>
      <w:r>
        <w:rPr>
          <w:rFonts w:hint="eastAsia" w:ascii="宋体" w:hAnsi="宋体" w:eastAsia="宋体" w:cs="宋体"/>
          <w:szCs w:val="21"/>
        </w:rPr>
        <w:t>（五）建筑物层站情况（楼层数量及地下室情况）：1#综合业务楼DT1#-1、2、3、4服务楼层为B1F~9F；2#办案管理楼DT2#-1、2服务楼层为B1F~4F；4#物品保管楼DT4#-1服务楼层为1F 1MF 2F~4F；5#备勤训练楼</w:t>
      </w:r>
      <w:r>
        <w:rPr>
          <w:rFonts w:ascii="宋体" w:hAnsi="宋体" w:eastAsia="宋体" w:cs="宋体"/>
          <w:szCs w:val="21"/>
        </w:rPr>
        <w:t>DT5#-1</w:t>
      </w:r>
      <w:r>
        <w:rPr>
          <w:rFonts w:hint="eastAsia" w:ascii="宋体" w:hAnsi="宋体" w:eastAsia="宋体" w:cs="宋体"/>
          <w:szCs w:val="21"/>
        </w:rPr>
        <w:t>服务楼层为B1F~3F</w:t>
      </w:r>
    </w:p>
    <w:p w14:paraId="68C64A07">
      <w:pPr>
        <w:spacing w:line="360" w:lineRule="auto"/>
        <w:ind w:firstLine="420" w:firstLineChars="200"/>
        <w:rPr>
          <w:rFonts w:ascii="宋体" w:hAnsi="宋体" w:eastAsia="宋体" w:cs="宋体"/>
          <w:szCs w:val="21"/>
        </w:rPr>
      </w:pPr>
      <w:r>
        <w:rPr>
          <w:rFonts w:hint="eastAsia" w:ascii="宋体" w:hAnsi="宋体" w:eastAsia="宋体" w:cs="宋体"/>
          <w:szCs w:val="21"/>
        </w:rPr>
        <w:t>（六）建筑物各楼层层间距：1#综合业务楼</w:t>
      </w:r>
      <w:r>
        <w:rPr>
          <w:rFonts w:ascii="宋体" w:hAnsi="宋体" w:eastAsia="宋体" w:cs="宋体"/>
          <w:szCs w:val="21"/>
        </w:rPr>
        <w:t>B1F: 6.1; 1F: 7.2; 2F: 4.5; 3F~8F:4.0</w:t>
      </w:r>
      <w:r>
        <w:rPr>
          <w:rFonts w:hint="eastAsia" w:ascii="宋体" w:hAnsi="宋体" w:eastAsia="宋体" w:cs="宋体"/>
          <w:szCs w:val="21"/>
        </w:rPr>
        <w:t>；2#办案管理楼</w:t>
      </w:r>
      <w:r>
        <w:rPr>
          <w:rFonts w:ascii="宋体" w:hAnsi="宋体" w:eastAsia="宋体" w:cs="宋体"/>
          <w:szCs w:val="21"/>
        </w:rPr>
        <w:t>B1F: 6.15; 1F: 5.4; 2F: 4.5; 3F: 4.5</w:t>
      </w:r>
      <w:r>
        <w:rPr>
          <w:rFonts w:hint="eastAsia" w:ascii="宋体" w:hAnsi="宋体" w:eastAsia="宋体" w:cs="宋体"/>
          <w:szCs w:val="21"/>
        </w:rPr>
        <w:t>；4#物品保管楼</w:t>
      </w:r>
      <w:r>
        <w:rPr>
          <w:rFonts w:ascii="宋体" w:hAnsi="宋体" w:eastAsia="宋体" w:cs="宋体"/>
          <w:szCs w:val="21"/>
        </w:rPr>
        <w:t>1F: 3.6; 1M: 3.6; 2F: 4.5; 3F: 4.5</w:t>
      </w:r>
      <w:r>
        <w:rPr>
          <w:rFonts w:hint="eastAsia" w:ascii="宋体" w:hAnsi="宋体" w:eastAsia="宋体" w:cs="宋体"/>
          <w:szCs w:val="21"/>
        </w:rPr>
        <w:t>；5#备勤训练楼</w:t>
      </w:r>
      <w:r>
        <w:rPr>
          <w:rFonts w:ascii="宋体" w:hAnsi="宋体" w:eastAsia="宋体" w:cs="宋体"/>
          <w:szCs w:val="21"/>
        </w:rPr>
        <w:t>B1F: 5.8; 1F: 5.4; 2F: 3.6</w:t>
      </w:r>
    </w:p>
    <w:p w14:paraId="1A12D952">
      <w:pPr>
        <w:spacing w:line="360" w:lineRule="auto"/>
        <w:ind w:firstLine="420" w:firstLineChars="200"/>
        <w:rPr>
          <w:rFonts w:ascii="宋体" w:hAnsi="宋体" w:eastAsia="宋体" w:cs="宋体"/>
          <w:szCs w:val="21"/>
        </w:rPr>
      </w:pPr>
      <w:r>
        <w:rPr>
          <w:rFonts w:hint="eastAsia" w:ascii="宋体" w:hAnsi="宋体" w:eastAsia="宋体" w:cs="宋体"/>
          <w:szCs w:val="21"/>
        </w:rPr>
        <w:t>（七）地面基站设定要求：建筑物的1F</w:t>
      </w:r>
    </w:p>
    <w:p w14:paraId="6027CC0B">
      <w:pPr>
        <w:spacing w:line="360" w:lineRule="auto"/>
        <w:ind w:firstLine="420" w:firstLineChars="200"/>
        <w:rPr>
          <w:rFonts w:ascii="宋体" w:hAnsi="宋体" w:eastAsia="宋体" w:cs="宋体"/>
          <w:szCs w:val="21"/>
        </w:rPr>
      </w:pPr>
      <w:r>
        <w:rPr>
          <w:rFonts w:hint="eastAsia" w:ascii="宋体" w:hAnsi="宋体" w:eastAsia="宋体" w:cs="宋体"/>
          <w:szCs w:val="21"/>
        </w:rPr>
        <w:t>（八）电梯井道是全封闭或半封闭、透明或不透明等情况：全封闭</w:t>
      </w:r>
    </w:p>
    <w:p w14:paraId="71CBB71B">
      <w:pPr>
        <w:spacing w:line="360" w:lineRule="auto"/>
        <w:ind w:firstLine="420" w:firstLineChars="200"/>
        <w:rPr>
          <w:rFonts w:ascii="宋体" w:hAnsi="宋体" w:eastAsia="宋体" w:cs="宋体"/>
          <w:color w:val="FF0000"/>
          <w:szCs w:val="21"/>
        </w:rPr>
      </w:pPr>
      <w:r>
        <w:rPr>
          <w:rFonts w:hint="eastAsia" w:ascii="宋体" w:hAnsi="宋体" w:eastAsia="宋体" w:cs="宋体"/>
          <w:szCs w:val="21"/>
        </w:rPr>
        <w:t>（</w:t>
      </w:r>
      <w:r>
        <w:rPr>
          <w:rFonts w:hint="eastAsia" w:ascii="宋体" w:hAnsi="宋体" w:eastAsia="宋体" w:cs="宋体"/>
          <w:color w:val="auto"/>
          <w:szCs w:val="21"/>
        </w:rPr>
        <w:t>九）电源：380V</w:t>
      </w:r>
    </w:p>
    <w:p w14:paraId="2F3C8357">
      <w:pPr>
        <w:spacing w:line="360" w:lineRule="auto"/>
        <w:ind w:firstLine="420" w:firstLineChars="200"/>
        <w:rPr>
          <w:rFonts w:ascii="宋体" w:hAnsi="宋体" w:eastAsia="宋体" w:cs="宋体"/>
          <w:szCs w:val="21"/>
        </w:rPr>
      </w:pPr>
      <w:r>
        <w:rPr>
          <w:rFonts w:hint="eastAsia" w:ascii="宋体" w:hAnsi="宋体" w:eastAsia="宋体" w:cs="宋体"/>
          <w:szCs w:val="21"/>
        </w:rPr>
        <w:t>说明：（1）拟采购电梯所在建筑物应当已经完成相关图纸审定工作。（2）提供电梯井道或机房平面图。</w:t>
      </w:r>
    </w:p>
    <w:p w14:paraId="3F877640">
      <w:pPr>
        <w:spacing w:line="360" w:lineRule="auto"/>
        <w:rPr>
          <w:rFonts w:ascii="宋体" w:hAnsi="宋体" w:eastAsia="宋体" w:cs="宋体"/>
          <w:szCs w:val="21"/>
        </w:rPr>
      </w:pPr>
    </w:p>
    <w:p w14:paraId="4AD04054">
      <w:pPr>
        <w:spacing w:line="360" w:lineRule="auto"/>
        <w:ind w:firstLine="420" w:firstLineChars="200"/>
        <w:rPr>
          <w:rFonts w:ascii="宋体" w:hAnsi="宋体" w:eastAsia="宋体" w:cs="宋体"/>
          <w:b/>
          <w:color w:val="FF0000"/>
          <w:szCs w:val="21"/>
        </w:rPr>
      </w:pPr>
      <w:r>
        <w:rPr>
          <w:rFonts w:hint="eastAsia" w:ascii="宋体" w:hAnsi="宋体" w:eastAsia="宋体" w:cs="宋体"/>
          <w:b/>
          <w:szCs w:val="21"/>
        </w:rPr>
        <w:t>三、执行规定及标准</w:t>
      </w:r>
    </w:p>
    <w:p w14:paraId="3240B081">
      <w:pPr>
        <w:spacing w:line="360" w:lineRule="auto"/>
        <w:rPr>
          <w:rFonts w:ascii="宋体" w:hAnsi="宋体" w:eastAsia="宋体" w:cs="宋体"/>
          <w:szCs w:val="21"/>
        </w:rPr>
      </w:pPr>
      <w:r>
        <w:rPr>
          <w:rFonts w:hint="eastAsia" w:ascii="宋体" w:hAnsi="宋体" w:eastAsia="宋体" w:cs="宋体"/>
          <w:szCs w:val="21"/>
        </w:rPr>
        <w:t>所提供电梯产品至少应满足以下安全技术规范和国家标准的要求：</w:t>
      </w:r>
    </w:p>
    <w:p w14:paraId="76C02478">
      <w:pPr>
        <w:spacing w:line="360" w:lineRule="auto"/>
        <w:ind w:firstLine="420" w:firstLineChars="200"/>
        <w:rPr>
          <w:rFonts w:ascii="宋体" w:hAnsi="宋体" w:eastAsia="宋体" w:cs="宋体"/>
          <w:szCs w:val="21"/>
        </w:rPr>
      </w:pPr>
      <w:r>
        <w:rPr>
          <w:rFonts w:hint="eastAsia" w:ascii="宋体" w:hAnsi="宋体" w:eastAsia="宋体" w:cs="宋体"/>
          <w:szCs w:val="21"/>
        </w:rPr>
        <w:t>（一）TSG T7001-2023《电梯监督检验和定期检验规则》</w:t>
      </w:r>
    </w:p>
    <w:p w14:paraId="4444071B">
      <w:pPr>
        <w:spacing w:line="360" w:lineRule="auto"/>
        <w:ind w:firstLine="420" w:firstLineChars="200"/>
        <w:rPr>
          <w:rFonts w:ascii="宋体" w:hAnsi="宋体" w:eastAsia="宋体" w:cs="宋体"/>
          <w:szCs w:val="21"/>
        </w:rPr>
      </w:pPr>
      <w:r>
        <w:rPr>
          <w:rFonts w:hint="eastAsia" w:ascii="宋体" w:hAnsi="宋体" w:eastAsia="宋体" w:cs="宋体"/>
          <w:szCs w:val="21"/>
        </w:rPr>
        <w:t>（二）TSG T7008-2023《电梯自行检测规则》</w:t>
      </w:r>
    </w:p>
    <w:p w14:paraId="00D165DD">
      <w:pPr>
        <w:spacing w:line="360" w:lineRule="auto"/>
        <w:ind w:firstLine="420" w:firstLineChars="200"/>
        <w:rPr>
          <w:rFonts w:ascii="宋体" w:hAnsi="宋体" w:eastAsia="宋体" w:cs="宋体"/>
          <w:szCs w:val="21"/>
        </w:rPr>
      </w:pPr>
      <w:r>
        <w:rPr>
          <w:rFonts w:hint="eastAsia" w:ascii="宋体" w:hAnsi="宋体" w:eastAsia="宋体" w:cs="宋体"/>
          <w:szCs w:val="21"/>
        </w:rPr>
        <w:t>（三）TSG T7007-2022《电梯型式试验规则》</w:t>
      </w:r>
    </w:p>
    <w:p w14:paraId="7C3D7499">
      <w:pPr>
        <w:spacing w:line="360" w:lineRule="auto"/>
        <w:ind w:firstLine="420" w:firstLineChars="200"/>
        <w:rPr>
          <w:rFonts w:ascii="宋体" w:hAnsi="宋体" w:eastAsia="宋体" w:cs="宋体"/>
          <w:szCs w:val="21"/>
        </w:rPr>
      </w:pPr>
      <w:r>
        <w:rPr>
          <w:rFonts w:hint="eastAsia" w:ascii="宋体" w:hAnsi="宋体" w:eastAsia="宋体" w:cs="宋体"/>
          <w:szCs w:val="21"/>
        </w:rPr>
        <w:t>（四）GB/T 7588.1-2020《电梯制造与安装安全规范第1部分：乘客电梯和载货电梯》</w:t>
      </w:r>
    </w:p>
    <w:p w14:paraId="5CAEFCF4">
      <w:pPr>
        <w:spacing w:line="360" w:lineRule="auto"/>
        <w:ind w:firstLine="420" w:firstLineChars="200"/>
        <w:rPr>
          <w:rFonts w:ascii="宋体" w:hAnsi="宋体" w:eastAsia="宋体" w:cs="宋体"/>
          <w:szCs w:val="21"/>
        </w:rPr>
      </w:pPr>
      <w:r>
        <w:rPr>
          <w:rFonts w:hint="eastAsia" w:ascii="宋体" w:hAnsi="宋体" w:eastAsia="宋体" w:cs="宋体"/>
          <w:szCs w:val="21"/>
        </w:rPr>
        <w:t>（五）GB/T 7588.2-2020《电梯制造与安装安全规范第2部分：电梯部件的设计原则、计算和检验》</w:t>
      </w:r>
    </w:p>
    <w:p w14:paraId="402B0D42">
      <w:pPr>
        <w:spacing w:line="360" w:lineRule="auto"/>
        <w:ind w:firstLine="420" w:firstLineChars="200"/>
        <w:rPr>
          <w:rFonts w:ascii="宋体" w:hAnsi="宋体" w:eastAsia="宋体" w:cs="宋体"/>
          <w:szCs w:val="21"/>
        </w:rPr>
      </w:pPr>
      <w:r>
        <w:rPr>
          <w:rFonts w:hint="eastAsia" w:ascii="宋体" w:hAnsi="宋体" w:eastAsia="宋体" w:cs="宋体"/>
          <w:szCs w:val="21"/>
        </w:rPr>
        <w:t>（六）GB/T 10058-2009 《电梯技术条件》</w:t>
      </w:r>
    </w:p>
    <w:p w14:paraId="4EA8770A">
      <w:pPr>
        <w:spacing w:line="360" w:lineRule="auto"/>
        <w:ind w:firstLine="420" w:firstLineChars="200"/>
        <w:rPr>
          <w:rFonts w:ascii="宋体" w:hAnsi="宋体" w:eastAsia="宋体" w:cs="宋体"/>
          <w:szCs w:val="21"/>
        </w:rPr>
      </w:pPr>
      <w:r>
        <w:rPr>
          <w:rFonts w:hint="eastAsia" w:ascii="宋体" w:hAnsi="宋体" w:eastAsia="宋体" w:cs="宋体"/>
          <w:szCs w:val="21"/>
        </w:rPr>
        <w:t>（七）GB/T 10059-2009 《电梯试验方法》</w:t>
      </w:r>
    </w:p>
    <w:p w14:paraId="2FEBA136">
      <w:pPr>
        <w:spacing w:line="360" w:lineRule="auto"/>
        <w:ind w:firstLine="420" w:firstLineChars="200"/>
        <w:rPr>
          <w:rFonts w:ascii="宋体" w:hAnsi="宋体" w:eastAsia="宋体" w:cs="宋体"/>
          <w:szCs w:val="21"/>
        </w:rPr>
      </w:pPr>
      <w:r>
        <w:rPr>
          <w:rFonts w:hint="eastAsia" w:ascii="宋体" w:hAnsi="宋体" w:eastAsia="宋体" w:cs="宋体"/>
          <w:szCs w:val="21"/>
        </w:rPr>
        <w:t>（八）GB/T 10060-2011《电梯安装验收规范》</w:t>
      </w:r>
    </w:p>
    <w:p w14:paraId="7D9461A4">
      <w:pPr>
        <w:spacing w:line="360" w:lineRule="auto"/>
        <w:ind w:firstLine="420" w:firstLineChars="200"/>
        <w:rPr>
          <w:rFonts w:ascii="宋体" w:hAnsi="宋体" w:eastAsia="宋体" w:cs="宋体"/>
          <w:szCs w:val="21"/>
          <w:highlight w:val="yellow"/>
        </w:rPr>
      </w:pPr>
      <w:r>
        <w:rPr>
          <w:rFonts w:hint="eastAsia" w:ascii="宋体" w:hAnsi="宋体" w:eastAsia="宋体" w:cs="宋体"/>
          <w:szCs w:val="21"/>
        </w:rPr>
        <w:t>（九）GB55019-2021 《建筑与市政工程无障碍通用规范》</w:t>
      </w:r>
    </w:p>
    <w:p w14:paraId="4072C64A">
      <w:pPr>
        <w:spacing w:line="360" w:lineRule="auto"/>
        <w:ind w:firstLine="420" w:firstLineChars="200"/>
        <w:rPr>
          <w:rFonts w:ascii="宋体" w:hAnsi="宋体" w:eastAsia="宋体" w:cs="宋体"/>
          <w:szCs w:val="21"/>
        </w:rPr>
      </w:pPr>
      <w:r>
        <w:rPr>
          <w:rFonts w:hint="eastAsia" w:ascii="宋体" w:hAnsi="宋体" w:eastAsia="宋体" w:cs="宋体"/>
          <w:szCs w:val="21"/>
        </w:rPr>
        <w:t>（十）GB 25194-2010《杂物电梯制造与安装安全规范》（仅杂物电梯适用）</w:t>
      </w:r>
    </w:p>
    <w:p w14:paraId="0E2DEC83">
      <w:pPr>
        <w:spacing w:line="360" w:lineRule="auto"/>
        <w:ind w:firstLine="420" w:firstLineChars="200"/>
        <w:rPr>
          <w:rFonts w:ascii="宋体" w:hAnsi="宋体" w:eastAsia="宋体" w:cs="宋体"/>
          <w:szCs w:val="21"/>
        </w:rPr>
      </w:pPr>
      <w:r>
        <w:rPr>
          <w:rFonts w:hint="eastAsia" w:ascii="宋体" w:hAnsi="宋体" w:eastAsia="宋体" w:cs="宋体"/>
          <w:szCs w:val="21"/>
        </w:rPr>
        <w:t>（十一）GB/T 31094-2014《防爆电梯制造与安装规范》（仅防爆电梯适用）</w:t>
      </w:r>
    </w:p>
    <w:p w14:paraId="12D71916">
      <w:pPr>
        <w:spacing w:line="360" w:lineRule="auto"/>
        <w:ind w:firstLine="420" w:firstLineChars="200"/>
        <w:rPr>
          <w:rFonts w:ascii="宋体" w:hAnsi="宋体" w:eastAsia="宋体" w:cs="宋体"/>
          <w:szCs w:val="21"/>
        </w:rPr>
      </w:pPr>
      <w:r>
        <w:rPr>
          <w:rFonts w:hint="eastAsia" w:ascii="宋体" w:hAnsi="宋体" w:eastAsia="宋体" w:cs="宋体"/>
          <w:szCs w:val="21"/>
        </w:rPr>
        <w:t>说明：1.以上标准如有更新，按最新标准执行。2.采购需求未列明的技术要求按标准规范执行；若采购需求提出的要求高于标准规范要求的，则按采购需求所列要求执行。</w:t>
      </w:r>
    </w:p>
    <w:p w14:paraId="60EA1D02">
      <w:pPr>
        <w:spacing w:line="360" w:lineRule="auto"/>
        <w:rPr>
          <w:rFonts w:ascii="宋体" w:hAnsi="宋体" w:eastAsia="宋体" w:cs="宋体"/>
          <w:szCs w:val="21"/>
        </w:rPr>
      </w:pPr>
    </w:p>
    <w:p w14:paraId="1067C287">
      <w:pPr>
        <w:spacing w:line="360" w:lineRule="auto"/>
        <w:ind w:firstLine="420" w:firstLineChars="200"/>
        <w:rPr>
          <w:rFonts w:ascii="宋体" w:hAnsi="宋体" w:eastAsia="宋体" w:cs="宋体"/>
          <w:b/>
          <w:szCs w:val="21"/>
        </w:rPr>
      </w:pPr>
      <w:r>
        <w:rPr>
          <w:rFonts w:hint="eastAsia" w:ascii="宋体" w:hAnsi="宋体" w:eastAsia="宋体" w:cs="宋体"/>
          <w:b/>
          <w:szCs w:val="21"/>
        </w:rPr>
        <w:t>四、采购标的清单</w:t>
      </w:r>
    </w:p>
    <w:tbl>
      <w:tblPr>
        <w:tblStyle w:val="10"/>
        <w:tblW w:w="9639" w:type="dxa"/>
        <w:tblInd w:w="57" w:type="dxa"/>
        <w:tblLayout w:type="autofit"/>
        <w:tblCellMar>
          <w:top w:w="0" w:type="dxa"/>
          <w:left w:w="0" w:type="dxa"/>
          <w:bottom w:w="0" w:type="dxa"/>
          <w:right w:w="0" w:type="dxa"/>
        </w:tblCellMar>
      </w:tblPr>
      <w:tblGrid>
        <w:gridCol w:w="759"/>
        <w:gridCol w:w="2042"/>
        <w:gridCol w:w="982"/>
        <w:gridCol w:w="1539"/>
        <w:gridCol w:w="1540"/>
        <w:gridCol w:w="1794"/>
        <w:gridCol w:w="983"/>
      </w:tblGrid>
      <w:tr w14:paraId="7EFFC7C2">
        <w:tblPrEx>
          <w:tblCellMar>
            <w:top w:w="0" w:type="dxa"/>
            <w:left w:w="0" w:type="dxa"/>
            <w:bottom w:w="0" w:type="dxa"/>
            <w:right w:w="0" w:type="dxa"/>
          </w:tblCellMar>
        </w:tblPrEx>
        <w:trPr>
          <w:tblHeader/>
        </w:trPr>
        <w:tc>
          <w:tcPr>
            <w:tcW w:w="766" w:type="dxa"/>
            <w:tcBorders>
              <w:top w:val="single" w:color="auto" w:sz="12" w:space="0"/>
              <w:left w:val="single" w:color="auto" w:sz="12" w:space="0"/>
              <w:bottom w:val="single" w:color="auto" w:sz="8" w:space="0"/>
              <w:right w:val="single" w:color="auto" w:sz="8" w:space="0"/>
            </w:tcBorders>
            <w:tcMar>
              <w:left w:w="57" w:type="dxa"/>
              <w:right w:w="57" w:type="dxa"/>
            </w:tcMar>
            <w:vAlign w:val="center"/>
          </w:tcPr>
          <w:p w14:paraId="779E5EA0">
            <w:pPr>
              <w:widowControl/>
              <w:wordWrap w:val="0"/>
              <w:jc w:val="center"/>
              <w:rPr>
                <w:rFonts w:ascii="宋体" w:hAnsi="宋体" w:eastAsia="宋体" w:cs="宋体"/>
                <w:kern w:val="0"/>
                <w:szCs w:val="21"/>
              </w:rPr>
            </w:pPr>
            <w:r>
              <w:rPr>
                <w:rFonts w:hint="eastAsia" w:ascii="宋体" w:hAnsi="宋体" w:eastAsia="宋体" w:cs="宋体"/>
                <w:kern w:val="0"/>
                <w:szCs w:val="21"/>
              </w:rPr>
              <w:t>序号</w:t>
            </w:r>
          </w:p>
        </w:tc>
        <w:tc>
          <w:tcPr>
            <w:tcW w:w="2069" w:type="dxa"/>
            <w:tcBorders>
              <w:top w:val="single" w:color="auto" w:sz="12" w:space="0"/>
              <w:left w:val="nil"/>
              <w:bottom w:val="single" w:color="auto" w:sz="8" w:space="0"/>
              <w:right w:val="single" w:color="auto" w:sz="8" w:space="0"/>
            </w:tcBorders>
            <w:tcMar>
              <w:left w:w="57" w:type="dxa"/>
              <w:right w:w="57" w:type="dxa"/>
            </w:tcMar>
            <w:vAlign w:val="center"/>
          </w:tcPr>
          <w:p w14:paraId="11A11910">
            <w:pPr>
              <w:widowControl/>
              <w:wordWrap w:val="0"/>
              <w:jc w:val="center"/>
              <w:rPr>
                <w:rFonts w:ascii="宋体" w:hAnsi="宋体" w:eastAsia="宋体" w:cs="宋体"/>
                <w:kern w:val="0"/>
                <w:szCs w:val="21"/>
              </w:rPr>
            </w:pPr>
            <w:r>
              <w:rPr>
                <w:rFonts w:hint="eastAsia" w:ascii="宋体" w:hAnsi="宋体" w:eastAsia="宋体" w:cs="宋体"/>
                <w:kern w:val="0"/>
                <w:szCs w:val="21"/>
              </w:rPr>
              <w:t>类别</w:t>
            </w:r>
          </w:p>
        </w:tc>
        <w:tc>
          <w:tcPr>
            <w:tcW w:w="993" w:type="dxa"/>
            <w:tcBorders>
              <w:top w:val="single" w:color="auto" w:sz="12" w:space="0"/>
              <w:left w:val="nil"/>
              <w:bottom w:val="single" w:color="auto" w:sz="8" w:space="0"/>
              <w:right w:val="single" w:color="auto" w:sz="8" w:space="0"/>
            </w:tcBorders>
            <w:tcMar>
              <w:left w:w="57" w:type="dxa"/>
              <w:right w:w="57" w:type="dxa"/>
            </w:tcMar>
            <w:vAlign w:val="center"/>
          </w:tcPr>
          <w:p w14:paraId="6C4B34E1">
            <w:pPr>
              <w:widowControl/>
              <w:wordWrap w:val="0"/>
              <w:jc w:val="center"/>
              <w:rPr>
                <w:rFonts w:ascii="宋体" w:hAnsi="宋体" w:eastAsia="宋体" w:cs="宋体"/>
                <w:kern w:val="0"/>
                <w:szCs w:val="21"/>
              </w:rPr>
            </w:pPr>
            <w:r>
              <w:rPr>
                <w:rFonts w:hint="eastAsia" w:ascii="宋体" w:hAnsi="宋体" w:eastAsia="宋体" w:cs="宋体"/>
                <w:kern w:val="0"/>
                <w:szCs w:val="21"/>
              </w:rPr>
              <w:t>数量</w:t>
            </w:r>
          </w:p>
        </w:tc>
        <w:tc>
          <w:tcPr>
            <w:tcW w:w="1559" w:type="dxa"/>
            <w:tcBorders>
              <w:top w:val="single" w:color="auto" w:sz="12" w:space="0"/>
              <w:left w:val="nil"/>
              <w:bottom w:val="single" w:color="auto" w:sz="8" w:space="0"/>
              <w:right w:val="single" w:color="auto" w:sz="8" w:space="0"/>
            </w:tcBorders>
            <w:tcMar>
              <w:left w:w="57" w:type="dxa"/>
              <w:right w:w="57" w:type="dxa"/>
            </w:tcMar>
            <w:vAlign w:val="center"/>
          </w:tcPr>
          <w:p w14:paraId="1C38932D">
            <w:pPr>
              <w:widowControl/>
              <w:wordWrap w:val="0"/>
              <w:jc w:val="center"/>
              <w:rPr>
                <w:rFonts w:ascii="宋体" w:hAnsi="宋体" w:eastAsia="宋体" w:cs="宋体"/>
                <w:kern w:val="0"/>
                <w:szCs w:val="21"/>
              </w:rPr>
            </w:pPr>
            <w:r>
              <w:rPr>
                <w:rFonts w:hint="eastAsia" w:ascii="宋体" w:hAnsi="宋体" w:eastAsia="宋体" w:cs="宋体"/>
                <w:kern w:val="0"/>
                <w:szCs w:val="21"/>
              </w:rPr>
              <w:t>额定载重量</w:t>
            </w:r>
          </w:p>
        </w:tc>
        <w:tc>
          <w:tcPr>
            <w:tcW w:w="1559" w:type="dxa"/>
            <w:tcBorders>
              <w:top w:val="single" w:color="auto" w:sz="12" w:space="0"/>
              <w:left w:val="nil"/>
              <w:bottom w:val="single" w:color="auto" w:sz="8" w:space="0"/>
              <w:right w:val="single" w:color="auto" w:sz="8" w:space="0"/>
            </w:tcBorders>
            <w:tcMar>
              <w:left w:w="57" w:type="dxa"/>
              <w:right w:w="57" w:type="dxa"/>
            </w:tcMar>
            <w:vAlign w:val="center"/>
          </w:tcPr>
          <w:p w14:paraId="4172ED81">
            <w:pPr>
              <w:widowControl/>
              <w:wordWrap w:val="0"/>
              <w:jc w:val="center"/>
              <w:rPr>
                <w:rFonts w:ascii="宋体" w:hAnsi="宋体" w:eastAsia="宋体" w:cs="宋体"/>
                <w:kern w:val="0"/>
                <w:szCs w:val="21"/>
              </w:rPr>
            </w:pPr>
            <w:r>
              <w:rPr>
                <w:rFonts w:hint="eastAsia" w:ascii="宋体" w:hAnsi="宋体" w:eastAsia="宋体" w:cs="宋体"/>
                <w:kern w:val="0"/>
                <w:szCs w:val="21"/>
              </w:rPr>
              <w:t>额定速度</w:t>
            </w:r>
          </w:p>
        </w:tc>
        <w:tc>
          <w:tcPr>
            <w:tcW w:w="1701" w:type="dxa"/>
            <w:tcBorders>
              <w:top w:val="single" w:color="auto" w:sz="12" w:space="0"/>
              <w:left w:val="nil"/>
              <w:bottom w:val="single" w:color="auto" w:sz="8" w:space="0"/>
              <w:right w:val="single" w:color="auto" w:sz="8" w:space="0"/>
            </w:tcBorders>
            <w:tcMar>
              <w:left w:w="57" w:type="dxa"/>
              <w:right w:w="57" w:type="dxa"/>
            </w:tcMar>
            <w:vAlign w:val="center"/>
          </w:tcPr>
          <w:p w14:paraId="710E44A1">
            <w:pPr>
              <w:widowControl/>
              <w:wordWrap w:val="0"/>
              <w:jc w:val="center"/>
              <w:rPr>
                <w:rFonts w:ascii="宋体" w:hAnsi="宋体" w:eastAsia="宋体" w:cs="宋体"/>
                <w:kern w:val="0"/>
                <w:szCs w:val="21"/>
              </w:rPr>
            </w:pPr>
            <w:r>
              <w:rPr>
                <w:rFonts w:hint="eastAsia" w:ascii="宋体" w:hAnsi="宋体" w:eastAsia="宋体" w:cs="宋体"/>
                <w:kern w:val="0"/>
                <w:szCs w:val="21"/>
              </w:rPr>
              <w:t>层 / 站 / 门</w:t>
            </w:r>
          </w:p>
        </w:tc>
        <w:tc>
          <w:tcPr>
            <w:tcW w:w="992" w:type="dxa"/>
            <w:tcBorders>
              <w:top w:val="single" w:color="auto" w:sz="12" w:space="0"/>
              <w:left w:val="nil"/>
              <w:bottom w:val="single" w:color="auto" w:sz="8" w:space="0"/>
              <w:right w:val="single" w:color="auto" w:sz="12" w:space="0"/>
            </w:tcBorders>
            <w:tcMar>
              <w:left w:w="108" w:type="dxa"/>
              <w:right w:w="108" w:type="dxa"/>
            </w:tcMar>
          </w:tcPr>
          <w:p w14:paraId="4B6BBB5D">
            <w:pPr>
              <w:widowControl/>
              <w:wordWrap w:val="0"/>
              <w:rPr>
                <w:rFonts w:ascii="宋体" w:hAnsi="宋体" w:eastAsia="宋体" w:cs="宋体"/>
                <w:kern w:val="0"/>
                <w:szCs w:val="21"/>
              </w:rPr>
            </w:pPr>
            <w:r>
              <w:rPr>
                <w:rFonts w:hint="eastAsia" w:ascii="宋体" w:hAnsi="宋体" w:eastAsia="宋体" w:cs="宋体"/>
                <w:kern w:val="0"/>
                <w:szCs w:val="21"/>
              </w:rPr>
              <w:t>备注</w:t>
            </w:r>
          </w:p>
        </w:tc>
      </w:tr>
      <w:tr w14:paraId="59951415">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359F49AD">
            <w:pPr>
              <w:widowControl/>
              <w:wordWrap w:val="0"/>
              <w:jc w:val="center"/>
              <w:rPr>
                <w:rFonts w:hint="eastAsia" w:ascii="宋体" w:hAnsi="宋体" w:eastAsia="宋体" w:cs="宋体"/>
                <w:kern w:val="0"/>
                <w:szCs w:val="21"/>
                <w:lang w:val="en-US" w:eastAsia="zh-CN"/>
              </w:rPr>
            </w:pPr>
            <w:r>
              <w:rPr>
                <w:rFonts w:hint="eastAsia" w:ascii="宋体" w:hAnsi="宋体" w:eastAsia="宋体" w:cs="宋体"/>
                <w:kern w:val="0"/>
                <w:szCs w:val="21"/>
              </w:rPr>
              <w:t>DT</w:t>
            </w:r>
            <w:r>
              <w:rPr>
                <w:rFonts w:hint="eastAsia" w:ascii="宋体" w:hAnsi="宋体" w:eastAsia="宋体" w:cs="宋体"/>
                <w:kern w:val="0"/>
                <w:szCs w:val="21"/>
                <w:lang w:val="en-US" w:eastAsia="zh-CN"/>
              </w:rPr>
              <w:t>1</w:t>
            </w:r>
          </w:p>
        </w:tc>
        <w:tc>
          <w:tcPr>
            <w:tcW w:w="2069" w:type="dxa"/>
            <w:tcBorders>
              <w:top w:val="nil"/>
              <w:left w:val="nil"/>
              <w:bottom w:val="single" w:color="auto" w:sz="8" w:space="0"/>
              <w:right w:val="single" w:color="auto" w:sz="8" w:space="0"/>
            </w:tcBorders>
            <w:tcMar>
              <w:left w:w="108" w:type="dxa"/>
              <w:right w:w="108" w:type="dxa"/>
            </w:tcMar>
            <w:vAlign w:val="center"/>
          </w:tcPr>
          <w:p w14:paraId="3ADA306A">
            <w:pPr>
              <w:widowControl/>
              <w:wordWrap w:val="0"/>
              <w:jc w:val="left"/>
              <w:rPr>
                <w:rFonts w:ascii="宋体" w:hAnsi="宋体" w:eastAsia="宋体" w:cs="宋体"/>
                <w:kern w:val="0"/>
                <w:szCs w:val="21"/>
              </w:rPr>
            </w:pPr>
            <w:r>
              <w:rPr>
                <w:rFonts w:ascii="宋体" w:hAnsi="宋体" w:eastAsia="宋体" w:cs="宋体"/>
                <w:kern w:val="0"/>
                <w:szCs w:val="21"/>
              </w:rPr>
              <w:t>客梯兼无障碍电梯</w:t>
            </w:r>
          </w:p>
        </w:tc>
        <w:tc>
          <w:tcPr>
            <w:tcW w:w="993" w:type="dxa"/>
            <w:tcBorders>
              <w:top w:val="nil"/>
              <w:left w:val="nil"/>
              <w:bottom w:val="single" w:color="auto" w:sz="8" w:space="0"/>
              <w:right w:val="single" w:color="auto" w:sz="8" w:space="0"/>
            </w:tcBorders>
            <w:tcMar>
              <w:left w:w="108" w:type="dxa"/>
              <w:right w:w="108" w:type="dxa"/>
            </w:tcMar>
            <w:vAlign w:val="center"/>
          </w:tcPr>
          <w:p w14:paraId="5F801FAF">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514C59DC">
            <w:pPr>
              <w:widowControl/>
              <w:wordWrap w:val="0"/>
              <w:jc w:val="left"/>
              <w:rPr>
                <w:rFonts w:ascii="宋体" w:hAnsi="宋体" w:eastAsia="宋体" w:cs="宋体"/>
                <w:kern w:val="0"/>
                <w:szCs w:val="21"/>
              </w:rPr>
            </w:pPr>
            <w:r>
              <w:rPr>
                <w:rFonts w:hint="eastAsia" w:ascii="宋体" w:hAnsi="宋体" w:eastAsia="宋体" w:cs="宋体"/>
                <w:kern w:val="0"/>
                <w:szCs w:val="21"/>
              </w:rPr>
              <w:t>1350kg</w:t>
            </w:r>
          </w:p>
        </w:tc>
        <w:tc>
          <w:tcPr>
            <w:tcW w:w="1559" w:type="dxa"/>
            <w:tcBorders>
              <w:top w:val="nil"/>
              <w:left w:val="nil"/>
              <w:bottom w:val="single" w:color="auto" w:sz="8" w:space="0"/>
              <w:right w:val="single" w:color="auto" w:sz="8" w:space="0"/>
            </w:tcBorders>
            <w:tcMar>
              <w:left w:w="108" w:type="dxa"/>
              <w:right w:w="108" w:type="dxa"/>
            </w:tcMar>
            <w:vAlign w:val="center"/>
          </w:tcPr>
          <w:p w14:paraId="79202C3A">
            <w:pPr>
              <w:widowControl/>
              <w:wordWrap w:val="0"/>
              <w:jc w:val="left"/>
              <w:rPr>
                <w:rFonts w:ascii="宋体" w:hAnsi="宋体" w:eastAsia="宋体" w:cs="宋体"/>
                <w:kern w:val="0"/>
                <w:szCs w:val="21"/>
              </w:rPr>
            </w:pPr>
            <w:r>
              <w:rPr>
                <w:rFonts w:hint="eastAsia" w:ascii="宋体" w:hAnsi="宋体" w:eastAsia="宋体" w:cs="宋体"/>
                <w:kern w:val="0"/>
                <w:szCs w:val="21"/>
              </w:rPr>
              <w:t>1.75m/s</w:t>
            </w:r>
          </w:p>
        </w:tc>
        <w:tc>
          <w:tcPr>
            <w:tcW w:w="1701" w:type="dxa"/>
            <w:tcBorders>
              <w:top w:val="nil"/>
              <w:left w:val="nil"/>
              <w:bottom w:val="single" w:color="auto" w:sz="8" w:space="0"/>
              <w:right w:val="single" w:color="auto" w:sz="8" w:space="0"/>
            </w:tcBorders>
            <w:tcMar>
              <w:left w:w="108" w:type="dxa"/>
              <w:right w:w="108" w:type="dxa"/>
            </w:tcMar>
            <w:vAlign w:val="center"/>
          </w:tcPr>
          <w:p w14:paraId="624DAF12">
            <w:pPr>
              <w:widowControl/>
              <w:wordWrap w:val="0"/>
              <w:jc w:val="left"/>
              <w:rPr>
                <w:rFonts w:ascii="宋体" w:hAnsi="宋体" w:eastAsia="宋体" w:cs="宋体"/>
                <w:kern w:val="0"/>
                <w:szCs w:val="21"/>
              </w:rPr>
            </w:pPr>
            <w:r>
              <w:rPr>
                <w:rFonts w:hint="eastAsia" w:ascii="宋体" w:hAnsi="宋体" w:eastAsia="宋体" w:cs="宋体"/>
                <w:kern w:val="0"/>
                <w:szCs w:val="21"/>
              </w:rPr>
              <w:t>10/10/10</w:t>
            </w:r>
          </w:p>
        </w:tc>
        <w:tc>
          <w:tcPr>
            <w:tcW w:w="992" w:type="dxa"/>
            <w:tcBorders>
              <w:top w:val="nil"/>
              <w:left w:val="nil"/>
              <w:bottom w:val="single" w:color="auto" w:sz="8" w:space="0"/>
              <w:right w:val="single" w:color="auto" w:sz="12" w:space="0"/>
            </w:tcBorders>
            <w:tcMar>
              <w:left w:w="108" w:type="dxa"/>
              <w:right w:w="108" w:type="dxa"/>
            </w:tcMar>
          </w:tcPr>
          <w:p w14:paraId="59422512">
            <w:pPr>
              <w:widowControl/>
              <w:wordWrap w:val="0"/>
              <w:jc w:val="left"/>
              <w:rPr>
                <w:rFonts w:ascii="宋体" w:hAnsi="宋体" w:eastAsia="宋体" w:cs="宋体"/>
                <w:kern w:val="0"/>
                <w:szCs w:val="21"/>
              </w:rPr>
            </w:pPr>
          </w:p>
        </w:tc>
      </w:tr>
      <w:tr w14:paraId="29A76B78">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47303CB9">
            <w:pPr>
              <w:widowControl/>
              <w:wordWrap w:val="0"/>
              <w:jc w:val="center"/>
              <w:rPr>
                <w:rFonts w:hint="eastAsia" w:ascii="宋体" w:hAnsi="宋体" w:eastAsia="宋体" w:cs="宋体"/>
                <w:kern w:val="0"/>
                <w:szCs w:val="21"/>
                <w:lang w:val="en-US" w:eastAsia="zh-CN"/>
              </w:rPr>
            </w:pPr>
            <w:r>
              <w:rPr>
                <w:rFonts w:hint="eastAsia" w:ascii="宋体" w:hAnsi="宋体" w:eastAsia="宋体" w:cs="宋体"/>
                <w:kern w:val="0"/>
                <w:szCs w:val="21"/>
              </w:rPr>
              <w:t>DT</w:t>
            </w:r>
            <w:r>
              <w:rPr>
                <w:rFonts w:hint="eastAsia" w:ascii="宋体" w:hAnsi="宋体" w:eastAsia="宋体" w:cs="宋体"/>
                <w:kern w:val="0"/>
                <w:szCs w:val="21"/>
                <w:lang w:val="en-US" w:eastAsia="zh-CN"/>
              </w:rPr>
              <w:t>2</w:t>
            </w:r>
          </w:p>
        </w:tc>
        <w:tc>
          <w:tcPr>
            <w:tcW w:w="2069" w:type="dxa"/>
            <w:tcBorders>
              <w:top w:val="nil"/>
              <w:left w:val="nil"/>
              <w:bottom w:val="single" w:color="auto" w:sz="8" w:space="0"/>
              <w:right w:val="single" w:color="auto" w:sz="8" w:space="0"/>
            </w:tcBorders>
            <w:tcMar>
              <w:left w:w="108" w:type="dxa"/>
              <w:right w:w="108" w:type="dxa"/>
            </w:tcMar>
            <w:vAlign w:val="center"/>
          </w:tcPr>
          <w:p w14:paraId="20966FE8">
            <w:pPr>
              <w:widowControl/>
              <w:wordWrap w:val="0"/>
              <w:jc w:val="left"/>
              <w:rPr>
                <w:rFonts w:ascii="宋体" w:hAnsi="宋体" w:eastAsia="宋体" w:cs="宋体"/>
                <w:kern w:val="0"/>
                <w:szCs w:val="21"/>
              </w:rPr>
            </w:pPr>
            <w:r>
              <w:rPr>
                <w:rFonts w:ascii="宋体" w:hAnsi="宋体" w:eastAsia="宋体" w:cs="宋体"/>
                <w:kern w:val="0"/>
                <w:szCs w:val="21"/>
              </w:rPr>
              <w:t>乘客电梯</w:t>
            </w:r>
          </w:p>
        </w:tc>
        <w:tc>
          <w:tcPr>
            <w:tcW w:w="993" w:type="dxa"/>
            <w:tcBorders>
              <w:top w:val="nil"/>
              <w:left w:val="nil"/>
              <w:bottom w:val="single" w:color="auto" w:sz="8" w:space="0"/>
              <w:right w:val="single" w:color="auto" w:sz="8" w:space="0"/>
            </w:tcBorders>
            <w:tcMar>
              <w:left w:w="108" w:type="dxa"/>
              <w:right w:w="108" w:type="dxa"/>
            </w:tcMar>
            <w:vAlign w:val="center"/>
          </w:tcPr>
          <w:p w14:paraId="464FE3EF">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01E81AB3">
            <w:pPr>
              <w:widowControl/>
              <w:wordWrap w:val="0"/>
              <w:jc w:val="left"/>
              <w:rPr>
                <w:rFonts w:ascii="宋体" w:hAnsi="宋体" w:eastAsia="宋体" w:cs="宋体"/>
                <w:kern w:val="0"/>
                <w:szCs w:val="21"/>
              </w:rPr>
            </w:pPr>
            <w:r>
              <w:rPr>
                <w:rFonts w:hint="eastAsia" w:ascii="宋体" w:hAnsi="宋体" w:eastAsia="宋体" w:cs="宋体"/>
                <w:kern w:val="0"/>
                <w:szCs w:val="21"/>
              </w:rPr>
              <w:t>1350kg</w:t>
            </w:r>
          </w:p>
        </w:tc>
        <w:tc>
          <w:tcPr>
            <w:tcW w:w="1559" w:type="dxa"/>
            <w:tcBorders>
              <w:top w:val="nil"/>
              <w:left w:val="nil"/>
              <w:bottom w:val="single" w:color="auto" w:sz="8" w:space="0"/>
              <w:right w:val="single" w:color="auto" w:sz="8" w:space="0"/>
            </w:tcBorders>
            <w:tcMar>
              <w:left w:w="108" w:type="dxa"/>
              <w:right w:w="108" w:type="dxa"/>
            </w:tcMar>
            <w:vAlign w:val="center"/>
          </w:tcPr>
          <w:p w14:paraId="4054F475">
            <w:pPr>
              <w:widowControl/>
              <w:wordWrap w:val="0"/>
              <w:jc w:val="left"/>
              <w:rPr>
                <w:rFonts w:ascii="宋体" w:hAnsi="宋体" w:eastAsia="宋体" w:cs="宋体"/>
                <w:kern w:val="0"/>
                <w:szCs w:val="21"/>
              </w:rPr>
            </w:pPr>
            <w:r>
              <w:rPr>
                <w:rFonts w:hint="eastAsia" w:ascii="宋体" w:hAnsi="宋体" w:eastAsia="宋体" w:cs="宋体"/>
                <w:kern w:val="0"/>
                <w:szCs w:val="21"/>
              </w:rPr>
              <w:t>1.75m/s</w:t>
            </w:r>
          </w:p>
        </w:tc>
        <w:tc>
          <w:tcPr>
            <w:tcW w:w="1701" w:type="dxa"/>
            <w:tcBorders>
              <w:top w:val="nil"/>
              <w:left w:val="nil"/>
              <w:bottom w:val="single" w:color="auto" w:sz="8" w:space="0"/>
              <w:right w:val="single" w:color="auto" w:sz="8" w:space="0"/>
            </w:tcBorders>
            <w:tcMar>
              <w:left w:w="108" w:type="dxa"/>
              <w:right w:w="108" w:type="dxa"/>
            </w:tcMar>
            <w:vAlign w:val="center"/>
          </w:tcPr>
          <w:p w14:paraId="16330586">
            <w:pPr>
              <w:widowControl/>
              <w:wordWrap w:val="0"/>
              <w:jc w:val="left"/>
              <w:rPr>
                <w:rFonts w:ascii="宋体" w:hAnsi="宋体" w:eastAsia="宋体" w:cs="宋体"/>
                <w:kern w:val="0"/>
                <w:szCs w:val="21"/>
              </w:rPr>
            </w:pPr>
            <w:r>
              <w:rPr>
                <w:rFonts w:hint="eastAsia" w:ascii="宋体" w:hAnsi="宋体" w:eastAsia="宋体" w:cs="宋体"/>
                <w:kern w:val="0"/>
                <w:szCs w:val="21"/>
              </w:rPr>
              <w:t>10/10/10</w:t>
            </w:r>
          </w:p>
        </w:tc>
        <w:tc>
          <w:tcPr>
            <w:tcW w:w="992" w:type="dxa"/>
            <w:tcBorders>
              <w:top w:val="nil"/>
              <w:left w:val="nil"/>
              <w:bottom w:val="single" w:color="auto" w:sz="8" w:space="0"/>
              <w:right w:val="single" w:color="auto" w:sz="12" w:space="0"/>
            </w:tcBorders>
            <w:tcMar>
              <w:left w:w="108" w:type="dxa"/>
              <w:right w:w="108" w:type="dxa"/>
            </w:tcMar>
          </w:tcPr>
          <w:p w14:paraId="3E67A811">
            <w:pPr>
              <w:widowControl/>
              <w:wordWrap w:val="0"/>
              <w:jc w:val="left"/>
              <w:rPr>
                <w:rFonts w:ascii="宋体" w:hAnsi="宋体" w:eastAsia="宋体" w:cs="宋体"/>
                <w:kern w:val="0"/>
                <w:szCs w:val="21"/>
              </w:rPr>
            </w:pPr>
          </w:p>
        </w:tc>
      </w:tr>
      <w:tr w14:paraId="6437CFD0">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16D2A586">
            <w:pPr>
              <w:widowControl/>
              <w:wordWrap w:val="0"/>
              <w:jc w:val="center"/>
              <w:rPr>
                <w:rFonts w:ascii="宋体" w:hAnsi="宋体" w:eastAsia="宋体" w:cs="宋体"/>
                <w:kern w:val="0"/>
                <w:szCs w:val="21"/>
              </w:rPr>
            </w:pPr>
            <w:r>
              <w:rPr>
                <w:rFonts w:hint="eastAsia" w:ascii="宋体" w:hAnsi="宋体" w:eastAsia="宋体" w:cs="宋体"/>
                <w:kern w:val="0"/>
                <w:szCs w:val="21"/>
              </w:rPr>
              <w:t>DT3</w:t>
            </w:r>
          </w:p>
        </w:tc>
        <w:tc>
          <w:tcPr>
            <w:tcW w:w="2069" w:type="dxa"/>
            <w:tcBorders>
              <w:top w:val="nil"/>
              <w:left w:val="nil"/>
              <w:bottom w:val="single" w:color="auto" w:sz="8" w:space="0"/>
              <w:right w:val="single" w:color="auto" w:sz="8" w:space="0"/>
            </w:tcBorders>
            <w:tcMar>
              <w:left w:w="108" w:type="dxa"/>
              <w:right w:w="108" w:type="dxa"/>
            </w:tcMar>
            <w:vAlign w:val="center"/>
          </w:tcPr>
          <w:p w14:paraId="2A24D1BC">
            <w:pPr>
              <w:widowControl/>
              <w:wordWrap w:val="0"/>
              <w:jc w:val="left"/>
              <w:rPr>
                <w:rFonts w:ascii="宋体" w:hAnsi="宋体" w:eastAsia="宋体" w:cs="宋体"/>
                <w:kern w:val="0"/>
                <w:szCs w:val="21"/>
              </w:rPr>
            </w:pPr>
            <w:r>
              <w:rPr>
                <w:rFonts w:ascii="宋体" w:hAnsi="宋体" w:eastAsia="宋体" w:cs="宋体"/>
                <w:kern w:val="0"/>
                <w:szCs w:val="21"/>
              </w:rPr>
              <w:t>乘客电梯</w:t>
            </w:r>
          </w:p>
        </w:tc>
        <w:tc>
          <w:tcPr>
            <w:tcW w:w="993" w:type="dxa"/>
            <w:tcBorders>
              <w:top w:val="nil"/>
              <w:left w:val="nil"/>
              <w:bottom w:val="single" w:color="auto" w:sz="8" w:space="0"/>
              <w:right w:val="single" w:color="auto" w:sz="8" w:space="0"/>
            </w:tcBorders>
            <w:tcMar>
              <w:left w:w="108" w:type="dxa"/>
              <w:right w:w="108" w:type="dxa"/>
            </w:tcMar>
            <w:vAlign w:val="center"/>
          </w:tcPr>
          <w:p w14:paraId="618EDAC8">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406C216B">
            <w:pPr>
              <w:widowControl/>
              <w:wordWrap w:val="0"/>
              <w:jc w:val="left"/>
              <w:rPr>
                <w:rFonts w:ascii="宋体" w:hAnsi="宋体" w:eastAsia="宋体" w:cs="宋体"/>
                <w:kern w:val="0"/>
                <w:szCs w:val="21"/>
              </w:rPr>
            </w:pPr>
            <w:r>
              <w:rPr>
                <w:rFonts w:hint="eastAsia" w:ascii="宋体" w:hAnsi="宋体" w:eastAsia="宋体" w:cs="宋体"/>
                <w:kern w:val="0"/>
                <w:szCs w:val="21"/>
              </w:rPr>
              <w:t>1350kg</w:t>
            </w:r>
          </w:p>
        </w:tc>
        <w:tc>
          <w:tcPr>
            <w:tcW w:w="1559" w:type="dxa"/>
            <w:tcBorders>
              <w:top w:val="nil"/>
              <w:left w:val="nil"/>
              <w:bottom w:val="single" w:color="auto" w:sz="8" w:space="0"/>
              <w:right w:val="single" w:color="auto" w:sz="8" w:space="0"/>
            </w:tcBorders>
            <w:tcMar>
              <w:left w:w="108" w:type="dxa"/>
              <w:right w:w="108" w:type="dxa"/>
            </w:tcMar>
            <w:vAlign w:val="center"/>
          </w:tcPr>
          <w:p w14:paraId="0F4ADBE4">
            <w:pPr>
              <w:widowControl/>
              <w:wordWrap w:val="0"/>
              <w:jc w:val="left"/>
              <w:rPr>
                <w:rFonts w:ascii="宋体" w:hAnsi="宋体" w:eastAsia="宋体" w:cs="宋体"/>
                <w:kern w:val="0"/>
                <w:szCs w:val="21"/>
              </w:rPr>
            </w:pPr>
            <w:r>
              <w:rPr>
                <w:rFonts w:hint="eastAsia" w:ascii="宋体" w:hAnsi="宋体" w:eastAsia="宋体" w:cs="宋体"/>
                <w:kern w:val="0"/>
                <w:szCs w:val="21"/>
              </w:rPr>
              <w:t>1.75m/s</w:t>
            </w:r>
          </w:p>
        </w:tc>
        <w:tc>
          <w:tcPr>
            <w:tcW w:w="1701" w:type="dxa"/>
            <w:tcBorders>
              <w:top w:val="nil"/>
              <w:left w:val="nil"/>
              <w:bottom w:val="single" w:color="auto" w:sz="8" w:space="0"/>
              <w:right w:val="single" w:color="auto" w:sz="8" w:space="0"/>
            </w:tcBorders>
            <w:tcMar>
              <w:left w:w="108" w:type="dxa"/>
              <w:right w:w="108" w:type="dxa"/>
            </w:tcMar>
            <w:vAlign w:val="center"/>
          </w:tcPr>
          <w:p w14:paraId="45E28162">
            <w:pPr>
              <w:widowControl/>
              <w:wordWrap w:val="0"/>
              <w:jc w:val="left"/>
              <w:rPr>
                <w:rFonts w:ascii="宋体" w:hAnsi="宋体" w:eastAsia="宋体" w:cs="宋体"/>
                <w:kern w:val="0"/>
                <w:szCs w:val="21"/>
              </w:rPr>
            </w:pPr>
            <w:r>
              <w:rPr>
                <w:rFonts w:hint="eastAsia" w:ascii="宋体" w:hAnsi="宋体" w:eastAsia="宋体" w:cs="宋体"/>
                <w:kern w:val="0"/>
                <w:szCs w:val="21"/>
              </w:rPr>
              <w:t>10/10/10</w:t>
            </w:r>
          </w:p>
        </w:tc>
        <w:tc>
          <w:tcPr>
            <w:tcW w:w="992" w:type="dxa"/>
            <w:tcBorders>
              <w:top w:val="nil"/>
              <w:left w:val="nil"/>
              <w:bottom w:val="single" w:color="auto" w:sz="8" w:space="0"/>
              <w:right w:val="single" w:color="auto" w:sz="12" w:space="0"/>
            </w:tcBorders>
            <w:tcMar>
              <w:left w:w="108" w:type="dxa"/>
              <w:right w:w="108" w:type="dxa"/>
            </w:tcMar>
          </w:tcPr>
          <w:p w14:paraId="1D8A785A">
            <w:pPr>
              <w:widowControl/>
              <w:wordWrap w:val="0"/>
              <w:jc w:val="left"/>
              <w:rPr>
                <w:rFonts w:ascii="宋体" w:hAnsi="宋体" w:eastAsia="宋体" w:cs="宋体"/>
                <w:kern w:val="0"/>
                <w:szCs w:val="21"/>
              </w:rPr>
            </w:pPr>
          </w:p>
        </w:tc>
      </w:tr>
      <w:tr w14:paraId="2A39ED19">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499D2F51">
            <w:pPr>
              <w:widowControl/>
              <w:wordWrap w:val="0"/>
              <w:jc w:val="center"/>
              <w:rPr>
                <w:rFonts w:ascii="宋体" w:hAnsi="宋体" w:eastAsia="宋体" w:cs="宋体"/>
                <w:kern w:val="0"/>
                <w:szCs w:val="21"/>
              </w:rPr>
            </w:pPr>
            <w:r>
              <w:rPr>
                <w:rFonts w:hint="eastAsia" w:ascii="宋体" w:hAnsi="宋体" w:eastAsia="宋体" w:cs="宋体"/>
                <w:kern w:val="0"/>
                <w:szCs w:val="21"/>
              </w:rPr>
              <w:t>DT4</w:t>
            </w:r>
          </w:p>
        </w:tc>
        <w:tc>
          <w:tcPr>
            <w:tcW w:w="2069" w:type="dxa"/>
            <w:tcBorders>
              <w:top w:val="nil"/>
              <w:left w:val="nil"/>
              <w:bottom w:val="single" w:color="auto" w:sz="8" w:space="0"/>
              <w:right w:val="single" w:color="auto" w:sz="8" w:space="0"/>
            </w:tcBorders>
            <w:tcMar>
              <w:left w:w="108" w:type="dxa"/>
              <w:right w:w="108" w:type="dxa"/>
            </w:tcMar>
            <w:vAlign w:val="center"/>
          </w:tcPr>
          <w:p w14:paraId="2E2D1729">
            <w:pPr>
              <w:widowControl/>
              <w:wordWrap w:val="0"/>
              <w:jc w:val="left"/>
              <w:rPr>
                <w:rFonts w:ascii="宋体" w:hAnsi="宋体" w:eastAsia="宋体" w:cs="宋体"/>
                <w:kern w:val="0"/>
                <w:szCs w:val="21"/>
              </w:rPr>
            </w:pPr>
            <w:r>
              <w:rPr>
                <w:rFonts w:ascii="宋体" w:hAnsi="宋体" w:eastAsia="宋体" w:cs="宋体"/>
                <w:kern w:val="0"/>
                <w:szCs w:val="21"/>
              </w:rPr>
              <w:t>货梯兼消防电梯</w:t>
            </w:r>
          </w:p>
        </w:tc>
        <w:tc>
          <w:tcPr>
            <w:tcW w:w="993" w:type="dxa"/>
            <w:tcBorders>
              <w:top w:val="nil"/>
              <w:left w:val="nil"/>
              <w:bottom w:val="single" w:color="auto" w:sz="8" w:space="0"/>
              <w:right w:val="single" w:color="auto" w:sz="8" w:space="0"/>
            </w:tcBorders>
            <w:tcMar>
              <w:left w:w="108" w:type="dxa"/>
              <w:right w:w="108" w:type="dxa"/>
            </w:tcMar>
            <w:vAlign w:val="center"/>
          </w:tcPr>
          <w:p w14:paraId="12DE467B">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74429434">
            <w:pPr>
              <w:widowControl/>
              <w:wordWrap w:val="0"/>
              <w:jc w:val="left"/>
              <w:rPr>
                <w:rFonts w:ascii="宋体" w:hAnsi="宋体" w:eastAsia="宋体" w:cs="宋体"/>
                <w:kern w:val="0"/>
                <w:szCs w:val="21"/>
              </w:rPr>
            </w:pPr>
            <w:r>
              <w:rPr>
                <w:rFonts w:hint="eastAsia" w:ascii="宋体" w:hAnsi="宋体" w:eastAsia="宋体" w:cs="宋体"/>
                <w:kern w:val="0"/>
                <w:szCs w:val="21"/>
              </w:rPr>
              <w:t>1350kg</w:t>
            </w:r>
          </w:p>
        </w:tc>
        <w:tc>
          <w:tcPr>
            <w:tcW w:w="1559" w:type="dxa"/>
            <w:tcBorders>
              <w:top w:val="nil"/>
              <w:left w:val="nil"/>
              <w:bottom w:val="single" w:color="auto" w:sz="8" w:space="0"/>
              <w:right w:val="single" w:color="auto" w:sz="8" w:space="0"/>
            </w:tcBorders>
            <w:tcMar>
              <w:left w:w="108" w:type="dxa"/>
              <w:right w:w="108" w:type="dxa"/>
            </w:tcMar>
            <w:vAlign w:val="center"/>
          </w:tcPr>
          <w:p w14:paraId="393C7F95">
            <w:pPr>
              <w:widowControl/>
              <w:wordWrap w:val="0"/>
              <w:jc w:val="left"/>
              <w:rPr>
                <w:rFonts w:ascii="宋体" w:hAnsi="宋体" w:eastAsia="宋体" w:cs="宋体"/>
                <w:kern w:val="0"/>
                <w:szCs w:val="21"/>
              </w:rPr>
            </w:pPr>
            <w:r>
              <w:rPr>
                <w:rFonts w:hint="eastAsia" w:ascii="宋体" w:hAnsi="宋体" w:eastAsia="宋体" w:cs="宋体"/>
                <w:kern w:val="0"/>
                <w:szCs w:val="21"/>
              </w:rPr>
              <w:t>1.75m/s</w:t>
            </w:r>
          </w:p>
        </w:tc>
        <w:tc>
          <w:tcPr>
            <w:tcW w:w="1701" w:type="dxa"/>
            <w:tcBorders>
              <w:top w:val="nil"/>
              <w:left w:val="nil"/>
              <w:bottom w:val="single" w:color="auto" w:sz="8" w:space="0"/>
              <w:right w:val="single" w:color="auto" w:sz="8" w:space="0"/>
            </w:tcBorders>
            <w:tcMar>
              <w:left w:w="108" w:type="dxa"/>
              <w:right w:w="108" w:type="dxa"/>
            </w:tcMar>
            <w:vAlign w:val="center"/>
          </w:tcPr>
          <w:p w14:paraId="60F75829">
            <w:pPr>
              <w:widowControl/>
              <w:wordWrap w:val="0"/>
              <w:jc w:val="left"/>
              <w:rPr>
                <w:rFonts w:ascii="宋体" w:hAnsi="宋体" w:eastAsia="宋体" w:cs="宋体"/>
                <w:kern w:val="0"/>
                <w:szCs w:val="21"/>
              </w:rPr>
            </w:pPr>
            <w:r>
              <w:rPr>
                <w:rFonts w:hint="eastAsia" w:ascii="宋体" w:hAnsi="宋体" w:eastAsia="宋体" w:cs="宋体"/>
                <w:kern w:val="0"/>
                <w:szCs w:val="21"/>
              </w:rPr>
              <w:t>10/10/10</w:t>
            </w:r>
          </w:p>
        </w:tc>
        <w:tc>
          <w:tcPr>
            <w:tcW w:w="992" w:type="dxa"/>
            <w:tcBorders>
              <w:top w:val="nil"/>
              <w:left w:val="nil"/>
              <w:bottom w:val="single" w:color="auto" w:sz="8" w:space="0"/>
              <w:right w:val="single" w:color="auto" w:sz="12" w:space="0"/>
            </w:tcBorders>
            <w:tcMar>
              <w:left w:w="108" w:type="dxa"/>
              <w:right w:w="108" w:type="dxa"/>
            </w:tcMar>
          </w:tcPr>
          <w:p w14:paraId="0BFDFF5B">
            <w:pPr>
              <w:widowControl/>
              <w:wordWrap w:val="0"/>
              <w:jc w:val="left"/>
              <w:rPr>
                <w:rFonts w:ascii="宋体" w:hAnsi="宋体" w:eastAsia="宋体" w:cs="宋体"/>
                <w:kern w:val="0"/>
                <w:szCs w:val="21"/>
              </w:rPr>
            </w:pPr>
          </w:p>
        </w:tc>
      </w:tr>
      <w:tr w14:paraId="4BF524DE">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612FCE6C">
            <w:pPr>
              <w:widowControl/>
              <w:wordWrap w:val="0"/>
              <w:jc w:val="center"/>
              <w:rPr>
                <w:rFonts w:ascii="宋体" w:hAnsi="宋体" w:eastAsia="宋体" w:cs="宋体"/>
                <w:kern w:val="0"/>
                <w:szCs w:val="21"/>
              </w:rPr>
            </w:pPr>
            <w:r>
              <w:rPr>
                <w:rFonts w:hint="eastAsia" w:ascii="宋体" w:hAnsi="宋体" w:eastAsia="宋体" w:cs="宋体"/>
                <w:kern w:val="0"/>
                <w:szCs w:val="21"/>
              </w:rPr>
              <w:t>DT5</w:t>
            </w:r>
          </w:p>
        </w:tc>
        <w:tc>
          <w:tcPr>
            <w:tcW w:w="2069" w:type="dxa"/>
            <w:tcBorders>
              <w:top w:val="nil"/>
              <w:left w:val="nil"/>
              <w:bottom w:val="single" w:color="auto" w:sz="8" w:space="0"/>
              <w:right w:val="single" w:color="auto" w:sz="8" w:space="0"/>
            </w:tcBorders>
            <w:tcMar>
              <w:left w:w="108" w:type="dxa"/>
              <w:right w:w="108" w:type="dxa"/>
            </w:tcMar>
            <w:vAlign w:val="center"/>
          </w:tcPr>
          <w:p w14:paraId="020EF901">
            <w:pPr>
              <w:widowControl/>
              <w:wordWrap w:val="0"/>
              <w:jc w:val="left"/>
              <w:rPr>
                <w:rFonts w:ascii="宋体" w:hAnsi="宋体" w:eastAsia="宋体" w:cs="宋体"/>
                <w:kern w:val="0"/>
                <w:szCs w:val="21"/>
              </w:rPr>
            </w:pPr>
            <w:r>
              <w:rPr>
                <w:rFonts w:ascii="宋体" w:hAnsi="宋体" w:eastAsia="宋体" w:cs="宋体"/>
                <w:kern w:val="0"/>
                <w:szCs w:val="21"/>
              </w:rPr>
              <w:t>客梯兼无障碍电梯</w:t>
            </w:r>
          </w:p>
        </w:tc>
        <w:tc>
          <w:tcPr>
            <w:tcW w:w="993" w:type="dxa"/>
            <w:tcBorders>
              <w:top w:val="nil"/>
              <w:left w:val="nil"/>
              <w:bottom w:val="single" w:color="auto" w:sz="8" w:space="0"/>
              <w:right w:val="single" w:color="auto" w:sz="8" w:space="0"/>
            </w:tcBorders>
            <w:tcMar>
              <w:left w:w="108" w:type="dxa"/>
              <w:right w:w="108" w:type="dxa"/>
            </w:tcMar>
            <w:vAlign w:val="center"/>
          </w:tcPr>
          <w:p w14:paraId="137340D5">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478AD7F7">
            <w:pPr>
              <w:widowControl/>
              <w:wordWrap w:val="0"/>
              <w:jc w:val="left"/>
              <w:rPr>
                <w:rFonts w:ascii="宋体" w:hAnsi="宋体" w:eastAsia="宋体" w:cs="宋体"/>
                <w:kern w:val="0"/>
                <w:szCs w:val="21"/>
              </w:rPr>
            </w:pPr>
            <w:r>
              <w:rPr>
                <w:rFonts w:hint="eastAsia" w:ascii="宋体" w:hAnsi="宋体" w:eastAsia="宋体" w:cs="宋体"/>
                <w:kern w:val="0"/>
                <w:szCs w:val="21"/>
              </w:rPr>
              <w:t>1200kg</w:t>
            </w:r>
          </w:p>
        </w:tc>
        <w:tc>
          <w:tcPr>
            <w:tcW w:w="1559" w:type="dxa"/>
            <w:tcBorders>
              <w:top w:val="nil"/>
              <w:left w:val="nil"/>
              <w:bottom w:val="single" w:color="auto" w:sz="8" w:space="0"/>
              <w:right w:val="single" w:color="auto" w:sz="8" w:space="0"/>
            </w:tcBorders>
            <w:tcMar>
              <w:left w:w="108" w:type="dxa"/>
              <w:right w:w="108" w:type="dxa"/>
            </w:tcMar>
            <w:vAlign w:val="center"/>
          </w:tcPr>
          <w:p w14:paraId="348BEC22">
            <w:pPr>
              <w:widowControl/>
              <w:wordWrap w:val="0"/>
              <w:jc w:val="left"/>
              <w:rPr>
                <w:rFonts w:ascii="宋体" w:hAnsi="宋体" w:eastAsia="宋体" w:cs="宋体"/>
                <w:kern w:val="0"/>
                <w:szCs w:val="21"/>
              </w:rPr>
            </w:pPr>
            <w:r>
              <w:rPr>
                <w:rFonts w:hint="eastAsia" w:ascii="宋体" w:hAnsi="宋体" w:eastAsia="宋体" w:cs="宋体"/>
                <w:kern w:val="0"/>
                <w:szCs w:val="21"/>
              </w:rPr>
              <w:t>1.0m/s</w:t>
            </w:r>
          </w:p>
        </w:tc>
        <w:tc>
          <w:tcPr>
            <w:tcW w:w="1701" w:type="dxa"/>
            <w:tcBorders>
              <w:top w:val="nil"/>
              <w:left w:val="nil"/>
              <w:bottom w:val="single" w:color="auto" w:sz="8" w:space="0"/>
              <w:right w:val="single" w:color="auto" w:sz="8" w:space="0"/>
            </w:tcBorders>
            <w:tcMar>
              <w:left w:w="108" w:type="dxa"/>
              <w:right w:w="108" w:type="dxa"/>
            </w:tcMar>
            <w:vAlign w:val="center"/>
          </w:tcPr>
          <w:p w14:paraId="76EEA02D">
            <w:pPr>
              <w:widowControl/>
              <w:wordWrap w:val="0"/>
              <w:jc w:val="left"/>
              <w:rPr>
                <w:rFonts w:ascii="宋体" w:hAnsi="宋体" w:eastAsia="宋体" w:cs="宋体"/>
                <w:kern w:val="0"/>
                <w:szCs w:val="21"/>
              </w:rPr>
            </w:pPr>
            <w:r>
              <w:rPr>
                <w:rFonts w:hint="eastAsia" w:ascii="宋体" w:hAnsi="宋体" w:eastAsia="宋体" w:cs="宋体"/>
                <w:kern w:val="0"/>
                <w:szCs w:val="21"/>
              </w:rPr>
              <w:t>5/5/5</w:t>
            </w:r>
          </w:p>
        </w:tc>
        <w:tc>
          <w:tcPr>
            <w:tcW w:w="992" w:type="dxa"/>
            <w:tcBorders>
              <w:top w:val="nil"/>
              <w:left w:val="nil"/>
              <w:bottom w:val="single" w:color="auto" w:sz="8" w:space="0"/>
              <w:right w:val="single" w:color="auto" w:sz="12" w:space="0"/>
            </w:tcBorders>
            <w:tcMar>
              <w:left w:w="108" w:type="dxa"/>
              <w:right w:w="108" w:type="dxa"/>
            </w:tcMar>
          </w:tcPr>
          <w:p w14:paraId="3B83D7A8">
            <w:pPr>
              <w:widowControl/>
              <w:wordWrap w:val="0"/>
              <w:jc w:val="left"/>
              <w:rPr>
                <w:rFonts w:ascii="宋体" w:hAnsi="宋体" w:eastAsia="宋体" w:cs="宋体"/>
                <w:kern w:val="0"/>
                <w:szCs w:val="21"/>
              </w:rPr>
            </w:pPr>
          </w:p>
        </w:tc>
      </w:tr>
      <w:tr w14:paraId="1978EFF5">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1DD42196">
            <w:pPr>
              <w:widowControl/>
              <w:wordWrap w:val="0"/>
              <w:jc w:val="center"/>
              <w:rPr>
                <w:rFonts w:ascii="宋体" w:hAnsi="宋体" w:eastAsia="宋体" w:cs="宋体"/>
                <w:kern w:val="0"/>
                <w:szCs w:val="21"/>
              </w:rPr>
            </w:pPr>
            <w:r>
              <w:rPr>
                <w:rFonts w:hint="eastAsia" w:ascii="宋体" w:hAnsi="宋体" w:eastAsia="宋体" w:cs="宋体"/>
                <w:kern w:val="0"/>
                <w:szCs w:val="21"/>
              </w:rPr>
              <w:t>DT6</w:t>
            </w:r>
          </w:p>
        </w:tc>
        <w:tc>
          <w:tcPr>
            <w:tcW w:w="2069" w:type="dxa"/>
            <w:tcBorders>
              <w:top w:val="nil"/>
              <w:left w:val="nil"/>
              <w:bottom w:val="single" w:color="auto" w:sz="8" w:space="0"/>
              <w:right w:val="single" w:color="auto" w:sz="8" w:space="0"/>
            </w:tcBorders>
            <w:tcMar>
              <w:left w:w="108" w:type="dxa"/>
              <w:right w:w="108" w:type="dxa"/>
            </w:tcMar>
            <w:vAlign w:val="center"/>
          </w:tcPr>
          <w:p w14:paraId="6E193994">
            <w:pPr>
              <w:widowControl/>
              <w:wordWrap w:val="0"/>
              <w:jc w:val="left"/>
              <w:rPr>
                <w:rFonts w:ascii="宋体" w:hAnsi="宋体" w:eastAsia="宋体" w:cs="宋体"/>
                <w:kern w:val="0"/>
                <w:szCs w:val="21"/>
              </w:rPr>
            </w:pPr>
            <w:r>
              <w:rPr>
                <w:rFonts w:ascii="宋体" w:hAnsi="宋体" w:eastAsia="宋体" w:cs="宋体"/>
                <w:kern w:val="0"/>
                <w:szCs w:val="21"/>
              </w:rPr>
              <w:t>乘客电梯</w:t>
            </w:r>
          </w:p>
        </w:tc>
        <w:tc>
          <w:tcPr>
            <w:tcW w:w="993" w:type="dxa"/>
            <w:tcBorders>
              <w:top w:val="nil"/>
              <w:left w:val="nil"/>
              <w:bottom w:val="single" w:color="auto" w:sz="8" w:space="0"/>
              <w:right w:val="single" w:color="auto" w:sz="8" w:space="0"/>
            </w:tcBorders>
            <w:tcMar>
              <w:left w:w="108" w:type="dxa"/>
              <w:right w:w="108" w:type="dxa"/>
            </w:tcMar>
            <w:vAlign w:val="center"/>
          </w:tcPr>
          <w:p w14:paraId="58C2C48C">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42FB0A59">
            <w:pPr>
              <w:widowControl/>
              <w:wordWrap w:val="0"/>
              <w:jc w:val="left"/>
              <w:rPr>
                <w:rFonts w:ascii="宋体" w:hAnsi="宋体" w:eastAsia="宋体" w:cs="宋体"/>
                <w:kern w:val="0"/>
                <w:szCs w:val="21"/>
              </w:rPr>
            </w:pPr>
            <w:r>
              <w:rPr>
                <w:rFonts w:hint="eastAsia" w:ascii="宋体" w:hAnsi="宋体" w:eastAsia="宋体" w:cs="宋体"/>
                <w:kern w:val="0"/>
                <w:szCs w:val="21"/>
              </w:rPr>
              <w:t>1200kg</w:t>
            </w:r>
          </w:p>
        </w:tc>
        <w:tc>
          <w:tcPr>
            <w:tcW w:w="1559" w:type="dxa"/>
            <w:tcBorders>
              <w:top w:val="nil"/>
              <w:left w:val="nil"/>
              <w:bottom w:val="single" w:color="auto" w:sz="8" w:space="0"/>
              <w:right w:val="single" w:color="auto" w:sz="8" w:space="0"/>
            </w:tcBorders>
            <w:tcMar>
              <w:left w:w="108" w:type="dxa"/>
              <w:right w:w="108" w:type="dxa"/>
            </w:tcMar>
            <w:vAlign w:val="center"/>
          </w:tcPr>
          <w:p w14:paraId="33C8C9DB">
            <w:pPr>
              <w:widowControl/>
              <w:wordWrap w:val="0"/>
              <w:jc w:val="left"/>
              <w:rPr>
                <w:rFonts w:ascii="宋体" w:hAnsi="宋体" w:eastAsia="宋体" w:cs="宋体"/>
                <w:kern w:val="0"/>
                <w:szCs w:val="21"/>
              </w:rPr>
            </w:pPr>
            <w:r>
              <w:rPr>
                <w:rFonts w:hint="eastAsia" w:ascii="宋体" w:hAnsi="宋体" w:eastAsia="宋体" w:cs="宋体"/>
                <w:kern w:val="0"/>
                <w:szCs w:val="21"/>
              </w:rPr>
              <w:t>1.0m/s</w:t>
            </w:r>
          </w:p>
        </w:tc>
        <w:tc>
          <w:tcPr>
            <w:tcW w:w="1701" w:type="dxa"/>
            <w:tcBorders>
              <w:top w:val="nil"/>
              <w:left w:val="nil"/>
              <w:bottom w:val="single" w:color="auto" w:sz="8" w:space="0"/>
              <w:right w:val="single" w:color="auto" w:sz="8" w:space="0"/>
            </w:tcBorders>
            <w:tcMar>
              <w:left w:w="108" w:type="dxa"/>
              <w:right w:w="108" w:type="dxa"/>
            </w:tcMar>
            <w:vAlign w:val="center"/>
          </w:tcPr>
          <w:p w14:paraId="38F4A203">
            <w:pPr>
              <w:widowControl/>
              <w:wordWrap w:val="0"/>
              <w:jc w:val="left"/>
              <w:rPr>
                <w:rFonts w:ascii="宋体" w:hAnsi="宋体" w:eastAsia="宋体" w:cs="宋体"/>
                <w:kern w:val="0"/>
                <w:szCs w:val="21"/>
              </w:rPr>
            </w:pPr>
            <w:r>
              <w:rPr>
                <w:rFonts w:hint="eastAsia" w:ascii="宋体" w:hAnsi="宋体" w:eastAsia="宋体" w:cs="宋体"/>
                <w:kern w:val="0"/>
                <w:szCs w:val="21"/>
              </w:rPr>
              <w:t>5/5/5</w:t>
            </w:r>
          </w:p>
        </w:tc>
        <w:tc>
          <w:tcPr>
            <w:tcW w:w="992" w:type="dxa"/>
            <w:tcBorders>
              <w:top w:val="nil"/>
              <w:left w:val="nil"/>
              <w:bottom w:val="single" w:color="auto" w:sz="8" w:space="0"/>
              <w:right w:val="single" w:color="auto" w:sz="12" w:space="0"/>
            </w:tcBorders>
            <w:tcMar>
              <w:left w:w="108" w:type="dxa"/>
              <w:right w:w="108" w:type="dxa"/>
            </w:tcMar>
          </w:tcPr>
          <w:p w14:paraId="1BF8238F">
            <w:pPr>
              <w:widowControl/>
              <w:wordWrap w:val="0"/>
              <w:jc w:val="left"/>
              <w:rPr>
                <w:rFonts w:ascii="宋体" w:hAnsi="宋体" w:eastAsia="宋体" w:cs="宋体"/>
                <w:kern w:val="0"/>
                <w:szCs w:val="21"/>
              </w:rPr>
            </w:pPr>
          </w:p>
        </w:tc>
      </w:tr>
      <w:tr w14:paraId="3767DEF1">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3C550E4C">
            <w:pPr>
              <w:widowControl/>
              <w:wordWrap w:val="0"/>
              <w:jc w:val="center"/>
              <w:rPr>
                <w:rFonts w:ascii="宋体" w:hAnsi="宋体" w:eastAsia="宋体" w:cs="宋体"/>
                <w:kern w:val="0"/>
                <w:szCs w:val="21"/>
              </w:rPr>
            </w:pPr>
            <w:r>
              <w:rPr>
                <w:rFonts w:hint="eastAsia" w:ascii="宋体" w:hAnsi="宋体" w:eastAsia="宋体" w:cs="宋体"/>
                <w:kern w:val="0"/>
                <w:szCs w:val="21"/>
              </w:rPr>
              <w:t>DT7</w:t>
            </w:r>
          </w:p>
        </w:tc>
        <w:tc>
          <w:tcPr>
            <w:tcW w:w="2069" w:type="dxa"/>
            <w:tcBorders>
              <w:top w:val="nil"/>
              <w:left w:val="nil"/>
              <w:bottom w:val="single" w:color="auto" w:sz="8" w:space="0"/>
              <w:right w:val="single" w:color="auto" w:sz="8" w:space="0"/>
            </w:tcBorders>
            <w:tcMar>
              <w:left w:w="108" w:type="dxa"/>
              <w:right w:w="108" w:type="dxa"/>
            </w:tcMar>
            <w:vAlign w:val="center"/>
          </w:tcPr>
          <w:p w14:paraId="261253AD">
            <w:pPr>
              <w:widowControl/>
              <w:wordWrap w:val="0"/>
              <w:jc w:val="left"/>
              <w:rPr>
                <w:rFonts w:ascii="宋体" w:hAnsi="宋体" w:eastAsia="宋体" w:cs="宋体"/>
                <w:kern w:val="0"/>
                <w:szCs w:val="21"/>
              </w:rPr>
            </w:pPr>
            <w:r>
              <w:rPr>
                <w:rFonts w:ascii="宋体" w:hAnsi="宋体" w:eastAsia="宋体" w:cs="宋体"/>
                <w:kern w:val="0"/>
                <w:szCs w:val="21"/>
              </w:rPr>
              <w:t>货梯</w:t>
            </w:r>
          </w:p>
        </w:tc>
        <w:tc>
          <w:tcPr>
            <w:tcW w:w="993" w:type="dxa"/>
            <w:tcBorders>
              <w:top w:val="nil"/>
              <w:left w:val="nil"/>
              <w:bottom w:val="single" w:color="auto" w:sz="8" w:space="0"/>
              <w:right w:val="single" w:color="auto" w:sz="8" w:space="0"/>
            </w:tcBorders>
            <w:tcMar>
              <w:left w:w="108" w:type="dxa"/>
              <w:right w:w="108" w:type="dxa"/>
            </w:tcMar>
            <w:vAlign w:val="center"/>
          </w:tcPr>
          <w:p w14:paraId="2820D410">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0E7436D8">
            <w:pPr>
              <w:widowControl/>
              <w:wordWrap w:val="0"/>
              <w:jc w:val="left"/>
              <w:rPr>
                <w:rFonts w:ascii="宋体" w:hAnsi="宋体" w:eastAsia="宋体" w:cs="宋体"/>
                <w:kern w:val="0"/>
                <w:szCs w:val="21"/>
              </w:rPr>
            </w:pPr>
            <w:r>
              <w:rPr>
                <w:rFonts w:hint="eastAsia" w:ascii="宋体" w:hAnsi="宋体" w:eastAsia="宋体" w:cs="宋体"/>
                <w:kern w:val="0"/>
                <w:szCs w:val="21"/>
              </w:rPr>
              <w:t>3000kg</w:t>
            </w:r>
          </w:p>
        </w:tc>
        <w:tc>
          <w:tcPr>
            <w:tcW w:w="1559" w:type="dxa"/>
            <w:tcBorders>
              <w:top w:val="nil"/>
              <w:left w:val="nil"/>
              <w:bottom w:val="single" w:color="auto" w:sz="8" w:space="0"/>
              <w:right w:val="single" w:color="auto" w:sz="8" w:space="0"/>
            </w:tcBorders>
            <w:tcMar>
              <w:left w:w="108" w:type="dxa"/>
              <w:right w:w="108" w:type="dxa"/>
            </w:tcMar>
            <w:vAlign w:val="center"/>
          </w:tcPr>
          <w:p w14:paraId="1B68A575">
            <w:pPr>
              <w:widowControl/>
              <w:wordWrap w:val="0"/>
              <w:jc w:val="left"/>
              <w:rPr>
                <w:rFonts w:ascii="宋体" w:hAnsi="宋体" w:eastAsia="宋体" w:cs="宋体"/>
                <w:kern w:val="0"/>
                <w:szCs w:val="21"/>
              </w:rPr>
            </w:pPr>
            <w:r>
              <w:rPr>
                <w:rFonts w:hint="eastAsia" w:ascii="宋体" w:hAnsi="宋体" w:eastAsia="宋体" w:cs="宋体"/>
                <w:kern w:val="0"/>
                <w:szCs w:val="21"/>
              </w:rPr>
              <w:t>1.0m/s</w:t>
            </w:r>
          </w:p>
        </w:tc>
        <w:tc>
          <w:tcPr>
            <w:tcW w:w="1701" w:type="dxa"/>
            <w:tcBorders>
              <w:top w:val="nil"/>
              <w:left w:val="nil"/>
              <w:bottom w:val="single" w:color="auto" w:sz="8" w:space="0"/>
              <w:right w:val="single" w:color="auto" w:sz="8" w:space="0"/>
            </w:tcBorders>
            <w:tcMar>
              <w:left w:w="108" w:type="dxa"/>
              <w:right w:w="108" w:type="dxa"/>
            </w:tcMar>
            <w:vAlign w:val="center"/>
          </w:tcPr>
          <w:p w14:paraId="18A03AB2">
            <w:pPr>
              <w:widowControl/>
              <w:wordWrap w:val="0"/>
              <w:jc w:val="left"/>
              <w:rPr>
                <w:rFonts w:ascii="宋体" w:hAnsi="宋体" w:eastAsia="宋体" w:cs="宋体"/>
                <w:kern w:val="0"/>
                <w:szCs w:val="21"/>
              </w:rPr>
            </w:pPr>
            <w:r>
              <w:rPr>
                <w:rFonts w:hint="eastAsia" w:ascii="宋体" w:hAnsi="宋体" w:eastAsia="宋体" w:cs="宋体"/>
                <w:kern w:val="0"/>
                <w:szCs w:val="21"/>
              </w:rPr>
              <w:t>5/5/5</w:t>
            </w:r>
          </w:p>
        </w:tc>
        <w:tc>
          <w:tcPr>
            <w:tcW w:w="992" w:type="dxa"/>
            <w:tcBorders>
              <w:top w:val="nil"/>
              <w:left w:val="nil"/>
              <w:bottom w:val="single" w:color="auto" w:sz="8" w:space="0"/>
              <w:right w:val="single" w:color="auto" w:sz="12" w:space="0"/>
            </w:tcBorders>
            <w:tcMar>
              <w:left w:w="108" w:type="dxa"/>
              <w:right w:w="108" w:type="dxa"/>
            </w:tcMar>
          </w:tcPr>
          <w:p w14:paraId="55F87330">
            <w:pPr>
              <w:widowControl/>
              <w:wordWrap w:val="0"/>
              <w:jc w:val="left"/>
              <w:rPr>
                <w:rFonts w:ascii="宋体" w:hAnsi="宋体" w:eastAsia="宋体" w:cs="宋体"/>
                <w:kern w:val="0"/>
                <w:szCs w:val="21"/>
              </w:rPr>
            </w:pPr>
          </w:p>
        </w:tc>
      </w:tr>
      <w:tr w14:paraId="4740E478">
        <w:tblPrEx>
          <w:tblCellMar>
            <w:top w:w="0" w:type="dxa"/>
            <w:left w:w="0" w:type="dxa"/>
            <w:bottom w:w="0" w:type="dxa"/>
            <w:right w:w="0" w:type="dxa"/>
          </w:tblCellMar>
        </w:tblPrEx>
        <w:trPr>
          <w:trHeight w:val="405" w:hRule="atLeast"/>
        </w:trPr>
        <w:tc>
          <w:tcPr>
            <w:tcW w:w="766" w:type="dxa"/>
            <w:tcBorders>
              <w:top w:val="nil"/>
              <w:left w:val="single" w:color="auto" w:sz="12" w:space="0"/>
              <w:bottom w:val="single" w:color="auto" w:sz="8" w:space="0"/>
              <w:right w:val="single" w:color="auto" w:sz="8" w:space="0"/>
            </w:tcBorders>
            <w:tcMar>
              <w:left w:w="108" w:type="dxa"/>
              <w:right w:w="108" w:type="dxa"/>
            </w:tcMar>
            <w:vAlign w:val="center"/>
          </w:tcPr>
          <w:p w14:paraId="28C49EE9">
            <w:pPr>
              <w:widowControl/>
              <w:wordWrap w:val="0"/>
              <w:jc w:val="center"/>
              <w:rPr>
                <w:rFonts w:ascii="宋体" w:hAnsi="宋体" w:eastAsia="宋体" w:cs="宋体"/>
                <w:kern w:val="0"/>
                <w:szCs w:val="21"/>
              </w:rPr>
            </w:pPr>
            <w:r>
              <w:rPr>
                <w:rFonts w:hint="eastAsia" w:ascii="宋体" w:hAnsi="宋体" w:eastAsia="宋体" w:cs="宋体"/>
                <w:kern w:val="0"/>
                <w:szCs w:val="21"/>
              </w:rPr>
              <w:t>DT</w:t>
            </w:r>
            <w:bookmarkStart w:id="2" w:name="_GoBack"/>
            <w:bookmarkEnd w:id="2"/>
            <w:r>
              <w:rPr>
                <w:rFonts w:hint="eastAsia" w:ascii="宋体" w:hAnsi="宋体" w:eastAsia="宋体" w:cs="宋体"/>
                <w:kern w:val="0"/>
                <w:szCs w:val="21"/>
              </w:rPr>
              <w:t>8</w:t>
            </w:r>
          </w:p>
        </w:tc>
        <w:tc>
          <w:tcPr>
            <w:tcW w:w="2069" w:type="dxa"/>
            <w:tcBorders>
              <w:top w:val="nil"/>
              <w:left w:val="nil"/>
              <w:bottom w:val="single" w:color="auto" w:sz="8" w:space="0"/>
              <w:right w:val="single" w:color="auto" w:sz="8" w:space="0"/>
            </w:tcBorders>
            <w:tcMar>
              <w:left w:w="108" w:type="dxa"/>
              <w:right w:w="108" w:type="dxa"/>
            </w:tcMar>
            <w:vAlign w:val="center"/>
          </w:tcPr>
          <w:p w14:paraId="1A1125B1">
            <w:pPr>
              <w:widowControl/>
              <w:wordWrap w:val="0"/>
              <w:jc w:val="left"/>
              <w:rPr>
                <w:rFonts w:ascii="宋体" w:hAnsi="宋体" w:eastAsia="宋体" w:cs="宋体"/>
                <w:kern w:val="0"/>
                <w:szCs w:val="21"/>
              </w:rPr>
            </w:pPr>
            <w:r>
              <w:rPr>
                <w:rFonts w:ascii="宋体" w:hAnsi="宋体" w:eastAsia="宋体" w:cs="宋体"/>
                <w:kern w:val="0"/>
                <w:szCs w:val="21"/>
              </w:rPr>
              <w:t>客梯兼无障碍电梯</w:t>
            </w:r>
          </w:p>
        </w:tc>
        <w:tc>
          <w:tcPr>
            <w:tcW w:w="993" w:type="dxa"/>
            <w:tcBorders>
              <w:top w:val="nil"/>
              <w:left w:val="nil"/>
              <w:bottom w:val="single" w:color="auto" w:sz="8" w:space="0"/>
              <w:right w:val="single" w:color="auto" w:sz="8" w:space="0"/>
            </w:tcBorders>
            <w:tcMar>
              <w:left w:w="108" w:type="dxa"/>
              <w:right w:w="108" w:type="dxa"/>
            </w:tcMar>
            <w:vAlign w:val="center"/>
          </w:tcPr>
          <w:p w14:paraId="1EDFB0FF">
            <w:pPr>
              <w:widowControl/>
              <w:wordWrap w:val="0"/>
              <w:jc w:val="left"/>
              <w:rPr>
                <w:rFonts w:ascii="宋体" w:hAnsi="宋体" w:eastAsia="宋体" w:cs="宋体"/>
                <w:kern w:val="0"/>
                <w:szCs w:val="21"/>
              </w:rPr>
            </w:pPr>
            <w:r>
              <w:rPr>
                <w:rFonts w:hint="eastAsia" w:ascii="宋体" w:hAnsi="宋体" w:eastAsia="宋体" w:cs="宋体"/>
                <w:kern w:val="0"/>
                <w:szCs w:val="21"/>
              </w:rPr>
              <w:t>1</w:t>
            </w:r>
          </w:p>
        </w:tc>
        <w:tc>
          <w:tcPr>
            <w:tcW w:w="1559" w:type="dxa"/>
            <w:tcBorders>
              <w:top w:val="nil"/>
              <w:left w:val="nil"/>
              <w:bottom w:val="single" w:color="auto" w:sz="8" w:space="0"/>
              <w:right w:val="single" w:color="auto" w:sz="8" w:space="0"/>
            </w:tcBorders>
            <w:tcMar>
              <w:left w:w="108" w:type="dxa"/>
              <w:right w:w="108" w:type="dxa"/>
            </w:tcMar>
            <w:vAlign w:val="center"/>
          </w:tcPr>
          <w:p w14:paraId="0695FB3C">
            <w:pPr>
              <w:widowControl/>
              <w:wordWrap w:val="0"/>
              <w:jc w:val="left"/>
              <w:rPr>
                <w:rFonts w:ascii="宋体" w:hAnsi="宋体" w:eastAsia="宋体" w:cs="宋体"/>
                <w:kern w:val="0"/>
                <w:szCs w:val="21"/>
              </w:rPr>
            </w:pPr>
            <w:r>
              <w:rPr>
                <w:rFonts w:hint="eastAsia" w:ascii="宋体" w:hAnsi="宋体" w:eastAsia="宋体" w:cs="宋体"/>
                <w:kern w:val="0"/>
                <w:szCs w:val="21"/>
              </w:rPr>
              <w:t>1350kg</w:t>
            </w:r>
          </w:p>
        </w:tc>
        <w:tc>
          <w:tcPr>
            <w:tcW w:w="1559" w:type="dxa"/>
            <w:tcBorders>
              <w:top w:val="nil"/>
              <w:left w:val="nil"/>
              <w:bottom w:val="single" w:color="auto" w:sz="8" w:space="0"/>
              <w:right w:val="single" w:color="auto" w:sz="8" w:space="0"/>
            </w:tcBorders>
            <w:tcMar>
              <w:left w:w="108" w:type="dxa"/>
              <w:right w:w="108" w:type="dxa"/>
            </w:tcMar>
            <w:vAlign w:val="center"/>
          </w:tcPr>
          <w:p w14:paraId="42D3E30C">
            <w:pPr>
              <w:widowControl/>
              <w:wordWrap w:val="0"/>
              <w:jc w:val="left"/>
              <w:rPr>
                <w:rFonts w:ascii="宋体" w:hAnsi="宋体" w:eastAsia="宋体" w:cs="宋体"/>
                <w:kern w:val="0"/>
                <w:szCs w:val="21"/>
              </w:rPr>
            </w:pPr>
            <w:r>
              <w:rPr>
                <w:rFonts w:hint="eastAsia" w:ascii="宋体" w:hAnsi="宋体" w:eastAsia="宋体" w:cs="宋体"/>
                <w:kern w:val="0"/>
                <w:szCs w:val="21"/>
              </w:rPr>
              <w:t>1.0m/s</w:t>
            </w:r>
          </w:p>
        </w:tc>
        <w:tc>
          <w:tcPr>
            <w:tcW w:w="1701" w:type="dxa"/>
            <w:tcBorders>
              <w:top w:val="nil"/>
              <w:left w:val="nil"/>
              <w:bottom w:val="single" w:color="auto" w:sz="8" w:space="0"/>
              <w:right w:val="single" w:color="auto" w:sz="8" w:space="0"/>
            </w:tcBorders>
            <w:tcMar>
              <w:left w:w="108" w:type="dxa"/>
              <w:right w:w="108" w:type="dxa"/>
            </w:tcMar>
            <w:vAlign w:val="center"/>
          </w:tcPr>
          <w:p w14:paraId="55BA0A51">
            <w:pPr>
              <w:widowControl/>
              <w:wordWrap w:val="0"/>
              <w:jc w:val="left"/>
              <w:rPr>
                <w:rFonts w:ascii="宋体" w:hAnsi="宋体" w:eastAsia="宋体" w:cs="宋体"/>
                <w:kern w:val="0"/>
                <w:szCs w:val="21"/>
              </w:rPr>
            </w:pPr>
            <w:r>
              <w:rPr>
                <w:rFonts w:hint="eastAsia" w:ascii="宋体" w:hAnsi="宋体" w:eastAsia="宋体" w:cs="宋体"/>
                <w:kern w:val="0"/>
                <w:szCs w:val="21"/>
              </w:rPr>
              <w:t>4/4/4</w:t>
            </w:r>
          </w:p>
        </w:tc>
        <w:tc>
          <w:tcPr>
            <w:tcW w:w="992" w:type="dxa"/>
            <w:tcBorders>
              <w:top w:val="nil"/>
              <w:left w:val="nil"/>
              <w:bottom w:val="single" w:color="auto" w:sz="8" w:space="0"/>
              <w:right w:val="single" w:color="auto" w:sz="12" w:space="0"/>
            </w:tcBorders>
            <w:tcMar>
              <w:left w:w="108" w:type="dxa"/>
              <w:right w:w="108" w:type="dxa"/>
            </w:tcMar>
          </w:tcPr>
          <w:p w14:paraId="5D2A9FCA">
            <w:pPr>
              <w:widowControl/>
              <w:wordWrap w:val="0"/>
              <w:jc w:val="left"/>
              <w:rPr>
                <w:rFonts w:ascii="宋体" w:hAnsi="宋体" w:eastAsia="宋体" w:cs="宋体"/>
                <w:kern w:val="0"/>
                <w:szCs w:val="21"/>
              </w:rPr>
            </w:pPr>
          </w:p>
        </w:tc>
      </w:tr>
    </w:tbl>
    <w:p w14:paraId="0CACAAA8">
      <w:pPr>
        <w:spacing w:line="360" w:lineRule="auto"/>
        <w:rPr>
          <w:rFonts w:ascii="宋体" w:hAnsi="宋体" w:eastAsia="宋体" w:cs="宋体"/>
          <w:szCs w:val="21"/>
        </w:rPr>
      </w:pPr>
    </w:p>
    <w:p w14:paraId="571B9F82">
      <w:pPr>
        <w:spacing w:line="360" w:lineRule="auto"/>
        <w:ind w:firstLine="420" w:firstLineChars="200"/>
        <w:rPr>
          <w:rFonts w:ascii="宋体" w:hAnsi="宋体" w:eastAsia="宋体" w:cs="宋体"/>
          <w:b/>
          <w:szCs w:val="21"/>
        </w:rPr>
      </w:pPr>
      <w:r>
        <w:rPr>
          <w:rFonts w:hint="eastAsia" w:ascii="宋体" w:hAnsi="宋体" w:eastAsia="宋体" w:cs="宋体"/>
          <w:b/>
          <w:szCs w:val="21"/>
        </w:rPr>
        <w:t>五、土建尺寸、技术参数、功能要求、性能指标、其他要求</w:t>
      </w:r>
    </w:p>
    <w:p w14:paraId="59C32C12">
      <w:pPr>
        <w:spacing w:line="360" w:lineRule="auto"/>
        <w:ind w:firstLine="420" w:firstLineChars="200"/>
        <w:rPr>
          <w:rFonts w:ascii="宋体" w:hAnsi="宋体" w:eastAsia="宋体" w:cs="宋体"/>
          <w:szCs w:val="21"/>
        </w:rPr>
      </w:pPr>
      <w:r>
        <w:rPr>
          <w:rFonts w:hint="eastAsia" w:ascii="宋体" w:hAnsi="宋体" w:eastAsia="宋体" w:cs="宋体"/>
          <w:szCs w:val="21"/>
        </w:rPr>
        <w:t>见附件Excel表格</w:t>
      </w:r>
    </w:p>
    <w:p w14:paraId="25E67008">
      <w:pPr>
        <w:spacing w:line="360" w:lineRule="auto"/>
        <w:rPr>
          <w:rFonts w:ascii="宋体" w:hAnsi="宋体" w:eastAsia="宋体" w:cs="宋体"/>
          <w:szCs w:val="21"/>
        </w:rPr>
      </w:pPr>
    </w:p>
    <w:p w14:paraId="1464A213">
      <w:pPr>
        <w:spacing w:line="360" w:lineRule="auto"/>
        <w:ind w:firstLine="420" w:firstLineChars="200"/>
        <w:rPr>
          <w:rFonts w:ascii="宋体" w:hAnsi="宋体" w:eastAsia="宋体" w:cs="宋体"/>
          <w:b/>
          <w:szCs w:val="21"/>
        </w:rPr>
      </w:pPr>
      <w:r>
        <w:rPr>
          <w:rFonts w:hint="eastAsia" w:ascii="宋体" w:hAnsi="宋体" w:eastAsia="宋体" w:cs="宋体"/>
          <w:b/>
          <w:szCs w:val="21"/>
        </w:rPr>
        <w:t>六、商务要求</w:t>
      </w:r>
    </w:p>
    <w:p w14:paraId="73AA6B19">
      <w:pPr>
        <w:spacing w:line="360" w:lineRule="auto"/>
        <w:ind w:firstLine="420" w:firstLineChars="200"/>
        <w:rPr>
          <w:rFonts w:ascii="宋体" w:hAnsi="宋体" w:eastAsia="宋体" w:cs="宋体"/>
          <w:szCs w:val="21"/>
        </w:rPr>
      </w:pPr>
      <w:r>
        <w:rPr>
          <w:rFonts w:hint="eastAsia" w:ascii="宋体" w:hAnsi="宋体" w:eastAsia="宋体" w:cs="宋体"/>
          <w:szCs w:val="21"/>
        </w:rPr>
        <w:t>（一）包装和运输</w:t>
      </w:r>
    </w:p>
    <w:p w14:paraId="6BDB80C3">
      <w:pPr>
        <w:spacing w:line="360" w:lineRule="auto"/>
        <w:ind w:firstLine="420" w:firstLineChars="200"/>
        <w:rPr>
          <w:rFonts w:ascii="宋体" w:hAnsi="宋体" w:eastAsia="宋体" w:cs="宋体"/>
          <w:szCs w:val="21"/>
        </w:rPr>
      </w:pPr>
      <w:r>
        <w:rPr>
          <w:rFonts w:hint="eastAsia" w:ascii="宋体" w:hAnsi="宋体" w:eastAsia="宋体" w:cs="宋体"/>
          <w:szCs w:val="21"/>
        </w:rPr>
        <w:t>采购人应参照财政部等印发的《商品包装政府采购需求标准（试行）》《快递包装政府采购需求标准（试行）》（财办库〔2020〕123号），明确具体电梯包装要求。</w:t>
      </w:r>
    </w:p>
    <w:p w14:paraId="5EE79B38">
      <w:pPr>
        <w:spacing w:line="360" w:lineRule="auto"/>
        <w:ind w:firstLine="420" w:firstLineChars="200"/>
        <w:rPr>
          <w:rFonts w:ascii="宋体" w:hAnsi="宋体" w:eastAsia="宋体" w:cs="宋体"/>
          <w:szCs w:val="21"/>
        </w:rPr>
      </w:pPr>
      <w:r>
        <w:rPr>
          <w:rFonts w:hint="eastAsia" w:ascii="宋体" w:hAnsi="宋体" w:eastAsia="宋体" w:cs="宋体"/>
          <w:szCs w:val="21"/>
        </w:rPr>
        <w:t>（二）保险</w:t>
      </w:r>
    </w:p>
    <w:p w14:paraId="763AA036">
      <w:pPr>
        <w:spacing w:line="360" w:lineRule="auto"/>
        <w:ind w:firstLine="420" w:firstLineChars="200"/>
        <w:rPr>
          <w:rFonts w:ascii="宋体" w:hAnsi="宋体" w:eastAsia="宋体" w:cs="宋体"/>
          <w:szCs w:val="21"/>
        </w:rPr>
      </w:pPr>
      <w:r>
        <w:rPr>
          <w:rFonts w:hint="eastAsia" w:ascii="宋体" w:hAnsi="宋体" w:eastAsia="宋体" w:cs="宋体"/>
          <w:szCs w:val="21"/>
        </w:rPr>
        <w:t>采购人可以要求供应商结合当地市场监管部门相关政策购买电梯责任保险或其他等同形式的商业保险，并明确保险的受益人。</w:t>
      </w:r>
    </w:p>
    <w:p w14:paraId="422134E6">
      <w:pPr>
        <w:spacing w:line="360" w:lineRule="auto"/>
        <w:ind w:firstLine="420" w:firstLineChars="200"/>
        <w:rPr>
          <w:rFonts w:ascii="宋体" w:hAnsi="宋体" w:eastAsia="宋体" w:cs="宋体"/>
          <w:szCs w:val="21"/>
        </w:rPr>
      </w:pPr>
      <w:r>
        <w:rPr>
          <w:rFonts w:hint="eastAsia" w:ascii="宋体" w:hAnsi="宋体" w:eastAsia="宋体" w:cs="宋体"/>
          <w:szCs w:val="21"/>
        </w:rPr>
        <w:t>（三）出厂检验</w:t>
      </w:r>
    </w:p>
    <w:p w14:paraId="0EF72A02">
      <w:pPr>
        <w:spacing w:line="360" w:lineRule="auto"/>
        <w:ind w:firstLine="420" w:firstLineChars="200"/>
        <w:rPr>
          <w:rFonts w:ascii="宋体" w:hAnsi="宋体" w:eastAsia="宋体" w:cs="宋体"/>
          <w:szCs w:val="21"/>
        </w:rPr>
      </w:pPr>
      <w:r>
        <w:rPr>
          <w:rFonts w:hint="eastAsia" w:ascii="宋体" w:hAnsi="宋体" w:eastAsia="宋体" w:cs="宋体"/>
          <w:szCs w:val="21"/>
        </w:rPr>
        <w:t>供应商所提供的电梯品牌制造单位必须履行电梯出厂检验程序，提供随机附带的配置说明文件。对需要使用密码接入控制器的，应要求其在安装使用维护说明中标明该预设密码。</w:t>
      </w:r>
    </w:p>
    <w:p w14:paraId="3B134905">
      <w:pPr>
        <w:spacing w:line="360" w:lineRule="auto"/>
        <w:ind w:firstLine="420" w:firstLineChars="200"/>
        <w:rPr>
          <w:rFonts w:ascii="宋体" w:hAnsi="宋体" w:eastAsia="宋体" w:cs="宋体"/>
          <w:szCs w:val="21"/>
        </w:rPr>
      </w:pPr>
      <w:r>
        <w:rPr>
          <w:rFonts w:hint="eastAsia" w:ascii="宋体" w:hAnsi="宋体" w:eastAsia="宋体" w:cs="宋体"/>
          <w:szCs w:val="21"/>
        </w:rPr>
        <w:t>（四）到货检验</w:t>
      </w:r>
    </w:p>
    <w:p w14:paraId="6DE52ACB">
      <w:pPr>
        <w:spacing w:line="360" w:lineRule="auto"/>
        <w:ind w:firstLine="420" w:firstLineChars="200"/>
        <w:rPr>
          <w:rFonts w:ascii="宋体" w:hAnsi="宋体" w:eastAsia="宋体" w:cs="宋体"/>
          <w:szCs w:val="21"/>
        </w:rPr>
      </w:pPr>
      <w:r>
        <w:rPr>
          <w:rFonts w:hint="eastAsia" w:ascii="宋体" w:hAnsi="宋体" w:eastAsia="宋体" w:cs="宋体"/>
          <w:szCs w:val="21"/>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0BA78FC1">
      <w:pPr>
        <w:spacing w:line="360" w:lineRule="auto"/>
        <w:ind w:firstLine="420" w:firstLineChars="200"/>
        <w:rPr>
          <w:rFonts w:ascii="宋体" w:hAnsi="宋体" w:eastAsia="宋体" w:cs="宋体"/>
          <w:szCs w:val="21"/>
        </w:rPr>
      </w:pPr>
      <w:r>
        <w:rPr>
          <w:rFonts w:hint="eastAsia" w:ascii="宋体" w:hAnsi="宋体" w:eastAsia="宋体" w:cs="宋体"/>
          <w:szCs w:val="21"/>
        </w:rPr>
        <w:t>（五）安装调试</w:t>
      </w:r>
    </w:p>
    <w:p w14:paraId="3642A912">
      <w:pPr>
        <w:spacing w:line="360" w:lineRule="auto"/>
        <w:ind w:firstLine="420" w:firstLineChars="200"/>
        <w:rPr>
          <w:rFonts w:ascii="宋体" w:hAnsi="宋体" w:eastAsia="宋体" w:cs="宋体"/>
          <w:szCs w:val="21"/>
        </w:rPr>
      </w:pPr>
      <w:r>
        <w:rPr>
          <w:rFonts w:hint="eastAsia" w:ascii="宋体" w:hAnsi="宋体" w:eastAsia="宋体" w:cs="宋体"/>
          <w:szCs w:val="21"/>
        </w:rPr>
        <w:t>1.电梯安装施工过程中，中标供应商应当服从施工总包单位对施工现场安全生产的管理，落实现场安全防护措施，并明确各自的安全责任。</w:t>
      </w:r>
    </w:p>
    <w:p w14:paraId="365CD5BB">
      <w:pPr>
        <w:spacing w:line="360" w:lineRule="auto"/>
        <w:ind w:firstLine="420" w:firstLineChars="200"/>
        <w:rPr>
          <w:rFonts w:ascii="宋体" w:hAnsi="宋体" w:eastAsia="宋体" w:cs="宋体"/>
          <w:szCs w:val="21"/>
        </w:rPr>
      </w:pPr>
      <w:r>
        <w:rPr>
          <w:rFonts w:hint="eastAsia" w:ascii="宋体" w:hAnsi="宋体" w:eastAsia="宋体" w:cs="宋体"/>
          <w:szCs w:val="21"/>
        </w:rPr>
        <w:t>2.电梯安装施工期间应在电梯口的显著位置设置警示标志和公示牌，并采取必要的防护措施，公示牌载明作业内容、施工期限、施工单位、责任人、联系方式等信息。</w:t>
      </w:r>
    </w:p>
    <w:p w14:paraId="228037A2">
      <w:pPr>
        <w:spacing w:line="360" w:lineRule="auto"/>
        <w:ind w:firstLine="420" w:firstLineChars="200"/>
        <w:rPr>
          <w:rFonts w:ascii="宋体" w:hAnsi="宋体" w:eastAsia="宋体" w:cs="宋体"/>
          <w:szCs w:val="21"/>
        </w:rPr>
      </w:pPr>
      <w:r>
        <w:rPr>
          <w:rFonts w:hint="eastAsia" w:ascii="宋体" w:hAnsi="宋体" w:eastAsia="宋体" w:cs="宋体"/>
          <w:szCs w:val="21"/>
        </w:rPr>
        <w:t>3.中标供应商不得采用更改软件程序、变动硬件设施等技术手段设置技术障碍，影响电梯正常运行。</w:t>
      </w:r>
    </w:p>
    <w:p w14:paraId="2BE30D61">
      <w:pPr>
        <w:spacing w:line="360" w:lineRule="auto"/>
        <w:ind w:firstLine="420" w:firstLineChars="200"/>
        <w:rPr>
          <w:rFonts w:ascii="宋体" w:hAnsi="宋体" w:eastAsia="宋体" w:cs="宋体"/>
          <w:szCs w:val="21"/>
        </w:rPr>
      </w:pPr>
      <w:r>
        <w:rPr>
          <w:rFonts w:hint="eastAsia" w:ascii="宋体" w:hAnsi="宋体" w:eastAsia="宋体" w:cs="宋体"/>
          <w:szCs w:val="21"/>
        </w:rPr>
        <w:t>4.中标供应商不得以任何形式允许、默许其他单位或者个人将未经检验或者检验不合格的电梯投入使用。</w:t>
      </w:r>
    </w:p>
    <w:p w14:paraId="40851FAD">
      <w:pPr>
        <w:spacing w:line="360" w:lineRule="auto"/>
        <w:ind w:firstLine="420" w:firstLineChars="200"/>
        <w:rPr>
          <w:rFonts w:ascii="宋体" w:hAnsi="宋体" w:eastAsia="宋体" w:cs="宋体"/>
          <w:szCs w:val="21"/>
        </w:rPr>
      </w:pPr>
      <w:r>
        <w:rPr>
          <w:rFonts w:hint="eastAsia" w:ascii="宋体" w:hAnsi="宋体" w:eastAsia="宋体" w:cs="宋体"/>
          <w:szCs w:val="21"/>
        </w:rPr>
        <w:t>5.中标供应商应提供必要的技术服务和必需的备品配件，指导并协助解决电梯安装、调试、使用过程中涉及的质量安全问题，并在安装竣工后进行整机验收、出具整机质量证明文件。</w:t>
      </w:r>
    </w:p>
    <w:p w14:paraId="4E1CF6BB">
      <w:pPr>
        <w:spacing w:line="360" w:lineRule="auto"/>
        <w:ind w:firstLine="420" w:firstLineChars="200"/>
        <w:rPr>
          <w:rFonts w:ascii="宋体" w:hAnsi="宋体" w:eastAsia="宋体" w:cs="宋体"/>
          <w:szCs w:val="21"/>
        </w:rPr>
      </w:pPr>
      <w:r>
        <w:rPr>
          <w:rFonts w:hint="eastAsia" w:ascii="宋体" w:hAnsi="宋体" w:eastAsia="宋体" w:cs="宋体"/>
          <w:szCs w:val="21"/>
        </w:rPr>
        <w:t>（六）交付检验</w:t>
      </w:r>
    </w:p>
    <w:p w14:paraId="48323754">
      <w:pPr>
        <w:spacing w:line="360" w:lineRule="auto"/>
        <w:ind w:firstLine="420" w:firstLineChars="200"/>
        <w:rPr>
          <w:rFonts w:ascii="宋体" w:hAnsi="宋体" w:eastAsia="宋体" w:cs="宋体"/>
          <w:szCs w:val="21"/>
        </w:rPr>
      </w:pPr>
      <w:r>
        <w:rPr>
          <w:rFonts w:hint="eastAsia" w:ascii="宋体" w:hAnsi="宋体" w:eastAsia="宋体" w:cs="宋体"/>
          <w:szCs w:val="21"/>
        </w:rPr>
        <w:t>中标供应商应提供交付检验服务。招标文件、投标文件、厂家货物技术标准说明及国家有关的质量标准规定均为验收依据。交付检验至少应满足以下要求：</w:t>
      </w:r>
    </w:p>
    <w:p w14:paraId="498171B9">
      <w:pPr>
        <w:spacing w:line="360" w:lineRule="auto"/>
        <w:ind w:firstLine="420" w:firstLineChars="200"/>
        <w:rPr>
          <w:rFonts w:ascii="宋体" w:hAnsi="宋体" w:eastAsia="宋体" w:cs="宋体"/>
          <w:szCs w:val="21"/>
        </w:rPr>
      </w:pPr>
      <w:r>
        <w:rPr>
          <w:rFonts w:hint="eastAsia" w:ascii="宋体" w:hAnsi="宋体" w:eastAsia="宋体" w:cs="宋体"/>
          <w:szCs w:val="21"/>
        </w:rPr>
        <w:t>1.电梯安装调试完毕后，采购人根据招标文件、投标文件、厂家货物技术标准说明等内容进行检查，符合要求后提请特种设备监督检验机构进行监督检验。必要时可约定邀请第三方专业检验检测机构参与。</w:t>
      </w:r>
    </w:p>
    <w:p w14:paraId="05F4A8BE">
      <w:pPr>
        <w:spacing w:line="360" w:lineRule="auto"/>
        <w:ind w:firstLine="420" w:firstLineChars="200"/>
        <w:rPr>
          <w:rFonts w:ascii="宋体" w:hAnsi="宋体" w:eastAsia="宋体" w:cs="宋体"/>
          <w:szCs w:val="21"/>
        </w:rPr>
      </w:pPr>
      <w:r>
        <w:rPr>
          <w:rFonts w:hint="eastAsia" w:ascii="宋体" w:hAnsi="宋体" w:eastAsia="宋体" w:cs="宋体"/>
          <w:szCs w:val="21"/>
        </w:rPr>
        <w:t>2.电梯安装监督检验须由经核准的特种设备监督检验机构进行，检验合格并完成电梯使用登记手续后方视为完成交付检验。</w:t>
      </w:r>
    </w:p>
    <w:p w14:paraId="15FA2F08">
      <w:pPr>
        <w:spacing w:line="360" w:lineRule="auto"/>
        <w:ind w:firstLine="420" w:firstLineChars="200"/>
        <w:rPr>
          <w:rFonts w:ascii="宋体" w:hAnsi="宋体" w:eastAsia="宋体" w:cs="宋体"/>
          <w:szCs w:val="21"/>
        </w:rPr>
      </w:pPr>
      <w:r>
        <w:rPr>
          <w:rFonts w:hint="eastAsia" w:ascii="宋体" w:hAnsi="宋体" w:eastAsia="宋体" w:cs="宋体"/>
          <w:szCs w:val="21"/>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39EB0D9D">
      <w:pPr>
        <w:spacing w:line="360" w:lineRule="auto"/>
        <w:ind w:firstLine="420" w:firstLineChars="200"/>
        <w:rPr>
          <w:rFonts w:ascii="宋体" w:hAnsi="宋体" w:eastAsia="宋体" w:cs="宋体"/>
          <w:szCs w:val="21"/>
        </w:rPr>
      </w:pPr>
      <w:r>
        <w:rPr>
          <w:rFonts w:hint="eastAsia" w:ascii="宋体" w:hAnsi="宋体" w:eastAsia="宋体" w:cs="宋体"/>
          <w:szCs w:val="21"/>
        </w:rPr>
        <w:t>（七）管理及技术支撑能力</w:t>
      </w:r>
    </w:p>
    <w:p w14:paraId="0976135C">
      <w:pPr>
        <w:spacing w:line="360" w:lineRule="auto"/>
        <w:ind w:firstLine="420" w:firstLineChars="200"/>
        <w:rPr>
          <w:rFonts w:ascii="宋体" w:hAnsi="宋体" w:eastAsia="宋体" w:cs="宋体"/>
          <w:szCs w:val="21"/>
        </w:rPr>
      </w:pPr>
      <w:r>
        <w:rPr>
          <w:rFonts w:hint="eastAsia" w:ascii="宋体" w:hAnsi="宋体" w:eastAsia="宋体" w:cs="宋体"/>
          <w:szCs w:val="21"/>
        </w:rPr>
        <w:t>投标人应在投标文件中明确项目实施期间的管理人员配置、安装过程管理方案、调试方案、维保及技术支撑方案、类似业绩等。</w:t>
      </w:r>
    </w:p>
    <w:p w14:paraId="11D1634D">
      <w:pPr>
        <w:spacing w:line="360" w:lineRule="auto"/>
        <w:ind w:firstLine="420" w:firstLineChars="200"/>
        <w:rPr>
          <w:rFonts w:ascii="宋体" w:hAnsi="宋体" w:eastAsia="宋体" w:cs="宋体"/>
          <w:szCs w:val="21"/>
        </w:rPr>
      </w:pPr>
      <w:r>
        <w:rPr>
          <w:rFonts w:hint="eastAsia" w:ascii="宋体" w:hAnsi="宋体" w:eastAsia="宋体" w:cs="宋体"/>
          <w:szCs w:val="21"/>
        </w:rPr>
        <w:t>（八）售后服务</w:t>
      </w:r>
    </w:p>
    <w:p w14:paraId="28DB4143">
      <w:pPr>
        <w:spacing w:line="360" w:lineRule="auto"/>
        <w:ind w:firstLine="420" w:firstLineChars="200"/>
        <w:rPr>
          <w:rFonts w:ascii="宋体" w:hAnsi="宋体" w:eastAsia="宋体" w:cs="宋体"/>
          <w:szCs w:val="21"/>
        </w:rPr>
      </w:pPr>
      <w:r>
        <w:rPr>
          <w:rFonts w:hint="eastAsia" w:ascii="宋体" w:hAnsi="宋体" w:eastAsia="宋体" w:cs="宋体"/>
          <w:szCs w:val="21"/>
        </w:rPr>
        <w:t>1.免费售后维保服务期限</w:t>
      </w:r>
    </w:p>
    <w:p w14:paraId="7E637B55">
      <w:pPr>
        <w:spacing w:line="360" w:lineRule="auto"/>
        <w:ind w:firstLine="420" w:firstLineChars="200"/>
        <w:rPr>
          <w:rFonts w:ascii="宋体" w:hAnsi="宋体" w:eastAsia="宋体" w:cs="宋体"/>
          <w:color w:val="auto"/>
          <w:szCs w:val="21"/>
        </w:rPr>
      </w:pPr>
      <w:r>
        <w:rPr>
          <w:rFonts w:hint="eastAsia" w:ascii="宋体" w:hAnsi="宋体" w:eastAsia="宋体" w:cs="宋体"/>
          <w:szCs w:val="21"/>
        </w:rPr>
        <w:t>自特种设备检验机构监督检验合格之日</w:t>
      </w:r>
      <w:r>
        <w:rPr>
          <w:rFonts w:hint="eastAsia" w:ascii="宋体" w:hAnsi="宋体" w:eastAsia="宋体" w:cs="宋体"/>
          <w:color w:val="auto"/>
          <w:szCs w:val="21"/>
        </w:rPr>
        <w:t>起，整机不低于2年，主要部件和安全保护装置不低于5年。</w:t>
      </w:r>
    </w:p>
    <w:p w14:paraId="497F5D7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在质量保证期限内存在质量问题的，中标供应商应当提供免费修理或者更换服务。</w:t>
      </w:r>
    </w:p>
    <w:p w14:paraId="3631AC85">
      <w:pPr>
        <w:spacing w:line="360" w:lineRule="auto"/>
        <w:ind w:firstLine="420" w:firstLineChars="200"/>
        <w:rPr>
          <w:rFonts w:ascii="宋体" w:hAnsi="宋体" w:eastAsia="宋体" w:cs="宋体"/>
          <w:color w:val="auto"/>
          <w:szCs w:val="21"/>
        </w:rPr>
      </w:pPr>
      <w:r>
        <w:rPr>
          <w:rFonts w:hint="eastAsia" w:ascii="宋体" w:hAnsi="宋体" w:eastAsia="宋体" w:cs="宋体"/>
          <w:b/>
          <w:color w:val="auto"/>
          <w:szCs w:val="21"/>
        </w:rPr>
        <w:t>电梯主要部件包括</w:t>
      </w:r>
      <w:r>
        <w:rPr>
          <w:rFonts w:hint="eastAsia" w:ascii="宋体" w:hAnsi="宋体" w:eastAsia="宋体" w:cs="宋体"/>
          <w:color w:val="auto"/>
          <w:szCs w:val="21"/>
        </w:rPr>
        <w:t>绳头组合、控制柜、层门、玻璃轿门、玻璃轿壁、驱动主机（适用于曳引与强制驱动电梯）；</w:t>
      </w:r>
    </w:p>
    <w:p w14:paraId="2AB441AF">
      <w:pPr>
        <w:spacing w:line="360" w:lineRule="auto"/>
        <w:ind w:firstLine="420" w:firstLineChars="200"/>
        <w:rPr>
          <w:rFonts w:ascii="宋体" w:hAnsi="宋体" w:eastAsia="宋体" w:cs="宋体"/>
          <w:color w:val="auto"/>
          <w:szCs w:val="21"/>
        </w:rPr>
      </w:pPr>
      <w:r>
        <w:rPr>
          <w:rFonts w:hint="eastAsia" w:ascii="宋体" w:hAnsi="宋体" w:eastAsia="宋体" w:cs="宋体"/>
          <w:b/>
          <w:color w:val="auto"/>
          <w:szCs w:val="21"/>
        </w:rPr>
        <w:t>安全保护装置包括</w:t>
      </w:r>
      <w:r>
        <w:rPr>
          <w:rFonts w:hint="eastAsia" w:ascii="宋体" w:hAnsi="宋体" w:eastAsia="宋体" w:cs="宋体"/>
          <w:color w:val="auto"/>
          <w:szCs w:val="21"/>
        </w:rPr>
        <w:t>限速器、安全钳、缓冲器、门锁装置、轿厢上行超速保护装置（适用于曳引驱动电梯）、含有电子元件的安全电路、可编程电子安全相关系统、限速切断阀（适用于液压驱动电梯）、轿厢意外移动保护装置（适用于曳引与强制驱动非防爆电梯）。</w:t>
      </w:r>
    </w:p>
    <w:p w14:paraId="6048A87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2.售后服务要求</w:t>
      </w:r>
    </w:p>
    <w:p w14:paraId="5E73F1E3">
      <w:pPr>
        <w:ind w:firstLine="420" w:firstLineChars="200"/>
        <w:rPr>
          <w:rFonts w:ascii="宋体" w:hAnsi="宋体" w:eastAsia="宋体" w:cs="宋体"/>
          <w:szCs w:val="21"/>
        </w:rPr>
      </w:pPr>
      <w:r>
        <w:rPr>
          <w:rFonts w:hint="eastAsia" w:ascii="宋体" w:hAnsi="宋体" w:eastAsia="宋体" w:cs="宋体"/>
          <w:szCs w:val="21"/>
        </w:rPr>
        <w:t>（1）验收通过后24个月内，现场维护保养应至少由2名持有特种设备作业人员资格证的人员驻场或周边具备维保站点实施。</w:t>
      </w:r>
    </w:p>
    <w:p w14:paraId="211379B1">
      <w:pPr>
        <w:spacing w:line="360" w:lineRule="auto"/>
        <w:ind w:firstLine="420" w:firstLineChars="200"/>
        <w:rPr>
          <w:rFonts w:ascii="宋体" w:hAnsi="宋体" w:eastAsia="宋体" w:cs="宋体"/>
          <w:szCs w:val="21"/>
        </w:rPr>
      </w:pPr>
      <w:r>
        <w:rPr>
          <w:rFonts w:hint="eastAsia" w:ascii="宋体" w:hAnsi="宋体" w:eastAsia="宋体" w:cs="宋体"/>
          <w:szCs w:val="21"/>
        </w:rPr>
        <w:t>（2）设立24小时维保值班电话，保证接到故障通知后及时予以排除。</w:t>
      </w:r>
    </w:p>
    <w:p w14:paraId="0330482E">
      <w:pPr>
        <w:spacing w:line="360" w:lineRule="auto"/>
        <w:ind w:firstLine="420" w:firstLineChars="200"/>
        <w:rPr>
          <w:rFonts w:ascii="宋体" w:hAnsi="宋体" w:eastAsia="宋体" w:cs="宋体"/>
          <w:szCs w:val="21"/>
        </w:rPr>
      </w:pPr>
      <w:r>
        <w:rPr>
          <w:rFonts w:hint="eastAsia" w:ascii="宋体" w:hAnsi="宋体" w:eastAsia="宋体" w:cs="宋体"/>
          <w:szCs w:val="21"/>
        </w:rPr>
        <w:t>（3）建立每台电梯的维保记录，及时记录电梯的维保、故障等情况。</w:t>
      </w:r>
    </w:p>
    <w:p w14:paraId="6E4DCE1F">
      <w:pPr>
        <w:spacing w:line="360" w:lineRule="auto"/>
        <w:ind w:firstLine="420" w:firstLineChars="200"/>
        <w:rPr>
          <w:rFonts w:ascii="宋体" w:hAnsi="宋体" w:eastAsia="宋体" w:cs="宋体"/>
          <w:szCs w:val="21"/>
        </w:rPr>
      </w:pPr>
      <w:r>
        <w:rPr>
          <w:rFonts w:hint="eastAsia" w:ascii="宋体" w:hAnsi="宋体" w:eastAsia="宋体" w:cs="宋体"/>
          <w:szCs w:val="21"/>
        </w:rPr>
        <w:t>（4）接到电梯困人故障报告后，维保人员30分钟内抵达所维保电梯所在地实施现场救援。</w:t>
      </w:r>
    </w:p>
    <w:p w14:paraId="39E96B0F">
      <w:pPr>
        <w:spacing w:line="360" w:lineRule="auto"/>
        <w:ind w:firstLine="420" w:firstLineChars="200"/>
        <w:rPr>
          <w:rFonts w:ascii="宋体" w:hAnsi="宋体" w:eastAsia="宋体" w:cs="宋体"/>
          <w:szCs w:val="21"/>
        </w:rPr>
      </w:pPr>
      <w:r>
        <w:rPr>
          <w:rFonts w:hint="eastAsia" w:ascii="宋体" w:hAnsi="宋体" w:eastAsia="宋体" w:cs="宋体"/>
          <w:szCs w:val="21"/>
        </w:rPr>
        <w:t>（5）协助采购人建立每台电梯的档案，包括电梯安全管理制度、应急救援预案、维保记录、故障记录、日常巡查记录等。</w:t>
      </w:r>
    </w:p>
    <w:p w14:paraId="4ABCE94D">
      <w:pPr>
        <w:spacing w:line="360" w:lineRule="auto"/>
        <w:ind w:firstLine="420" w:firstLineChars="200"/>
        <w:rPr>
          <w:rFonts w:ascii="宋体" w:hAnsi="宋体" w:eastAsia="宋体" w:cs="宋体"/>
          <w:szCs w:val="21"/>
        </w:rPr>
      </w:pPr>
      <w:r>
        <w:rPr>
          <w:rFonts w:hint="eastAsia" w:ascii="宋体" w:hAnsi="宋体" w:eastAsia="宋体" w:cs="宋体"/>
          <w:szCs w:val="21"/>
        </w:rPr>
        <w:t>（6）协助采购人至少每年开展一次应急演练。</w:t>
      </w:r>
    </w:p>
    <w:p w14:paraId="4C4F1A6B">
      <w:pPr>
        <w:spacing w:line="360" w:lineRule="auto"/>
        <w:ind w:firstLine="420" w:firstLineChars="200"/>
        <w:rPr>
          <w:rFonts w:ascii="宋体" w:hAnsi="宋体" w:eastAsia="宋体" w:cs="宋体"/>
          <w:szCs w:val="21"/>
        </w:rPr>
      </w:pPr>
      <w:r>
        <w:rPr>
          <w:rFonts w:hint="eastAsia" w:ascii="宋体" w:hAnsi="宋体" w:eastAsia="宋体" w:cs="宋体"/>
          <w:szCs w:val="21"/>
        </w:rPr>
        <w:t>（7）至少提前一天书面告知采购人维护保养时间及联系人，维护保养期间应在现场放置警示标志。</w:t>
      </w:r>
    </w:p>
    <w:p w14:paraId="11B566D9">
      <w:pPr>
        <w:spacing w:line="360" w:lineRule="auto"/>
        <w:ind w:firstLine="420" w:firstLineChars="200"/>
        <w:rPr>
          <w:rFonts w:ascii="宋体" w:hAnsi="宋体" w:eastAsia="宋体" w:cs="宋体"/>
          <w:szCs w:val="21"/>
        </w:rPr>
      </w:pPr>
      <w:r>
        <w:rPr>
          <w:rFonts w:hint="eastAsia" w:ascii="宋体" w:hAnsi="宋体" w:eastAsia="宋体" w:cs="宋体"/>
          <w:szCs w:val="21"/>
        </w:rPr>
        <w:t>（8）终止电梯维护保养时不得采用设置密码等方式干扰电梯后续的正常运行和安全使用。</w:t>
      </w:r>
    </w:p>
    <w:p w14:paraId="77373C7D">
      <w:pPr>
        <w:spacing w:line="360" w:lineRule="auto"/>
        <w:ind w:firstLine="420" w:firstLineChars="200"/>
        <w:rPr>
          <w:rFonts w:ascii="宋体" w:hAnsi="宋体" w:eastAsia="宋体" w:cs="宋体"/>
          <w:szCs w:val="21"/>
        </w:rPr>
      </w:pPr>
      <w:r>
        <w:rPr>
          <w:rFonts w:hint="eastAsia" w:ascii="宋体" w:hAnsi="宋体" w:eastAsia="宋体" w:cs="宋体"/>
          <w:szCs w:val="21"/>
        </w:rPr>
        <w:t>（9）提供必需的备品备件，满足使用过程中更换及时性的要求。</w:t>
      </w:r>
    </w:p>
    <w:p w14:paraId="1D188751">
      <w:pPr>
        <w:spacing w:line="360" w:lineRule="auto"/>
        <w:ind w:firstLine="420" w:firstLineChars="200"/>
        <w:rPr>
          <w:rFonts w:ascii="宋体" w:hAnsi="宋体" w:eastAsia="宋体" w:cs="宋体"/>
          <w:szCs w:val="21"/>
        </w:rPr>
      </w:pPr>
      <w:r>
        <w:rPr>
          <w:rFonts w:hint="eastAsia" w:ascii="宋体" w:hAnsi="宋体" w:eastAsia="宋体" w:cs="宋体"/>
          <w:szCs w:val="21"/>
        </w:rPr>
        <w:t>（10）在未经采购人许可的情况下不得将售后维保业务转包、分包。</w:t>
      </w:r>
    </w:p>
    <w:p w14:paraId="69DBA157">
      <w:pPr>
        <w:spacing w:line="360" w:lineRule="auto"/>
        <w:ind w:firstLine="420" w:firstLineChars="200"/>
        <w:rPr>
          <w:rFonts w:ascii="宋体" w:hAnsi="宋体" w:eastAsia="宋体" w:cs="宋体"/>
          <w:szCs w:val="21"/>
        </w:rPr>
      </w:pPr>
      <w:r>
        <w:rPr>
          <w:rFonts w:hint="eastAsia" w:ascii="宋体" w:hAnsi="宋体" w:eastAsia="宋体" w:cs="宋体"/>
          <w:szCs w:val="21"/>
        </w:rPr>
        <w:t>（九）交付期限</w:t>
      </w:r>
    </w:p>
    <w:p w14:paraId="7A7908D2">
      <w:pPr>
        <w:spacing w:line="360" w:lineRule="auto"/>
        <w:ind w:firstLine="420" w:firstLineChars="200"/>
        <w:rPr>
          <w:rFonts w:ascii="宋体" w:hAnsi="宋体" w:eastAsia="宋体" w:cs="宋体"/>
          <w:szCs w:val="21"/>
        </w:rPr>
      </w:pPr>
      <w:r>
        <w:rPr>
          <w:rFonts w:hint="eastAsia" w:ascii="宋体" w:hAnsi="宋体" w:eastAsia="宋体" w:cs="宋体"/>
          <w:szCs w:val="21"/>
        </w:rPr>
        <w:t>自采购人通知开工之日起60天内完成电梯生产并交货至指定工地现场；自采购人通知安装之日起60天内完成电梯安装及测试，并通过国家相关部门验收并取得合格文件。</w:t>
      </w:r>
    </w:p>
    <w:p w14:paraId="510BE44C">
      <w:pPr>
        <w:spacing w:line="360" w:lineRule="auto"/>
        <w:rPr>
          <w:rFonts w:ascii="宋体" w:hAnsi="宋体" w:eastAsia="宋体" w:cs="宋体"/>
          <w:szCs w:val="21"/>
        </w:rPr>
      </w:pPr>
    </w:p>
    <w:p w14:paraId="50422873">
      <w:pPr>
        <w:spacing w:line="360" w:lineRule="auto"/>
        <w:ind w:firstLine="420" w:firstLineChars="200"/>
        <w:rPr>
          <w:rFonts w:ascii="宋体" w:hAnsi="宋体" w:eastAsia="宋体" w:cs="宋体"/>
          <w:color w:val="FF0000"/>
          <w:szCs w:val="21"/>
        </w:rPr>
      </w:pPr>
      <w:bookmarkStart w:id="0" w:name="_Toc20695"/>
      <w:bookmarkStart w:id="1" w:name="_Toc17452"/>
      <w:r>
        <w:rPr>
          <w:rFonts w:hint="eastAsia" w:ascii="宋体" w:hAnsi="宋体" w:eastAsia="宋体" w:cs="宋体"/>
          <w:b/>
          <w:szCs w:val="21"/>
        </w:rPr>
        <w:t>七、施工界面划分</w:t>
      </w:r>
      <w:bookmarkEnd w:id="0"/>
      <w:bookmarkEnd w:id="1"/>
    </w:p>
    <w:p w14:paraId="1516B2C0">
      <w:pPr>
        <w:spacing w:line="360" w:lineRule="auto"/>
        <w:ind w:firstLine="420" w:firstLineChars="200"/>
        <w:rPr>
          <w:rFonts w:ascii="宋体" w:hAnsi="宋体" w:eastAsia="宋体" w:cs="宋体"/>
          <w:szCs w:val="21"/>
        </w:rPr>
      </w:pPr>
      <w:r>
        <w:rPr>
          <w:rFonts w:hint="eastAsia" w:ascii="宋体" w:hAnsi="宋体" w:eastAsia="宋体" w:cs="宋体"/>
          <w:szCs w:val="21"/>
        </w:rPr>
        <w:t>（一）电梯电源管线由施工总包施工至井道内电梯控制柜（箱），电梯控制柜（箱）出线的管路（或线槽）、电缆敷设、导线由中标供应商提供并安装。</w:t>
      </w:r>
    </w:p>
    <w:p w14:paraId="22D4239A">
      <w:pPr>
        <w:spacing w:line="360" w:lineRule="auto"/>
        <w:ind w:firstLine="420" w:firstLineChars="200"/>
        <w:rPr>
          <w:rFonts w:ascii="宋体" w:hAnsi="宋体" w:eastAsia="宋体" w:cs="宋体"/>
          <w:szCs w:val="21"/>
        </w:rPr>
      </w:pPr>
      <w:r>
        <w:rPr>
          <w:rFonts w:hint="eastAsia" w:ascii="宋体" w:hAnsi="宋体" w:eastAsia="宋体" w:cs="宋体"/>
          <w:szCs w:val="21"/>
        </w:rPr>
        <w:t>（二）中标供应商负责提供井道照明的材料及安装。</w:t>
      </w:r>
    </w:p>
    <w:p w14:paraId="3F669919">
      <w:pPr>
        <w:spacing w:line="360" w:lineRule="auto"/>
        <w:ind w:firstLine="420" w:firstLineChars="200"/>
        <w:rPr>
          <w:rFonts w:ascii="宋体" w:hAnsi="宋体" w:eastAsia="宋体" w:cs="宋体"/>
          <w:szCs w:val="21"/>
        </w:rPr>
      </w:pPr>
      <w:r>
        <w:rPr>
          <w:rFonts w:hint="eastAsia" w:ascii="宋体" w:hAnsi="宋体" w:eastAsia="宋体" w:cs="宋体"/>
          <w:szCs w:val="21"/>
        </w:rPr>
        <w:t>（三）电梯井道门洞口的防护栅栏由施工总包单位在土建施工时完成(厅门护栏的设置应符合中标供应商的安全要求),中标供应商进场后由中标供应商负责井道门洞口的安全维护。</w:t>
      </w:r>
    </w:p>
    <w:p w14:paraId="5E0C18DD">
      <w:pPr>
        <w:spacing w:line="360" w:lineRule="auto"/>
        <w:ind w:firstLine="420" w:firstLineChars="200"/>
        <w:rPr>
          <w:rFonts w:ascii="宋体" w:hAnsi="宋体" w:eastAsia="宋体" w:cs="宋体"/>
          <w:szCs w:val="21"/>
        </w:rPr>
      </w:pPr>
      <w:r>
        <w:rPr>
          <w:rFonts w:hint="eastAsia" w:ascii="宋体" w:hAnsi="宋体" w:eastAsia="宋体" w:cs="宋体"/>
          <w:szCs w:val="21"/>
        </w:rPr>
        <w:t>（四）施工总包单位负责为中标供应商提供每个楼层施工标高线，同时按中标供应商提供图纸预留电梯厅外按钮、到站显示灯等孔洞。</w:t>
      </w:r>
    </w:p>
    <w:p w14:paraId="1122CCC0">
      <w:pPr>
        <w:spacing w:line="360" w:lineRule="auto"/>
        <w:ind w:firstLine="420" w:firstLineChars="200"/>
        <w:rPr>
          <w:rFonts w:ascii="宋体" w:hAnsi="宋体" w:eastAsia="宋体" w:cs="宋体"/>
          <w:szCs w:val="21"/>
        </w:rPr>
      </w:pPr>
      <w:r>
        <w:rPr>
          <w:rFonts w:hint="eastAsia" w:ascii="宋体" w:hAnsi="宋体" w:eastAsia="宋体" w:cs="宋体"/>
          <w:szCs w:val="21"/>
        </w:rPr>
        <w:t>（五）施工总包单位为中标供应商提供临时场所并指定施工现场内的垃圾堆放点，中标供应商在临时场所搭建工具房并自行采用保护措施，负责自行施工过程中的建筑垃圾清理及外运。</w:t>
      </w:r>
    </w:p>
    <w:p w14:paraId="7F159BE4">
      <w:pPr>
        <w:spacing w:line="360" w:lineRule="auto"/>
        <w:ind w:firstLine="420" w:firstLineChars="200"/>
        <w:rPr>
          <w:rFonts w:ascii="宋体" w:hAnsi="宋体" w:eastAsia="宋体" w:cs="宋体"/>
          <w:szCs w:val="21"/>
        </w:rPr>
      </w:pPr>
      <w:r>
        <w:rPr>
          <w:rFonts w:hint="eastAsia" w:ascii="宋体" w:hAnsi="宋体" w:eastAsia="宋体" w:cs="宋体"/>
          <w:szCs w:val="21"/>
        </w:rPr>
        <w:t>（六）电梯井道施工用脚手架由中标供应商自行负责提供及安装。</w:t>
      </w:r>
    </w:p>
    <w:p w14:paraId="7B0A783B">
      <w:pPr>
        <w:spacing w:line="360" w:lineRule="auto"/>
        <w:ind w:firstLine="420" w:firstLineChars="200"/>
        <w:rPr>
          <w:rFonts w:ascii="宋体" w:hAnsi="宋体" w:eastAsia="宋体" w:cs="宋体"/>
          <w:szCs w:val="21"/>
        </w:rPr>
      </w:pPr>
      <w:r>
        <w:rPr>
          <w:rFonts w:hint="eastAsia" w:ascii="宋体" w:hAnsi="宋体" w:eastAsia="宋体" w:cs="宋体"/>
          <w:szCs w:val="21"/>
        </w:rPr>
        <w:t>（七）施工总包提供中标供应商施工用水用电到指定地点，中标供应商需支付施工水电费用，水电接驳点至电梯井部分电线及水管由中标供应商负责，且用水用电满足现场施工要求。</w:t>
      </w:r>
    </w:p>
    <w:p w14:paraId="5BB359C1">
      <w:pPr>
        <w:spacing w:line="360" w:lineRule="auto"/>
        <w:ind w:firstLine="420" w:firstLineChars="200"/>
        <w:rPr>
          <w:rFonts w:ascii="宋体" w:hAnsi="宋体" w:eastAsia="宋体" w:cs="宋体"/>
          <w:szCs w:val="21"/>
        </w:rPr>
      </w:pPr>
      <w:r>
        <w:rPr>
          <w:rFonts w:hint="eastAsia" w:ascii="宋体" w:hAnsi="宋体" w:eastAsia="宋体" w:cs="宋体"/>
          <w:szCs w:val="21"/>
        </w:rPr>
        <w:t>（八）电梯调试期间，施工总包提供二级电箱并接线至电梯机房，以满足调试电源所需的独立电源。中标供应商承担调试、转换用电费用。</w:t>
      </w:r>
    </w:p>
    <w:p w14:paraId="0A8737BA">
      <w:pPr>
        <w:spacing w:line="360" w:lineRule="auto"/>
        <w:ind w:firstLine="420" w:firstLineChars="200"/>
        <w:rPr>
          <w:rFonts w:ascii="宋体" w:hAnsi="宋体" w:eastAsia="宋体" w:cs="宋体"/>
          <w:szCs w:val="21"/>
        </w:rPr>
      </w:pPr>
      <w:r>
        <w:rPr>
          <w:rFonts w:hint="eastAsia" w:ascii="宋体" w:hAnsi="宋体" w:eastAsia="宋体" w:cs="宋体"/>
          <w:szCs w:val="21"/>
        </w:rPr>
        <w:t>（九）电梯井道至轿箱顶部的管线由中标供应商提供并安装；中央监控室至电梯井道管线由施工总包提供并安装。</w:t>
      </w:r>
    </w:p>
    <w:p w14:paraId="0071A2A8">
      <w:pPr>
        <w:spacing w:line="360" w:lineRule="auto"/>
        <w:ind w:firstLine="420" w:firstLineChars="200"/>
        <w:rPr>
          <w:rFonts w:ascii="宋体" w:hAnsi="宋体" w:eastAsia="宋体" w:cs="宋体"/>
          <w:szCs w:val="21"/>
        </w:rPr>
      </w:pPr>
      <w:r>
        <w:rPr>
          <w:rFonts w:hint="eastAsia" w:ascii="宋体" w:hAnsi="宋体" w:eastAsia="宋体" w:cs="宋体"/>
          <w:szCs w:val="21"/>
        </w:rPr>
        <w:t>（十）中央监控室五方对讲主机、机房至电梯轿箱内的五方通话管线，及轿顶、轿内、底坑对讲机由中标供应商提供并安装；中央监控室至电梯井道五方对讲管线由施工总包提供并安装。</w:t>
      </w:r>
    </w:p>
    <w:p w14:paraId="2279B078">
      <w:pPr>
        <w:spacing w:line="360" w:lineRule="auto"/>
        <w:ind w:firstLine="420" w:firstLineChars="200"/>
        <w:rPr>
          <w:rFonts w:ascii="宋体" w:hAnsi="宋体" w:eastAsia="宋体" w:cs="宋体"/>
          <w:color w:val="FF0000"/>
          <w:szCs w:val="21"/>
        </w:rPr>
      </w:pPr>
      <w:r>
        <w:rPr>
          <w:rFonts w:hint="eastAsia" w:ascii="宋体" w:hAnsi="宋体" w:eastAsia="宋体" w:cs="宋体"/>
          <w:szCs w:val="21"/>
        </w:rPr>
        <w:t>（十一）中标供应商与施工总包的配合协调费和现场与土建相关的施工、修补、完善费</w:t>
      </w:r>
      <w:r>
        <w:rPr>
          <w:rFonts w:hint="eastAsia" w:ascii="宋体" w:hAnsi="宋体" w:eastAsia="宋体" w:cs="宋体"/>
          <w:color w:val="auto"/>
          <w:szCs w:val="21"/>
        </w:rPr>
        <w:t>用，</w:t>
      </w:r>
      <w:r>
        <w:rPr>
          <w:rFonts w:hint="eastAsia" w:ascii="宋体" w:hAnsi="宋体" w:eastAsia="宋体" w:cs="宋体"/>
          <w:b/>
          <w:color w:val="auto"/>
          <w:szCs w:val="21"/>
        </w:rPr>
        <w:t>按照安装工程费3%计取</w:t>
      </w:r>
      <w:r>
        <w:rPr>
          <w:rFonts w:hint="eastAsia" w:ascii="宋体" w:hAnsi="宋体" w:eastAsia="宋体" w:cs="宋体"/>
          <w:color w:val="auto"/>
          <w:szCs w:val="21"/>
        </w:rPr>
        <w:t>，纳入投标总价，由中标供应商支付给施工总包。</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Lucida Sans">
    <w:altName w:val="Noto Sans"/>
    <w:panose1 w:val="020B0602030504020204"/>
    <w:charset w:val="00"/>
    <w:family w:val="swiss"/>
    <w:pitch w:val="default"/>
    <w:sig w:usb0="00000000" w:usb1="00000000" w:usb2="00000000" w:usb3="00000000" w:csb0="00000001" w:csb1="00000000"/>
  </w:font>
  <w:font w:name="Noto Sans">
    <w:panose1 w:val="020B0502040504020204"/>
    <w:charset w:val="00"/>
    <w:family w:val="auto"/>
    <w:pitch w:val="default"/>
    <w:sig w:usb0="E00002FF" w:usb1="4000201F" w:usb2="08000029" w:usb3="00100000" w:csb0="0000019F" w:csb1="00000000"/>
  </w:font>
  <w:font w:name="DengXian">
    <w:altName w:val="方正小标宋简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兰亭黑_GBK">
    <w:altName w:val="Noto Sans CJK SC"/>
    <w:panose1 w:val="020B0604020202020204"/>
    <w:charset w:val="86"/>
    <w:family w:val="script"/>
    <w:pitch w:val="default"/>
    <w:sig w:usb0="00000000" w:usb1="00000000" w:usb2="00080016" w:usb3="00000000" w:csb0="00040001" w:csb1="00000000"/>
  </w:font>
  <w:font w:name="Noto Sans CJK SC">
    <w:panose1 w:val="020B0500000000000000"/>
    <w:charset w:val="86"/>
    <w:family w:val="auto"/>
    <w:pitch w:val="default"/>
    <w:sig w:usb0="30000083" w:usb1="2BDF3C10" w:usb2="00000016" w:usb3="00000000" w:csb0="602E0107" w:csb1="00000000"/>
  </w:font>
  <w:font w:name="CESI黑体-GB13000">
    <w:panose1 w:val="02000500000000000000"/>
    <w:charset w:val="86"/>
    <w:family w:val="auto"/>
    <w:pitch w:val="default"/>
    <w:sig w:usb0="800002BF" w:usb1="38CF7CF8"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1726216">
        <w:pPr>
          <w:pStyle w:val="7"/>
          <w:jc w:val="center"/>
        </w:pPr>
        <w:r>
          <w:fldChar w:fldCharType="begin"/>
        </w:r>
        <w:r>
          <w:instrText xml:space="preserve"> PAGE   \* MERGEFORMAT </w:instrText>
        </w:r>
        <w:r>
          <w:fldChar w:fldCharType="separate"/>
        </w:r>
        <w:r>
          <w:rPr>
            <w:lang w:val="zh-CN"/>
          </w:rPr>
          <w:t>1</w:t>
        </w:r>
        <w:r>
          <w:fldChar w:fldCharType="end"/>
        </w:r>
      </w:p>
    </w:sdtContent>
  </w:sdt>
  <w:p w14:paraId="3C29B9EA">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4YmIxNzI4ZGQ3ZWQ1ZDA0YzA0YjM3YjI4NzdkMWUifQ=="/>
  </w:docVars>
  <w:rsids>
    <w:rsidRoot w:val="0064245B"/>
    <w:rsid w:val="0016004C"/>
    <w:rsid w:val="00295C4B"/>
    <w:rsid w:val="002C3842"/>
    <w:rsid w:val="00350D65"/>
    <w:rsid w:val="003A731F"/>
    <w:rsid w:val="0064245B"/>
    <w:rsid w:val="006934B1"/>
    <w:rsid w:val="007018BC"/>
    <w:rsid w:val="00762C54"/>
    <w:rsid w:val="007C7A72"/>
    <w:rsid w:val="00802260"/>
    <w:rsid w:val="009055E5"/>
    <w:rsid w:val="009420EA"/>
    <w:rsid w:val="00AB5334"/>
    <w:rsid w:val="00BF0444"/>
    <w:rsid w:val="00C77908"/>
    <w:rsid w:val="00C9553C"/>
    <w:rsid w:val="00D47BFC"/>
    <w:rsid w:val="00DC1DAA"/>
    <w:rsid w:val="00DE7442"/>
    <w:rsid w:val="00E30F34"/>
    <w:rsid w:val="00EF6253"/>
    <w:rsid w:val="00F14095"/>
    <w:rsid w:val="10FFD3E2"/>
    <w:rsid w:val="1A575719"/>
    <w:rsid w:val="1CFBD3D5"/>
    <w:rsid w:val="288A5C59"/>
    <w:rsid w:val="3DFF0145"/>
    <w:rsid w:val="49902B2E"/>
    <w:rsid w:val="540120F8"/>
    <w:rsid w:val="5FA76440"/>
    <w:rsid w:val="6BEE93AA"/>
    <w:rsid w:val="7BCD0401"/>
    <w:rsid w:val="7D777C0B"/>
    <w:rsid w:val="7FFB0631"/>
    <w:rsid w:val="A77F8E80"/>
    <w:rsid w:val="BD272623"/>
    <w:rsid w:val="D77B49A9"/>
    <w:rsid w:val="DEFD2374"/>
    <w:rsid w:val="EFF35D11"/>
    <w:rsid w:val="FFBF937E"/>
    <w:rsid w:val="FFCB9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DengXian" w:hAnsi="Times New Roman" w:eastAsia="DengXian"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alloon Text"/>
    <w:basedOn w:val="1"/>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autoRedefine/>
    <w:qFormat/>
    <w:uiPriority w:val="0"/>
    <w:rPr>
      <w:b/>
      <w:bCs/>
    </w:rPr>
  </w:style>
  <w:style w:type="character" w:styleId="12">
    <w:name w:val="annotation reference"/>
    <w:basedOn w:val="11"/>
    <w:autoRedefine/>
    <w:qFormat/>
    <w:uiPriority w:val="0"/>
    <w:rPr>
      <w:sz w:val="21"/>
      <w:szCs w:val="21"/>
    </w:rPr>
  </w:style>
  <w:style w:type="paragraph" w:customStyle="1" w:styleId="13">
    <w:name w:val="Revision"/>
    <w:hidden/>
    <w:unhideWhenUsed/>
    <w:qFormat/>
    <w:uiPriority w:val="99"/>
    <w:rPr>
      <w:rFonts w:ascii="DengXian" w:hAnsi="Times New Roman" w:eastAsia="DengXian" w:cs="Arial"/>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CBF4B495-F3B3-4F28-8F21-4F2F71605336}">
  <ds:schemaRefs/>
</ds:datastoreItem>
</file>

<file path=customXml/itemProps2.xml><?xml version="1.0" encoding="utf-8"?>
<ds:datastoreItem xmlns:ds="http://schemas.openxmlformats.org/officeDocument/2006/customXml" ds:itemID="{D9D6E088-AB28-4FA6-B41C-B99B8905EA8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650</Words>
  <Characters>3705</Characters>
  <Lines>30</Lines>
  <Paragraphs>8</Paragraphs>
  <TotalTime>18</TotalTime>
  <ScaleCrop>false</ScaleCrop>
  <LinksUpToDate>false</LinksUpToDate>
  <CharactersWithSpaces>4347</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2024-03-18T07:49:00Z</dcterms:created>
  <dc:creator>张敏捷</dc:creator>
  <cp:lastModifiedBy>李修辞</cp:lastModifiedBy>
  <dcterms:modified xsi:type="dcterms:W3CDTF">2026-06-22T14:23:45Z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4924AEC83D40450A82FFDADCE2768EB6_13</vt:lpwstr>
  </property>
</Properties>
</file>