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w:t>
      </w:r>
      <w:r>
        <w:rPr>
          <w:rFonts w:ascii="黑体" w:hAnsi="黑体" w:eastAsia="黑体"/>
          <w:sz w:val="36"/>
          <w:szCs w:val="36"/>
        </w:rPr>
        <w:t>杭州湾地区空间协同规划</w:t>
      </w:r>
      <w:r>
        <w:rPr>
          <w:rFonts w:hint="eastAsia" w:ascii="黑体" w:hAnsi="黑体" w:eastAsia="黑体"/>
          <w:sz w:val="36"/>
          <w:szCs w:val="36"/>
        </w:rPr>
        <w:t>》采购需求</w:t>
      </w:r>
    </w:p>
    <w:p>
      <w:pPr>
        <w:jc w:val="center"/>
        <w:rPr>
          <w:rFonts w:ascii="黑体" w:hAnsi="黑体" w:eastAsia="黑体"/>
          <w:sz w:val="36"/>
          <w:szCs w:val="36"/>
        </w:rPr>
      </w:pPr>
    </w:p>
    <w:p>
      <w:pPr>
        <w:ind w:firstLine="560" w:firstLineChars="200"/>
        <w:rPr>
          <w:rFonts w:ascii="黑体" w:hAnsi="黑体" w:eastAsia="黑体"/>
          <w:sz w:val="36"/>
          <w:szCs w:val="36"/>
        </w:rPr>
      </w:pPr>
      <w:r>
        <w:rPr>
          <w:rFonts w:hint="eastAsia" w:ascii="黑体" w:hAnsi="黑体" w:eastAsia="黑体"/>
          <w:sz w:val="28"/>
          <w:szCs w:val="28"/>
        </w:rPr>
        <w:t>一、工作背景</w:t>
      </w:r>
    </w:p>
    <w:p>
      <w:pPr>
        <w:spacing w:line="360" w:lineRule="auto"/>
        <w:ind w:firstLine="600" w:firstLineChars="200"/>
        <w:jc w:val="both"/>
        <w:rPr>
          <w:rFonts w:ascii="仿宋_GB2312" w:hAnsi="仿宋" w:eastAsia="仿宋_GB2312"/>
          <w:sz w:val="30"/>
          <w:szCs w:val="30"/>
        </w:rPr>
      </w:pPr>
      <w:r>
        <w:rPr>
          <w:rFonts w:ascii="仿宋_GB2312" w:hAnsi="仿宋" w:eastAsia="仿宋_GB2312"/>
          <w:sz w:val="30"/>
          <w:szCs w:val="30"/>
        </w:rPr>
        <w:t>深入落实长三角一体化发展国家战略，紧扣上海“五个中心”建设核心使命，全面贯彻十二届市委历次全会精神</w:t>
      </w:r>
      <w:r>
        <w:rPr>
          <w:rFonts w:hint="eastAsia" w:ascii="仿宋_GB2312" w:hAnsi="仿宋" w:eastAsia="仿宋_GB2312"/>
          <w:sz w:val="30"/>
          <w:szCs w:val="30"/>
        </w:rPr>
        <w:t>，</w:t>
      </w:r>
      <w:r>
        <w:rPr>
          <w:rFonts w:ascii="仿宋_GB2312" w:hAnsi="仿宋" w:eastAsia="仿宋_GB2312"/>
          <w:sz w:val="30"/>
          <w:szCs w:val="30"/>
        </w:rPr>
        <w:t>立足上海大都市圈协同发展格局，衔接《长三角国土空间规划</w:t>
      </w:r>
      <w:r>
        <w:rPr>
          <w:rFonts w:hint="eastAsia" w:ascii="仿宋_GB2312" w:hAnsi="仿宋" w:eastAsia="仿宋_GB2312"/>
          <w:sz w:val="30"/>
          <w:szCs w:val="30"/>
        </w:rPr>
        <w:t>（</w:t>
      </w:r>
      <w:r>
        <w:rPr>
          <w:rFonts w:hint="eastAsia" w:ascii="Times New Roman" w:hAnsi="Times New Roman" w:eastAsia="仿宋_GB2312" w:cs="Times New Roman"/>
          <w:sz w:val="30"/>
          <w:szCs w:val="30"/>
        </w:rPr>
        <w:t>2023</w:t>
      </w:r>
      <w:r>
        <w:rPr>
          <w:rFonts w:hint="eastAsia" w:ascii="仿宋_GB2312" w:hAnsi="仿宋" w:eastAsia="仿宋_GB2312"/>
          <w:sz w:val="30"/>
          <w:szCs w:val="30"/>
        </w:rPr>
        <w:t>—</w:t>
      </w:r>
      <w:r>
        <w:rPr>
          <w:rFonts w:ascii="Times New Roman" w:hAnsi="Times New Roman" w:eastAsia="仿宋_GB2312" w:cs="Times New Roman"/>
          <w:sz w:val="30"/>
          <w:szCs w:val="30"/>
        </w:rPr>
        <w:t>2035</w:t>
      </w:r>
      <w:r>
        <w:rPr>
          <w:rFonts w:hint="eastAsia" w:ascii="仿宋_GB2312" w:hAnsi="仿宋" w:eastAsia="仿宋_GB2312"/>
          <w:sz w:val="30"/>
          <w:szCs w:val="30"/>
        </w:rPr>
        <w:t>年）</w:t>
      </w:r>
      <w:r>
        <w:rPr>
          <w:rFonts w:ascii="仿宋_GB2312" w:hAnsi="仿宋" w:eastAsia="仿宋_GB2312"/>
          <w:sz w:val="30"/>
          <w:szCs w:val="30"/>
        </w:rPr>
        <w:t>》，充分发挥上海在杭州湾</w:t>
      </w:r>
      <w:r>
        <w:rPr>
          <w:rFonts w:hint="eastAsia" w:ascii="仿宋_GB2312" w:hAnsi="仿宋" w:eastAsia="仿宋_GB2312"/>
          <w:sz w:val="30"/>
          <w:szCs w:val="30"/>
        </w:rPr>
        <w:t>地区</w:t>
      </w:r>
      <w:r>
        <w:rPr>
          <w:rFonts w:ascii="仿宋_GB2312" w:hAnsi="仿宋" w:eastAsia="仿宋_GB2312"/>
          <w:sz w:val="30"/>
          <w:szCs w:val="30"/>
        </w:rPr>
        <w:t>的龙头辐射作用与资源配置能力。聚焦沿海沿湾</w:t>
      </w:r>
      <w:r>
        <w:rPr>
          <w:rFonts w:hint="eastAsia" w:ascii="仿宋_GB2312" w:hAnsi="仿宋" w:eastAsia="仿宋_GB2312"/>
          <w:sz w:val="30"/>
          <w:szCs w:val="30"/>
        </w:rPr>
        <w:t>地区</w:t>
      </w:r>
      <w:r>
        <w:rPr>
          <w:rFonts w:ascii="仿宋_GB2312" w:hAnsi="仿宋" w:eastAsia="仿宋_GB2312"/>
          <w:sz w:val="30"/>
          <w:szCs w:val="30"/>
        </w:rPr>
        <w:t>协同</w:t>
      </w:r>
      <w:r>
        <w:rPr>
          <w:rFonts w:hint="eastAsia" w:ascii="仿宋_GB2312" w:hAnsi="仿宋" w:eastAsia="仿宋_GB2312"/>
          <w:sz w:val="30"/>
          <w:szCs w:val="30"/>
        </w:rPr>
        <w:t>发展</w:t>
      </w:r>
      <w:r>
        <w:rPr>
          <w:rFonts w:ascii="仿宋_GB2312" w:hAnsi="仿宋" w:eastAsia="仿宋_GB2312"/>
          <w:sz w:val="30"/>
          <w:szCs w:val="30"/>
        </w:rPr>
        <w:t>，着力强化上海南部枢纽功能，破解跨界地区空间阻隔与功能同质化问题，推动创新链产业链深度融合、基础设施互联互通及生态岸线共保联治。</w:t>
      </w:r>
    </w:p>
    <w:p>
      <w:pPr>
        <w:spacing w:line="500" w:lineRule="exact"/>
        <w:ind w:firstLine="560" w:firstLineChars="200"/>
        <w:rPr>
          <w:rFonts w:ascii="黑体" w:hAnsi="黑体" w:eastAsia="黑体"/>
          <w:sz w:val="28"/>
          <w:szCs w:val="28"/>
        </w:rPr>
      </w:pPr>
      <w:r>
        <w:rPr>
          <w:rFonts w:hint="eastAsia" w:ascii="黑体" w:hAnsi="黑体" w:eastAsia="黑体"/>
          <w:sz w:val="28"/>
          <w:szCs w:val="28"/>
        </w:rPr>
        <w:t>二、工作内容</w:t>
      </w:r>
    </w:p>
    <w:p>
      <w:pPr>
        <w:spacing w:line="360" w:lineRule="auto"/>
        <w:ind w:firstLine="600" w:firstLineChars="200"/>
        <w:jc w:val="both"/>
        <w:rPr>
          <w:rFonts w:ascii="仿宋_GB2312" w:hAnsi="仿宋" w:eastAsia="仿宋_GB2312"/>
          <w:sz w:val="30"/>
          <w:szCs w:val="30"/>
        </w:rPr>
      </w:pPr>
      <w:r>
        <w:rPr>
          <w:rFonts w:ascii="仿宋_GB2312" w:hAnsi="仿宋" w:eastAsia="仿宋_GB2312"/>
          <w:sz w:val="30"/>
          <w:szCs w:val="30"/>
        </w:rPr>
        <w:t>按照《上海大都市圈国土空间规划》中明确“</w:t>
      </w:r>
      <w:r>
        <w:rPr>
          <w:rFonts w:hint="eastAsia" w:ascii="仿宋_GB2312" w:hAnsi="仿宋" w:eastAsia="仿宋_GB2312"/>
          <w:sz w:val="30"/>
          <w:szCs w:val="30"/>
        </w:rPr>
        <w:t>‘</w:t>
      </w:r>
      <w:r>
        <w:rPr>
          <w:rFonts w:ascii="仿宋_GB2312" w:hAnsi="仿宋" w:eastAsia="仿宋_GB2312"/>
          <w:sz w:val="30"/>
          <w:szCs w:val="30"/>
        </w:rPr>
        <w:t>构建一核四翼战略空间格局</w:t>
      </w:r>
      <w:r>
        <w:rPr>
          <w:rFonts w:hint="eastAsia" w:ascii="仿宋_GB2312" w:hAnsi="仿宋" w:eastAsia="仿宋_GB2312"/>
          <w:sz w:val="30"/>
          <w:szCs w:val="30"/>
        </w:rPr>
        <w:t>’</w:t>
      </w:r>
      <w:r>
        <w:rPr>
          <w:rFonts w:ascii="仿宋_GB2312" w:hAnsi="仿宋" w:eastAsia="仿宋_GB2312"/>
          <w:sz w:val="30"/>
          <w:szCs w:val="30"/>
        </w:rPr>
        <w:t>，上海、杭州、宁波、湖州、嘉兴、绍兴、舟山围绕大都市圈南翼杭州湾地区，优化高水平开放设施与平台布局，打造杭州湾世界级开放湾区”的相关内容，本次规划实施范围即杭州湾地区规划范围包括：上海市和浙江省杭州、宁波、湖州、嘉兴、绍兴、舟山七市行政区范围</w:t>
      </w:r>
      <w:r>
        <w:rPr>
          <w:rFonts w:hint="eastAsia" w:ascii="仿宋_GB2312" w:hAnsi="仿宋" w:eastAsia="仿宋_GB2312"/>
          <w:sz w:val="30"/>
          <w:szCs w:val="30"/>
        </w:rPr>
        <w:t>。</w:t>
      </w:r>
    </w:p>
    <w:p>
      <w:pPr>
        <w:spacing w:line="360" w:lineRule="auto"/>
        <w:ind w:firstLine="600" w:firstLineChars="200"/>
        <w:jc w:val="both"/>
        <w:rPr>
          <w:rFonts w:ascii="仿宋_GB2312" w:hAnsi="仿宋" w:eastAsia="仿宋_GB2312"/>
          <w:sz w:val="30"/>
          <w:szCs w:val="30"/>
        </w:rPr>
      </w:pPr>
      <w:r>
        <w:rPr>
          <w:rFonts w:ascii="仿宋_GB2312" w:hAnsi="仿宋" w:eastAsia="仿宋_GB2312"/>
          <w:sz w:val="30"/>
          <w:szCs w:val="30"/>
        </w:rPr>
        <w:t>本次规划编制工作以推动湾区经济发展，优化空间布局为核心目标，系统开展杭州湾地区港口、城镇、产业、交通等空间结构的优化与整合研究，推动区域空间和功能布局的统筹优化提升。同时将重点围绕区域一体化发展的关键问题展开深入研究，如适应新兴产业发展空间布局、区域内重要生态功能区一体化保护修复等，同时强化区域重大行动项目的空间保障和实施路径探索。项目将通过系统的调研、分析与论证，强化与《上海大都市圈国土空间规划》的传导协同。</w:t>
      </w:r>
      <w:r>
        <w:rPr>
          <w:rFonts w:hint="eastAsia" w:ascii="仿宋_GB2312" w:hAnsi="仿宋" w:eastAsia="仿宋_GB2312"/>
          <w:sz w:val="30"/>
          <w:szCs w:val="30"/>
        </w:rPr>
        <w:t>具体内容包括：</w:t>
      </w:r>
    </w:p>
    <w:p>
      <w:pPr>
        <w:spacing w:after="0" w:line="360" w:lineRule="auto"/>
        <w:jc w:val="center"/>
        <w:rPr>
          <w:rFonts w:ascii="仿宋_GB2312" w:hAnsi="仿宋" w:eastAsia="仿宋_GB2312"/>
          <w:sz w:val="30"/>
          <w:szCs w:val="30"/>
        </w:rPr>
      </w:pPr>
      <w:r>
        <w:drawing>
          <wp:inline distT="0" distB="0" distL="0" distR="0">
            <wp:extent cx="3790950" cy="4666615"/>
            <wp:effectExtent l="0" t="0" r="0" b="635"/>
            <wp:docPr id="89807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73179" name="图片 1"/>
                    <pic:cNvPicPr>
                      <a:picLocks noChangeAspect="1"/>
                    </pic:cNvPicPr>
                  </pic:nvPicPr>
                  <pic:blipFill>
                    <a:blip r:embed="rId6"/>
                    <a:stretch>
                      <a:fillRect/>
                    </a:stretch>
                  </pic:blipFill>
                  <pic:spPr>
                    <a:xfrm>
                      <a:off x="0" y="0"/>
                      <a:ext cx="3794718" cy="4671441"/>
                    </a:xfrm>
                    <a:prstGeom prst="rect">
                      <a:avLst/>
                    </a:prstGeom>
                  </pic:spPr>
                </pic:pic>
              </a:graphicData>
            </a:graphic>
          </wp:inline>
        </w:drawing>
      </w:r>
    </w:p>
    <w:p>
      <w:pPr>
        <w:spacing w:line="360" w:lineRule="auto"/>
        <w:jc w:val="center"/>
        <w:rPr>
          <w:rFonts w:ascii="仿宋_GB2312" w:hAnsi="仿宋" w:eastAsia="仿宋_GB2312"/>
          <w:sz w:val="21"/>
          <w:szCs w:val="21"/>
        </w:rPr>
      </w:pPr>
      <w:r>
        <w:rPr>
          <w:rFonts w:hint="eastAsia" w:ascii="仿宋_GB2312" w:hAnsi="仿宋" w:eastAsia="仿宋_GB2312"/>
          <w:sz w:val="21"/>
          <w:szCs w:val="21"/>
        </w:rPr>
        <w:t>《</w:t>
      </w:r>
      <w:r>
        <w:rPr>
          <w:rFonts w:ascii="仿宋_GB2312" w:hAnsi="仿宋" w:eastAsia="仿宋_GB2312"/>
          <w:sz w:val="21"/>
          <w:szCs w:val="21"/>
        </w:rPr>
        <w:t>上海大都市圈国土空间规划</w:t>
      </w:r>
      <w:r>
        <w:rPr>
          <w:rFonts w:hint="eastAsia" w:ascii="仿宋_GB2312" w:hAnsi="仿宋" w:eastAsia="仿宋_GB2312"/>
          <w:sz w:val="21"/>
          <w:szCs w:val="21"/>
        </w:rPr>
        <w:t>》</w:t>
      </w:r>
      <w:r>
        <w:rPr>
          <w:rFonts w:ascii="仿宋_GB2312" w:hAnsi="仿宋" w:eastAsia="仿宋_GB2312"/>
          <w:sz w:val="21"/>
          <w:szCs w:val="21"/>
        </w:rPr>
        <w:t>战略空间格局示意图</w:t>
      </w:r>
    </w:p>
    <w:p>
      <w:pPr>
        <w:spacing w:line="360" w:lineRule="auto"/>
        <w:ind w:firstLine="602" w:firstLineChars="200"/>
        <w:jc w:val="both"/>
        <w:rPr>
          <w:rFonts w:ascii="仿宋_GB2312" w:hAnsi="仿宋" w:eastAsia="仿宋_GB2312"/>
          <w:sz w:val="30"/>
          <w:szCs w:val="30"/>
        </w:rPr>
      </w:pPr>
      <w:r>
        <w:rPr>
          <w:rFonts w:ascii="Times New Roman" w:hAnsi="Times New Roman" w:eastAsia="仿宋_GB2312" w:cs="Times New Roman"/>
          <w:b/>
          <w:bCs/>
          <w:sz w:val="30"/>
          <w:szCs w:val="30"/>
        </w:rPr>
        <w:t>1</w:t>
      </w:r>
      <w:r>
        <w:rPr>
          <w:rFonts w:hint="eastAsia" w:ascii="仿宋_GB2312" w:hAnsi="仿宋" w:eastAsia="仿宋_GB2312"/>
          <w:b/>
          <w:bCs/>
          <w:sz w:val="30"/>
          <w:szCs w:val="30"/>
        </w:rPr>
        <w:t>、开展现状分析与问题识别工作。</w:t>
      </w:r>
      <w:r>
        <w:rPr>
          <w:rFonts w:hint="eastAsia" w:ascii="仿宋_GB2312" w:hAnsi="仿宋" w:eastAsia="仿宋_GB2312"/>
          <w:sz w:val="30"/>
          <w:szCs w:val="30"/>
        </w:rPr>
        <w:t>对杭州湾地区经济发展状况、城镇空间布局、自然资源禀赋、生态环境基底、产业结构布局、基础设施布局等关键要素的深入调查，精准识别区域整体发展的优势条件、关键短板和核心问题，为规划编制提供扎实依据。</w:t>
      </w:r>
    </w:p>
    <w:p>
      <w:pPr>
        <w:spacing w:line="360" w:lineRule="auto"/>
        <w:ind w:firstLine="602" w:firstLineChars="200"/>
        <w:jc w:val="both"/>
        <w:rPr>
          <w:rFonts w:ascii="仿宋_GB2312" w:hAnsi="仿宋" w:eastAsia="仿宋_GB2312"/>
          <w:sz w:val="30"/>
          <w:szCs w:val="30"/>
        </w:rPr>
      </w:pPr>
      <w:r>
        <w:rPr>
          <w:rFonts w:ascii="仿宋_GB2312" w:hAnsi="仿宋" w:eastAsia="仿宋_GB2312"/>
          <w:b/>
          <w:bCs/>
          <w:sz w:val="30"/>
          <w:szCs w:val="30"/>
        </w:rPr>
        <w:t>2、国际湾区发展研究。</w:t>
      </w:r>
      <w:r>
        <w:rPr>
          <w:rFonts w:hint="eastAsia" w:ascii="仿宋_GB2312" w:hAnsi="仿宋" w:eastAsia="仿宋_GB2312"/>
          <w:sz w:val="30"/>
          <w:szCs w:val="30"/>
        </w:rPr>
        <w:t>针对当前影响力较高的国际湾区，包括东京湾、纽约湾等开展研究，探索湾区经济发展模式、生态保护措施、科创及产业协同发展路径等，为杭州湾地区空间协同发展策略提供国际经验。</w:t>
      </w:r>
    </w:p>
    <w:p>
      <w:pPr>
        <w:spacing w:after="0" w:line="360" w:lineRule="auto"/>
        <w:jc w:val="center"/>
        <w:rPr>
          <w:rFonts w:ascii="仿宋_GB2312" w:hAnsi="仿宋" w:eastAsia="仿宋_GB2312"/>
          <w:sz w:val="30"/>
          <w:szCs w:val="30"/>
        </w:rPr>
      </w:pPr>
      <w:r>
        <w:drawing>
          <wp:inline distT="0" distB="0" distL="0" distR="0">
            <wp:extent cx="1948180" cy="2122805"/>
            <wp:effectExtent l="0" t="0" r="0" b="0"/>
            <wp:docPr id="1839794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4456" name="图片 1"/>
                    <pic:cNvPicPr>
                      <a:picLocks noChangeAspect="1"/>
                    </pic:cNvPicPr>
                  </pic:nvPicPr>
                  <pic:blipFill>
                    <a:blip r:embed="rId7"/>
                    <a:stretch>
                      <a:fillRect/>
                    </a:stretch>
                  </pic:blipFill>
                  <pic:spPr>
                    <a:xfrm>
                      <a:off x="0" y="0"/>
                      <a:ext cx="1953028" cy="2128438"/>
                    </a:xfrm>
                    <a:prstGeom prst="rect">
                      <a:avLst/>
                    </a:prstGeom>
                  </pic:spPr>
                </pic:pic>
              </a:graphicData>
            </a:graphic>
          </wp:inline>
        </w:drawing>
      </w:r>
      <w:r>
        <w:drawing>
          <wp:inline distT="0" distB="0" distL="0" distR="0">
            <wp:extent cx="2921635" cy="2120265"/>
            <wp:effectExtent l="0" t="0" r="0" b="0"/>
            <wp:docPr id="158296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6487" name="图片 1"/>
                    <pic:cNvPicPr>
                      <a:picLocks noChangeAspect="1"/>
                    </pic:cNvPicPr>
                  </pic:nvPicPr>
                  <pic:blipFill>
                    <a:blip r:embed="rId8"/>
                    <a:srcRect l="-3657"/>
                    <a:stretch>
                      <a:fillRect/>
                    </a:stretch>
                  </pic:blipFill>
                  <pic:spPr>
                    <a:xfrm>
                      <a:off x="0" y="0"/>
                      <a:ext cx="2925172" cy="2122425"/>
                    </a:xfrm>
                    <a:prstGeom prst="rect">
                      <a:avLst/>
                    </a:prstGeom>
                    <a:ln>
                      <a:noFill/>
                    </a:ln>
                  </pic:spPr>
                </pic:pic>
              </a:graphicData>
            </a:graphic>
          </wp:inline>
        </w:drawing>
      </w:r>
    </w:p>
    <w:p>
      <w:pPr>
        <w:spacing w:line="360" w:lineRule="auto"/>
        <w:ind w:firstLine="1050" w:firstLineChars="500"/>
        <w:rPr>
          <w:rFonts w:ascii="仿宋_GB2312" w:hAnsi="仿宋" w:eastAsia="仿宋_GB2312"/>
          <w:sz w:val="21"/>
          <w:szCs w:val="21"/>
        </w:rPr>
      </w:pPr>
      <w:r>
        <w:rPr>
          <w:rFonts w:hint="eastAsia" w:ascii="仿宋_GB2312" w:hAnsi="仿宋" w:eastAsia="仿宋_GB2312"/>
          <w:sz w:val="21"/>
          <w:szCs w:val="21"/>
        </w:rPr>
        <w:t>东京湾区位示意图                      纽约湾区位示意图</w:t>
      </w:r>
    </w:p>
    <w:p>
      <w:pPr>
        <w:spacing w:line="360" w:lineRule="auto"/>
        <w:ind w:firstLine="602" w:firstLineChars="200"/>
        <w:jc w:val="both"/>
        <w:rPr>
          <w:rFonts w:ascii="仿宋_GB2312" w:hAnsi="仿宋" w:eastAsia="仿宋_GB2312"/>
          <w:b/>
          <w:bCs/>
          <w:sz w:val="30"/>
          <w:szCs w:val="30"/>
        </w:rPr>
      </w:pPr>
      <w:r>
        <w:rPr>
          <w:rFonts w:ascii="Times New Roman" w:hAnsi="Times New Roman" w:eastAsia="仿宋_GB2312" w:cs="Times New Roman"/>
          <w:b/>
          <w:bCs/>
          <w:sz w:val="30"/>
          <w:szCs w:val="30"/>
        </w:rPr>
        <w:t>2</w:t>
      </w:r>
      <w:r>
        <w:rPr>
          <w:rFonts w:hint="eastAsia" w:ascii="仿宋_GB2312" w:hAnsi="仿宋" w:eastAsia="仿宋_GB2312"/>
          <w:b/>
          <w:bCs/>
          <w:sz w:val="30"/>
          <w:szCs w:val="30"/>
        </w:rPr>
        <w:t>、提出总体空间格局与功能统筹优化策略。</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围绕《上海大都市圈国土空间规划》中，对杭州湾地区提出的“</w:t>
      </w:r>
      <w:r>
        <w:rPr>
          <w:rFonts w:ascii="仿宋_GB2312" w:hAnsi="仿宋" w:eastAsia="仿宋_GB2312"/>
          <w:sz w:val="30"/>
          <w:szCs w:val="30"/>
        </w:rPr>
        <w:t>优化高水平开放设施与平台布局，打造杭州湾世界级开放湾区</w:t>
      </w:r>
      <w:r>
        <w:rPr>
          <w:rFonts w:hint="eastAsia" w:ascii="仿宋_GB2312" w:hAnsi="仿宋" w:eastAsia="仿宋_GB2312"/>
          <w:sz w:val="30"/>
          <w:szCs w:val="30"/>
        </w:rPr>
        <w:t>”目标。面向杭州湾地区空间协同发展的共同目标，协同区域生态保护格局、区域交通廊道和重点创新走廊等，确保空间结构协调一致。重点聚焦杭州湾地区港口、城镇、产业、交通等空间结构，构建杭州湾地区总体空间格局，并制定相应的功能布局引导策略。</w:t>
      </w:r>
    </w:p>
    <w:p>
      <w:pPr>
        <w:spacing w:line="360" w:lineRule="auto"/>
        <w:ind w:firstLine="602" w:firstLineChars="200"/>
        <w:jc w:val="both"/>
        <w:rPr>
          <w:rFonts w:ascii="仿宋_GB2312" w:hAnsi="仿宋" w:eastAsia="仿宋_GB2312"/>
          <w:b/>
          <w:bCs/>
          <w:sz w:val="30"/>
          <w:szCs w:val="30"/>
        </w:rPr>
      </w:pPr>
      <w:r>
        <w:rPr>
          <w:rFonts w:ascii="Times New Roman" w:hAnsi="Times New Roman" w:eastAsia="仿宋_GB2312" w:cs="Times New Roman"/>
          <w:b/>
          <w:bCs/>
          <w:sz w:val="30"/>
          <w:szCs w:val="30"/>
        </w:rPr>
        <w:t>3</w:t>
      </w:r>
      <w:r>
        <w:rPr>
          <w:rFonts w:hint="eastAsia" w:ascii="仿宋_GB2312" w:hAnsi="仿宋" w:eastAsia="仿宋_GB2312"/>
          <w:b/>
          <w:bCs/>
          <w:sz w:val="30"/>
          <w:szCs w:val="30"/>
        </w:rPr>
        <w:t>、区域一体化发展重点领域研究。</w:t>
      </w:r>
      <w:r>
        <w:rPr>
          <w:rFonts w:hint="eastAsia" w:ascii="仿宋_GB2312" w:hAnsi="仿宋" w:eastAsia="仿宋_GB2312"/>
          <w:sz w:val="30"/>
          <w:szCs w:val="30"/>
        </w:rPr>
        <w:t>重点衔接上海大都市圈国土空间规划在产业分工协作、生态环境共保、基础设施互联等方面的空间布局要求，细化落实杭州湾地区区域一体化发展要求，聚焦交通互联、科技创新、生态共保、文化旅游等重点领域提出空间协同发展策略。统</w:t>
      </w:r>
      <w:r>
        <w:rPr>
          <w:rFonts w:ascii="仿宋_GB2312" w:hAnsi="仿宋" w:eastAsia="仿宋_GB2312"/>
          <w:sz w:val="30"/>
          <w:szCs w:val="30"/>
        </w:rPr>
        <w:t>筹沿湾、跨湾通道建设，强化重要枢纽联动，发挥区域重要空间走廊的集聚效应，</w:t>
      </w:r>
      <w:r>
        <w:rPr>
          <w:rFonts w:hint="eastAsia" w:ascii="仿宋_GB2312" w:hAnsi="仿宋" w:eastAsia="仿宋_GB2312"/>
          <w:sz w:val="30"/>
          <w:szCs w:val="30"/>
        </w:rPr>
        <w:t>提出杭州湾地交通等区基础设施网络优化策略。</w:t>
      </w:r>
      <w:r>
        <w:rPr>
          <w:rFonts w:ascii="仿宋_GB2312" w:hAnsi="仿宋" w:eastAsia="仿宋_GB2312"/>
          <w:sz w:val="30"/>
          <w:szCs w:val="30"/>
        </w:rPr>
        <w:t>推进区域创新资源和产业平台协作，加快沿湾制造业转型升级</w:t>
      </w:r>
      <w:r>
        <w:rPr>
          <w:rFonts w:hint="eastAsia" w:ascii="仿宋_GB2312" w:hAnsi="仿宋" w:eastAsia="仿宋_GB2312"/>
          <w:sz w:val="30"/>
          <w:szCs w:val="30"/>
        </w:rPr>
        <w:t>，提出杭州湾地区科技创新与产业创新融合发展策略。</w:t>
      </w:r>
      <w:r>
        <w:rPr>
          <w:rFonts w:ascii="仿宋_GB2312" w:hAnsi="仿宋" w:eastAsia="仿宋_GB2312"/>
          <w:sz w:val="30"/>
          <w:szCs w:val="30"/>
        </w:rPr>
        <w:t>加强湾区生态协同治理，提升湾区水环境和人居环境质量，推动沿湾风景路和美丽海湾建设</w:t>
      </w:r>
      <w:r>
        <w:rPr>
          <w:rFonts w:hint="eastAsia" w:ascii="仿宋_GB2312" w:hAnsi="仿宋" w:eastAsia="仿宋_GB2312"/>
          <w:sz w:val="30"/>
          <w:szCs w:val="30"/>
        </w:rPr>
        <w:t>，提出杭州湾地区生态共保联治策略。梳理文化要素资源，</w:t>
      </w:r>
    </w:p>
    <w:p>
      <w:pPr>
        <w:spacing w:line="360" w:lineRule="auto"/>
        <w:ind w:firstLine="602" w:firstLineChars="200"/>
        <w:jc w:val="both"/>
        <w:rPr>
          <w:rFonts w:ascii="仿宋_GB2312" w:hAnsi="仿宋" w:eastAsia="仿宋_GB2312"/>
          <w:sz w:val="30"/>
          <w:szCs w:val="30"/>
        </w:rPr>
      </w:pPr>
      <w:r>
        <w:rPr>
          <w:rFonts w:ascii="Times New Roman" w:hAnsi="Times New Roman" w:eastAsia="仿宋_GB2312" w:cs="Times New Roman"/>
          <w:b/>
          <w:bCs/>
          <w:sz w:val="30"/>
          <w:szCs w:val="30"/>
        </w:rPr>
        <w:t>4</w:t>
      </w:r>
      <w:r>
        <w:rPr>
          <w:rFonts w:hint="eastAsia" w:ascii="仿宋_GB2312" w:hAnsi="仿宋" w:eastAsia="仿宋_GB2312"/>
          <w:b/>
          <w:bCs/>
          <w:sz w:val="30"/>
          <w:szCs w:val="30"/>
        </w:rPr>
        <w:t>、提出规划近期行动计划与实施保障机制。</w:t>
      </w:r>
      <w:r>
        <w:rPr>
          <w:rFonts w:ascii="仿宋_GB2312" w:hAnsi="仿宋" w:eastAsia="仿宋_GB2312"/>
          <w:sz w:val="30"/>
          <w:szCs w:val="30"/>
        </w:rPr>
        <w:t>充分借鉴上海大都市圈规划的协同治理经验和政策工具，建立与之相配套的杭州湾地区实施保障体系。通过多层次、多领域的系统衔接，确保本规划成为落实上海大都市圈战略的重要支撑和具体深化。明确区域近期需要共同推进建设的重点行动项目，强化区域重大行动项目的空间保障，确保规划内容可落地、可操作。</w:t>
      </w:r>
    </w:p>
    <w:p>
      <w:pPr>
        <w:spacing w:line="360" w:lineRule="auto"/>
        <w:ind w:firstLine="560" w:firstLineChars="200"/>
        <w:jc w:val="both"/>
        <w:rPr>
          <w:rFonts w:ascii="黑体" w:hAnsi="黑体" w:eastAsia="黑体"/>
          <w:sz w:val="28"/>
          <w:szCs w:val="28"/>
        </w:rPr>
      </w:pPr>
      <w:r>
        <w:rPr>
          <w:rFonts w:hint="eastAsia" w:ascii="黑体" w:hAnsi="黑体" w:eastAsia="黑体"/>
          <w:sz w:val="28"/>
          <w:szCs w:val="28"/>
        </w:rPr>
        <w:t>三、成果要求</w:t>
      </w:r>
    </w:p>
    <w:p>
      <w:pPr>
        <w:spacing w:line="360" w:lineRule="auto"/>
        <w:ind w:firstLine="600" w:firstLineChars="200"/>
        <w:jc w:val="both"/>
        <w:rPr>
          <w:rFonts w:ascii="仿宋_GB2312" w:hAnsi="仿宋" w:eastAsia="仿宋_GB2312"/>
          <w:sz w:val="30"/>
          <w:szCs w:val="30"/>
        </w:rPr>
      </w:pPr>
      <w:r>
        <w:rPr>
          <w:rFonts w:ascii="仿宋_GB2312" w:hAnsi="仿宋" w:eastAsia="仿宋_GB2312"/>
          <w:sz w:val="30"/>
          <w:szCs w:val="30"/>
        </w:rPr>
        <w:t>按照时间节点要求完成1份《杭州湾地区空间协同规划》</w:t>
      </w:r>
      <w:r>
        <w:rPr>
          <w:rFonts w:hint="eastAsia" w:ascii="仿宋_GB2312" w:hAnsi="仿宋" w:eastAsia="仿宋_GB2312"/>
          <w:sz w:val="30"/>
          <w:szCs w:val="30"/>
        </w:rPr>
        <w:t>规划报告。</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成果形式包括打印的纸质文本和电子文件，电子文件应包括</w:t>
      </w:r>
      <w:r>
        <w:rPr>
          <w:rFonts w:hint="eastAsia" w:ascii="Times New Roman" w:hAnsi="Times New Roman" w:eastAsia="仿宋_GB2312"/>
          <w:sz w:val="30"/>
          <w:szCs w:val="30"/>
        </w:rPr>
        <w:t>PDF</w:t>
      </w:r>
      <w:r>
        <w:rPr>
          <w:rFonts w:hint="eastAsia" w:ascii="仿宋_GB2312" w:hAnsi="仿宋" w:eastAsia="仿宋_GB2312"/>
          <w:sz w:val="30"/>
          <w:szCs w:val="30"/>
        </w:rPr>
        <w:t>文件和可编辑的</w:t>
      </w:r>
      <w:r>
        <w:rPr>
          <w:rFonts w:hint="eastAsia" w:ascii="Times New Roman" w:hAnsi="Times New Roman" w:eastAsia="仿宋_GB2312"/>
          <w:sz w:val="30"/>
          <w:szCs w:val="30"/>
        </w:rPr>
        <w:t>WORD</w:t>
      </w:r>
      <w:r>
        <w:rPr>
          <w:rFonts w:hint="eastAsia" w:ascii="仿宋_GB2312" w:hAnsi="仿宋" w:eastAsia="仿宋_GB2312"/>
          <w:sz w:val="30"/>
          <w:szCs w:val="30"/>
        </w:rPr>
        <w:t>格式文件等。</w:t>
      </w:r>
    </w:p>
    <w:p>
      <w:pPr>
        <w:spacing w:line="360" w:lineRule="auto"/>
        <w:ind w:firstLine="562" w:firstLineChars="200"/>
        <w:jc w:val="both"/>
        <w:rPr>
          <w:rFonts w:ascii="仿宋_GB2312" w:hAnsi="宋体" w:eastAsia="仿宋_GB2312"/>
          <w:b/>
          <w:sz w:val="28"/>
          <w:szCs w:val="28"/>
        </w:rPr>
      </w:pPr>
      <w:r>
        <w:rPr>
          <w:rFonts w:hint="eastAsia" w:ascii="仿宋_GB2312" w:hAnsi="宋体" w:eastAsia="仿宋_GB2312"/>
          <w:b/>
          <w:sz w:val="28"/>
          <w:szCs w:val="28"/>
        </w:rPr>
        <w:t>四、进度要求</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第一阶段：前期研究阶段（</w:t>
      </w:r>
      <w:r>
        <w:rPr>
          <w:rFonts w:ascii="Times New Roman" w:hAnsi="Times New Roman" w:eastAsia="仿宋_GB2312"/>
          <w:sz w:val="30"/>
          <w:szCs w:val="30"/>
        </w:rPr>
        <w:t>1</w:t>
      </w:r>
      <w:r>
        <w:rPr>
          <w:rFonts w:hint="eastAsia" w:ascii="仿宋_GB2312" w:hAnsi="仿宋" w:eastAsia="仿宋_GB2312"/>
          <w:sz w:val="30"/>
          <w:szCs w:val="30"/>
        </w:rPr>
        <w:t>个月）</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编制工作方案，收集各项基础资料并开展现状分析等工作，</w:t>
      </w:r>
      <w:r>
        <w:rPr>
          <w:rFonts w:ascii="仿宋_GB2312" w:hAnsi="仿宋" w:eastAsia="仿宋_GB2312"/>
          <w:sz w:val="30"/>
          <w:szCs w:val="30"/>
        </w:rPr>
        <w:t>启动区域一体化发展重点问题研究，形成初步成果</w:t>
      </w:r>
      <w:r>
        <w:rPr>
          <w:rFonts w:hint="eastAsia" w:ascii="仿宋_GB2312" w:hAnsi="仿宋" w:eastAsia="仿宋_GB2312"/>
          <w:sz w:val="30"/>
          <w:szCs w:val="30"/>
        </w:rPr>
        <w:t>。</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第二阶段：成果编制阶段（</w:t>
      </w:r>
      <w:r>
        <w:rPr>
          <w:rFonts w:ascii="Times New Roman" w:hAnsi="Times New Roman" w:eastAsia="仿宋_GB2312"/>
          <w:sz w:val="30"/>
          <w:szCs w:val="30"/>
        </w:rPr>
        <w:t>2</w:t>
      </w:r>
      <w:r>
        <w:rPr>
          <w:rFonts w:hint="eastAsia" w:ascii="仿宋_GB2312" w:hAnsi="仿宋" w:eastAsia="仿宋_GB2312"/>
          <w:sz w:val="30"/>
          <w:szCs w:val="30"/>
        </w:rPr>
        <w:t>个月）</w:t>
      </w:r>
    </w:p>
    <w:p>
      <w:pPr>
        <w:spacing w:line="360" w:lineRule="auto"/>
        <w:ind w:firstLine="600" w:firstLineChars="200"/>
        <w:jc w:val="both"/>
        <w:rPr>
          <w:rFonts w:ascii="仿宋_GB2312" w:hAnsi="仿宋" w:eastAsia="仿宋_GB2312"/>
          <w:sz w:val="30"/>
          <w:szCs w:val="30"/>
        </w:rPr>
      </w:pPr>
      <w:r>
        <w:rPr>
          <w:rFonts w:ascii="仿宋_GB2312" w:hAnsi="仿宋" w:eastAsia="仿宋_GB2312"/>
          <w:sz w:val="30"/>
          <w:szCs w:val="30"/>
        </w:rPr>
        <w:t>深化完善杭州湾地区空间与功能统筹布局，完成区域一体化发展重点问题研究</w:t>
      </w:r>
      <w:r>
        <w:rPr>
          <w:rFonts w:hint="eastAsia" w:ascii="仿宋_GB2312" w:hAnsi="仿宋" w:eastAsia="仿宋_GB2312"/>
          <w:sz w:val="30"/>
          <w:szCs w:val="30"/>
        </w:rPr>
        <w:t>，提出近期行动计划，探索规划实施保障机制构建，形成中期成果。</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第三阶段：成果验收阶段（</w:t>
      </w:r>
      <w:r>
        <w:rPr>
          <w:rFonts w:ascii="Times New Roman" w:hAnsi="Times New Roman" w:eastAsia="仿宋_GB2312"/>
          <w:sz w:val="30"/>
          <w:szCs w:val="30"/>
        </w:rPr>
        <w:t>2</w:t>
      </w:r>
      <w:r>
        <w:rPr>
          <w:rFonts w:hint="eastAsia" w:ascii="仿宋_GB2312" w:hAnsi="仿宋" w:eastAsia="仿宋_GB2312"/>
          <w:sz w:val="30"/>
          <w:szCs w:val="30"/>
        </w:rPr>
        <w:t>个月）</w:t>
      </w:r>
    </w:p>
    <w:p>
      <w:pPr>
        <w:spacing w:line="360" w:lineRule="auto"/>
        <w:ind w:firstLine="600" w:firstLineChars="200"/>
        <w:jc w:val="both"/>
        <w:rPr>
          <w:rFonts w:ascii="仿宋_GB2312" w:hAnsi="仿宋" w:eastAsia="仿宋_GB2312"/>
          <w:sz w:val="30"/>
          <w:szCs w:val="30"/>
        </w:rPr>
      </w:pPr>
      <w:r>
        <w:rPr>
          <w:rFonts w:hint="eastAsia" w:ascii="仿宋_GB2312" w:hAnsi="仿宋" w:eastAsia="仿宋_GB2312"/>
          <w:sz w:val="30"/>
          <w:szCs w:val="30"/>
        </w:rPr>
        <w:t>相关成果征求各方意见，修改完善相关内容，形成项目最终成果。</w:t>
      </w:r>
    </w:p>
    <w:p>
      <w:pPr>
        <w:spacing w:line="360" w:lineRule="auto"/>
        <w:ind w:firstLine="562" w:firstLineChars="200"/>
        <w:jc w:val="both"/>
        <w:rPr>
          <w:rFonts w:ascii="仿宋_GB2312" w:hAnsi="宋体" w:eastAsia="仿宋_GB2312"/>
          <w:b/>
          <w:sz w:val="28"/>
          <w:szCs w:val="28"/>
        </w:rPr>
      </w:pPr>
      <w:r>
        <w:rPr>
          <w:rFonts w:hint="eastAsia" w:ascii="仿宋_GB2312" w:hAnsi="宋体" w:eastAsia="仿宋_GB2312"/>
          <w:b/>
          <w:sz w:val="28"/>
          <w:szCs w:val="28"/>
        </w:rPr>
        <w:t>五、转包与分包</w:t>
      </w:r>
    </w:p>
    <w:p>
      <w:pPr>
        <w:spacing w:line="360" w:lineRule="auto"/>
        <w:ind w:firstLine="600" w:firstLineChars="200"/>
        <w:jc w:val="both"/>
        <w:rPr>
          <w:rFonts w:ascii="仿宋" w:hAnsi="仿宋" w:eastAsia="仿宋"/>
          <w:sz w:val="30"/>
          <w:szCs w:val="30"/>
        </w:rPr>
      </w:pPr>
      <w:r>
        <w:rPr>
          <w:rFonts w:hint="eastAsia" w:ascii="仿宋" w:hAnsi="仿宋" w:eastAsia="仿宋"/>
          <w:sz w:val="30"/>
          <w:szCs w:val="30"/>
        </w:rPr>
        <w:t>本项目合同不得转让、不得分包。</w:t>
      </w:r>
    </w:p>
    <w:p>
      <w:pPr>
        <w:spacing w:line="360" w:lineRule="auto"/>
        <w:ind w:firstLine="562" w:firstLineChars="200"/>
        <w:jc w:val="both"/>
        <w:rPr>
          <w:rFonts w:ascii="仿宋_GB2312" w:hAnsi="宋体" w:eastAsia="仿宋_GB2312"/>
          <w:b/>
          <w:sz w:val="28"/>
          <w:szCs w:val="28"/>
        </w:rPr>
      </w:pPr>
      <w:r>
        <w:rPr>
          <w:rFonts w:hint="eastAsia" w:ascii="仿宋_GB2312" w:hAnsi="宋体" w:eastAsia="仿宋_GB2312"/>
          <w:b/>
          <w:sz w:val="28"/>
          <w:szCs w:val="28"/>
        </w:rPr>
        <w:t>六、联合投标</w:t>
      </w:r>
    </w:p>
    <w:p>
      <w:pPr>
        <w:spacing w:line="360" w:lineRule="auto"/>
        <w:ind w:firstLine="600" w:firstLineChars="200"/>
        <w:jc w:val="both"/>
        <w:rPr>
          <w:rFonts w:ascii="仿宋" w:hAnsi="仿宋" w:eastAsia="仿宋"/>
          <w:sz w:val="30"/>
          <w:szCs w:val="30"/>
        </w:rPr>
      </w:pPr>
      <w:r>
        <w:rPr>
          <w:rFonts w:hint="eastAsia" w:ascii="仿宋_GB2312" w:hAnsi="仿宋" w:eastAsia="仿宋_GB2312"/>
          <w:sz w:val="30"/>
          <w:szCs w:val="30"/>
        </w:rPr>
        <w:t>本项目不接受联合投标。</w:t>
      </w:r>
    </w:p>
    <w:p>
      <w:pPr>
        <w:spacing w:line="360" w:lineRule="auto"/>
        <w:ind w:firstLine="562" w:firstLineChars="200"/>
        <w:jc w:val="both"/>
        <w:rPr>
          <w:rFonts w:ascii="仿宋_GB2312" w:hAnsi="宋体" w:eastAsia="仿宋_GB2312"/>
          <w:b/>
          <w:sz w:val="28"/>
          <w:szCs w:val="28"/>
        </w:rPr>
      </w:pPr>
      <w:r>
        <w:rPr>
          <w:rFonts w:hint="eastAsia" w:ascii="仿宋_GB2312" w:hAnsi="宋体" w:eastAsia="仿宋_GB2312"/>
          <w:b/>
          <w:sz w:val="28"/>
          <w:szCs w:val="28"/>
        </w:rPr>
        <w:t>七、人员组织要求</w:t>
      </w:r>
    </w:p>
    <w:p>
      <w:pPr>
        <w:spacing w:line="360" w:lineRule="auto"/>
        <w:ind w:firstLine="600" w:firstLineChars="200"/>
        <w:jc w:val="both"/>
        <w:rPr>
          <w:rFonts w:ascii="仿宋_GB2312" w:hAnsi="仿宋" w:eastAsia="仿宋_GB2312"/>
          <w:sz w:val="30"/>
          <w:szCs w:val="30"/>
        </w:rPr>
      </w:pPr>
      <w:r>
        <w:rPr>
          <w:rFonts w:hint="eastAsia" w:ascii="Times New Roman" w:hAnsi="Times New Roman" w:eastAsia="仿宋_GB2312"/>
          <w:sz w:val="30"/>
          <w:szCs w:val="30"/>
        </w:rPr>
        <w:t>1</w:t>
      </w:r>
      <w:r>
        <w:rPr>
          <w:rFonts w:hint="eastAsia" w:ascii="仿宋_GB2312" w:hAnsi="仿宋" w:eastAsia="仿宋_GB2312"/>
          <w:sz w:val="30"/>
          <w:szCs w:val="30"/>
        </w:rPr>
        <w:t>、项目组人员数量和专业组成结构等方面应满足本项目服务需求，供应商应提供负责本项目的服务团队人数（不包含项目负责人）不少于</w:t>
      </w:r>
      <w:r>
        <w:rPr>
          <w:rFonts w:ascii="Times New Roman" w:hAnsi="Times New Roman" w:eastAsia="仿宋_GB2312" w:cs="Times New Roman"/>
          <w:sz w:val="30"/>
          <w:szCs w:val="30"/>
        </w:rPr>
        <w:t>8</w:t>
      </w:r>
      <w:r>
        <w:rPr>
          <w:rFonts w:hint="eastAsia" w:ascii="仿宋_GB2312" w:hAnsi="仿宋" w:eastAsia="仿宋_GB2312"/>
          <w:sz w:val="30"/>
          <w:szCs w:val="30"/>
        </w:rPr>
        <w:t>人，具有城乡规划相关专业高级职称证书或硕士及以上学历人数不少于</w:t>
      </w:r>
      <w:r>
        <w:rPr>
          <w:rFonts w:ascii="Times New Roman" w:hAnsi="Times New Roman" w:eastAsia="仿宋_GB2312" w:cs="Times New Roman"/>
          <w:sz w:val="30"/>
          <w:szCs w:val="30"/>
        </w:rPr>
        <w:t>5</w:t>
      </w:r>
      <w:r>
        <w:rPr>
          <w:rFonts w:hint="eastAsia" w:ascii="仿宋_GB2312" w:hAnsi="仿宋" w:eastAsia="仿宋_GB2312"/>
          <w:sz w:val="30"/>
          <w:szCs w:val="30"/>
        </w:rPr>
        <w:t>人的优先考虑。在服务期限内，项目组人员应保持相对稳定，以保证服务工作的正常进行。</w:t>
      </w:r>
    </w:p>
    <w:p>
      <w:pPr>
        <w:spacing w:line="360" w:lineRule="auto"/>
        <w:ind w:firstLine="600" w:firstLineChars="200"/>
        <w:jc w:val="both"/>
        <w:rPr>
          <w:rFonts w:ascii="仿宋_GB2312" w:hAnsi="仿宋" w:eastAsia="仿宋_GB2312"/>
          <w:sz w:val="30"/>
          <w:szCs w:val="30"/>
        </w:rPr>
      </w:pPr>
      <w:r>
        <w:rPr>
          <w:rFonts w:hint="eastAsia" w:ascii="Times New Roman" w:hAnsi="Times New Roman" w:eastAsia="仿宋_GB2312"/>
          <w:sz w:val="30"/>
          <w:szCs w:val="30"/>
        </w:rPr>
        <w:t>2</w:t>
      </w:r>
      <w:r>
        <w:rPr>
          <w:rFonts w:hint="eastAsia" w:ascii="仿宋_GB2312" w:hAnsi="仿宋" w:eastAsia="仿宋_GB2312"/>
          <w:sz w:val="30"/>
          <w:szCs w:val="30"/>
        </w:rPr>
        <w:t>、项目负责人需具有注册城乡规划师证书；从事城乡规划相关技术工作八年以上，具有城乡规划相关专业高级工程师职称。</w:t>
      </w:r>
    </w:p>
    <w:p>
      <w:pPr>
        <w:spacing w:line="360" w:lineRule="auto"/>
        <w:ind w:firstLine="562" w:firstLineChars="200"/>
        <w:jc w:val="both"/>
        <w:rPr>
          <w:rFonts w:hint="eastAsia" w:ascii="仿宋_GB2312" w:hAnsi="宋体" w:eastAsia="仿宋_GB2312"/>
          <w:b/>
          <w:sz w:val="28"/>
          <w:szCs w:val="28"/>
        </w:rPr>
      </w:pPr>
      <w:r>
        <w:rPr>
          <w:rFonts w:hint="eastAsia" w:ascii="仿宋_GB2312" w:hAnsi="宋体" w:eastAsia="仿宋_GB2312"/>
          <w:b/>
          <w:sz w:val="28"/>
          <w:szCs w:val="28"/>
        </w:rPr>
        <w:t>八、其他要求</w:t>
      </w:r>
    </w:p>
    <w:p>
      <w:pPr>
        <w:spacing w:line="360" w:lineRule="auto"/>
        <w:ind w:firstLine="600" w:firstLineChars="200"/>
        <w:jc w:val="both"/>
        <w:rPr>
          <w:rFonts w:hint="eastAsia"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1、供应商应具有国家自然资源部颁发的城乡规划编制资质证书甲级资质</w:t>
      </w:r>
      <w:bookmarkStart w:id="0" w:name="_GoBack"/>
      <w:bookmarkEnd w:id="0"/>
      <w:r>
        <w:rPr>
          <w:rFonts w:hint="eastAsia" w:ascii="Times New Roman" w:hAnsi="Times New Roman" w:eastAsia="仿宋_GB2312"/>
          <w:sz w:val="30"/>
          <w:szCs w:val="30"/>
          <w:lang w:val="en-US" w:eastAsia="zh-CN"/>
        </w:rPr>
        <w:t>。</w:t>
      </w:r>
    </w:p>
    <w:p>
      <w:pPr>
        <w:spacing w:line="360" w:lineRule="auto"/>
        <w:ind w:firstLine="600" w:firstLineChars="200"/>
        <w:jc w:val="both"/>
        <w:rPr>
          <w:rFonts w:ascii="仿宋_GB2312" w:hAnsi="仿宋" w:eastAsia="仿宋_GB2312"/>
          <w:sz w:val="30"/>
          <w:szCs w:val="30"/>
        </w:rPr>
      </w:pPr>
      <w:r>
        <w:rPr>
          <w:rFonts w:hint="eastAsia" w:ascii="Times New Roman" w:hAnsi="Times New Roman" w:eastAsia="仿宋_GB2312"/>
          <w:sz w:val="30"/>
          <w:szCs w:val="30"/>
          <w:lang w:val="en-US" w:eastAsia="zh-CN"/>
        </w:rPr>
        <w:t>2</w:t>
      </w:r>
      <w:r>
        <w:rPr>
          <w:rFonts w:hint="eastAsia" w:ascii="仿宋_GB2312" w:hAnsi="仿宋" w:eastAsia="仿宋_GB2312"/>
          <w:sz w:val="30"/>
          <w:szCs w:val="30"/>
        </w:rPr>
        <w:t>、根据上海市规划和自然资源局相关工作要求变化即时做出工作调整。</w:t>
      </w:r>
    </w:p>
    <w:p>
      <w:pPr>
        <w:spacing w:line="360" w:lineRule="auto"/>
        <w:ind w:firstLine="600" w:firstLineChars="200"/>
        <w:jc w:val="both"/>
        <w:rPr>
          <w:rFonts w:ascii="仿宋_GB2312" w:hAnsi="仿宋" w:eastAsia="仿宋_GB2312"/>
          <w:sz w:val="30"/>
          <w:szCs w:val="30"/>
        </w:rPr>
      </w:pPr>
      <w:r>
        <w:rPr>
          <w:rFonts w:hint="eastAsia" w:ascii="Times New Roman" w:hAnsi="Times New Roman" w:eastAsia="仿宋_GB2312"/>
          <w:sz w:val="30"/>
          <w:szCs w:val="30"/>
          <w:lang w:val="en-US" w:eastAsia="zh-CN"/>
        </w:rPr>
        <w:t>3</w:t>
      </w:r>
      <w:r>
        <w:rPr>
          <w:rFonts w:hint="eastAsia" w:ascii="仿宋_GB2312" w:hAnsi="仿宋" w:eastAsia="仿宋_GB2312"/>
          <w:sz w:val="30"/>
          <w:szCs w:val="30"/>
        </w:rPr>
        <w:t>、项目实施过程中应严格遵守国家和地方有关安全生产规定。</w:t>
      </w:r>
    </w:p>
    <w:p>
      <w:pPr>
        <w:spacing w:line="360" w:lineRule="auto"/>
        <w:ind w:firstLine="600" w:firstLineChars="200"/>
        <w:jc w:val="both"/>
        <w:rPr>
          <w:rFonts w:ascii="仿宋_GB2312" w:hAnsi="仿宋" w:eastAsia="仿宋_GB2312"/>
          <w:sz w:val="30"/>
          <w:szCs w:val="30"/>
        </w:rPr>
      </w:pPr>
      <w:r>
        <w:rPr>
          <w:rFonts w:hint="eastAsia" w:ascii="Times New Roman" w:hAnsi="Times New Roman" w:eastAsia="仿宋_GB2312"/>
          <w:sz w:val="30"/>
          <w:szCs w:val="30"/>
          <w:lang w:val="en-US" w:eastAsia="zh-CN"/>
        </w:rPr>
        <w:t>4</w:t>
      </w:r>
      <w:r>
        <w:rPr>
          <w:rFonts w:hint="eastAsia" w:ascii="仿宋_GB2312" w:hAnsi="仿宋" w:eastAsia="仿宋_GB2312"/>
          <w:sz w:val="30"/>
          <w:szCs w:val="30"/>
        </w:rPr>
        <w:t>、严格遵守保密要求，未经委托人许可，中标单位不得向第三方泄露与本工作相关的任何资料、数据和成果。</w:t>
      </w:r>
    </w:p>
    <w:p>
      <w:pPr>
        <w:spacing w:line="360" w:lineRule="auto"/>
        <w:ind w:firstLine="600" w:firstLineChars="200"/>
        <w:jc w:val="both"/>
        <w:rPr>
          <w:rFonts w:ascii="仿宋_GB2312" w:hAnsi="仿宋" w:eastAsia="仿宋_GB2312"/>
          <w:sz w:val="30"/>
          <w:szCs w:val="30"/>
        </w:rPr>
      </w:pPr>
    </w:p>
    <w:sectPr>
      <w:footerReference r:id="rId4" w:type="default"/>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60329"/>
    </w:sdtPr>
    <w:sdtContent>
      <w:p>
        <w:pPr>
          <w:pStyle w:val="6"/>
          <w:jc w:val="center"/>
        </w:pPr>
        <w:r>
          <w:fldChar w:fldCharType="begin"/>
        </w:r>
        <w:r>
          <w:instrText xml:space="preserve"> PAGE   \* MERGEFORMAT </w:instrText>
        </w:r>
        <w:r>
          <w:fldChar w:fldCharType="separate"/>
        </w:r>
        <w:r>
          <w:rPr>
            <w:rFonts w:ascii="Times New Roman" w:hAnsi="Times New Roman"/>
            <w:lang w:val="zh-CN"/>
          </w:rPr>
          <w:t>3</w:t>
        </w:r>
        <w:r>
          <w:rPr>
            <w:lang w:val="zh-CN"/>
          </w:rP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EE7"/>
    <w:rsid w:val="00001CFC"/>
    <w:rsid w:val="00002517"/>
    <w:rsid w:val="00006BC8"/>
    <w:rsid w:val="000135F4"/>
    <w:rsid w:val="00022264"/>
    <w:rsid w:val="00027805"/>
    <w:rsid w:val="00027EFA"/>
    <w:rsid w:val="00034DEB"/>
    <w:rsid w:val="00041B50"/>
    <w:rsid w:val="00042C1B"/>
    <w:rsid w:val="00051366"/>
    <w:rsid w:val="00054DCA"/>
    <w:rsid w:val="00065710"/>
    <w:rsid w:val="000719E3"/>
    <w:rsid w:val="0007429E"/>
    <w:rsid w:val="00076737"/>
    <w:rsid w:val="00080B15"/>
    <w:rsid w:val="000849E2"/>
    <w:rsid w:val="000879D5"/>
    <w:rsid w:val="000919CC"/>
    <w:rsid w:val="0009258E"/>
    <w:rsid w:val="000955B8"/>
    <w:rsid w:val="00096699"/>
    <w:rsid w:val="000A05AA"/>
    <w:rsid w:val="000A37D1"/>
    <w:rsid w:val="000A513E"/>
    <w:rsid w:val="000B4725"/>
    <w:rsid w:val="000B5E15"/>
    <w:rsid w:val="000C35C1"/>
    <w:rsid w:val="000C4CD7"/>
    <w:rsid w:val="000D1371"/>
    <w:rsid w:val="000D710C"/>
    <w:rsid w:val="000F2E72"/>
    <w:rsid w:val="000F47F7"/>
    <w:rsid w:val="0010011F"/>
    <w:rsid w:val="001100E5"/>
    <w:rsid w:val="00111B0E"/>
    <w:rsid w:val="001252D4"/>
    <w:rsid w:val="00133628"/>
    <w:rsid w:val="00133ED2"/>
    <w:rsid w:val="0015054D"/>
    <w:rsid w:val="001576C2"/>
    <w:rsid w:val="0016177B"/>
    <w:rsid w:val="001621FF"/>
    <w:rsid w:val="0016263B"/>
    <w:rsid w:val="00163FDA"/>
    <w:rsid w:val="001659BA"/>
    <w:rsid w:val="00165CDA"/>
    <w:rsid w:val="00166161"/>
    <w:rsid w:val="00166B6E"/>
    <w:rsid w:val="001719AD"/>
    <w:rsid w:val="001724AE"/>
    <w:rsid w:val="00176C08"/>
    <w:rsid w:val="00177F69"/>
    <w:rsid w:val="00182E71"/>
    <w:rsid w:val="001843FA"/>
    <w:rsid w:val="0018485E"/>
    <w:rsid w:val="00193130"/>
    <w:rsid w:val="00193F94"/>
    <w:rsid w:val="00195494"/>
    <w:rsid w:val="001A0707"/>
    <w:rsid w:val="001A0D30"/>
    <w:rsid w:val="001A4AE0"/>
    <w:rsid w:val="001A5668"/>
    <w:rsid w:val="001A64F6"/>
    <w:rsid w:val="001B020E"/>
    <w:rsid w:val="001B0B96"/>
    <w:rsid w:val="001B11F6"/>
    <w:rsid w:val="001B6F06"/>
    <w:rsid w:val="001C1742"/>
    <w:rsid w:val="001C1986"/>
    <w:rsid w:val="001D1F1B"/>
    <w:rsid w:val="001D4FA1"/>
    <w:rsid w:val="001E2C78"/>
    <w:rsid w:val="001E7032"/>
    <w:rsid w:val="001E7E8E"/>
    <w:rsid w:val="001F496E"/>
    <w:rsid w:val="001F6999"/>
    <w:rsid w:val="00205796"/>
    <w:rsid w:val="00206FB2"/>
    <w:rsid w:val="002133F4"/>
    <w:rsid w:val="00213878"/>
    <w:rsid w:val="002175BB"/>
    <w:rsid w:val="00220CDA"/>
    <w:rsid w:val="00230693"/>
    <w:rsid w:val="00231093"/>
    <w:rsid w:val="0023230D"/>
    <w:rsid w:val="002329A6"/>
    <w:rsid w:val="00236C08"/>
    <w:rsid w:val="0023733C"/>
    <w:rsid w:val="00237F8A"/>
    <w:rsid w:val="00240662"/>
    <w:rsid w:val="002503FD"/>
    <w:rsid w:val="002600EA"/>
    <w:rsid w:val="00261CB2"/>
    <w:rsid w:val="00263EE1"/>
    <w:rsid w:val="002673BC"/>
    <w:rsid w:val="002710AD"/>
    <w:rsid w:val="002757AD"/>
    <w:rsid w:val="00280BD5"/>
    <w:rsid w:val="0028136E"/>
    <w:rsid w:val="00282285"/>
    <w:rsid w:val="002823CE"/>
    <w:rsid w:val="002837D8"/>
    <w:rsid w:val="0028661C"/>
    <w:rsid w:val="00291E8E"/>
    <w:rsid w:val="002A1DBA"/>
    <w:rsid w:val="002A67A8"/>
    <w:rsid w:val="002A6FC2"/>
    <w:rsid w:val="002C2EB2"/>
    <w:rsid w:val="002D5811"/>
    <w:rsid w:val="002D6E2C"/>
    <w:rsid w:val="002E7B8F"/>
    <w:rsid w:val="002F0476"/>
    <w:rsid w:val="002F4574"/>
    <w:rsid w:val="002F6D3A"/>
    <w:rsid w:val="002F6FEA"/>
    <w:rsid w:val="0030005B"/>
    <w:rsid w:val="0030044C"/>
    <w:rsid w:val="00302458"/>
    <w:rsid w:val="00305A2C"/>
    <w:rsid w:val="00314137"/>
    <w:rsid w:val="00320701"/>
    <w:rsid w:val="00323B43"/>
    <w:rsid w:val="00324287"/>
    <w:rsid w:val="00326918"/>
    <w:rsid w:val="00334FB5"/>
    <w:rsid w:val="0033581D"/>
    <w:rsid w:val="003428F1"/>
    <w:rsid w:val="003430DA"/>
    <w:rsid w:val="0034378A"/>
    <w:rsid w:val="003452AE"/>
    <w:rsid w:val="00354379"/>
    <w:rsid w:val="00355E0E"/>
    <w:rsid w:val="003815D3"/>
    <w:rsid w:val="003832FF"/>
    <w:rsid w:val="0039213A"/>
    <w:rsid w:val="00395920"/>
    <w:rsid w:val="00396D67"/>
    <w:rsid w:val="003A0575"/>
    <w:rsid w:val="003A1D5D"/>
    <w:rsid w:val="003A3F85"/>
    <w:rsid w:val="003A7BE0"/>
    <w:rsid w:val="003A7CA5"/>
    <w:rsid w:val="003B4970"/>
    <w:rsid w:val="003B6CB2"/>
    <w:rsid w:val="003B6DDC"/>
    <w:rsid w:val="003B7E3D"/>
    <w:rsid w:val="003C1A86"/>
    <w:rsid w:val="003C1C9A"/>
    <w:rsid w:val="003C5570"/>
    <w:rsid w:val="003C6FCB"/>
    <w:rsid w:val="003D37D8"/>
    <w:rsid w:val="003E04B7"/>
    <w:rsid w:val="003E49F5"/>
    <w:rsid w:val="003F246A"/>
    <w:rsid w:val="003F639E"/>
    <w:rsid w:val="00400F5E"/>
    <w:rsid w:val="004013DB"/>
    <w:rsid w:val="00402166"/>
    <w:rsid w:val="00402900"/>
    <w:rsid w:val="00402927"/>
    <w:rsid w:val="004173FF"/>
    <w:rsid w:val="00427C85"/>
    <w:rsid w:val="004329B6"/>
    <w:rsid w:val="004358AB"/>
    <w:rsid w:val="00440C95"/>
    <w:rsid w:val="00440DA8"/>
    <w:rsid w:val="00445138"/>
    <w:rsid w:val="004453A6"/>
    <w:rsid w:val="00454CC1"/>
    <w:rsid w:val="00457F74"/>
    <w:rsid w:val="00463BC2"/>
    <w:rsid w:val="004649EA"/>
    <w:rsid w:val="00465B11"/>
    <w:rsid w:val="00465EED"/>
    <w:rsid w:val="004660FE"/>
    <w:rsid w:val="004721BB"/>
    <w:rsid w:val="004755AE"/>
    <w:rsid w:val="00476365"/>
    <w:rsid w:val="004903AE"/>
    <w:rsid w:val="00492223"/>
    <w:rsid w:val="00492298"/>
    <w:rsid w:val="004927ED"/>
    <w:rsid w:val="00492CA7"/>
    <w:rsid w:val="004946D3"/>
    <w:rsid w:val="004A2EC8"/>
    <w:rsid w:val="004A3AF5"/>
    <w:rsid w:val="004B6C5B"/>
    <w:rsid w:val="004C633D"/>
    <w:rsid w:val="004C71FE"/>
    <w:rsid w:val="004D09C0"/>
    <w:rsid w:val="004D2123"/>
    <w:rsid w:val="004D7B0E"/>
    <w:rsid w:val="004E0742"/>
    <w:rsid w:val="004E1E8C"/>
    <w:rsid w:val="004E2BBA"/>
    <w:rsid w:val="004E5FA0"/>
    <w:rsid w:val="004F1F0B"/>
    <w:rsid w:val="0050111E"/>
    <w:rsid w:val="00501E21"/>
    <w:rsid w:val="005110DB"/>
    <w:rsid w:val="005238F9"/>
    <w:rsid w:val="00523D33"/>
    <w:rsid w:val="00524E34"/>
    <w:rsid w:val="00541E10"/>
    <w:rsid w:val="00543E06"/>
    <w:rsid w:val="0054550C"/>
    <w:rsid w:val="00545745"/>
    <w:rsid w:val="00546325"/>
    <w:rsid w:val="00550C5A"/>
    <w:rsid w:val="00556CD7"/>
    <w:rsid w:val="00556D04"/>
    <w:rsid w:val="0055700C"/>
    <w:rsid w:val="00577A5C"/>
    <w:rsid w:val="00580717"/>
    <w:rsid w:val="005812EE"/>
    <w:rsid w:val="0058199F"/>
    <w:rsid w:val="00584703"/>
    <w:rsid w:val="00590957"/>
    <w:rsid w:val="00590BDA"/>
    <w:rsid w:val="005937A1"/>
    <w:rsid w:val="005A2F6B"/>
    <w:rsid w:val="005A7DB6"/>
    <w:rsid w:val="005B1D98"/>
    <w:rsid w:val="005B582B"/>
    <w:rsid w:val="005C0E1E"/>
    <w:rsid w:val="005C44A0"/>
    <w:rsid w:val="005C4784"/>
    <w:rsid w:val="005C7418"/>
    <w:rsid w:val="005D1754"/>
    <w:rsid w:val="005D3573"/>
    <w:rsid w:val="005D6A98"/>
    <w:rsid w:val="005E0131"/>
    <w:rsid w:val="005E0689"/>
    <w:rsid w:val="005E4507"/>
    <w:rsid w:val="005E78B3"/>
    <w:rsid w:val="005F58EF"/>
    <w:rsid w:val="005F5DB5"/>
    <w:rsid w:val="005F7386"/>
    <w:rsid w:val="00601A8F"/>
    <w:rsid w:val="00603B8F"/>
    <w:rsid w:val="00612F38"/>
    <w:rsid w:val="0061645D"/>
    <w:rsid w:val="00621AE5"/>
    <w:rsid w:val="00621EE7"/>
    <w:rsid w:val="006228C0"/>
    <w:rsid w:val="00624294"/>
    <w:rsid w:val="00634332"/>
    <w:rsid w:val="00647979"/>
    <w:rsid w:val="006530A5"/>
    <w:rsid w:val="00653A68"/>
    <w:rsid w:val="0065447A"/>
    <w:rsid w:val="00656336"/>
    <w:rsid w:val="00660428"/>
    <w:rsid w:val="0066460C"/>
    <w:rsid w:val="00670F4E"/>
    <w:rsid w:val="00671E59"/>
    <w:rsid w:val="00672210"/>
    <w:rsid w:val="006756AB"/>
    <w:rsid w:val="00676AA5"/>
    <w:rsid w:val="00680498"/>
    <w:rsid w:val="00692426"/>
    <w:rsid w:val="0069376E"/>
    <w:rsid w:val="00695C52"/>
    <w:rsid w:val="00695DB5"/>
    <w:rsid w:val="00696DE9"/>
    <w:rsid w:val="00697B4F"/>
    <w:rsid w:val="006A4530"/>
    <w:rsid w:val="006A4B1A"/>
    <w:rsid w:val="006B21AA"/>
    <w:rsid w:val="006B2466"/>
    <w:rsid w:val="006B7BEF"/>
    <w:rsid w:val="006C074D"/>
    <w:rsid w:val="006C62F0"/>
    <w:rsid w:val="006C77AF"/>
    <w:rsid w:val="006D28C7"/>
    <w:rsid w:val="006D3548"/>
    <w:rsid w:val="006D66E0"/>
    <w:rsid w:val="006D7277"/>
    <w:rsid w:val="00700C4B"/>
    <w:rsid w:val="00701AED"/>
    <w:rsid w:val="007045C6"/>
    <w:rsid w:val="00705306"/>
    <w:rsid w:val="0070708F"/>
    <w:rsid w:val="007148C3"/>
    <w:rsid w:val="0071562E"/>
    <w:rsid w:val="00715A91"/>
    <w:rsid w:val="007172B5"/>
    <w:rsid w:val="007274DB"/>
    <w:rsid w:val="00732889"/>
    <w:rsid w:val="00733A03"/>
    <w:rsid w:val="007353CD"/>
    <w:rsid w:val="00747142"/>
    <w:rsid w:val="00755159"/>
    <w:rsid w:val="00761A1C"/>
    <w:rsid w:val="00762D45"/>
    <w:rsid w:val="007652C0"/>
    <w:rsid w:val="0076647E"/>
    <w:rsid w:val="007704E1"/>
    <w:rsid w:val="007734AC"/>
    <w:rsid w:val="0077530C"/>
    <w:rsid w:val="00775D84"/>
    <w:rsid w:val="00776996"/>
    <w:rsid w:val="00785754"/>
    <w:rsid w:val="00790E8E"/>
    <w:rsid w:val="00792109"/>
    <w:rsid w:val="00792A36"/>
    <w:rsid w:val="007936E6"/>
    <w:rsid w:val="00797C0B"/>
    <w:rsid w:val="007A097D"/>
    <w:rsid w:val="007A0E32"/>
    <w:rsid w:val="007B455D"/>
    <w:rsid w:val="007B59EA"/>
    <w:rsid w:val="007C07F6"/>
    <w:rsid w:val="007C1A14"/>
    <w:rsid w:val="007C1AE1"/>
    <w:rsid w:val="007C283C"/>
    <w:rsid w:val="007D0D30"/>
    <w:rsid w:val="007D3416"/>
    <w:rsid w:val="007D3EFB"/>
    <w:rsid w:val="007D4C64"/>
    <w:rsid w:val="007D5285"/>
    <w:rsid w:val="007D74B7"/>
    <w:rsid w:val="007E3B6A"/>
    <w:rsid w:val="007E66A3"/>
    <w:rsid w:val="007F1E32"/>
    <w:rsid w:val="007F417D"/>
    <w:rsid w:val="007F74C7"/>
    <w:rsid w:val="0080085D"/>
    <w:rsid w:val="008108D1"/>
    <w:rsid w:val="0081151E"/>
    <w:rsid w:val="008161A4"/>
    <w:rsid w:val="008271BA"/>
    <w:rsid w:val="00834A7F"/>
    <w:rsid w:val="0084080B"/>
    <w:rsid w:val="00841398"/>
    <w:rsid w:val="00842841"/>
    <w:rsid w:val="00846A71"/>
    <w:rsid w:val="008470F9"/>
    <w:rsid w:val="00850C37"/>
    <w:rsid w:val="00851814"/>
    <w:rsid w:val="0087271A"/>
    <w:rsid w:val="00873045"/>
    <w:rsid w:val="00880394"/>
    <w:rsid w:val="00887664"/>
    <w:rsid w:val="008916B0"/>
    <w:rsid w:val="00896A37"/>
    <w:rsid w:val="00897406"/>
    <w:rsid w:val="008A1384"/>
    <w:rsid w:val="008A2236"/>
    <w:rsid w:val="008A22CE"/>
    <w:rsid w:val="008A28C8"/>
    <w:rsid w:val="008B7726"/>
    <w:rsid w:val="008D06DD"/>
    <w:rsid w:val="008D1728"/>
    <w:rsid w:val="008D5CE9"/>
    <w:rsid w:val="008E0343"/>
    <w:rsid w:val="008E1C94"/>
    <w:rsid w:val="008E2089"/>
    <w:rsid w:val="008E314C"/>
    <w:rsid w:val="008E3620"/>
    <w:rsid w:val="008F0477"/>
    <w:rsid w:val="008F1423"/>
    <w:rsid w:val="008F3079"/>
    <w:rsid w:val="008F4F88"/>
    <w:rsid w:val="0090292E"/>
    <w:rsid w:val="00903F52"/>
    <w:rsid w:val="00907905"/>
    <w:rsid w:val="00910F2E"/>
    <w:rsid w:val="00917142"/>
    <w:rsid w:val="009244F5"/>
    <w:rsid w:val="00931D26"/>
    <w:rsid w:val="00932DB8"/>
    <w:rsid w:val="00934C30"/>
    <w:rsid w:val="009413D0"/>
    <w:rsid w:val="009428AB"/>
    <w:rsid w:val="009442F6"/>
    <w:rsid w:val="0095250D"/>
    <w:rsid w:val="00955542"/>
    <w:rsid w:val="009627A1"/>
    <w:rsid w:val="0096521A"/>
    <w:rsid w:val="00965BBD"/>
    <w:rsid w:val="00965C44"/>
    <w:rsid w:val="00970D73"/>
    <w:rsid w:val="00971A31"/>
    <w:rsid w:val="009739C9"/>
    <w:rsid w:val="00973DC1"/>
    <w:rsid w:val="009809C2"/>
    <w:rsid w:val="009955FF"/>
    <w:rsid w:val="00996EBB"/>
    <w:rsid w:val="009A32D5"/>
    <w:rsid w:val="009A530F"/>
    <w:rsid w:val="009A5C80"/>
    <w:rsid w:val="009B3008"/>
    <w:rsid w:val="009B400E"/>
    <w:rsid w:val="009B5841"/>
    <w:rsid w:val="009C0D07"/>
    <w:rsid w:val="009C5DA9"/>
    <w:rsid w:val="009C5DD3"/>
    <w:rsid w:val="009D16EE"/>
    <w:rsid w:val="009D1A4C"/>
    <w:rsid w:val="009E00AB"/>
    <w:rsid w:val="009E43E4"/>
    <w:rsid w:val="009F025B"/>
    <w:rsid w:val="009F4CF3"/>
    <w:rsid w:val="00A013BD"/>
    <w:rsid w:val="00A0302E"/>
    <w:rsid w:val="00A05825"/>
    <w:rsid w:val="00A066A8"/>
    <w:rsid w:val="00A14B44"/>
    <w:rsid w:val="00A25108"/>
    <w:rsid w:val="00A313CE"/>
    <w:rsid w:val="00A316A0"/>
    <w:rsid w:val="00A33B01"/>
    <w:rsid w:val="00A35EFE"/>
    <w:rsid w:val="00A368D6"/>
    <w:rsid w:val="00A44EC0"/>
    <w:rsid w:val="00A456AF"/>
    <w:rsid w:val="00A50F0F"/>
    <w:rsid w:val="00A520F2"/>
    <w:rsid w:val="00A52F29"/>
    <w:rsid w:val="00A5511F"/>
    <w:rsid w:val="00A664B1"/>
    <w:rsid w:val="00A71FB4"/>
    <w:rsid w:val="00A71FEC"/>
    <w:rsid w:val="00A72DED"/>
    <w:rsid w:val="00A72E10"/>
    <w:rsid w:val="00A74CE5"/>
    <w:rsid w:val="00A75F53"/>
    <w:rsid w:val="00A80888"/>
    <w:rsid w:val="00A90CB8"/>
    <w:rsid w:val="00A9210C"/>
    <w:rsid w:val="00A939FF"/>
    <w:rsid w:val="00A97E6F"/>
    <w:rsid w:val="00AA05A3"/>
    <w:rsid w:val="00AA08D3"/>
    <w:rsid w:val="00AA15E5"/>
    <w:rsid w:val="00AA7552"/>
    <w:rsid w:val="00AA778B"/>
    <w:rsid w:val="00AA7967"/>
    <w:rsid w:val="00AB247E"/>
    <w:rsid w:val="00AB3C13"/>
    <w:rsid w:val="00AB5E1D"/>
    <w:rsid w:val="00AB7C92"/>
    <w:rsid w:val="00AC22AF"/>
    <w:rsid w:val="00AC49C0"/>
    <w:rsid w:val="00AD2394"/>
    <w:rsid w:val="00AD50A0"/>
    <w:rsid w:val="00AD62A8"/>
    <w:rsid w:val="00AE0D61"/>
    <w:rsid w:val="00AE476A"/>
    <w:rsid w:val="00AE6A52"/>
    <w:rsid w:val="00AF2796"/>
    <w:rsid w:val="00AF2E90"/>
    <w:rsid w:val="00B0217E"/>
    <w:rsid w:val="00B07EBD"/>
    <w:rsid w:val="00B113D9"/>
    <w:rsid w:val="00B11DE5"/>
    <w:rsid w:val="00B13470"/>
    <w:rsid w:val="00B136C1"/>
    <w:rsid w:val="00B17325"/>
    <w:rsid w:val="00B1756E"/>
    <w:rsid w:val="00B22958"/>
    <w:rsid w:val="00B23973"/>
    <w:rsid w:val="00B36F9E"/>
    <w:rsid w:val="00B404D1"/>
    <w:rsid w:val="00B50A53"/>
    <w:rsid w:val="00B51C8E"/>
    <w:rsid w:val="00B60106"/>
    <w:rsid w:val="00B63E63"/>
    <w:rsid w:val="00B6653C"/>
    <w:rsid w:val="00B70998"/>
    <w:rsid w:val="00B71A6D"/>
    <w:rsid w:val="00B71D1B"/>
    <w:rsid w:val="00B74446"/>
    <w:rsid w:val="00B82653"/>
    <w:rsid w:val="00B84A1C"/>
    <w:rsid w:val="00B91327"/>
    <w:rsid w:val="00B92309"/>
    <w:rsid w:val="00B94E8D"/>
    <w:rsid w:val="00BA351D"/>
    <w:rsid w:val="00BA4536"/>
    <w:rsid w:val="00BA5228"/>
    <w:rsid w:val="00BB0C99"/>
    <w:rsid w:val="00BB39CC"/>
    <w:rsid w:val="00BC05FB"/>
    <w:rsid w:val="00BC34A7"/>
    <w:rsid w:val="00BC6A7E"/>
    <w:rsid w:val="00BC764C"/>
    <w:rsid w:val="00BD387F"/>
    <w:rsid w:val="00BD7595"/>
    <w:rsid w:val="00BE5B25"/>
    <w:rsid w:val="00BE5E5D"/>
    <w:rsid w:val="00BF55F3"/>
    <w:rsid w:val="00C0776A"/>
    <w:rsid w:val="00C11553"/>
    <w:rsid w:val="00C12577"/>
    <w:rsid w:val="00C1720A"/>
    <w:rsid w:val="00C302EB"/>
    <w:rsid w:val="00C30A5C"/>
    <w:rsid w:val="00C317BF"/>
    <w:rsid w:val="00C32FA2"/>
    <w:rsid w:val="00C41135"/>
    <w:rsid w:val="00C41D2B"/>
    <w:rsid w:val="00C5096B"/>
    <w:rsid w:val="00C52B03"/>
    <w:rsid w:val="00C52DCA"/>
    <w:rsid w:val="00C543BE"/>
    <w:rsid w:val="00C5457E"/>
    <w:rsid w:val="00C636D3"/>
    <w:rsid w:val="00C649E3"/>
    <w:rsid w:val="00C65A74"/>
    <w:rsid w:val="00C706DE"/>
    <w:rsid w:val="00C77B6B"/>
    <w:rsid w:val="00C8024C"/>
    <w:rsid w:val="00C810A4"/>
    <w:rsid w:val="00C83C34"/>
    <w:rsid w:val="00C93B77"/>
    <w:rsid w:val="00C95F1F"/>
    <w:rsid w:val="00CA4578"/>
    <w:rsid w:val="00CA674C"/>
    <w:rsid w:val="00CB16B9"/>
    <w:rsid w:val="00CB3EE7"/>
    <w:rsid w:val="00CC1D91"/>
    <w:rsid w:val="00CC1F67"/>
    <w:rsid w:val="00CC2550"/>
    <w:rsid w:val="00CC35FA"/>
    <w:rsid w:val="00CC5A7A"/>
    <w:rsid w:val="00CC7E38"/>
    <w:rsid w:val="00CD0E25"/>
    <w:rsid w:val="00CD2068"/>
    <w:rsid w:val="00CD739B"/>
    <w:rsid w:val="00CE0070"/>
    <w:rsid w:val="00CE3463"/>
    <w:rsid w:val="00CE36AF"/>
    <w:rsid w:val="00CE4866"/>
    <w:rsid w:val="00CE5B8A"/>
    <w:rsid w:val="00CE788F"/>
    <w:rsid w:val="00CF0980"/>
    <w:rsid w:val="00D0536D"/>
    <w:rsid w:val="00D06333"/>
    <w:rsid w:val="00D11DA5"/>
    <w:rsid w:val="00D13C30"/>
    <w:rsid w:val="00D13EE9"/>
    <w:rsid w:val="00D15E7F"/>
    <w:rsid w:val="00D2051C"/>
    <w:rsid w:val="00D218AD"/>
    <w:rsid w:val="00D307D7"/>
    <w:rsid w:val="00D30BA8"/>
    <w:rsid w:val="00D36025"/>
    <w:rsid w:val="00D37153"/>
    <w:rsid w:val="00D419A4"/>
    <w:rsid w:val="00D42991"/>
    <w:rsid w:val="00D441B3"/>
    <w:rsid w:val="00D477FC"/>
    <w:rsid w:val="00D5398C"/>
    <w:rsid w:val="00D55457"/>
    <w:rsid w:val="00D605E5"/>
    <w:rsid w:val="00D734F7"/>
    <w:rsid w:val="00D766E3"/>
    <w:rsid w:val="00D8331D"/>
    <w:rsid w:val="00D8643C"/>
    <w:rsid w:val="00D9370E"/>
    <w:rsid w:val="00D93C7F"/>
    <w:rsid w:val="00DA01E3"/>
    <w:rsid w:val="00DA02A5"/>
    <w:rsid w:val="00DA2137"/>
    <w:rsid w:val="00DA632E"/>
    <w:rsid w:val="00DA6EB2"/>
    <w:rsid w:val="00DB0F36"/>
    <w:rsid w:val="00DB519D"/>
    <w:rsid w:val="00DB7007"/>
    <w:rsid w:val="00DB766C"/>
    <w:rsid w:val="00DC0917"/>
    <w:rsid w:val="00DC11D8"/>
    <w:rsid w:val="00DC4CAE"/>
    <w:rsid w:val="00DD2DCA"/>
    <w:rsid w:val="00DD405C"/>
    <w:rsid w:val="00DD5008"/>
    <w:rsid w:val="00DD5601"/>
    <w:rsid w:val="00DD78FF"/>
    <w:rsid w:val="00DE349D"/>
    <w:rsid w:val="00DE5D07"/>
    <w:rsid w:val="00DF26E9"/>
    <w:rsid w:val="00DF29D9"/>
    <w:rsid w:val="00DF505E"/>
    <w:rsid w:val="00DF7808"/>
    <w:rsid w:val="00E01DE8"/>
    <w:rsid w:val="00E04C6A"/>
    <w:rsid w:val="00E102F4"/>
    <w:rsid w:val="00E12E29"/>
    <w:rsid w:val="00E14BB5"/>
    <w:rsid w:val="00E17155"/>
    <w:rsid w:val="00E24427"/>
    <w:rsid w:val="00E32EBA"/>
    <w:rsid w:val="00E34F94"/>
    <w:rsid w:val="00E4051C"/>
    <w:rsid w:val="00E41818"/>
    <w:rsid w:val="00E4292D"/>
    <w:rsid w:val="00E50053"/>
    <w:rsid w:val="00E51242"/>
    <w:rsid w:val="00E51988"/>
    <w:rsid w:val="00E55E87"/>
    <w:rsid w:val="00E60471"/>
    <w:rsid w:val="00E62144"/>
    <w:rsid w:val="00E66BD2"/>
    <w:rsid w:val="00E7222A"/>
    <w:rsid w:val="00E72956"/>
    <w:rsid w:val="00E72DDE"/>
    <w:rsid w:val="00E74696"/>
    <w:rsid w:val="00E74855"/>
    <w:rsid w:val="00E75DC5"/>
    <w:rsid w:val="00E76E9D"/>
    <w:rsid w:val="00E85BB6"/>
    <w:rsid w:val="00E932AD"/>
    <w:rsid w:val="00EA042F"/>
    <w:rsid w:val="00EB3E2E"/>
    <w:rsid w:val="00EC12C9"/>
    <w:rsid w:val="00EC7F04"/>
    <w:rsid w:val="00ED275F"/>
    <w:rsid w:val="00ED3CB5"/>
    <w:rsid w:val="00ED79D2"/>
    <w:rsid w:val="00EE01FB"/>
    <w:rsid w:val="00EE3555"/>
    <w:rsid w:val="00EF239A"/>
    <w:rsid w:val="00EF2CE5"/>
    <w:rsid w:val="00EF3A28"/>
    <w:rsid w:val="00EF501E"/>
    <w:rsid w:val="00EF70C0"/>
    <w:rsid w:val="00EF7A8E"/>
    <w:rsid w:val="00F06E02"/>
    <w:rsid w:val="00F07528"/>
    <w:rsid w:val="00F102DD"/>
    <w:rsid w:val="00F15174"/>
    <w:rsid w:val="00F16331"/>
    <w:rsid w:val="00F16498"/>
    <w:rsid w:val="00F233B9"/>
    <w:rsid w:val="00F26B4D"/>
    <w:rsid w:val="00F26B7C"/>
    <w:rsid w:val="00F27CF0"/>
    <w:rsid w:val="00F40178"/>
    <w:rsid w:val="00F46BC4"/>
    <w:rsid w:val="00F51AF6"/>
    <w:rsid w:val="00F61CC5"/>
    <w:rsid w:val="00F67281"/>
    <w:rsid w:val="00F71C8A"/>
    <w:rsid w:val="00F72AF2"/>
    <w:rsid w:val="00F77932"/>
    <w:rsid w:val="00F804B6"/>
    <w:rsid w:val="00F8308A"/>
    <w:rsid w:val="00F8447C"/>
    <w:rsid w:val="00F84B86"/>
    <w:rsid w:val="00F86526"/>
    <w:rsid w:val="00F87E5A"/>
    <w:rsid w:val="00F97624"/>
    <w:rsid w:val="00FA186E"/>
    <w:rsid w:val="00FA1F21"/>
    <w:rsid w:val="00FA2956"/>
    <w:rsid w:val="00FA405B"/>
    <w:rsid w:val="00FB12C2"/>
    <w:rsid w:val="00FB12E7"/>
    <w:rsid w:val="00FB4B76"/>
    <w:rsid w:val="00FC2C14"/>
    <w:rsid w:val="00FC3348"/>
    <w:rsid w:val="00FC52C6"/>
    <w:rsid w:val="00FC5BBF"/>
    <w:rsid w:val="00FE2628"/>
    <w:rsid w:val="00FE4D4F"/>
    <w:rsid w:val="00FE6657"/>
    <w:rsid w:val="00FE6B9D"/>
    <w:rsid w:val="00FF0432"/>
    <w:rsid w:val="00FF11F0"/>
    <w:rsid w:val="00FF7C56"/>
    <w:rsid w:val="09923B8A"/>
    <w:rsid w:val="3EF6BDD0"/>
    <w:rsid w:val="7FC24757"/>
    <w:rsid w:val="9EFFFBA9"/>
    <w:rsid w:val="FDFF3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7"/>
    <w:semiHidden/>
    <w:unhideWhenUsed/>
    <w:qFormat/>
    <w:uiPriority w:val="99"/>
    <w:rPr>
      <w:rFonts w:ascii="宋体" w:eastAsia="宋体"/>
      <w:sz w:val="18"/>
      <w:szCs w:val="18"/>
    </w:rPr>
  </w:style>
  <w:style w:type="paragraph" w:styleId="3">
    <w:name w:val="annotation text"/>
    <w:basedOn w:val="1"/>
    <w:link w:val="19"/>
    <w:semiHidden/>
    <w:unhideWhenUsed/>
    <w:qFormat/>
    <w:uiPriority w:val="99"/>
  </w:style>
  <w:style w:type="paragraph" w:styleId="4">
    <w:name w:val="Date"/>
    <w:basedOn w:val="1"/>
    <w:next w:val="1"/>
    <w:link w:val="18"/>
    <w:semiHidden/>
    <w:unhideWhenUsed/>
    <w:qFormat/>
    <w:uiPriority w:val="99"/>
    <w:pPr>
      <w:ind w:left="100" w:leftChars="2500"/>
    </w:pPr>
  </w:style>
  <w:style w:type="paragraph" w:styleId="5">
    <w:name w:val="Balloon Text"/>
    <w:basedOn w:val="1"/>
    <w:link w:val="21"/>
    <w:semiHidden/>
    <w:unhideWhenUsed/>
    <w:qFormat/>
    <w:uiPriority w:val="99"/>
    <w:pPr>
      <w:spacing w:after="0"/>
    </w:pPr>
    <w:rPr>
      <w:sz w:val="18"/>
      <w:szCs w:val="18"/>
    </w:rPr>
  </w:style>
  <w:style w:type="paragraph" w:styleId="6">
    <w:name w:val="footer"/>
    <w:basedOn w:val="1"/>
    <w:link w:val="16"/>
    <w:unhideWhenUsed/>
    <w:qFormat/>
    <w:uiPriority w:val="99"/>
    <w:pPr>
      <w:tabs>
        <w:tab w:val="center" w:pos="4153"/>
        <w:tab w:val="right" w:pos="8306"/>
      </w:tabs>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jc w:val="center"/>
    </w:pPr>
    <w:rPr>
      <w:sz w:val="18"/>
      <w:szCs w:val="18"/>
    </w:rPr>
  </w:style>
  <w:style w:type="paragraph" w:styleId="8">
    <w:name w:val="Normal (Web)"/>
    <w:basedOn w:val="1"/>
    <w:qFormat/>
    <w:uiPriority w:val="0"/>
    <w:pPr>
      <w:adjustRightInd/>
      <w:snapToGrid/>
      <w:spacing w:before="100" w:beforeAutospacing="1" w:after="100" w:afterAutospacing="1"/>
    </w:pPr>
    <w:rPr>
      <w:rFonts w:ascii="宋体" w:hAnsi="宋体" w:eastAsia="宋体" w:cs="Times New Roman"/>
      <w:color w:val="000000"/>
      <w:sz w:val="24"/>
      <w:szCs w:val="24"/>
    </w:rPr>
  </w:style>
  <w:style w:type="paragraph" w:styleId="9">
    <w:name w:val="annotation subject"/>
    <w:basedOn w:val="3"/>
    <w:next w:val="3"/>
    <w:link w:val="20"/>
    <w:semiHidden/>
    <w:unhideWhenUsed/>
    <w:qFormat/>
    <w:uiPriority w:val="99"/>
    <w:rPr>
      <w:b/>
      <w:bCs/>
    </w:rPr>
  </w:style>
  <w:style w:type="character" w:styleId="12">
    <w:name w:val="annotation reference"/>
    <w:basedOn w:val="11"/>
    <w:semiHidden/>
    <w:unhideWhenUsed/>
    <w:qFormat/>
    <w:uiPriority w:val="99"/>
    <w:rPr>
      <w:sz w:val="21"/>
      <w:szCs w:val="21"/>
    </w:rPr>
  </w:style>
  <w:style w:type="paragraph" w:styleId="13">
    <w:name w:val="List Paragraph"/>
    <w:basedOn w:val="1"/>
    <w:qFormat/>
    <w:uiPriority w:val="34"/>
    <w:pPr>
      <w:ind w:firstLine="420" w:firstLineChars="200"/>
    </w:pPr>
  </w:style>
  <w:style w:type="paragraph" w:customStyle="1" w:styleId="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5">
    <w:name w:val="页眉 字符"/>
    <w:basedOn w:val="11"/>
    <w:link w:val="7"/>
    <w:qFormat/>
    <w:uiPriority w:val="99"/>
    <w:rPr>
      <w:rFonts w:ascii="Tahoma" w:hAnsi="Tahoma"/>
      <w:sz w:val="18"/>
      <w:szCs w:val="18"/>
    </w:rPr>
  </w:style>
  <w:style w:type="character" w:customStyle="1" w:styleId="16">
    <w:name w:val="页脚 字符"/>
    <w:basedOn w:val="11"/>
    <w:link w:val="6"/>
    <w:qFormat/>
    <w:uiPriority w:val="99"/>
    <w:rPr>
      <w:rFonts w:ascii="Tahoma" w:hAnsi="Tahoma"/>
      <w:sz w:val="18"/>
      <w:szCs w:val="18"/>
    </w:rPr>
  </w:style>
  <w:style w:type="character" w:customStyle="1" w:styleId="17">
    <w:name w:val="文档结构图 字符"/>
    <w:basedOn w:val="11"/>
    <w:link w:val="2"/>
    <w:semiHidden/>
    <w:qFormat/>
    <w:uiPriority w:val="99"/>
    <w:rPr>
      <w:rFonts w:ascii="宋体" w:hAnsi="Tahoma" w:eastAsia="宋体"/>
      <w:sz w:val="18"/>
      <w:szCs w:val="18"/>
    </w:rPr>
  </w:style>
  <w:style w:type="character" w:customStyle="1" w:styleId="18">
    <w:name w:val="日期 字符"/>
    <w:basedOn w:val="11"/>
    <w:link w:val="4"/>
    <w:semiHidden/>
    <w:qFormat/>
    <w:uiPriority w:val="99"/>
    <w:rPr>
      <w:rFonts w:ascii="Tahoma" w:hAnsi="Tahoma"/>
    </w:rPr>
  </w:style>
  <w:style w:type="character" w:customStyle="1" w:styleId="19">
    <w:name w:val="批注文字 字符"/>
    <w:basedOn w:val="11"/>
    <w:link w:val="3"/>
    <w:semiHidden/>
    <w:qFormat/>
    <w:uiPriority w:val="99"/>
    <w:rPr>
      <w:rFonts w:ascii="Tahoma" w:hAnsi="Tahoma"/>
    </w:rPr>
  </w:style>
  <w:style w:type="character" w:customStyle="1" w:styleId="20">
    <w:name w:val="批注主题 字符"/>
    <w:basedOn w:val="19"/>
    <w:link w:val="9"/>
    <w:semiHidden/>
    <w:qFormat/>
    <w:uiPriority w:val="99"/>
    <w:rPr>
      <w:rFonts w:ascii="Tahoma" w:hAnsi="Tahoma"/>
      <w:b/>
      <w:bCs/>
    </w:rPr>
  </w:style>
  <w:style w:type="character" w:customStyle="1" w:styleId="21">
    <w:name w:val="批注框文本 字符"/>
    <w:basedOn w:val="11"/>
    <w:link w:val="5"/>
    <w:semiHidden/>
    <w:qFormat/>
    <w:uiPriority w:val="99"/>
    <w:rPr>
      <w:rFonts w:ascii="Tahoma" w:hAnsi="Tahoma"/>
      <w:sz w:val="18"/>
      <w:szCs w:val="18"/>
    </w:rPr>
  </w:style>
  <w:style w:type="paragraph" w:customStyle="1" w:styleId="22">
    <w:name w:val="Revision"/>
    <w:hidden/>
    <w:unhideWhenUsed/>
    <w:qFormat/>
    <w:uiPriority w:val="99"/>
    <w:rPr>
      <w:rFonts w:ascii="Tahoma" w:hAnsi="Tahoma" w:eastAsia="微软雅黑"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2D13DFD4-4D3D-4B32-A9B3-3E1C132AA6F2}">
  <ds:schemaRefs/>
</ds:datastoreItem>
</file>

<file path=docProps/app.xml><?xml version="1.0" encoding="utf-8"?>
<Properties xmlns="http://schemas.openxmlformats.org/officeDocument/2006/extended-properties" xmlns:vt="http://schemas.openxmlformats.org/officeDocument/2006/docPropsVTypes">
  <Template>Normal.dotm</Template>
  <Pages>6</Pages>
  <Words>324</Words>
  <Characters>1852</Characters>
  <Lines>15</Lines>
  <Paragraphs>4</Paragraphs>
  <TotalTime>146</TotalTime>
  <ScaleCrop>false</ScaleCrop>
  <LinksUpToDate>false</LinksUpToDate>
  <CharactersWithSpaces>2172</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2026-05-23T06:58:00Z</dcterms:created>
  <dc:creator>Administrator</dc:creator>
  <cp:lastModifiedBy>user</cp:lastModifiedBy>
  <cp:lastPrinted>2018-03-17T11:10:00Z</cp:lastPrinted>
  <dcterms:modified xsi:type="dcterms:W3CDTF">2026-06-16T15:38:45Z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eyJoZGlkIjoiMGQ1OGEzMTM0N2U3YmJlMjEyN2YzYzVhM2E3NDRmNGEiLCJ1c2VySWQiOiI0NTA1OTg2MDYifQ==</vt:lpwstr>
  </property>
  <property fmtid="{D5CDD505-2E9C-101B-9397-08002B2CF9AE}" pid="3" name="KSOProductBuildVer">
    <vt:lpwstr>2052-12.8.2.1113</vt:lpwstr>
  </property>
  <property fmtid="{D5CDD505-2E9C-101B-9397-08002B2CF9AE}" pid="4" name="ICV">
    <vt:lpwstr>532C2B1D62BF42C4B900C4E8848D8942_12</vt:lpwstr>
  </property>
</Properties>
</file>