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numPr>
          <w:ilvl w:val="0"/>
          <w:numId w:val="0"/>
        </w:numPr>
        <w:bidi w:val="0"/>
        <w:ind w:leftChars="0"/>
        <w:jc w:val="center"/>
        <w:rPr>
          <w:rFonts w:hint="eastAsia"/>
          <w:color w:val="auto"/>
          <w:lang w:val="en-US" w:eastAsia="zh-CN"/>
        </w:rPr>
      </w:pPr>
      <w:bookmarkStart w:id="0" w:name="_Toc9375"/>
      <w:r>
        <w:rPr>
          <w:rFonts w:hint="eastAsia"/>
          <w:color w:val="auto"/>
          <w:lang w:val="en-US" w:eastAsia="zh-CN"/>
        </w:rPr>
        <w:t>上海市科技艺术教育中心青少年科创体验中心开办项目</w:t>
      </w:r>
    </w:p>
    <w:p>
      <w:pPr>
        <w:pStyle w:val="3"/>
        <w:numPr>
          <w:ilvl w:val="0"/>
          <w:numId w:val="0"/>
        </w:numPr>
        <w:bidi w:val="0"/>
        <w:ind w:leftChars="0"/>
        <w:jc w:val="center"/>
        <w:rPr>
          <w:rFonts w:hint="eastAsia"/>
          <w:color w:val="auto"/>
          <w:lang w:val="en-US" w:eastAsia="zh-CN"/>
        </w:rPr>
      </w:pPr>
      <w:r>
        <w:rPr>
          <w:rFonts w:hint="eastAsia"/>
          <w:color w:val="auto"/>
          <w:lang w:val="en-US" w:eastAsia="zh-CN"/>
        </w:rPr>
        <w:t>LED大屏系统项目</w:t>
      </w:r>
    </w:p>
    <w:p>
      <w:pPr>
        <w:pStyle w:val="3"/>
        <w:bidi w:val="0"/>
        <w:rPr>
          <w:rFonts w:hint="eastAsia"/>
          <w:color w:val="auto"/>
          <w:lang w:val="en-US" w:eastAsia="zh-CN"/>
        </w:rPr>
      </w:pPr>
      <w:r>
        <w:rPr>
          <w:rFonts w:hint="eastAsia"/>
          <w:color w:val="auto"/>
          <w:lang w:val="en-US" w:eastAsia="zh-CN"/>
        </w:rPr>
        <w:t>项目采购需求</w:t>
      </w:r>
      <w:bookmarkEnd w:id="0"/>
      <w:bookmarkStart w:id="5" w:name="_GoBack"/>
      <w:bookmarkEnd w:id="5"/>
    </w:p>
    <w:p>
      <w:pPr>
        <w:pStyle w:val="4"/>
        <w:bidi w:val="0"/>
        <w:rPr>
          <w:rFonts w:hint="eastAsia"/>
          <w:color w:val="auto"/>
          <w:lang w:val="en-US" w:eastAsia="zh-CN"/>
        </w:rPr>
      </w:pPr>
      <w:bookmarkStart w:id="1" w:name="_Toc18144"/>
      <w:r>
        <w:rPr>
          <w:rFonts w:hint="eastAsia"/>
          <w:color w:val="auto"/>
          <w:lang w:val="en-US" w:eastAsia="zh-CN"/>
        </w:rPr>
        <w:t>项目概况</w:t>
      </w:r>
      <w:bookmarkEnd w:id="1"/>
    </w:p>
    <w:p>
      <w:pPr>
        <w:pStyle w:val="5"/>
        <w:bidi w:val="0"/>
        <w:rPr>
          <w:rFonts w:hint="eastAsia"/>
          <w:color w:val="auto"/>
          <w:lang w:val="en-US" w:eastAsia="zh-CN"/>
        </w:rPr>
      </w:pPr>
      <w:bookmarkStart w:id="2" w:name="_Toc9572"/>
      <w:r>
        <w:rPr>
          <w:rFonts w:hint="eastAsia"/>
          <w:color w:val="auto"/>
          <w:lang w:val="en-US" w:eastAsia="zh-CN"/>
        </w:rPr>
        <w:t>项目背景</w:t>
      </w:r>
      <w:bookmarkEnd w:id="2"/>
    </w:p>
    <w:p>
      <w:pPr>
        <w:bidi w:val="0"/>
        <w:rPr>
          <w:rFonts w:hint="eastAsia"/>
          <w:color w:val="auto"/>
          <w:lang w:val="en-US" w:eastAsia="zh-CN"/>
        </w:rPr>
      </w:pPr>
      <w:r>
        <w:rPr>
          <w:rFonts w:hint="eastAsia"/>
          <w:color w:val="auto"/>
          <w:lang w:val="en-US" w:eastAsia="zh-CN"/>
        </w:rPr>
        <w:t>本项目为上海市科技艺术教育中心青少年科创体验中心开办项目LED大屏系统项目。上海市青少年科创体验中心（以下简称中心）是面向青少年设立的公益性科技创新实践平台。中心汇聚高校、科研院所及企业资源，构建了人工智能、机器人、生物科技等主题互动展区与开放实验室，配备3D打印、VR/AR等前沿设备。通过主题课程与科创赛事辅导，中心致力于激发青少年科学兴趣，培养其创新思维与实践能力。中心立志成为：</w:t>
      </w:r>
    </w:p>
    <w:p>
      <w:pPr>
        <w:bidi w:val="0"/>
        <w:rPr>
          <w:rFonts w:hint="eastAsia"/>
          <w:color w:val="auto"/>
          <w:lang w:val="en-US" w:eastAsia="zh-CN"/>
        </w:rPr>
      </w:pPr>
      <w:r>
        <w:rPr>
          <w:rFonts w:hint="eastAsia"/>
          <w:color w:val="auto"/>
          <w:lang w:val="en-US" w:eastAsia="zh-CN"/>
        </w:rPr>
        <w:t>育人示范基地：坚持五育融合，培育核心素养，适应多样需求，探索教育规律；</w:t>
      </w:r>
    </w:p>
    <w:p>
      <w:pPr>
        <w:bidi w:val="0"/>
        <w:rPr>
          <w:rFonts w:hint="eastAsia"/>
          <w:color w:val="auto"/>
          <w:lang w:val="en-US" w:eastAsia="zh-CN"/>
        </w:rPr>
      </w:pPr>
      <w:r>
        <w:rPr>
          <w:rFonts w:hint="eastAsia"/>
          <w:color w:val="auto"/>
          <w:lang w:val="en-US" w:eastAsia="zh-CN"/>
        </w:rPr>
        <w:t>创新实践先锋：秉持公益性，倡导新理念，运用新技术，创立新模式；</w:t>
      </w:r>
    </w:p>
    <w:p>
      <w:pPr>
        <w:bidi w:val="0"/>
        <w:rPr>
          <w:rFonts w:hint="eastAsia"/>
          <w:color w:val="auto"/>
          <w:lang w:val="en-US" w:eastAsia="zh-CN"/>
        </w:rPr>
      </w:pPr>
      <w:r>
        <w:rPr>
          <w:rFonts w:hint="eastAsia"/>
          <w:color w:val="auto"/>
          <w:lang w:val="en-US" w:eastAsia="zh-CN"/>
        </w:rPr>
        <w:t>资源服务枢纽：协同社会力量，整合优质资源，提供专业服务，推动共同发展。</w:t>
      </w:r>
    </w:p>
    <w:p>
      <w:pPr>
        <w:bidi w:val="0"/>
        <w:rPr>
          <w:rFonts w:hint="eastAsia"/>
          <w:color w:val="auto"/>
          <w:lang w:val="en-US" w:eastAsia="zh-CN"/>
        </w:rPr>
      </w:pPr>
      <w:r>
        <w:rPr>
          <w:rFonts w:hint="eastAsia"/>
          <w:color w:val="auto"/>
          <w:lang w:val="en-US" w:eastAsia="zh-CN"/>
        </w:rPr>
        <w:t>本项目通过打造集沉浸式体验、互动探索、项目化学习与长周期培养于一体的创新教育空间与拔尖创新人才孵化平台，系统性支撑青少年科技创新教育发展，围绕真实世界的议题与发展趋势，通过“虫洞”体系，全方位构建从课程内容、实践平台到社会与科学资源的支持网络，培养学生发现与解决实际问题的能力。引导学生像科学家一样，针对有意义的现实问题，综合运用学科知识、跨领域思维及工程实践，形成创新成果。作为“新时代升级版的少科站”，推动以下升级：</w:t>
      </w:r>
    </w:p>
    <w:p>
      <w:pPr>
        <w:bidi w:val="0"/>
        <w:rPr>
          <w:rFonts w:hint="eastAsia"/>
          <w:color w:val="auto"/>
          <w:lang w:val="en-US" w:eastAsia="zh-CN"/>
        </w:rPr>
      </w:pPr>
      <w:r>
        <w:rPr>
          <w:rFonts w:hint="eastAsia"/>
          <w:color w:val="auto"/>
          <w:lang w:val="en-US" w:eastAsia="zh-CN"/>
        </w:rPr>
        <w:t>育人模式升级：强化体验与实践，赋予学生面向未来的信心；</w:t>
      </w:r>
    </w:p>
    <w:p>
      <w:pPr>
        <w:bidi w:val="0"/>
        <w:rPr>
          <w:rFonts w:hint="eastAsia"/>
          <w:color w:val="auto"/>
          <w:lang w:val="en-US" w:eastAsia="zh-CN"/>
        </w:rPr>
      </w:pPr>
      <w:r>
        <w:rPr>
          <w:rFonts w:hint="eastAsia"/>
          <w:color w:val="auto"/>
          <w:lang w:val="en-US" w:eastAsia="zh-CN"/>
        </w:rPr>
        <w:t>实践场景升级：深化教学互动，促进师生共同成长；</w:t>
      </w:r>
    </w:p>
    <w:p>
      <w:pPr>
        <w:bidi w:val="0"/>
        <w:rPr>
          <w:rFonts w:hint="eastAsia"/>
          <w:color w:val="auto"/>
          <w:lang w:val="en-US" w:eastAsia="zh-CN"/>
        </w:rPr>
      </w:pPr>
      <w:r>
        <w:rPr>
          <w:rFonts w:hint="eastAsia"/>
          <w:color w:val="auto"/>
          <w:lang w:val="en-US" w:eastAsia="zh-CN"/>
        </w:rPr>
        <w:t>赛事体系升级：融合教育空间，优化以赛促评的机制；</w:t>
      </w:r>
    </w:p>
    <w:p>
      <w:pPr>
        <w:bidi w:val="0"/>
        <w:rPr>
          <w:rFonts w:hint="eastAsia"/>
          <w:color w:val="auto"/>
          <w:lang w:val="en-US" w:eastAsia="zh-CN"/>
        </w:rPr>
      </w:pPr>
      <w:r>
        <w:rPr>
          <w:rFonts w:hint="eastAsia"/>
          <w:color w:val="auto"/>
          <w:lang w:val="en-US" w:eastAsia="zh-CN"/>
        </w:rPr>
        <w:t>资源枢纽升级：汇聚优质资源，服务各级学校与师生需求。</w:t>
      </w:r>
    </w:p>
    <w:p>
      <w:pPr>
        <w:pStyle w:val="5"/>
        <w:bidi w:val="0"/>
        <w:rPr>
          <w:rFonts w:hint="eastAsia"/>
          <w:color w:val="auto"/>
          <w:lang w:val="en-US" w:eastAsia="zh-CN"/>
        </w:rPr>
      </w:pPr>
      <w:bookmarkStart w:id="3" w:name="_Toc12559"/>
      <w:r>
        <w:rPr>
          <w:rFonts w:hint="eastAsia"/>
          <w:color w:val="auto"/>
          <w:lang w:val="en-US" w:eastAsia="zh-CN"/>
        </w:rPr>
        <w:t>项目地点</w:t>
      </w:r>
      <w:bookmarkEnd w:id="3"/>
    </w:p>
    <w:p>
      <w:pPr>
        <w:bidi w:val="0"/>
        <w:rPr>
          <w:rFonts w:hint="eastAsia"/>
          <w:color w:val="auto"/>
          <w:lang w:val="en-US" w:eastAsia="zh-CN"/>
        </w:rPr>
      </w:pPr>
      <w:r>
        <w:rPr>
          <w:rFonts w:hint="eastAsia"/>
          <w:color w:val="auto"/>
          <w:lang w:val="en-US" w:eastAsia="zh-CN"/>
        </w:rPr>
        <w:t>上海市青少年科创体验中心</w:t>
      </w:r>
    </w:p>
    <w:p>
      <w:pPr>
        <w:pStyle w:val="5"/>
        <w:bidi w:val="0"/>
        <w:rPr>
          <w:rFonts w:hint="eastAsia"/>
          <w:color w:val="auto"/>
          <w:lang w:val="en-US" w:eastAsia="zh-CN"/>
        </w:rPr>
      </w:pPr>
      <w:bookmarkStart w:id="4" w:name="_Toc16788"/>
      <w:r>
        <w:rPr>
          <w:rFonts w:hint="eastAsia"/>
          <w:color w:val="auto"/>
          <w:lang w:val="en-US" w:eastAsia="zh-CN"/>
        </w:rPr>
        <w:t>项目内容</w:t>
      </w:r>
      <w:bookmarkEnd w:id="4"/>
    </w:p>
    <w:p>
      <w:pPr>
        <w:bidi w:val="0"/>
        <w:rPr>
          <w:rFonts w:hint="eastAsia"/>
          <w:color w:val="auto"/>
          <w:lang w:val="en-US" w:eastAsia="zh-CN"/>
        </w:rPr>
      </w:pPr>
      <w:r>
        <w:rPr>
          <w:rFonts w:hint="eastAsia"/>
          <w:color w:val="auto"/>
          <w:lang w:val="en-US" w:eastAsia="zh-CN"/>
        </w:rPr>
        <w:t>本次采购范围涵盖但不限于：LED显示设备、安装支架、智能配电箱、视频处理器等配套设备及安装调试（含配套桥架、线管、电缆电线、网络等控制信号线缆，详见货物采购清单）。供应商须负责所供货物的深化设计、生产、供货、运输、安装、调试、试运行、培训及验收等全过程服务。</w:t>
      </w:r>
    </w:p>
    <w:p>
      <w:pPr>
        <w:keepNext w:val="0"/>
        <w:keepLines w:val="0"/>
        <w:widowControl/>
        <w:suppressLineNumbers w:val="0"/>
        <w:jc w:val="left"/>
        <w:rPr>
          <w:color w:val="auto"/>
        </w:rPr>
      </w:pPr>
      <w:r>
        <w:rPr>
          <w:rFonts w:hint="eastAsia" w:ascii="宋体" w:hAnsi="宋体" w:eastAsia="宋体" w:cs="宋体"/>
          <w:b/>
          <w:bCs/>
          <w:color w:val="auto"/>
          <w:kern w:val="0"/>
          <w:sz w:val="24"/>
          <w:szCs w:val="24"/>
          <w:lang w:val="en-US" w:eastAsia="zh-CN" w:bidi="ar"/>
        </w:rPr>
        <w:t xml:space="preserve">功能整体要求 </w:t>
      </w:r>
    </w:p>
    <w:p>
      <w:pPr>
        <w:pStyle w:val="24"/>
        <w:spacing w:after="85"/>
        <w:ind w:left="0" w:leftChars="-188" w:hanging="451" w:hangingChars="188"/>
        <w:rPr>
          <w:rFonts w:hint="eastAsia"/>
          <w:color w:val="auto"/>
          <w:lang w:val="en-US" w:eastAsia="zh-CN"/>
        </w:rPr>
      </w:pPr>
      <w:r>
        <w:rPr>
          <w:rFonts w:hint="eastAsia" w:cstheme="minorBidi"/>
          <w:color w:val="auto"/>
          <w:kern w:val="2"/>
          <w:sz w:val="24"/>
          <w:szCs w:val="24"/>
          <w:lang w:val="en-US" w:eastAsia="zh-CN" w:bidi="ar-SA"/>
        </w:rPr>
        <w:t xml:space="preserve">    </w:t>
      </w:r>
      <w:r>
        <w:rPr>
          <w:rFonts w:hint="eastAsia" w:ascii="宋体" w:hAnsi="宋体" w:eastAsia="宋体" w:cstheme="minorBidi"/>
          <w:color w:val="auto"/>
          <w:kern w:val="2"/>
          <w:sz w:val="24"/>
          <w:szCs w:val="24"/>
          <w:lang w:val="en-US" w:eastAsia="zh-CN" w:bidi="ar-SA"/>
        </w:rPr>
        <w:t>超高清呈现：近距离观看仍无颗粒感，细节更真实；</w:t>
      </w:r>
    </w:p>
    <w:p>
      <w:pPr>
        <w:pStyle w:val="24"/>
        <w:spacing w:after="85"/>
        <w:ind w:left="0" w:leftChars="-188" w:hanging="451" w:hangingChars="188"/>
        <w:rPr>
          <w:rFonts w:hint="eastAsia"/>
          <w:color w:val="auto"/>
          <w:lang w:val="en-US" w:eastAsia="zh-CN"/>
        </w:rPr>
      </w:pPr>
      <w:r>
        <w:rPr>
          <w:rFonts w:hint="eastAsia" w:cstheme="minorBidi"/>
          <w:color w:val="auto"/>
          <w:kern w:val="2"/>
          <w:sz w:val="24"/>
          <w:szCs w:val="24"/>
          <w:lang w:val="en-US" w:eastAsia="zh-CN" w:bidi="ar-SA"/>
        </w:rPr>
        <w:t xml:space="preserve">    </w:t>
      </w:r>
      <w:r>
        <w:rPr>
          <w:rFonts w:hint="eastAsia" w:ascii="宋体" w:hAnsi="宋体" w:eastAsia="宋体" w:cstheme="minorBidi"/>
          <w:color w:val="auto"/>
          <w:kern w:val="2"/>
          <w:sz w:val="24"/>
          <w:szCs w:val="24"/>
          <w:lang w:val="en-US" w:eastAsia="zh-CN" w:bidi="ar-SA"/>
        </w:rPr>
        <w:t>稳定可靠：支持长时间不间断运行，零黑屏、零故障；</w:t>
      </w:r>
    </w:p>
    <w:p>
      <w:pPr>
        <w:pStyle w:val="24"/>
        <w:spacing w:after="85"/>
        <w:ind w:left="0" w:leftChars="-188" w:hanging="451" w:hangingChars="188"/>
        <w:rPr>
          <w:rFonts w:hint="eastAsia"/>
          <w:color w:val="auto"/>
          <w:lang w:val="en-US" w:eastAsia="zh-CN"/>
        </w:rPr>
      </w:pPr>
      <w:r>
        <w:rPr>
          <w:rFonts w:hint="eastAsia" w:cstheme="minorBidi"/>
          <w:color w:val="auto"/>
          <w:kern w:val="2"/>
          <w:sz w:val="24"/>
          <w:szCs w:val="24"/>
          <w:lang w:val="en-US" w:eastAsia="zh-CN" w:bidi="ar-SA"/>
        </w:rPr>
        <w:t xml:space="preserve">    </w:t>
      </w:r>
      <w:r>
        <w:rPr>
          <w:rFonts w:hint="eastAsia" w:ascii="宋体" w:hAnsi="宋体" w:eastAsia="宋体" w:cstheme="minorBidi"/>
          <w:color w:val="auto"/>
          <w:kern w:val="2"/>
          <w:sz w:val="24"/>
          <w:szCs w:val="24"/>
          <w:lang w:val="en-US" w:eastAsia="zh-CN" w:bidi="ar-SA"/>
        </w:rPr>
        <w:t>沉浸体验：高对比、广视角，营造科技感与未来感；</w:t>
      </w:r>
    </w:p>
    <w:p>
      <w:pPr>
        <w:pStyle w:val="24"/>
        <w:spacing w:after="85"/>
        <w:ind w:left="0" w:leftChars="-188" w:hanging="451" w:hangingChars="188"/>
        <w:rPr>
          <w:rFonts w:hint="eastAsia"/>
          <w:color w:val="auto"/>
          <w:lang w:val="en-US" w:eastAsia="zh-CN"/>
        </w:rPr>
      </w:pPr>
      <w:r>
        <w:rPr>
          <w:rFonts w:hint="eastAsia" w:cstheme="minorBidi"/>
          <w:color w:val="auto"/>
          <w:kern w:val="2"/>
          <w:sz w:val="24"/>
          <w:szCs w:val="24"/>
          <w:lang w:val="en-US" w:eastAsia="zh-CN" w:bidi="ar-SA"/>
        </w:rPr>
        <w:t xml:space="preserve">    </w:t>
      </w:r>
      <w:r>
        <w:rPr>
          <w:rFonts w:hint="eastAsia" w:ascii="宋体" w:hAnsi="宋体" w:eastAsia="宋体" w:cstheme="minorBidi"/>
          <w:color w:val="auto"/>
          <w:kern w:val="2"/>
          <w:sz w:val="24"/>
          <w:szCs w:val="24"/>
          <w:lang w:val="en-US" w:eastAsia="zh-CN" w:bidi="ar-SA"/>
        </w:rPr>
        <w:t>绿色低碳：低功耗运行，契合中心的可持续理念；</w:t>
      </w:r>
    </w:p>
    <w:p>
      <w:pPr>
        <w:bidi w:val="0"/>
        <w:rPr>
          <w:rFonts w:hint="eastAsia"/>
          <w:b/>
          <w:bCs/>
          <w:color w:val="auto"/>
          <w:lang w:val="en-US" w:eastAsia="zh-CN"/>
        </w:rPr>
      </w:pPr>
      <w:r>
        <w:rPr>
          <w:rFonts w:hint="eastAsia"/>
          <w:b/>
          <w:bCs/>
          <w:color w:val="auto"/>
          <w:lang w:val="en-US" w:eastAsia="zh-CN"/>
        </w:rPr>
        <w:t>特别要求</w:t>
      </w:r>
    </w:p>
    <w:p>
      <w:pPr>
        <w:bidi w:val="0"/>
        <w:rPr>
          <w:rFonts w:hint="eastAsia"/>
          <w:color w:val="auto"/>
          <w:lang w:val="en-US" w:eastAsia="zh-CN"/>
        </w:rPr>
      </w:pPr>
      <w:r>
        <w:rPr>
          <w:rFonts w:hint="eastAsia"/>
          <w:color w:val="auto"/>
          <w:lang w:val="en-US" w:eastAsia="zh-CN"/>
        </w:rPr>
        <w:t>本项目总集供应商另行组织标段招标采购，本项目中标供应商需对接总集供应商，在本次采购范围涵盖内积极响应总集供应商安装、调试、培训等配套管理工作。本项目中标供应商须充分考虑项目实施过程中因场地条件、功能需求变化或设计优化等因素导致的方案调整，配合采购人及管理单位进行优化设计方案，提供深化设计配合服务，确保高质量完成LED显示系统设备安装调试工作。</w:t>
      </w:r>
    </w:p>
    <w:p>
      <w:pPr>
        <w:ind w:firstLine="420" w:firstLineChars="0"/>
        <w:rPr>
          <w:rFonts w:hint="eastAsia" w:ascii="Calibri" w:hAnsi="Calibri" w:cs="Times New Roman"/>
          <w:color w:val="auto"/>
        </w:rPr>
      </w:pPr>
      <w:r>
        <w:rPr>
          <w:rFonts w:hint="eastAsia" w:ascii="Calibri" w:hAnsi="Calibri" w:cs="Times New Roman"/>
          <w:b/>
          <w:bCs/>
          <w:color w:val="auto"/>
          <w:lang w:eastAsia="zh-CN"/>
        </w:rPr>
        <w:t>投标报价包含全部费用</w:t>
      </w:r>
      <w:r>
        <w:rPr>
          <w:rFonts w:hint="eastAsia" w:ascii="Calibri" w:hAnsi="Calibri" w:cs="Times New Roman"/>
          <w:b w:val="0"/>
          <w:bCs w:val="0"/>
          <w:color w:val="auto"/>
          <w:lang w:eastAsia="zh-CN"/>
        </w:rPr>
        <w:t>：本项目投标总价为包干总价，包含设备、深化设计、供货运输、装卸、辅材、支架结构、线缆桥架、安装、调试、联调、培训、检测、验收、质保、备品备件、现场配合、保险、税费等一切完成本项目交付使用的全部费用。</w:t>
      </w:r>
      <w:r>
        <w:rPr>
          <w:rFonts w:hint="eastAsia" w:ascii="Calibri" w:hAnsi="Calibri" w:cs="Times New Roman"/>
          <w:color w:val="auto"/>
        </w:rPr>
        <w:br w:type="page"/>
      </w:r>
    </w:p>
    <w:p>
      <w:pPr>
        <w:pStyle w:val="4"/>
        <w:bidi w:val="0"/>
        <w:rPr>
          <w:rFonts w:hint="eastAsia"/>
          <w:color w:val="auto"/>
          <w:lang w:val="en-US" w:eastAsia="zh-CN"/>
        </w:rPr>
      </w:pPr>
      <w:r>
        <w:rPr>
          <w:rFonts w:hint="eastAsia"/>
          <w:color w:val="auto"/>
          <w:lang w:val="en-US" w:eastAsia="zh-CN"/>
        </w:rPr>
        <w:t>供货期及实施进度</w:t>
      </w:r>
    </w:p>
    <w:p>
      <w:pPr>
        <w:pStyle w:val="5"/>
        <w:bidi w:val="0"/>
        <w:rPr>
          <w:rFonts w:hint="eastAsia"/>
          <w:color w:val="auto"/>
          <w:lang w:val="en-US" w:eastAsia="zh-CN"/>
        </w:rPr>
      </w:pPr>
      <w:r>
        <w:rPr>
          <w:rFonts w:hint="eastAsia"/>
          <w:color w:val="auto"/>
          <w:lang w:val="en-US" w:eastAsia="zh-CN"/>
        </w:rPr>
        <w:t>总体供货期</w:t>
      </w:r>
    </w:p>
    <w:p>
      <w:pPr>
        <w:keepNext w:val="0"/>
        <w:keepLines w:val="0"/>
        <w:pageBreakBefore w:val="0"/>
        <w:widowControl w:val="0"/>
        <w:kinsoku/>
        <w:wordWrap/>
        <w:overflowPunct/>
        <w:topLinePunct w:val="0"/>
        <w:autoSpaceDE/>
        <w:autoSpaceDN/>
        <w:bidi w:val="0"/>
        <w:adjustRightInd/>
        <w:snapToGrid/>
        <w:spacing w:before="157" w:beforeLines="50" w:line="480" w:lineRule="exact"/>
        <w:ind w:firstLine="420" w:firstLineChars="0"/>
        <w:textAlignment w:val="auto"/>
        <w:rPr>
          <w:rFonts w:hint="eastAsia" w:ascii="Calibri" w:hAnsi="Calibri" w:cs="Times New Roman"/>
          <w:color w:val="auto"/>
          <w:sz w:val="24"/>
          <w:szCs w:val="24"/>
        </w:rPr>
      </w:pPr>
      <w:r>
        <w:rPr>
          <w:rFonts w:hint="eastAsia" w:ascii="Calibri" w:hAnsi="Calibri" w:cs="Times New Roman"/>
          <w:color w:val="auto"/>
          <w:sz w:val="24"/>
          <w:szCs w:val="24"/>
          <w:lang w:val="en-US" w:eastAsia="zh-CN"/>
        </w:rPr>
        <w:t>自合同签订生效之日起30天</w:t>
      </w:r>
      <w:r>
        <w:rPr>
          <w:rFonts w:hint="eastAsia" w:ascii="Calibri" w:hAnsi="Calibri" w:cs="Times New Roman"/>
          <w:color w:val="auto"/>
          <w:sz w:val="24"/>
          <w:szCs w:val="24"/>
        </w:rPr>
        <w:t>内完成全部货物的供货、安装调试及验收交付（具体以合同约定为准）。</w:t>
      </w:r>
    </w:p>
    <w:p>
      <w:pPr>
        <w:pStyle w:val="5"/>
        <w:bidi w:val="0"/>
        <w:rPr>
          <w:rFonts w:hint="eastAsia"/>
          <w:color w:val="auto"/>
          <w:lang w:val="en-US" w:eastAsia="zh-CN"/>
        </w:rPr>
      </w:pPr>
      <w:r>
        <w:rPr>
          <w:rFonts w:hint="eastAsia"/>
          <w:color w:val="auto"/>
          <w:lang w:val="en-US" w:eastAsia="zh-CN"/>
        </w:rPr>
        <w:t>进度配合要求</w:t>
      </w:r>
    </w:p>
    <w:p>
      <w:pPr>
        <w:keepNext w:val="0"/>
        <w:keepLines w:val="0"/>
        <w:pageBreakBefore w:val="0"/>
        <w:widowControl w:val="0"/>
        <w:kinsoku/>
        <w:wordWrap/>
        <w:overflowPunct/>
        <w:topLinePunct w:val="0"/>
        <w:autoSpaceDE/>
        <w:autoSpaceDN/>
        <w:bidi w:val="0"/>
        <w:adjustRightInd/>
        <w:snapToGrid/>
        <w:spacing w:before="157" w:beforeLines="50" w:line="480" w:lineRule="exact"/>
        <w:ind w:firstLine="420" w:firstLineChars="0"/>
        <w:textAlignment w:val="auto"/>
        <w:rPr>
          <w:rFonts w:hint="eastAsia" w:ascii="Calibri" w:hAnsi="Calibri" w:cs="Times New Roman"/>
          <w:color w:val="auto"/>
          <w:sz w:val="24"/>
          <w:szCs w:val="24"/>
        </w:rPr>
      </w:pPr>
      <w:r>
        <w:rPr>
          <w:rFonts w:hint="eastAsia" w:ascii="Calibri" w:hAnsi="Calibri" w:cs="Times New Roman"/>
          <w:color w:val="auto"/>
          <w:sz w:val="24"/>
          <w:szCs w:val="24"/>
        </w:rPr>
        <w:t>供应商须无条件配合土建、装修及其他专业分包单位的施工进度，根据现场实际情况调整安装时序，确保与整体工程同步推进。</w:t>
      </w:r>
    </w:p>
    <w:p>
      <w:pPr>
        <w:keepNext w:val="0"/>
        <w:keepLines w:val="0"/>
        <w:pageBreakBefore w:val="0"/>
        <w:widowControl w:val="0"/>
        <w:kinsoku/>
        <w:wordWrap/>
        <w:overflowPunct/>
        <w:topLinePunct w:val="0"/>
        <w:autoSpaceDE/>
        <w:autoSpaceDN/>
        <w:bidi w:val="0"/>
        <w:adjustRightInd/>
        <w:snapToGrid/>
        <w:spacing w:before="157" w:beforeLines="50" w:line="480" w:lineRule="exact"/>
        <w:ind w:firstLine="420" w:firstLineChars="0"/>
        <w:textAlignment w:val="auto"/>
        <w:rPr>
          <w:rFonts w:hint="eastAsia" w:ascii="Calibri" w:hAnsi="Calibri" w:cs="Times New Roman"/>
          <w:color w:val="auto"/>
          <w:sz w:val="24"/>
          <w:szCs w:val="24"/>
        </w:rPr>
      </w:pPr>
    </w:p>
    <w:p>
      <w:pPr>
        <w:ind w:firstLine="0" w:firstLineChars="0"/>
        <w:rPr>
          <w:rFonts w:hint="eastAsia" w:ascii="Calibri" w:hAnsi="Calibri" w:cs="Times New Roman"/>
          <w:color w:val="auto"/>
        </w:rPr>
      </w:pPr>
      <w:r>
        <w:rPr>
          <w:rFonts w:hint="eastAsia" w:ascii="Calibri" w:hAnsi="Calibri" w:cs="Times New Roman"/>
          <w:color w:val="auto"/>
        </w:rPr>
        <w:br w:type="page"/>
      </w:r>
    </w:p>
    <w:p>
      <w:pPr>
        <w:pStyle w:val="4"/>
        <w:bidi w:val="0"/>
        <w:rPr>
          <w:rFonts w:hint="eastAsia" w:ascii="Calibri" w:hAnsi="Calibri" w:cs="Times New Roman"/>
          <w:color w:val="auto"/>
          <w:sz w:val="24"/>
          <w:szCs w:val="24"/>
        </w:rPr>
      </w:pPr>
      <w:r>
        <w:rPr>
          <w:rFonts w:hint="eastAsia"/>
          <w:color w:val="auto"/>
          <w:lang w:val="en-US" w:eastAsia="zh-CN"/>
        </w:rPr>
        <w:t>质保期及售后服务</w:t>
      </w:r>
    </w:p>
    <w:p>
      <w:pPr>
        <w:pStyle w:val="5"/>
        <w:bidi w:val="0"/>
        <w:rPr>
          <w:rFonts w:hint="eastAsia"/>
          <w:color w:val="auto"/>
          <w:lang w:val="en-US" w:eastAsia="zh-CN"/>
        </w:rPr>
      </w:pPr>
      <w:r>
        <w:rPr>
          <w:rFonts w:hint="eastAsia"/>
          <w:color w:val="auto"/>
          <w:lang w:val="en-US" w:eastAsia="zh-CN"/>
        </w:rPr>
        <w:t>质保期限</w:t>
      </w:r>
    </w:p>
    <w:p>
      <w:pPr>
        <w:keepNext w:val="0"/>
        <w:keepLines w:val="0"/>
        <w:pageBreakBefore w:val="0"/>
        <w:widowControl w:val="0"/>
        <w:kinsoku/>
        <w:wordWrap/>
        <w:overflowPunct/>
        <w:topLinePunct w:val="0"/>
        <w:autoSpaceDE/>
        <w:autoSpaceDN/>
        <w:bidi w:val="0"/>
        <w:adjustRightInd/>
        <w:snapToGrid/>
        <w:spacing w:before="157" w:beforeLines="50" w:line="480" w:lineRule="exact"/>
        <w:ind w:firstLine="420" w:firstLineChars="0"/>
        <w:textAlignment w:val="auto"/>
        <w:rPr>
          <w:rFonts w:hint="eastAsia" w:ascii="Calibri" w:hAnsi="Calibri" w:cs="Times New Roman"/>
          <w:color w:val="auto"/>
          <w:sz w:val="24"/>
          <w:szCs w:val="24"/>
        </w:rPr>
      </w:pPr>
      <w:r>
        <w:rPr>
          <w:rFonts w:hint="eastAsia" w:ascii="Calibri" w:hAnsi="Calibri" w:cs="Times New Roman"/>
          <w:color w:val="auto"/>
          <w:sz w:val="24"/>
          <w:szCs w:val="24"/>
        </w:rPr>
        <w:t xml:space="preserve">整体质保期：自最终验收合格之日起不少于 </w:t>
      </w:r>
      <w:r>
        <w:rPr>
          <w:rFonts w:hint="eastAsia" w:ascii="Calibri" w:hAnsi="Calibri" w:cs="Times New Roman"/>
          <w:color w:val="auto"/>
          <w:sz w:val="24"/>
          <w:szCs w:val="24"/>
          <w:lang w:val="en-US" w:eastAsia="zh-CN"/>
        </w:rPr>
        <w:t>2</w:t>
      </w:r>
      <w:r>
        <w:rPr>
          <w:rFonts w:hint="eastAsia" w:ascii="Calibri" w:hAnsi="Calibri" w:cs="Times New Roman"/>
          <w:color w:val="auto"/>
          <w:sz w:val="24"/>
          <w:szCs w:val="24"/>
        </w:rPr>
        <w:t>年</w:t>
      </w:r>
    </w:p>
    <w:p>
      <w:pPr>
        <w:pStyle w:val="5"/>
        <w:bidi w:val="0"/>
        <w:rPr>
          <w:rFonts w:hint="eastAsia"/>
          <w:color w:val="auto"/>
          <w:lang w:val="en-US" w:eastAsia="zh-CN"/>
        </w:rPr>
      </w:pPr>
      <w:r>
        <w:rPr>
          <w:rFonts w:hint="eastAsia"/>
          <w:color w:val="auto"/>
          <w:lang w:val="en-US" w:eastAsia="zh-CN"/>
        </w:rPr>
        <w:t>质保期内服务</w:t>
      </w:r>
    </w:p>
    <w:p>
      <w:pPr>
        <w:keepNext w:val="0"/>
        <w:keepLines w:val="0"/>
        <w:pageBreakBefore w:val="0"/>
        <w:widowControl w:val="0"/>
        <w:kinsoku/>
        <w:wordWrap/>
        <w:overflowPunct/>
        <w:topLinePunct w:val="0"/>
        <w:autoSpaceDE/>
        <w:autoSpaceDN/>
        <w:bidi w:val="0"/>
        <w:adjustRightInd/>
        <w:snapToGrid/>
        <w:spacing w:before="157" w:beforeLines="50" w:line="480" w:lineRule="exact"/>
        <w:ind w:firstLine="420" w:firstLineChars="0"/>
        <w:textAlignment w:val="auto"/>
        <w:rPr>
          <w:rFonts w:hint="eastAsia" w:ascii="Calibri" w:hAnsi="Calibri" w:cs="Times New Roman"/>
          <w:color w:val="auto"/>
          <w:sz w:val="24"/>
          <w:szCs w:val="24"/>
          <w:highlight w:val="yellow"/>
        </w:rPr>
      </w:pPr>
      <w:r>
        <w:rPr>
          <w:rFonts w:hint="eastAsia" w:ascii="Calibri" w:hAnsi="Calibri" w:cs="Times New Roman"/>
          <w:color w:val="auto"/>
          <w:sz w:val="24"/>
          <w:szCs w:val="24"/>
          <w:highlight w:val="none"/>
        </w:rPr>
        <w:t>7×24小时响应：提供全天候技术支持热线，接到报修通知后</w:t>
      </w:r>
      <w:r>
        <w:rPr>
          <w:rFonts w:hint="eastAsia" w:ascii="Calibri" w:hAnsi="Calibri" w:cs="Times New Roman"/>
          <w:color w:val="auto"/>
          <w:sz w:val="24"/>
          <w:szCs w:val="24"/>
          <w:highlight w:val="none"/>
          <w:lang w:val="en-US" w:eastAsia="zh-CN"/>
        </w:rPr>
        <w:t>0.5</w:t>
      </w:r>
      <w:r>
        <w:rPr>
          <w:rFonts w:hint="eastAsia" w:ascii="Calibri" w:hAnsi="Calibri" w:cs="Times New Roman"/>
          <w:color w:val="auto"/>
          <w:sz w:val="24"/>
          <w:szCs w:val="24"/>
          <w:highlight w:val="none"/>
        </w:rPr>
        <w:t>小时内响应，</w:t>
      </w:r>
      <w:r>
        <w:rPr>
          <w:rFonts w:hint="eastAsia" w:ascii="Calibri" w:hAnsi="Calibri" w:cs="Times New Roman"/>
          <w:color w:val="auto"/>
          <w:sz w:val="24"/>
          <w:szCs w:val="24"/>
          <w:highlight w:val="none"/>
          <w:lang w:val="en-US" w:eastAsia="zh-CN"/>
        </w:rPr>
        <w:t>2</w:t>
      </w:r>
      <w:r>
        <w:rPr>
          <w:rFonts w:hint="eastAsia" w:ascii="Calibri" w:hAnsi="Calibri" w:cs="Times New Roman"/>
          <w:color w:val="auto"/>
          <w:sz w:val="24"/>
          <w:szCs w:val="24"/>
          <w:highlight w:val="none"/>
        </w:rPr>
        <w:t>小时内到达现场（市内），一般故障</w:t>
      </w:r>
      <w:r>
        <w:rPr>
          <w:rFonts w:hint="eastAsia" w:ascii="Calibri" w:hAnsi="Calibri" w:cs="Times New Roman"/>
          <w:color w:val="auto"/>
          <w:sz w:val="24"/>
          <w:szCs w:val="24"/>
          <w:highlight w:val="none"/>
          <w:lang w:val="en-US" w:eastAsia="zh-CN"/>
        </w:rPr>
        <w:t>4</w:t>
      </w:r>
      <w:r>
        <w:rPr>
          <w:rFonts w:hint="eastAsia" w:ascii="Calibri" w:hAnsi="Calibri" w:cs="Times New Roman"/>
          <w:color w:val="auto"/>
          <w:sz w:val="24"/>
          <w:szCs w:val="24"/>
          <w:highlight w:val="none"/>
        </w:rPr>
        <w:t>小时内修复。</w:t>
      </w:r>
    </w:p>
    <w:p>
      <w:pPr>
        <w:keepNext w:val="0"/>
        <w:keepLines w:val="0"/>
        <w:pageBreakBefore w:val="0"/>
        <w:widowControl w:val="0"/>
        <w:kinsoku/>
        <w:wordWrap/>
        <w:overflowPunct/>
        <w:topLinePunct w:val="0"/>
        <w:autoSpaceDE/>
        <w:autoSpaceDN/>
        <w:bidi w:val="0"/>
        <w:adjustRightInd/>
        <w:snapToGrid/>
        <w:spacing w:before="157" w:beforeLines="50" w:line="480" w:lineRule="exact"/>
        <w:ind w:firstLine="420" w:firstLineChars="0"/>
        <w:textAlignment w:val="auto"/>
        <w:rPr>
          <w:rFonts w:hint="eastAsia" w:ascii="Calibri" w:hAnsi="Calibri" w:cs="Times New Roman"/>
          <w:color w:val="auto"/>
          <w:sz w:val="24"/>
          <w:szCs w:val="24"/>
        </w:rPr>
      </w:pPr>
      <w:r>
        <w:rPr>
          <w:rFonts w:hint="eastAsia" w:ascii="Calibri" w:hAnsi="Calibri" w:cs="Times New Roman"/>
          <w:color w:val="auto"/>
          <w:sz w:val="24"/>
          <w:szCs w:val="24"/>
        </w:rPr>
        <w:t>备品备件保障：在</w:t>
      </w:r>
      <w:r>
        <w:rPr>
          <w:rFonts w:hint="eastAsia" w:ascii="Calibri" w:hAnsi="Calibri" w:cs="Times New Roman"/>
          <w:color w:val="auto"/>
          <w:sz w:val="24"/>
          <w:szCs w:val="24"/>
          <w:lang w:val="en-US" w:eastAsia="zh-CN"/>
        </w:rPr>
        <w:t>项目地</w:t>
      </w:r>
      <w:r>
        <w:rPr>
          <w:rFonts w:hint="eastAsia" w:ascii="Calibri" w:hAnsi="Calibri" w:cs="Times New Roman"/>
          <w:color w:val="auto"/>
          <w:sz w:val="24"/>
          <w:szCs w:val="24"/>
        </w:rPr>
        <w:t>设立备品备件库</w:t>
      </w:r>
      <w:r>
        <w:rPr>
          <w:rFonts w:hint="eastAsia" w:ascii="Calibri" w:hAnsi="Calibri" w:cs="Times New Roman"/>
          <w:color w:val="auto"/>
          <w:sz w:val="24"/>
          <w:szCs w:val="24"/>
          <w:lang w:eastAsia="zh-CN"/>
        </w:rPr>
        <w:t>，</w:t>
      </w:r>
      <w:r>
        <w:rPr>
          <w:rFonts w:hint="eastAsia" w:ascii="Calibri" w:hAnsi="Calibri" w:cs="Times New Roman"/>
          <w:color w:val="auto"/>
          <w:sz w:val="24"/>
          <w:szCs w:val="24"/>
          <w:lang w:val="en-US" w:eastAsia="zh-CN"/>
        </w:rPr>
        <w:t>各规格LED显示面板、连接线、接收卡、电源组件现场备货不低于本项目同规格总量的2%，供维修周转使用</w:t>
      </w:r>
      <w:r>
        <w:rPr>
          <w:rFonts w:hint="eastAsia" w:ascii="Calibri" w:hAnsi="Calibri" w:cs="Times New Roman"/>
          <w:color w:val="auto"/>
          <w:sz w:val="24"/>
          <w:szCs w:val="24"/>
        </w:rPr>
        <w:t>，关键设备故障无法修复时提供同档次或更高档次备用机，确保教学活动不受影响。</w:t>
      </w:r>
    </w:p>
    <w:p>
      <w:pPr>
        <w:keepNext w:val="0"/>
        <w:keepLines w:val="0"/>
        <w:pageBreakBefore w:val="0"/>
        <w:widowControl w:val="0"/>
        <w:kinsoku/>
        <w:wordWrap/>
        <w:overflowPunct/>
        <w:topLinePunct w:val="0"/>
        <w:autoSpaceDE/>
        <w:autoSpaceDN/>
        <w:bidi w:val="0"/>
        <w:adjustRightInd/>
        <w:snapToGrid/>
        <w:spacing w:before="157" w:beforeLines="50" w:line="480" w:lineRule="exact"/>
        <w:ind w:firstLine="420" w:firstLineChars="0"/>
        <w:textAlignment w:val="auto"/>
        <w:rPr>
          <w:rFonts w:hint="default" w:ascii="Calibri" w:hAnsi="Calibri" w:eastAsia="宋体" w:cs="Times New Roman"/>
          <w:color w:val="auto"/>
          <w:sz w:val="24"/>
          <w:szCs w:val="24"/>
          <w:lang w:val="en-US" w:eastAsia="zh-CN"/>
        </w:rPr>
      </w:pPr>
      <w:r>
        <w:rPr>
          <w:rFonts w:hint="eastAsia" w:ascii="Calibri" w:hAnsi="Calibri" w:cs="Times New Roman"/>
          <w:color w:val="auto"/>
          <w:sz w:val="24"/>
          <w:szCs w:val="24"/>
        </w:rPr>
        <w:t>定期巡检维护：</w:t>
      </w:r>
      <w:r>
        <w:rPr>
          <w:rFonts w:hint="eastAsia" w:ascii="Calibri" w:hAnsi="Calibri" w:cs="Times New Roman"/>
          <w:b/>
          <w:bCs/>
          <w:color w:val="auto"/>
          <w:sz w:val="24"/>
          <w:szCs w:val="24"/>
          <w:highlight w:val="none"/>
          <w:lang w:val="en-US" w:eastAsia="zh-CN"/>
        </w:rPr>
        <w:t>每周</w:t>
      </w:r>
      <w:r>
        <w:rPr>
          <w:rFonts w:hint="eastAsia" w:ascii="Calibri" w:hAnsi="Calibri" w:cs="Times New Roman"/>
          <w:color w:val="auto"/>
          <w:sz w:val="24"/>
          <w:szCs w:val="24"/>
          <w:highlight w:val="none"/>
          <w:lang w:val="en-US" w:eastAsia="zh-CN"/>
        </w:rPr>
        <w:t>开展一次主动维修服务，对使用中出现的损坏点进行更换维修。</w:t>
      </w:r>
      <w:r>
        <w:rPr>
          <w:rFonts w:hint="eastAsia" w:ascii="Calibri" w:hAnsi="Calibri" w:cs="Times New Roman"/>
          <w:b/>
          <w:bCs/>
          <w:color w:val="auto"/>
          <w:sz w:val="24"/>
          <w:szCs w:val="24"/>
          <w:highlight w:val="none"/>
        </w:rPr>
        <w:t>每</w:t>
      </w:r>
      <w:r>
        <w:rPr>
          <w:rFonts w:hint="eastAsia" w:ascii="Calibri" w:hAnsi="Calibri" w:cs="Times New Roman"/>
          <w:b/>
          <w:bCs/>
          <w:color w:val="auto"/>
          <w:sz w:val="24"/>
          <w:szCs w:val="24"/>
          <w:highlight w:val="none"/>
          <w:lang w:val="en-US" w:eastAsia="zh-CN"/>
        </w:rPr>
        <w:t>月</w:t>
      </w:r>
      <w:r>
        <w:rPr>
          <w:rFonts w:hint="eastAsia" w:ascii="Calibri" w:hAnsi="Calibri" w:cs="Times New Roman"/>
          <w:color w:val="auto"/>
          <w:sz w:val="24"/>
          <w:szCs w:val="24"/>
          <w:highlight w:val="none"/>
        </w:rPr>
        <w:t>度开展一次主动巡检维护服务，出具设备运行状态报告及维护建议。</w:t>
      </w:r>
    </w:p>
    <w:p>
      <w:pPr>
        <w:pStyle w:val="5"/>
        <w:bidi w:val="0"/>
        <w:rPr>
          <w:rFonts w:hint="eastAsia"/>
          <w:color w:val="auto"/>
          <w:lang w:val="en-US" w:eastAsia="zh-CN"/>
        </w:rPr>
      </w:pPr>
      <w:r>
        <w:rPr>
          <w:rFonts w:hint="eastAsia"/>
          <w:color w:val="auto"/>
          <w:lang w:val="en-US" w:eastAsia="zh-CN"/>
        </w:rPr>
        <w:t>质保期满后服务</w:t>
      </w:r>
    </w:p>
    <w:p>
      <w:pPr>
        <w:keepNext w:val="0"/>
        <w:keepLines w:val="0"/>
        <w:pageBreakBefore w:val="0"/>
        <w:widowControl w:val="0"/>
        <w:kinsoku/>
        <w:wordWrap/>
        <w:overflowPunct/>
        <w:topLinePunct w:val="0"/>
        <w:autoSpaceDE/>
        <w:autoSpaceDN/>
        <w:bidi w:val="0"/>
        <w:adjustRightInd/>
        <w:snapToGrid/>
        <w:spacing w:before="157" w:beforeLines="50" w:line="480" w:lineRule="exact"/>
        <w:ind w:firstLine="420" w:firstLineChars="0"/>
        <w:textAlignment w:val="auto"/>
        <w:rPr>
          <w:rFonts w:hint="eastAsia" w:ascii="Calibri" w:hAnsi="Calibri" w:cs="Times New Roman"/>
          <w:color w:val="auto"/>
          <w:sz w:val="24"/>
          <w:szCs w:val="24"/>
        </w:rPr>
      </w:pPr>
      <w:r>
        <w:rPr>
          <w:rFonts w:hint="eastAsia" w:ascii="Calibri" w:hAnsi="Calibri" w:cs="Times New Roman"/>
          <w:color w:val="auto"/>
          <w:sz w:val="24"/>
          <w:szCs w:val="24"/>
        </w:rPr>
        <w:t>提供终身技术支持，维保费用不得超过原合同金额的</w:t>
      </w:r>
      <w:r>
        <w:rPr>
          <w:rFonts w:hint="eastAsia" w:ascii="Calibri" w:hAnsi="Calibri" w:cs="Times New Roman"/>
          <w:color w:val="auto"/>
          <w:sz w:val="24"/>
          <w:szCs w:val="24"/>
          <w:lang w:val="en-US" w:eastAsia="zh-CN"/>
        </w:rPr>
        <w:t>3</w:t>
      </w:r>
      <w:r>
        <w:rPr>
          <w:rFonts w:hint="eastAsia" w:ascii="Calibri" w:hAnsi="Calibri" w:cs="Times New Roman"/>
          <w:color w:val="auto"/>
          <w:sz w:val="24"/>
          <w:szCs w:val="24"/>
        </w:rPr>
        <w:t>%/年。优先保障备品备件供应期限不少于设备投入使用后</w:t>
      </w:r>
      <w:r>
        <w:rPr>
          <w:rFonts w:hint="eastAsia" w:ascii="Calibri" w:hAnsi="Calibri" w:cs="Times New Roman"/>
          <w:color w:val="auto"/>
          <w:sz w:val="24"/>
          <w:szCs w:val="24"/>
          <w:lang w:val="en-US" w:eastAsia="zh-CN"/>
        </w:rPr>
        <w:t>5</w:t>
      </w:r>
      <w:r>
        <w:rPr>
          <w:rFonts w:hint="eastAsia" w:ascii="Calibri" w:hAnsi="Calibri" w:cs="Times New Roman"/>
          <w:color w:val="auto"/>
          <w:sz w:val="24"/>
          <w:szCs w:val="24"/>
        </w:rPr>
        <w:t>年。</w:t>
      </w:r>
    </w:p>
    <w:p>
      <w:pPr>
        <w:ind w:firstLine="0" w:firstLineChars="0"/>
        <w:rPr>
          <w:rFonts w:hint="eastAsia" w:ascii="Calibri" w:hAnsi="Calibri" w:cs="Times New Roman"/>
          <w:color w:val="auto"/>
        </w:rPr>
      </w:pPr>
      <w:r>
        <w:rPr>
          <w:rFonts w:hint="eastAsia" w:ascii="Calibri" w:hAnsi="Calibri" w:cs="Times New Roman"/>
          <w:color w:val="auto"/>
        </w:rPr>
        <w:br w:type="page"/>
      </w:r>
    </w:p>
    <w:p>
      <w:pPr>
        <w:pStyle w:val="4"/>
        <w:bidi w:val="0"/>
        <w:rPr>
          <w:rFonts w:hint="eastAsia"/>
          <w:color w:val="auto"/>
          <w:lang w:val="en-US" w:eastAsia="zh-CN"/>
        </w:rPr>
      </w:pPr>
      <w:r>
        <w:rPr>
          <w:rFonts w:hint="eastAsia"/>
          <w:color w:val="auto"/>
          <w:lang w:val="en-US" w:eastAsia="zh-CN"/>
        </w:rPr>
        <w:t>货物清单</w:t>
      </w:r>
    </w:p>
    <w:p>
      <w:pPr>
        <w:pStyle w:val="5"/>
        <w:bidi w:val="0"/>
        <w:rPr>
          <w:rFonts w:hint="eastAsia" w:ascii="Calibri" w:hAnsi="Calibri" w:cs="Times New Roman"/>
          <w:color w:val="auto"/>
          <w:szCs w:val="24"/>
          <w:lang w:val="en-US" w:eastAsia="zh-CN"/>
        </w:rPr>
      </w:pPr>
      <w:r>
        <w:rPr>
          <w:rFonts w:hint="eastAsia" w:ascii="Calibri" w:hAnsi="Calibri" w:cs="Times New Roman"/>
          <w:color w:val="auto"/>
          <w:szCs w:val="24"/>
          <w:lang w:val="en-US" w:eastAsia="zh-CN"/>
        </w:rPr>
        <w:t>货物需求清单</w:t>
      </w:r>
    </w:p>
    <w:tbl>
      <w:tblPr>
        <w:tblStyle w:val="8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9"/>
        <w:gridCol w:w="2307"/>
        <w:gridCol w:w="1389"/>
        <w:gridCol w:w="1200"/>
        <w:gridCol w:w="23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21" w:hRule="atLeast"/>
        </w:trPr>
        <w:tc>
          <w:tcPr>
            <w:tcW w:w="7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420" w:firstLineChars="20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序号</w:t>
            </w:r>
          </w:p>
        </w:tc>
        <w:tc>
          <w:tcPr>
            <w:tcW w:w="1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设备名称</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数量</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210" w:firstLineChars="10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单位</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300" w:hRule="atLeast"/>
        </w:trPr>
        <w:tc>
          <w:tcPr>
            <w:tcW w:w="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室内LED屏P1.25COB</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（核心</w:t>
            </w:r>
            <w:r>
              <w:rPr>
                <w:rFonts w:hint="eastAsia" w:cs="宋体"/>
                <w:i w:val="0"/>
                <w:iCs w:val="0"/>
                <w:color w:val="auto"/>
                <w:kern w:val="0"/>
                <w:sz w:val="20"/>
                <w:szCs w:val="20"/>
                <w:u w:val="none"/>
                <w:lang w:val="en-US" w:eastAsia="zh-CN" w:bidi="ar"/>
              </w:rPr>
              <w:t>产品</w:t>
            </w:r>
            <w:r>
              <w:rPr>
                <w:rFonts w:hint="eastAsia" w:ascii="宋体" w:hAnsi="宋体" w:eastAsia="宋体" w:cs="宋体"/>
                <w:i w:val="0"/>
                <w:iCs w:val="0"/>
                <w:color w:val="auto"/>
                <w:kern w:val="0"/>
                <w:sz w:val="20"/>
                <w:szCs w:val="20"/>
                <w:u w:val="none"/>
                <w:lang w:val="en-US" w:eastAsia="zh-CN" w:bidi="ar"/>
              </w:rPr>
              <w:t>）</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111.78</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210" w:firstLineChars="10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平方</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包含包边，结构，智能电箱，接收卡发送卡、视频处理器以及综合布线等配件及辅材。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300" w:hRule="atLeast"/>
        </w:trPr>
        <w:tc>
          <w:tcPr>
            <w:tcW w:w="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室内LED屏P1.25COB</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5.67</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210" w:firstLineChars="10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平方</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包含包边，结构，智能电箱，接收卡发送卡、视频处理器以及综合布线等配件及辅材。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300" w:hRule="atLeast"/>
        </w:trPr>
        <w:tc>
          <w:tcPr>
            <w:tcW w:w="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室内LED屏P1.25COB</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5.67</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210" w:firstLineChars="10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平方</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包含包边，结构，智能电箱，接收卡发送卡、视频处理器以及综合布线等配件及辅材。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300" w:hRule="atLeast"/>
        </w:trPr>
        <w:tc>
          <w:tcPr>
            <w:tcW w:w="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室内LED屏P1.25COB</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5.67</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210" w:firstLineChars="10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平方</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包含包边，结构，智能电箱，接收卡发送卡、视频处理器以及综合布线等配件及辅材。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300" w:hRule="atLeast"/>
        </w:trPr>
        <w:tc>
          <w:tcPr>
            <w:tcW w:w="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23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室内LED屏P1.25COB</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5.67</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210" w:firstLineChars="10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平方</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包含包边，结构，智能电箱，接收卡发送卡、视频处理器以及综合布线等配件及辅材。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0" w:hRule="atLeast"/>
        </w:trPr>
        <w:tc>
          <w:tcPr>
            <w:tcW w:w="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无缝高清矩阵切换器</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630" w:firstLineChars="30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420" w:firstLineChars="20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0" w:hRule="atLeast"/>
        </w:trPr>
        <w:tc>
          <w:tcPr>
            <w:tcW w:w="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HDMI 超高清无缝输入卡</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630" w:firstLineChars="30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0" w:hRule="atLeast"/>
        </w:trPr>
        <w:tc>
          <w:tcPr>
            <w:tcW w:w="7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HDMI 超高清无缝输出卡</w:t>
            </w:r>
          </w:p>
        </w:tc>
        <w:tc>
          <w:tcPr>
            <w:tcW w:w="8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630" w:firstLineChars="30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u w:val="none"/>
              </w:rPr>
            </w:pPr>
          </w:p>
        </w:tc>
      </w:tr>
    </w:tbl>
    <w:p>
      <w:pPr>
        <w:keepNext w:val="0"/>
        <w:keepLines w:val="0"/>
        <w:pageBreakBefore w:val="0"/>
        <w:widowControl w:val="0"/>
        <w:kinsoku/>
        <w:wordWrap/>
        <w:overflowPunct/>
        <w:topLinePunct w:val="0"/>
        <w:autoSpaceDE/>
        <w:autoSpaceDN/>
        <w:bidi w:val="0"/>
        <w:adjustRightInd/>
        <w:snapToGrid/>
        <w:spacing w:before="157" w:beforeLines="50" w:line="480" w:lineRule="exact"/>
        <w:ind w:firstLine="0" w:firstLineChars="0"/>
        <w:textAlignment w:val="auto"/>
        <w:rPr>
          <w:rFonts w:hint="default" w:ascii="Calibri" w:hAnsi="Calibri" w:cs="Times New Roman"/>
          <w:color w:val="auto"/>
          <w:sz w:val="24"/>
          <w:szCs w:val="24"/>
          <w:lang w:val="en-US" w:eastAsia="zh-CN"/>
        </w:rPr>
      </w:pPr>
    </w:p>
    <w:p>
      <w:pPr>
        <w:bidi w:val="0"/>
        <w:rPr>
          <w:rFonts w:hint="eastAsia"/>
          <w:color w:val="auto"/>
        </w:rPr>
      </w:pPr>
      <w:r>
        <w:rPr>
          <w:rFonts w:hint="eastAsia"/>
          <w:color w:val="auto"/>
        </w:rPr>
        <w:t>清单调整机制：本项目货物清单为基准清单，实施过程中因功能优化、场地限制或招标人需求调整，经双方确认的清单调整（数量增减或型号优化），供应商须无条件配合，单价按合同约定的变更计价原则执行。</w:t>
      </w:r>
    </w:p>
    <w:p>
      <w:pPr>
        <w:keepNext w:val="0"/>
        <w:keepLines w:val="0"/>
        <w:widowControl/>
        <w:suppressLineNumbers w:val="0"/>
        <w:jc w:val="left"/>
        <w:rPr>
          <w:rFonts w:hint="eastAsia"/>
          <w:color w:val="auto"/>
        </w:rPr>
      </w:pPr>
      <w:r>
        <w:rPr>
          <w:rFonts w:hint="eastAsia" w:ascii="宋体" w:hAnsi="宋体" w:eastAsia="宋体" w:cstheme="minorBidi"/>
          <w:i w:val="0"/>
          <w:iCs w:val="0"/>
          <w:caps w:val="0"/>
          <w:color w:val="auto"/>
          <w:spacing w:val="0"/>
          <w:kern w:val="2"/>
          <w:sz w:val="24"/>
          <w:szCs w:val="24"/>
          <w:shd w:val="clear"/>
          <w:lang w:val="en-US" w:eastAsia="zh-CN" w:bidi="ar"/>
        </w:rPr>
        <w:t>★</w:t>
      </w:r>
      <w:r>
        <w:rPr>
          <w:rFonts w:hint="eastAsia" w:ascii="宋体" w:hAnsi="宋体" w:eastAsia="宋体" w:cstheme="minorBidi"/>
          <w:i w:val="0"/>
          <w:iCs w:val="0"/>
          <w:color w:val="auto"/>
          <w:kern w:val="2"/>
          <w:sz w:val="24"/>
          <w:szCs w:val="24"/>
          <w:u w:val="none"/>
          <w:lang w:val="en-US" w:eastAsia="zh-CN" w:bidi="ar"/>
        </w:rPr>
        <w:t>室内LED屏</w:t>
      </w:r>
      <w:r>
        <w:rPr>
          <w:rFonts w:hint="eastAsia" w:cstheme="minorBidi"/>
          <w:i w:val="0"/>
          <w:iCs w:val="0"/>
          <w:color w:val="auto"/>
          <w:kern w:val="2"/>
          <w:sz w:val="24"/>
          <w:szCs w:val="24"/>
          <w:u w:val="none"/>
          <w:lang w:val="en-US" w:eastAsia="zh-CN" w:bidi="ar"/>
        </w:rPr>
        <w:t>须为同一品牌。</w:t>
      </w:r>
    </w:p>
    <w:p>
      <w:pPr>
        <w:bidi w:val="0"/>
        <w:rPr>
          <w:rFonts w:hint="default" w:eastAsia="宋体"/>
          <w:color w:val="auto"/>
          <w:lang w:val="en-US" w:eastAsia="zh-CN"/>
        </w:rPr>
      </w:pPr>
    </w:p>
    <w:p>
      <w:pPr>
        <w:pStyle w:val="5"/>
        <w:bidi w:val="0"/>
        <w:rPr>
          <w:rFonts w:hint="default"/>
          <w:color w:val="auto"/>
          <w:lang w:val="en-US" w:eastAsia="zh-CN"/>
        </w:rPr>
      </w:pPr>
      <w:r>
        <w:rPr>
          <w:rFonts w:hint="eastAsia"/>
          <w:color w:val="auto"/>
          <w:lang w:val="en-US" w:eastAsia="zh-CN"/>
        </w:rPr>
        <w:t>设备规格参数要求（纳入评分的技术要求）</w:t>
      </w:r>
    </w:p>
    <w:tbl>
      <w:tblPr>
        <w:tblStyle w:val="86"/>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61"/>
        <w:gridCol w:w="1689"/>
        <w:gridCol w:w="4277"/>
        <w:gridCol w:w="1006"/>
        <w:gridCol w:w="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1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设备名称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项目特征/参数指标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both"/>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201" w:firstLineChars="100"/>
              <w:jc w:val="both"/>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200" w:firstLineChars="10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室内LED屏1（P1.25COB）（核心</w:t>
            </w:r>
            <w:r>
              <w:rPr>
                <w:rFonts w:hint="eastAsia" w:cs="宋体"/>
                <w:i w:val="0"/>
                <w:iCs w:val="0"/>
                <w:color w:val="auto"/>
                <w:kern w:val="0"/>
                <w:sz w:val="20"/>
                <w:szCs w:val="20"/>
                <w:u w:val="none"/>
                <w:lang w:val="en-US" w:eastAsia="zh-CN" w:bidi="ar"/>
              </w:rPr>
              <w:t>产品</w:t>
            </w:r>
            <w:r>
              <w:rPr>
                <w:rFonts w:hint="eastAsia" w:ascii="宋体" w:hAnsi="宋体" w:eastAsia="宋体" w:cs="宋体"/>
                <w:i w:val="0"/>
                <w:iCs w:val="0"/>
                <w:color w:val="auto"/>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1.显示屏尺寸：13800mm*8100mm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2.封装方式：▲采用RGB 3IN1 COB集成封装,全倒装工艺，微米级倒装芯片，最短边尺寸≤90um,无键合线（提供产品说明书</w:t>
            </w:r>
            <w:r>
              <w:rPr>
                <w:rFonts w:hint="eastAsia" w:cs="宋体"/>
                <w:i w:val="0"/>
                <w:iCs w:val="0"/>
                <w:color w:val="auto"/>
                <w:kern w:val="0"/>
                <w:sz w:val="20"/>
                <w:szCs w:val="20"/>
                <w:u w:val="none"/>
                <w:lang w:val="en-US" w:eastAsia="zh-CN" w:bidi="ar"/>
              </w:rPr>
              <w:t>或</w:t>
            </w:r>
            <w:r>
              <w:rPr>
                <w:rFonts w:hint="eastAsia" w:ascii="宋体" w:hAnsi="宋体" w:eastAsia="宋体" w:cs="宋体"/>
                <w:i w:val="0"/>
                <w:iCs w:val="0"/>
                <w:color w:val="auto"/>
                <w:kern w:val="0"/>
                <w:sz w:val="20"/>
                <w:szCs w:val="20"/>
                <w:u w:val="none"/>
                <w:lang w:val="en-US" w:eastAsia="zh-CN" w:bidi="ar"/>
              </w:rPr>
              <w:t>第三方检测报告</w:t>
            </w:r>
            <w:r>
              <w:rPr>
                <w:rFonts w:hint="eastAsia" w:cs="宋体"/>
                <w:i w:val="0"/>
                <w:iCs w:val="0"/>
                <w:color w:val="auto"/>
                <w:kern w:val="0"/>
                <w:sz w:val="20"/>
                <w:szCs w:val="20"/>
                <w:u w:val="none"/>
                <w:lang w:val="en-US" w:eastAsia="zh-CN" w:bidi="ar"/>
              </w:rPr>
              <w:t>等证明材料</w:t>
            </w:r>
            <w:r>
              <w:rPr>
                <w:rFonts w:hint="eastAsia" w:ascii="宋体" w:hAnsi="宋体" w:eastAsia="宋体" w:cs="宋体"/>
                <w:i w:val="0"/>
                <w:iCs w:val="0"/>
                <w:color w:val="auto"/>
                <w:kern w:val="0"/>
                <w:sz w:val="20"/>
                <w:szCs w:val="20"/>
                <w:u w:val="none"/>
                <w:lang w:val="en-US" w:eastAsia="zh-CN" w:bidi="ar"/>
              </w:rPr>
              <w:t>）</w:t>
            </w:r>
            <w:r>
              <w:rPr>
                <w:rFonts w:hint="eastAsia" w:cs="宋体"/>
                <w:i w:val="0"/>
                <w:iCs w:val="0"/>
                <w:color w:val="auto"/>
                <w:kern w:val="0"/>
                <w:sz w:val="20"/>
                <w:szCs w:val="20"/>
                <w:u w:val="none"/>
                <w:lang w:val="en-US" w:eastAsia="zh-CN" w:bidi="ar"/>
              </w:rPr>
              <w:t>。</w:t>
            </w:r>
            <w:r>
              <w:rPr>
                <w:rFonts w:hint="eastAsia" w:ascii="宋体" w:hAnsi="宋体" w:eastAsia="宋体" w:cs="宋体"/>
                <w:i w:val="0"/>
                <w:iCs w:val="0"/>
                <w:color w:val="auto"/>
                <w:kern w:val="0"/>
                <w:sz w:val="20"/>
                <w:szCs w:val="20"/>
                <w:u w:val="none"/>
                <w:lang w:val="en-US" w:eastAsia="zh-CN" w:bidi="ar"/>
              </w:rPr>
              <w:t>具备防撞、耐磨、耐冲击等特点，满足使用高可靠性需求；</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3.像素点间距≤1.25mm；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4.像素构成：1R1G1B</w:t>
            </w:r>
            <w:r>
              <w:rPr>
                <w:rFonts w:hint="eastAsia" w:cs="宋体"/>
                <w:i w:val="0"/>
                <w:iCs w:val="0"/>
                <w:color w:val="auto"/>
                <w:kern w:val="0"/>
                <w:sz w:val="20"/>
                <w:szCs w:val="20"/>
                <w:u w:val="none"/>
                <w:lang w:val="en-US" w:eastAsia="zh-CN" w:bidi="ar"/>
              </w:rPr>
              <w:t>；</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5.像素密度：≥640000点/m²；</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6.箱体尺寸：600*337.5mm；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7.白平衡亮度≥600cd/m²；</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8.显示屏箱体采用压铸铝箱体材质，一次性压铸成型，支持灯板、电源、接收卡正面拆卸；</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9.▲对比度：≥10000：1，色温：100-15000K可调（提供产品说明书</w:t>
            </w:r>
            <w:r>
              <w:rPr>
                <w:rFonts w:hint="eastAsia" w:cs="宋体"/>
                <w:i w:val="0"/>
                <w:iCs w:val="0"/>
                <w:color w:val="auto"/>
                <w:kern w:val="0"/>
                <w:sz w:val="20"/>
                <w:szCs w:val="20"/>
                <w:u w:val="none"/>
                <w:lang w:val="en-US" w:eastAsia="zh-CN" w:bidi="ar"/>
              </w:rPr>
              <w:t>或</w:t>
            </w:r>
            <w:r>
              <w:rPr>
                <w:rFonts w:hint="eastAsia" w:ascii="宋体" w:hAnsi="宋体" w:eastAsia="宋体" w:cs="宋体"/>
                <w:i w:val="0"/>
                <w:iCs w:val="0"/>
                <w:color w:val="auto"/>
                <w:kern w:val="0"/>
                <w:sz w:val="20"/>
                <w:szCs w:val="20"/>
                <w:u w:val="none"/>
                <w:lang w:val="en-US" w:eastAsia="zh-CN" w:bidi="ar"/>
              </w:rPr>
              <w:t>第三方检测报告</w:t>
            </w:r>
            <w:r>
              <w:rPr>
                <w:rFonts w:hint="eastAsia" w:cs="宋体"/>
                <w:i w:val="0"/>
                <w:iCs w:val="0"/>
                <w:color w:val="auto"/>
                <w:kern w:val="0"/>
                <w:sz w:val="20"/>
                <w:szCs w:val="20"/>
                <w:u w:val="none"/>
                <w:lang w:val="en-US" w:eastAsia="zh-CN" w:bidi="ar"/>
              </w:rPr>
              <w:t>等证明材料</w:t>
            </w:r>
            <w:r>
              <w:rPr>
                <w:rFonts w:hint="eastAsia" w:ascii="宋体" w:hAnsi="宋体" w:eastAsia="宋体" w:cs="宋体"/>
                <w:i w:val="0"/>
                <w:iCs w:val="0"/>
                <w:color w:val="auto"/>
                <w:kern w:val="0"/>
                <w:sz w:val="20"/>
                <w:szCs w:val="20"/>
                <w:u w:val="none"/>
                <w:lang w:val="en-US" w:eastAsia="zh-CN" w:bidi="ar"/>
              </w:rPr>
              <w:t>）；</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10.灰度等级：≥18bit；</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11.刷新率≥3840Hz；</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12.换帧频率：≥50/60Hz；</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13.亮度均匀性≥99%；</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14.亮度鉴别等级：C级BJ≥20</w:t>
            </w:r>
            <w:r>
              <w:rPr>
                <w:rFonts w:hint="eastAsia" w:cs="宋体"/>
                <w:i w:val="0"/>
                <w:iCs w:val="0"/>
                <w:color w:val="auto"/>
                <w:kern w:val="0"/>
                <w:sz w:val="20"/>
                <w:szCs w:val="20"/>
                <w:u w:val="none"/>
                <w:lang w:val="en-US" w:eastAsia="zh-CN" w:bidi="ar"/>
              </w:rPr>
              <w:t>；</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15.视角水平视角≥170°垂直视角≥170°；</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16.色域覆盖率：≥120%NTSC；</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17.发光点中心距偏差≤0.15%；</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18.平整度、拼接间隙≤0.1mm；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19.除湿功能：支持自动除湿，支持有效保护长时间不用或潮湿环境下的灯珠；</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20.峰值功耗（600nits）：≤350W/m²；平均功耗（600nits）：≤120W/m²；</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21.接触电流：LED 显示屏接触电流应不大于5.0mA(有效值)；</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22.传导骚扰(EMC)：符合 GB/T 9254.1-2021Class A限值要求；</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23.光生物安全：产品具备蓝光护眼多重过渡保护系统，▲蓝光视网膜危害属无危害类（</w:t>
            </w:r>
            <w:r>
              <w:rPr>
                <w:rFonts w:hint="eastAsia" w:cs="宋体"/>
                <w:i w:val="0"/>
                <w:iCs w:val="0"/>
                <w:color w:val="auto"/>
                <w:kern w:val="0"/>
                <w:sz w:val="20"/>
                <w:szCs w:val="20"/>
                <w:u w:val="none"/>
                <w:lang w:val="en-US" w:eastAsia="zh-CN" w:bidi="ar"/>
              </w:rPr>
              <w:t>符合</w:t>
            </w:r>
            <w:r>
              <w:rPr>
                <w:rFonts w:hint="eastAsia" w:ascii="宋体" w:hAnsi="宋体" w:eastAsia="宋体" w:cs="宋体"/>
                <w:i w:val="0"/>
                <w:iCs w:val="0"/>
                <w:color w:val="auto"/>
                <w:kern w:val="0"/>
                <w:sz w:val="20"/>
                <w:szCs w:val="20"/>
                <w:u w:val="none"/>
                <w:lang w:val="en-US" w:eastAsia="zh-CN" w:bidi="ar"/>
              </w:rPr>
              <w:t>GB/T 20145-2006</w:t>
            </w:r>
            <w:r>
              <w:rPr>
                <w:rFonts w:hint="eastAsia" w:cs="宋体"/>
                <w:i w:val="0"/>
                <w:iCs w:val="0"/>
                <w:color w:val="auto"/>
                <w:kern w:val="0"/>
                <w:sz w:val="20"/>
                <w:szCs w:val="20"/>
                <w:u w:val="none"/>
                <w:lang w:val="en-US" w:eastAsia="zh-CN" w:bidi="ar"/>
              </w:rPr>
              <w:t>标准要求，（</w:t>
            </w:r>
            <w:r>
              <w:rPr>
                <w:rFonts w:hint="eastAsia" w:ascii="宋体" w:hAnsi="宋体" w:eastAsia="宋体" w:cs="宋体"/>
                <w:i w:val="0"/>
                <w:iCs w:val="0"/>
                <w:color w:val="auto"/>
                <w:kern w:val="0"/>
                <w:sz w:val="20"/>
                <w:szCs w:val="20"/>
                <w:u w:val="none"/>
                <w:lang w:val="en-US" w:eastAsia="zh-CN" w:bidi="ar"/>
              </w:rPr>
              <w:t>提供第三方检测报告）；</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24.▲LED显示屏制造商通过ISO9001</w:t>
            </w:r>
            <w:r>
              <w:rPr>
                <w:rFonts w:hint="eastAsia" w:cs="宋体"/>
                <w:i w:val="0"/>
                <w:iCs w:val="0"/>
                <w:color w:val="auto"/>
                <w:kern w:val="0"/>
                <w:sz w:val="20"/>
                <w:szCs w:val="20"/>
                <w:u w:val="none"/>
                <w:lang w:val="en-US" w:eastAsia="zh-CN" w:bidi="ar"/>
              </w:rPr>
              <w:t>（G</w:t>
            </w:r>
            <w:r>
              <w:rPr>
                <w:rFonts w:hint="default" w:cs="宋体"/>
                <w:i w:val="0"/>
                <w:iCs w:val="0"/>
                <w:color w:val="auto"/>
                <w:kern w:val="0"/>
                <w:sz w:val="20"/>
                <w:szCs w:val="20"/>
                <w:u w:val="none"/>
                <w:lang w:val="en-US" w:eastAsia="zh-CN" w:bidi="ar"/>
              </w:rPr>
              <w:t>B/T</w:t>
            </w:r>
            <w:r>
              <w:rPr>
                <w:rFonts w:hint="eastAsia" w:cs="宋体"/>
                <w:i w:val="0"/>
                <w:iCs w:val="0"/>
                <w:color w:val="auto"/>
                <w:kern w:val="0"/>
                <w:sz w:val="20"/>
                <w:szCs w:val="20"/>
                <w:u w:val="none"/>
                <w:lang w:val="en-US" w:eastAsia="zh-CN" w:bidi="ar"/>
              </w:rPr>
              <w:t>19001）</w:t>
            </w:r>
            <w:r>
              <w:rPr>
                <w:rFonts w:hint="eastAsia" w:ascii="宋体" w:hAnsi="宋体" w:eastAsia="宋体" w:cs="宋体"/>
                <w:i w:val="0"/>
                <w:iCs w:val="0"/>
                <w:color w:val="auto"/>
                <w:kern w:val="0"/>
                <w:sz w:val="20"/>
                <w:szCs w:val="20"/>
                <w:u w:val="none"/>
                <w:lang w:val="en-US" w:eastAsia="zh-CN" w:bidi="ar"/>
              </w:rPr>
              <w:t>、ISO14001</w:t>
            </w:r>
            <w:r>
              <w:rPr>
                <w:rFonts w:hint="eastAsia" w:cs="宋体"/>
                <w:i w:val="0"/>
                <w:iCs w:val="0"/>
                <w:color w:val="auto"/>
                <w:kern w:val="0"/>
                <w:sz w:val="20"/>
                <w:szCs w:val="20"/>
                <w:u w:val="none"/>
                <w:lang w:val="en-US" w:eastAsia="zh-CN" w:bidi="ar"/>
              </w:rPr>
              <w:t>（GB/T24001）</w:t>
            </w:r>
            <w:r>
              <w:rPr>
                <w:rFonts w:hint="eastAsia" w:ascii="宋体" w:hAnsi="宋体" w:eastAsia="宋体" w:cs="宋体"/>
                <w:i w:val="0"/>
                <w:iCs w:val="0"/>
                <w:color w:val="auto"/>
                <w:kern w:val="0"/>
                <w:sz w:val="20"/>
                <w:szCs w:val="20"/>
                <w:u w:val="none"/>
                <w:lang w:val="en-US" w:eastAsia="zh-CN" w:bidi="ar"/>
              </w:rPr>
              <w:t>、ISO45001</w:t>
            </w:r>
            <w:r>
              <w:rPr>
                <w:rFonts w:hint="eastAsia" w:cs="宋体"/>
                <w:i w:val="0"/>
                <w:iCs w:val="0"/>
                <w:color w:val="auto"/>
                <w:kern w:val="0"/>
                <w:sz w:val="20"/>
                <w:szCs w:val="20"/>
                <w:u w:val="none"/>
                <w:lang w:val="en-US" w:eastAsia="zh-CN" w:bidi="ar"/>
              </w:rPr>
              <w:t>（GB/T45001）</w:t>
            </w:r>
            <w:r>
              <w:rPr>
                <w:rFonts w:hint="eastAsia" w:ascii="宋体" w:hAnsi="宋体" w:eastAsia="宋体" w:cs="宋体"/>
                <w:i w:val="0"/>
                <w:iCs w:val="0"/>
                <w:color w:val="auto"/>
                <w:kern w:val="0"/>
                <w:sz w:val="20"/>
                <w:szCs w:val="20"/>
                <w:u w:val="none"/>
                <w:lang w:val="en-US" w:eastAsia="zh-CN" w:bidi="ar"/>
              </w:rPr>
              <w:t>、ISO27001</w:t>
            </w:r>
            <w:r>
              <w:rPr>
                <w:rFonts w:hint="eastAsia" w:cs="宋体"/>
                <w:i w:val="0"/>
                <w:iCs w:val="0"/>
                <w:color w:val="auto"/>
                <w:kern w:val="0"/>
                <w:sz w:val="20"/>
                <w:szCs w:val="20"/>
                <w:u w:val="none"/>
                <w:lang w:val="en-US" w:eastAsia="zh-CN" w:bidi="ar"/>
              </w:rPr>
              <w:t>（GB/T22080）</w:t>
            </w:r>
            <w:r>
              <w:rPr>
                <w:rFonts w:hint="eastAsia" w:ascii="宋体" w:hAnsi="宋体" w:eastAsia="宋体" w:cs="宋体"/>
                <w:i w:val="0"/>
                <w:iCs w:val="0"/>
                <w:color w:val="auto"/>
                <w:kern w:val="0"/>
                <w:sz w:val="20"/>
                <w:szCs w:val="20"/>
                <w:u w:val="none"/>
                <w:lang w:val="en-US" w:eastAsia="zh-CN" w:bidi="ar"/>
              </w:rPr>
              <w:t>认证，提供认证证书；</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w:t>
            </w:r>
            <w:r>
              <w:rPr>
                <w:rFonts w:hint="eastAsia" w:cs="宋体"/>
                <w:i w:val="0"/>
                <w:iCs w:val="0"/>
                <w:color w:val="auto"/>
                <w:kern w:val="0"/>
                <w:sz w:val="20"/>
                <w:szCs w:val="20"/>
                <w:u w:val="none"/>
                <w:lang w:val="en-US" w:eastAsia="zh-CN" w:bidi="ar"/>
              </w:rPr>
              <w:t>5</w:t>
            </w:r>
            <w:r>
              <w:rPr>
                <w:rFonts w:hint="eastAsia" w:ascii="宋体" w:hAnsi="宋体" w:eastAsia="宋体" w:cs="宋体"/>
                <w:i w:val="0"/>
                <w:iCs w:val="0"/>
                <w:color w:val="auto"/>
                <w:kern w:val="0"/>
                <w:sz w:val="20"/>
                <w:szCs w:val="20"/>
                <w:u w:val="none"/>
                <w:lang w:val="en-US" w:eastAsia="zh-CN" w:bidi="ar"/>
              </w:rPr>
              <w:t>.▲为保证显示屏清晰度，LED显示屏</w:t>
            </w:r>
            <w:r>
              <w:rPr>
                <w:rFonts w:hint="eastAsia" w:cs="宋体"/>
                <w:i w:val="0"/>
                <w:iCs w:val="0"/>
                <w:color w:val="auto"/>
                <w:kern w:val="0"/>
                <w:sz w:val="20"/>
                <w:szCs w:val="20"/>
                <w:u w:val="none"/>
                <w:lang w:val="en-US" w:eastAsia="zh-CN" w:bidi="ar"/>
              </w:rPr>
              <w:t>具备</w:t>
            </w:r>
            <w:r>
              <w:rPr>
                <w:rFonts w:hint="eastAsia" w:ascii="宋体" w:hAnsi="宋体" w:eastAsia="宋体" w:cs="宋体"/>
                <w:i w:val="0"/>
                <w:iCs w:val="0"/>
                <w:color w:val="auto"/>
                <w:kern w:val="0"/>
                <w:sz w:val="20"/>
                <w:szCs w:val="20"/>
                <w:u w:val="none"/>
                <w:lang w:val="en-US" w:eastAsia="zh-CN" w:bidi="ar"/>
              </w:rPr>
              <w:t>8K和HDR3.0</w:t>
            </w:r>
            <w:r>
              <w:rPr>
                <w:rFonts w:hint="eastAsia" w:cs="宋体"/>
                <w:i w:val="0"/>
                <w:iCs w:val="0"/>
                <w:color w:val="auto"/>
                <w:kern w:val="0"/>
                <w:sz w:val="20"/>
                <w:szCs w:val="20"/>
                <w:u w:val="none"/>
                <w:lang w:val="en-US" w:eastAsia="zh-CN" w:bidi="ar"/>
              </w:rPr>
              <w:t>显示能力</w:t>
            </w:r>
            <w:r>
              <w:rPr>
                <w:rFonts w:hint="eastAsia" w:ascii="宋体" w:hAnsi="宋体" w:eastAsia="宋体" w:cs="宋体"/>
                <w:i w:val="0"/>
                <w:iCs w:val="0"/>
                <w:color w:val="auto"/>
                <w:kern w:val="0"/>
                <w:sz w:val="20"/>
                <w:szCs w:val="20"/>
                <w:u w:val="none"/>
                <w:lang w:val="en-US" w:eastAsia="zh-CN" w:bidi="ar"/>
              </w:rPr>
              <w:t>（提供产品说明书</w:t>
            </w:r>
            <w:r>
              <w:rPr>
                <w:rFonts w:hint="eastAsia" w:cs="宋体"/>
                <w:i w:val="0"/>
                <w:iCs w:val="0"/>
                <w:color w:val="auto"/>
                <w:kern w:val="0"/>
                <w:sz w:val="20"/>
                <w:szCs w:val="20"/>
                <w:u w:val="none"/>
                <w:lang w:val="en-US" w:eastAsia="zh-CN" w:bidi="ar"/>
              </w:rPr>
              <w:t>或</w:t>
            </w:r>
            <w:r>
              <w:rPr>
                <w:rFonts w:hint="eastAsia" w:ascii="宋体" w:hAnsi="宋体" w:eastAsia="宋体" w:cs="宋体"/>
                <w:i w:val="0"/>
                <w:iCs w:val="0"/>
                <w:color w:val="auto"/>
                <w:kern w:val="0"/>
                <w:sz w:val="20"/>
                <w:szCs w:val="20"/>
                <w:u w:val="none"/>
                <w:lang w:val="en-US" w:eastAsia="zh-CN" w:bidi="ar"/>
              </w:rPr>
              <w:t>第三方检测报告</w:t>
            </w:r>
            <w:r>
              <w:rPr>
                <w:rFonts w:hint="eastAsia" w:cs="宋体"/>
                <w:i w:val="0"/>
                <w:iCs w:val="0"/>
                <w:color w:val="auto"/>
                <w:kern w:val="0"/>
                <w:sz w:val="20"/>
                <w:szCs w:val="20"/>
                <w:u w:val="none"/>
                <w:lang w:val="en-US" w:eastAsia="zh-CN" w:bidi="ar"/>
              </w:rPr>
              <w:t>等证明材料</w:t>
            </w:r>
            <w:r>
              <w:rPr>
                <w:rFonts w:hint="eastAsia" w:ascii="宋体" w:hAnsi="宋体" w:eastAsia="宋体" w:cs="宋体"/>
                <w:i w:val="0"/>
                <w:iCs w:val="0"/>
                <w:color w:val="auto"/>
                <w:kern w:val="0"/>
                <w:sz w:val="20"/>
                <w:szCs w:val="20"/>
                <w:u w:val="none"/>
                <w:lang w:val="en-US" w:eastAsia="zh-CN" w:bidi="ar"/>
              </w:rPr>
              <w:t>）</w:t>
            </w:r>
            <w:r>
              <w:rPr>
                <w:rFonts w:hint="eastAsia" w:cs="宋体"/>
                <w:i w:val="0"/>
                <w:iCs w:val="0"/>
                <w:color w:val="auto"/>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200" w:firstLineChars="10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111.78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200" w:firstLineChars="10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平方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0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200" w:firstLineChars="10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室内LED屏2（P1.25COB）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1.显示屏尺寸：4200mm*1350mm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2.封装方式：采用RGB 3IN1 COB集成封装,全倒装工艺，微米级倒装芯片，最短边尺寸≤90um,无键合线，具备防撞、耐磨、耐冲击等特点，满足使用高可靠性需求；</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3.像素点间距≤1.25mm；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4.像素构成：1R1G1B</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5.像素密度：≥640000点/m²；</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6.箱体尺寸：600*337.5mm；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7.白平衡亮度≥600cd/m²；</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8.显示屏箱体采用压铸铝箱体材质，一次性压铸成型，支持灯板、电源、接收卡正面拆卸；</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9.对比度：≥10000：1，色温：100-15000K可调；</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10.灰度等级：≥18bit；</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11.刷新率≥3840Hz；</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12.换帧频率：≥50/60Hz；</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13.亮度均匀性≥99%；</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14.亮度鉴别等级：C级BJ≥20</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15.视角水平视角≥170°垂直视角≥170°；</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16.色域覆盖率：≥120%NTSC；</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17.发光点中心距偏差≤0.15%；</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18.平整度、拼接间隙≤0.1mm；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19.除湿功能：支持自动除湿，支持有效保护长时间不用或潮湿环境下的灯珠；</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20.峰值功耗（600nits）：≤350W/m²；平均功耗（600nits）：≤120W/m²；</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21.接触电流：LED 显示屏接触电流应不大于5.0mA(有效值)；</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22.传导骚扰(EMC)：符合 GB/T 9254.1-2021Class A限值要求；</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23.光生物安全：符合 GB/T 20145-2006标准要求，产品具备蓝光护眼多重过渡保护系统</w:t>
            </w:r>
            <w:r>
              <w:rPr>
                <w:rFonts w:hint="eastAsia" w:cs="宋体"/>
                <w:i w:val="0"/>
                <w:iCs w:val="0"/>
                <w:color w:val="auto"/>
                <w:kern w:val="0"/>
                <w:sz w:val="20"/>
                <w:szCs w:val="20"/>
                <w:u w:val="none"/>
                <w:lang w:val="en-US" w:eastAsia="zh-CN" w:bidi="ar"/>
              </w:rPr>
              <w:t>。</w:t>
            </w:r>
            <w:r>
              <w:rPr>
                <w:rFonts w:hint="eastAsia" w:ascii="宋体" w:hAnsi="宋体" w:eastAsia="宋体" w:cs="宋体"/>
                <w:i w:val="0"/>
                <w:iCs w:val="0"/>
                <w:color w:val="auto"/>
                <w:kern w:val="0"/>
                <w:sz w:val="20"/>
                <w:szCs w:val="20"/>
                <w:u w:val="none"/>
                <w:lang w:val="en-US" w:eastAsia="zh-CN" w:bidi="ar"/>
              </w:rPr>
              <w:t>蓝光视网膜危害应属无危害类</w:t>
            </w:r>
            <w:r>
              <w:rPr>
                <w:rFonts w:hint="eastAsia" w:cs="宋体"/>
                <w:i w:val="0"/>
                <w:iCs w:val="0"/>
                <w:color w:val="auto"/>
                <w:kern w:val="0"/>
                <w:sz w:val="20"/>
                <w:szCs w:val="20"/>
                <w:u w:val="none"/>
                <w:lang w:val="en-US" w:eastAsia="zh-CN" w:bidi="ar"/>
              </w:rPr>
              <w:t>（</w:t>
            </w:r>
            <w:r>
              <w:rPr>
                <w:rFonts w:hint="eastAsia" w:ascii="宋体" w:hAnsi="宋体" w:eastAsia="宋体" w:cs="宋体"/>
                <w:i w:val="0"/>
                <w:iCs w:val="0"/>
                <w:color w:val="auto"/>
                <w:kern w:val="0"/>
                <w:sz w:val="20"/>
                <w:szCs w:val="20"/>
                <w:u w:val="none"/>
                <w:lang w:val="en-US" w:eastAsia="zh-CN" w:bidi="ar"/>
              </w:rPr>
              <w:t>GB/T 20145-2006</w:t>
            </w:r>
            <w:r>
              <w:rPr>
                <w:rFonts w:hint="eastAsia" w:cs="宋体"/>
                <w:i w:val="0"/>
                <w:iCs w:val="0"/>
                <w:color w:val="auto"/>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200" w:firstLineChars="10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5.67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200" w:firstLineChars="10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平方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200" w:firstLineChars="10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室内LED屏3（P1.25COB）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1.显示屏尺寸：4200mm*1350mm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2.封装方式：采用RGB 3IN1 COB集成封装,全倒装工艺，微米级倒装芯片，最短边尺寸≤90um,无键合线，具备防撞、耐磨、耐冲击等特点，满足使用高可靠性需求；</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3.像素点间距≤1.25mm；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4.像素构成：1R1G1B</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5.像素密度：≥640000点/m²；</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6.箱体尺寸：600*337.5mm；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7.白平衡亮度≥600cd/m²；</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8.显示屏箱体采用压铸铝箱体材质，一次性压铸成型，支持灯板、电源、接收卡正面拆卸；</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9.对比度：≥10000：1，色温：100-15000K可调；</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10.灰度等级：≥18bit；</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11.刷新率≥3840Hz；</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12.换帧频率：≥50/60Hz；</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13.亮度均匀性≥99%；</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14.亮度鉴别等级：C级BJ≥20</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15.视角水平视角≥170°垂直视角≥170°；</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16.色域覆盖率：≥120%NTSC；</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17.发光点中心距偏差≤0.15%；</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18.平整度、拼接间隙≤0.1mm；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19.除湿功能：支持自动除湿，支持有效保护长时间不用或潮湿环境下的灯珠；</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20.峰值功耗（600nits）：≤350W/m²；平均功耗（600nits）：≤120W/m²；</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21.接触电流：LED 显示屏接触电流应不大于5.0mA(有效值)；</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22.传导骚扰(EMC)：符合 GB/T 9254.1-2021Class A限值要求；</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23.光生物安全：符合 GB/T 20145-2006标准要求，产品具备蓝光护眼多重过渡保护系统</w:t>
            </w:r>
            <w:r>
              <w:rPr>
                <w:rFonts w:hint="eastAsia" w:cs="宋体"/>
                <w:i w:val="0"/>
                <w:iCs w:val="0"/>
                <w:color w:val="auto"/>
                <w:kern w:val="0"/>
                <w:sz w:val="20"/>
                <w:szCs w:val="20"/>
                <w:u w:val="none"/>
                <w:lang w:val="en-US" w:eastAsia="zh-CN" w:bidi="ar"/>
              </w:rPr>
              <w:t>。</w:t>
            </w:r>
            <w:r>
              <w:rPr>
                <w:rFonts w:hint="eastAsia" w:ascii="宋体" w:hAnsi="宋体" w:eastAsia="宋体" w:cs="宋体"/>
                <w:i w:val="0"/>
                <w:iCs w:val="0"/>
                <w:color w:val="auto"/>
                <w:kern w:val="0"/>
                <w:sz w:val="20"/>
                <w:szCs w:val="20"/>
                <w:u w:val="none"/>
                <w:lang w:val="en-US" w:eastAsia="zh-CN" w:bidi="ar"/>
              </w:rPr>
              <w:t>蓝光视网膜危害应属无危害类</w:t>
            </w:r>
            <w:r>
              <w:rPr>
                <w:rFonts w:hint="eastAsia" w:cs="宋体"/>
                <w:i w:val="0"/>
                <w:iCs w:val="0"/>
                <w:color w:val="auto"/>
                <w:kern w:val="0"/>
                <w:sz w:val="20"/>
                <w:szCs w:val="20"/>
                <w:u w:val="none"/>
                <w:lang w:val="en-US" w:eastAsia="zh-CN" w:bidi="ar"/>
              </w:rPr>
              <w:t>（</w:t>
            </w:r>
            <w:r>
              <w:rPr>
                <w:rFonts w:hint="eastAsia" w:ascii="宋体" w:hAnsi="宋体" w:eastAsia="宋体" w:cs="宋体"/>
                <w:i w:val="0"/>
                <w:iCs w:val="0"/>
                <w:color w:val="auto"/>
                <w:kern w:val="0"/>
                <w:sz w:val="20"/>
                <w:szCs w:val="20"/>
                <w:u w:val="none"/>
                <w:lang w:val="en-US" w:eastAsia="zh-CN" w:bidi="ar"/>
              </w:rPr>
              <w:t>GB/T 20145-2006</w:t>
            </w:r>
            <w:r>
              <w:rPr>
                <w:rFonts w:hint="eastAsia" w:cs="宋体"/>
                <w:i w:val="0"/>
                <w:iCs w:val="0"/>
                <w:color w:val="auto"/>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200" w:firstLineChars="10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5.67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200" w:firstLineChars="10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平方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4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200" w:firstLineChars="10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室内LED屏4（P1.25COB）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1.显示屏尺寸：4200mm*1350mm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2.封装方式：采用RGB 3IN1 COB集成封装,全倒装工艺，微米级倒装芯片，最短边尺寸≤90um,无键合线，具备防撞、耐磨、耐冲击等特点，满足使用高可靠性需求；</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3.像素点间距≤1.25mm；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4.像素构成：1R1G1B</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5.像素密度：≥640000点/m²；</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6.箱体尺寸：600*337.5mm；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7.白平衡亮度≥600cd/m²；</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8.显示屏箱体采用压铸铝箱体材质，一次性压铸成型，支持灯板、电源、接收卡正面拆卸；</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9.对比度：≥10000：1，色温：100-15000K可调；</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10.灰度等级：≥18bit；</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11.刷新率≥3840Hz；</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12.换帧频率：≥50/60Hz；</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13.亮度均匀性≥99%；</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14.亮度鉴别等级：C级BJ≥20</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15.视角水平视角≥170°垂直视角≥170°；</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16.色域覆盖率：≥120%NTSC；</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17.发光点中心距偏差≤0.15%；</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18.平整度、拼接间隙≤0.1mm；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19.除湿功能：支持自动除湿，支持有效保护长时间不用或潮湿环境下的灯珠；</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20.峰值功耗（600nits）：≤350W/m²；平均功耗（600nits）：≤120W/m²；</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21.接触电流：LED 显示屏接触电流应不大于5.0mA(有效值)；</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22.传导骚扰(EMC)：符合 GB/T 9254.1-2021Class A限值要求；</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23.光生物安全：符合 GB/T 20145-2006标准要求，产品具备蓝光护眼多重过渡保护系统</w:t>
            </w:r>
            <w:r>
              <w:rPr>
                <w:rFonts w:hint="eastAsia" w:cs="宋体"/>
                <w:i w:val="0"/>
                <w:iCs w:val="0"/>
                <w:color w:val="auto"/>
                <w:kern w:val="0"/>
                <w:sz w:val="20"/>
                <w:szCs w:val="20"/>
                <w:u w:val="none"/>
                <w:lang w:val="en-US" w:eastAsia="zh-CN" w:bidi="ar"/>
              </w:rPr>
              <w:t>。</w:t>
            </w:r>
            <w:r>
              <w:rPr>
                <w:rFonts w:hint="eastAsia" w:ascii="宋体" w:hAnsi="宋体" w:eastAsia="宋体" w:cs="宋体"/>
                <w:i w:val="0"/>
                <w:iCs w:val="0"/>
                <w:color w:val="auto"/>
                <w:kern w:val="0"/>
                <w:sz w:val="20"/>
                <w:szCs w:val="20"/>
                <w:u w:val="none"/>
                <w:lang w:val="en-US" w:eastAsia="zh-CN" w:bidi="ar"/>
              </w:rPr>
              <w:t>蓝光视网膜危害应属无危害类</w:t>
            </w:r>
            <w:r>
              <w:rPr>
                <w:rFonts w:hint="eastAsia" w:cs="宋体"/>
                <w:i w:val="0"/>
                <w:iCs w:val="0"/>
                <w:color w:val="auto"/>
                <w:kern w:val="0"/>
                <w:sz w:val="20"/>
                <w:szCs w:val="20"/>
                <w:u w:val="none"/>
                <w:lang w:val="en-US" w:eastAsia="zh-CN" w:bidi="ar"/>
              </w:rPr>
              <w:t>（</w:t>
            </w:r>
            <w:r>
              <w:rPr>
                <w:rFonts w:hint="eastAsia" w:ascii="宋体" w:hAnsi="宋体" w:eastAsia="宋体" w:cs="宋体"/>
                <w:i w:val="0"/>
                <w:iCs w:val="0"/>
                <w:color w:val="auto"/>
                <w:kern w:val="0"/>
                <w:sz w:val="20"/>
                <w:szCs w:val="20"/>
                <w:u w:val="none"/>
                <w:lang w:val="en-US" w:eastAsia="zh-CN" w:bidi="ar"/>
              </w:rPr>
              <w:t>GB/T 20145-2006</w:t>
            </w:r>
            <w:r>
              <w:rPr>
                <w:rFonts w:hint="eastAsia" w:cs="宋体"/>
                <w:i w:val="0"/>
                <w:iCs w:val="0"/>
                <w:color w:val="auto"/>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200" w:firstLineChars="10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5.67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200" w:firstLineChars="10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平方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4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200" w:firstLineChars="10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室内LED屏5（P1.25COB）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1.显示屏尺寸：4200mm*1350mm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2.封装方式：采用RGB 3IN1 COB集成封装,全倒装工艺，微米级倒装芯片，最短边尺寸≤90um,无键合线，具备防撞、耐磨、耐冲击等特点，满足使用高可靠性需求；</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3.像素点间距≤1.25mm；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4.像素构成：1R1G1B</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5.像素密度：≥640000点/m²；</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6.箱体尺寸：600*337.5mm；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7.白平衡亮度≥600cd/m²；</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8.显示屏箱体采用压铸铝箱体材质，一次性压铸成型，支持灯板、电源、接收卡正面拆卸；</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9.对比度：≥10000：1，色温：100-15000K可调；</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10.灰度等级：≥18bit；</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11.刷新率≥3840Hz；</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12.换帧频率：≥50/60Hz；</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13.亮度均匀性≥99%；</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14.亮度鉴别等级：C级BJ≥20</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15.视角水平视角≥170°垂直视角≥170°；</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16.色域覆盖率：≥120%NTSC；</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17.发光点中心距偏差≤0.15%；</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18.平整度、拼接间隙≤0.1mm；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19.除湿功能：支持自动除湿，支持有效保护长时间不用或潮湿环境下的灯珠；</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20.峰值功耗（600nits）：≤350W/m²；平均功耗（600nits）：≤120W/m²；</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21.接触电流：LED 显示屏接触电流应不大于5.0mA(有效值)；</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22.传导骚扰(EMC)：符合 GB/T 9254.1-2021Class A限值要求；</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23.光生物安全：符合 GB/T 20145-2006标准要求，产品具备蓝光护眼多重过渡保护系统</w:t>
            </w:r>
            <w:r>
              <w:rPr>
                <w:rFonts w:hint="eastAsia" w:cs="宋体"/>
                <w:i w:val="0"/>
                <w:iCs w:val="0"/>
                <w:color w:val="auto"/>
                <w:kern w:val="0"/>
                <w:sz w:val="20"/>
                <w:szCs w:val="20"/>
                <w:u w:val="none"/>
                <w:lang w:val="en-US" w:eastAsia="zh-CN" w:bidi="ar"/>
              </w:rPr>
              <w:t>。</w:t>
            </w:r>
            <w:r>
              <w:rPr>
                <w:rFonts w:hint="eastAsia" w:ascii="宋体" w:hAnsi="宋体" w:eastAsia="宋体" w:cs="宋体"/>
                <w:i w:val="0"/>
                <w:iCs w:val="0"/>
                <w:color w:val="auto"/>
                <w:kern w:val="0"/>
                <w:sz w:val="20"/>
                <w:szCs w:val="20"/>
                <w:u w:val="none"/>
                <w:lang w:val="en-US" w:eastAsia="zh-CN" w:bidi="ar"/>
              </w:rPr>
              <w:t>蓝光视网膜危害应属无危害类</w:t>
            </w:r>
            <w:r>
              <w:rPr>
                <w:rFonts w:hint="eastAsia" w:cs="宋体"/>
                <w:i w:val="0"/>
                <w:iCs w:val="0"/>
                <w:color w:val="auto"/>
                <w:kern w:val="0"/>
                <w:sz w:val="20"/>
                <w:szCs w:val="20"/>
                <w:u w:val="none"/>
                <w:lang w:val="en-US" w:eastAsia="zh-CN" w:bidi="ar"/>
              </w:rPr>
              <w:t>（</w:t>
            </w:r>
            <w:r>
              <w:rPr>
                <w:rFonts w:hint="eastAsia" w:ascii="宋体" w:hAnsi="宋体" w:eastAsia="宋体" w:cs="宋体"/>
                <w:i w:val="0"/>
                <w:iCs w:val="0"/>
                <w:color w:val="auto"/>
                <w:kern w:val="0"/>
                <w:sz w:val="20"/>
                <w:szCs w:val="20"/>
                <w:u w:val="none"/>
                <w:lang w:val="en-US" w:eastAsia="zh-CN" w:bidi="ar"/>
              </w:rPr>
              <w:t>GB/T 20145-2006</w:t>
            </w:r>
            <w:r>
              <w:rPr>
                <w:rFonts w:hint="eastAsia" w:cs="宋体"/>
                <w:i w:val="0"/>
                <w:iCs w:val="0"/>
                <w:color w:val="auto"/>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200" w:firstLineChars="10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5.67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200" w:firstLineChars="10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平方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0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200" w:firstLineChars="10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0"/>
                <w:szCs w:val="20"/>
                <w:u w:val="none"/>
                <w:lang w:eastAsia="zh-CN"/>
              </w:rPr>
            </w:pPr>
            <w:r>
              <w:rPr>
                <w:rFonts w:hint="eastAsia" w:ascii="宋体" w:hAnsi="宋体" w:eastAsia="宋体" w:cs="宋体"/>
                <w:i w:val="0"/>
                <w:iCs w:val="0"/>
                <w:color w:val="auto"/>
                <w:kern w:val="0"/>
                <w:sz w:val="20"/>
                <w:szCs w:val="20"/>
                <w:u w:val="none"/>
                <w:lang w:val="en-US" w:eastAsia="zh-CN" w:bidi="ar"/>
              </w:rPr>
              <w:t>无缝高清矩阵切换器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1.▲矩阵采用纯硬件插卡式标准机箱设计，支持配置≥16×16 路信号切换，支持</w:t>
            </w:r>
            <w:r>
              <w:rPr>
                <w:rFonts w:hint="eastAsia" w:cs="宋体"/>
                <w:i w:val="0"/>
                <w:iCs w:val="0"/>
                <w:color w:val="auto"/>
                <w:kern w:val="0"/>
                <w:sz w:val="20"/>
                <w:szCs w:val="20"/>
                <w:u w:val="none"/>
                <w:lang w:val="en-US" w:eastAsia="zh-CN" w:bidi="ar"/>
              </w:rPr>
              <w:t>包括</w:t>
            </w:r>
            <w:r>
              <w:rPr>
                <w:rFonts w:hint="eastAsia" w:ascii="宋体" w:hAnsi="宋体" w:eastAsia="宋体" w:cs="宋体"/>
                <w:i w:val="0"/>
                <w:iCs w:val="0"/>
                <w:color w:val="auto"/>
                <w:kern w:val="0"/>
                <w:sz w:val="20"/>
                <w:szCs w:val="20"/>
                <w:u w:val="none"/>
                <w:lang w:val="en-US" w:eastAsia="zh-CN" w:bidi="ar"/>
              </w:rPr>
              <w:t xml:space="preserve"> HDMI、DVI、VGA、SDI、HDBaseT、光纤</w:t>
            </w:r>
            <w:r>
              <w:rPr>
                <w:rFonts w:hint="eastAsia" w:cs="宋体"/>
                <w:i w:val="0"/>
                <w:iCs w:val="0"/>
                <w:color w:val="auto"/>
                <w:kern w:val="0"/>
                <w:sz w:val="20"/>
                <w:szCs w:val="20"/>
                <w:u w:val="none"/>
                <w:lang w:val="en-US" w:eastAsia="zh-CN" w:bidi="ar"/>
              </w:rPr>
              <w:t>在内的</w:t>
            </w:r>
            <w:r>
              <w:rPr>
                <w:rFonts w:hint="eastAsia" w:ascii="宋体" w:hAnsi="宋体" w:eastAsia="宋体" w:cs="宋体"/>
                <w:i w:val="0"/>
                <w:iCs w:val="0"/>
                <w:color w:val="auto"/>
                <w:kern w:val="0"/>
                <w:sz w:val="20"/>
                <w:szCs w:val="20"/>
                <w:u w:val="none"/>
                <w:lang w:val="en-US" w:eastAsia="zh-CN" w:bidi="ar"/>
              </w:rPr>
              <w:t>任意输入/输出信号卡（提供产品说明书</w:t>
            </w:r>
            <w:r>
              <w:rPr>
                <w:rFonts w:hint="eastAsia" w:cs="宋体"/>
                <w:i w:val="0"/>
                <w:iCs w:val="0"/>
                <w:color w:val="auto"/>
                <w:kern w:val="0"/>
                <w:sz w:val="20"/>
                <w:szCs w:val="20"/>
                <w:u w:val="none"/>
                <w:lang w:val="en-US" w:eastAsia="zh-CN" w:bidi="ar"/>
              </w:rPr>
              <w:t>或</w:t>
            </w:r>
            <w:r>
              <w:rPr>
                <w:rFonts w:hint="eastAsia" w:ascii="宋体" w:hAnsi="宋体" w:eastAsia="宋体" w:cs="宋体"/>
                <w:i w:val="0"/>
                <w:iCs w:val="0"/>
                <w:color w:val="auto"/>
                <w:kern w:val="0"/>
                <w:sz w:val="20"/>
                <w:szCs w:val="20"/>
                <w:u w:val="none"/>
                <w:lang w:val="en-US" w:eastAsia="zh-CN" w:bidi="ar"/>
              </w:rPr>
              <w:t>第三方检测报告</w:t>
            </w:r>
            <w:r>
              <w:rPr>
                <w:rFonts w:hint="eastAsia" w:cs="宋体"/>
                <w:i w:val="0"/>
                <w:iCs w:val="0"/>
                <w:color w:val="auto"/>
                <w:kern w:val="0"/>
                <w:sz w:val="20"/>
                <w:szCs w:val="20"/>
                <w:u w:val="none"/>
                <w:lang w:val="en-US" w:eastAsia="zh-CN" w:bidi="ar"/>
              </w:rPr>
              <w:t>等证明材料</w:t>
            </w:r>
            <w:r>
              <w:rPr>
                <w:rFonts w:hint="eastAsia" w:ascii="宋体" w:hAnsi="宋体" w:eastAsia="宋体" w:cs="宋体"/>
                <w:i w:val="0"/>
                <w:iCs w:val="0"/>
                <w:color w:val="auto"/>
                <w:kern w:val="0"/>
                <w:sz w:val="20"/>
                <w:szCs w:val="20"/>
                <w:u w:val="none"/>
                <w:lang w:val="en-US" w:eastAsia="zh-CN" w:bidi="ar"/>
              </w:rPr>
              <w:t>）。</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2.采用板卡模块化设计，支持接入≥4 块输入卡、≥4 块输出卡、≥1块控制卡；通过定制配置各类相同或不同的输入输出卡可以组成单一接口类型或多接口类型的矩阵，如 HDMI 矩阵，DVI 矩阵，VGA矩阵。</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3.支持无缝切换功能，切换过程无黑屏信号。</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4.输入输出分辨率支持≥4K@60Hz；支持断电记忆功能；系统内可存储多组预切换指令，调用时可以一键切换。</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5.支持模拟音频与 HDMI 内嵌音频选择输入、支持模拟音频与 HDMI内嵌音频同时输出。</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6.采用多线程通信技术，支持接入≥1 块控制板卡，具有≥1 路RS-232 接口,≥1 路 RS-485 接口,≥1 路 TCP/IP 端口，支持扩展延长触控屏控制。</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7.HDBaseT 输入输出信号支持双向 RS-232 和双向 IR 信号传输，可对 RS-232 和 IR 信号选择随视频信号切换，或分离切换模式。</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8.▲机箱前面板内置≥7 英寸全彩触摸屏，可通过前面板触控屏进行通道切换、场景调用、切换、保存操作，具备自定义设置场景名称功能，可查看设备 IP 地址、通道信息、切换状态，可进行 IP 地址设置、重置，具备通道切换状态显示，支持输出分辨率显示，支持板卡接入状态显示，具备中英文双语切换功能（提供产品说明书</w:t>
            </w:r>
            <w:r>
              <w:rPr>
                <w:rFonts w:hint="eastAsia" w:cs="宋体"/>
                <w:i w:val="0"/>
                <w:iCs w:val="0"/>
                <w:color w:val="auto"/>
                <w:kern w:val="0"/>
                <w:sz w:val="20"/>
                <w:szCs w:val="20"/>
                <w:u w:val="none"/>
                <w:lang w:val="en-US" w:eastAsia="zh-CN" w:bidi="ar"/>
              </w:rPr>
              <w:t>或</w:t>
            </w:r>
            <w:r>
              <w:rPr>
                <w:rFonts w:hint="eastAsia" w:ascii="宋体" w:hAnsi="宋体" w:eastAsia="宋体" w:cs="宋体"/>
                <w:i w:val="0"/>
                <w:iCs w:val="0"/>
                <w:color w:val="auto"/>
                <w:kern w:val="0"/>
                <w:sz w:val="20"/>
                <w:szCs w:val="20"/>
                <w:u w:val="none"/>
                <w:lang w:val="en-US" w:eastAsia="zh-CN" w:bidi="ar"/>
              </w:rPr>
              <w:t>第三方检测报告</w:t>
            </w:r>
            <w:r>
              <w:rPr>
                <w:rFonts w:hint="eastAsia" w:cs="宋体"/>
                <w:i w:val="0"/>
                <w:iCs w:val="0"/>
                <w:color w:val="auto"/>
                <w:kern w:val="0"/>
                <w:sz w:val="20"/>
                <w:szCs w:val="20"/>
                <w:u w:val="none"/>
                <w:lang w:val="en-US" w:eastAsia="zh-CN" w:bidi="ar"/>
              </w:rPr>
              <w:t>等证明材料</w:t>
            </w:r>
            <w:r>
              <w:rPr>
                <w:rFonts w:hint="eastAsia" w:ascii="宋体" w:hAnsi="宋体" w:eastAsia="宋体" w:cs="宋体"/>
                <w:i w:val="0"/>
                <w:iCs w:val="0"/>
                <w:color w:val="auto"/>
                <w:kern w:val="0"/>
                <w:sz w:val="20"/>
                <w:szCs w:val="20"/>
                <w:u w:val="none"/>
                <w:lang w:val="en-US" w:eastAsia="zh-CN" w:bidi="ar"/>
              </w:rPr>
              <w:t>）。</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9.采用无极缩放算法与视频编解码处理技术，支持画面色度、亮度、对比度、色温、伽马值等调节，支持 HDR 画质增强功能。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0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200" w:firstLineChars="10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HDMI 超高清无缝输入卡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1．具有≥4 路 HDMI-A 母接口输入和≥4 路 3.5mm 音频座，支持音视频信号一起切换，同时支持音频单独传输，模拟音频与 HDMI 内嵌音频支持选择输入。</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2．画面切换效果支持无缝切换，切换过程无闪烁、无黑屏。</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3．模块插板式矩阵，支持热插拔，即插即用。</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4．支持断电现场切换记忆保护功能，ESD 静电保护功能。</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5．支持分辨率≥3840×2160P@60Hz</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6．支持 EDID 管理功能，可选默认 EDID 或者现场可学习。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200" w:firstLineChars="10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200" w:firstLineChars="10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HDMI 超高清无缝输出卡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1．具有≥4 路 HDMI-A 母接口输出和≥4 路 3.5mm 音频座，支持音视频信号一起切换，同时支持音频单独传输，模拟音频与 HDMI 内嵌音频支持选择输出。</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2．画面切换效果支持无缝切换，切换过程无闪烁、无黑屏。</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3．模块插板式矩阵，支持热插拔，即插即用。</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4．支持断电现场切换记忆保护功能，ESD 静电保护功能。</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5．支持分辨率≥3840×2160P@60Hz</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6．支持 EDID 管理功能，可选默认 EDID 或者现场可学习。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200" w:firstLineChars="10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张</w:t>
            </w:r>
          </w:p>
        </w:tc>
      </w:tr>
    </w:tbl>
    <w:p>
      <w:pPr>
        <w:rPr>
          <w:rFonts w:hint="default"/>
          <w:color w:val="auto"/>
          <w:lang w:val="en-US" w:eastAsia="zh-CN"/>
        </w:rPr>
      </w:pPr>
    </w:p>
    <w:p>
      <w:pPr>
        <w:ind w:firstLine="0" w:firstLineChars="0"/>
        <w:rPr>
          <w:rFonts w:hint="eastAsia" w:ascii="Calibri" w:hAnsi="Calibri" w:cs="Times New Roman"/>
          <w:color w:val="auto"/>
        </w:rPr>
      </w:pPr>
      <w:r>
        <w:rPr>
          <w:rFonts w:hint="eastAsia" w:ascii="Calibri" w:hAnsi="Calibri" w:cs="Times New Roman"/>
          <w:color w:val="auto"/>
        </w:rPr>
        <w:br w:type="page"/>
      </w:r>
    </w:p>
    <w:p>
      <w:pPr>
        <w:pStyle w:val="4"/>
        <w:bidi w:val="0"/>
        <w:rPr>
          <w:rFonts w:hint="eastAsia"/>
          <w:color w:val="auto"/>
          <w:lang w:val="en-US" w:eastAsia="zh-CN"/>
        </w:rPr>
      </w:pPr>
      <w:r>
        <w:rPr>
          <w:rFonts w:hint="eastAsia"/>
          <w:color w:val="auto"/>
          <w:lang w:val="en-US" w:eastAsia="zh-CN"/>
        </w:rPr>
        <w:t>人员配置要求</w:t>
      </w:r>
    </w:p>
    <w:p>
      <w:pPr>
        <w:pStyle w:val="5"/>
        <w:bidi w:val="0"/>
        <w:rPr>
          <w:rFonts w:hint="default"/>
          <w:color w:val="auto"/>
          <w:lang w:val="en-US" w:eastAsia="zh-CN"/>
        </w:rPr>
      </w:pPr>
      <w:r>
        <w:rPr>
          <w:rFonts w:hint="eastAsia"/>
          <w:color w:val="auto"/>
          <w:lang w:val="en-US" w:eastAsia="zh-CN"/>
        </w:rPr>
        <w:t>公司资质</w:t>
      </w:r>
    </w:p>
    <w:p>
      <w:pPr>
        <w:widowControl/>
        <w:jc w:val="left"/>
        <w:rPr>
          <w:rFonts w:hint="eastAsia" w:eastAsia="宋体"/>
          <w:color w:val="auto"/>
          <w:lang w:val="en-US" w:eastAsia="zh-CN"/>
        </w:rPr>
      </w:pPr>
      <w:r>
        <w:rPr>
          <w:rFonts w:hint="eastAsia" w:cs="宋体"/>
          <w:color w:val="auto"/>
          <w:lang w:val="en-US" w:eastAsia="zh-CN"/>
        </w:rPr>
        <w:t>具有</w:t>
      </w:r>
      <w:r>
        <w:rPr>
          <w:rFonts w:hint="eastAsia" w:ascii="宋体" w:hAnsi="宋体" w:eastAsia="宋体" w:cs="宋体"/>
          <w:color w:val="auto"/>
        </w:rPr>
        <w:t>ISO</w:t>
      </w:r>
      <w:r>
        <w:rPr>
          <w:rFonts w:hint="eastAsia" w:cs="宋体"/>
          <w:color w:val="auto"/>
          <w:lang w:val="en-US" w:eastAsia="zh-CN"/>
        </w:rPr>
        <w:t>9001（GB/T19001）</w:t>
      </w:r>
      <w:r>
        <w:rPr>
          <w:rFonts w:hint="eastAsia" w:ascii="宋体" w:hAnsi="宋体" w:eastAsia="宋体" w:cs="宋体"/>
          <w:color w:val="auto"/>
        </w:rPr>
        <w:t>质量管理体系认证证书</w:t>
      </w:r>
      <w:r>
        <w:rPr>
          <w:rFonts w:hint="eastAsia" w:cs="宋体"/>
          <w:color w:val="auto"/>
          <w:lang w:eastAsia="zh-CN"/>
        </w:rPr>
        <w:t>、</w:t>
      </w:r>
      <w:r>
        <w:rPr>
          <w:rFonts w:hint="eastAsia" w:ascii="宋体" w:hAnsi="宋体" w:eastAsia="宋体" w:cs="宋体"/>
          <w:color w:val="auto"/>
        </w:rPr>
        <w:t>ISO</w:t>
      </w:r>
      <w:r>
        <w:rPr>
          <w:rFonts w:hint="eastAsia" w:cs="宋体"/>
          <w:color w:val="auto"/>
          <w:lang w:val="en-US" w:eastAsia="zh-CN"/>
        </w:rPr>
        <w:t>45001（GB/T45001）</w:t>
      </w:r>
      <w:r>
        <w:rPr>
          <w:rFonts w:hint="eastAsia" w:ascii="宋体" w:hAnsi="宋体" w:eastAsia="宋体" w:cs="宋体"/>
          <w:i w:val="0"/>
          <w:iCs w:val="0"/>
          <w:caps w:val="0"/>
          <w:color w:val="auto"/>
          <w:spacing w:val="0"/>
          <w:kern w:val="2"/>
          <w:sz w:val="24"/>
          <w:szCs w:val="24"/>
          <w:shd w:val="clear"/>
          <w:lang w:val="en-US" w:eastAsia="zh-CN" w:bidi="ar"/>
        </w:rPr>
        <w:t>职业健康安全管理体系</w:t>
      </w:r>
      <w:r>
        <w:rPr>
          <w:rFonts w:hint="eastAsia" w:ascii="宋体" w:hAnsi="宋体" w:eastAsia="宋体" w:cs="宋体"/>
          <w:color w:val="auto"/>
        </w:rPr>
        <w:t>认证证书</w:t>
      </w:r>
      <w:r>
        <w:rPr>
          <w:rFonts w:hint="eastAsia" w:cs="宋体"/>
          <w:color w:val="auto"/>
          <w:lang w:eastAsia="zh-CN"/>
        </w:rPr>
        <w:t>。</w:t>
      </w:r>
    </w:p>
    <w:p>
      <w:pPr>
        <w:pStyle w:val="5"/>
        <w:bidi w:val="0"/>
        <w:rPr>
          <w:rFonts w:hint="eastAsia"/>
          <w:color w:val="auto"/>
          <w:lang w:val="en-US" w:eastAsia="zh-CN"/>
        </w:rPr>
      </w:pPr>
      <w:r>
        <w:rPr>
          <w:rFonts w:hint="eastAsia"/>
          <w:color w:val="auto"/>
          <w:lang w:val="en-US" w:eastAsia="zh-CN"/>
        </w:rPr>
        <w:t>项目团队组织架构</w:t>
      </w:r>
    </w:p>
    <w:p>
      <w:pPr>
        <w:keepNext w:val="0"/>
        <w:keepLines w:val="0"/>
        <w:pageBreakBefore w:val="0"/>
        <w:widowControl w:val="0"/>
        <w:kinsoku/>
        <w:wordWrap/>
        <w:overflowPunct/>
        <w:topLinePunct w:val="0"/>
        <w:autoSpaceDE/>
        <w:autoSpaceDN/>
        <w:bidi w:val="0"/>
        <w:adjustRightInd/>
        <w:snapToGrid/>
        <w:spacing w:before="157" w:beforeLines="50" w:line="480" w:lineRule="exact"/>
        <w:ind w:firstLine="420" w:firstLineChars="0"/>
        <w:textAlignment w:val="auto"/>
        <w:rPr>
          <w:rFonts w:hint="eastAsia" w:ascii="Calibri" w:hAnsi="Calibri" w:cs="Times New Roman"/>
          <w:color w:val="auto"/>
          <w:sz w:val="24"/>
          <w:szCs w:val="24"/>
        </w:rPr>
      </w:pPr>
      <w:r>
        <w:rPr>
          <w:rFonts w:hint="eastAsia" w:ascii="Calibri" w:hAnsi="Calibri" w:cs="Times New Roman"/>
          <w:color w:val="auto"/>
          <w:sz w:val="24"/>
          <w:szCs w:val="24"/>
        </w:rPr>
        <w:t>供应商须为本项目配备专职项目管理团队，人员配置包括但不限于：</w:t>
      </w:r>
    </w:p>
    <w:p>
      <w:pPr>
        <w:keepNext w:val="0"/>
        <w:keepLines w:val="0"/>
        <w:pageBreakBefore w:val="0"/>
        <w:widowControl w:val="0"/>
        <w:kinsoku/>
        <w:wordWrap/>
        <w:overflowPunct/>
        <w:topLinePunct w:val="0"/>
        <w:autoSpaceDE/>
        <w:autoSpaceDN/>
        <w:bidi w:val="0"/>
        <w:adjustRightInd/>
        <w:snapToGrid/>
        <w:spacing w:before="157" w:beforeLines="50" w:line="480" w:lineRule="exact"/>
        <w:ind w:firstLine="420" w:firstLineChars="0"/>
        <w:textAlignment w:val="auto"/>
        <w:rPr>
          <w:rFonts w:hint="eastAsia" w:ascii="Calibri" w:hAnsi="Calibri" w:cs="Times New Roman"/>
          <w:color w:val="auto"/>
          <w:sz w:val="24"/>
          <w:szCs w:val="24"/>
          <w:lang w:val="en-US" w:eastAsia="zh-CN"/>
        </w:rPr>
      </w:pPr>
      <w:r>
        <w:rPr>
          <w:rFonts w:hint="eastAsia" w:ascii="Calibri" w:hAnsi="Calibri" w:cs="Times New Roman"/>
          <w:color w:val="auto"/>
          <w:sz w:val="24"/>
          <w:szCs w:val="24"/>
          <w:lang w:val="en-US" w:eastAsia="zh-CN"/>
        </w:rPr>
        <w:t>项目经理：1人</w:t>
      </w:r>
    </w:p>
    <w:p>
      <w:pPr>
        <w:keepNext w:val="0"/>
        <w:keepLines w:val="0"/>
        <w:pageBreakBefore w:val="0"/>
        <w:widowControl w:val="0"/>
        <w:kinsoku/>
        <w:wordWrap/>
        <w:overflowPunct/>
        <w:topLinePunct w:val="0"/>
        <w:autoSpaceDE/>
        <w:autoSpaceDN/>
        <w:bidi w:val="0"/>
        <w:adjustRightInd/>
        <w:snapToGrid/>
        <w:spacing w:before="157" w:beforeLines="50" w:line="480" w:lineRule="exact"/>
        <w:ind w:firstLine="420" w:firstLineChars="0"/>
        <w:textAlignment w:val="auto"/>
        <w:rPr>
          <w:rFonts w:hint="default" w:ascii="Calibri" w:hAnsi="Calibri" w:cs="Times New Roman"/>
          <w:color w:val="auto"/>
          <w:sz w:val="24"/>
          <w:szCs w:val="24"/>
          <w:lang w:val="en-US" w:eastAsia="zh-CN"/>
        </w:rPr>
      </w:pPr>
      <w:r>
        <w:rPr>
          <w:rFonts w:hint="eastAsia" w:ascii="Calibri" w:hAnsi="Calibri" w:cs="Times New Roman"/>
          <w:color w:val="auto"/>
          <w:sz w:val="24"/>
          <w:szCs w:val="24"/>
          <w:lang w:val="en-US" w:eastAsia="zh-CN"/>
        </w:rPr>
        <w:t>技术负责人：1人</w:t>
      </w:r>
    </w:p>
    <w:p>
      <w:pPr>
        <w:keepNext w:val="0"/>
        <w:keepLines w:val="0"/>
        <w:pageBreakBefore w:val="0"/>
        <w:widowControl w:val="0"/>
        <w:kinsoku/>
        <w:wordWrap/>
        <w:overflowPunct/>
        <w:topLinePunct w:val="0"/>
        <w:autoSpaceDE/>
        <w:autoSpaceDN/>
        <w:bidi w:val="0"/>
        <w:adjustRightInd/>
        <w:snapToGrid/>
        <w:spacing w:before="157" w:beforeLines="50" w:line="480" w:lineRule="exact"/>
        <w:ind w:firstLine="420" w:firstLineChars="0"/>
        <w:textAlignment w:val="auto"/>
        <w:rPr>
          <w:rFonts w:hint="eastAsia" w:ascii="Calibri" w:hAnsi="Calibri" w:cs="Times New Roman"/>
          <w:color w:val="auto"/>
          <w:sz w:val="24"/>
          <w:szCs w:val="24"/>
          <w:lang w:val="en-US" w:eastAsia="zh-CN"/>
        </w:rPr>
      </w:pPr>
      <w:r>
        <w:rPr>
          <w:rFonts w:hint="eastAsia" w:ascii="Calibri" w:hAnsi="Calibri" w:cs="Times New Roman"/>
          <w:color w:val="auto"/>
          <w:sz w:val="24"/>
          <w:szCs w:val="24"/>
          <w:lang w:val="en-US" w:eastAsia="zh-CN"/>
        </w:rPr>
        <w:t>驻场技术员：2人</w:t>
      </w:r>
    </w:p>
    <w:p>
      <w:pPr>
        <w:keepNext w:val="0"/>
        <w:keepLines w:val="0"/>
        <w:pageBreakBefore w:val="0"/>
        <w:widowControl w:val="0"/>
        <w:kinsoku/>
        <w:wordWrap/>
        <w:overflowPunct/>
        <w:topLinePunct w:val="0"/>
        <w:autoSpaceDE/>
        <w:autoSpaceDN/>
        <w:bidi w:val="0"/>
        <w:adjustRightInd/>
        <w:snapToGrid/>
        <w:spacing w:before="157" w:beforeLines="50" w:line="480" w:lineRule="exact"/>
        <w:ind w:firstLine="420" w:firstLineChars="0"/>
        <w:textAlignment w:val="auto"/>
        <w:rPr>
          <w:rFonts w:hint="default" w:ascii="Calibri" w:hAnsi="Calibri" w:cs="Times New Roman"/>
          <w:color w:val="auto"/>
          <w:sz w:val="24"/>
          <w:szCs w:val="24"/>
          <w:lang w:val="en-US" w:eastAsia="zh-CN"/>
        </w:rPr>
      </w:pPr>
    </w:p>
    <w:p>
      <w:pPr>
        <w:pStyle w:val="5"/>
        <w:bidi w:val="0"/>
        <w:rPr>
          <w:rFonts w:hint="eastAsia"/>
          <w:color w:val="auto"/>
          <w:lang w:val="en-US" w:eastAsia="zh-CN"/>
        </w:rPr>
      </w:pPr>
      <w:r>
        <w:rPr>
          <w:rFonts w:hint="eastAsia"/>
          <w:color w:val="auto"/>
          <w:lang w:val="en-US" w:eastAsia="zh-CN"/>
        </w:rPr>
        <w:t>人员管理要求</w:t>
      </w:r>
    </w:p>
    <w:p>
      <w:pPr>
        <w:keepNext w:val="0"/>
        <w:keepLines w:val="0"/>
        <w:pageBreakBefore w:val="0"/>
        <w:widowControl w:val="0"/>
        <w:numPr>
          <w:ilvl w:val="0"/>
          <w:numId w:val="14"/>
        </w:numPr>
        <w:kinsoku/>
        <w:wordWrap/>
        <w:overflowPunct/>
        <w:topLinePunct w:val="0"/>
        <w:autoSpaceDE/>
        <w:autoSpaceDN/>
        <w:bidi w:val="0"/>
        <w:adjustRightInd/>
        <w:snapToGrid/>
        <w:spacing w:before="157" w:beforeLines="50" w:line="480" w:lineRule="exact"/>
        <w:ind w:left="425" w:leftChars="0" w:hanging="425" w:firstLineChars="0"/>
        <w:textAlignment w:val="auto"/>
        <w:rPr>
          <w:rFonts w:hint="eastAsia" w:ascii="Calibri" w:hAnsi="Calibri" w:cs="Times New Roman"/>
          <w:color w:val="auto"/>
          <w:sz w:val="24"/>
          <w:szCs w:val="24"/>
        </w:rPr>
      </w:pPr>
      <w:r>
        <w:rPr>
          <w:rFonts w:hint="eastAsia" w:ascii="Calibri" w:hAnsi="Calibri" w:cs="Times New Roman"/>
          <w:color w:val="auto"/>
          <w:sz w:val="24"/>
          <w:szCs w:val="24"/>
        </w:rPr>
        <w:t>驻场要求：关键工序施工期间，项目经理及技术负责人须常驻现场。</w:t>
      </w:r>
    </w:p>
    <w:p>
      <w:pPr>
        <w:keepNext w:val="0"/>
        <w:keepLines w:val="0"/>
        <w:pageBreakBefore w:val="0"/>
        <w:widowControl w:val="0"/>
        <w:numPr>
          <w:ilvl w:val="0"/>
          <w:numId w:val="14"/>
        </w:numPr>
        <w:kinsoku/>
        <w:wordWrap/>
        <w:overflowPunct/>
        <w:topLinePunct w:val="0"/>
        <w:autoSpaceDE/>
        <w:autoSpaceDN/>
        <w:bidi w:val="0"/>
        <w:adjustRightInd/>
        <w:snapToGrid/>
        <w:spacing w:before="157" w:beforeLines="50" w:line="480" w:lineRule="exact"/>
        <w:ind w:left="425" w:leftChars="0" w:hanging="425" w:firstLineChars="0"/>
        <w:textAlignment w:val="auto"/>
        <w:rPr>
          <w:rFonts w:hint="eastAsia" w:ascii="Calibri" w:hAnsi="Calibri" w:cs="Times New Roman"/>
          <w:color w:val="auto"/>
          <w:sz w:val="24"/>
          <w:szCs w:val="24"/>
        </w:rPr>
      </w:pPr>
      <w:r>
        <w:rPr>
          <w:rFonts w:hint="eastAsia" w:ascii="Calibri" w:hAnsi="Calibri" w:cs="Times New Roman"/>
          <w:color w:val="auto"/>
          <w:sz w:val="24"/>
          <w:szCs w:val="24"/>
        </w:rPr>
        <w:t>变更约束：核心管理人员未经招标人书面同意不得擅自更换；确需更换的，接替人员资历不得低于原配置。</w:t>
      </w:r>
    </w:p>
    <w:p>
      <w:pPr>
        <w:keepNext w:val="0"/>
        <w:keepLines w:val="0"/>
        <w:pageBreakBefore w:val="0"/>
        <w:widowControl w:val="0"/>
        <w:numPr>
          <w:ilvl w:val="0"/>
          <w:numId w:val="14"/>
        </w:numPr>
        <w:kinsoku/>
        <w:wordWrap/>
        <w:overflowPunct/>
        <w:topLinePunct w:val="0"/>
        <w:autoSpaceDE/>
        <w:autoSpaceDN/>
        <w:bidi w:val="0"/>
        <w:adjustRightInd/>
        <w:snapToGrid/>
        <w:spacing w:before="157" w:beforeLines="50" w:line="480" w:lineRule="exact"/>
        <w:ind w:left="425" w:leftChars="0" w:hanging="425" w:firstLineChars="0"/>
        <w:textAlignment w:val="auto"/>
        <w:rPr>
          <w:rFonts w:hint="eastAsia" w:ascii="Calibri" w:hAnsi="Calibri" w:cs="Times New Roman"/>
          <w:color w:val="auto"/>
          <w:sz w:val="24"/>
          <w:szCs w:val="24"/>
        </w:rPr>
      </w:pPr>
      <w:r>
        <w:rPr>
          <w:rFonts w:hint="eastAsia" w:ascii="Calibri" w:hAnsi="Calibri" w:cs="Times New Roman"/>
          <w:color w:val="auto"/>
          <w:sz w:val="24"/>
          <w:szCs w:val="24"/>
        </w:rPr>
        <w:t>协调配合：项目团队须服从总包/监理及招标人现场管理，积极配合土建、装修、机电等单位开展交叉作业。</w:t>
      </w:r>
    </w:p>
    <w:p>
      <w:pPr>
        <w:keepNext w:val="0"/>
        <w:keepLines w:val="0"/>
        <w:pageBreakBefore w:val="0"/>
        <w:widowControl w:val="0"/>
        <w:kinsoku/>
        <w:wordWrap/>
        <w:overflowPunct/>
        <w:topLinePunct w:val="0"/>
        <w:autoSpaceDE/>
        <w:autoSpaceDN/>
        <w:bidi w:val="0"/>
        <w:adjustRightInd/>
        <w:snapToGrid/>
        <w:spacing w:before="157" w:beforeLines="50" w:line="480" w:lineRule="exact"/>
        <w:ind w:firstLine="0" w:firstLineChars="0"/>
        <w:textAlignment w:val="auto"/>
        <w:rPr>
          <w:rFonts w:hint="eastAsia" w:ascii="Calibri" w:hAnsi="Calibri" w:cs="Times New Roman"/>
          <w:color w:val="auto"/>
          <w:sz w:val="24"/>
          <w:szCs w:val="24"/>
        </w:rPr>
      </w:pPr>
    </w:p>
    <w:p>
      <w:pPr>
        <w:ind w:firstLine="0" w:firstLineChars="0"/>
        <w:rPr>
          <w:rFonts w:hint="eastAsia" w:ascii="Calibri" w:hAnsi="Calibri" w:cs="Times New Roman"/>
          <w:color w:val="auto"/>
        </w:rPr>
      </w:pPr>
      <w:r>
        <w:rPr>
          <w:rFonts w:hint="eastAsia" w:ascii="Calibri" w:hAnsi="Calibri" w:cs="Times New Roman"/>
          <w:color w:val="auto"/>
        </w:rPr>
        <w:br w:type="page"/>
      </w:r>
    </w:p>
    <w:p>
      <w:pPr>
        <w:pStyle w:val="4"/>
        <w:bidi w:val="0"/>
        <w:rPr>
          <w:rFonts w:hint="eastAsia"/>
          <w:color w:val="auto"/>
        </w:rPr>
      </w:pPr>
      <w:r>
        <w:rPr>
          <w:rFonts w:hint="eastAsia"/>
          <w:color w:val="auto"/>
        </w:rPr>
        <w:t>培训方案</w:t>
      </w:r>
    </w:p>
    <w:p>
      <w:pPr>
        <w:pStyle w:val="5"/>
        <w:bidi w:val="0"/>
        <w:rPr>
          <w:rFonts w:hint="eastAsia"/>
          <w:color w:val="auto"/>
        </w:rPr>
      </w:pPr>
      <w:r>
        <w:rPr>
          <w:rFonts w:hint="eastAsia"/>
          <w:color w:val="auto"/>
        </w:rPr>
        <w:t>培训目标</w:t>
      </w:r>
    </w:p>
    <w:p>
      <w:pPr>
        <w:keepNext w:val="0"/>
        <w:keepLines w:val="0"/>
        <w:widowControl w:val="0"/>
        <w:suppressLineNumbers w:val="0"/>
        <w:autoSpaceDE w:val="0"/>
        <w:autoSpaceDN/>
        <w:spacing w:before="0" w:beforeLines="0" w:beforeAutospacing="0" w:after="0" w:afterLines="0" w:afterAutospacing="0" w:line="360" w:lineRule="auto"/>
        <w:ind w:left="0" w:right="0" w:firstLine="480" w:firstLineChars="200"/>
        <w:jc w:val="both"/>
        <w:rPr>
          <w:rFonts w:hint="eastAsia" w:ascii="宋体" w:hAnsi="宋体" w:eastAsia="宋体" w:cs="宋体"/>
          <w:color w:val="auto"/>
          <w:kern w:val="2"/>
          <w:sz w:val="21"/>
          <w:szCs w:val="21"/>
        </w:rPr>
      </w:pPr>
      <w:r>
        <w:rPr>
          <w:rFonts w:hint="eastAsia" w:ascii="Calibri" w:hAnsi="Calibri" w:cs="Times New Roman"/>
          <w:color w:val="auto"/>
          <w:sz w:val="24"/>
          <w:szCs w:val="24"/>
          <w:lang w:val="en-US" w:eastAsia="zh-CN"/>
        </w:rPr>
        <w:t>确保采购人使用人员熟练掌握设备操作、日常维护及简单故障排除，实现教学设备设施的规范化、高效化利用。</w:t>
      </w:r>
    </w:p>
    <w:p>
      <w:pPr>
        <w:pStyle w:val="5"/>
        <w:bidi w:val="0"/>
        <w:rPr>
          <w:rFonts w:hint="eastAsia"/>
          <w:color w:val="auto"/>
        </w:rPr>
      </w:pPr>
      <w:r>
        <w:rPr>
          <w:rFonts w:hint="eastAsia"/>
          <w:color w:val="auto"/>
        </w:rPr>
        <w:t>培训方式与要求</w:t>
      </w:r>
    </w:p>
    <w:p>
      <w:pPr>
        <w:keepNext w:val="0"/>
        <w:keepLines w:val="0"/>
        <w:widowControl w:val="0"/>
        <w:suppressLineNumbers w:val="0"/>
        <w:autoSpaceDE w:val="0"/>
        <w:autoSpaceDN/>
        <w:spacing w:before="0" w:beforeLines="0" w:beforeAutospacing="0" w:after="0" w:afterLines="0" w:afterAutospacing="0" w:line="360" w:lineRule="auto"/>
        <w:ind w:left="0" w:right="0" w:firstLine="480" w:firstLineChars="200"/>
        <w:jc w:val="both"/>
        <w:rPr>
          <w:rFonts w:hint="eastAsia" w:ascii="Calibri" w:hAnsi="Calibri" w:cs="Times New Roman"/>
          <w:color w:val="auto"/>
          <w:sz w:val="24"/>
          <w:szCs w:val="24"/>
          <w:lang w:val="en-US" w:eastAsia="zh-CN"/>
        </w:rPr>
      </w:pPr>
      <w:r>
        <w:rPr>
          <w:rFonts w:hint="eastAsia" w:ascii="Calibri" w:hAnsi="Calibri" w:cs="Times New Roman"/>
          <w:color w:val="auto"/>
          <w:sz w:val="24"/>
          <w:szCs w:val="24"/>
          <w:lang w:val="en-US" w:eastAsia="zh-CN"/>
        </w:rPr>
        <w:t>1.集中培训：设备安装调试完成后5日内，组织不少于3场次集中培训，提供印刷版及电子版培训手册（含操作指南、快速入门卡）。</w:t>
      </w:r>
    </w:p>
    <w:p>
      <w:pPr>
        <w:keepNext w:val="0"/>
        <w:keepLines w:val="0"/>
        <w:widowControl w:val="0"/>
        <w:suppressLineNumbers w:val="0"/>
        <w:autoSpaceDE w:val="0"/>
        <w:autoSpaceDN/>
        <w:spacing w:before="0" w:beforeLines="0" w:beforeAutospacing="0" w:after="0" w:afterLines="0" w:afterAutospacing="0" w:line="360" w:lineRule="auto"/>
        <w:ind w:left="0" w:right="0" w:firstLine="480" w:firstLineChars="200"/>
        <w:jc w:val="both"/>
        <w:rPr>
          <w:rFonts w:hint="eastAsia" w:ascii="Calibri" w:hAnsi="Calibri" w:cs="Times New Roman"/>
          <w:color w:val="auto"/>
          <w:sz w:val="24"/>
          <w:szCs w:val="24"/>
          <w:lang w:val="en-US" w:eastAsia="zh-CN"/>
        </w:rPr>
      </w:pPr>
      <w:r>
        <w:rPr>
          <w:rFonts w:hint="eastAsia" w:ascii="Calibri" w:hAnsi="Calibri" w:cs="Times New Roman"/>
          <w:color w:val="auto"/>
          <w:sz w:val="24"/>
          <w:szCs w:val="24"/>
          <w:lang w:val="en-US" w:eastAsia="zh-CN"/>
        </w:rPr>
        <w:t>2.现场实操：采用“讲解+示范+实操”模式，确保每位参训人员独立完成操作。</w:t>
      </w:r>
    </w:p>
    <w:p>
      <w:pPr>
        <w:keepNext w:val="0"/>
        <w:keepLines w:val="0"/>
        <w:widowControl w:val="0"/>
        <w:suppressLineNumbers w:val="0"/>
        <w:autoSpaceDE w:val="0"/>
        <w:autoSpaceDN/>
        <w:spacing w:before="0" w:beforeLines="0" w:beforeAutospacing="0" w:after="0" w:afterLines="0" w:afterAutospacing="0" w:line="360" w:lineRule="auto"/>
        <w:ind w:left="0" w:right="0" w:firstLine="480" w:firstLineChars="200"/>
        <w:jc w:val="both"/>
        <w:rPr>
          <w:rFonts w:hint="eastAsia" w:ascii="Calibri" w:hAnsi="Calibri" w:cs="Times New Roman"/>
          <w:color w:val="auto"/>
          <w:sz w:val="24"/>
          <w:szCs w:val="24"/>
          <w:lang w:val="en-US" w:eastAsia="zh-CN"/>
        </w:rPr>
      </w:pPr>
      <w:r>
        <w:rPr>
          <w:rFonts w:hint="eastAsia" w:ascii="Calibri" w:hAnsi="Calibri" w:cs="Times New Roman"/>
          <w:color w:val="auto"/>
          <w:sz w:val="24"/>
          <w:szCs w:val="24"/>
          <w:lang w:val="en-US" w:eastAsia="zh-CN"/>
        </w:rPr>
        <w:t>3.在线支持：建立项目专属技术支持群，提供6个月在线答疑服务；制作设备操作短视频教程。</w:t>
      </w:r>
    </w:p>
    <w:p>
      <w:pPr>
        <w:keepNext w:val="0"/>
        <w:keepLines w:val="0"/>
        <w:widowControl w:val="0"/>
        <w:suppressLineNumbers w:val="0"/>
        <w:autoSpaceDE w:val="0"/>
        <w:autoSpaceDN/>
        <w:spacing w:before="0" w:beforeLines="0" w:beforeAutospacing="0" w:after="0" w:afterLines="0" w:afterAutospacing="0" w:line="360" w:lineRule="auto"/>
        <w:ind w:left="0" w:right="0" w:firstLine="480" w:firstLineChars="200"/>
        <w:jc w:val="both"/>
        <w:rPr>
          <w:rFonts w:hint="eastAsia" w:ascii="宋体" w:hAnsi="宋体" w:eastAsia="宋体" w:cs="宋体"/>
          <w:color w:val="auto"/>
          <w:kern w:val="2"/>
          <w:sz w:val="21"/>
          <w:szCs w:val="21"/>
        </w:rPr>
      </w:pPr>
      <w:r>
        <w:rPr>
          <w:rFonts w:hint="eastAsia" w:ascii="Calibri" w:hAnsi="Calibri" w:cs="Times New Roman"/>
          <w:color w:val="auto"/>
          <w:sz w:val="24"/>
          <w:szCs w:val="24"/>
          <w:lang w:val="en-US" w:eastAsia="zh-CN"/>
        </w:rPr>
        <w:t>4.进阶培训：质保期内，针对软件升级、功能拓展等提供不少于4次的免费进阶培训。</w:t>
      </w:r>
    </w:p>
    <w:p>
      <w:pPr>
        <w:keepNext w:val="0"/>
        <w:keepLines w:val="0"/>
        <w:widowControl w:val="0"/>
        <w:suppressLineNumbers w:val="0"/>
        <w:autoSpaceDE w:val="0"/>
        <w:autoSpaceDN/>
        <w:spacing w:before="0" w:beforeLines="0" w:beforeAutospacing="0" w:after="0" w:afterLines="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 xml:space="preserve"> </w:t>
      </w:r>
    </w:p>
    <w:p>
      <w:pPr>
        <w:keepNext w:val="0"/>
        <w:keepLines w:val="0"/>
        <w:widowControl w:val="0"/>
        <w:suppressLineNumbers w:val="0"/>
        <w:autoSpaceDE w:val="0"/>
        <w:autoSpaceDN/>
        <w:spacing w:before="0" w:beforeLines="0" w:beforeAutospacing="0" w:after="0" w:afterLines="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 xml:space="preserve"> </w:t>
      </w:r>
    </w:p>
    <w:p>
      <w:pPr>
        <w:keepNext w:val="0"/>
        <w:keepLines w:val="0"/>
        <w:widowControl w:val="0"/>
        <w:suppressLineNumbers w:val="0"/>
        <w:autoSpaceDE w:val="0"/>
        <w:autoSpaceDN/>
        <w:spacing w:before="0" w:beforeLines="0" w:beforeAutospacing="0" w:after="0" w:afterLines="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br w:type="page"/>
      </w:r>
    </w:p>
    <w:p>
      <w:pPr>
        <w:pStyle w:val="4"/>
        <w:bidi w:val="0"/>
        <w:rPr>
          <w:rFonts w:hint="eastAsia"/>
          <w:color w:val="auto"/>
        </w:rPr>
      </w:pPr>
      <w:r>
        <w:rPr>
          <w:rFonts w:hint="eastAsia"/>
          <w:color w:val="auto"/>
        </w:rPr>
        <w:t>验收标准与资料移交</w:t>
      </w:r>
    </w:p>
    <w:p>
      <w:pPr>
        <w:pStyle w:val="5"/>
        <w:bidi w:val="0"/>
        <w:rPr>
          <w:rFonts w:hint="eastAsia"/>
          <w:color w:val="auto"/>
        </w:rPr>
      </w:pPr>
      <w:r>
        <w:rPr>
          <w:rFonts w:hint="eastAsia"/>
          <w:color w:val="auto"/>
        </w:rPr>
        <w:t>验收阶段</w:t>
      </w:r>
    </w:p>
    <w:p>
      <w:pPr>
        <w:keepNext w:val="0"/>
        <w:keepLines w:val="0"/>
        <w:widowControl w:val="0"/>
        <w:suppressLineNumbers w:val="0"/>
        <w:autoSpaceDE w:val="0"/>
        <w:autoSpaceDN/>
        <w:spacing w:before="0" w:beforeLines="0" w:beforeAutospacing="0" w:after="0" w:afterLines="0" w:afterAutospacing="0" w:line="360" w:lineRule="auto"/>
        <w:ind w:left="0" w:right="0" w:firstLine="480" w:firstLineChars="200"/>
        <w:jc w:val="both"/>
        <w:rPr>
          <w:rFonts w:hint="eastAsia" w:ascii="Calibri" w:hAnsi="Calibri" w:cs="Times New Roman"/>
          <w:color w:val="auto"/>
          <w:sz w:val="24"/>
          <w:szCs w:val="24"/>
          <w:lang w:val="en-US" w:eastAsia="zh-CN"/>
        </w:rPr>
      </w:pPr>
      <w:r>
        <w:rPr>
          <w:rFonts w:hint="eastAsia" w:ascii="Calibri" w:hAnsi="Calibri" w:cs="Times New Roman"/>
          <w:color w:val="auto"/>
          <w:sz w:val="24"/>
          <w:szCs w:val="24"/>
          <w:lang w:val="en-US" w:eastAsia="zh-CN"/>
        </w:rPr>
        <w:t>1.到货验收：核对品牌、规格、数量、外观完整性及出厂合格证。</w:t>
      </w:r>
    </w:p>
    <w:p>
      <w:pPr>
        <w:keepNext w:val="0"/>
        <w:keepLines w:val="0"/>
        <w:widowControl w:val="0"/>
        <w:suppressLineNumbers w:val="0"/>
        <w:autoSpaceDE w:val="0"/>
        <w:autoSpaceDN/>
        <w:spacing w:before="0" w:beforeLines="0" w:beforeAutospacing="0" w:after="0" w:afterLines="0" w:afterAutospacing="0" w:line="360" w:lineRule="auto"/>
        <w:ind w:left="0" w:right="0" w:firstLine="480" w:firstLineChars="200"/>
        <w:jc w:val="both"/>
        <w:rPr>
          <w:rFonts w:hint="eastAsia" w:ascii="Calibri" w:hAnsi="Calibri" w:cs="Times New Roman"/>
          <w:color w:val="auto"/>
          <w:sz w:val="24"/>
          <w:szCs w:val="24"/>
          <w:lang w:val="en-US" w:eastAsia="zh-CN"/>
        </w:rPr>
      </w:pPr>
      <w:r>
        <w:rPr>
          <w:rFonts w:hint="eastAsia" w:ascii="Calibri" w:hAnsi="Calibri" w:cs="Times New Roman"/>
          <w:color w:val="auto"/>
          <w:sz w:val="24"/>
          <w:szCs w:val="24"/>
          <w:lang w:val="en-US" w:eastAsia="zh-CN"/>
        </w:rPr>
        <w:t>2.隐蔽工程验收：管线预埋、吊顶内设备安装等隐蔽工程须经监理/采购人验收后方可封闭。</w:t>
      </w:r>
    </w:p>
    <w:p>
      <w:pPr>
        <w:keepNext w:val="0"/>
        <w:keepLines w:val="0"/>
        <w:widowControl w:val="0"/>
        <w:suppressLineNumbers w:val="0"/>
        <w:autoSpaceDE w:val="0"/>
        <w:autoSpaceDN/>
        <w:spacing w:before="0" w:beforeLines="0" w:beforeAutospacing="0" w:after="0" w:afterLines="0" w:afterAutospacing="0" w:line="360" w:lineRule="auto"/>
        <w:ind w:left="0" w:right="0" w:firstLine="480" w:firstLineChars="200"/>
        <w:jc w:val="both"/>
        <w:rPr>
          <w:rFonts w:hint="eastAsia" w:ascii="Calibri" w:hAnsi="Calibri" w:cs="Times New Roman"/>
          <w:color w:val="auto"/>
          <w:sz w:val="24"/>
          <w:szCs w:val="24"/>
          <w:lang w:val="en-US" w:eastAsia="zh-CN"/>
        </w:rPr>
      </w:pPr>
      <w:r>
        <w:rPr>
          <w:rFonts w:hint="eastAsia" w:ascii="Calibri" w:hAnsi="Calibri" w:cs="Times New Roman"/>
          <w:color w:val="auto"/>
          <w:sz w:val="24"/>
          <w:szCs w:val="24"/>
          <w:lang w:val="en-US" w:eastAsia="zh-CN"/>
        </w:rPr>
        <w:t>3.初步验收：完成安装调试后，进行功能性测试及系统联调，确认技术指标达标。</w:t>
      </w:r>
    </w:p>
    <w:p>
      <w:pPr>
        <w:keepNext w:val="0"/>
        <w:keepLines w:val="0"/>
        <w:widowControl w:val="0"/>
        <w:suppressLineNumbers w:val="0"/>
        <w:autoSpaceDE w:val="0"/>
        <w:autoSpaceDN/>
        <w:spacing w:before="0" w:beforeLines="0" w:beforeAutospacing="0" w:after="0" w:afterLines="0" w:afterAutospacing="0" w:line="360" w:lineRule="auto"/>
        <w:ind w:left="0" w:right="0" w:firstLine="480" w:firstLineChars="200"/>
        <w:jc w:val="both"/>
        <w:rPr>
          <w:rFonts w:hint="eastAsia" w:ascii="宋体" w:hAnsi="宋体" w:eastAsia="宋体" w:cs="宋体"/>
          <w:color w:val="auto"/>
          <w:kern w:val="2"/>
          <w:sz w:val="21"/>
          <w:szCs w:val="21"/>
        </w:rPr>
      </w:pPr>
      <w:r>
        <w:rPr>
          <w:rFonts w:hint="eastAsia" w:ascii="Calibri" w:hAnsi="Calibri" w:cs="Times New Roman"/>
          <w:color w:val="auto"/>
          <w:sz w:val="24"/>
          <w:szCs w:val="24"/>
          <w:lang w:val="en-US" w:eastAsia="zh-CN"/>
        </w:rPr>
        <w:t>4.最终验收：试运行完成且完成培训及资料移交后组织最终验收。</w:t>
      </w:r>
    </w:p>
    <w:p>
      <w:pPr>
        <w:pStyle w:val="5"/>
        <w:bidi w:val="0"/>
        <w:rPr>
          <w:rFonts w:hint="eastAsia"/>
          <w:color w:val="auto"/>
        </w:rPr>
      </w:pPr>
      <w:r>
        <w:rPr>
          <w:rFonts w:hint="eastAsia"/>
          <w:color w:val="auto"/>
        </w:rPr>
        <w:t>资料移交清单</w:t>
      </w:r>
    </w:p>
    <w:p>
      <w:pPr>
        <w:keepNext w:val="0"/>
        <w:keepLines w:val="0"/>
        <w:widowControl w:val="0"/>
        <w:suppressLineNumbers w:val="0"/>
        <w:autoSpaceDE w:val="0"/>
        <w:autoSpaceDN/>
        <w:spacing w:before="0" w:beforeLines="0" w:beforeAutospacing="0" w:after="0" w:afterLines="0" w:afterAutospacing="0" w:line="360" w:lineRule="auto"/>
        <w:ind w:left="0" w:right="0" w:firstLine="480" w:firstLineChars="200"/>
        <w:jc w:val="both"/>
        <w:rPr>
          <w:rFonts w:hint="eastAsia" w:ascii="Calibri" w:hAnsi="Calibri" w:cs="Times New Roman"/>
          <w:color w:val="auto"/>
          <w:sz w:val="24"/>
          <w:szCs w:val="24"/>
          <w:lang w:val="en-US" w:eastAsia="zh-CN"/>
        </w:rPr>
      </w:pPr>
      <w:r>
        <w:rPr>
          <w:rFonts w:hint="eastAsia" w:ascii="Calibri" w:hAnsi="Calibri" w:cs="Times New Roman"/>
          <w:color w:val="auto"/>
          <w:sz w:val="24"/>
          <w:szCs w:val="24"/>
          <w:lang w:val="en-US" w:eastAsia="zh-CN"/>
        </w:rPr>
        <w:t>1.产品合格证、质量证明书、检测报告、3C认证等质量文件；</w:t>
      </w:r>
    </w:p>
    <w:p>
      <w:pPr>
        <w:keepNext w:val="0"/>
        <w:keepLines w:val="0"/>
        <w:widowControl w:val="0"/>
        <w:suppressLineNumbers w:val="0"/>
        <w:autoSpaceDE w:val="0"/>
        <w:autoSpaceDN/>
        <w:spacing w:before="0" w:beforeLines="0" w:beforeAutospacing="0" w:after="0" w:afterLines="0" w:afterAutospacing="0" w:line="360" w:lineRule="auto"/>
        <w:ind w:left="0" w:right="0" w:firstLine="480" w:firstLineChars="200"/>
        <w:jc w:val="both"/>
        <w:rPr>
          <w:rFonts w:hint="eastAsia" w:ascii="Calibri" w:hAnsi="Calibri" w:cs="Times New Roman"/>
          <w:color w:val="auto"/>
          <w:sz w:val="24"/>
          <w:szCs w:val="24"/>
          <w:lang w:val="en-US" w:eastAsia="zh-CN"/>
        </w:rPr>
      </w:pPr>
      <w:r>
        <w:rPr>
          <w:rFonts w:hint="eastAsia" w:ascii="Calibri" w:hAnsi="Calibri" w:cs="Times New Roman"/>
          <w:color w:val="auto"/>
          <w:sz w:val="24"/>
          <w:szCs w:val="24"/>
          <w:lang w:val="en-US" w:eastAsia="zh-CN"/>
        </w:rPr>
        <w:t>2.深化设计图纸（CAD及PDF版）、竣工图、系统拓扑图；</w:t>
      </w:r>
    </w:p>
    <w:p>
      <w:pPr>
        <w:keepNext w:val="0"/>
        <w:keepLines w:val="0"/>
        <w:widowControl w:val="0"/>
        <w:suppressLineNumbers w:val="0"/>
        <w:autoSpaceDE w:val="0"/>
        <w:autoSpaceDN/>
        <w:spacing w:before="0" w:beforeLines="0" w:beforeAutospacing="0" w:after="0" w:afterLines="0" w:afterAutospacing="0" w:line="360" w:lineRule="auto"/>
        <w:ind w:left="0" w:right="0" w:firstLine="480" w:firstLineChars="200"/>
        <w:jc w:val="both"/>
        <w:rPr>
          <w:rFonts w:hint="eastAsia" w:ascii="Calibri" w:hAnsi="Calibri" w:cs="Times New Roman"/>
          <w:color w:val="auto"/>
          <w:sz w:val="24"/>
          <w:szCs w:val="24"/>
          <w:lang w:val="en-US" w:eastAsia="zh-CN"/>
        </w:rPr>
      </w:pPr>
      <w:r>
        <w:rPr>
          <w:rFonts w:hint="eastAsia" w:ascii="Calibri" w:hAnsi="Calibri" w:cs="Times New Roman"/>
          <w:color w:val="auto"/>
          <w:sz w:val="24"/>
          <w:szCs w:val="24"/>
          <w:lang w:val="en-US" w:eastAsia="zh-CN"/>
        </w:rPr>
        <w:t>3.随机技术资料、用户手册、保修卡；</w:t>
      </w:r>
    </w:p>
    <w:p>
      <w:pPr>
        <w:keepNext w:val="0"/>
        <w:keepLines w:val="0"/>
        <w:widowControl w:val="0"/>
        <w:suppressLineNumbers w:val="0"/>
        <w:autoSpaceDE w:val="0"/>
        <w:autoSpaceDN/>
        <w:spacing w:before="0" w:beforeLines="0" w:beforeAutospacing="0" w:after="0" w:afterLines="0" w:afterAutospacing="0" w:line="360" w:lineRule="auto"/>
        <w:ind w:left="0" w:right="0" w:firstLine="480" w:firstLineChars="200"/>
        <w:jc w:val="both"/>
        <w:rPr>
          <w:rFonts w:hint="eastAsia" w:ascii="Calibri" w:hAnsi="Calibri" w:cs="Times New Roman"/>
          <w:color w:val="auto"/>
          <w:sz w:val="24"/>
          <w:szCs w:val="24"/>
          <w:lang w:val="en-US" w:eastAsia="zh-CN"/>
        </w:rPr>
      </w:pPr>
      <w:r>
        <w:rPr>
          <w:rFonts w:hint="eastAsia" w:ascii="Calibri" w:hAnsi="Calibri" w:cs="Times New Roman"/>
          <w:color w:val="auto"/>
          <w:sz w:val="24"/>
          <w:szCs w:val="24"/>
          <w:lang w:val="en-US" w:eastAsia="zh-CN"/>
        </w:rPr>
        <w:t>4.操作维护手册、培训记录、备品备件清单；</w:t>
      </w:r>
    </w:p>
    <w:p>
      <w:pPr>
        <w:keepNext w:val="0"/>
        <w:keepLines w:val="0"/>
        <w:widowControl w:val="0"/>
        <w:suppressLineNumbers w:val="0"/>
        <w:autoSpaceDE w:val="0"/>
        <w:autoSpaceDN/>
        <w:spacing w:before="0" w:beforeLines="0" w:beforeAutospacing="0" w:after="0" w:afterLines="0" w:afterAutospacing="0" w:line="360" w:lineRule="auto"/>
        <w:ind w:left="0" w:right="0" w:firstLine="480" w:firstLineChars="200"/>
        <w:jc w:val="both"/>
        <w:rPr>
          <w:rFonts w:hint="eastAsia" w:ascii="宋体" w:hAnsi="宋体" w:eastAsia="宋体" w:cs="宋体"/>
          <w:color w:val="auto"/>
          <w:kern w:val="2"/>
          <w:sz w:val="21"/>
          <w:szCs w:val="21"/>
        </w:rPr>
      </w:pPr>
      <w:r>
        <w:rPr>
          <w:rFonts w:hint="eastAsia" w:ascii="Calibri" w:hAnsi="Calibri" w:cs="Times New Roman"/>
          <w:color w:val="auto"/>
          <w:sz w:val="24"/>
          <w:szCs w:val="24"/>
          <w:lang w:val="en-US" w:eastAsia="zh-CN"/>
        </w:rPr>
        <w:t>备注：本需求书未尽事宜，以国家现行相关法律法规、技术标准及合同文件为准。供应商在投标时须逐项响应本需求书各项条款，如有偏离须在投标文件中明确说明。</w:t>
      </w:r>
    </w:p>
    <w:p>
      <w:pPr>
        <w:keepNext w:val="0"/>
        <w:keepLines w:val="0"/>
        <w:widowControl w:val="0"/>
        <w:suppressLineNumbers w:val="0"/>
        <w:autoSpaceDE w:val="0"/>
        <w:autoSpaceDN/>
        <w:spacing w:before="0" w:beforeLines="0" w:beforeAutospacing="0" w:after="0" w:afterLines="0" w:afterAutospacing="0" w:line="360" w:lineRule="auto"/>
        <w:ind w:left="0" w:leftChars="0" w:right="0" w:firstLine="0" w:firstLineChars="0"/>
        <w:jc w:val="both"/>
        <w:rPr>
          <w:rFonts w:hint="eastAsia" w:ascii="宋体" w:hAnsi="宋体" w:eastAsia="宋体" w:cs="宋体"/>
          <w:color w:val="auto"/>
          <w:kern w:val="2"/>
          <w:sz w:val="21"/>
          <w:szCs w:val="21"/>
          <w:lang w:val="en-US" w:eastAsia="zh-CN"/>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0"/>
    <w:family w:val="roman"/>
    <w:pitch w:val="default"/>
    <w:sig w:usb0="00000000" w:usb1="00000000" w:usb2="00000009" w:usb3="00000000" w:csb0="400001FF" w:csb1="FFFF0000"/>
  </w:font>
  <w:font w:name="宋体">
    <w:altName w:val="方正书宋_GBK"/>
    <w:panose1 w:val="02010600030101010101"/>
    <w:charset w:val="88"/>
    <w:family w:val="modern"/>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汉仪润圆-65简">
    <w:altName w:val="仿宋_GB2312"/>
    <w:panose1 w:val="00020600040101010101"/>
    <w:charset w:val="86"/>
    <w:family w:val="roman"/>
    <w:pitch w:val="default"/>
    <w:sig w:usb0="00000000" w:usb1="00000000" w:usb2="00000016" w:usb3="00000000" w:csb0="0004009F" w:csb1="DFD7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5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071053"/>
    <w:multiLevelType w:val="multilevel"/>
    <w:tmpl w:val="AF071053"/>
    <w:lvl w:ilvl="0" w:tentative="0">
      <w:start w:val="1"/>
      <w:numFmt w:val="decimal"/>
      <w:lvlText w:val="%1."/>
      <w:lvlJc w:val="left"/>
      <w:pPr>
        <w:ind w:left="425" w:hanging="425"/>
      </w:pPr>
      <w:rPr>
        <w:rFonts w:hint="default"/>
      </w:rPr>
    </w:lvl>
    <w:lvl w:ilvl="1" w:tentative="0">
      <w:start w:val="1"/>
      <w:numFmt w:val="decimal"/>
      <w:pStyle w:val="14"/>
      <w:lvlText w:val="%1.%2."/>
      <w:lvlJc w:val="left"/>
      <w:pPr>
        <w:ind w:left="850" w:hanging="453"/>
      </w:p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1">
    <w:nsid w:val="B2637A3F"/>
    <w:multiLevelType w:val="singleLevel"/>
    <w:tmpl w:val="B2637A3F"/>
    <w:lvl w:ilvl="0" w:tentative="0">
      <w:start w:val="1"/>
      <w:numFmt w:val="bullet"/>
      <w:pStyle w:val="40"/>
      <w:suff w:val="space"/>
      <w:lvlText w:val="■"/>
      <w:lvlJc w:val="left"/>
      <w:pPr>
        <w:tabs>
          <w:tab w:val="left" w:pos="420"/>
        </w:tabs>
        <w:ind w:left="420" w:hanging="420"/>
      </w:pPr>
    </w:lvl>
  </w:abstractNum>
  <w:abstractNum w:abstractNumId="2">
    <w:nsid w:val="BAA28DCB"/>
    <w:multiLevelType w:val="singleLevel"/>
    <w:tmpl w:val="BAA28DCB"/>
    <w:lvl w:ilvl="0" w:tentative="0">
      <w:start w:val="1"/>
      <w:numFmt w:val="decimal"/>
      <w:pStyle w:val="106"/>
      <w:lvlText w:val="%1."/>
      <w:lvlJc w:val="left"/>
      <w:pPr>
        <w:ind w:left="425" w:hanging="425"/>
      </w:pPr>
      <w:rPr>
        <w:rFonts w:hint="default"/>
      </w:rPr>
    </w:lvl>
  </w:abstractNum>
  <w:abstractNum w:abstractNumId="3">
    <w:nsid w:val="C02FF8DE"/>
    <w:multiLevelType w:val="singleLevel"/>
    <w:tmpl w:val="C02FF8DE"/>
    <w:lvl w:ilvl="0" w:tentative="0">
      <w:start w:val="1"/>
      <w:numFmt w:val="decimal"/>
      <w:lvlText w:val="%1."/>
      <w:lvlJc w:val="left"/>
      <w:pPr>
        <w:ind w:left="425" w:hanging="425"/>
      </w:pPr>
      <w:rPr>
        <w:rFonts w:hint="default"/>
      </w:rPr>
    </w:lvl>
  </w:abstractNum>
  <w:abstractNum w:abstractNumId="4">
    <w:nsid w:val="C95E940E"/>
    <w:multiLevelType w:val="multilevel"/>
    <w:tmpl w:val="C95E940E"/>
    <w:lvl w:ilvl="0" w:tentative="0">
      <w:start w:val="1"/>
      <w:numFmt w:val="decimal"/>
      <w:pStyle w:val="100"/>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5">
    <w:nsid w:val="D14CACD2"/>
    <w:multiLevelType w:val="singleLevel"/>
    <w:tmpl w:val="D14CACD2"/>
    <w:lvl w:ilvl="0" w:tentative="0">
      <w:start w:val="1"/>
      <w:numFmt w:val="bullet"/>
      <w:pStyle w:val="45"/>
      <w:lvlText w:val="∙"/>
      <w:lvlJc w:val="left"/>
      <w:pPr>
        <w:ind w:left="420" w:hanging="420"/>
      </w:pPr>
    </w:lvl>
  </w:abstractNum>
  <w:abstractNum w:abstractNumId="6">
    <w:nsid w:val="FC35626E"/>
    <w:multiLevelType w:val="multilevel"/>
    <w:tmpl w:val="FC35626E"/>
    <w:lvl w:ilvl="0" w:tentative="0">
      <w:start w:val="1"/>
      <w:numFmt w:val="decimal"/>
      <w:pStyle w:val="20"/>
      <w:lvlText w:val="%1."/>
      <w:lvlJc w:val="left"/>
      <w:pPr>
        <w:ind w:left="425" w:hanging="425"/>
      </w:p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7">
    <w:nsid w:val="FD010157"/>
    <w:multiLevelType w:val="singleLevel"/>
    <w:tmpl w:val="FD010157"/>
    <w:lvl w:ilvl="0" w:tentative="0">
      <w:start w:val="1"/>
      <w:numFmt w:val="bullet"/>
      <w:pStyle w:val="33"/>
      <w:lvlText w:val="□"/>
      <w:lvlJc w:val="left"/>
      <w:pPr>
        <w:ind w:left="420" w:hanging="420"/>
      </w:pPr>
    </w:lvl>
  </w:abstractNum>
  <w:abstractNum w:abstractNumId="8">
    <w:nsid w:val="1DC13C4D"/>
    <w:multiLevelType w:val="multilevel"/>
    <w:tmpl w:val="1DC13C4D"/>
    <w:lvl w:ilvl="0" w:tentative="0">
      <w:start w:val="1"/>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pStyle w:val="36"/>
      <w:lvlText w:val="%1.%2.%3."/>
      <w:lvlJc w:val="left"/>
      <w:pPr>
        <w:ind w:left="1508" w:hanging="708"/>
      </w:p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9">
    <w:nsid w:val="20397F5C"/>
    <w:multiLevelType w:val="multilevel"/>
    <w:tmpl w:val="20397F5C"/>
    <w:lvl w:ilvl="0" w:tentative="0">
      <w:start w:val="1"/>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pStyle w:val="64"/>
      <w:lvlText w:val="%1.%2.%3.%4.%5."/>
      <w:lvlJc w:val="left"/>
      <w:pPr>
        <w:ind w:left="2495" w:hanging="895"/>
      </w:p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10">
    <w:nsid w:val="50B2DDCD"/>
    <w:multiLevelType w:val="singleLevel"/>
    <w:tmpl w:val="50B2DDCD"/>
    <w:lvl w:ilvl="0" w:tentative="0">
      <w:start w:val="1"/>
      <w:numFmt w:val="bullet"/>
      <w:pStyle w:val="24"/>
      <w:lvlText w:val=""/>
      <w:lvlJc w:val="left"/>
      <w:pPr>
        <w:ind w:left="420" w:hanging="420"/>
      </w:pPr>
    </w:lvl>
  </w:abstractNum>
  <w:abstractNum w:abstractNumId="11">
    <w:nsid w:val="59008784"/>
    <w:multiLevelType w:val="singleLevel"/>
    <w:tmpl w:val="59008784"/>
    <w:lvl w:ilvl="0" w:tentative="0">
      <w:start w:val="1"/>
      <w:numFmt w:val="bullet"/>
      <w:pStyle w:val="17"/>
      <w:lvlText w:val="▫"/>
      <w:lvlJc w:val="left"/>
      <w:pPr>
        <w:ind w:left="420" w:hanging="420"/>
      </w:pPr>
    </w:lvl>
  </w:abstractNum>
  <w:abstractNum w:abstractNumId="12">
    <w:nsid w:val="690C6B7B"/>
    <w:multiLevelType w:val="multilevel"/>
    <w:tmpl w:val="690C6B7B"/>
    <w:lvl w:ilvl="0" w:tentative="0">
      <w:start w:val="1"/>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pStyle w:val="46"/>
      <w:lvlText w:val="%1.%2.%3.%4."/>
      <w:lvlJc w:val="left"/>
      <w:pPr>
        <w:ind w:left="2053" w:hanging="853"/>
      </w:p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13">
    <w:nsid w:val="7D5C2249"/>
    <w:multiLevelType w:val="multilevel"/>
    <w:tmpl w:val="7D5C2249"/>
    <w:lvl w:ilvl="0" w:tentative="0">
      <w:start w:val="1"/>
      <w:numFmt w:val="chineseCounting"/>
      <w:pStyle w:val="3"/>
      <w:suff w:val="nothing"/>
      <w:lvlText w:val="第%1章 "/>
      <w:lvlJc w:val="left"/>
      <w:pPr>
        <w:ind w:left="0" w:firstLine="0"/>
      </w:pPr>
      <w:rPr>
        <w:rFonts w:hint="eastAsia"/>
      </w:rPr>
    </w:lvl>
    <w:lvl w:ilvl="1" w:tentative="0">
      <w:start w:val="1"/>
      <w:numFmt w:val="chineseCounting"/>
      <w:pStyle w:val="4"/>
      <w:suff w:val="space"/>
      <w:lvlText w:val="第%2节"/>
      <w:lvlJc w:val="left"/>
      <w:pPr>
        <w:ind w:left="0" w:firstLine="0"/>
      </w:pPr>
      <w:rPr>
        <w:rFonts w:hint="eastAsia"/>
      </w:rPr>
    </w:lvl>
    <w:lvl w:ilvl="2" w:tentative="0">
      <w:start w:val="1"/>
      <w:numFmt w:val="chineseCounting"/>
      <w:pStyle w:val="5"/>
      <w:suff w:val="nothing"/>
      <w:lvlText w:val="%3、"/>
      <w:lvlJc w:val="left"/>
      <w:pPr>
        <w:ind w:left="0" w:firstLine="0"/>
      </w:pPr>
      <w:rPr>
        <w:rFonts w:hint="eastAsia"/>
      </w:rPr>
    </w:lvl>
    <w:lvl w:ilvl="3" w:tentative="0">
      <w:start w:val="1"/>
      <w:numFmt w:val="decimal"/>
      <w:pStyle w:val="6"/>
      <w:suff w:val="nothing"/>
      <w:lvlText w:val="%4."/>
      <w:lvlJc w:val="left"/>
      <w:pPr>
        <w:ind w:left="0" w:firstLine="0"/>
      </w:pPr>
      <w:rPr>
        <w:rFonts w:hint="eastAsia"/>
      </w:rPr>
    </w:lvl>
    <w:lvl w:ilvl="4" w:tentative="0">
      <w:start w:val="1"/>
      <w:numFmt w:val="decimal"/>
      <w:pStyle w:val="7"/>
      <w:suff w:val="nothing"/>
      <w:lvlText w:val="(%5)"/>
      <w:lvlJc w:val="left"/>
      <w:pPr>
        <w:ind w:left="0" w:firstLine="0"/>
      </w:pPr>
      <w:rPr>
        <w:rFonts w:hint="eastAsia"/>
      </w:rPr>
    </w:lvl>
    <w:lvl w:ilvl="5" w:tentative="0">
      <w:start w:val="1"/>
      <w:numFmt w:val="decimal"/>
      <w:pStyle w:val="8"/>
      <w:suff w:val="nothing"/>
      <w:lvlText w:val="%6）"/>
      <w:lvlJc w:val="left"/>
      <w:pPr>
        <w:ind w:left="0" w:firstLine="0"/>
      </w:pPr>
      <w:rPr>
        <w:rFonts w:hint="eastAsia"/>
      </w:rPr>
    </w:lvl>
    <w:lvl w:ilvl="6" w:tentative="0">
      <w:start w:val="1"/>
      <w:numFmt w:val="lowerLetter"/>
      <w:pStyle w:val="9"/>
      <w:suff w:val="nothing"/>
      <w:lvlText w:val="%7．"/>
      <w:lvlJc w:val="left"/>
      <w:pPr>
        <w:ind w:left="0" w:firstLine="0"/>
      </w:pPr>
      <w:rPr>
        <w:rFonts w:hint="eastAsia"/>
      </w:rPr>
    </w:lvl>
    <w:lvl w:ilvl="7" w:tentative="0">
      <w:start w:val="1"/>
      <w:numFmt w:val="lowerLetter"/>
      <w:pStyle w:val="10"/>
      <w:suff w:val="nothing"/>
      <w:lvlText w:val="%8）"/>
      <w:lvlJc w:val="left"/>
      <w:pPr>
        <w:ind w:left="0" w:firstLine="0"/>
      </w:pPr>
      <w:rPr>
        <w:rFonts w:hint="eastAsia"/>
      </w:rPr>
    </w:lvl>
    <w:lvl w:ilvl="8" w:tentative="0">
      <w:start w:val="1"/>
      <w:numFmt w:val="lowerRoman"/>
      <w:pStyle w:val="11"/>
      <w:suff w:val="nothing"/>
      <w:lvlText w:val="%9. "/>
      <w:lvlJc w:val="left"/>
      <w:pPr>
        <w:ind w:left="0" w:firstLine="0"/>
      </w:pPr>
      <w:rPr>
        <w:rFonts w:hint="eastAsia"/>
      </w:rPr>
    </w:lvl>
  </w:abstractNum>
  <w:num w:numId="1">
    <w:abstractNumId w:val="13"/>
  </w:num>
  <w:num w:numId="2">
    <w:abstractNumId w:val="0"/>
  </w:num>
  <w:num w:numId="3">
    <w:abstractNumId w:val="11"/>
  </w:num>
  <w:num w:numId="4">
    <w:abstractNumId w:val="6"/>
  </w:num>
  <w:num w:numId="5">
    <w:abstractNumId w:val="10"/>
  </w:num>
  <w:num w:numId="6">
    <w:abstractNumId w:val="7"/>
  </w:num>
  <w:num w:numId="7">
    <w:abstractNumId w:val="8"/>
  </w:num>
  <w:num w:numId="8">
    <w:abstractNumId w:val="1"/>
  </w:num>
  <w:num w:numId="9">
    <w:abstractNumId w:val="5"/>
  </w:num>
  <w:num w:numId="10">
    <w:abstractNumId w:val="12"/>
  </w:num>
  <w:num w:numId="11">
    <w:abstractNumId w:val="9"/>
  </w:num>
  <w:num w:numId="12">
    <w:abstractNumId w:val="4"/>
  </w:num>
  <w:num w:numId="13">
    <w:abstractNumId w:val="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AF7E21"/>
    <w:rsid w:val="007C0FE0"/>
    <w:rsid w:val="00E165A1"/>
    <w:rsid w:val="01551CF8"/>
    <w:rsid w:val="025512A6"/>
    <w:rsid w:val="052B59A7"/>
    <w:rsid w:val="05A710FB"/>
    <w:rsid w:val="06727E24"/>
    <w:rsid w:val="07332E8B"/>
    <w:rsid w:val="07CD63B3"/>
    <w:rsid w:val="082779D0"/>
    <w:rsid w:val="08600E47"/>
    <w:rsid w:val="088875E7"/>
    <w:rsid w:val="08FC124B"/>
    <w:rsid w:val="0A455752"/>
    <w:rsid w:val="0A477E03"/>
    <w:rsid w:val="0A7A46F2"/>
    <w:rsid w:val="0B355634"/>
    <w:rsid w:val="0B425013"/>
    <w:rsid w:val="0B601501"/>
    <w:rsid w:val="0DCF6C96"/>
    <w:rsid w:val="0DEE45AB"/>
    <w:rsid w:val="0E160724"/>
    <w:rsid w:val="0E827658"/>
    <w:rsid w:val="0EB272C2"/>
    <w:rsid w:val="0ED3625B"/>
    <w:rsid w:val="0EDBE53E"/>
    <w:rsid w:val="0FCF49B6"/>
    <w:rsid w:val="100617A2"/>
    <w:rsid w:val="10E36776"/>
    <w:rsid w:val="11140D0D"/>
    <w:rsid w:val="112B121D"/>
    <w:rsid w:val="11EB328A"/>
    <w:rsid w:val="12140558"/>
    <w:rsid w:val="1246444D"/>
    <w:rsid w:val="126425ED"/>
    <w:rsid w:val="12BF264A"/>
    <w:rsid w:val="13B26FCE"/>
    <w:rsid w:val="13C568E3"/>
    <w:rsid w:val="13F600B9"/>
    <w:rsid w:val="14864B4E"/>
    <w:rsid w:val="14DE3A37"/>
    <w:rsid w:val="16E866F8"/>
    <w:rsid w:val="17343EB7"/>
    <w:rsid w:val="17540AA0"/>
    <w:rsid w:val="176A6507"/>
    <w:rsid w:val="1844637C"/>
    <w:rsid w:val="184E0FA9"/>
    <w:rsid w:val="1A4C1518"/>
    <w:rsid w:val="1B733BF8"/>
    <w:rsid w:val="1C5C1D06"/>
    <w:rsid w:val="1C7D66A0"/>
    <w:rsid w:val="1CD66DB3"/>
    <w:rsid w:val="1D2F6AD6"/>
    <w:rsid w:val="1D6F8671"/>
    <w:rsid w:val="1E35328F"/>
    <w:rsid w:val="1E6E5F01"/>
    <w:rsid w:val="1EB0327D"/>
    <w:rsid w:val="1F573B5E"/>
    <w:rsid w:val="209061C6"/>
    <w:rsid w:val="228D7C23"/>
    <w:rsid w:val="23576FF5"/>
    <w:rsid w:val="24066BDB"/>
    <w:rsid w:val="242A53B1"/>
    <w:rsid w:val="245E07C6"/>
    <w:rsid w:val="259241E2"/>
    <w:rsid w:val="25ED1E01"/>
    <w:rsid w:val="25EE16C8"/>
    <w:rsid w:val="260B2287"/>
    <w:rsid w:val="268C0CDA"/>
    <w:rsid w:val="26F677B1"/>
    <w:rsid w:val="275D1F1E"/>
    <w:rsid w:val="27D0550B"/>
    <w:rsid w:val="281524CE"/>
    <w:rsid w:val="28DB3116"/>
    <w:rsid w:val="2B634913"/>
    <w:rsid w:val="2BB14825"/>
    <w:rsid w:val="2C7F5A34"/>
    <w:rsid w:val="2C9A2C8E"/>
    <w:rsid w:val="2CC338BC"/>
    <w:rsid w:val="2DE66778"/>
    <w:rsid w:val="2E6779E4"/>
    <w:rsid w:val="2E80686D"/>
    <w:rsid w:val="2EC1207D"/>
    <w:rsid w:val="2F9331D6"/>
    <w:rsid w:val="2FE4203B"/>
    <w:rsid w:val="313C78E2"/>
    <w:rsid w:val="31AF2B64"/>
    <w:rsid w:val="323A43AF"/>
    <w:rsid w:val="32540EE7"/>
    <w:rsid w:val="328E2276"/>
    <w:rsid w:val="32BE3F58"/>
    <w:rsid w:val="337D5618"/>
    <w:rsid w:val="34336CB0"/>
    <w:rsid w:val="346532A6"/>
    <w:rsid w:val="347C2578"/>
    <w:rsid w:val="34F20175"/>
    <w:rsid w:val="35177D3B"/>
    <w:rsid w:val="35F05B8D"/>
    <w:rsid w:val="366E4689"/>
    <w:rsid w:val="36872C23"/>
    <w:rsid w:val="36F957DC"/>
    <w:rsid w:val="37C300DE"/>
    <w:rsid w:val="38125CE1"/>
    <w:rsid w:val="3856219C"/>
    <w:rsid w:val="39F32678"/>
    <w:rsid w:val="3A900B55"/>
    <w:rsid w:val="3AE6013C"/>
    <w:rsid w:val="3B6E7A97"/>
    <w:rsid w:val="3BA83388"/>
    <w:rsid w:val="3BE51DAE"/>
    <w:rsid w:val="3D2851B5"/>
    <w:rsid w:val="3D864E23"/>
    <w:rsid w:val="3DBF0738"/>
    <w:rsid w:val="3DC21966"/>
    <w:rsid w:val="3DF0200C"/>
    <w:rsid w:val="3E502554"/>
    <w:rsid w:val="3E5C3456"/>
    <w:rsid w:val="3E6270F8"/>
    <w:rsid w:val="3E7E8A33"/>
    <w:rsid w:val="3ED93C47"/>
    <w:rsid w:val="3EF67100"/>
    <w:rsid w:val="3EFD4F99"/>
    <w:rsid w:val="3F5FF439"/>
    <w:rsid w:val="3F60290B"/>
    <w:rsid w:val="3F785B42"/>
    <w:rsid w:val="40F24318"/>
    <w:rsid w:val="42155CFF"/>
    <w:rsid w:val="42552A68"/>
    <w:rsid w:val="427C77E8"/>
    <w:rsid w:val="438A406B"/>
    <w:rsid w:val="453A473F"/>
    <w:rsid w:val="45EA0C6C"/>
    <w:rsid w:val="45F60C09"/>
    <w:rsid w:val="463F1C86"/>
    <w:rsid w:val="46AB21A5"/>
    <w:rsid w:val="46E1424E"/>
    <w:rsid w:val="4748081A"/>
    <w:rsid w:val="47E73D9C"/>
    <w:rsid w:val="47EF7803"/>
    <w:rsid w:val="494B13CC"/>
    <w:rsid w:val="49773AF4"/>
    <w:rsid w:val="499D7C02"/>
    <w:rsid w:val="4D4A6464"/>
    <w:rsid w:val="4D7FF9B2"/>
    <w:rsid w:val="4DCA44C0"/>
    <w:rsid w:val="4F36B7FD"/>
    <w:rsid w:val="50802995"/>
    <w:rsid w:val="5086111D"/>
    <w:rsid w:val="52B6B737"/>
    <w:rsid w:val="52C206D3"/>
    <w:rsid w:val="52DA3D53"/>
    <w:rsid w:val="533B1B4E"/>
    <w:rsid w:val="53514694"/>
    <w:rsid w:val="538F3C48"/>
    <w:rsid w:val="549D24BA"/>
    <w:rsid w:val="560A4CB8"/>
    <w:rsid w:val="567A3448"/>
    <w:rsid w:val="574E436D"/>
    <w:rsid w:val="57521214"/>
    <w:rsid w:val="57961A49"/>
    <w:rsid w:val="57AB3A19"/>
    <w:rsid w:val="58407472"/>
    <w:rsid w:val="59D6437F"/>
    <w:rsid w:val="5A492ECB"/>
    <w:rsid w:val="5A827F0E"/>
    <w:rsid w:val="5B857F75"/>
    <w:rsid w:val="5BF20CD5"/>
    <w:rsid w:val="5C7B9AD1"/>
    <w:rsid w:val="5CD67057"/>
    <w:rsid w:val="5D8858A0"/>
    <w:rsid w:val="5DBFA219"/>
    <w:rsid w:val="5DF75621"/>
    <w:rsid w:val="5E286D24"/>
    <w:rsid w:val="5E441FAB"/>
    <w:rsid w:val="5FBB1102"/>
    <w:rsid w:val="5FD1523E"/>
    <w:rsid w:val="60244033"/>
    <w:rsid w:val="6124432D"/>
    <w:rsid w:val="617249E7"/>
    <w:rsid w:val="61A025E8"/>
    <w:rsid w:val="63592289"/>
    <w:rsid w:val="63947629"/>
    <w:rsid w:val="63C817C4"/>
    <w:rsid w:val="63EB6250"/>
    <w:rsid w:val="63F523ED"/>
    <w:rsid w:val="63FC3D6B"/>
    <w:rsid w:val="646E14DC"/>
    <w:rsid w:val="65BDB6A2"/>
    <w:rsid w:val="65BF451A"/>
    <w:rsid w:val="65E715D5"/>
    <w:rsid w:val="663B55CF"/>
    <w:rsid w:val="66B3296E"/>
    <w:rsid w:val="670151B2"/>
    <w:rsid w:val="672E4FFC"/>
    <w:rsid w:val="674D73DB"/>
    <w:rsid w:val="67A52C95"/>
    <w:rsid w:val="67DB8770"/>
    <w:rsid w:val="685065B2"/>
    <w:rsid w:val="68EE4BD1"/>
    <w:rsid w:val="68FF1E21"/>
    <w:rsid w:val="69765CAD"/>
    <w:rsid w:val="69901E65"/>
    <w:rsid w:val="6B2A1346"/>
    <w:rsid w:val="6D677D93"/>
    <w:rsid w:val="6DE24342"/>
    <w:rsid w:val="6E1D564A"/>
    <w:rsid w:val="6E370789"/>
    <w:rsid w:val="6E691495"/>
    <w:rsid w:val="6FAF7E21"/>
    <w:rsid w:val="6FBAD786"/>
    <w:rsid w:val="6FF73B60"/>
    <w:rsid w:val="6FFB2993"/>
    <w:rsid w:val="707479CB"/>
    <w:rsid w:val="709011C1"/>
    <w:rsid w:val="714929C1"/>
    <w:rsid w:val="71AD31A9"/>
    <w:rsid w:val="71EC078C"/>
    <w:rsid w:val="737FF585"/>
    <w:rsid w:val="73AE130C"/>
    <w:rsid w:val="74AB924B"/>
    <w:rsid w:val="76331FBC"/>
    <w:rsid w:val="76775A74"/>
    <w:rsid w:val="76E9BE27"/>
    <w:rsid w:val="7717124B"/>
    <w:rsid w:val="7725260F"/>
    <w:rsid w:val="77B86981"/>
    <w:rsid w:val="77CF1DE3"/>
    <w:rsid w:val="77CFEDD3"/>
    <w:rsid w:val="77FEBA45"/>
    <w:rsid w:val="78FC5F5D"/>
    <w:rsid w:val="799139C7"/>
    <w:rsid w:val="79E42BF3"/>
    <w:rsid w:val="7A196C83"/>
    <w:rsid w:val="7A722BAF"/>
    <w:rsid w:val="7A910EDC"/>
    <w:rsid w:val="7AB03227"/>
    <w:rsid w:val="7AB5E382"/>
    <w:rsid w:val="7B365A15"/>
    <w:rsid w:val="7D40412D"/>
    <w:rsid w:val="7D586EFA"/>
    <w:rsid w:val="7D652356"/>
    <w:rsid w:val="7D7BB154"/>
    <w:rsid w:val="7DC62654"/>
    <w:rsid w:val="7E393C4A"/>
    <w:rsid w:val="7E6D11BE"/>
    <w:rsid w:val="7E77B237"/>
    <w:rsid w:val="7E7B6FE3"/>
    <w:rsid w:val="7EBA4D58"/>
    <w:rsid w:val="7F3B065C"/>
    <w:rsid w:val="7F3FA78B"/>
    <w:rsid w:val="7F57B7F4"/>
    <w:rsid w:val="7F67628A"/>
    <w:rsid w:val="7FD659A2"/>
    <w:rsid w:val="7FDF5258"/>
    <w:rsid w:val="7FEB0E18"/>
    <w:rsid w:val="7FFB5901"/>
    <w:rsid w:val="7FFB7D68"/>
    <w:rsid w:val="7FFBEF01"/>
    <w:rsid w:val="7FFBF4E9"/>
    <w:rsid w:val="7FFDFE13"/>
    <w:rsid w:val="9674614D"/>
    <w:rsid w:val="97ABCE9D"/>
    <w:rsid w:val="9BFDFBE0"/>
    <w:rsid w:val="9F770082"/>
    <w:rsid w:val="9F7F3151"/>
    <w:rsid w:val="9F8B69F4"/>
    <w:rsid w:val="A6EDFE6F"/>
    <w:rsid w:val="AF2DB335"/>
    <w:rsid w:val="BB1F1B27"/>
    <w:rsid w:val="BB993A46"/>
    <w:rsid w:val="BED755B9"/>
    <w:rsid w:val="BF39397E"/>
    <w:rsid w:val="BF8EDEEC"/>
    <w:rsid w:val="BFDFFCAD"/>
    <w:rsid w:val="BFFFC784"/>
    <w:rsid w:val="C3FF35EB"/>
    <w:rsid w:val="C5BE8D1F"/>
    <w:rsid w:val="CD761C3F"/>
    <w:rsid w:val="D323BA15"/>
    <w:rsid w:val="D5FF5DE8"/>
    <w:rsid w:val="D631B051"/>
    <w:rsid w:val="D6DA5530"/>
    <w:rsid w:val="D7B3140E"/>
    <w:rsid w:val="D95E2663"/>
    <w:rsid w:val="D9FEC081"/>
    <w:rsid w:val="DBD6A0BB"/>
    <w:rsid w:val="DD6F6786"/>
    <w:rsid w:val="DFAF4531"/>
    <w:rsid w:val="E5FCB201"/>
    <w:rsid w:val="E5FFE8B4"/>
    <w:rsid w:val="E7EC5C33"/>
    <w:rsid w:val="E7FFA170"/>
    <w:rsid w:val="EBBFF073"/>
    <w:rsid w:val="EE5EF8B7"/>
    <w:rsid w:val="EEFEE082"/>
    <w:rsid w:val="EF5D09D2"/>
    <w:rsid w:val="EF7E429B"/>
    <w:rsid w:val="EFBE6E7B"/>
    <w:rsid w:val="F2D52798"/>
    <w:rsid w:val="F3AD1A86"/>
    <w:rsid w:val="F4B69A20"/>
    <w:rsid w:val="F714F515"/>
    <w:rsid w:val="F7BA941A"/>
    <w:rsid w:val="F7FDBD0A"/>
    <w:rsid w:val="FB9F8EA7"/>
    <w:rsid w:val="FCFFEAF9"/>
    <w:rsid w:val="FDAFD825"/>
    <w:rsid w:val="FDDF52F4"/>
    <w:rsid w:val="FDF7B16B"/>
    <w:rsid w:val="FE7DDD76"/>
    <w:rsid w:val="FEB7D2C0"/>
    <w:rsid w:val="FEFF43A7"/>
    <w:rsid w:val="FFDEBF86"/>
    <w:rsid w:val="FFEA4B0E"/>
    <w:rsid w:val="FFEB1E40"/>
    <w:rsid w:val="FFEC3720"/>
    <w:rsid w:val="FFF5E3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宋体" w:hAnsi="宋体" w:eastAsia="宋体" w:cstheme="minorBidi"/>
      <w:kern w:val="2"/>
      <w:sz w:val="24"/>
      <w:szCs w:val="24"/>
      <w:lang w:val="en-US" w:eastAsia="zh-CN" w:bidi="ar-SA"/>
    </w:rPr>
  </w:style>
  <w:style w:type="paragraph" w:styleId="3">
    <w:name w:val="heading 1"/>
    <w:next w:val="1"/>
    <w:link w:val="98"/>
    <w:qFormat/>
    <w:uiPriority w:val="9"/>
    <w:pPr>
      <w:keepNext/>
      <w:keepLines/>
      <w:numPr>
        <w:ilvl w:val="0"/>
        <w:numId w:val="1"/>
      </w:numPr>
      <w:pBdr>
        <w:top w:val="none" w:color="auto" w:sz="0" w:space="1"/>
        <w:left w:val="none" w:color="auto" w:sz="0" w:space="4"/>
        <w:bottom w:val="none" w:color="auto" w:sz="0" w:space="1"/>
        <w:right w:val="none" w:color="auto" w:sz="0" w:space="4"/>
      </w:pBdr>
      <w:tabs>
        <w:tab w:val="left" w:pos="0"/>
      </w:tabs>
      <w:adjustRightInd w:val="0"/>
      <w:snapToGrid w:val="0"/>
      <w:spacing w:before="50" w:beforeLines="50" w:line="360" w:lineRule="auto"/>
      <w:ind w:left="0" w:firstLine="0"/>
      <w:jc w:val="center"/>
      <w:outlineLvl w:val="0"/>
    </w:pPr>
    <w:rPr>
      <w:rFonts w:ascii="宋体" w:hAnsi="宋体" w:eastAsia="宋体" w:cstheme="minorBidi"/>
      <w:b/>
      <w:bCs/>
      <w:kern w:val="44"/>
      <w:sz w:val="28"/>
      <w:szCs w:val="28"/>
      <w:lang w:val="en-US" w:eastAsia="zh-CN" w:bidi="ar-SA"/>
    </w:rPr>
  </w:style>
  <w:style w:type="paragraph" w:styleId="4">
    <w:name w:val="heading 2"/>
    <w:basedOn w:val="3"/>
    <w:next w:val="1"/>
    <w:link w:val="99"/>
    <w:unhideWhenUsed/>
    <w:qFormat/>
    <w:uiPriority w:val="9"/>
    <w:pPr>
      <w:numPr>
        <w:ilvl w:val="1"/>
        <w:numId w:val="1"/>
      </w:numPr>
      <w:outlineLvl w:val="1"/>
    </w:pPr>
  </w:style>
  <w:style w:type="paragraph" w:styleId="5">
    <w:name w:val="heading 3"/>
    <w:basedOn w:val="4"/>
    <w:next w:val="1"/>
    <w:link w:val="102"/>
    <w:unhideWhenUsed/>
    <w:qFormat/>
    <w:uiPriority w:val="9"/>
    <w:pPr>
      <w:numPr>
        <w:ilvl w:val="2"/>
        <w:numId w:val="1"/>
      </w:numPr>
      <w:ind w:firstLine="0"/>
      <w:jc w:val="left"/>
      <w:outlineLvl w:val="2"/>
    </w:pPr>
    <w:rPr>
      <w:sz w:val="24"/>
      <w:szCs w:val="24"/>
    </w:rPr>
  </w:style>
  <w:style w:type="paragraph" w:styleId="6">
    <w:name w:val="heading 4"/>
    <w:basedOn w:val="5"/>
    <w:next w:val="1"/>
    <w:link w:val="104"/>
    <w:unhideWhenUsed/>
    <w:qFormat/>
    <w:uiPriority w:val="9"/>
    <w:pPr>
      <w:numPr>
        <w:ilvl w:val="3"/>
      </w:numPr>
      <w:ind w:firstLine="0"/>
      <w:outlineLvl w:val="3"/>
    </w:pPr>
  </w:style>
  <w:style w:type="paragraph" w:styleId="7">
    <w:name w:val="heading 5"/>
    <w:basedOn w:val="6"/>
    <w:next w:val="1"/>
    <w:unhideWhenUsed/>
    <w:qFormat/>
    <w:uiPriority w:val="9"/>
    <w:pPr>
      <w:numPr>
        <w:ilvl w:val="4"/>
      </w:numPr>
      <w:outlineLvl w:val="4"/>
    </w:pPr>
  </w:style>
  <w:style w:type="paragraph" w:styleId="8">
    <w:name w:val="heading 6"/>
    <w:basedOn w:val="7"/>
    <w:next w:val="1"/>
    <w:unhideWhenUsed/>
    <w:qFormat/>
    <w:uiPriority w:val="0"/>
    <w:pPr>
      <w:numPr>
        <w:ilvl w:val="5"/>
      </w:numPr>
      <w:outlineLvl w:val="5"/>
    </w:pPr>
  </w:style>
  <w:style w:type="paragraph" w:styleId="9">
    <w:name w:val="heading 7"/>
    <w:basedOn w:val="8"/>
    <w:next w:val="1"/>
    <w:unhideWhenUsed/>
    <w:qFormat/>
    <w:uiPriority w:val="0"/>
    <w:pPr>
      <w:numPr>
        <w:ilvl w:val="6"/>
      </w:numPr>
      <w:outlineLvl w:val="6"/>
    </w:pPr>
  </w:style>
  <w:style w:type="paragraph" w:styleId="10">
    <w:name w:val="heading 8"/>
    <w:basedOn w:val="9"/>
    <w:next w:val="1"/>
    <w:unhideWhenUsed/>
    <w:qFormat/>
    <w:uiPriority w:val="0"/>
    <w:pPr>
      <w:numPr>
        <w:ilvl w:val="7"/>
      </w:numPr>
      <w:outlineLvl w:val="7"/>
    </w:pPr>
  </w:style>
  <w:style w:type="paragraph" w:styleId="11">
    <w:name w:val="heading 9"/>
    <w:basedOn w:val="10"/>
    <w:next w:val="1"/>
    <w:unhideWhenUsed/>
    <w:qFormat/>
    <w:uiPriority w:val="0"/>
    <w:pPr>
      <w:numPr>
        <w:ilvl w:val="8"/>
      </w:numPr>
      <w:outlineLvl w:val="8"/>
    </w:pPr>
  </w:style>
  <w:style w:type="character" w:default="1" w:styleId="88">
    <w:name w:val="Default Paragraph Font"/>
    <w:semiHidden/>
    <w:unhideWhenUsed/>
    <w:qFormat/>
    <w:uiPriority w:val="1"/>
    <w:rPr>
      <w:rFonts w:ascii="宋体" w:hAnsi="宋体" w:eastAsia="宋体"/>
    </w:rPr>
  </w:style>
  <w:style w:type="table" w:default="1" w:styleId="86">
    <w:name w:val="Normal Table"/>
    <w:semiHidden/>
    <w:qFormat/>
    <w:uiPriority w:val="0"/>
    <w:tblPr>
      <w:tblCellMar>
        <w:top w:w="0" w:type="dxa"/>
        <w:left w:w="108" w:type="dxa"/>
        <w:bottom w:w="0" w:type="dxa"/>
        <w:right w:w="108" w:type="dxa"/>
      </w:tblCellMar>
    </w:tblPr>
  </w:style>
  <w:style w:type="paragraph" w:styleId="2">
    <w:name w:val="macro"/>
    <w:link w:val="129"/>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ind w:firstLine="480" w:firstLineChars="200"/>
    </w:pPr>
    <w:rPr>
      <w:rFonts w:ascii="宋体" w:hAnsi="宋体" w:eastAsia="宋体" w:cs="Courier New"/>
      <w:kern w:val="2"/>
      <w:sz w:val="24"/>
      <w:szCs w:val="24"/>
      <w:lang w:val="en-US" w:eastAsia="zh-CN" w:bidi="ar-SA"/>
    </w:rPr>
  </w:style>
  <w:style w:type="paragraph" w:styleId="12">
    <w:name w:val="List 3"/>
    <w:basedOn w:val="1"/>
    <w:qFormat/>
    <w:uiPriority w:val="0"/>
    <w:pPr>
      <w:ind w:left="100" w:leftChars="400" w:hanging="200" w:hangingChars="200"/>
      <w:contextualSpacing/>
    </w:pPr>
  </w:style>
  <w:style w:type="paragraph" w:styleId="13">
    <w:name w:val="toc 7"/>
    <w:basedOn w:val="1"/>
    <w:next w:val="1"/>
    <w:qFormat/>
    <w:uiPriority w:val="0"/>
    <w:pPr>
      <w:ind w:left="2520" w:leftChars="1200"/>
    </w:pPr>
  </w:style>
  <w:style w:type="paragraph" w:styleId="14">
    <w:name w:val="List Number 2"/>
    <w:basedOn w:val="1"/>
    <w:qFormat/>
    <w:uiPriority w:val="0"/>
    <w:pPr>
      <w:numPr>
        <w:ilvl w:val="1"/>
        <w:numId w:val="2"/>
      </w:numPr>
      <w:tabs>
        <w:tab w:val="left" w:pos="0"/>
      </w:tabs>
      <w:spacing w:before="50" w:after="50"/>
      <w:ind w:left="1191" w:hanging="624" w:firstLineChars="0"/>
    </w:pPr>
    <w:rPr>
      <w:color w:val="292929"/>
    </w:rPr>
  </w:style>
  <w:style w:type="paragraph" w:styleId="15">
    <w:name w:val="table of authorities"/>
    <w:basedOn w:val="1"/>
    <w:next w:val="1"/>
    <w:qFormat/>
    <w:uiPriority w:val="0"/>
    <w:pPr>
      <w:ind w:left="420" w:leftChars="200" w:firstLine="0"/>
    </w:pPr>
  </w:style>
  <w:style w:type="paragraph" w:styleId="16">
    <w:name w:val="Note Heading"/>
    <w:basedOn w:val="1"/>
    <w:next w:val="1"/>
    <w:link w:val="142"/>
    <w:qFormat/>
    <w:uiPriority w:val="0"/>
    <w:pPr>
      <w:jc w:val="center"/>
    </w:pPr>
  </w:style>
  <w:style w:type="paragraph" w:styleId="17">
    <w:name w:val="List Bullet 4"/>
    <w:basedOn w:val="1"/>
    <w:qFormat/>
    <w:uiPriority w:val="0"/>
    <w:pPr>
      <w:numPr>
        <w:ilvl w:val="0"/>
        <w:numId w:val="3"/>
      </w:numPr>
      <w:spacing w:before="50" w:after="50"/>
      <w:ind w:left="1871" w:hanging="454"/>
    </w:pPr>
  </w:style>
  <w:style w:type="paragraph" w:styleId="18">
    <w:name w:val="index 8"/>
    <w:basedOn w:val="1"/>
    <w:next w:val="1"/>
    <w:qFormat/>
    <w:uiPriority w:val="0"/>
    <w:pPr>
      <w:ind w:left="1400" w:leftChars="1400" w:firstLine="0"/>
    </w:pPr>
  </w:style>
  <w:style w:type="paragraph" w:styleId="19">
    <w:name w:val="E-mail Signature"/>
    <w:basedOn w:val="1"/>
    <w:link w:val="128"/>
    <w:qFormat/>
    <w:uiPriority w:val="0"/>
  </w:style>
  <w:style w:type="paragraph" w:styleId="20">
    <w:name w:val="List Number"/>
    <w:basedOn w:val="1"/>
    <w:qFormat/>
    <w:uiPriority w:val="0"/>
    <w:pPr>
      <w:numPr>
        <w:ilvl w:val="0"/>
        <w:numId w:val="4"/>
      </w:numPr>
      <w:tabs>
        <w:tab w:val="left" w:pos="0"/>
      </w:tabs>
      <w:spacing w:before="50" w:after="50" w:line="240" w:lineRule="auto"/>
      <w:ind w:left="454" w:hanging="454" w:firstLineChars="0"/>
    </w:pPr>
  </w:style>
  <w:style w:type="paragraph" w:styleId="21">
    <w:name w:val="Normal Indent"/>
    <w:basedOn w:val="1"/>
    <w:qFormat/>
    <w:uiPriority w:val="0"/>
    <w:pPr>
      <w:ind w:firstLine="420"/>
    </w:pPr>
  </w:style>
  <w:style w:type="paragraph" w:styleId="22">
    <w:name w:val="caption"/>
    <w:basedOn w:val="1"/>
    <w:next w:val="1"/>
    <w:unhideWhenUsed/>
    <w:qFormat/>
    <w:uiPriority w:val="0"/>
    <w:pPr>
      <w:ind w:firstLine="0" w:firstLineChars="0"/>
    </w:pPr>
    <w:rPr>
      <w:sz w:val="20"/>
      <w:szCs w:val="20"/>
    </w:rPr>
  </w:style>
  <w:style w:type="paragraph" w:styleId="23">
    <w:name w:val="index 5"/>
    <w:basedOn w:val="1"/>
    <w:next w:val="1"/>
    <w:qFormat/>
    <w:uiPriority w:val="0"/>
    <w:pPr>
      <w:ind w:left="800" w:leftChars="800" w:firstLine="0"/>
    </w:pPr>
  </w:style>
  <w:style w:type="paragraph" w:styleId="24">
    <w:name w:val="List Bullet"/>
    <w:basedOn w:val="1"/>
    <w:qFormat/>
    <w:uiPriority w:val="0"/>
    <w:pPr>
      <w:numPr>
        <w:ilvl w:val="0"/>
        <w:numId w:val="5"/>
      </w:numPr>
      <w:spacing w:before="50" w:after="50"/>
      <w:ind w:left="454" w:hanging="454"/>
    </w:pPr>
  </w:style>
  <w:style w:type="paragraph" w:styleId="25">
    <w:name w:val="envelope address"/>
    <w:basedOn w:val="1"/>
    <w:qFormat/>
    <w:uiPriority w:val="0"/>
    <w:pPr>
      <w:framePr w:w="7920" w:h="1980" w:hRule="exact" w:hSpace="180" w:wrap="auto" w:vAnchor="margin" w:hAnchor="page" w:xAlign="center" w:yAlign="bottom"/>
      <w:ind w:left="100" w:leftChars="1400"/>
    </w:pPr>
    <w:rPr>
      <w:rFonts w:cstheme="majorBidi"/>
    </w:rPr>
  </w:style>
  <w:style w:type="paragraph" w:styleId="26">
    <w:name w:val="Document Map"/>
    <w:basedOn w:val="1"/>
    <w:link w:val="133"/>
    <w:qFormat/>
    <w:uiPriority w:val="0"/>
    <w:rPr>
      <w:sz w:val="18"/>
      <w:szCs w:val="18"/>
    </w:rPr>
  </w:style>
  <w:style w:type="paragraph" w:styleId="27">
    <w:name w:val="toa heading"/>
    <w:basedOn w:val="1"/>
    <w:next w:val="1"/>
    <w:qFormat/>
    <w:uiPriority w:val="0"/>
    <w:pPr>
      <w:spacing w:before="120"/>
    </w:pPr>
    <w:rPr>
      <w:rFonts w:cstheme="majorBidi"/>
    </w:rPr>
  </w:style>
  <w:style w:type="paragraph" w:styleId="28">
    <w:name w:val="annotation text"/>
    <w:basedOn w:val="1"/>
    <w:qFormat/>
    <w:uiPriority w:val="0"/>
    <w:pPr>
      <w:spacing w:before="50" w:after="50"/>
      <w:ind w:firstLine="0" w:firstLineChars="0"/>
      <w:jc w:val="left"/>
    </w:pPr>
  </w:style>
  <w:style w:type="paragraph" w:styleId="29">
    <w:name w:val="index 6"/>
    <w:basedOn w:val="1"/>
    <w:next w:val="1"/>
    <w:qFormat/>
    <w:uiPriority w:val="0"/>
    <w:pPr>
      <w:ind w:left="1000" w:leftChars="1000" w:firstLine="0"/>
    </w:pPr>
  </w:style>
  <w:style w:type="paragraph" w:styleId="30">
    <w:name w:val="Salutation"/>
    <w:basedOn w:val="1"/>
    <w:next w:val="1"/>
    <w:link w:val="126"/>
    <w:qFormat/>
    <w:uiPriority w:val="0"/>
  </w:style>
  <w:style w:type="paragraph" w:styleId="31">
    <w:name w:val="Body Text 3"/>
    <w:basedOn w:val="1"/>
    <w:link w:val="136"/>
    <w:qFormat/>
    <w:uiPriority w:val="0"/>
    <w:rPr>
      <w:rFonts w:ascii="宋体" w:hAnsi="宋体" w:eastAsia="宋体"/>
      <w:szCs w:val="16"/>
    </w:rPr>
  </w:style>
  <w:style w:type="paragraph" w:styleId="32">
    <w:name w:val="Closing"/>
    <w:basedOn w:val="1"/>
    <w:link w:val="130"/>
    <w:qFormat/>
    <w:uiPriority w:val="0"/>
    <w:pPr>
      <w:ind w:left="100" w:leftChars="2100"/>
    </w:pPr>
  </w:style>
  <w:style w:type="paragraph" w:styleId="33">
    <w:name w:val="List Bullet 3"/>
    <w:basedOn w:val="1"/>
    <w:qFormat/>
    <w:uiPriority w:val="0"/>
    <w:pPr>
      <w:numPr>
        <w:ilvl w:val="0"/>
        <w:numId w:val="6"/>
      </w:numPr>
      <w:spacing w:before="50" w:after="50"/>
      <w:ind w:left="1361" w:hanging="454"/>
    </w:pPr>
  </w:style>
  <w:style w:type="paragraph" w:styleId="34">
    <w:name w:val="Body Text"/>
    <w:basedOn w:val="1"/>
    <w:link w:val="116"/>
    <w:qFormat/>
    <w:uiPriority w:val="0"/>
    <w:pPr>
      <w:spacing w:after="50" w:afterLines="50" w:line="240" w:lineRule="auto"/>
    </w:pPr>
    <w:rPr>
      <w:rFonts w:ascii="宋体" w:hAnsi="宋体" w:eastAsia="宋体"/>
    </w:rPr>
  </w:style>
  <w:style w:type="paragraph" w:styleId="35">
    <w:name w:val="Body Text Indent"/>
    <w:basedOn w:val="1"/>
    <w:link w:val="138"/>
    <w:qFormat/>
    <w:uiPriority w:val="0"/>
    <w:pPr>
      <w:spacing w:after="120"/>
      <w:ind w:left="420" w:leftChars="200"/>
    </w:pPr>
  </w:style>
  <w:style w:type="paragraph" w:styleId="36">
    <w:name w:val="List Number 3"/>
    <w:basedOn w:val="1"/>
    <w:qFormat/>
    <w:uiPriority w:val="0"/>
    <w:pPr>
      <w:numPr>
        <w:ilvl w:val="2"/>
        <w:numId w:val="7"/>
      </w:numPr>
      <w:tabs>
        <w:tab w:val="left" w:pos="0"/>
      </w:tabs>
      <w:spacing w:before="50" w:after="50"/>
      <w:ind w:left="2098" w:hanging="907" w:firstLineChars="0"/>
    </w:pPr>
    <w:rPr>
      <w:color w:val="292929"/>
    </w:rPr>
  </w:style>
  <w:style w:type="paragraph" w:styleId="37">
    <w:name w:val="List 2"/>
    <w:basedOn w:val="1"/>
    <w:qFormat/>
    <w:uiPriority w:val="0"/>
    <w:pPr>
      <w:ind w:left="100" w:leftChars="200" w:hanging="200" w:hangingChars="200"/>
      <w:contextualSpacing/>
    </w:pPr>
  </w:style>
  <w:style w:type="paragraph" w:styleId="38">
    <w:name w:val="List Continue"/>
    <w:basedOn w:val="1"/>
    <w:qFormat/>
    <w:uiPriority w:val="0"/>
    <w:pPr>
      <w:spacing w:after="120"/>
      <w:ind w:left="420" w:leftChars="200"/>
      <w:contextualSpacing/>
    </w:pPr>
  </w:style>
  <w:style w:type="paragraph" w:styleId="39">
    <w:name w:val="Block Text"/>
    <w:basedOn w:val="1"/>
    <w:qFormat/>
    <w:uiPriority w:val="0"/>
    <w:pPr>
      <w:spacing w:after="120"/>
      <w:ind w:left="1440" w:leftChars="700" w:right="1440" w:rightChars="700"/>
    </w:pPr>
  </w:style>
  <w:style w:type="paragraph" w:styleId="40">
    <w:name w:val="List Bullet 2"/>
    <w:basedOn w:val="1"/>
    <w:qFormat/>
    <w:uiPriority w:val="0"/>
    <w:pPr>
      <w:numPr>
        <w:ilvl w:val="0"/>
        <w:numId w:val="8"/>
      </w:numPr>
      <w:spacing w:before="50" w:after="50"/>
      <w:ind w:left="850" w:firstLine="0" w:firstLineChars="0"/>
    </w:pPr>
  </w:style>
  <w:style w:type="paragraph" w:styleId="41">
    <w:name w:val="index 4"/>
    <w:basedOn w:val="1"/>
    <w:next w:val="1"/>
    <w:qFormat/>
    <w:uiPriority w:val="0"/>
    <w:pPr>
      <w:ind w:left="600" w:leftChars="600" w:firstLine="0"/>
    </w:pPr>
  </w:style>
  <w:style w:type="paragraph" w:styleId="42">
    <w:name w:val="toc 5"/>
    <w:basedOn w:val="1"/>
    <w:next w:val="1"/>
    <w:qFormat/>
    <w:uiPriority w:val="0"/>
    <w:pPr>
      <w:ind w:left="1680" w:leftChars="800"/>
    </w:pPr>
  </w:style>
  <w:style w:type="paragraph" w:styleId="43">
    <w:name w:val="toc 3"/>
    <w:basedOn w:val="1"/>
    <w:next w:val="1"/>
    <w:qFormat/>
    <w:uiPriority w:val="0"/>
    <w:pPr>
      <w:spacing w:before="50" w:after="50"/>
      <w:ind w:left="840" w:leftChars="400" w:firstLine="0" w:firstLineChars="0"/>
    </w:pPr>
  </w:style>
  <w:style w:type="paragraph" w:styleId="44">
    <w:name w:val="Plain Text"/>
    <w:basedOn w:val="1"/>
    <w:link w:val="127"/>
    <w:qFormat/>
    <w:uiPriority w:val="0"/>
    <w:pPr>
      <w:keepNext/>
    </w:pPr>
    <w:rPr>
      <w:rFonts w:ascii="宋体" w:hAnsi="宋体" w:eastAsia="宋体" w:cs="Courier New"/>
      <w:sz w:val="28"/>
    </w:rPr>
  </w:style>
  <w:style w:type="paragraph" w:styleId="45">
    <w:name w:val="List Bullet 5"/>
    <w:basedOn w:val="1"/>
    <w:qFormat/>
    <w:uiPriority w:val="0"/>
    <w:pPr>
      <w:numPr>
        <w:ilvl w:val="0"/>
        <w:numId w:val="9"/>
      </w:numPr>
      <w:spacing w:before="50" w:after="50"/>
      <w:ind w:left="2324" w:hanging="454"/>
    </w:pPr>
  </w:style>
  <w:style w:type="paragraph" w:styleId="46">
    <w:name w:val="List Number 4"/>
    <w:basedOn w:val="1"/>
    <w:qFormat/>
    <w:uiPriority w:val="0"/>
    <w:pPr>
      <w:numPr>
        <w:ilvl w:val="3"/>
        <w:numId w:val="10"/>
      </w:numPr>
      <w:tabs>
        <w:tab w:val="left" w:pos="0"/>
        <w:tab w:val="left" w:pos="420"/>
      </w:tabs>
      <w:spacing w:before="50" w:after="50"/>
      <w:ind w:left="3231" w:hanging="1134" w:firstLineChars="0"/>
    </w:pPr>
    <w:rPr>
      <w:color w:val="292929"/>
    </w:rPr>
  </w:style>
  <w:style w:type="paragraph" w:styleId="47">
    <w:name w:val="toc 8"/>
    <w:basedOn w:val="1"/>
    <w:next w:val="1"/>
    <w:link w:val="125"/>
    <w:qFormat/>
    <w:uiPriority w:val="0"/>
    <w:pPr>
      <w:ind w:left="2940" w:leftChars="1400"/>
    </w:pPr>
  </w:style>
  <w:style w:type="paragraph" w:styleId="48">
    <w:name w:val="index 3"/>
    <w:basedOn w:val="1"/>
    <w:next w:val="1"/>
    <w:qFormat/>
    <w:uiPriority w:val="0"/>
    <w:pPr>
      <w:ind w:left="400" w:leftChars="400" w:firstLine="0"/>
    </w:pPr>
  </w:style>
  <w:style w:type="paragraph" w:styleId="49">
    <w:name w:val="Date"/>
    <w:basedOn w:val="1"/>
    <w:next w:val="1"/>
    <w:link w:val="132"/>
    <w:qFormat/>
    <w:uiPriority w:val="0"/>
    <w:pPr>
      <w:spacing w:line="240" w:lineRule="auto"/>
      <w:ind w:left="0" w:leftChars="0" w:firstLine="0" w:firstLineChars="0"/>
      <w:jc w:val="right"/>
    </w:pPr>
  </w:style>
  <w:style w:type="paragraph" w:styleId="50">
    <w:name w:val="Body Text Indent 2"/>
    <w:basedOn w:val="1"/>
    <w:link w:val="140"/>
    <w:qFormat/>
    <w:uiPriority w:val="0"/>
    <w:pPr>
      <w:spacing w:after="120" w:line="480" w:lineRule="auto"/>
      <w:ind w:left="420" w:leftChars="200"/>
    </w:pPr>
  </w:style>
  <w:style w:type="paragraph" w:styleId="51">
    <w:name w:val="endnote text"/>
    <w:basedOn w:val="1"/>
    <w:qFormat/>
    <w:uiPriority w:val="0"/>
    <w:pPr>
      <w:ind w:firstLine="0" w:firstLineChars="0"/>
      <w:jc w:val="left"/>
    </w:pPr>
  </w:style>
  <w:style w:type="paragraph" w:styleId="52">
    <w:name w:val="List Continue 5"/>
    <w:basedOn w:val="1"/>
    <w:qFormat/>
    <w:uiPriority w:val="0"/>
    <w:pPr>
      <w:spacing w:after="120"/>
      <w:ind w:left="2100" w:leftChars="1000"/>
      <w:contextualSpacing/>
    </w:pPr>
  </w:style>
  <w:style w:type="paragraph" w:styleId="53">
    <w:name w:val="Balloon Text"/>
    <w:basedOn w:val="1"/>
    <w:qFormat/>
    <w:uiPriority w:val="0"/>
    <w:pPr>
      <w:spacing w:before="50" w:after="50"/>
      <w:ind w:firstLine="0" w:firstLineChars="0"/>
    </w:pPr>
    <w:rPr>
      <w:sz w:val="18"/>
      <w:szCs w:val="18"/>
    </w:rPr>
  </w:style>
  <w:style w:type="paragraph" w:styleId="54">
    <w:name w:val="footer"/>
    <w:basedOn w:val="1"/>
    <w:qFormat/>
    <w:uiPriority w:val="0"/>
    <w:pPr>
      <w:tabs>
        <w:tab w:val="center" w:pos="4153"/>
        <w:tab w:val="right" w:pos="8306"/>
      </w:tabs>
      <w:ind w:firstLine="0" w:firstLineChars="0"/>
      <w:jc w:val="center"/>
    </w:pPr>
    <w:rPr>
      <w:sz w:val="18"/>
      <w:szCs w:val="18"/>
    </w:rPr>
  </w:style>
  <w:style w:type="paragraph" w:styleId="55">
    <w:name w:val="envelope return"/>
    <w:basedOn w:val="1"/>
    <w:qFormat/>
    <w:uiPriority w:val="0"/>
    <w:rPr>
      <w:rFonts w:cstheme="majorBidi"/>
    </w:rPr>
  </w:style>
  <w:style w:type="paragraph" w:styleId="5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ind w:firstLine="0" w:firstLineChars="0"/>
      <w:jc w:val="center"/>
    </w:pPr>
    <w:rPr>
      <w:sz w:val="18"/>
      <w:szCs w:val="18"/>
    </w:rPr>
  </w:style>
  <w:style w:type="paragraph" w:styleId="57">
    <w:name w:val="Signature"/>
    <w:basedOn w:val="1"/>
    <w:link w:val="131"/>
    <w:qFormat/>
    <w:uiPriority w:val="0"/>
    <w:pPr>
      <w:spacing w:line="240" w:lineRule="auto"/>
      <w:ind w:left="0" w:leftChars="0" w:firstLine="0" w:firstLineChars="0"/>
      <w:jc w:val="right"/>
    </w:pPr>
  </w:style>
  <w:style w:type="paragraph" w:styleId="58">
    <w:name w:val="toc 1"/>
    <w:basedOn w:val="1"/>
    <w:next w:val="1"/>
    <w:link w:val="122"/>
    <w:qFormat/>
    <w:uiPriority w:val="0"/>
    <w:pPr>
      <w:spacing w:before="50" w:after="50"/>
      <w:ind w:firstLine="0" w:firstLineChars="0"/>
    </w:pPr>
  </w:style>
  <w:style w:type="paragraph" w:styleId="59">
    <w:name w:val="List Continue 4"/>
    <w:basedOn w:val="1"/>
    <w:qFormat/>
    <w:uiPriority w:val="0"/>
    <w:pPr>
      <w:spacing w:after="120"/>
      <w:ind w:left="1680" w:leftChars="800"/>
      <w:contextualSpacing/>
    </w:pPr>
  </w:style>
  <w:style w:type="paragraph" w:styleId="60">
    <w:name w:val="toc 4"/>
    <w:basedOn w:val="1"/>
    <w:next w:val="1"/>
    <w:qFormat/>
    <w:uiPriority w:val="0"/>
    <w:pPr>
      <w:ind w:left="1260" w:leftChars="600"/>
    </w:pPr>
  </w:style>
  <w:style w:type="paragraph" w:styleId="61">
    <w:name w:val="index heading"/>
    <w:basedOn w:val="1"/>
    <w:next w:val="62"/>
    <w:qFormat/>
    <w:uiPriority w:val="0"/>
    <w:rPr>
      <w:rFonts w:cstheme="majorBidi"/>
      <w:b/>
      <w:bCs/>
    </w:rPr>
  </w:style>
  <w:style w:type="paragraph" w:styleId="62">
    <w:name w:val="index 1"/>
    <w:basedOn w:val="1"/>
    <w:next w:val="1"/>
    <w:qFormat/>
    <w:uiPriority w:val="0"/>
    <w:pPr>
      <w:ind w:firstLine="0"/>
    </w:pPr>
  </w:style>
  <w:style w:type="paragraph" w:styleId="63">
    <w:name w:val="Subtitle"/>
    <w:link w:val="109"/>
    <w:qFormat/>
    <w:uiPriority w:val="0"/>
    <w:pPr>
      <w:adjustRightInd w:val="0"/>
      <w:snapToGrid w:val="0"/>
      <w:spacing w:line="312" w:lineRule="auto"/>
      <w:jc w:val="center"/>
      <w:outlineLvl w:val="1"/>
    </w:pPr>
    <w:rPr>
      <w:rFonts w:ascii="宋体" w:hAnsi="宋体" w:eastAsia="宋体" w:cstheme="minorBidi"/>
      <w:b/>
      <w:bCs/>
      <w:kern w:val="28"/>
      <w:sz w:val="30"/>
      <w:szCs w:val="30"/>
      <w:lang w:val="en-US" w:eastAsia="zh-CN" w:bidi="ar-SA"/>
    </w:rPr>
  </w:style>
  <w:style w:type="paragraph" w:styleId="64">
    <w:name w:val="List Number 5"/>
    <w:basedOn w:val="1"/>
    <w:qFormat/>
    <w:uiPriority w:val="0"/>
    <w:pPr>
      <w:numPr>
        <w:ilvl w:val="4"/>
        <w:numId w:val="11"/>
      </w:numPr>
      <w:tabs>
        <w:tab w:val="left" w:pos="0"/>
      </w:tabs>
      <w:spacing w:before="50" w:after="50"/>
      <w:ind w:left="4592" w:hanging="1361" w:firstLineChars="0"/>
    </w:pPr>
    <w:rPr>
      <w:color w:val="292929"/>
    </w:rPr>
  </w:style>
  <w:style w:type="paragraph" w:styleId="65">
    <w:name w:val="List"/>
    <w:basedOn w:val="1"/>
    <w:qFormat/>
    <w:uiPriority w:val="0"/>
    <w:pPr>
      <w:ind w:left="200" w:hanging="200" w:hangingChars="200"/>
      <w:contextualSpacing/>
    </w:pPr>
  </w:style>
  <w:style w:type="paragraph" w:styleId="66">
    <w:name w:val="footnote text"/>
    <w:basedOn w:val="1"/>
    <w:qFormat/>
    <w:uiPriority w:val="0"/>
    <w:pPr>
      <w:ind w:firstLine="0" w:firstLineChars="0"/>
      <w:jc w:val="left"/>
    </w:pPr>
    <w:rPr>
      <w:sz w:val="18"/>
      <w:szCs w:val="18"/>
    </w:rPr>
  </w:style>
  <w:style w:type="paragraph" w:styleId="67">
    <w:name w:val="toc 6"/>
    <w:basedOn w:val="1"/>
    <w:next w:val="1"/>
    <w:qFormat/>
    <w:uiPriority w:val="0"/>
    <w:pPr>
      <w:ind w:left="2100" w:leftChars="1000"/>
    </w:pPr>
  </w:style>
  <w:style w:type="paragraph" w:styleId="68">
    <w:name w:val="List 5"/>
    <w:basedOn w:val="1"/>
    <w:qFormat/>
    <w:uiPriority w:val="0"/>
    <w:pPr>
      <w:ind w:left="100" w:leftChars="800" w:hanging="200" w:hangingChars="200"/>
      <w:contextualSpacing/>
    </w:pPr>
  </w:style>
  <w:style w:type="paragraph" w:styleId="69">
    <w:name w:val="Body Text Indent 3"/>
    <w:basedOn w:val="1"/>
    <w:link w:val="141"/>
    <w:qFormat/>
    <w:uiPriority w:val="0"/>
    <w:pPr>
      <w:spacing w:after="120"/>
      <w:ind w:left="420" w:leftChars="200"/>
    </w:pPr>
    <w:rPr>
      <w:sz w:val="16"/>
      <w:szCs w:val="16"/>
    </w:rPr>
  </w:style>
  <w:style w:type="paragraph" w:styleId="70">
    <w:name w:val="index 7"/>
    <w:basedOn w:val="1"/>
    <w:next w:val="1"/>
    <w:qFormat/>
    <w:uiPriority w:val="0"/>
    <w:pPr>
      <w:ind w:left="1200" w:leftChars="1200" w:firstLine="0"/>
    </w:pPr>
  </w:style>
  <w:style w:type="paragraph" w:styleId="71">
    <w:name w:val="index 9"/>
    <w:basedOn w:val="1"/>
    <w:next w:val="1"/>
    <w:qFormat/>
    <w:uiPriority w:val="0"/>
    <w:pPr>
      <w:ind w:left="1600" w:leftChars="1600" w:firstLine="0"/>
    </w:pPr>
  </w:style>
  <w:style w:type="paragraph" w:styleId="72">
    <w:name w:val="table of figures"/>
    <w:basedOn w:val="1"/>
    <w:next w:val="1"/>
    <w:qFormat/>
    <w:uiPriority w:val="0"/>
    <w:pPr>
      <w:ind w:left="200" w:leftChars="200" w:hanging="200" w:hangingChars="200"/>
    </w:pPr>
  </w:style>
  <w:style w:type="paragraph" w:styleId="73">
    <w:name w:val="toc 2"/>
    <w:basedOn w:val="1"/>
    <w:next w:val="1"/>
    <w:qFormat/>
    <w:uiPriority w:val="0"/>
    <w:pPr>
      <w:spacing w:before="50" w:after="50"/>
      <w:ind w:left="420" w:leftChars="200" w:firstLine="0" w:firstLineChars="0"/>
    </w:pPr>
  </w:style>
  <w:style w:type="paragraph" w:styleId="74">
    <w:name w:val="toc 9"/>
    <w:basedOn w:val="1"/>
    <w:next w:val="1"/>
    <w:link w:val="124"/>
    <w:qFormat/>
    <w:uiPriority w:val="0"/>
    <w:pPr>
      <w:ind w:left="3360" w:leftChars="1600"/>
    </w:pPr>
  </w:style>
  <w:style w:type="paragraph" w:styleId="75">
    <w:name w:val="Body Text 2"/>
    <w:basedOn w:val="1"/>
    <w:link w:val="135"/>
    <w:qFormat/>
    <w:uiPriority w:val="0"/>
    <w:pPr>
      <w:spacing w:after="120" w:line="480" w:lineRule="auto"/>
    </w:pPr>
  </w:style>
  <w:style w:type="paragraph" w:styleId="76">
    <w:name w:val="List 4"/>
    <w:basedOn w:val="1"/>
    <w:qFormat/>
    <w:uiPriority w:val="0"/>
    <w:pPr>
      <w:ind w:left="100" w:leftChars="600" w:hanging="200" w:hangingChars="200"/>
      <w:contextualSpacing/>
    </w:pPr>
  </w:style>
  <w:style w:type="paragraph" w:styleId="77">
    <w:name w:val="List Continue 2"/>
    <w:basedOn w:val="1"/>
    <w:qFormat/>
    <w:uiPriority w:val="0"/>
    <w:pPr>
      <w:spacing w:after="120"/>
      <w:ind w:left="840" w:leftChars="400"/>
      <w:contextualSpacing/>
    </w:pPr>
  </w:style>
  <w:style w:type="paragraph" w:styleId="78">
    <w:name w:val="Message Header"/>
    <w:basedOn w:val="1"/>
    <w:link w:val="134"/>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cstheme="majorBidi"/>
    </w:rPr>
  </w:style>
  <w:style w:type="paragraph" w:styleId="79">
    <w:name w:val="Normal (Web)"/>
    <w:basedOn w:val="1"/>
    <w:qFormat/>
    <w:uiPriority w:val="0"/>
    <w:rPr>
      <w:rFonts w:cs="Times New Roman"/>
    </w:rPr>
  </w:style>
  <w:style w:type="paragraph" w:styleId="80">
    <w:name w:val="List Continue 3"/>
    <w:basedOn w:val="1"/>
    <w:qFormat/>
    <w:uiPriority w:val="0"/>
    <w:pPr>
      <w:spacing w:after="120"/>
      <w:ind w:left="1260" w:leftChars="600"/>
      <w:contextualSpacing/>
    </w:pPr>
  </w:style>
  <w:style w:type="paragraph" w:styleId="81">
    <w:name w:val="index 2"/>
    <w:basedOn w:val="1"/>
    <w:next w:val="1"/>
    <w:qFormat/>
    <w:uiPriority w:val="0"/>
    <w:pPr>
      <w:ind w:left="200" w:leftChars="200" w:firstLine="0"/>
    </w:pPr>
  </w:style>
  <w:style w:type="paragraph" w:styleId="82">
    <w:name w:val="Title"/>
    <w:link w:val="117"/>
    <w:qFormat/>
    <w:uiPriority w:val="10"/>
    <w:pPr>
      <w:pBdr>
        <w:top w:val="none" w:color="auto" w:sz="0" w:space="1"/>
        <w:left w:val="none" w:color="auto" w:sz="0" w:space="4"/>
        <w:bottom w:val="none" w:color="auto" w:sz="0" w:space="1"/>
        <w:right w:val="none" w:color="auto" w:sz="0" w:space="4"/>
      </w:pBdr>
      <w:spacing w:after="100" w:afterLines="100"/>
      <w:jc w:val="center"/>
      <w:outlineLvl w:val="0"/>
    </w:pPr>
    <w:rPr>
      <w:rFonts w:ascii="宋体" w:hAnsi="宋体" w:eastAsia="宋体" w:cs="Times New Roman"/>
      <w:b/>
      <w:bCs/>
      <w:sz w:val="32"/>
      <w:szCs w:val="32"/>
      <w:lang w:val="en-US" w:eastAsia="zh-CN" w:bidi="ar-SA"/>
    </w:rPr>
  </w:style>
  <w:style w:type="paragraph" w:styleId="83">
    <w:name w:val="annotation subject"/>
    <w:basedOn w:val="28"/>
    <w:next w:val="28"/>
    <w:qFormat/>
    <w:uiPriority w:val="0"/>
    <w:rPr>
      <w:b/>
    </w:rPr>
  </w:style>
  <w:style w:type="paragraph" w:styleId="84">
    <w:name w:val="Body Text First Indent"/>
    <w:basedOn w:val="34"/>
    <w:link w:val="137"/>
    <w:qFormat/>
    <w:uiPriority w:val="0"/>
    <w:pPr>
      <w:spacing w:after="120" w:afterLines="0"/>
      <w:ind w:firstLine="420" w:firstLineChars="100"/>
    </w:pPr>
  </w:style>
  <w:style w:type="paragraph" w:styleId="85">
    <w:name w:val="Body Text First Indent 2"/>
    <w:basedOn w:val="35"/>
    <w:link w:val="139"/>
    <w:qFormat/>
    <w:uiPriority w:val="0"/>
    <w:pPr>
      <w:ind w:firstLine="420"/>
    </w:pPr>
  </w:style>
  <w:style w:type="table" w:styleId="87">
    <w:name w:val="Table Grid"/>
    <w:basedOn w:val="8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9">
    <w:name w:val="Strong"/>
    <w:basedOn w:val="88"/>
    <w:qFormat/>
    <w:uiPriority w:val="22"/>
    <w:rPr>
      <w:rFonts w:ascii="宋体" w:hAnsi="宋体" w:eastAsia="宋体" w:cs="Times New Roman"/>
      <w:b/>
      <w:bCs/>
      <w:color w:val="auto"/>
      <w:sz w:val="24"/>
      <w:szCs w:val="28"/>
      <w:u w:val="words" w:color="333333"/>
    </w:rPr>
  </w:style>
  <w:style w:type="character" w:styleId="90">
    <w:name w:val="endnote reference"/>
    <w:basedOn w:val="88"/>
    <w:qFormat/>
    <w:uiPriority w:val="0"/>
    <w:rPr>
      <w:rFonts w:ascii="宋体" w:hAnsi="宋体" w:eastAsia="宋体"/>
      <w:vertAlign w:val="superscript"/>
    </w:rPr>
  </w:style>
  <w:style w:type="character" w:styleId="91">
    <w:name w:val="page number"/>
    <w:basedOn w:val="88"/>
    <w:qFormat/>
    <w:uiPriority w:val="0"/>
    <w:rPr>
      <w:rFonts w:ascii="宋体" w:hAnsi="宋体" w:eastAsia="宋体" w:cs="汉仪润圆-65简"/>
      <w:color w:val="7F7F7F" w:themeColor="background1" w:themeShade="80"/>
    </w:rPr>
  </w:style>
  <w:style w:type="character" w:styleId="92">
    <w:name w:val="FollowedHyperlink"/>
    <w:basedOn w:val="88"/>
    <w:qFormat/>
    <w:uiPriority w:val="0"/>
    <w:rPr>
      <w:rFonts w:ascii="宋体" w:hAnsi="宋体" w:eastAsia="宋体"/>
      <w:color w:val="800080"/>
      <w:sz w:val="24"/>
      <w:szCs w:val="24"/>
      <w:u w:val="single"/>
    </w:rPr>
  </w:style>
  <w:style w:type="character" w:styleId="93">
    <w:name w:val="Emphasis"/>
    <w:basedOn w:val="88"/>
    <w:qFormat/>
    <w:uiPriority w:val="20"/>
    <w:rPr>
      <w:rFonts w:ascii="宋体" w:hAnsi="宋体" w:eastAsia="宋体" w:cs="Times New Roman"/>
      <w:b/>
      <w:bCs/>
      <w:color w:val="auto"/>
      <w:sz w:val="24"/>
      <w:szCs w:val="24"/>
      <w:u w:val="none" w:color="C71C31" w:themeColor="accent6" w:themeShade="BF"/>
    </w:rPr>
  </w:style>
  <w:style w:type="character" w:styleId="94">
    <w:name w:val="Hyperlink"/>
    <w:basedOn w:val="88"/>
    <w:qFormat/>
    <w:uiPriority w:val="0"/>
    <w:rPr>
      <w:rFonts w:ascii="宋体" w:hAnsi="宋体" w:eastAsia="宋体"/>
      <w:color w:val="0000FF"/>
      <w:sz w:val="24"/>
      <w:szCs w:val="24"/>
      <w:u w:val="single"/>
    </w:rPr>
  </w:style>
  <w:style w:type="character" w:styleId="95">
    <w:name w:val="annotation reference"/>
    <w:basedOn w:val="88"/>
    <w:qFormat/>
    <w:uiPriority w:val="0"/>
    <w:rPr>
      <w:rFonts w:ascii="宋体" w:hAnsi="宋体" w:eastAsia="宋体"/>
      <w:sz w:val="21"/>
      <w:szCs w:val="21"/>
    </w:rPr>
  </w:style>
  <w:style w:type="character" w:styleId="96">
    <w:name w:val="footnote reference"/>
    <w:basedOn w:val="88"/>
    <w:qFormat/>
    <w:uiPriority w:val="0"/>
    <w:rPr>
      <w:rFonts w:ascii="宋体" w:hAnsi="宋体" w:eastAsia="宋体"/>
      <w:vertAlign w:val="superscript"/>
    </w:rPr>
  </w:style>
  <w:style w:type="paragraph" w:customStyle="1" w:styleId="97">
    <w:name w:val="表格文字"/>
    <w:basedOn w:val="1"/>
    <w:qFormat/>
    <w:uiPriority w:val="0"/>
    <w:pPr>
      <w:spacing w:line="240" w:lineRule="auto"/>
      <w:ind w:firstLine="0" w:firstLineChars="0"/>
      <w:jc w:val="left"/>
    </w:pPr>
    <w:rPr>
      <w:rFonts w:asciiTheme="minorAscii" w:hAnsiTheme="minorAscii"/>
      <w:sz w:val="24"/>
    </w:rPr>
  </w:style>
  <w:style w:type="character" w:customStyle="1" w:styleId="98">
    <w:name w:val="标题 1 字符"/>
    <w:link w:val="3"/>
    <w:qFormat/>
    <w:uiPriority w:val="9"/>
    <w:rPr>
      <w:rFonts w:ascii="宋体" w:hAnsi="宋体" w:eastAsia="宋体" w:cstheme="minorBidi"/>
      <w:b/>
      <w:bCs/>
      <w:kern w:val="44"/>
      <w:sz w:val="28"/>
      <w:szCs w:val="28"/>
      <w:lang w:val="en-US" w:eastAsia="zh-CN" w:bidi="ar-SA"/>
    </w:rPr>
  </w:style>
  <w:style w:type="character" w:customStyle="1" w:styleId="99">
    <w:name w:val="标题 2 字符"/>
    <w:link w:val="4"/>
    <w:qFormat/>
    <w:uiPriority w:val="9"/>
  </w:style>
  <w:style w:type="paragraph" w:customStyle="1" w:styleId="100">
    <w:name w:val="【二级标题】"/>
    <w:basedOn w:val="5"/>
    <w:link w:val="101"/>
    <w:qFormat/>
    <w:uiPriority w:val="0"/>
    <w:pPr>
      <w:numPr>
        <w:ilvl w:val="0"/>
        <w:numId w:val="12"/>
      </w:numPr>
      <w:tabs>
        <w:tab w:val="left" w:pos="420"/>
        <w:tab w:val="clear" w:pos="0"/>
      </w:tabs>
      <w:spacing w:before="0" w:after="0" w:line="360" w:lineRule="auto"/>
      <w:ind w:firstLine="422" w:firstLineChars="200"/>
    </w:pPr>
    <w:rPr>
      <w:rFonts w:ascii="宋体" w:hAnsi="宋体"/>
      <w:sz w:val="32"/>
      <w:szCs w:val="21"/>
      <w:lang w:val="zh-CN"/>
    </w:rPr>
  </w:style>
  <w:style w:type="character" w:customStyle="1" w:styleId="101">
    <w:name w:val="【二级标题】 字符"/>
    <w:basedOn w:val="102"/>
    <w:link w:val="100"/>
    <w:qFormat/>
    <w:uiPriority w:val="0"/>
    <w:rPr>
      <w:rFonts w:ascii="宋体" w:hAnsi="宋体" w:eastAsia="宋体" w:cs="Times New Roman"/>
      <w:sz w:val="32"/>
      <w:szCs w:val="21"/>
      <w:lang w:val="zh-CN"/>
    </w:rPr>
  </w:style>
  <w:style w:type="character" w:customStyle="1" w:styleId="102">
    <w:name w:val="标题 3 字符"/>
    <w:link w:val="5"/>
    <w:semiHidden/>
    <w:qFormat/>
    <w:uiPriority w:val="9"/>
    <w:rPr>
      <w:sz w:val="24"/>
      <w:szCs w:val="24"/>
    </w:rPr>
  </w:style>
  <w:style w:type="paragraph" w:customStyle="1" w:styleId="103">
    <w:name w:val="表格样式"/>
    <w:basedOn w:val="1"/>
    <w:qFormat/>
    <w:uiPriority w:val="0"/>
    <w:pPr>
      <w:spacing w:line="240" w:lineRule="auto"/>
      <w:ind w:firstLine="0" w:firstLineChars="0"/>
      <w:jc w:val="left"/>
    </w:pPr>
    <w:rPr>
      <w:sz w:val="21"/>
    </w:rPr>
  </w:style>
  <w:style w:type="character" w:customStyle="1" w:styleId="104">
    <w:name w:val="标题 4 字符"/>
    <w:link w:val="6"/>
    <w:qFormat/>
    <w:uiPriority w:val="9"/>
  </w:style>
  <w:style w:type="paragraph" w:customStyle="1" w:styleId="105">
    <w:name w:val="正文文字表格"/>
    <w:basedOn w:val="1"/>
    <w:qFormat/>
    <w:uiPriority w:val="0"/>
    <w:pPr>
      <w:spacing w:line="360" w:lineRule="exact"/>
      <w:ind w:firstLine="0" w:firstLineChars="0"/>
      <w:jc w:val="center"/>
    </w:pPr>
    <w:rPr>
      <w:rFonts w:hint="default"/>
      <w:sz w:val="21"/>
    </w:rPr>
  </w:style>
  <w:style w:type="paragraph" w:customStyle="1" w:styleId="106">
    <w:name w:val="带序号正文"/>
    <w:basedOn w:val="1"/>
    <w:qFormat/>
    <w:uiPriority w:val="0"/>
    <w:pPr>
      <w:numPr>
        <w:ilvl w:val="0"/>
        <w:numId w:val="13"/>
      </w:numPr>
      <w:tabs>
        <w:tab w:val="left" w:pos="420"/>
      </w:tabs>
      <w:ind w:left="420" w:firstLine="420" w:firstLineChars="0"/>
    </w:pPr>
    <w:rPr>
      <w:rFonts w:hint="default"/>
      <w:sz w:val="24"/>
    </w:rPr>
  </w:style>
  <w:style w:type="paragraph" w:customStyle="1" w:styleId="107">
    <w:name w:val="目录标题"/>
    <w:link w:val="123"/>
    <w:qFormat/>
    <w:uiPriority w:val="0"/>
    <w:pPr>
      <w:jc w:val="center"/>
    </w:pPr>
    <w:rPr>
      <w:rFonts w:ascii="宋体" w:hAnsi="宋体" w:eastAsia="宋体" w:cstheme="minorBidi"/>
      <w:b/>
      <w:bCs/>
      <w:sz w:val="24"/>
      <w:szCs w:val="24"/>
      <w:lang w:val="en-US" w:eastAsia="zh-CN" w:bidi="ar-SA"/>
    </w:rPr>
  </w:style>
  <w:style w:type="paragraph" w:customStyle="1" w:styleId="108">
    <w:name w:val="章标题"/>
    <w:next w:val="1"/>
    <w:qFormat/>
    <w:uiPriority w:val="0"/>
    <w:pPr>
      <w:keepNext/>
      <w:keepLines/>
      <w:tabs>
        <w:tab w:val="left" w:pos="0"/>
      </w:tabs>
      <w:adjustRightInd w:val="0"/>
      <w:snapToGrid w:val="0"/>
      <w:jc w:val="center"/>
      <w:outlineLvl w:val="0"/>
    </w:pPr>
    <w:rPr>
      <w:rFonts w:ascii="宋体" w:hAnsi="宋体" w:eastAsia="宋体" w:cstheme="minorBidi"/>
      <w:b/>
      <w:bCs/>
      <w:kern w:val="44"/>
      <w:sz w:val="30"/>
      <w:szCs w:val="30"/>
      <w:lang w:val="en-US" w:eastAsia="zh-CN" w:bidi="ar-SA"/>
    </w:rPr>
  </w:style>
  <w:style w:type="character" w:customStyle="1" w:styleId="109">
    <w:name w:val="副标题 字符"/>
    <w:link w:val="63"/>
    <w:qFormat/>
    <w:uiPriority w:val="0"/>
    <w:rPr>
      <w:rFonts w:ascii="宋体" w:hAnsi="宋体" w:eastAsia="宋体" w:cstheme="minorBidi"/>
      <w:b/>
      <w:bCs/>
      <w:kern w:val="28"/>
      <w:sz w:val="30"/>
      <w:szCs w:val="30"/>
      <w:lang w:val="en-US" w:eastAsia="zh-CN" w:bidi="ar-SA"/>
    </w:rPr>
  </w:style>
  <w:style w:type="paragraph" w:customStyle="1" w:styleId="110">
    <w:name w:val="题注1"/>
    <w:basedOn w:val="1"/>
    <w:qFormat/>
    <w:uiPriority w:val="0"/>
    <w:pPr>
      <w:spacing w:before="50" w:after="50"/>
      <w:ind w:firstLine="0" w:firstLineChars="0"/>
    </w:pPr>
    <w:rPr>
      <w:rFonts w:hint="eastAsia"/>
      <w:sz w:val="20"/>
      <w:szCs w:val="20"/>
    </w:rPr>
  </w:style>
  <w:style w:type="paragraph" w:customStyle="1" w:styleId="111">
    <w:name w:val="文档说明标题"/>
    <w:next w:val="1"/>
    <w:qFormat/>
    <w:uiPriority w:val="0"/>
    <w:pPr>
      <w:keepNext/>
      <w:keepLines/>
      <w:tabs>
        <w:tab w:val="left" w:pos="0"/>
      </w:tabs>
      <w:adjustRightInd w:val="0"/>
      <w:snapToGrid w:val="0"/>
      <w:spacing w:line="720" w:lineRule="exact"/>
      <w:jc w:val="center"/>
      <w:outlineLvl w:val="0"/>
    </w:pPr>
    <w:rPr>
      <w:rFonts w:ascii="黑体" w:hAnsi="黑体" w:eastAsia="黑体" w:cstheme="minorBidi"/>
      <w:color w:val="auto"/>
      <w:kern w:val="44"/>
      <w:sz w:val="36"/>
      <w:szCs w:val="36"/>
      <w:lang w:val="en-US" w:eastAsia="zh-CN" w:bidi="ar-SA"/>
    </w:rPr>
  </w:style>
  <w:style w:type="paragraph" w:customStyle="1" w:styleId="112">
    <w:name w:val="节标题"/>
    <w:next w:val="1"/>
    <w:qFormat/>
    <w:uiPriority w:val="0"/>
    <w:pPr>
      <w:tabs>
        <w:tab w:val="left" w:pos="0"/>
      </w:tabs>
      <w:adjustRightInd w:val="0"/>
      <w:snapToGrid w:val="0"/>
      <w:jc w:val="center"/>
    </w:pPr>
    <w:rPr>
      <w:rFonts w:ascii="宋体" w:hAnsi="宋体" w:eastAsia="宋体" w:cstheme="minorBidi"/>
      <w:b/>
      <w:bCs/>
      <w:sz w:val="28"/>
      <w:szCs w:val="28"/>
      <w:lang w:val="en-US" w:eastAsia="zh-CN" w:bidi="ar-SA"/>
    </w:rPr>
  </w:style>
  <w:style w:type="paragraph" w:customStyle="1" w:styleId="113">
    <w:name w:val="附录标题"/>
    <w:next w:val="34"/>
    <w:qFormat/>
    <w:uiPriority w:val="0"/>
    <w:pPr>
      <w:overflowPunct w:val="0"/>
      <w:topLinePunct/>
      <w:adjustRightInd w:val="0"/>
      <w:snapToGrid w:val="0"/>
      <w:spacing w:line="720" w:lineRule="exact"/>
      <w:jc w:val="center"/>
    </w:pPr>
    <w:rPr>
      <w:rFonts w:hint="eastAsia" w:ascii="黑体" w:hAnsi="黑体" w:eastAsia="黑体" w:cs="Times New Roman"/>
      <w:color w:val="auto"/>
      <w:sz w:val="36"/>
      <w:szCs w:val="36"/>
      <w:lang w:val="en-US" w:eastAsia="zh-CN" w:bidi="ar-SA"/>
    </w:rPr>
  </w:style>
  <w:style w:type="character" w:customStyle="1" w:styleId="114">
    <w:name w:val="参考文献条目"/>
    <w:basedOn w:val="88"/>
    <w:qFormat/>
    <w:uiPriority w:val="0"/>
    <w:rPr>
      <w:rFonts w:ascii="宋体" w:hAnsi="宋体" w:eastAsia="宋体"/>
      <w:sz w:val="18"/>
      <w:szCs w:val="18"/>
      <w:lang w:val="en-US" w:eastAsia="zh-CN"/>
    </w:rPr>
  </w:style>
  <w:style w:type="character" w:customStyle="1" w:styleId="115">
    <w:name w:val="着重标题"/>
    <w:basedOn w:val="88"/>
    <w:qFormat/>
    <w:uiPriority w:val="0"/>
    <w:rPr>
      <w:rFonts w:ascii="宋体" w:hAnsi="宋体" w:eastAsia="宋体"/>
      <w:lang w:val="en-US" w:eastAsia="zh-CN"/>
    </w:rPr>
  </w:style>
  <w:style w:type="character" w:customStyle="1" w:styleId="116">
    <w:name w:val="正文文本 字符"/>
    <w:basedOn w:val="88"/>
    <w:link w:val="34"/>
    <w:qFormat/>
    <w:uiPriority w:val="0"/>
    <w:rPr>
      <w:rFonts w:ascii="宋体" w:hAnsi="宋体" w:eastAsia="宋体"/>
      <w:kern w:val="2"/>
      <w:sz w:val="24"/>
      <w:szCs w:val="24"/>
    </w:rPr>
  </w:style>
  <w:style w:type="character" w:customStyle="1" w:styleId="117">
    <w:name w:val="标题 字符"/>
    <w:link w:val="82"/>
    <w:qFormat/>
    <w:uiPriority w:val="0"/>
    <w:rPr>
      <w:rFonts w:ascii="宋体" w:hAnsi="宋体" w:eastAsia="宋体" w:cs="Times New Roman"/>
      <w:b/>
      <w:bCs/>
      <w:sz w:val="32"/>
      <w:szCs w:val="32"/>
      <w:lang w:val="en-US" w:eastAsia="zh-CN" w:bidi="ar-SA"/>
    </w:rPr>
  </w:style>
  <w:style w:type="paragraph" w:customStyle="1" w:styleId="118">
    <w:name w:val="主送对象"/>
    <w:basedOn w:val="30"/>
    <w:qFormat/>
    <w:uiPriority w:val="0"/>
    <w:rPr>
      <w:rFonts w:hint="eastAsia"/>
      <w:color w:val="262626" w:themeColor="text1" w:themeTint="D9"/>
      <w14:textFill>
        <w14:solidFill>
          <w14:schemeClr w14:val="tx1">
            <w14:lumMod w14:val="85000"/>
            <w14:lumOff w14:val="15000"/>
          </w14:schemeClr>
        </w14:solidFill>
      </w14:textFill>
    </w:rPr>
  </w:style>
  <w:style w:type="paragraph" w:customStyle="1" w:styleId="119">
    <w:name w:val="表格标题"/>
    <w:next w:val="1"/>
    <w:qFormat/>
    <w:uiPriority w:val="0"/>
    <w:pPr>
      <w:overflowPunct w:val="0"/>
      <w:topLinePunct/>
      <w:jc w:val="center"/>
    </w:pPr>
    <w:rPr>
      <w:rFonts w:hint="eastAsia" w:ascii="仿宋" w:hAnsi="仿宋" w:eastAsia="仿宋" w:cs="Times New Roman"/>
      <w:color w:val="262626" w:themeColor="text1" w:themeTint="D9"/>
      <w:spacing w:val="-6"/>
      <w:sz w:val="32"/>
      <w:szCs w:val="32"/>
      <w:lang w:val="en-US" w:eastAsia="zh-CN" w:bidi="ar-SA"/>
      <w14:textFill>
        <w14:solidFill>
          <w14:schemeClr w14:val="tx1">
            <w14:lumMod w14:val="85000"/>
            <w14:lumOff w14:val="15000"/>
          </w14:schemeClr>
        </w14:solidFill>
      </w14:textFill>
    </w:rPr>
  </w:style>
  <w:style w:type="character" w:customStyle="1" w:styleId="120">
    <w:name w:val="摘要"/>
    <w:basedOn w:val="88"/>
    <w:qFormat/>
    <w:uiPriority w:val="0"/>
    <w:rPr>
      <w:rFonts w:ascii="宋体" w:hAnsi="宋体" w:eastAsia="宋体"/>
      <w:b/>
      <w:bCs/>
      <w:lang w:val="en-US" w:eastAsia="zh-CN"/>
    </w:rPr>
  </w:style>
  <w:style w:type="character" w:customStyle="1" w:styleId="121">
    <w:name w:val="关键词"/>
    <w:basedOn w:val="88"/>
    <w:qFormat/>
    <w:uiPriority w:val="0"/>
    <w:rPr>
      <w:rFonts w:ascii="宋体" w:hAnsi="宋体" w:eastAsia="宋体"/>
      <w:b/>
      <w:bCs/>
      <w:lang w:val="en-US" w:eastAsia="zh-CN"/>
    </w:rPr>
  </w:style>
  <w:style w:type="character" w:customStyle="1" w:styleId="122">
    <w:name w:val="TOC 1 字符"/>
    <w:link w:val="58"/>
    <w:qFormat/>
    <w:uiPriority w:val="0"/>
  </w:style>
  <w:style w:type="character" w:customStyle="1" w:styleId="123">
    <w:name w:val="目录标题 Char"/>
    <w:link w:val="107"/>
    <w:qFormat/>
    <w:uiPriority w:val="0"/>
    <w:rPr>
      <w:rFonts w:ascii="宋体" w:hAnsi="宋体" w:eastAsia="宋体" w:cstheme="minorBidi"/>
      <w:b/>
      <w:bCs/>
      <w:sz w:val="24"/>
      <w:szCs w:val="24"/>
      <w:lang w:val="en-US" w:eastAsia="zh-CN" w:bidi="ar-SA"/>
    </w:rPr>
  </w:style>
  <w:style w:type="character" w:customStyle="1" w:styleId="124">
    <w:name w:val="TOC 9 字符"/>
    <w:link w:val="74"/>
    <w:qFormat/>
    <w:uiPriority w:val="0"/>
  </w:style>
  <w:style w:type="character" w:customStyle="1" w:styleId="125">
    <w:name w:val="TOC 8 字符"/>
    <w:link w:val="47"/>
    <w:qFormat/>
    <w:uiPriority w:val="0"/>
  </w:style>
  <w:style w:type="character" w:customStyle="1" w:styleId="126">
    <w:name w:val="称呼 字符"/>
    <w:basedOn w:val="88"/>
    <w:link w:val="30"/>
    <w:qFormat/>
    <w:uiPriority w:val="0"/>
  </w:style>
  <w:style w:type="character" w:customStyle="1" w:styleId="127">
    <w:name w:val="纯文本 字符"/>
    <w:basedOn w:val="88"/>
    <w:link w:val="44"/>
    <w:qFormat/>
    <w:uiPriority w:val="0"/>
    <w:rPr>
      <w:rFonts w:ascii="宋体" w:hAnsi="宋体" w:eastAsia="宋体" w:cs="Courier New"/>
      <w:sz w:val="28"/>
    </w:rPr>
  </w:style>
  <w:style w:type="character" w:customStyle="1" w:styleId="128">
    <w:name w:val="电子邮件签名 字符"/>
    <w:basedOn w:val="88"/>
    <w:link w:val="19"/>
    <w:qFormat/>
    <w:uiPriority w:val="0"/>
  </w:style>
  <w:style w:type="character" w:customStyle="1" w:styleId="129">
    <w:name w:val="宏文本 字符"/>
    <w:basedOn w:val="88"/>
    <w:link w:val="2"/>
    <w:qFormat/>
    <w:uiPriority w:val="0"/>
    <w:rPr>
      <w:rFonts w:ascii="宋体" w:hAnsi="宋体" w:eastAsia="宋体" w:cs="Courier New"/>
      <w:kern w:val="2"/>
      <w:sz w:val="24"/>
      <w:szCs w:val="24"/>
      <w:lang w:val="en-US" w:eastAsia="zh-CN" w:bidi="ar-SA"/>
    </w:rPr>
  </w:style>
  <w:style w:type="character" w:customStyle="1" w:styleId="130">
    <w:name w:val="结束语 字符"/>
    <w:basedOn w:val="88"/>
    <w:link w:val="32"/>
    <w:qFormat/>
    <w:uiPriority w:val="0"/>
  </w:style>
  <w:style w:type="character" w:customStyle="1" w:styleId="131">
    <w:name w:val="签名 字符"/>
    <w:basedOn w:val="88"/>
    <w:link w:val="57"/>
    <w:qFormat/>
    <w:uiPriority w:val="0"/>
  </w:style>
  <w:style w:type="character" w:customStyle="1" w:styleId="132">
    <w:name w:val="日期 字符"/>
    <w:basedOn w:val="88"/>
    <w:link w:val="49"/>
    <w:qFormat/>
    <w:uiPriority w:val="0"/>
  </w:style>
  <w:style w:type="character" w:customStyle="1" w:styleId="133">
    <w:name w:val="文档结构图 字符"/>
    <w:basedOn w:val="88"/>
    <w:link w:val="26"/>
    <w:qFormat/>
    <w:uiPriority w:val="0"/>
    <w:rPr>
      <w:sz w:val="18"/>
      <w:szCs w:val="18"/>
    </w:rPr>
  </w:style>
  <w:style w:type="character" w:customStyle="1" w:styleId="134">
    <w:name w:val="信息标题 字符"/>
    <w:basedOn w:val="88"/>
    <w:link w:val="78"/>
    <w:qFormat/>
    <w:uiPriority w:val="0"/>
    <w:rPr>
      <w:rFonts w:cstheme="majorBidi"/>
    </w:rPr>
  </w:style>
  <w:style w:type="character" w:customStyle="1" w:styleId="135">
    <w:name w:val="正文文本 2 字符"/>
    <w:basedOn w:val="88"/>
    <w:link w:val="75"/>
    <w:qFormat/>
    <w:uiPriority w:val="0"/>
  </w:style>
  <w:style w:type="character" w:customStyle="1" w:styleId="136">
    <w:name w:val="正文文本 3 字符"/>
    <w:basedOn w:val="88"/>
    <w:link w:val="31"/>
    <w:qFormat/>
    <w:uiPriority w:val="0"/>
    <w:rPr>
      <w:rFonts w:ascii="宋体" w:hAnsi="宋体" w:eastAsia="宋体"/>
      <w:sz w:val="24"/>
      <w:szCs w:val="16"/>
    </w:rPr>
  </w:style>
  <w:style w:type="character" w:customStyle="1" w:styleId="137">
    <w:name w:val="正文文本首行缩进 字符"/>
    <w:basedOn w:val="116"/>
    <w:link w:val="84"/>
    <w:qFormat/>
    <w:uiPriority w:val="0"/>
  </w:style>
  <w:style w:type="character" w:customStyle="1" w:styleId="138">
    <w:name w:val="正文文本缩进 字符"/>
    <w:basedOn w:val="88"/>
    <w:link w:val="35"/>
    <w:qFormat/>
    <w:uiPriority w:val="0"/>
  </w:style>
  <w:style w:type="character" w:customStyle="1" w:styleId="139">
    <w:name w:val="正文文本首行缩进 2 字符"/>
    <w:basedOn w:val="138"/>
    <w:link w:val="85"/>
    <w:qFormat/>
    <w:uiPriority w:val="0"/>
  </w:style>
  <w:style w:type="character" w:customStyle="1" w:styleId="140">
    <w:name w:val="正文文本缩进 2 字符"/>
    <w:basedOn w:val="88"/>
    <w:link w:val="50"/>
    <w:qFormat/>
    <w:uiPriority w:val="0"/>
  </w:style>
  <w:style w:type="character" w:customStyle="1" w:styleId="141">
    <w:name w:val="正文文本缩进 3 字符"/>
    <w:basedOn w:val="88"/>
    <w:link w:val="69"/>
    <w:qFormat/>
    <w:uiPriority w:val="0"/>
    <w:rPr>
      <w:sz w:val="16"/>
      <w:szCs w:val="16"/>
    </w:rPr>
  </w:style>
  <w:style w:type="character" w:customStyle="1" w:styleId="142">
    <w:name w:val="注释标题 字符"/>
    <w:basedOn w:val="88"/>
    <w:link w:val="16"/>
    <w:qFormat/>
    <w:uiPriority w:val="0"/>
  </w:style>
  <w:style w:type="paragraph" w:customStyle="1" w:styleId="143">
    <w:name w:val="WPSOffice手动目录 1"/>
    <w:qFormat/>
    <w:uiPriority w:val="0"/>
    <w:pPr>
      <w:ind w:leftChars="0"/>
    </w:pPr>
    <w:rPr>
      <w:rFonts w:asciiTheme="minorHAnsi" w:hAnsiTheme="minorHAnsi" w:eastAsiaTheme="minorEastAsia" w:cstheme="minorBidi"/>
      <w:sz w:val="20"/>
      <w:szCs w:val="20"/>
    </w:rPr>
  </w:style>
  <w:style w:type="paragraph" w:customStyle="1" w:styleId="144">
    <w:name w:val="WPSOffice手动目录 2"/>
    <w:qFormat/>
    <w:uiPriority w:val="0"/>
    <w:pPr>
      <w:ind w:leftChars="200"/>
    </w:pPr>
    <w:rPr>
      <w:rFonts w:asciiTheme="minorHAnsi" w:hAnsiTheme="minorHAnsi" w:eastAsiaTheme="minorEastAsia" w:cstheme="minorBidi"/>
      <w:sz w:val="20"/>
      <w:szCs w:val="20"/>
    </w:rPr>
  </w:style>
  <w:style w:type="paragraph" w:customStyle="1" w:styleId="145">
    <w:name w:val="WPSOffice手动目录 3"/>
    <w:qFormat/>
    <w:uiPriority w:val="0"/>
    <w:pPr>
      <w:ind w:leftChars="400"/>
    </w:pPr>
    <w:rPr>
      <w:rFonts w:asciiTheme="minorHAnsi" w:hAnsiTheme="minorHAnsi" w:eastAsiaTheme="minorEastAsia" w:cstheme="minorBidi"/>
      <w:sz w:val="20"/>
      <w:szCs w:val="20"/>
    </w:rPr>
  </w:style>
  <w:style w:type="character" w:customStyle="1" w:styleId="146">
    <w:name w:val="font31"/>
    <w:basedOn w:val="88"/>
    <w:qFormat/>
    <w:uiPriority w:val="0"/>
    <w:rPr>
      <w:rFonts w:hint="eastAsia" w:ascii="宋体" w:hAnsi="宋体" w:eastAsia="宋体" w:cs="宋体"/>
      <w:color w:val="000000"/>
      <w:sz w:val="18"/>
      <w:szCs w:val="18"/>
      <w:u w:val="none"/>
    </w:rPr>
  </w:style>
  <w:style w:type="character" w:customStyle="1" w:styleId="147">
    <w:name w:val="font11"/>
    <w:basedOn w:val="88"/>
    <w:qFormat/>
    <w:uiPriority w:val="0"/>
    <w:rPr>
      <w:rFonts w:hint="eastAsia" w:ascii="等线" w:hAnsi="等线" w:eastAsia="等线" w:cs="等线"/>
      <w:color w:val="000000"/>
      <w:sz w:val="18"/>
      <w:szCs w:val="18"/>
      <w:u w:val="none"/>
    </w:rPr>
  </w:style>
  <w:style w:type="character" w:customStyle="1" w:styleId="148">
    <w:name w:val="font21"/>
    <w:basedOn w:val="88"/>
    <w:qFormat/>
    <w:uiPriority w:val="0"/>
    <w:rPr>
      <w:rFonts w:hint="eastAsia" w:ascii="宋体" w:hAnsi="宋体" w:eastAsia="宋体" w:cs="宋体"/>
      <w:b/>
      <w:bCs/>
      <w:color w:val="000000"/>
      <w:sz w:val="20"/>
      <w:szCs w:val="20"/>
      <w:u w:val="none"/>
    </w:rPr>
  </w:style>
  <w:style w:type="character" w:customStyle="1" w:styleId="149">
    <w:name w:val="font41"/>
    <w:basedOn w:val="88"/>
    <w:qFormat/>
    <w:uiPriority w:val="0"/>
    <w:rPr>
      <w:rFonts w:hint="eastAsia" w:ascii="宋体" w:hAnsi="宋体" w:eastAsia="宋体" w:cs="宋体"/>
      <w:color w:val="000000"/>
      <w:sz w:val="20"/>
      <w:szCs w:val="20"/>
      <w:u w:val="none"/>
    </w:rPr>
  </w:style>
  <w:style w:type="character" w:customStyle="1" w:styleId="150">
    <w:name w:val="font51"/>
    <w:basedOn w:val="88"/>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1301</Words>
  <Characters>1315</Characters>
  <Lines>1</Lines>
  <Paragraphs>1</Paragraphs>
  <TotalTime>37</TotalTime>
  <ScaleCrop>false</ScaleCrop>
  <LinksUpToDate>false</LinksUpToDate>
  <CharactersWithSpaces>1334</CharactersWithSpaces>
  <Application>WPS Office_12.8.2.17008_F1E327BC-269C-435d-A152-05C5408002CA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2026-04-22T19:09:00Z</dcterms:created>
  <dc:creator>Cress</dc:creator>
  <cp:lastModifiedBy>lxy</cp:lastModifiedBy>
  <dcterms:modified xsi:type="dcterms:W3CDTF">2026-10-30T08:42:58Z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2052-12.8.2.17008</vt:lpwstr>
  </property>
  <property fmtid="{D5CDD505-2E9C-101B-9397-08002B2CF9AE}" pid="3" name="ICV">
    <vt:lpwstr>8F92989B92BED83812E8E36AEADD7584_43</vt:lpwstr>
  </property>
  <property fmtid="{D5CDD505-2E9C-101B-9397-08002B2CF9AE}" pid="4" name="KSOTemplateDocerSaveRecord">
    <vt:lpwstr>eyJoZGlkIjoiZGIxOWE4ZDIyNzA1ZTFjODU0MzEyN2VkNmRjNDQyY2UiLCJ1c2VySWQiOiIxMzQyMzU3MTA1In0=</vt:lpwstr>
  </property>
</Properties>
</file>