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13EE2">
      <w:pPr>
        <w:pStyle w:val="2"/>
        <w:numPr>
          <w:ilvl w:val="0"/>
          <w:numId w:val="0"/>
        </w:numPr>
        <w:ind w:left="425"/>
        <w:jc w:val="center"/>
      </w:pPr>
      <w:bookmarkStart w:id="0" w:name="_Toc63785461"/>
      <w:r>
        <w:rPr>
          <w:rFonts w:hint="eastAsia"/>
        </w:rPr>
        <w:t>上海市口腔医院</w:t>
      </w:r>
    </w:p>
    <w:p w14:paraId="115ECE97">
      <w:pPr>
        <w:pStyle w:val="2"/>
        <w:numPr>
          <w:ilvl w:val="0"/>
          <w:numId w:val="0"/>
        </w:numPr>
        <w:ind w:left="425"/>
        <w:jc w:val="center"/>
      </w:pPr>
      <w:r>
        <w:rPr>
          <w:rFonts w:hint="eastAsia"/>
        </w:rPr>
        <w:t>算力服务器与算力平台项目采购需求</w:t>
      </w:r>
    </w:p>
    <w:p w14:paraId="50E2992D">
      <w:pPr>
        <w:pStyle w:val="2"/>
      </w:pPr>
      <w:r>
        <w:rPr>
          <w:rFonts w:hint="eastAsia"/>
        </w:rPr>
        <w:t>项目概况</w:t>
      </w:r>
      <w:bookmarkEnd w:id="0"/>
    </w:p>
    <w:p w14:paraId="28DA448A">
      <w:pPr>
        <w:spacing w:line="560" w:lineRule="exact"/>
      </w:pPr>
      <w:r>
        <w:rPr>
          <w:rFonts w:hint="eastAsia"/>
        </w:rPr>
        <w:t>项目背景及现状：</w:t>
      </w:r>
    </w:p>
    <w:p w14:paraId="1D893C6E">
      <w:pPr>
        <w:rPr>
          <w:rFonts w:ascii="Times New Roman" w:hAnsi="Times New Roman"/>
        </w:rPr>
      </w:pPr>
      <w:r>
        <w:rPr>
          <w:rFonts w:hint="eastAsia" w:ascii="Times New Roman" w:hAnsi="Times New Roman"/>
        </w:rPr>
        <w:t>在全球新一轮科技革命与产业变革的交汇点上，人工智能、大数据、云计算等技术的深度融合正加速重构生产力和生产关系。随着大模型、生成式AI、深度学习等技术的突破性发展，智能算力需求呈现指数级增长态势。据IDC预测，到2025年全球AI算力需求年复合增长率将超过50%，而传统计算架构在资源调度效率、异构兼容性及能耗管理等方面已逐渐暴露瓶颈。与此同时，智慧医疗行业智能化场景的规模化落地，对实时性、精准性及复杂模型训练提出更高要求。在此背景下，医疗机构亟需一种能够高效整合异构算力资源、实现跨平台协同调度的智能化基础设施，而智算管理平台作为连接底层算力与上层业务的核心枢纽，正成为驱动数字经济高质量发展的关键引擎。</w:t>
      </w:r>
    </w:p>
    <w:p w14:paraId="34CDB7A0">
      <w:pPr>
        <w:rPr>
          <w:rFonts w:ascii="Times New Roman" w:hAnsi="Times New Roman"/>
        </w:rPr>
      </w:pPr>
      <w:r>
        <w:rPr>
          <w:rFonts w:hint="eastAsia" w:ascii="Times New Roman" w:hAnsi="Times New Roman"/>
        </w:rPr>
        <w:t>当前，市场需求已从单一的算力供给向全生命周期管理跃迁。在行业智能化转型进程中，医疗行业依赖AI辅助诊断提升效率、提高患者就医体验以及提升医疗机构的管理水平。这些场景不仅要求医疗机构快速获取弹性算力，还需灵活调用GPU、NPU、FPGA等多样化计算资源，并实现从模型开发、训练到推理的全流程闭环管理。数据显示，传统算力中心资源利用率普遍低于40%，而智能化的资源调度技术可将利用率提升至70%以上，通过动态负载均衡、冷热数据分层存储等手段，显著降低单位算力的电力消耗与运维成本。此外，东数西算、边缘计算等国家战略的推进，使得算力资源呈现分布式、多中心化特征，企业需要打破地域限制，构建跨云、跨数据中心的算力资源池化体系，推动开放共享的算力服务生态成型。</w:t>
      </w:r>
    </w:p>
    <w:p w14:paraId="42A0D5B6">
      <w:pPr>
        <w:spacing w:line="560" w:lineRule="exact"/>
      </w:pPr>
      <w:r>
        <w:rPr>
          <w:rFonts w:hint="eastAsia" w:ascii="Times New Roman" w:hAnsi="Times New Roman"/>
        </w:rPr>
        <w:t>在此背景下，算力平台的价值凸显为“智能时代的算力操作系统”。其通过两大核心能力重塑生产力：技术层面，集成容器化编排、分布式调度，实现CPU/GPU/异构芯片的统一纳管与性能调优；业务层面，提供从模型开发、训练加速到推理部署的一站式服务，将AI应用落地周期缩短。</w:t>
      </w:r>
    </w:p>
    <w:p w14:paraId="491FAFAF">
      <w:r>
        <w:t>是否按</w:t>
      </w:r>
      <w:r>
        <w:rPr>
          <w:rFonts w:hint="eastAsia"/>
        </w:rPr>
        <w:t>XC</w:t>
      </w:r>
      <w:r>
        <w:t>要求建设：</w:t>
      </w:r>
      <w:r>
        <w:rPr>
          <w:rFonts w:hint="eastAsia"/>
        </w:rPr>
        <w:t>否。本项目支持院内私有化部署。</w:t>
      </w:r>
    </w:p>
    <w:p w14:paraId="122FE2C7">
      <w:pPr>
        <w:pStyle w:val="2"/>
      </w:pPr>
      <w:bookmarkStart w:id="1" w:name="_Toc47531634"/>
      <w:bookmarkEnd w:id="1"/>
      <w:bookmarkStart w:id="2" w:name="_Toc47539070"/>
      <w:bookmarkEnd w:id="2"/>
      <w:bookmarkStart w:id="3" w:name="_Toc47536644"/>
      <w:bookmarkEnd w:id="3"/>
      <w:bookmarkStart w:id="4" w:name="_Toc47532891"/>
      <w:bookmarkEnd w:id="4"/>
      <w:bookmarkStart w:id="5" w:name="_Toc47532255"/>
      <w:bookmarkEnd w:id="5"/>
      <w:bookmarkStart w:id="6" w:name="_Toc47536272"/>
      <w:bookmarkEnd w:id="6"/>
      <w:bookmarkStart w:id="7" w:name="_Toc47537134"/>
      <w:bookmarkEnd w:id="7"/>
      <w:bookmarkStart w:id="8" w:name="_Toc47533256"/>
      <w:bookmarkEnd w:id="8"/>
      <w:bookmarkStart w:id="9" w:name="_Toc63785463"/>
      <w:bookmarkStart w:id="10" w:name="_Toc48223882"/>
      <w:r>
        <w:rPr>
          <w:rFonts w:hint="eastAsia"/>
        </w:rPr>
        <w:t>建设目标</w:t>
      </w:r>
      <w:bookmarkEnd w:id="9"/>
      <w:bookmarkEnd w:id="10"/>
    </w:p>
    <w:p w14:paraId="704DB5FD">
      <w:pPr>
        <w:rPr>
          <w:rFonts w:ascii="Times New Roman" w:hAnsi="Times New Roman"/>
        </w:rPr>
      </w:pPr>
      <w:bookmarkStart w:id="11" w:name="_Toc47532923"/>
      <w:bookmarkEnd w:id="11"/>
      <w:bookmarkStart w:id="12" w:name="_Toc47536304"/>
      <w:bookmarkEnd w:id="12"/>
      <w:bookmarkStart w:id="13" w:name="_Toc47539102"/>
      <w:bookmarkEnd w:id="13"/>
      <w:bookmarkStart w:id="14" w:name="_Toc47536676"/>
      <w:bookmarkEnd w:id="14"/>
      <w:bookmarkStart w:id="15" w:name="_Toc47537166"/>
      <w:bookmarkEnd w:id="15"/>
      <w:bookmarkStart w:id="16" w:name="_Toc47533288"/>
      <w:bookmarkEnd w:id="16"/>
      <w:r>
        <w:rPr>
          <w:rFonts w:hint="eastAsia" w:ascii="Times New Roman" w:hAnsi="Times New Roman"/>
        </w:rPr>
        <w:t>本项目主要实现上海市口腔医院智能化升级的一站式算法中枢，通过整合数据管理、算法开发训练、模型部署及算力调度四大核心模块，构建从数据到业务价值的端到端闭环。在业务流程层面，平台打通从数据预处理、模型训练到服务部署的全生命周期管理闭环。作为医院智能化转型的数字基座，该平台通过轻型化部署方案降低使用门槛，成为医院从数据沉淀到智能决策的端到端赋能中枢。与此同时，通过增设算力服务器资源，为我院后续多模态语料训练，实现智能化应用场景提供算力支撑。</w:t>
      </w:r>
    </w:p>
    <w:p w14:paraId="2BE6CF20">
      <w:pPr>
        <w:pStyle w:val="2"/>
      </w:pPr>
      <w:r>
        <w:rPr>
          <w:rFonts w:hint="eastAsia"/>
        </w:rPr>
        <w:t>项目建设内容</w:t>
      </w:r>
    </w:p>
    <w:p w14:paraId="4260E8BF">
      <w:pPr>
        <w:ind w:firstLine="482"/>
        <w:rPr>
          <w:b/>
        </w:rPr>
      </w:pPr>
      <w:r>
        <w:rPr>
          <w:rFonts w:hint="eastAsia"/>
          <w:b/>
        </w:rPr>
        <w:t>1、硬件购置清单：</w:t>
      </w:r>
    </w:p>
    <w:tbl>
      <w:tblPr>
        <w:tblStyle w:val="9"/>
        <w:tblW w:w="0" w:type="auto"/>
        <w:jc w:val="center"/>
        <w:tblLayout w:type="autofit"/>
        <w:tblCellMar>
          <w:top w:w="0" w:type="dxa"/>
          <w:left w:w="108" w:type="dxa"/>
          <w:bottom w:w="0" w:type="dxa"/>
          <w:right w:w="108" w:type="dxa"/>
        </w:tblCellMar>
      </w:tblPr>
      <w:tblGrid>
        <w:gridCol w:w="658"/>
        <w:gridCol w:w="658"/>
        <w:gridCol w:w="965"/>
        <w:gridCol w:w="4142"/>
        <w:gridCol w:w="712"/>
        <w:gridCol w:w="701"/>
      </w:tblGrid>
      <w:tr w14:paraId="67DF0987">
        <w:tblPrEx>
          <w:tblCellMar>
            <w:top w:w="0" w:type="dxa"/>
            <w:left w:w="108" w:type="dxa"/>
            <w:bottom w:w="0" w:type="dxa"/>
            <w:right w:w="108" w:type="dxa"/>
          </w:tblCellMar>
        </w:tblPrEx>
        <w:trPr>
          <w:trHeight w:val="270" w:hRule="atLeast"/>
          <w:jc w:val="center"/>
        </w:trPr>
        <w:tc>
          <w:tcPr>
            <w:tcW w:w="658" w:type="dxa"/>
            <w:tcBorders>
              <w:top w:val="single" w:color="auto" w:sz="4" w:space="0"/>
              <w:left w:val="single" w:color="auto" w:sz="4" w:space="0"/>
              <w:bottom w:val="single" w:color="auto" w:sz="4" w:space="0"/>
              <w:right w:val="single" w:color="auto" w:sz="4" w:space="0"/>
            </w:tcBorders>
            <w:shd w:val="clear" w:color="000000" w:fill="F3F8FC"/>
            <w:noWrap/>
            <w:vAlign w:val="center"/>
          </w:tcPr>
          <w:p w14:paraId="74052609">
            <w:pPr>
              <w:widowControl/>
              <w:spacing w:line="240" w:lineRule="auto"/>
              <w:ind w:firstLine="0" w:firstLineChars="0"/>
              <w:jc w:val="center"/>
              <w:rPr>
                <w:rFonts w:cs="宋体"/>
                <w:b/>
                <w:color w:val="000000"/>
                <w:kern w:val="0"/>
                <w:sz w:val="22"/>
                <w:szCs w:val="22"/>
              </w:rPr>
            </w:pPr>
            <w:bookmarkStart w:id="17" w:name="_Hlk240460138"/>
            <w:r>
              <w:rPr>
                <w:rFonts w:hint="eastAsia" w:cs="宋体"/>
                <w:b/>
                <w:color w:val="000000"/>
                <w:kern w:val="0"/>
                <w:sz w:val="22"/>
                <w:szCs w:val="22"/>
              </w:rPr>
              <w:t>序号</w:t>
            </w:r>
          </w:p>
        </w:tc>
        <w:tc>
          <w:tcPr>
            <w:tcW w:w="658" w:type="dxa"/>
            <w:tcBorders>
              <w:top w:val="single" w:color="auto" w:sz="4" w:space="0"/>
              <w:left w:val="nil"/>
              <w:bottom w:val="single" w:color="auto" w:sz="4" w:space="0"/>
              <w:right w:val="single" w:color="auto" w:sz="4" w:space="0"/>
            </w:tcBorders>
            <w:shd w:val="clear" w:color="000000" w:fill="F3F8FC"/>
            <w:noWrap/>
            <w:vAlign w:val="center"/>
          </w:tcPr>
          <w:p w14:paraId="6818F788">
            <w:pPr>
              <w:widowControl/>
              <w:spacing w:line="240" w:lineRule="auto"/>
              <w:ind w:firstLine="0" w:firstLineChars="0"/>
              <w:jc w:val="center"/>
              <w:rPr>
                <w:rFonts w:cs="宋体"/>
                <w:b/>
                <w:color w:val="000000"/>
                <w:kern w:val="0"/>
                <w:sz w:val="22"/>
                <w:szCs w:val="22"/>
              </w:rPr>
            </w:pPr>
            <w:r>
              <w:rPr>
                <w:rFonts w:hint="eastAsia" w:cs="宋体"/>
                <w:b/>
                <w:color w:val="000000"/>
                <w:kern w:val="0"/>
                <w:sz w:val="22"/>
                <w:szCs w:val="22"/>
              </w:rPr>
              <w:t>名称</w:t>
            </w:r>
          </w:p>
        </w:tc>
        <w:tc>
          <w:tcPr>
            <w:tcW w:w="965" w:type="dxa"/>
            <w:tcBorders>
              <w:top w:val="single" w:color="auto" w:sz="4" w:space="0"/>
              <w:left w:val="nil"/>
              <w:bottom w:val="single" w:color="auto" w:sz="4" w:space="0"/>
              <w:right w:val="single" w:color="auto" w:sz="4" w:space="0"/>
            </w:tcBorders>
            <w:shd w:val="clear" w:color="000000" w:fill="F3F8FC"/>
            <w:noWrap/>
            <w:vAlign w:val="center"/>
          </w:tcPr>
          <w:p w14:paraId="541EF32E">
            <w:pPr>
              <w:widowControl/>
              <w:spacing w:line="240" w:lineRule="auto"/>
              <w:ind w:firstLine="0" w:firstLineChars="0"/>
              <w:jc w:val="center"/>
              <w:rPr>
                <w:rFonts w:cs="宋体"/>
                <w:b/>
                <w:color w:val="000000"/>
                <w:kern w:val="0"/>
                <w:sz w:val="22"/>
                <w:szCs w:val="22"/>
              </w:rPr>
            </w:pPr>
            <w:r>
              <w:rPr>
                <w:rFonts w:cs="宋体"/>
                <w:b/>
                <w:color w:val="000000"/>
                <w:kern w:val="0"/>
                <w:sz w:val="22"/>
                <w:szCs w:val="22"/>
              </w:rPr>
              <w:t>类别</w:t>
            </w:r>
          </w:p>
        </w:tc>
        <w:tc>
          <w:tcPr>
            <w:tcW w:w="4142" w:type="dxa"/>
            <w:tcBorders>
              <w:top w:val="single" w:color="auto" w:sz="4" w:space="0"/>
              <w:left w:val="nil"/>
              <w:bottom w:val="single" w:color="auto" w:sz="4" w:space="0"/>
              <w:right w:val="single" w:color="auto" w:sz="4" w:space="0"/>
            </w:tcBorders>
            <w:shd w:val="clear" w:color="000000" w:fill="F3F8FC"/>
            <w:vAlign w:val="center"/>
          </w:tcPr>
          <w:p w14:paraId="0ACF1956">
            <w:pPr>
              <w:widowControl/>
              <w:spacing w:line="240" w:lineRule="auto"/>
              <w:ind w:firstLine="0" w:firstLineChars="0"/>
              <w:jc w:val="center"/>
              <w:rPr>
                <w:rFonts w:cs="宋体"/>
                <w:b/>
                <w:color w:val="000000"/>
                <w:kern w:val="0"/>
                <w:sz w:val="22"/>
                <w:szCs w:val="22"/>
              </w:rPr>
            </w:pPr>
            <w:r>
              <w:rPr>
                <w:rFonts w:cs="宋体"/>
                <w:b/>
                <w:color w:val="000000"/>
                <w:kern w:val="0"/>
                <w:sz w:val="22"/>
                <w:szCs w:val="22"/>
              </w:rPr>
              <w:t>配置要求</w:t>
            </w:r>
          </w:p>
        </w:tc>
        <w:tc>
          <w:tcPr>
            <w:tcW w:w="712" w:type="dxa"/>
            <w:tcBorders>
              <w:top w:val="single" w:color="auto" w:sz="4" w:space="0"/>
              <w:left w:val="nil"/>
              <w:bottom w:val="single" w:color="auto" w:sz="4" w:space="0"/>
              <w:right w:val="single" w:color="auto" w:sz="4" w:space="0"/>
            </w:tcBorders>
            <w:shd w:val="clear" w:color="000000" w:fill="F3F8FC"/>
            <w:vAlign w:val="center"/>
          </w:tcPr>
          <w:p w14:paraId="4E86C236">
            <w:pPr>
              <w:widowControl/>
              <w:spacing w:line="240" w:lineRule="auto"/>
              <w:ind w:firstLine="0" w:firstLineChars="0"/>
              <w:jc w:val="center"/>
              <w:rPr>
                <w:rFonts w:cs="宋体"/>
                <w:b/>
                <w:color w:val="000000"/>
                <w:kern w:val="0"/>
                <w:sz w:val="22"/>
                <w:szCs w:val="22"/>
              </w:rPr>
            </w:pPr>
            <w:r>
              <w:rPr>
                <w:rFonts w:cs="宋体"/>
                <w:b/>
                <w:color w:val="000000"/>
                <w:kern w:val="0"/>
                <w:sz w:val="22"/>
                <w:szCs w:val="22"/>
              </w:rPr>
              <w:t>数量</w:t>
            </w:r>
          </w:p>
        </w:tc>
        <w:tc>
          <w:tcPr>
            <w:tcW w:w="701" w:type="dxa"/>
            <w:tcBorders>
              <w:top w:val="single" w:color="auto" w:sz="4" w:space="0"/>
              <w:left w:val="nil"/>
              <w:bottom w:val="single" w:color="auto" w:sz="4" w:space="0"/>
              <w:right w:val="single" w:color="auto" w:sz="4" w:space="0"/>
            </w:tcBorders>
            <w:shd w:val="clear" w:color="000000" w:fill="F3F8FC"/>
            <w:vAlign w:val="center"/>
          </w:tcPr>
          <w:p w14:paraId="15CFC995">
            <w:pPr>
              <w:widowControl/>
              <w:spacing w:line="240" w:lineRule="auto"/>
              <w:ind w:firstLine="0" w:firstLineChars="0"/>
              <w:jc w:val="center"/>
              <w:rPr>
                <w:rFonts w:cs="宋体"/>
                <w:b/>
                <w:color w:val="000000"/>
                <w:kern w:val="0"/>
                <w:sz w:val="22"/>
                <w:szCs w:val="22"/>
              </w:rPr>
            </w:pPr>
            <w:r>
              <w:rPr>
                <w:rFonts w:cs="宋体"/>
                <w:b/>
                <w:color w:val="000000"/>
                <w:kern w:val="0"/>
                <w:sz w:val="22"/>
                <w:szCs w:val="22"/>
              </w:rPr>
              <w:t>单位</w:t>
            </w:r>
          </w:p>
        </w:tc>
      </w:tr>
      <w:tr w14:paraId="3DACAEEA">
        <w:tblPrEx>
          <w:tblCellMar>
            <w:top w:w="0" w:type="dxa"/>
            <w:left w:w="108" w:type="dxa"/>
            <w:bottom w:w="0" w:type="dxa"/>
            <w:right w:w="108" w:type="dxa"/>
          </w:tblCellMar>
        </w:tblPrEx>
        <w:trPr>
          <w:trHeight w:val="1140"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FFFFFF"/>
            <w:vAlign w:val="center"/>
          </w:tcPr>
          <w:p w14:paraId="34E754A2">
            <w:pPr>
              <w:widowControl/>
              <w:spacing w:line="240" w:lineRule="auto"/>
              <w:ind w:firstLine="0" w:firstLineChars="0"/>
              <w:jc w:val="center"/>
              <w:rPr>
                <w:rFonts w:ascii="Tahoma" w:hAnsi="Tahoma" w:cs="Tahoma"/>
                <w:color w:val="000000"/>
                <w:kern w:val="0"/>
                <w:sz w:val="22"/>
                <w:szCs w:val="22"/>
              </w:rPr>
            </w:pPr>
            <w:r>
              <w:rPr>
                <w:rFonts w:ascii="Tahoma" w:hAnsi="Tahoma" w:cs="Tahoma"/>
                <w:color w:val="000000"/>
                <w:kern w:val="0"/>
                <w:sz w:val="22"/>
                <w:szCs w:val="22"/>
              </w:rPr>
              <w:t>1</w:t>
            </w:r>
          </w:p>
        </w:tc>
        <w:tc>
          <w:tcPr>
            <w:tcW w:w="658" w:type="dxa"/>
            <w:tcBorders>
              <w:top w:val="single" w:color="auto" w:sz="4" w:space="0"/>
              <w:left w:val="nil"/>
              <w:bottom w:val="single" w:color="auto" w:sz="4" w:space="0"/>
              <w:right w:val="single" w:color="auto" w:sz="4" w:space="0"/>
            </w:tcBorders>
            <w:shd w:val="clear" w:color="auto" w:fill="FFFFFF"/>
            <w:vAlign w:val="center"/>
          </w:tcPr>
          <w:p w14:paraId="5565BC28">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管理节点服务器</w:t>
            </w:r>
          </w:p>
        </w:tc>
        <w:tc>
          <w:tcPr>
            <w:tcW w:w="965" w:type="dxa"/>
            <w:tcBorders>
              <w:top w:val="single" w:color="auto" w:sz="4" w:space="0"/>
              <w:left w:val="nil"/>
              <w:bottom w:val="single" w:color="auto" w:sz="4" w:space="0"/>
              <w:right w:val="single" w:color="auto" w:sz="4" w:space="0"/>
            </w:tcBorders>
            <w:shd w:val="clear" w:color="auto" w:fill="FFFFFF"/>
            <w:vAlign w:val="center"/>
          </w:tcPr>
          <w:p w14:paraId="3DAC0111">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服务器</w:t>
            </w:r>
          </w:p>
        </w:tc>
        <w:tc>
          <w:tcPr>
            <w:tcW w:w="4142" w:type="dxa"/>
            <w:tcBorders>
              <w:top w:val="single" w:color="auto" w:sz="4" w:space="0"/>
              <w:left w:val="nil"/>
              <w:bottom w:val="single" w:color="auto" w:sz="4" w:space="0"/>
              <w:right w:val="single" w:color="auto" w:sz="4" w:space="0"/>
            </w:tcBorders>
            <w:shd w:val="clear" w:color="auto" w:fill="FFFFFF"/>
            <w:vAlign w:val="center"/>
          </w:tcPr>
          <w:p w14:paraId="3C5E0A74">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不低于：</w:t>
            </w:r>
            <w:r>
              <w:rPr>
                <w:rFonts w:ascii="Tahoma" w:hAnsi="Tahoma" w:cs="Tahoma"/>
                <w:color w:val="000000"/>
                <w:kern w:val="0"/>
                <w:sz w:val="22"/>
                <w:szCs w:val="22"/>
              </w:rPr>
              <w:t>32核CPU</w:t>
            </w:r>
            <w:r>
              <w:rPr>
                <w:rFonts w:hint="eastAsia" w:ascii="Tahoma" w:hAnsi="Tahoma" w:cs="Tahoma"/>
                <w:color w:val="000000"/>
                <w:kern w:val="0"/>
                <w:sz w:val="22"/>
                <w:szCs w:val="22"/>
              </w:rPr>
              <w:t>，内存64GB，1T SSD硬盘，2个千兆网口</w:t>
            </w:r>
          </w:p>
        </w:tc>
        <w:tc>
          <w:tcPr>
            <w:tcW w:w="712" w:type="dxa"/>
            <w:tcBorders>
              <w:top w:val="single" w:color="auto" w:sz="4" w:space="0"/>
              <w:left w:val="nil"/>
              <w:bottom w:val="single" w:color="auto" w:sz="4" w:space="0"/>
              <w:right w:val="single" w:color="auto" w:sz="4" w:space="0"/>
            </w:tcBorders>
            <w:shd w:val="clear" w:color="auto" w:fill="FFFFFF"/>
            <w:vAlign w:val="center"/>
          </w:tcPr>
          <w:p w14:paraId="785C5B11">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1</w:t>
            </w:r>
          </w:p>
        </w:tc>
        <w:tc>
          <w:tcPr>
            <w:tcW w:w="701" w:type="dxa"/>
            <w:tcBorders>
              <w:top w:val="single" w:color="auto" w:sz="4" w:space="0"/>
              <w:left w:val="nil"/>
              <w:bottom w:val="single" w:color="auto" w:sz="4" w:space="0"/>
              <w:right w:val="single" w:color="auto" w:sz="4" w:space="0"/>
            </w:tcBorders>
            <w:shd w:val="clear" w:color="auto" w:fill="FFFFFF"/>
            <w:vAlign w:val="center"/>
          </w:tcPr>
          <w:p w14:paraId="5D597D1F">
            <w:pPr>
              <w:widowControl/>
              <w:spacing w:line="240" w:lineRule="auto"/>
              <w:ind w:firstLine="0" w:firstLineChars="0"/>
              <w:jc w:val="center"/>
              <w:rPr>
                <w:rFonts w:ascii="Tahoma" w:hAnsi="Tahoma" w:cs="Tahoma"/>
                <w:color w:val="000000"/>
                <w:kern w:val="0"/>
                <w:sz w:val="22"/>
                <w:szCs w:val="22"/>
              </w:rPr>
            </w:pPr>
            <w:r>
              <w:rPr>
                <w:rFonts w:ascii="Tahoma" w:hAnsi="Tahoma" w:cs="Tahoma"/>
                <w:color w:val="000000"/>
                <w:kern w:val="0"/>
                <w:sz w:val="22"/>
                <w:szCs w:val="22"/>
              </w:rPr>
              <w:t>台</w:t>
            </w:r>
          </w:p>
        </w:tc>
      </w:tr>
      <w:bookmarkEnd w:id="17"/>
      <w:tr w14:paraId="4FE7F2A1">
        <w:tblPrEx>
          <w:tblCellMar>
            <w:top w:w="0" w:type="dxa"/>
            <w:left w:w="108" w:type="dxa"/>
            <w:bottom w:w="0" w:type="dxa"/>
            <w:right w:w="108" w:type="dxa"/>
          </w:tblCellMar>
        </w:tblPrEx>
        <w:trPr>
          <w:trHeight w:val="1140" w:hRule="atLeast"/>
          <w:jc w:val="center"/>
        </w:trPr>
        <w:tc>
          <w:tcPr>
            <w:tcW w:w="658" w:type="dxa"/>
            <w:tcBorders>
              <w:top w:val="single" w:color="auto" w:sz="4" w:space="0"/>
              <w:left w:val="single" w:color="auto" w:sz="4" w:space="0"/>
              <w:bottom w:val="single" w:color="auto" w:sz="4" w:space="0"/>
              <w:right w:val="single" w:color="auto" w:sz="4" w:space="0"/>
            </w:tcBorders>
            <w:shd w:val="clear" w:color="auto" w:fill="FFFFFF"/>
            <w:vAlign w:val="center"/>
          </w:tcPr>
          <w:p w14:paraId="7E40BF3A">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2</w:t>
            </w:r>
          </w:p>
        </w:tc>
        <w:tc>
          <w:tcPr>
            <w:tcW w:w="658" w:type="dxa"/>
            <w:tcBorders>
              <w:top w:val="single" w:color="auto" w:sz="4" w:space="0"/>
              <w:left w:val="nil"/>
              <w:bottom w:val="single" w:color="auto" w:sz="4" w:space="0"/>
              <w:right w:val="single" w:color="auto" w:sz="4" w:space="0"/>
            </w:tcBorders>
            <w:shd w:val="clear" w:color="auto" w:fill="FFFFFF"/>
            <w:vAlign w:val="center"/>
          </w:tcPr>
          <w:p w14:paraId="6B856441">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算力节点服务器</w:t>
            </w:r>
          </w:p>
          <w:p w14:paraId="0ED877D4">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（租赁）</w:t>
            </w:r>
          </w:p>
        </w:tc>
        <w:tc>
          <w:tcPr>
            <w:tcW w:w="965" w:type="dxa"/>
            <w:tcBorders>
              <w:top w:val="single" w:color="auto" w:sz="4" w:space="0"/>
              <w:left w:val="nil"/>
              <w:bottom w:val="single" w:color="auto" w:sz="4" w:space="0"/>
              <w:right w:val="single" w:color="auto" w:sz="4" w:space="0"/>
            </w:tcBorders>
            <w:shd w:val="clear" w:color="auto" w:fill="FFFFFF"/>
            <w:vAlign w:val="center"/>
          </w:tcPr>
          <w:p w14:paraId="7D1E1A36">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服务器</w:t>
            </w:r>
          </w:p>
        </w:tc>
        <w:tc>
          <w:tcPr>
            <w:tcW w:w="4142" w:type="dxa"/>
            <w:tcBorders>
              <w:top w:val="single" w:color="auto" w:sz="4" w:space="0"/>
              <w:left w:val="nil"/>
              <w:bottom w:val="single" w:color="auto" w:sz="4" w:space="0"/>
              <w:right w:val="single" w:color="auto" w:sz="4" w:space="0"/>
            </w:tcBorders>
            <w:shd w:val="clear" w:color="auto" w:fill="FFFFFF"/>
            <w:vAlign w:val="center"/>
          </w:tcPr>
          <w:p w14:paraId="56E22474">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租赁期2年，需本地部署</w:t>
            </w:r>
          </w:p>
          <w:p w14:paraId="7DEBD8F4">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不低于：2颗32核CPU，8颗48GB显存GPU，6个25GbE光口</w:t>
            </w:r>
          </w:p>
        </w:tc>
        <w:tc>
          <w:tcPr>
            <w:tcW w:w="712" w:type="dxa"/>
            <w:tcBorders>
              <w:top w:val="single" w:color="auto" w:sz="4" w:space="0"/>
              <w:left w:val="nil"/>
              <w:bottom w:val="single" w:color="auto" w:sz="4" w:space="0"/>
              <w:right w:val="single" w:color="auto" w:sz="4" w:space="0"/>
            </w:tcBorders>
            <w:shd w:val="clear" w:color="auto" w:fill="FFFFFF"/>
            <w:vAlign w:val="center"/>
          </w:tcPr>
          <w:p w14:paraId="5293FB7E">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1</w:t>
            </w:r>
          </w:p>
        </w:tc>
        <w:tc>
          <w:tcPr>
            <w:tcW w:w="701" w:type="dxa"/>
            <w:tcBorders>
              <w:top w:val="single" w:color="auto" w:sz="4" w:space="0"/>
              <w:left w:val="nil"/>
              <w:bottom w:val="single" w:color="auto" w:sz="4" w:space="0"/>
              <w:right w:val="single" w:color="auto" w:sz="4" w:space="0"/>
            </w:tcBorders>
            <w:shd w:val="clear" w:color="auto" w:fill="FFFFFF"/>
            <w:vAlign w:val="center"/>
          </w:tcPr>
          <w:p w14:paraId="6FB472B9">
            <w:pPr>
              <w:widowControl/>
              <w:spacing w:line="240" w:lineRule="auto"/>
              <w:ind w:firstLine="0" w:firstLineChars="0"/>
              <w:jc w:val="center"/>
              <w:rPr>
                <w:rFonts w:ascii="Tahoma" w:hAnsi="Tahoma" w:cs="Tahoma"/>
                <w:color w:val="000000"/>
                <w:kern w:val="0"/>
                <w:sz w:val="22"/>
                <w:szCs w:val="22"/>
              </w:rPr>
            </w:pPr>
            <w:r>
              <w:rPr>
                <w:rFonts w:hint="eastAsia" w:ascii="Tahoma" w:hAnsi="Tahoma" w:cs="Tahoma"/>
                <w:color w:val="000000"/>
                <w:kern w:val="0"/>
                <w:sz w:val="22"/>
                <w:szCs w:val="22"/>
              </w:rPr>
              <w:t>台*</w:t>
            </w:r>
            <w:r>
              <w:rPr>
                <w:rFonts w:ascii="Tahoma" w:hAnsi="Tahoma" w:cs="Tahoma"/>
                <w:color w:val="000000"/>
                <w:kern w:val="0"/>
                <w:sz w:val="22"/>
                <w:szCs w:val="22"/>
              </w:rPr>
              <w:t>2</w:t>
            </w:r>
            <w:r>
              <w:rPr>
                <w:rFonts w:hint="eastAsia" w:ascii="Tahoma" w:hAnsi="Tahoma" w:cs="Tahoma"/>
                <w:color w:val="000000"/>
                <w:kern w:val="0"/>
                <w:sz w:val="22"/>
                <w:szCs w:val="22"/>
              </w:rPr>
              <w:t>年</w:t>
            </w:r>
          </w:p>
        </w:tc>
      </w:tr>
    </w:tbl>
    <w:p w14:paraId="3678ED81">
      <w:pPr>
        <w:ind w:firstLine="0" w:firstLineChars="0"/>
      </w:pPr>
    </w:p>
    <w:p w14:paraId="1EB2EF70">
      <w:pPr>
        <w:ind w:firstLine="482"/>
        <w:rPr>
          <w:b/>
        </w:rPr>
      </w:pPr>
      <w:r>
        <w:rPr>
          <w:rFonts w:hint="eastAsia"/>
          <w:b/>
        </w:rPr>
        <w:t>2、产品软件购置清单：</w:t>
      </w:r>
    </w:p>
    <w:tbl>
      <w:tblPr>
        <w:tblStyle w:val="9"/>
        <w:tblW w:w="46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276"/>
        <w:gridCol w:w="4588"/>
        <w:gridCol w:w="664"/>
        <w:gridCol w:w="666"/>
      </w:tblGrid>
      <w:tr w14:paraId="2BFB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shd w:val="clear" w:color="auto" w:fill="auto"/>
            <w:vAlign w:val="center"/>
          </w:tcPr>
          <w:p w14:paraId="41562A03">
            <w:pPr>
              <w:ind w:firstLine="0" w:firstLineChars="0"/>
              <w:jc w:val="center"/>
              <w:rPr>
                <w:rFonts w:cs="宋体"/>
                <w:b/>
                <w:bCs/>
              </w:rPr>
            </w:pPr>
            <w:r>
              <w:rPr>
                <w:rFonts w:hint="eastAsia" w:cs="宋体"/>
                <w:b/>
                <w:bCs/>
              </w:rPr>
              <w:t>序号</w:t>
            </w:r>
          </w:p>
        </w:tc>
        <w:tc>
          <w:tcPr>
            <w:tcW w:w="811" w:type="pct"/>
            <w:shd w:val="clear" w:color="auto" w:fill="auto"/>
            <w:vAlign w:val="center"/>
          </w:tcPr>
          <w:p w14:paraId="5FADC9AA">
            <w:pPr>
              <w:ind w:firstLine="0" w:firstLineChars="0"/>
              <w:jc w:val="center"/>
              <w:rPr>
                <w:rFonts w:cs="宋体"/>
                <w:b/>
                <w:bCs/>
              </w:rPr>
            </w:pPr>
            <w:r>
              <w:rPr>
                <w:rFonts w:hint="eastAsia" w:cs="宋体"/>
                <w:b/>
                <w:bCs/>
              </w:rPr>
              <w:t>软件名称</w:t>
            </w:r>
          </w:p>
        </w:tc>
        <w:tc>
          <w:tcPr>
            <w:tcW w:w="2915" w:type="pct"/>
            <w:shd w:val="clear" w:color="auto" w:fill="auto"/>
            <w:vAlign w:val="center"/>
          </w:tcPr>
          <w:p w14:paraId="733931F9">
            <w:pPr>
              <w:ind w:firstLine="0" w:firstLineChars="0"/>
              <w:jc w:val="center"/>
              <w:rPr>
                <w:rFonts w:cs="宋体"/>
                <w:b/>
                <w:bCs/>
              </w:rPr>
            </w:pPr>
            <w:r>
              <w:rPr>
                <w:rFonts w:hint="eastAsia" w:cs="宋体"/>
                <w:b/>
                <w:bCs/>
              </w:rPr>
              <w:t>功能说明</w:t>
            </w:r>
            <w:r>
              <w:rPr>
                <w:rFonts w:cs="宋体"/>
                <w:b/>
                <w:bCs/>
              </w:rPr>
              <w:t>/配置要求</w:t>
            </w:r>
          </w:p>
        </w:tc>
        <w:tc>
          <w:tcPr>
            <w:tcW w:w="422" w:type="pct"/>
            <w:shd w:val="clear" w:color="auto" w:fill="auto"/>
            <w:vAlign w:val="center"/>
          </w:tcPr>
          <w:p w14:paraId="2968DEFF">
            <w:pPr>
              <w:ind w:firstLine="0" w:firstLineChars="0"/>
              <w:jc w:val="center"/>
              <w:rPr>
                <w:rFonts w:cs="宋体"/>
                <w:b/>
                <w:bCs/>
              </w:rPr>
            </w:pPr>
            <w:r>
              <w:rPr>
                <w:rFonts w:hint="eastAsia" w:cs="宋体"/>
                <w:b/>
                <w:bCs/>
              </w:rPr>
              <w:t>数量</w:t>
            </w:r>
          </w:p>
        </w:tc>
        <w:tc>
          <w:tcPr>
            <w:tcW w:w="423" w:type="pct"/>
            <w:shd w:val="clear" w:color="auto" w:fill="auto"/>
            <w:vAlign w:val="center"/>
          </w:tcPr>
          <w:p w14:paraId="798F6CB2">
            <w:pPr>
              <w:ind w:firstLine="0" w:firstLineChars="0"/>
              <w:jc w:val="center"/>
              <w:rPr>
                <w:rFonts w:cs="宋体"/>
                <w:b/>
                <w:bCs/>
              </w:rPr>
            </w:pPr>
            <w:r>
              <w:rPr>
                <w:rFonts w:hint="eastAsia" w:cs="宋体"/>
                <w:b/>
                <w:bCs/>
              </w:rPr>
              <w:t>单位</w:t>
            </w:r>
          </w:p>
        </w:tc>
      </w:tr>
      <w:tr w14:paraId="4BBF2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 w:type="pct"/>
            <w:shd w:val="clear" w:color="auto" w:fill="auto"/>
            <w:vAlign w:val="center"/>
          </w:tcPr>
          <w:p w14:paraId="029F6A48">
            <w:pPr>
              <w:widowControl/>
              <w:spacing w:line="240" w:lineRule="auto"/>
              <w:ind w:firstLine="0" w:firstLineChars="0"/>
              <w:jc w:val="center"/>
              <w:rPr>
                <w:rFonts w:cs="宋体"/>
              </w:rPr>
            </w:pPr>
            <w:r>
              <w:rPr>
                <w:rFonts w:hint="eastAsia" w:ascii="Tahoma" w:hAnsi="Tahoma" w:cs="Tahoma"/>
                <w:color w:val="000000"/>
                <w:kern w:val="0"/>
                <w:sz w:val="22"/>
                <w:szCs w:val="22"/>
              </w:rPr>
              <w:t>1</w:t>
            </w:r>
          </w:p>
        </w:tc>
        <w:tc>
          <w:tcPr>
            <w:tcW w:w="811" w:type="pct"/>
            <w:shd w:val="clear" w:color="auto" w:fill="auto"/>
            <w:vAlign w:val="center"/>
          </w:tcPr>
          <w:p w14:paraId="45632C27">
            <w:pPr>
              <w:ind w:firstLine="0" w:firstLineChars="0"/>
              <w:jc w:val="center"/>
              <w:rPr>
                <w:rFonts w:cs="宋体"/>
              </w:rPr>
            </w:pPr>
            <w:r>
              <w:rPr>
                <w:rFonts w:hint="eastAsia" w:cs="宋体"/>
              </w:rPr>
              <w:t>算力</w:t>
            </w:r>
            <w:r>
              <w:rPr>
                <w:rFonts w:cs="宋体"/>
              </w:rPr>
              <w:t>平台</w:t>
            </w:r>
          </w:p>
        </w:tc>
        <w:tc>
          <w:tcPr>
            <w:tcW w:w="2915" w:type="pct"/>
            <w:shd w:val="clear" w:color="auto" w:fill="auto"/>
            <w:vAlign w:val="center"/>
          </w:tcPr>
          <w:p w14:paraId="6322BE55">
            <w:pPr>
              <w:ind w:firstLine="0" w:firstLineChars="0"/>
              <w:jc w:val="center"/>
              <w:rPr>
                <w:rFonts w:cs="宋体"/>
              </w:rPr>
            </w:pPr>
            <w:r>
              <w:rPr>
                <w:rFonts w:hint="eastAsia" w:cs="宋体"/>
              </w:rPr>
              <w:t>采购一套能提供统一纳管院内算力服务器、模型，并统计分析使用情况的工具软件。</w:t>
            </w:r>
          </w:p>
        </w:tc>
        <w:tc>
          <w:tcPr>
            <w:tcW w:w="422" w:type="pct"/>
            <w:shd w:val="clear" w:color="auto" w:fill="auto"/>
            <w:vAlign w:val="center"/>
          </w:tcPr>
          <w:p w14:paraId="0CF99621">
            <w:pPr>
              <w:ind w:firstLine="0" w:firstLineChars="0"/>
              <w:jc w:val="center"/>
              <w:rPr>
                <w:rFonts w:cs="宋体"/>
              </w:rPr>
            </w:pPr>
            <w:r>
              <w:rPr>
                <w:rFonts w:cs="宋体"/>
              </w:rPr>
              <w:t>1</w:t>
            </w:r>
          </w:p>
        </w:tc>
        <w:tc>
          <w:tcPr>
            <w:tcW w:w="423" w:type="pct"/>
            <w:shd w:val="clear" w:color="auto" w:fill="auto"/>
            <w:vAlign w:val="center"/>
          </w:tcPr>
          <w:p w14:paraId="50104F7A">
            <w:pPr>
              <w:ind w:firstLine="0" w:firstLineChars="0"/>
              <w:jc w:val="center"/>
              <w:rPr>
                <w:rFonts w:cs="宋体"/>
              </w:rPr>
            </w:pPr>
            <w:r>
              <w:rPr>
                <w:rFonts w:cs="宋体"/>
              </w:rPr>
              <w:t>套</w:t>
            </w:r>
          </w:p>
        </w:tc>
      </w:tr>
    </w:tbl>
    <w:p w14:paraId="5405349A">
      <w:pPr>
        <w:ind w:firstLine="0" w:firstLineChars="0"/>
      </w:pPr>
    </w:p>
    <w:p w14:paraId="00045E95">
      <w:r>
        <w:rPr>
          <w:rFonts w:hint="eastAsia"/>
        </w:rPr>
        <w:t>技术参数：</w:t>
      </w:r>
    </w:p>
    <w:p w14:paraId="7F5EDD98">
      <w:pPr>
        <w:pStyle w:val="5"/>
        <w:numPr>
          <w:ilvl w:val="0"/>
          <w:numId w:val="2"/>
        </w:numPr>
        <w:spacing w:before="33"/>
        <w:ind w:firstLine="0" w:firstLineChars="0"/>
      </w:pPr>
      <w:r>
        <w:rPr>
          <w:rFonts w:hint="eastAsia"/>
        </w:rPr>
        <w:t>硬件部分：</w:t>
      </w:r>
    </w:p>
    <w:tbl>
      <w:tblPr>
        <w:tblStyle w:val="9"/>
        <w:tblW w:w="7880" w:type="dxa"/>
        <w:tblInd w:w="88" w:type="dxa"/>
        <w:tblLayout w:type="autofit"/>
        <w:tblCellMar>
          <w:top w:w="0" w:type="dxa"/>
          <w:left w:w="108" w:type="dxa"/>
          <w:bottom w:w="0" w:type="dxa"/>
          <w:right w:w="108" w:type="dxa"/>
        </w:tblCellMar>
      </w:tblPr>
      <w:tblGrid>
        <w:gridCol w:w="1837"/>
        <w:gridCol w:w="1112"/>
        <w:gridCol w:w="4232"/>
        <w:gridCol w:w="699"/>
      </w:tblGrid>
      <w:tr w14:paraId="7F584090">
        <w:tblPrEx>
          <w:tblCellMar>
            <w:top w:w="0" w:type="dxa"/>
            <w:left w:w="108" w:type="dxa"/>
            <w:bottom w:w="0" w:type="dxa"/>
            <w:right w:w="108" w:type="dxa"/>
          </w:tblCellMar>
        </w:tblPrEx>
        <w:trPr>
          <w:trHeight w:val="340" w:hRule="atLeast"/>
        </w:trPr>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3582F">
            <w:pPr>
              <w:widowControl/>
              <w:ind w:firstLine="0" w:firstLineChars="0"/>
              <w:jc w:val="center"/>
              <w:textAlignment w:val="center"/>
              <w:rPr>
                <w:rFonts w:ascii="微软雅黑" w:hAnsi="微软雅黑" w:eastAsia="微软雅黑" w:cs="微软雅黑"/>
                <w:b/>
                <w:bCs/>
                <w:color w:val="0F1115"/>
                <w:sz w:val="22"/>
                <w:szCs w:val="22"/>
              </w:rPr>
            </w:pPr>
            <w:r>
              <w:rPr>
                <w:rFonts w:ascii="微软雅黑" w:hAnsi="微软雅黑" w:eastAsia="微软雅黑" w:cs="微软雅黑"/>
                <w:b/>
                <w:bCs/>
                <w:color w:val="0F1115"/>
                <w:kern w:val="0"/>
                <w:sz w:val="22"/>
                <w:szCs w:val="22"/>
                <w:lang w:bidi="ar"/>
              </w:rPr>
              <w:t>模块</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0AD11">
            <w:pPr>
              <w:widowControl/>
              <w:ind w:firstLine="0" w:firstLineChars="0"/>
              <w:jc w:val="center"/>
              <w:textAlignment w:val="center"/>
              <w:rPr>
                <w:rFonts w:ascii="微软雅黑" w:hAnsi="微软雅黑" w:eastAsia="微软雅黑" w:cs="微软雅黑"/>
                <w:b/>
                <w:bCs/>
                <w:color w:val="0F1115"/>
                <w:sz w:val="22"/>
                <w:szCs w:val="22"/>
              </w:rPr>
            </w:pPr>
            <w:r>
              <w:rPr>
                <w:rFonts w:ascii="微软雅黑" w:hAnsi="微软雅黑" w:eastAsia="微软雅黑" w:cs="微软雅黑"/>
                <w:b/>
                <w:bCs/>
                <w:color w:val="0F1115"/>
                <w:kern w:val="0"/>
                <w:sz w:val="22"/>
                <w:szCs w:val="22"/>
                <w:lang w:bidi="ar"/>
              </w:rPr>
              <w:t>分项名称</w:t>
            </w:r>
          </w:p>
        </w:tc>
        <w:tc>
          <w:tcPr>
            <w:tcW w:w="4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AA93">
            <w:pPr>
              <w:widowControl/>
              <w:ind w:firstLine="0" w:firstLineChars="0"/>
              <w:jc w:val="center"/>
              <w:textAlignment w:val="center"/>
              <w:rPr>
                <w:rFonts w:ascii="微软雅黑" w:hAnsi="微软雅黑" w:eastAsia="微软雅黑" w:cs="微软雅黑"/>
                <w:b/>
                <w:bCs/>
                <w:color w:val="0F1115"/>
                <w:sz w:val="22"/>
                <w:szCs w:val="22"/>
              </w:rPr>
            </w:pPr>
            <w:r>
              <w:rPr>
                <w:rFonts w:ascii="微软雅黑" w:hAnsi="微软雅黑" w:eastAsia="微软雅黑" w:cs="微软雅黑"/>
                <w:b/>
                <w:bCs/>
                <w:color w:val="0F1115"/>
                <w:kern w:val="0"/>
                <w:sz w:val="22"/>
                <w:szCs w:val="22"/>
                <w:lang w:bidi="ar"/>
              </w:rPr>
              <w:t>具体参数要求</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C7472">
            <w:pPr>
              <w:widowControl/>
              <w:ind w:firstLine="0" w:firstLineChars="0"/>
              <w:jc w:val="center"/>
              <w:textAlignment w:val="center"/>
              <w:rPr>
                <w:rFonts w:ascii="微软雅黑" w:hAnsi="微软雅黑" w:eastAsia="微软雅黑" w:cs="微软雅黑"/>
                <w:b/>
                <w:bCs/>
                <w:color w:val="0F1115"/>
                <w:sz w:val="22"/>
                <w:szCs w:val="22"/>
              </w:rPr>
            </w:pPr>
            <w:r>
              <w:rPr>
                <w:rFonts w:ascii="微软雅黑" w:hAnsi="微软雅黑" w:eastAsia="微软雅黑" w:cs="微软雅黑"/>
                <w:b/>
                <w:bCs/>
                <w:color w:val="0F1115"/>
                <w:kern w:val="0"/>
                <w:sz w:val="22"/>
                <w:szCs w:val="22"/>
                <w:lang w:bidi="ar"/>
              </w:rPr>
              <w:t>级别</w:t>
            </w:r>
          </w:p>
        </w:tc>
      </w:tr>
      <w:tr w14:paraId="58F19B60">
        <w:tblPrEx>
          <w:tblCellMar>
            <w:top w:w="0" w:type="dxa"/>
            <w:left w:w="108" w:type="dxa"/>
            <w:bottom w:w="0" w:type="dxa"/>
            <w:right w:w="108" w:type="dxa"/>
          </w:tblCellMar>
        </w:tblPrEx>
        <w:trPr>
          <w:trHeight w:val="90" w:hRule="atLeast"/>
        </w:trPr>
        <w:tc>
          <w:tcPr>
            <w:tcW w:w="18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258F4">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管理节点服务器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83D45">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CPU</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D82CC">
            <w:pPr>
              <w:widowControl/>
              <w:ind w:firstLine="0" w:firstLineChars="0"/>
              <w:jc w:val="left"/>
              <w:textAlignment w:val="center"/>
              <w:rPr>
                <w:rFonts w:ascii="微软雅黑" w:hAnsi="微软雅黑" w:eastAsia="微软雅黑" w:cs="微软雅黑"/>
                <w:color w:val="000000"/>
                <w:sz w:val="22"/>
                <w:szCs w:val="22"/>
              </w:rPr>
            </w:pPr>
            <w:r>
              <w:rPr>
                <w:rFonts w:hint="eastAsia" w:ascii="微软雅黑" w:hAnsi="微软雅黑" w:eastAsia="微软雅黑" w:cs="微软雅黑"/>
                <w:color w:val="000000"/>
                <w:kern w:val="0"/>
                <w:sz w:val="22"/>
                <w:szCs w:val="22"/>
                <w:lang w:bidi="ar"/>
              </w:rPr>
              <w:t>主频</w:t>
            </w:r>
            <w:r>
              <w:rPr>
                <w:rFonts w:ascii="微软雅黑" w:hAnsi="微软雅黑" w:eastAsia="微软雅黑" w:cs="微软雅黑"/>
                <w:color w:val="000000"/>
                <w:kern w:val="0"/>
                <w:sz w:val="22"/>
                <w:szCs w:val="22"/>
                <w:lang w:bidi="ar"/>
              </w:rPr>
              <w:t>≥2.1GHz；核心数量≥32核</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2AE59">
            <w:pPr>
              <w:widowControl/>
              <w:ind w:firstLine="0" w:firstLineChars="0"/>
              <w:jc w:val="center"/>
              <w:textAlignment w:val="center"/>
              <w:rPr>
                <w:rFonts w:ascii="微软雅黑" w:hAnsi="微软雅黑" w:eastAsia="微软雅黑" w:cs="微软雅黑"/>
                <w:color w:val="000000"/>
                <w:sz w:val="22"/>
                <w:szCs w:val="22"/>
              </w:rPr>
            </w:pPr>
            <w:r>
              <w:rPr>
                <w:rFonts w:hint="eastAsia" w:ascii="东文宋体" w:hAnsi="东文宋体" w:eastAsia="东文宋体" w:cs="东文宋体"/>
                <w:color w:val="000000"/>
                <w:kern w:val="0"/>
                <w:sz w:val="22"/>
                <w:szCs w:val="22"/>
                <w:lang w:bidi="ar"/>
              </w:rPr>
              <w:t>▲</w:t>
            </w:r>
          </w:p>
        </w:tc>
      </w:tr>
      <w:tr w14:paraId="4CDAA36A">
        <w:tblPrEx>
          <w:tblCellMar>
            <w:top w:w="0" w:type="dxa"/>
            <w:left w:w="108" w:type="dxa"/>
            <w:bottom w:w="0" w:type="dxa"/>
            <w:right w:w="108" w:type="dxa"/>
          </w:tblCellMar>
        </w:tblPrEx>
        <w:trPr>
          <w:trHeight w:val="336" w:hRule="atLeast"/>
        </w:trPr>
        <w:tc>
          <w:tcPr>
            <w:tcW w:w="1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AC77A">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8D082">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内存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27F3E">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≥64G</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DBC8">
            <w:pPr>
              <w:ind w:firstLine="440"/>
              <w:jc w:val="center"/>
              <w:rPr>
                <w:rFonts w:ascii="微软雅黑" w:hAnsi="微软雅黑" w:eastAsia="微软雅黑" w:cs="微软雅黑"/>
                <w:color w:val="000000"/>
                <w:sz w:val="22"/>
                <w:szCs w:val="22"/>
              </w:rPr>
            </w:pPr>
          </w:p>
        </w:tc>
      </w:tr>
      <w:tr w14:paraId="4CC417B8">
        <w:tblPrEx>
          <w:tblCellMar>
            <w:top w:w="0" w:type="dxa"/>
            <w:left w:w="108" w:type="dxa"/>
            <w:bottom w:w="0" w:type="dxa"/>
            <w:right w:w="108" w:type="dxa"/>
          </w:tblCellMar>
        </w:tblPrEx>
        <w:trPr>
          <w:trHeight w:val="336" w:hRule="atLeast"/>
        </w:trPr>
        <w:tc>
          <w:tcPr>
            <w:tcW w:w="1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1555F">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E0111">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硬盘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646C">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≥1T SSD</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D8286">
            <w:pPr>
              <w:ind w:firstLine="440"/>
              <w:jc w:val="center"/>
              <w:rPr>
                <w:rFonts w:ascii="微软雅黑" w:hAnsi="微软雅黑" w:eastAsia="微软雅黑" w:cs="微软雅黑"/>
                <w:color w:val="000000"/>
                <w:sz w:val="22"/>
                <w:szCs w:val="22"/>
              </w:rPr>
            </w:pPr>
          </w:p>
        </w:tc>
      </w:tr>
      <w:tr w14:paraId="511E70C9">
        <w:tblPrEx>
          <w:tblCellMar>
            <w:top w:w="0" w:type="dxa"/>
            <w:left w:w="108" w:type="dxa"/>
            <w:bottom w:w="0" w:type="dxa"/>
            <w:right w:w="108" w:type="dxa"/>
          </w:tblCellMar>
        </w:tblPrEx>
        <w:trPr>
          <w:trHeight w:val="336" w:hRule="atLeast"/>
        </w:trPr>
        <w:tc>
          <w:tcPr>
            <w:tcW w:w="18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8C334">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D3055">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网口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DDF0B">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≥2个千兆网口</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FC3AB">
            <w:pPr>
              <w:ind w:firstLine="440"/>
              <w:jc w:val="center"/>
              <w:rPr>
                <w:rFonts w:ascii="微软雅黑" w:hAnsi="微软雅黑" w:eastAsia="微软雅黑" w:cs="微软雅黑"/>
                <w:color w:val="000000"/>
                <w:sz w:val="22"/>
                <w:szCs w:val="22"/>
              </w:rPr>
            </w:pPr>
          </w:p>
        </w:tc>
      </w:tr>
      <w:tr w14:paraId="690A9D04">
        <w:tblPrEx>
          <w:tblCellMar>
            <w:top w:w="0" w:type="dxa"/>
            <w:left w:w="108" w:type="dxa"/>
            <w:bottom w:w="0" w:type="dxa"/>
            <w:right w:w="108" w:type="dxa"/>
          </w:tblCellMar>
        </w:tblPrEx>
        <w:trPr>
          <w:trHeight w:val="1020" w:hRule="atLeast"/>
        </w:trPr>
        <w:tc>
          <w:tcPr>
            <w:tcW w:w="1837" w:type="dxa"/>
            <w:vMerge w:val="restart"/>
            <w:tcBorders>
              <w:top w:val="single" w:color="000000" w:sz="4" w:space="0"/>
              <w:left w:val="single" w:color="000000" w:sz="4" w:space="0"/>
              <w:right w:val="single" w:color="000000" w:sz="4" w:space="0"/>
            </w:tcBorders>
            <w:shd w:val="clear" w:color="auto" w:fill="auto"/>
            <w:vAlign w:val="center"/>
          </w:tcPr>
          <w:p w14:paraId="395322E9">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算力节点服务器</w:t>
            </w:r>
            <w:r>
              <w:rPr>
                <w:rFonts w:ascii="微软雅黑" w:hAnsi="微软雅黑" w:eastAsia="微软雅黑" w:cs="微软雅黑"/>
                <w:color w:val="000000"/>
                <w:kern w:val="0"/>
                <w:sz w:val="22"/>
                <w:szCs w:val="22"/>
                <w:lang w:bidi="ar"/>
              </w:rPr>
              <w:br w:type="textWrapping"/>
            </w:r>
            <w:r>
              <w:rPr>
                <w:rFonts w:ascii="微软雅黑" w:hAnsi="微软雅黑" w:eastAsia="微软雅黑" w:cs="微软雅黑"/>
                <w:color w:val="000000"/>
                <w:kern w:val="0"/>
                <w:sz w:val="22"/>
                <w:szCs w:val="22"/>
                <w:lang w:bidi="ar"/>
              </w:rPr>
              <w:t>（</w:t>
            </w:r>
            <w:r>
              <w:rPr>
                <w:rFonts w:hint="eastAsia" w:ascii="微软雅黑" w:hAnsi="微软雅黑" w:eastAsia="微软雅黑" w:cs="微软雅黑"/>
                <w:color w:val="000000"/>
                <w:kern w:val="0"/>
                <w:sz w:val="22"/>
                <w:szCs w:val="22"/>
                <w:lang w:bidi="ar"/>
              </w:rPr>
              <w:t>租赁</w:t>
            </w:r>
            <w:r>
              <w:rPr>
                <w:rFonts w:ascii="微软雅黑" w:hAnsi="微软雅黑" w:eastAsia="微软雅黑" w:cs="微软雅黑"/>
                <w:color w:val="000000"/>
                <w:kern w:val="0"/>
                <w:sz w:val="22"/>
                <w:szCs w:val="22"/>
                <w:lang w:bidi="ar"/>
              </w:rPr>
              <w:t>）</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E04924">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CPU</w:t>
            </w:r>
          </w:p>
        </w:tc>
        <w:tc>
          <w:tcPr>
            <w:tcW w:w="4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F11F">
            <w:pPr>
              <w:widowControl/>
              <w:ind w:firstLine="0" w:firstLineChars="0"/>
              <w:jc w:val="left"/>
              <w:textAlignment w:val="center"/>
              <w:rPr>
                <w:rFonts w:ascii="微软雅黑" w:hAnsi="微软雅黑" w:eastAsia="微软雅黑" w:cs="微软雅黑"/>
                <w:color w:val="000000"/>
                <w:kern w:val="0"/>
                <w:sz w:val="22"/>
                <w:szCs w:val="22"/>
                <w:lang w:bidi="ar"/>
              </w:rPr>
            </w:pPr>
            <w:r>
              <w:rPr>
                <w:rFonts w:ascii="微软雅黑" w:hAnsi="微软雅黑" w:eastAsia="微软雅黑" w:cs="微软雅黑"/>
                <w:color w:val="000000"/>
                <w:kern w:val="0"/>
                <w:sz w:val="22"/>
                <w:szCs w:val="22"/>
                <w:lang w:bidi="ar"/>
              </w:rPr>
              <w:t>CPU数量≥2颗；</w:t>
            </w:r>
          </w:p>
          <w:p w14:paraId="100F44B7">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CPU</w:t>
            </w:r>
            <w:r>
              <w:rPr>
                <w:rFonts w:hint="eastAsia" w:ascii="微软雅黑" w:hAnsi="微软雅黑" w:eastAsia="微软雅黑" w:cs="微软雅黑"/>
                <w:color w:val="000000"/>
                <w:kern w:val="0"/>
                <w:sz w:val="22"/>
                <w:szCs w:val="22"/>
                <w:lang w:bidi="ar"/>
              </w:rPr>
              <w:t>单颗</w:t>
            </w:r>
            <w:r>
              <w:rPr>
                <w:rFonts w:ascii="微软雅黑" w:hAnsi="微软雅黑" w:eastAsia="微软雅黑" w:cs="微软雅黑"/>
                <w:color w:val="000000"/>
                <w:kern w:val="0"/>
                <w:sz w:val="22"/>
                <w:szCs w:val="22"/>
                <w:lang w:bidi="ar"/>
              </w:rPr>
              <w:t>配置：主频≥2.1GHz；核心数量≥32核；</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4A446">
            <w:pPr>
              <w:widowControl/>
              <w:ind w:firstLine="0" w:firstLineChars="0"/>
              <w:jc w:val="center"/>
              <w:textAlignment w:val="center"/>
              <w:rPr>
                <w:rFonts w:ascii="微软雅黑" w:hAnsi="微软雅黑" w:eastAsia="微软雅黑" w:cs="微软雅黑"/>
                <w:color w:val="000000"/>
                <w:sz w:val="22"/>
                <w:szCs w:val="22"/>
              </w:rPr>
            </w:pPr>
            <w:r>
              <w:rPr>
                <w:rFonts w:hint="eastAsia" w:ascii="东文宋体" w:hAnsi="东文宋体" w:eastAsia="东文宋体" w:cs="东文宋体"/>
                <w:color w:val="000000"/>
                <w:kern w:val="0"/>
                <w:sz w:val="22"/>
                <w:szCs w:val="22"/>
                <w:lang w:bidi="ar"/>
              </w:rPr>
              <w:t>▲</w:t>
            </w:r>
          </w:p>
        </w:tc>
      </w:tr>
      <w:tr w14:paraId="49635A0B">
        <w:tblPrEx>
          <w:tblCellMar>
            <w:top w:w="0" w:type="dxa"/>
            <w:left w:w="108" w:type="dxa"/>
            <w:bottom w:w="0" w:type="dxa"/>
            <w:right w:w="108" w:type="dxa"/>
          </w:tblCellMar>
        </w:tblPrEx>
        <w:trPr>
          <w:trHeight w:val="1020" w:hRule="atLeast"/>
        </w:trPr>
        <w:tc>
          <w:tcPr>
            <w:tcW w:w="1837" w:type="dxa"/>
            <w:vMerge w:val="continue"/>
            <w:tcBorders>
              <w:left w:val="single" w:color="000000" w:sz="4" w:space="0"/>
              <w:right w:val="single" w:color="000000" w:sz="4" w:space="0"/>
            </w:tcBorders>
            <w:shd w:val="clear" w:color="auto" w:fill="auto"/>
            <w:vAlign w:val="center"/>
          </w:tcPr>
          <w:p w14:paraId="3A7706F2">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BB1BB54">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GPU</w:t>
            </w:r>
          </w:p>
        </w:tc>
        <w:tc>
          <w:tcPr>
            <w:tcW w:w="4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D1D6">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GPU数量≥8颗；</w:t>
            </w:r>
            <w:r>
              <w:rPr>
                <w:rFonts w:ascii="微软雅黑" w:hAnsi="微软雅黑" w:eastAsia="微软雅黑" w:cs="微软雅黑"/>
                <w:color w:val="000000"/>
                <w:kern w:val="0"/>
                <w:sz w:val="22"/>
                <w:szCs w:val="22"/>
                <w:lang w:bidi="ar"/>
              </w:rPr>
              <w:br w:type="textWrapping"/>
            </w:r>
            <w:r>
              <w:rPr>
                <w:rFonts w:ascii="微软雅黑" w:hAnsi="微软雅黑" w:eastAsia="微软雅黑" w:cs="微软雅黑"/>
                <w:color w:val="000000"/>
                <w:kern w:val="0"/>
                <w:sz w:val="22"/>
                <w:szCs w:val="22"/>
                <w:lang w:bidi="ar"/>
              </w:rPr>
              <w:t>GP</w:t>
            </w:r>
            <w:r>
              <w:rPr>
                <w:rFonts w:hint="eastAsia" w:ascii="微软雅黑" w:hAnsi="微软雅黑" w:eastAsia="微软雅黑" w:cs="微软雅黑"/>
                <w:color w:val="000000"/>
                <w:kern w:val="0"/>
                <w:sz w:val="22"/>
                <w:szCs w:val="22"/>
                <w:lang w:bidi="ar"/>
              </w:rPr>
              <w:t>U</w:t>
            </w:r>
            <w:r>
              <w:rPr>
                <w:rFonts w:ascii="微软雅黑" w:hAnsi="微软雅黑" w:eastAsia="微软雅黑" w:cs="微软雅黑"/>
                <w:color w:val="000000"/>
                <w:kern w:val="0"/>
                <w:sz w:val="22"/>
                <w:szCs w:val="22"/>
                <w:lang w:bidi="ar"/>
              </w:rPr>
              <w:t>单张配置：显存≥</w:t>
            </w:r>
            <w:r>
              <w:rPr>
                <w:rFonts w:hint="eastAsia" w:ascii="微软雅黑" w:hAnsi="微软雅黑" w:eastAsia="微软雅黑" w:cs="微软雅黑"/>
                <w:color w:val="000000"/>
                <w:kern w:val="0"/>
                <w:sz w:val="22"/>
                <w:szCs w:val="22"/>
                <w:lang w:bidi="ar"/>
              </w:rPr>
              <w:t xml:space="preserve">48 </w:t>
            </w:r>
            <w:r>
              <w:rPr>
                <w:rFonts w:ascii="微软雅黑" w:hAnsi="微软雅黑" w:eastAsia="微软雅黑" w:cs="微软雅黑"/>
                <w:color w:val="000000"/>
                <w:kern w:val="0"/>
                <w:sz w:val="22"/>
                <w:szCs w:val="22"/>
                <w:lang w:bidi="ar"/>
              </w:rPr>
              <w:t>GB；显存带宽≥</w:t>
            </w:r>
            <w:r>
              <w:rPr>
                <w:rFonts w:hint="eastAsia" w:ascii="微软雅黑" w:hAnsi="微软雅黑" w:eastAsia="微软雅黑" w:cs="微软雅黑"/>
                <w:color w:val="000000"/>
                <w:kern w:val="0"/>
                <w:sz w:val="22"/>
                <w:szCs w:val="22"/>
                <w:lang w:bidi="ar"/>
              </w:rPr>
              <w:t>850 G</w:t>
            </w:r>
            <w:r>
              <w:rPr>
                <w:rFonts w:ascii="微软雅黑" w:hAnsi="微软雅黑" w:eastAsia="微软雅黑" w:cs="微软雅黑"/>
                <w:color w:val="000000"/>
                <w:kern w:val="0"/>
                <w:sz w:val="22"/>
                <w:szCs w:val="22"/>
                <w:lang w:bidi="ar"/>
              </w:rPr>
              <w:t>B/s；FP</w:t>
            </w:r>
            <w:r>
              <w:rPr>
                <w:rFonts w:hint="eastAsia" w:ascii="微软雅黑" w:hAnsi="微软雅黑" w:eastAsia="微软雅黑" w:cs="微软雅黑"/>
                <w:color w:val="000000"/>
                <w:kern w:val="0"/>
                <w:sz w:val="22"/>
                <w:szCs w:val="22"/>
                <w:lang w:bidi="ar"/>
              </w:rPr>
              <w:t>8</w:t>
            </w:r>
            <w:r>
              <w:rPr>
                <w:rFonts w:ascii="微软雅黑" w:hAnsi="微软雅黑" w:eastAsia="微软雅黑" w:cs="微软雅黑"/>
                <w:color w:val="000000"/>
                <w:kern w:val="0"/>
                <w:sz w:val="22"/>
                <w:szCs w:val="22"/>
                <w:lang w:bidi="ar"/>
              </w:rPr>
              <w:t>≥</w:t>
            </w:r>
            <w:r>
              <w:rPr>
                <w:rFonts w:hint="eastAsia" w:ascii="微软雅黑" w:hAnsi="微软雅黑" w:eastAsia="微软雅黑" w:cs="微软雅黑"/>
                <w:color w:val="000000"/>
                <w:kern w:val="0"/>
                <w:sz w:val="22"/>
                <w:szCs w:val="22"/>
                <w:lang w:bidi="ar"/>
              </w:rPr>
              <w:t>220 TFLOPS；</w:t>
            </w:r>
            <w:r>
              <w:rPr>
                <w:rFonts w:ascii="微软雅黑" w:hAnsi="微软雅黑" w:eastAsia="微软雅黑" w:cs="微软雅黑"/>
                <w:color w:val="000000"/>
                <w:kern w:val="0"/>
                <w:sz w:val="22"/>
                <w:szCs w:val="22"/>
                <w:lang w:bidi="ar"/>
              </w:rPr>
              <w:t>FP16≥</w:t>
            </w:r>
            <w:r>
              <w:rPr>
                <w:rFonts w:hint="eastAsia" w:ascii="微软雅黑" w:hAnsi="微软雅黑" w:eastAsia="微软雅黑" w:cs="微软雅黑"/>
                <w:color w:val="000000"/>
                <w:kern w:val="0"/>
                <w:sz w:val="22"/>
                <w:szCs w:val="22"/>
                <w:lang w:bidi="ar"/>
              </w:rPr>
              <w:t>11</w:t>
            </w:r>
            <w:r>
              <w:rPr>
                <w:rFonts w:ascii="微软雅黑" w:hAnsi="微软雅黑" w:eastAsia="微软雅黑" w:cs="微软雅黑"/>
                <w:color w:val="000000"/>
                <w:kern w:val="0"/>
                <w:sz w:val="22"/>
                <w:szCs w:val="22"/>
                <w:lang w:bidi="ar"/>
              </w:rPr>
              <w:t>0</w:t>
            </w:r>
            <w:r>
              <w:rPr>
                <w:rFonts w:hint="eastAsia" w:ascii="微软雅黑" w:hAnsi="微软雅黑" w:eastAsia="微软雅黑" w:cs="微软雅黑"/>
                <w:color w:val="000000"/>
                <w:kern w:val="0"/>
                <w:sz w:val="22"/>
                <w:szCs w:val="22"/>
                <w:lang w:bidi="ar"/>
              </w:rPr>
              <w:t xml:space="preserve"> </w:t>
            </w:r>
            <w:r>
              <w:rPr>
                <w:rFonts w:ascii="微软雅黑" w:hAnsi="微软雅黑" w:eastAsia="微软雅黑" w:cs="微软雅黑"/>
                <w:color w:val="000000"/>
                <w:kern w:val="0"/>
                <w:sz w:val="22"/>
                <w:szCs w:val="22"/>
                <w:lang w:bidi="ar"/>
              </w:rPr>
              <w:t>TFLOPS；</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DCC5D">
            <w:pPr>
              <w:widowControl/>
              <w:ind w:firstLine="0" w:firstLineChars="0"/>
              <w:jc w:val="center"/>
              <w:textAlignment w:val="center"/>
              <w:rPr>
                <w:rFonts w:ascii="微软雅黑" w:hAnsi="微软雅黑" w:eastAsia="微软雅黑" w:cs="微软雅黑"/>
                <w:color w:val="000000"/>
                <w:sz w:val="22"/>
                <w:szCs w:val="22"/>
              </w:rPr>
            </w:pPr>
            <w:r>
              <w:rPr>
                <w:rFonts w:hint="eastAsia" w:ascii="东文宋体" w:hAnsi="东文宋体" w:eastAsia="东文宋体" w:cs="东文宋体"/>
                <w:color w:val="000000"/>
                <w:kern w:val="0"/>
                <w:sz w:val="22"/>
                <w:szCs w:val="22"/>
                <w:lang w:bidi="ar"/>
              </w:rPr>
              <w:t>▲</w:t>
            </w:r>
          </w:p>
        </w:tc>
      </w:tr>
      <w:tr w14:paraId="42F013D3">
        <w:tblPrEx>
          <w:tblCellMar>
            <w:top w:w="0" w:type="dxa"/>
            <w:left w:w="108" w:type="dxa"/>
            <w:bottom w:w="0" w:type="dxa"/>
            <w:right w:w="108" w:type="dxa"/>
          </w:tblCellMar>
        </w:tblPrEx>
        <w:trPr>
          <w:trHeight w:val="336" w:hRule="atLeast"/>
        </w:trPr>
        <w:tc>
          <w:tcPr>
            <w:tcW w:w="1837" w:type="dxa"/>
            <w:vMerge w:val="continue"/>
            <w:tcBorders>
              <w:left w:val="single" w:color="000000" w:sz="4" w:space="0"/>
              <w:right w:val="single" w:color="000000" w:sz="4" w:space="0"/>
            </w:tcBorders>
            <w:shd w:val="clear" w:color="auto" w:fill="auto"/>
            <w:vAlign w:val="center"/>
          </w:tcPr>
          <w:p w14:paraId="2F8523DC">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23ED8B66">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内存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0F937">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≥512G/DDR</w:t>
            </w:r>
            <w:r>
              <w:rPr>
                <w:rFonts w:hint="eastAsia" w:ascii="微软雅黑" w:hAnsi="微软雅黑" w:eastAsia="微软雅黑" w:cs="微软雅黑"/>
                <w:color w:val="000000"/>
                <w:kern w:val="0"/>
                <w:sz w:val="22"/>
                <w:szCs w:val="22"/>
                <w:lang w:bidi="ar"/>
              </w:rPr>
              <w:t>5或</w:t>
            </w:r>
            <w:r>
              <w:rPr>
                <w:rFonts w:ascii="微软雅黑" w:hAnsi="微软雅黑" w:eastAsia="微软雅黑" w:cs="微软雅黑"/>
                <w:color w:val="000000"/>
                <w:kern w:val="0"/>
                <w:sz w:val="22"/>
                <w:szCs w:val="22"/>
                <w:lang w:bidi="ar"/>
              </w:rPr>
              <w:t>≥</w:t>
            </w:r>
            <w:r>
              <w:rPr>
                <w:rFonts w:hint="eastAsia" w:ascii="微软雅黑" w:hAnsi="微软雅黑" w:eastAsia="微软雅黑" w:cs="微软雅黑"/>
                <w:color w:val="000000"/>
                <w:kern w:val="0"/>
                <w:sz w:val="22"/>
                <w:szCs w:val="22"/>
                <w:lang w:bidi="ar"/>
              </w:rPr>
              <w:t>1024</w:t>
            </w:r>
            <w:r>
              <w:rPr>
                <w:rFonts w:ascii="微软雅黑" w:hAnsi="微软雅黑" w:eastAsia="微软雅黑" w:cs="微软雅黑"/>
                <w:color w:val="000000"/>
                <w:kern w:val="0"/>
                <w:sz w:val="22"/>
                <w:szCs w:val="22"/>
                <w:lang w:bidi="ar"/>
              </w:rPr>
              <w:t>G/DDR</w:t>
            </w:r>
            <w:r>
              <w:rPr>
                <w:rFonts w:hint="eastAsia" w:ascii="微软雅黑" w:hAnsi="微软雅黑" w:eastAsia="微软雅黑" w:cs="微软雅黑"/>
                <w:color w:val="000000"/>
                <w:kern w:val="0"/>
                <w:sz w:val="22"/>
                <w:szCs w:val="22"/>
                <w:lang w:bidi="ar"/>
              </w:rPr>
              <w:t>4</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E952">
            <w:pPr>
              <w:ind w:firstLine="440"/>
              <w:jc w:val="center"/>
              <w:rPr>
                <w:rFonts w:ascii="微软雅黑" w:hAnsi="微软雅黑" w:eastAsia="微软雅黑" w:cs="微软雅黑"/>
                <w:color w:val="000000"/>
                <w:sz w:val="22"/>
                <w:szCs w:val="22"/>
              </w:rPr>
            </w:pPr>
          </w:p>
        </w:tc>
      </w:tr>
      <w:tr w14:paraId="3B6B6B6C">
        <w:tblPrEx>
          <w:tblCellMar>
            <w:top w:w="0" w:type="dxa"/>
            <w:left w:w="108" w:type="dxa"/>
            <w:bottom w:w="0" w:type="dxa"/>
            <w:right w:w="108" w:type="dxa"/>
          </w:tblCellMar>
        </w:tblPrEx>
        <w:trPr>
          <w:trHeight w:val="336" w:hRule="atLeast"/>
        </w:trPr>
        <w:tc>
          <w:tcPr>
            <w:tcW w:w="1837" w:type="dxa"/>
            <w:vMerge w:val="continue"/>
            <w:tcBorders>
              <w:left w:val="single" w:color="000000" w:sz="4" w:space="0"/>
              <w:right w:val="single" w:color="000000" w:sz="4" w:space="0"/>
            </w:tcBorders>
            <w:shd w:val="clear" w:color="auto" w:fill="auto"/>
            <w:vAlign w:val="center"/>
          </w:tcPr>
          <w:p w14:paraId="708516BB">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5B05351F">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系统盘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15DB2">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≥2*960G/SATA/SSD</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5ED49">
            <w:pPr>
              <w:ind w:firstLine="440"/>
              <w:jc w:val="center"/>
              <w:rPr>
                <w:rFonts w:ascii="微软雅黑" w:hAnsi="微软雅黑" w:eastAsia="微软雅黑" w:cs="微软雅黑"/>
                <w:color w:val="000000"/>
                <w:sz w:val="22"/>
                <w:szCs w:val="22"/>
              </w:rPr>
            </w:pPr>
          </w:p>
        </w:tc>
      </w:tr>
      <w:tr w14:paraId="5508D2AD">
        <w:tblPrEx>
          <w:tblCellMar>
            <w:top w:w="0" w:type="dxa"/>
            <w:left w:w="108" w:type="dxa"/>
            <w:bottom w:w="0" w:type="dxa"/>
            <w:right w:w="108" w:type="dxa"/>
          </w:tblCellMar>
        </w:tblPrEx>
        <w:trPr>
          <w:trHeight w:val="680" w:hRule="atLeast"/>
        </w:trPr>
        <w:tc>
          <w:tcPr>
            <w:tcW w:w="1837" w:type="dxa"/>
            <w:vMerge w:val="continue"/>
            <w:tcBorders>
              <w:left w:val="single" w:color="000000" w:sz="4" w:space="0"/>
              <w:right w:val="single" w:color="000000" w:sz="4" w:space="0"/>
            </w:tcBorders>
            <w:shd w:val="clear" w:color="auto" w:fill="auto"/>
            <w:vAlign w:val="center"/>
          </w:tcPr>
          <w:p w14:paraId="11E58F26">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016E3D4">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数据盘</w:t>
            </w:r>
          </w:p>
        </w:tc>
        <w:tc>
          <w:tcPr>
            <w:tcW w:w="4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0923">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≥3*1.92T/SATA/SSD；</w:t>
            </w:r>
            <w:r>
              <w:rPr>
                <w:rFonts w:ascii="微软雅黑" w:hAnsi="微软雅黑" w:eastAsia="微软雅黑" w:cs="微软雅黑"/>
                <w:color w:val="000000"/>
                <w:kern w:val="0"/>
                <w:sz w:val="22"/>
                <w:szCs w:val="22"/>
                <w:lang w:bidi="ar"/>
              </w:rPr>
              <w:br w:type="textWrapping"/>
            </w:r>
            <w:r>
              <w:rPr>
                <w:rFonts w:ascii="微软雅黑" w:hAnsi="微软雅黑" w:eastAsia="微软雅黑" w:cs="微软雅黑"/>
                <w:color w:val="000000"/>
                <w:kern w:val="0"/>
                <w:sz w:val="22"/>
                <w:szCs w:val="22"/>
                <w:lang w:bidi="ar"/>
              </w:rPr>
              <w:t>≥3*24T机械；</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5D587">
            <w:pPr>
              <w:ind w:firstLine="440"/>
              <w:jc w:val="center"/>
              <w:rPr>
                <w:rFonts w:ascii="微软雅黑" w:hAnsi="微软雅黑" w:eastAsia="微软雅黑" w:cs="微软雅黑"/>
                <w:color w:val="000000"/>
                <w:sz w:val="22"/>
                <w:szCs w:val="22"/>
              </w:rPr>
            </w:pPr>
          </w:p>
        </w:tc>
      </w:tr>
      <w:tr w14:paraId="1BC331F0">
        <w:tblPrEx>
          <w:tblCellMar>
            <w:top w:w="0" w:type="dxa"/>
            <w:left w:w="108" w:type="dxa"/>
            <w:bottom w:w="0" w:type="dxa"/>
            <w:right w:w="108" w:type="dxa"/>
          </w:tblCellMar>
        </w:tblPrEx>
        <w:trPr>
          <w:trHeight w:val="336" w:hRule="atLeast"/>
        </w:trPr>
        <w:tc>
          <w:tcPr>
            <w:tcW w:w="1837" w:type="dxa"/>
            <w:vMerge w:val="continue"/>
            <w:tcBorders>
              <w:left w:val="single" w:color="000000" w:sz="4" w:space="0"/>
              <w:right w:val="single" w:color="000000" w:sz="4" w:space="0"/>
            </w:tcBorders>
            <w:shd w:val="clear" w:color="auto" w:fill="auto"/>
            <w:vAlign w:val="center"/>
          </w:tcPr>
          <w:p w14:paraId="2352B54C">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1DC4648F">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网口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5332">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≥6个25GB光口</w:t>
            </w:r>
            <w:r>
              <w:rPr>
                <w:rFonts w:hint="eastAsia" w:ascii="微软雅黑" w:hAnsi="微软雅黑" w:eastAsia="微软雅黑" w:cs="微软雅黑"/>
                <w:color w:val="000000"/>
                <w:kern w:val="0"/>
                <w:sz w:val="22"/>
                <w:szCs w:val="22"/>
                <w:lang w:bidi="ar"/>
              </w:rPr>
              <w:t>（含对应数量光模块）</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B950B">
            <w:pPr>
              <w:ind w:firstLine="440"/>
              <w:jc w:val="center"/>
              <w:rPr>
                <w:rFonts w:ascii="微软雅黑" w:hAnsi="微软雅黑" w:eastAsia="微软雅黑" w:cs="微软雅黑"/>
                <w:color w:val="000000"/>
                <w:sz w:val="22"/>
                <w:szCs w:val="22"/>
              </w:rPr>
            </w:pPr>
          </w:p>
        </w:tc>
      </w:tr>
      <w:tr w14:paraId="351C115A">
        <w:tblPrEx>
          <w:tblCellMar>
            <w:top w:w="0" w:type="dxa"/>
            <w:left w:w="108" w:type="dxa"/>
            <w:bottom w:w="0" w:type="dxa"/>
            <w:right w:w="108" w:type="dxa"/>
          </w:tblCellMar>
        </w:tblPrEx>
        <w:trPr>
          <w:trHeight w:val="336" w:hRule="atLeast"/>
        </w:trPr>
        <w:tc>
          <w:tcPr>
            <w:tcW w:w="1837" w:type="dxa"/>
            <w:vMerge w:val="continue"/>
            <w:tcBorders>
              <w:left w:val="single" w:color="000000" w:sz="4" w:space="0"/>
              <w:right w:val="single" w:color="000000" w:sz="4" w:space="0"/>
            </w:tcBorders>
            <w:shd w:val="clear" w:color="auto" w:fill="auto"/>
            <w:vAlign w:val="center"/>
          </w:tcPr>
          <w:p w14:paraId="13AA1597">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664D236E">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电源</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427A12E5">
            <w:pPr>
              <w:widowControl/>
              <w:ind w:firstLine="0" w:firstLineChars="0"/>
              <w:jc w:val="left"/>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≥2个服务器白金2000W</w:t>
            </w:r>
          </w:p>
        </w:tc>
        <w:tc>
          <w:tcPr>
            <w:tcW w:w="699" w:type="dxa"/>
            <w:tcBorders>
              <w:top w:val="single" w:color="000000" w:sz="4" w:space="0"/>
              <w:left w:val="nil"/>
              <w:bottom w:val="single" w:color="000000" w:sz="4" w:space="0"/>
              <w:right w:val="single" w:color="000000" w:sz="4" w:space="0"/>
            </w:tcBorders>
            <w:shd w:val="clear" w:color="auto" w:fill="auto"/>
            <w:noWrap/>
            <w:vAlign w:val="center"/>
          </w:tcPr>
          <w:p w14:paraId="5F4657F2">
            <w:pPr>
              <w:ind w:firstLine="440"/>
              <w:jc w:val="center"/>
              <w:rPr>
                <w:rFonts w:ascii="微软雅黑" w:hAnsi="微软雅黑" w:eastAsia="微软雅黑" w:cs="微软雅黑"/>
                <w:color w:val="000000"/>
                <w:sz w:val="22"/>
                <w:szCs w:val="22"/>
              </w:rPr>
            </w:pPr>
          </w:p>
        </w:tc>
      </w:tr>
      <w:tr w14:paraId="194393CF">
        <w:tblPrEx>
          <w:tblCellMar>
            <w:top w:w="0" w:type="dxa"/>
            <w:left w:w="108" w:type="dxa"/>
            <w:bottom w:w="0" w:type="dxa"/>
            <w:right w:w="108" w:type="dxa"/>
          </w:tblCellMar>
        </w:tblPrEx>
        <w:trPr>
          <w:trHeight w:val="336" w:hRule="atLeast"/>
        </w:trPr>
        <w:tc>
          <w:tcPr>
            <w:tcW w:w="1837" w:type="dxa"/>
            <w:vMerge w:val="continue"/>
            <w:tcBorders>
              <w:left w:val="single" w:color="000000" w:sz="4" w:space="0"/>
              <w:bottom w:val="single" w:color="000000" w:sz="4" w:space="0"/>
              <w:right w:val="single" w:color="000000" w:sz="4" w:space="0"/>
            </w:tcBorders>
            <w:shd w:val="clear" w:color="auto" w:fill="auto"/>
            <w:vAlign w:val="center"/>
          </w:tcPr>
          <w:p w14:paraId="35F44243">
            <w:pPr>
              <w:ind w:firstLine="440"/>
              <w:jc w:val="center"/>
              <w:rPr>
                <w:rFonts w:ascii="微软雅黑" w:hAnsi="微软雅黑" w:eastAsia="微软雅黑" w:cs="微软雅黑"/>
                <w:color w:val="0F1115"/>
                <w:sz w:val="22"/>
                <w:szCs w:val="22"/>
              </w:rPr>
            </w:pP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392A9D7B">
            <w:pPr>
              <w:widowControl/>
              <w:ind w:firstLine="0" w:firstLineChars="0"/>
              <w:jc w:val="center"/>
              <w:textAlignment w:val="center"/>
              <w:rPr>
                <w:rFonts w:ascii="微软雅黑" w:hAnsi="微软雅黑" w:eastAsia="微软雅黑" w:cs="微软雅黑"/>
                <w:color w:val="000000"/>
                <w:kern w:val="0"/>
                <w:sz w:val="22"/>
                <w:szCs w:val="22"/>
                <w:lang w:bidi="ar"/>
              </w:rPr>
            </w:pPr>
            <w:r>
              <w:rPr>
                <w:rFonts w:hint="eastAsia" w:ascii="微软雅黑" w:hAnsi="微软雅黑" w:eastAsia="微软雅黑" w:cs="微软雅黑"/>
                <w:color w:val="000000"/>
                <w:kern w:val="0"/>
                <w:sz w:val="22"/>
                <w:szCs w:val="22"/>
                <w:lang w:bidi="ar"/>
              </w:rPr>
              <w:t>部署</w:t>
            </w:r>
          </w:p>
        </w:tc>
        <w:tc>
          <w:tcPr>
            <w:tcW w:w="0" w:type="auto"/>
            <w:tcBorders>
              <w:top w:val="single" w:color="000000" w:sz="4" w:space="0"/>
              <w:left w:val="nil"/>
              <w:bottom w:val="single" w:color="000000" w:sz="4" w:space="0"/>
              <w:right w:val="single" w:color="000000" w:sz="4" w:space="0"/>
            </w:tcBorders>
            <w:shd w:val="clear" w:color="auto" w:fill="auto"/>
            <w:noWrap/>
            <w:vAlign w:val="center"/>
          </w:tcPr>
          <w:p w14:paraId="0DFB335D">
            <w:pPr>
              <w:widowControl/>
              <w:ind w:firstLine="0" w:firstLineChars="0"/>
              <w:jc w:val="left"/>
              <w:textAlignment w:val="center"/>
              <w:rPr>
                <w:rFonts w:ascii="微软雅黑" w:hAnsi="微软雅黑" w:eastAsia="微软雅黑" w:cs="微软雅黑"/>
                <w:color w:val="000000"/>
                <w:kern w:val="0"/>
                <w:sz w:val="22"/>
                <w:szCs w:val="22"/>
                <w:lang w:bidi="ar"/>
              </w:rPr>
            </w:pPr>
            <w:r>
              <w:rPr>
                <w:rFonts w:hint="eastAsia" w:ascii="微软雅黑" w:hAnsi="微软雅黑" w:eastAsia="微软雅黑" w:cs="微软雅黑"/>
                <w:color w:val="000000"/>
                <w:kern w:val="0"/>
                <w:sz w:val="22"/>
                <w:szCs w:val="22"/>
                <w:lang w:bidi="ar"/>
              </w:rPr>
              <w:t>本地部署，租赁期2年</w:t>
            </w:r>
          </w:p>
        </w:tc>
        <w:tc>
          <w:tcPr>
            <w:tcW w:w="699" w:type="dxa"/>
            <w:tcBorders>
              <w:top w:val="single" w:color="000000" w:sz="4" w:space="0"/>
              <w:left w:val="nil"/>
              <w:bottom w:val="single" w:color="000000" w:sz="4" w:space="0"/>
              <w:right w:val="single" w:color="000000" w:sz="4" w:space="0"/>
            </w:tcBorders>
            <w:shd w:val="clear" w:color="auto" w:fill="auto"/>
            <w:noWrap/>
            <w:vAlign w:val="center"/>
          </w:tcPr>
          <w:p w14:paraId="6699989C">
            <w:pPr>
              <w:ind w:firstLine="440"/>
              <w:jc w:val="center"/>
              <w:rPr>
                <w:rFonts w:ascii="微软雅黑" w:hAnsi="微软雅黑" w:eastAsia="微软雅黑" w:cs="微软雅黑"/>
                <w:color w:val="000000"/>
                <w:sz w:val="22"/>
                <w:szCs w:val="22"/>
              </w:rPr>
            </w:pPr>
          </w:p>
        </w:tc>
      </w:tr>
    </w:tbl>
    <w:p w14:paraId="51E0199E">
      <w:pPr>
        <w:ind w:firstLine="0" w:firstLineChars="0"/>
      </w:pPr>
    </w:p>
    <w:p w14:paraId="153239CD">
      <w:pPr>
        <w:pStyle w:val="5"/>
        <w:numPr>
          <w:ilvl w:val="0"/>
          <w:numId w:val="2"/>
        </w:numPr>
        <w:spacing w:before="33"/>
        <w:ind w:firstLine="0" w:firstLineChars="0"/>
      </w:pPr>
      <w:r>
        <w:rPr>
          <w:rFonts w:hint="eastAsia"/>
        </w:rPr>
        <w:t>产品软件部分：</w:t>
      </w:r>
    </w:p>
    <w:tbl>
      <w:tblPr>
        <w:tblStyle w:val="9"/>
        <w:tblW w:w="8600" w:type="dxa"/>
        <w:tblInd w:w="88" w:type="dxa"/>
        <w:tblLayout w:type="autofit"/>
        <w:tblCellMar>
          <w:top w:w="0" w:type="dxa"/>
          <w:left w:w="108" w:type="dxa"/>
          <w:bottom w:w="0" w:type="dxa"/>
          <w:right w:w="108" w:type="dxa"/>
        </w:tblCellMar>
      </w:tblPr>
      <w:tblGrid>
        <w:gridCol w:w="1299"/>
        <w:gridCol w:w="1299"/>
        <w:gridCol w:w="5086"/>
        <w:gridCol w:w="916"/>
      </w:tblGrid>
      <w:tr w14:paraId="0B2A7C6A">
        <w:tblPrEx>
          <w:tblCellMar>
            <w:top w:w="0" w:type="dxa"/>
            <w:left w:w="108" w:type="dxa"/>
            <w:bottom w:w="0" w:type="dxa"/>
            <w:right w:w="108" w:type="dxa"/>
          </w:tblCellMar>
        </w:tblPrEx>
        <w:trPr>
          <w:trHeight w:val="340" w:hRule="atLeast"/>
        </w:trPr>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2BA0">
            <w:pPr>
              <w:widowControl/>
              <w:ind w:firstLine="0" w:firstLineChars="0"/>
              <w:jc w:val="center"/>
              <w:textAlignment w:val="center"/>
              <w:rPr>
                <w:rFonts w:ascii="微软雅黑" w:hAnsi="微软雅黑" w:eastAsia="微软雅黑" w:cs="微软雅黑"/>
                <w:b/>
                <w:bCs/>
                <w:color w:val="0F1115"/>
                <w:sz w:val="22"/>
                <w:szCs w:val="22"/>
              </w:rPr>
            </w:pPr>
            <w:r>
              <w:rPr>
                <w:rFonts w:ascii="微软雅黑" w:hAnsi="微软雅黑" w:eastAsia="微软雅黑" w:cs="微软雅黑"/>
                <w:b/>
                <w:bCs/>
                <w:color w:val="0F1115"/>
                <w:kern w:val="0"/>
                <w:sz w:val="22"/>
                <w:szCs w:val="22"/>
                <w:lang w:bidi="ar"/>
              </w:rPr>
              <w:t>模块</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B061B">
            <w:pPr>
              <w:widowControl/>
              <w:ind w:firstLine="0" w:firstLineChars="0"/>
              <w:jc w:val="center"/>
              <w:textAlignment w:val="center"/>
              <w:rPr>
                <w:rFonts w:ascii="微软雅黑" w:hAnsi="微软雅黑" w:eastAsia="微软雅黑" w:cs="微软雅黑"/>
                <w:b/>
                <w:bCs/>
                <w:color w:val="0F1115"/>
                <w:sz w:val="22"/>
                <w:szCs w:val="22"/>
              </w:rPr>
            </w:pPr>
            <w:r>
              <w:rPr>
                <w:rFonts w:ascii="微软雅黑" w:hAnsi="微软雅黑" w:eastAsia="微软雅黑" w:cs="微软雅黑"/>
                <w:b/>
                <w:bCs/>
                <w:color w:val="0F1115"/>
                <w:kern w:val="0"/>
                <w:sz w:val="22"/>
                <w:szCs w:val="22"/>
                <w:lang w:bidi="ar"/>
              </w:rPr>
              <w:t>分项名称</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2A2D">
            <w:pPr>
              <w:widowControl/>
              <w:ind w:firstLine="0" w:firstLineChars="0"/>
              <w:jc w:val="center"/>
              <w:textAlignment w:val="center"/>
              <w:rPr>
                <w:rFonts w:ascii="微软雅黑" w:hAnsi="微软雅黑" w:eastAsia="微软雅黑" w:cs="微软雅黑"/>
                <w:b/>
                <w:bCs/>
                <w:color w:val="0F1115"/>
                <w:sz w:val="22"/>
                <w:szCs w:val="22"/>
              </w:rPr>
            </w:pPr>
            <w:r>
              <w:rPr>
                <w:rFonts w:ascii="微软雅黑" w:hAnsi="微软雅黑" w:eastAsia="微软雅黑" w:cs="微软雅黑"/>
                <w:b/>
                <w:bCs/>
                <w:color w:val="0F1115"/>
                <w:kern w:val="0"/>
                <w:sz w:val="22"/>
                <w:szCs w:val="22"/>
                <w:lang w:bidi="ar"/>
              </w:rPr>
              <w:t>具体参数要求</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7A67">
            <w:pPr>
              <w:widowControl/>
              <w:ind w:firstLine="0" w:firstLineChars="0"/>
              <w:jc w:val="center"/>
              <w:textAlignment w:val="center"/>
              <w:rPr>
                <w:rFonts w:ascii="微软雅黑" w:hAnsi="微软雅黑" w:eastAsia="微软雅黑" w:cs="微软雅黑"/>
                <w:b/>
                <w:bCs/>
                <w:color w:val="0F1115"/>
                <w:sz w:val="22"/>
                <w:szCs w:val="22"/>
              </w:rPr>
            </w:pPr>
            <w:r>
              <w:rPr>
                <w:rFonts w:ascii="微软雅黑" w:hAnsi="微软雅黑" w:eastAsia="微软雅黑" w:cs="微软雅黑"/>
                <w:b/>
                <w:bCs/>
                <w:color w:val="0F1115"/>
                <w:kern w:val="0"/>
                <w:sz w:val="22"/>
                <w:szCs w:val="22"/>
                <w:lang w:bidi="ar"/>
              </w:rPr>
              <w:t>级别</w:t>
            </w:r>
          </w:p>
        </w:tc>
      </w:tr>
      <w:tr w14:paraId="440561F6">
        <w:tblPrEx>
          <w:tblCellMar>
            <w:top w:w="0" w:type="dxa"/>
            <w:left w:w="108" w:type="dxa"/>
            <w:bottom w:w="0" w:type="dxa"/>
            <w:right w:w="108" w:type="dxa"/>
          </w:tblCellMar>
        </w:tblPrEx>
        <w:trPr>
          <w:trHeight w:val="1020"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45469">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基础架构</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3268">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平台架构</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5367">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支持B/S架构，Web端可视化操作，兼容主流浏览器；支持微服务架构、高可用与弹性扩展，提供集群部署方案。</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28273">
            <w:pPr>
              <w:ind w:firstLine="0" w:firstLineChars="0"/>
              <w:jc w:val="center"/>
              <w:rPr>
                <w:rFonts w:ascii="微软雅黑" w:hAnsi="微软雅黑" w:eastAsia="微软雅黑" w:cs="微软雅黑"/>
                <w:color w:val="000000"/>
                <w:sz w:val="22"/>
                <w:szCs w:val="22"/>
              </w:rPr>
            </w:pPr>
          </w:p>
        </w:tc>
      </w:tr>
      <w:tr w14:paraId="24086590">
        <w:tblPrEx>
          <w:tblCellMar>
            <w:top w:w="0" w:type="dxa"/>
            <w:left w:w="108" w:type="dxa"/>
            <w:bottom w:w="0" w:type="dxa"/>
            <w:right w:w="108" w:type="dxa"/>
          </w:tblCellMar>
        </w:tblPrEx>
        <w:trPr>
          <w:trHeight w:val="680"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E5AA6">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F83C">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兼容性</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0124">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w:t>
            </w:r>
            <w:r>
              <w:rPr>
                <w:rFonts w:hint="eastAsia" w:ascii="微软雅黑" w:hAnsi="微软雅黑" w:eastAsia="微软雅黑" w:cs="微软雅黑"/>
                <w:color w:val="0F1115"/>
                <w:kern w:val="0"/>
                <w:sz w:val="22"/>
                <w:szCs w:val="22"/>
                <w:lang w:eastAsia="zh-CN" w:bidi="ar"/>
              </w:rPr>
              <w:t>主流</w:t>
            </w:r>
            <w:r>
              <w:rPr>
                <w:rFonts w:ascii="微软雅黑" w:hAnsi="微软雅黑" w:eastAsia="微软雅黑" w:cs="微软雅黑"/>
                <w:color w:val="0F1115"/>
                <w:kern w:val="0"/>
                <w:sz w:val="22"/>
                <w:szCs w:val="22"/>
                <w:lang w:bidi="ar"/>
              </w:rPr>
              <w:t>GPU及主流国产芯片，统一纳管异构算力。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D658">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w:t>
            </w:r>
          </w:p>
        </w:tc>
      </w:tr>
      <w:tr w14:paraId="44F679B6">
        <w:tblPrEx>
          <w:tblCellMar>
            <w:top w:w="0" w:type="dxa"/>
            <w:left w:w="108" w:type="dxa"/>
            <w:bottom w:w="0" w:type="dxa"/>
            <w:right w:w="108" w:type="dxa"/>
          </w:tblCellMar>
        </w:tblPrEx>
        <w:trPr>
          <w:trHeight w:val="90"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2769D">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B78D">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产品授权</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268E2">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若按照</w:t>
            </w:r>
            <w:r>
              <w:rPr>
                <w:rFonts w:hint="eastAsia" w:ascii="微软雅黑" w:hAnsi="微软雅黑" w:eastAsia="微软雅黑" w:cs="微软雅黑"/>
                <w:color w:val="0F1115"/>
                <w:kern w:val="0"/>
                <w:sz w:val="22"/>
                <w:szCs w:val="22"/>
                <w:lang w:bidi="ar"/>
              </w:rPr>
              <w:t>CPU/</w:t>
            </w:r>
            <w:r>
              <w:rPr>
                <w:rFonts w:ascii="微软雅黑" w:hAnsi="微软雅黑" w:eastAsia="微软雅黑" w:cs="微软雅黑"/>
                <w:color w:val="0F1115"/>
                <w:kern w:val="0"/>
                <w:sz w:val="22"/>
                <w:szCs w:val="22"/>
                <w:lang w:bidi="ar"/>
              </w:rPr>
              <w:t>GPU卡数量等方式授权，等效不少于</w:t>
            </w:r>
            <w:r>
              <w:rPr>
                <w:rFonts w:hint="eastAsia" w:ascii="微软雅黑" w:hAnsi="微软雅黑" w:eastAsia="微软雅黑" w:cs="微软雅黑"/>
                <w:color w:val="0F1115"/>
                <w:kern w:val="0"/>
                <w:sz w:val="22"/>
                <w:szCs w:val="22"/>
                <w:lang w:bidi="ar"/>
              </w:rPr>
              <w:t>3台8卡算力服务器（即24</w:t>
            </w:r>
            <w:r>
              <w:rPr>
                <w:rFonts w:ascii="微软雅黑" w:hAnsi="微软雅黑" w:eastAsia="微软雅黑" w:cs="微软雅黑"/>
                <w:color w:val="0F1115"/>
                <w:kern w:val="0"/>
                <w:sz w:val="22"/>
                <w:szCs w:val="22"/>
                <w:lang w:bidi="ar"/>
              </w:rPr>
              <w:t>张GPU卡</w:t>
            </w:r>
            <w:r>
              <w:rPr>
                <w:rFonts w:hint="eastAsia" w:ascii="微软雅黑" w:hAnsi="微软雅黑" w:eastAsia="微软雅黑" w:cs="微软雅黑"/>
                <w:color w:val="0F1115"/>
                <w:kern w:val="0"/>
                <w:sz w:val="22"/>
                <w:szCs w:val="22"/>
                <w:lang w:bidi="ar"/>
              </w:rPr>
              <w:t>）</w:t>
            </w:r>
            <w:r>
              <w:rPr>
                <w:rFonts w:ascii="微软雅黑" w:hAnsi="微软雅黑" w:eastAsia="微软雅黑" w:cs="微软雅黑"/>
                <w:color w:val="0F1115"/>
                <w:kern w:val="0"/>
                <w:sz w:val="22"/>
                <w:szCs w:val="22"/>
                <w:lang w:bidi="ar"/>
              </w:rPr>
              <w:t>永久授权。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913D9">
            <w:pPr>
              <w:widowControl/>
              <w:ind w:firstLine="0" w:firstLineChars="0"/>
              <w:jc w:val="center"/>
              <w:textAlignment w:val="center"/>
              <w:rPr>
                <w:rFonts w:ascii="微软雅黑" w:hAnsi="微软雅黑" w:eastAsia="微软雅黑" w:cs="微软雅黑"/>
                <w:color w:val="000000"/>
                <w:sz w:val="22"/>
                <w:szCs w:val="22"/>
              </w:rPr>
            </w:pPr>
            <w:r>
              <w:rPr>
                <w:rFonts w:hint="eastAsia" w:ascii="东文宋体" w:hAnsi="东文宋体" w:eastAsia="东文宋体" w:cs="东文宋体"/>
                <w:color w:val="000000"/>
                <w:kern w:val="0"/>
                <w:sz w:val="22"/>
                <w:szCs w:val="22"/>
                <w:lang w:bidi="ar"/>
              </w:rPr>
              <w:t>▲</w:t>
            </w:r>
          </w:p>
        </w:tc>
      </w:tr>
      <w:tr w14:paraId="42AB83A8">
        <w:tblPrEx>
          <w:tblCellMar>
            <w:top w:w="0" w:type="dxa"/>
            <w:left w:w="108" w:type="dxa"/>
            <w:bottom w:w="0" w:type="dxa"/>
            <w:right w:w="108" w:type="dxa"/>
          </w:tblCellMar>
        </w:tblPrEx>
        <w:trPr>
          <w:trHeight w:val="680"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39160">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4026">
            <w:pPr>
              <w:widowControl/>
              <w:ind w:firstLine="0" w:firstLineChars="0"/>
              <w:jc w:val="center"/>
              <w:textAlignment w:val="center"/>
              <w:rPr>
                <w:rFonts w:ascii="微软雅黑" w:hAnsi="微软雅黑" w:eastAsia="微软雅黑" w:cs="微软雅黑"/>
                <w:color w:val="0F1115"/>
                <w:kern w:val="0"/>
                <w:sz w:val="22"/>
                <w:szCs w:val="22"/>
                <w:lang w:bidi="ar"/>
              </w:rPr>
            </w:pPr>
            <w:r>
              <w:rPr>
                <w:rFonts w:ascii="微软雅黑" w:hAnsi="微软雅黑" w:eastAsia="微软雅黑" w:cs="微软雅黑"/>
                <w:color w:val="0F1115"/>
                <w:kern w:val="0"/>
                <w:sz w:val="22"/>
                <w:szCs w:val="22"/>
                <w:lang w:bidi="ar"/>
              </w:rPr>
              <w:t>国产化</w:t>
            </w:r>
          </w:p>
          <w:p w14:paraId="4A557177">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要求</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EB19">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所投产品为</w:t>
            </w:r>
            <w:r>
              <w:rPr>
                <w:rFonts w:hint="eastAsia" w:ascii="微软雅黑" w:hAnsi="微软雅黑" w:eastAsia="微软雅黑" w:cs="微软雅黑"/>
                <w:color w:val="0F1115"/>
                <w:kern w:val="0"/>
                <w:sz w:val="22"/>
                <w:szCs w:val="22"/>
                <w:lang w:bidi="ar"/>
              </w:rPr>
              <w:t>国产品牌，具备自主知识产权</w:t>
            </w:r>
            <w:r>
              <w:rPr>
                <w:rFonts w:ascii="微软雅黑" w:hAnsi="微软雅黑" w:eastAsia="微软雅黑" w:cs="微软雅黑"/>
                <w:color w:val="0F1115"/>
                <w:kern w:val="0"/>
                <w:sz w:val="22"/>
                <w:szCs w:val="22"/>
                <w:lang w:bidi="ar"/>
              </w:rPr>
              <w:t>，</w:t>
            </w:r>
            <w:r>
              <w:rPr>
                <w:rFonts w:hint="eastAsia" w:ascii="微软雅黑" w:hAnsi="微软雅黑" w:eastAsia="微软雅黑" w:cs="微软雅黑"/>
                <w:color w:val="0F1115"/>
                <w:kern w:val="0"/>
                <w:sz w:val="22"/>
                <w:szCs w:val="22"/>
                <w:lang w:bidi="ar"/>
              </w:rPr>
              <w:t>符合XC要求，</w:t>
            </w:r>
            <w:r>
              <w:rPr>
                <w:rFonts w:ascii="微软雅黑" w:hAnsi="微软雅黑" w:eastAsia="微软雅黑" w:cs="微软雅黑"/>
                <w:color w:val="0F1115"/>
                <w:kern w:val="0"/>
                <w:sz w:val="22"/>
                <w:szCs w:val="22"/>
                <w:lang w:bidi="ar"/>
              </w:rPr>
              <w:t>满足</w:t>
            </w:r>
            <w:r>
              <w:rPr>
                <w:rFonts w:hint="eastAsia" w:ascii="微软雅黑" w:hAnsi="微软雅黑" w:eastAsia="微软雅黑" w:cs="微软雅黑"/>
                <w:color w:val="0F1115"/>
                <w:kern w:val="0"/>
                <w:sz w:val="22"/>
                <w:szCs w:val="22"/>
                <w:lang w:bidi="ar"/>
              </w:rPr>
              <w:t>医院XC环境适配</w:t>
            </w:r>
            <w:r>
              <w:rPr>
                <w:rFonts w:ascii="微软雅黑" w:hAnsi="微软雅黑" w:eastAsia="微软雅黑" w:cs="微软雅黑"/>
                <w:color w:val="0F1115"/>
                <w:kern w:val="0"/>
                <w:sz w:val="22"/>
                <w:szCs w:val="22"/>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30CC">
            <w:pPr>
              <w:widowControl/>
              <w:ind w:firstLine="0" w:firstLineChars="0"/>
              <w:jc w:val="center"/>
              <w:textAlignment w:val="center"/>
              <w:rPr>
                <w:rFonts w:ascii="微软雅黑" w:hAnsi="微软雅黑" w:eastAsia="微软雅黑" w:cs="微软雅黑"/>
                <w:color w:val="000000"/>
                <w:sz w:val="22"/>
                <w:szCs w:val="22"/>
              </w:rPr>
            </w:pPr>
            <w:r>
              <w:rPr>
                <w:rFonts w:ascii="微软雅黑" w:hAnsi="微软雅黑" w:eastAsia="微软雅黑" w:cs="微软雅黑"/>
                <w:color w:val="000000"/>
                <w:kern w:val="0"/>
                <w:sz w:val="22"/>
                <w:szCs w:val="22"/>
                <w:lang w:bidi="ar"/>
              </w:rPr>
              <w:t>★</w:t>
            </w:r>
          </w:p>
        </w:tc>
      </w:tr>
      <w:tr w14:paraId="5F64C9EA">
        <w:tblPrEx>
          <w:tblCellMar>
            <w:top w:w="0" w:type="dxa"/>
            <w:left w:w="108" w:type="dxa"/>
            <w:bottom w:w="0" w:type="dxa"/>
            <w:right w:w="108" w:type="dxa"/>
          </w:tblCellMar>
        </w:tblPrEx>
        <w:trPr>
          <w:trHeight w:val="1020" w:hRule="atLeast"/>
        </w:trPr>
        <w:tc>
          <w:tcPr>
            <w:tcW w:w="12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9079C">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算力管理</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4466">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资源总览</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45412">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支持按组织、科室、项目、用户等维度展示算力资源分配、使用量、剩余量、GPU/NPU 健康状态、模型调用量、Token 消耗量及趋势分析</w:t>
            </w:r>
            <w:r>
              <w:rPr>
                <w:rFonts w:hint="eastAsia" w:ascii="微软雅黑" w:hAnsi="微软雅黑" w:eastAsia="微软雅黑" w:cs="微软雅黑"/>
                <w:color w:val="0F1115"/>
                <w:kern w:val="0"/>
                <w:sz w:val="22"/>
                <w:szCs w:val="22"/>
                <w:lang w:bidi="ar"/>
              </w:rPr>
              <w:t>，</w:t>
            </w:r>
            <w:r>
              <w:rPr>
                <w:rFonts w:ascii="微软雅黑" w:hAnsi="微软雅黑" w:eastAsia="微软雅黑" w:cs="微软雅黑"/>
                <w:color w:val="0F1115"/>
                <w:kern w:val="0"/>
                <w:sz w:val="22"/>
                <w:szCs w:val="22"/>
                <w:lang w:bidi="ar"/>
              </w:rPr>
              <w:t>并支持更新未来发展趋势相关内容。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7CAE7">
            <w:pPr>
              <w:ind w:firstLine="440"/>
              <w:jc w:val="center"/>
              <w:rPr>
                <w:rFonts w:ascii="微软雅黑" w:hAnsi="微软雅黑" w:eastAsia="微软雅黑" w:cs="微软雅黑"/>
                <w:color w:val="000000"/>
                <w:sz w:val="22"/>
                <w:szCs w:val="22"/>
              </w:rPr>
            </w:pPr>
          </w:p>
        </w:tc>
      </w:tr>
      <w:tr w14:paraId="2D8FC6EE">
        <w:tblPrEx>
          <w:tblCellMar>
            <w:top w:w="0" w:type="dxa"/>
            <w:left w:w="108" w:type="dxa"/>
            <w:bottom w:w="0" w:type="dxa"/>
            <w:right w:w="108" w:type="dxa"/>
          </w:tblCellMar>
        </w:tblPrEx>
        <w:trPr>
          <w:trHeight w:val="680"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6382C">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7A6F8">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算力监控</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BB93">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平台实时监控算力利用率与任务状态（不限于集群/节点/GPU资源/CPU资源/内存等），动态优化调度策略。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64E64">
            <w:pPr>
              <w:ind w:firstLine="440"/>
              <w:jc w:val="center"/>
              <w:rPr>
                <w:rFonts w:ascii="微软雅黑" w:hAnsi="微软雅黑" w:eastAsia="微软雅黑" w:cs="微软雅黑"/>
                <w:color w:val="000000"/>
                <w:sz w:val="22"/>
                <w:szCs w:val="22"/>
              </w:rPr>
            </w:pPr>
          </w:p>
        </w:tc>
      </w:tr>
      <w:tr w14:paraId="5F29C3B2">
        <w:tblPrEx>
          <w:tblCellMar>
            <w:top w:w="0" w:type="dxa"/>
            <w:left w:w="108" w:type="dxa"/>
            <w:bottom w:w="0" w:type="dxa"/>
            <w:right w:w="108" w:type="dxa"/>
          </w:tblCellMar>
        </w:tblPrEx>
        <w:trPr>
          <w:trHeight w:val="340"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4FE55">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B90B4">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算力管理</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7D14">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支持动态算力调度管理（弹性调度）。支持GPU热迁移（同/跨服务器）；支持闲时算力回收（保存上下文并恢复）；支持强制算力回收，运行达到设置时长后，对算力资源进行强制回收。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BD5D">
            <w:pPr>
              <w:widowControl/>
              <w:ind w:firstLine="0" w:firstLineChars="0"/>
              <w:jc w:val="center"/>
              <w:textAlignment w:val="center"/>
              <w:rPr>
                <w:rFonts w:ascii="微软雅黑" w:hAnsi="微软雅黑" w:eastAsia="微软雅黑" w:cs="微软雅黑"/>
                <w:color w:val="000000"/>
                <w:sz w:val="22"/>
                <w:szCs w:val="22"/>
              </w:rPr>
            </w:pPr>
            <w:r>
              <w:rPr>
                <w:rFonts w:hint="eastAsia" w:ascii="东文宋体" w:hAnsi="东文宋体" w:eastAsia="东文宋体" w:cs="东文宋体"/>
                <w:color w:val="000000"/>
                <w:kern w:val="0"/>
                <w:sz w:val="22"/>
                <w:szCs w:val="22"/>
                <w:lang w:bidi="ar"/>
              </w:rPr>
              <w:t>▲</w:t>
            </w:r>
          </w:p>
        </w:tc>
      </w:tr>
      <w:tr w14:paraId="6EA6B5F0">
        <w:tblPrEx>
          <w:tblCellMar>
            <w:top w:w="0" w:type="dxa"/>
            <w:left w:w="108" w:type="dxa"/>
            <w:bottom w:w="0" w:type="dxa"/>
            <w:right w:w="108" w:type="dxa"/>
          </w:tblCellMar>
        </w:tblPrEx>
        <w:trPr>
          <w:trHeight w:val="680"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7C765">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9A04">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跨机聚合</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2A30A">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支持多台GPU节点（≥2）跨机聚合，为单一容器/虚拟机提供多卡资源，可支持提供不低于</w:t>
            </w:r>
            <w:r>
              <w:rPr>
                <w:rFonts w:hint="eastAsia" w:ascii="微软雅黑" w:hAnsi="微软雅黑" w:eastAsia="微软雅黑" w:cs="微软雅黑"/>
                <w:color w:val="0F1115"/>
                <w:kern w:val="0"/>
                <w:sz w:val="22"/>
                <w:szCs w:val="22"/>
                <w:lang w:bidi="ar"/>
              </w:rPr>
              <w:t>24</w:t>
            </w:r>
            <w:r>
              <w:rPr>
                <w:rFonts w:ascii="微软雅黑" w:hAnsi="微软雅黑" w:eastAsia="微软雅黑" w:cs="微软雅黑"/>
                <w:color w:val="0F1115"/>
                <w:kern w:val="0"/>
                <w:sz w:val="22"/>
                <w:szCs w:val="22"/>
                <w:lang w:bidi="ar"/>
              </w:rPr>
              <w:t>卡资源。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40CA2">
            <w:pPr>
              <w:widowControl/>
              <w:ind w:firstLine="440"/>
              <w:jc w:val="center"/>
              <w:textAlignment w:val="center"/>
              <w:rPr>
                <w:rFonts w:ascii="微软雅黑" w:hAnsi="微软雅黑" w:eastAsia="微软雅黑" w:cs="微软雅黑"/>
                <w:color w:val="000000"/>
                <w:sz w:val="22"/>
                <w:szCs w:val="22"/>
              </w:rPr>
            </w:pPr>
          </w:p>
        </w:tc>
      </w:tr>
      <w:tr w14:paraId="77CDC07B">
        <w:tblPrEx>
          <w:tblCellMar>
            <w:top w:w="0" w:type="dxa"/>
            <w:left w:w="108" w:type="dxa"/>
            <w:bottom w:w="0" w:type="dxa"/>
            <w:right w:w="108" w:type="dxa"/>
          </w:tblCellMar>
        </w:tblPrEx>
        <w:trPr>
          <w:trHeight w:val="680"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2195B">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0571">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GPU切分</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21BB">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支持GPU/NPU</w:t>
            </w:r>
            <w:r>
              <w:rPr>
                <w:rFonts w:hint="eastAsia" w:ascii="微软雅黑" w:hAnsi="微软雅黑" w:eastAsia="微软雅黑" w:cs="微软雅黑"/>
                <w:color w:val="0F1115"/>
                <w:kern w:val="0"/>
                <w:sz w:val="22"/>
                <w:szCs w:val="22"/>
                <w:lang w:bidi="ar"/>
              </w:rPr>
              <w:t>资源</w:t>
            </w:r>
            <w:r>
              <w:rPr>
                <w:rFonts w:ascii="微软雅黑" w:hAnsi="微软雅黑" w:eastAsia="微软雅黑" w:cs="微软雅黑"/>
                <w:color w:val="0F1115"/>
                <w:kern w:val="0"/>
                <w:sz w:val="22"/>
                <w:szCs w:val="22"/>
                <w:lang w:bidi="ar"/>
              </w:rPr>
              <w:t>按显存</w:t>
            </w:r>
            <w:r>
              <w:rPr>
                <w:rFonts w:hint="eastAsia" w:ascii="微软雅黑" w:hAnsi="微软雅黑" w:eastAsia="微软雅黑" w:cs="微软雅黑"/>
                <w:color w:val="0F1115"/>
                <w:kern w:val="0"/>
                <w:sz w:val="22"/>
                <w:szCs w:val="22"/>
                <w:lang w:bidi="ar"/>
              </w:rPr>
              <w:t>、算力或者卡的颗粒度进行灵活分配</w:t>
            </w:r>
            <w:r>
              <w:rPr>
                <w:rFonts w:ascii="微软雅黑" w:hAnsi="微软雅黑" w:eastAsia="微软雅黑" w:cs="微软雅黑"/>
                <w:color w:val="0F1115"/>
                <w:kern w:val="0"/>
                <w:sz w:val="22"/>
                <w:szCs w:val="22"/>
                <w:lang w:bidi="ar"/>
              </w:rPr>
              <w:t>；支持不重启动态调整配比。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884B8">
            <w:pPr>
              <w:ind w:firstLine="440"/>
              <w:jc w:val="center"/>
              <w:rPr>
                <w:rFonts w:ascii="微软雅黑" w:hAnsi="微软雅黑" w:eastAsia="微软雅黑" w:cs="微软雅黑"/>
                <w:color w:val="000000"/>
                <w:sz w:val="22"/>
                <w:szCs w:val="22"/>
              </w:rPr>
            </w:pPr>
          </w:p>
        </w:tc>
      </w:tr>
      <w:tr w14:paraId="112D162E">
        <w:tblPrEx>
          <w:tblCellMar>
            <w:top w:w="0" w:type="dxa"/>
            <w:left w:w="108" w:type="dxa"/>
            <w:bottom w:w="0" w:type="dxa"/>
            <w:right w:w="108" w:type="dxa"/>
          </w:tblCellMar>
        </w:tblPrEx>
        <w:trPr>
          <w:trHeight w:val="680" w:hRule="atLeast"/>
        </w:trPr>
        <w:tc>
          <w:tcPr>
            <w:tcW w:w="12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F6632">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E5E47">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混合调度</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4781">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支持同一资源池混合部署物理卡与虚拟卡，支持在线切换。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A17B9">
            <w:pPr>
              <w:ind w:firstLine="440"/>
              <w:jc w:val="center"/>
              <w:rPr>
                <w:rFonts w:ascii="微软雅黑" w:hAnsi="微软雅黑" w:eastAsia="微软雅黑" w:cs="微软雅黑"/>
                <w:color w:val="000000"/>
                <w:sz w:val="22"/>
                <w:szCs w:val="22"/>
              </w:rPr>
            </w:pPr>
          </w:p>
        </w:tc>
      </w:tr>
      <w:tr w14:paraId="2E729728">
        <w:tblPrEx>
          <w:tblCellMar>
            <w:top w:w="0" w:type="dxa"/>
            <w:left w:w="108" w:type="dxa"/>
            <w:bottom w:w="0" w:type="dxa"/>
            <w:right w:w="108" w:type="dxa"/>
          </w:tblCellMar>
        </w:tblPrEx>
        <w:trPr>
          <w:trHeight w:val="1360" w:hRule="atLeast"/>
        </w:trPr>
        <w:tc>
          <w:tcPr>
            <w:tcW w:w="1299" w:type="dxa"/>
            <w:vMerge w:val="restart"/>
            <w:tcBorders>
              <w:top w:val="single" w:color="000000" w:sz="4" w:space="0"/>
              <w:left w:val="single" w:color="000000" w:sz="4" w:space="0"/>
              <w:bottom w:val="nil"/>
              <w:right w:val="single" w:color="000000" w:sz="4" w:space="0"/>
            </w:tcBorders>
            <w:shd w:val="clear" w:color="auto" w:fill="auto"/>
            <w:vAlign w:val="center"/>
          </w:tcPr>
          <w:p w14:paraId="219BE9CC">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模型管理</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96F50">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全流程</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F3E0">
            <w:pPr>
              <w:widowControl/>
              <w:ind w:firstLine="0" w:firstLineChars="0"/>
              <w:jc w:val="left"/>
              <w:textAlignment w:val="center"/>
              <w:rPr>
                <w:rFonts w:ascii="微软雅黑" w:hAnsi="微软雅黑" w:eastAsia="微软雅黑" w:cs="微软雅黑"/>
                <w:color w:val="0F1115"/>
                <w:kern w:val="0"/>
                <w:sz w:val="22"/>
                <w:szCs w:val="22"/>
                <w:lang w:bidi="ar"/>
              </w:rPr>
            </w:pPr>
            <w:r>
              <w:rPr>
                <w:rFonts w:ascii="微软雅黑" w:hAnsi="微软雅黑" w:eastAsia="微软雅黑" w:cs="微软雅黑"/>
                <w:color w:val="0F1115"/>
                <w:kern w:val="0"/>
                <w:sz w:val="22"/>
                <w:szCs w:val="22"/>
                <w:lang w:bidi="ar"/>
              </w:rPr>
              <w:t>向上层训练框架提供标准化接口；</w:t>
            </w:r>
          </w:p>
          <w:p w14:paraId="176ED47F">
            <w:pPr>
              <w:widowControl/>
              <w:ind w:firstLine="0" w:firstLineChars="0"/>
              <w:jc w:val="left"/>
              <w:textAlignment w:val="center"/>
              <w:rPr>
                <w:rFonts w:ascii="微软雅黑" w:hAnsi="微软雅黑" w:eastAsia="微软雅黑" w:cs="微软雅黑"/>
                <w:color w:val="0F1115"/>
                <w:kern w:val="0"/>
                <w:sz w:val="22"/>
                <w:szCs w:val="22"/>
                <w:lang w:bidi="ar"/>
              </w:rPr>
            </w:pPr>
            <w:r>
              <w:rPr>
                <w:rFonts w:ascii="微软雅黑" w:hAnsi="微软雅黑" w:eastAsia="微软雅黑" w:cs="微软雅黑"/>
                <w:color w:val="0F1115"/>
                <w:kern w:val="0"/>
                <w:sz w:val="22"/>
                <w:szCs w:val="22"/>
                <w:lang w:bidi="ar"/>
              </w:rPr>
              <w:t>根据任务类型、资源需求及优先级实现智能编排；</w:t>
            </w:r>
          </w:p>
          <w:p w14:paraId="1BF2FD1C">
            <w:pPr>
              <w:widowControl/>
              <w:ind w:firstLine="0" w:firstLineChars="0"/>
              <w:jc w:val="left"/>
              <w:textAlignment w:val="center"/>
              <w:rPr>
                <w:rFonts w:ascii="微软雅黑" w:hAnsi="微软雅黑" w:eastAsia="微软雅黑" w:cs="微软雅黑"/>
                <w:color w:val="0F1115"/>
                <w:kern w:val="0"/>
                <w:sz w:val="22"/>
                <w:szCs w:val="22"/>
                <w:lang w:bidi="ar"/>
              </w:rPr>
            </w:pPr>
            <w:r>
              <w:rPr>
                <w:rFonts w:ascii="微软雅黑" w:hAnsi="微软雅黑" w:eastAsia="微软雅黑" w:cs="微软雅黑"/>
                <w:color w:val="0F1115"/>
                <w:kern w:val="0"/>
                <w:sz w:val="22"/>
                <w:szCs w:val="22"/>
                <w:lang w:bidi="ar"/>
              </w:rPr>
              <w:t>支持优先级抢占、弹性扩缩容与断点续训；</w:t>
            </w:r>
          </w:p>
          <w:p w14:paraId="3C26EAA3">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覆盖模型训练、压缩到部署的全流程，并通过统一推理引擎保障高性能运行。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C937F">
            <w:pPr>
              <w:widowControl/>
              <w:ind w:firstLine="0" w:firstLineChars="0"/>
              <w:jc w:val="center"/>
              <w:textAlignment w:val="center"/>
              <w:rPr>
                <w:rFonts w:ascii="微软雅黑" w:hAnsi="微软雅黑" w:eastAsia="微软雅黑" w:cs="微软雅黑"/>
                <w:color w:val="000000"/>
                <w:sz w:val="22"/>
                <w:szCs w:val="22"/>
              </w:rPr>
            </w:pPr>
            <w:r>
              <w:rPr>
                <w:rFonts w:hint="eastAsia" w:ascii="东文宋体" w:hAnsi="东文宋体" w:eastAsia="东文宋体" w:cs="东文宋体"/>
                <w:color w:val="000000"/>
                <w:kern w:val="0"/>
                <w:sz w:val="22"/>
                <w:szCs w:val="22"/>
                <w:lang w:bidi="ar"/>
              </w:rPr>
              <w:t>▲</w:t>
            </w:r>
          </w:p>
        </w:tc>
      </w:tr>
      <w:tr w14:paraId="13202D6A">
        <w:tblPrEx>
          <w:tblCellMar>
            <w:top w:w="0" w:type="dxa"/>
            <w:left w:w="108" w:type="dxa"/>
            <w:bottom w:w="0" w:type="dxa"/>
            <w:right w:w="108" w:type="dxa"/>
          </w:tblCellMar>
        </w:tblPrEx>
        <w:trPr>
          <w:trHeight w:val="1360" w:hRule="atLeast"/>
        </w:trPr>
        <w:tc>
          <w:tcPr>
            <w:tcW w:w="1299" w:type="dxa"/>
            <w:vMerge w:val="continue"/>
            <w:tcBorders>
              <w:top w:val="single" w:color="000000" w:sz="4" w:space="0"/>
              <w:left w:val="single" w:color="000000" w:sz="4" w:space="0"/>
              <w:bottom w:val="nil"/>
              <w:right w:val="single" w:color="000000" w:sz="4" w:space="0"/>
            </w:tcBorders>
            <w:shd w:val="clear" w:color="auto" w:fill="auto"/>
            <w:vAlign w:val="center"/>
          </w:tcPr>
          <w:p w14:paraId="4E313F5F">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D8C3">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模型管理</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8D1B">
            <w:pPr>
              <w:widowControl/>
              <w:ind w:firstLine="0" w:firstLineChars="0"/>
              <w:jc w:val="left"/>
              <w:textAlignment w:val="center"/>
              <w:rPr>
                <w:rFonts w:ascii="微软雅黑" w:hAnsi="微软雅黑" w:eastAsia="微软雅黑" w:cs="微软雅黑"/>
                <w:color w:val="0F1115"/>
                <w:kern w:val="0"/>
                <w:sz w:val="22"/>
                <w:szCs w:val="22"/>
                <w:lang w:bidi="ar"/>
              </w:rPr>
            </w:pPr>
            <w:r>
              <w:rPr>
                <w:rFonts w:ascii="微软雅黑" w:hAnsi="微软雅黑" w:eastAsia="微软雅黑" w:cs="微软雅黑"/>
                <w:color w:val="0F1115"/>
                <w:kern w:val="0"/>
                <w:sz w:val="22"/>
                <w:szCs w:val="22"/>
                <w:lang w:bidi="ar"/>
              </w:rPr>
              <w:t>支持不限于分布式训练、断点续训、模型评估等；支持任务调度亲和性策略配置。</w:t>
            </w:r>
          </w:p>
          <w:p w14:paraId="31120637">
            <w:pPr>
              <w:widowControl/>
              <w:ind w:firstLine="0" w:firstLineChars="0"/>
              <w:jc w:val="left"/>
              <w:textAlignment w:val="center"/>
              <w:rPr>
                <w:rFonts w:ascii="微软雅黑" w:hAnsi="微软雅黑" w:eastAsia="微软雅黑" w:cs="微软雅黑"/>
                <w:color w:val="0F1115"/>
                <w:kern w:val="0"/>
                <w:sz w:val="22"/>
                <w:szCs w:val="22"/>
                <w:lang w:bidi="ar"/>
              </w:rPr>
            </w:pPr>
            <w:r>
              <w:rPr>
                <w:rFonts w:ascii="微软雅黑" w:hAnsi="微软雅黑" w:eastAsia="微软雅黑" w:cs="微软雅黑"/>
                <w:color w:val="0F1115"/>
                <w:kern w:val="0"/>
                <w:sz w:val="22"/>
                <w:szCs w:val="22"/>
                <w:lang w:bidi="ar"/>
              </w:rPr>
              <w:t>支持自定义镜像模型管理；支持多路径导入模型；支持模型多版本管理。</w:t>
            </w:r>
          </w:p>
          <w:p w14:paraId="1A64E123">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支持OCR、嵌入、重排、计算机视觉、语音识别等自定义模型的独立统一管理。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F0BE5">
            <w:pPr>
              <w:ind w:firstLine="440"/>
              <w:jc w:val="center"/>
              <w:rPr>
                <w:rFonts w:ascii="微软雅黑" w:hAnsi="微软雅黑" w:eastAsia="微软雅黑" w:cs="微软雅黑"/>
                <w:color w:val="000000"/>
                <w:sz w:val="22"/>
                <w:szCs w:val="22"/>
              </w:rPr>
            </w:pPr>
          </w:p>
        </w:tc>
      </w:tr>
      <w:tr w14:paraId="51FB1E0E">
        <w:tblPrEx>
          <w:tblCellMar>
            <w:top w:w="0" w:type="dxa"/>
            <w:left w:w="108" w:type="dxa"/>
            <w:bottom w:w="0" w:type="dxa"/>
            <w:right w:w="108" w:type="dxa"/>
          </w:tblCellMar>
        </w:tblPrEx>
        <w:trPr>
          <w:trHeight w:val="1020" w:hRule="atLeast"/>
        </w:trPr>
        <w:tc>
          <w:tcPr>
            <w:tcW w:w="1299" w:type="dxa"/>
            <w:vMerge w:val="continue"/>
            <w:tcBorders>
              <w:top w:val="single" w:color="000000" w:sz="4" w:space="0"/>
              <w:left w:val="single" w:color="000000" w:sz="4" w:space="0"/>
              <w:bottom w:val="nil"/>
              <w:right w:val="single" w:color="000000" w:sz="4" w:space="0"/>
            </w:tcBorders>
            <w:shd w:val="clear" w:color="auto" w:fill="auto"/>
            <w:vAlign w:val="center"/>
          </w:tcPr>
          <w:p w14:paraId="0D64A194">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621C">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数据集/知识库管理</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EE0B">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支持可视化数据集导入/多版本管理/预览；支持跳转模型训练；支持非结构化与结构化知识导入；多模态（文本+图片）向量存储；支持多级权限设置；支持智能体调用。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00597">
            <w:pPr>
              <w:ind w:firstLine="440"/>
              <w:jc w:val="center"/>
              <w:rPr>
                <w:rFonts w:ascii="微软雅黑" w:hAnsi="微软雅黑" w:eastAsia="微软雅黑" w:cs="微软雅黑"/>
                <w:color w:val="000000"/>
                <w:sz w:val="22"/>
                <w:szCs w:val="22"/>
              </w:rPr>
            </w:pPr>
          </w:p>
        </w:tc>
      </w:tr>
      <w:tr w14:paraId="40033A0F">
        <w:tblPrEx>
          <w:tblCellMar>
            <w:top w:w="0" w:type="dxa"/>
            <w:left w:w="108" w:type="dxa"/>
            <w:bottom w:w="0" w:type="dxa"/>
            <w:right w:w="108" w:type="dxa"/>
          </w:tblCellMar>
        </w:tblPrEx>
        <w:trPr>
          <w:trHeight w:val="680" w:hRule="atLeast"/>
        </w:trPr>
        <w:tc>
          <w:tcPr>
            <w:tcW w:w="1299" w:type="dxa"/>
            <w:vMerge w:val="restart"/>
            <w:tcBorders>
              <w:top w:val="single" w:color="000000" w:sz="4" w:space="0"/>
              <w:left w:val="single" w:color="000000" w:sz="4" w:space="0"/>
              <w:right w:val="single" w:color="000000" w:sz="4" w:space="0"/>
            </w:tcBorders>
            <w:shd w:val="clear" w:color="auto" w:fill="auto"/>
            <w:vAlign w:val="center"/>
          </w:tcPr>
          <w:p w14:paraId="14499F5A">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安全与运维</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4D787">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模型加密</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3A5B">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支持模型动态加密（结构/权重/算子等加密），满足医院数据隐私要求。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0025F">
            <w:pPr>
              <w:ind w:firstLine="440"/>
              <w:jc w:val="center"/>
              <w:rPr>
                <w:rFonts w:ascii="微软雅黑" w:hAnsi="微软雅黑" w:eastAsia="微软雅黑" w:cs="微软雅黑"/>
                <w:color w:val="000000"/>
                <w:sz w:val="22"/>
                <w:szCs w:val="22"/>
              </w:rPr>
            </w:pPr>
          </w:p>
        </w:tc>
      </w:tr>
      <w:tr w14:paraId="4169025B">
        <w:tblPrEx>
          <w:tblCellMar>
            <w:top w:w="0" w:type="dxa"/>
            <w:left w:w="108" w:type="dxa"/>
            <w:bottom w:w="0" w:type="dxa"/>
            <w:right w:w="108" w:type="dxa"/>
          </w:tblCellMar>
        </w:tblPrEx>
        <w:trPr>
          <w:trHeight w:val="680" w:hRule="atLeast"/>
        </w:trPr>
        <w:tc>
          <w:tcPr>
            <w:tcW w:w="1299" w:type="dxa"/>
            <w:vMerge w:val="continue"/>
            <w:tcBorders>
              <w:left w:val="single" w:color="000000" w:sz="4" w:space="0"/>
              <w:right w:val="single" w:color="000000" w:sz="4" w:space="0"/>
            </w:tcBorders>
            <w:shd w:val="clear" w:color="auto" w:fill="auto"/>
            <w:vAlign w:val="center"/>
          </w:tcPr>
          <w:p w14:paraId="7726802A">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32E9">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运行解耦</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37BAF">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支持管理节点多副本，无单点故障；当算力平台相关的组件故障时，不影响运行中的算力任务。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E4045">
            <w:pPr>
              <w:ind w:firstLine="440"/>
              <w:jc w:val="center"/>
              <w:rPr>
                <w:rFonts w:ascii="微软雅黑" w:hAnsi="微软雅黑" w:eastAsia="微软雅黑" w:cs="微软雅黑"/>
                <w:color w:val="000000"/>
                <w:sz w:val="22"/>
                <w:szCs w:val="22"/>
              </w:rPr>
            </w:pPr>
          </w:p>
        </w:tc>
      </w:tr>
      <w:tr w14:paraId="73E400AA">
        <w:tblPrEx>
          <w:tblCellMar>
            <w:top w:w="0" w:type="dxa"/>
            <w:left w:w="108" w:type="dxa"/>
            <w:bottom w:w="0" w:type="dxa"/>
            <w:right w:w="108" w:type="dxa"/>
          </w:tblCellMar>
        </w:tblPrEx>
        <w:trPr>
          <w:trHeight w:val="680" w:hRule="atLeast"/>
        </w:trPr>
        <w:tc>
          <w:tcPr>
            <w:tcW w:w="1299" w:type="dxa"/>
            <w:vMerge w:val="continue"/>
            <w:tcBorders>
              <w:left w:val="single" w:color="000000" w:sz="4" w:space="0"/>
              <w:right w:val="single" w:color="000000" w:sz="4" w:space="0"/>
            </w:tcBorders>
            <w:shd w:val="clear" w:color="auto" w:fill="auto"/>
            <w:vAlign w:val="center"/>
          </w:tcPr>
          <w:p w14:paraId="35B6FB6D">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3C2F3">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审计日志</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D516">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对平台全部用户的操作进行记录，并提供审计日志（不限于用户/任务详情/日期/状态等搜索与过滤）。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BBA10">
            <w:pPr>
              <w:ind w:firstLine="440"/>
              <w:jc w:val="center"/>
              <w:rPr>
                <w:rFonts w:ascii="微软雅黑" w:hAnsi="微软雅黑" w:eastAsia="微软雅黑" w:cs="微软雅黑"/>
                <w:color w:val="000000"/>
                <w:sz w:val="22"/>
                <w:szCs w:val="22"/>
              </w:rPr>
            </w:pPr>
          </w:p>
        </w:tc>
      </w:tr>
      <w:tr w14:paraId="31217914">
        <w:tblPrEx>
          <w:tblCellMar>
            <w:top w:w="0" w:type="dxa"/>
            <w:left w:w="108" w:type="dxa"/>
            <w:bottom w:w="0" w:type="dxa"/>
            <w:right w:w="108" w:type="dxa"/>
          </w:tblCellMar>
        </w:tblPrEx>
        <w:trPr>
          <w:trHeight w:val="1020" w:hRule="atLeast"/>
        </w:trPr>
        <w:tc>
          <w:tcPr>
            <w:tcW w:w="1299" w:type="dxa"/>
            <w:vMerge w:val="continue"/>
            <w:tcBorders>
              <w:left w:val="single" w:color="000000" w:sz="4" w:space="0"/>
              <w:right w:val="single" w:color="000000" w:sz="4" w:space="0"/>
            </w:tcBorders>
            <w:shd w:val="clear" w:color="auto" w:fill="auto"/>
            <w:vAlign w:val="center"/>
          </w:tcPr>
          <w:p w14:paraId="6B1E7061">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5E12">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AI部署迁移服务</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0523">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运维包含相关技术服务支持，开源大模型预置、第三方模型、智能体等AI部署或迁移时，有专门技术人员负责实施或对接，确保</w:t>
            </w:r>
            <w:r>
              <w:rPr>
                <w:rFonts w:hint="eastAsia" w:ascii="微软雅黑" w:hAnsi="微软雅黑" w:eastAsia="微软雅黑" w:cs="微软雅黑"/>
                <w:color w:val="0F1115"/>
                <w:kern w:val="0"/>
                <w:sz w:val="22"/>
                <w:szCs w:val="22"/>
                <w:lang w:bidi="ar"/>
              </w:rPr>
              <w:t>可</w:t>
            </w:r>
            <w:r>
              <w:rPr>
                <w:rFonts w:ascii="微软雅黑" w:hAnsi="微软雅黑" w:eastAsia="微软雅黑" w:cs="微软雅黑"/>
                <w:color w:val="0F1115"/>
                <w:kern w:val="0"/>
                <w:sz w:val="22"/>
                <w:szCs w:val="22"/>
                <w:lang w:bidi="ar"/>
              </w:rPr>
              <w:t>应用落地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4A413">
            <w:pPr>
              <w:widowControl/>
              <w:ind w:firstLine="0" w:firstLineChars="0"/>
              <w:jc w:val="center"/>
              <w:textAlignment w:val="center"/>
              <w:rPr>
                <w:rFonts w:ascii="微软雅黑" w:hAnsi="微软雅黑" w:eastAsia="微软雅黑" w:cs="微软雅黑"/>
                <w:color w:val="000000"/>
                <w:sz w:val="22"/>
                <w:szCs w:val="22"/>
              </w:rPr>
            </w:pPr>
            <w:r>
              <w:rPr>
                <w:rFonts w:hint="eastAsia" w:ascii="东文宋体" w:hAnsi="东文宋体" w:eastAsia="东文宋体" w:cs="东文宋体"/>
                <w:color w:val="000000"/>
                <w:kern w:val="0"/>
                <w:sz w:val="22"/>
                <w:szCs w:val="22"/>
                <w:lang w:bidi="ar"/>
              </w:rPr>
              <w:t>▲</w:t>
            </w:r>
          </w:p>
        </w:tc>
      </w:tr>
      <w:tr w14:paraId="512CBBA4">
        <w:tblPrEx>
          <w:tblCellMar>
            <w:top w:w="0" w:type="dxa"/>
            <w:left w:w="108" w:type="dxa"/>
            <w:bottom w:w="0" w:type="dxa"/>
            <w:right w:w="108" w:type="dxa"/>
          </w:tblCellMar>
        </w:tblPrEx>
        <w:trPr>
          <w:trHeight w:val="1020" w:hRule="atLeast"/>
        </w:trPr>
        <w:tc>
          <w:tcPr>
            <w:tcW w:w="1299" w:type="dxa"/>
            <w:vMerge w:val="continue"/>
            <w:tcBorders>
              <w:left w:val="single" w:color="000000" w:sz="4" w:space="0"/>
              <w:bottom w:val="single" w:color="000000" w:sz="4" w:space="0"/>
              <w:right w:val="single" w:color="000000" w:sz="4" w:space="0"/>
            </w:tcBorders>
            <w:shd w:val="clear" w:color="auto" w:fill="auto"/>
            <w:vAlign w:val="center"/>
          </w:tcPr>
          <w:p w14:paraId="6D87C886">
            <w:pPr>
              <w:ind w:firstLine="440"/>
              <w:jc w:val="center"/>
              <w:rPr>
                <w:rFonts w:ascii="微软雅黑" w:hAnsi="微软雅黑" w:eastAsia="微软雅黑" w:cs="微软雅黑"/>
                <w:color w:val="0F1115"/>
                <w:sz w:val="22"/>
                <w:szCs w:val="22"/>
              </w:rPr>
            </w:pP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3B913">
            <w:pPr>
              <w:widowControl/>
              <w:ind w:firstLine="0" w:firstLineChars="0"/>
              <w:jc w:val="center"/>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算力优化支持</w:t>
            </w:r>
          </w:p>
        </w:tc>
        <w:tc>
          <w:tcPr>
            <w:tcW w:w="5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120D">
            <w:pPr>
              <w:widowControl/>
              <w:ind w:firstLine="0" w:firstLineChars="0"/>
              <w:jc w:val="left"/>
              <w:textAlignment w:val="center"/>
              <w:rPr>
                <w:rFonts w:ascii="微软雅黑" w:hAnsi="微软雅黑" w:eastAsia="微软雅黑" w:cs="微软雅黑"/>
                <w:color w:val="0F1115"/>
                <w:sz w:val="22"/>
                <w:szCs w:val="22"/>
              </w:rPr>
            </w:pPr>
            <w:r>
              <w:rPr>
                <w:rFonts w:ascii="微软雅黑" w:hAnsi="微软雅黑" w:eastAsia="微软雅黑" w:cs="微软雅黑"/>
                <w:color w:val="0F1115"/>
                <w:kern w:val="0"/>
                <w:sz w:val="22"/>
                <w:szCs w:val="22"/>
                <w:lang w:bidi="ar"/>
              </w:rPr>
              <w:t>专业技术团队根据医院业务场景提供算力资源配置优化建议，提升算力使用效率，降低运营成本。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80644">
            <w:pPr>
              <w:ind w:firstLine="440"/>
              <w:jc w:val="center"/>
              <w:rPr>
                <w:rFonts w:ascii="微软雅黑" w:hAnsi="微软雅黑" w:eastAsia="微软雅黑" w:cs="微软雅黑"/>
                <w:color w:val="000000"/>
                <w:sz w:val="22"/>
                <w:szCs w:val="22"/>
              </w:rPr>
            </w:pPr>
          </w:p>
        </w:tc>
      </w:tr>
    </w:tbl>
    <w:p w14:paraId="0F16D90F"/>
    <w:p w14:paraId="61118A16">
      <w:pPr>
        <w:pStyle w:val="2"/>
      </w:pPr>
      <w:bookmarkStart w:id="18" w:name="_Toc63785503"/>
      <w:r>
        <w:rPr>
          <w:rFonts w:hint="eastAsia"/>
        </w:rPr>
        <w:t>其他工作要求</w:t>
      </w:r>
      <w:bookmarkEnd w:id="18"/>
    </w:p>
    <w:p w14:paraId="578D83E8">
      <w:pPr>
        <w:keepNext/>
        <w:keepLines/>
        <w:numPr>
          <w:ilvl w:val="1"/>
          <w:numId w:val="3"/>
        </w:numPr>
        <w:tabs>
          <w:tab w:val="left" w:pos="360"/>
        </w:tabs>
        <w:spacing w:before="120" w:line="240" w:lineRule="auto"/>
        <w:ind w:left="0" w:firstLine="0" w:firstLineChars="0"/>
        <w:outlineLvl w:val="1"/>
        <w:rPr>
          <w:rFonts w:ascii="仿宋" w:hAnsi="仿宋" w:eastAsia="仿宋"/>
          <w:b/>
          <w:vanish/>
          <w:color w:val="000000"/>
          <w:sz w:val="28"/>
          <w:szCs w:val="20"/>
        </w:rPr>
      </w:pPr>
      <w:bookmarkStart w:id="19" w:name="_Toc63785504"/>
      <w:bookmarkEnd w:id="19"/>
      <w:bookmarkStart w:id="20" w:name="_Toc62209488"/>
      <w:bookmarkEnd w:id="20"/>
      <w:bookmarkStart w:id="21" w:name="_Toc63585480"/>
      <w:bookmarkEnd w:id="21"/>
      <w:bookmarkStart w:id="22" w:name="_Toc63785439"/>
      <w:bookmarkEnd w:id="22"/>
      <w:bookmarkStart w:id="23" w:name="_Toc63151871"/>
      <w:bookmarkEnd w:id="23"/>
      <w:bookmarkStart w:id="24" w:name="_Toc61968111"/>
      <w:bookmarkEnd w:id="24"/>
      <w:bookmarkStart w:id="25" w:name="_Toc62219358"/>
      <w:bookmarkEnd w:id="25"/>
      <w:bookmarkStart w:id="26" w:name="_Toc63762370"/>
      <w:bookmarkEnd w:id="26"/>
    </w:p>
    <w:p w14:paraId="4278D0D2">
      <w:pPr>
        <w:pStyle w:val="3"/>
      </w:pPr>
      <w:bookmarkStart w:id="27" w:name="_Toc63785505"/>
      <w:r>
        <w:rPr>
          <w:rFonts w:hint="eastAsia"/>
        </w:rPr>
        <w:t>售后服务要求</w:t>
      </w:r>
      <w:bookmarkEnd w:id="27"/>
    </w:p>
    <w:p w14:paraId="13EC4EDE">
      <w:pPr>
        <w:spacing w:after="120" w:line="300" w:lineRule="auto"/>
      </w:pPr>
      <w:r>
        <w:t>系统在验收合格后，我院要求</w:t>
      </w:r>
      <w:r>
        <w:rPr>
          <w:rFonts w:hint="eastAsia"/>
        </w:rPr>
        <w:t>投标人</w:t>
      </w:r>
      <w:r>
        <w:t>必须提供</w:t>
      </w:r>
      <w:r>
        <w:rPr>
          <w:rFonts w:hint="eastAsia"/>
        </w:rPr>
        <w:t>硬件三年和</w:t>
      </w:r>
      <w:r>
        <w:t>软件一年的免费功能增强性维护及免费技术维护服务（其中包括系统维护、跟踪检测等），并保证所承建的系统正常运行。</w:t>
      </w:r>
    </w:p>
    <w:p w14:paraId="48DA3E66">
      <w:pPr>
        <w:pStyle w:val="12"/>
        <w:snapToGrid w:val="0"/>
        <w:spacing w:line="360" w:lineRule="auto"/>
        <w:ind w:firstLine="480"/>
        <w:rPr>
          <w:rFonts w:ascii="宋体" w:hAnsi="宋体"/>
          <w:sz w:val="24"/>
          <w:szCs w:val="24"/>
        </w:rPr>
      </w:pPr>
      <w:r>
        <w:rPr>
          <w:rFonts w:hint="eastAsia" w:ascii="宋体" w:hAnsi="宋体"/>
          <w:sz w:val="24"/>
          <w:szCs w:val="24"/>
        </w:rPr>
        <w:t>在质量保证期内，投标人将按照售后服务的承诺提供保修和运行维护服务，如果厂商对信息系统中软、硬件设备等产品中的部分保修期超过上述期限的，则按照厂商的规定进行免费保修。</w:t>
      </w:r>
    </w:p>
    <w:p w14:paraId="3564458B">
      <w:pPr>
        <w:pStyle w:val="12"/>
        <w:snapToGrid w:val="0"/>
        <w:spacing w:line="360" w:lineRule="auto"/>
        <w:ind w:firstLine="480"/>
        <w:rPr>
          <w:rFonts w:ascii="宋体" w:hAnsi="宋体"/>
          <w:sz w:val="24"/>
          <w:szCs w:val="24"/>
        </w:rPr>
      </w:pPr>
      <w:r>
        <w:rPr>
          <w:rFonts w:hint="eastAsia" w:ascii="宋体" w:hAnsi="宋体"/>
          <w:sz w:val="24"/>
          <w:szCs w:val="24"/>
        </w:rPr>
        <w:t>在质量保证期内，投标人负责信息系统的运行维护工作，确保信息系统安全、稳定、可靠地运行。本项目涉及的运行维护工作范围为：提供同版本软件免费客户化修改与免费升级服务，保证合同范围内功能模块满足客户化需求。</w:t>
      </w:r>
    </w:p>
    <w:p w14:paraId="44299389">
      <w:pPr>
        <w:pStyle w:val="12"/>
        <w:snapToGrid w:val="0"/>
        <w:spacing w:line="360" w:lineRule="auto"/>
        <w:ind w:firstLine="480"/>
        <w:rPr>
          <w:rFonts w:ascii="宋体" w:hAnsi="宋体"/>
          <w:sz w:val="24"/>
          <w:szCs w:val="24"/>
        </w:rPr>
      </w:pPr>
      <w:r>
        <w:rPr>
          <w:rFonts w:hint="eastAsia" w:ascii="宋体" w:hAnsi="宋体"/>
          <w:sz w:val="24"/>
          <w:szCs w:val="24"/>
        </w:rPr>
        <w:t>系统免费质保期内，要求承建商工程师负责服务跟踪，至少每月对系统巡检一次，保证系统在最优化的状态下稳定运行。在质保期结束前，须由承建商工程师和院方代表进行一次全面检查，任何缺陷必须由承建商负责修改，在修改之后，承建商应将缺陷原因、修改内容、完成修改及恢复正常的时间和日期等报告给院方。报告一式两份。</w:t>
      </w:r>
    </w:p>
    <w:p w14:paraId="1FE1A015">
      <w:pPr>
        <w:pStyle w:val="3"/>
      </w:pPr>
      <w:bookmarkStart w:id="28" w:name="_Toc63785506"/>
      <w:r>
        <w:rPr>
          <w:rFonts w:hint="eastAsia"/>
        </w:rPr>
        <w:t>应急响应要求</w:t>
      </w:r>
      <w:bookmarkEnd w:id="28"/>
    </w:p>
    <w:p w14:paraId="6DDECE87">
      <w:pPr>
        <w:pStyle w:val="12"/>
        <w:snapToGrid w:val="0"/>
        <w:spacing w:line="360" w:lineRule="auto"/>
        <w:ind w:firstLine="480"/>
        <w:rPr>
          <w:rFonts w:ascii="宋体" w:hAnsi="宋体"/>
          <w:sz w:val="24"/>
          <w:szCs w:val="24"/>
        </w:rPr>
      </w:pPr>
      <w:r>
        <w:rPr>
          <w:rFonts w:hint="eastAsia" w:ascii="宋体" w:hAnsi="宋体"/>
          <w:sz w:val="24"/>
          <w:szCs w:val="24"/>
        </w:rPr>
        <w:t>投标人对系统故障应能够实时响应，若系统发生故障，接到通知后</w:t>
      </w:r>
      <w:r>
        <w:rPr>
          <w:rFonts w:ascii="宋体" w:hAnsi="宋体"/>
          <w:sz w:val="24"/>
          <w:szCs w:val="24"/>
        </w:rPr>
        <w:t>30分钟之内响应，专业工程师2小时内到达现场</w:t>
      </w:r>
      <w:r>
        <w:rPr>
          <w:rFonts w:hint="eastAsia" w:ascii="宋体" w:hAnsi="宋体"/>
          <w:sz w:val="24"/>
          <w:szCs w:val="24"/>
        </w:rPr>
        <w:t>。特殊故障与客户沟通协商后，按照协商的方式制定解决方案并进行处理。</w:t>
      </w:r>
    </w:p>
    <w:p w14:paraId="5E69FC84">
      <w:pPr>
        <w:pStyle w:val="12"/>
        <w:snapToGrid w:val="0"/>
        <w:spacing w:line="360" w:lineRule="auto"/>
        <w:ind w:firstLine="480"/>
        <w:rPr>
          <w:rFonts w:ascii="宋体" w:hAnsi="宋体"/>
          <w:sz w:val="24"/>
          <w:szCs w:val="24"/>
        </w:rPr>
      </w:pPr>
      <w:r>
        <w:rPr>
          <w:rFonts w:hint="eastAsia" w:ascii="宋体" w:hAnsi="宋体"/>
          <w:sz w:val="24"/>
          <w:szCs w:val="24"/>
        </w:rPr>
        <w:t>具体故障级别及对应的应急响应要求如下：</w:t>
      </w:r>
    </w:p>
    <w:p w14:paraId="4F544BF4">
      <w:pPr>
        <w:pStyle w:val="12"/>
        <w:snapToGrid w:val="0"/>
        <w:spacing w:line="360" w:lineRule="auto"/>
        <w:ind w:firstLine="480"/>
        <w:rPr>
          <w:rFonts w:ascii="宋体" w:hAnsi="宋体"/>
          <w:sz w:val="24"/>
          <w:szCs w:val="24"/>
        </w:rPr>
      </w:pPr>
      <w:r>
        <w:rPr>
          <w:rFonts w:hint="eastAsia" w:ascii="宋体" w:hAnsi="宋体"/>
          <w:sz w:val="24"/>
          <w:szCs w:val="24"/>
        </w:rPr>
        <w:t>一级故障：在</w:t>
      </w:r>
      <w:r>
        <w:rPr>
          <w:rFonts w:ascii="宋体" w:hAnsi="宋体"/>
          <w:sz w:val="24"/>
          <w:szCs w:val="24"/>
        </w:rPr>
        <w:t>1小时内确诊，总故障解决时间不超过4小时。</w:t>
      </w:r>
    </w:p>
    <w:p w14:paraId="4B3C2EBD">
      <w:pPr>
        <w:pStyle w:val="12"/>
        <w:snapToGrid w:val="0"/>
        <w:spacing w:line="360" w:lineRule="auto"/>
        <w:ind w:firstLine="480"/>
        <w:rPr>
          <w:rFonts w:ascii="宋体" w:hAnsi="宋体"/>
          <w:sz w:val="24"/>
          <w:szCs w:val="24"/>
        </w:rPr>
      </w:pPr>
      <w:r>
        <w:rPr>
          <w:rFonts w:hint="eastAsia" w:ascii="宋体" w:hAnsi="宋体"/>
          <w:sz w:val="24"/>
          <w:szCs w:val="24"/>
        </w:rPr>
        <w:t>二级故障：在</w:t>
      </w:r>
      <w:r>
        <w:rPr>
          <w:rFonts w:ascii="宋体" w:hAnsi="宋体"/>
          <w:sz w:val="24"/>
          <w:szCs w:val="24"/>
        </w:rPr>
        <w:t>2小时内确诊，并在4小时内由专家到达现场确诊并解决，总故障解决时间不超过8小时；</w:t>
      </w:r>
    </w:p>
    <w:p w14:paraId="0BE137DB">
      <w:pPr>
        <w:pStyle w:val="12"/>
        <w:snapToGrid w:val="0"/>
        <w:spacing w:line="360" w:lineRule="auto"/>
        <w:ind w:firstLine="480"/>
        <w:rPr>
          <w:rFonts w:ascii="宋体" w:hAnsi="宋体"/>
          <w:sz w:val="24"/>
          <w:szCs w:val="24"/>
        </w:rPr>
      </w:pPr>
      <w:r>
        <w:rPr>
          <w:rFonts w:hint="eastAsia" w:ascii="宋体" w:hAnsi="宋体"/>
          <w:sz w:val="24"/>
          <w:szCs w:val="24"/>
        </w:rPr>
        <w:t>三、四级故障：在</w:t>
      </w:r>
      <w:r>
        <w:rPr>
          <w:rFonts w:ascii="宋体" w:hAnsi="宋体"/>
          <w:sz w:val="24"/>
          <w:szCs w:val="24"/>
        </w:rPr>
        <w:t>4小时内确诊故障，总故障解决时间不超过16小时。</w:t>
      </w:r>
    </w:p>
    <w:p w14:paraId="72E4A143">
      <w:pPr>
        <w:pStyle w:val="3"/>
      </w:pPr>
      <w:bookmarkStart w:id="29" w:name="_Toc63785507"/>
      <w:r>
        <w:rPr>
          <w:rFonts w:hint="eastAsia"/>
        </w:rPr>
        <w:t>培训要求</w:t>
      </w:r>
      <w:bookmarkEnd w:id="29"/>
    </w:p>
    <w:p w14:paraId="557992A4">
      <w:r>
        <w:rPr>
          <w:rFonts w:hint="eastAsia"/>
        </w:rPr>
        <w:t>对系统使用单位提供业务操作培训，应提供详细培训方案。</w:t>
      </w:r>
    </w:p>
    <w:p w14:paraId="5C78597D">
      <w:r>
        <w:rPr>
          <w:rFonts w:hint="eastAsia"/>
        </w:rPr>
        <w:t>(1)在12个月的质量保证期内，提供2次与项目相关的必要培训。</w:t>
      </w:r>
    </w:p>
    <w:p w14:paraId="6726C7B1">
      <w:r>
        <w:rPr>
          <w:rFonts w:hint="eastAsia"/>
        </w:rPr>
        <w:t>(2)投标人需要开展分层次的人员培训工作，每次培训后应对参加培训人员进行测试，评估培训成果。培训应具有培训教材、培训环境和高水平的培训讲师。</w:t>
      </w:r>
    </w:p>
    <w:p w14:paraId="6481D6CB">
      <w:pPr>
        <w:rPr>
          <w:strike/>
          <w:szCs w:val="21"/>
        </w:rPr>
      </w:pPr>
      <w:r>
        <w:rPr>
          <w:rFonts w:hint="eastAsia"/>
        </w:rPr>
        <w:t>(3)投标人应提供一般用户的基础操作培训和部门信息管理员的日常应用维护的培训，确保用户对象能够掌握对应的操作技能。</w:t>
      </w:r>
    </w:p>
    <w:p w14:paraId="2D9DADAA">
      <w:pPr>
        <w:pStyle w:val="3"/>
      </w:pPr>
      <w:bookmarkStart w:id="30" w:name="_Toc63785509"/>
      <w:r>
        <w:rPr>
          <w:rFonts w:hint="eastAsia"/>
        </w:rPr>
        <w:t>进度要求</w:t>
      </w:r>
      <w:bookmarkEnd w:id="30"/>
    </w:p>
    <w:p w14:paraId="4E9A0B26">
      <w:r>
        <w:rPr>
          <w:rFonts w:hint="eastAsia"/>
        </w:rPr>
        <w:t>投标人应根据建设内容，分阶段制定合理的时间进度，并且应根据采购人要求进行调整和细化。</w:t>
      </w:r>
    </w:p>
    <w:p w14:paraId="7ADC4145">
      <w:r>
        <w:rPr>
          <w:rFonts w:hint="eastAsia"/>
        </w:rPr>
        <w:t>总建设周期为</w:t>
      </w:r>
      <w:r>
        <w:t>9</w:t>
      </w:r>
      <w:r>
        <w:rPr>
          <w:rFonts w:hint="eastAsia"/>
        </w:rPr>
        <w:t>个月，分为3个阶段。</w:t>
      </w:r>
    </w:p>
    <w:p w14:paraId="02C31D3A">
      <w:r>
        <w:rPr>
          <w:rFonts w:hint="eastAsia"/>
        </w:rPr>
        <w:t>第一阶段为</w:t>
      </w:r>
      <w:r>
        <w:t>3</w:t>
      </w:r>
      <w:r>
        <w:rPr>
          <w:rFonts w:hint="eastAsia"/>
        </w:rPr>
        <w:t>个月，完成工程设计与实施准备，包括全部硬件到货、安装与调试。</w:t>
      </w:r>
    </w:p>
    <w:p w14:paraId="0551DACE">
      <w:r>
        <w:rPr>
          <w:rFonts w:hint="eastAsia"/>
        </w:rPr>
        <w:t>第二阶段为</w:t>
      </w:r>
      <w:r>
        <w:t>4</w:t>
      </w:r>
      <w:r>
        <w:rPr>
          <w:rFonts w:hint="eastAsia"/>
        </w:rPr>
        <w:t>.5个月，完成系统部署、调试与上线进入试运行。</w:t>
      </w:r>
    </w:p>
    <w:p w14:paraId="704A8C9E">
      <w:r>
        <w:rPr>
          <w:rFonts w:hint="eastAsia"/>
        </w:rPr>
        <w:t>第三阶段为</w:t>
      </w:r>
      <w:r>
        <w:t>1.5</w:t>
      </w:r>
      <w:r>
        <w:rPr>
          <w:rFonts w:hint="eastAsia"/>
        </w:rPr>
        <w:t>个月，完成系统试运行并通过验收。</w:t>
      </w:r>
    </w:p>
    <w:p w14:paraId="735344C0"/>
    <w:p w14:paraId="4B063B97">
      <w:pPr>
        <w:pStyle w:val="3"/>
      </w:pPr>
      <w:bookmarkStart w:id="31" w:name="_Toc63785510"/>
      <w:r>
        <w:rPr>
          <w:rFonts w:hint="eastAsia"/>
        </w:rPr>
        <w:t>项目团队及驻场人员要求</w:t>
      </w:r>
      <w:bookmarkEnd w:id="31"/>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2930"/>
        <w:gridCol w:w="1180"/>
        <w:gridCol w:w="1759"/>
        <w:gridCol w:w="1483"/>
      </w:tblGrid>
      <w:tr w14:paraId="273D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220B8562">
            <w:pPr>
              <w:widowControl/>
              <w:spacing w:line="240" w:lineRule="auto"/>
              <w:ind w:firstLine="0" w:firstLineChars="0"/>
              <w:jc w:val="center"/>
              <w:rPr>
                <w:b/>
              </w:rPr>
            </w:pPr>
            <w:r>
              <w:rPr>
                <w:rFonts w:hint="eastAsia"/>
                <w:b/>
              </w:rPr>
              <w:t>角色</w:t>
            </w:r>
          </w:p>
        </w:tc>
        <w:tc>
          <w:tcPr>
            <w:tcW w:w="0" w:type="auto"/>
            <w:shd w:val="clear" w:color="auto" w:fill="auto"/>
            <w:noWrap/>
            <w:vAlign w:val="center"/>
          </w:tcPr>
          <w:p w14:paraId="0BC55D2B">
            <w:pPr>
              <w:widowControl/>
              <w:spacing w:line="240" w:lineRule="auto"/>
              <w:ind w:firstLine="0" w:firstLineChars="0"/>
              <w:jc w:val="center"/>
              <w:rPr>
                <w:b/>
              </w:rPr>
            </w:pPr>
            <w:r>
              <w:rPr>
                <w:rFonts w:hint="eastAsia"/>
                <w:b/>
              </w:rPr>
              <w:t>主要职责</w:t>
            </w:r>
          </w:p>
        </w:tc>
        <w:tc>
          <w:tcPr>
            <w:tcW w:w="0" w:type="auto"/>
            <w:shd w:val="clear" w:color="auto" w:fill="auto"/>
            <w:noWrap/>
            <w:vAlign w:val="center"/>
          </w:tcPr>
          <w:p w14:paraId="07B7D8CF">
            <w:pPr>
              <w:widowControl/>
              <w:spacing w:line="240" w:lineRule="auto"/>
              <w:ind w:firstLine="0" w:firstLineChars="0"/>
              <w:jc w:val="center"/>
              <w:rPr>
                <w:b/>
              </w:rPr>
            </w:pPr>
            <w:r>
              <w:rPr>
                <w:rFonts w:hint="eastAsia"/>
                <w:b/>
              </w:rPr>
              <w:t>人员数量</w:t>
            </w:r>
          </w:p>
        </w:tc>
        <w:tc>
          <w:tcPr>
            <w:tcW w:w="0" w:type="auto"/>
            <w:vAlign w:val="center"/>
          </w:tcPr>
          <w:p w14:paraId="12E95566">
            <w:pPr>
              <w:widowControl/>
              <w:spacing w:line="240" w:lineRule="auto"/>
              <w:ind w:firstLine="0" w:firstLineChars="0"/>
              <w:jc w:val="center"/>
              <w:rPr>
                <w:b/>
              </w:rPr>
            </w:pPr>
            <w:r>
              <w:rPr>
                <w:rFonts w:hint="eastAsia"/>
                <w:b/>
              </w:rPr>
              <w:t>人员要求</w:t>
            </w:r>
          </w:p>
        </w:tc>
        <w:tc>
          <w:tcPr>
            <w:tcW w:w="0" w:type="auto"/>
            <w:shd w:val="clear" w:color="auto" w:fill="auto"/>
            <w:noWrap/>
            <w:vAlign w:val="center"/>
          </w:tcPr>
          <w:p w14:paraId="2FEF5214">
            <w:pPr>
              <w:widowControl/>
              <w:spacing w:line="240" w:lineRule="auto"/>
              <w:ind w:firstLine="0" w:firstLineChars="0"/>
              <w:jc w:val="center"/>
              <w:rPr>
                <w:b/>
              </w:rPr>
            </w:pPr>
            <w:r>
              <w:rPr>
                <w:rFonts w:hint="eastAsia"/>
                <w:b/>
              </w:rPr>
              <w:t>驻场要求</w:t>
            </w:r>
          </w:p>
        </w:tc>
      </w:tr>
      <w:tr w14:paraId="38F7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38B5E11E">
            <w:pPr>
              <w:widowControl/>
              <w:spacing w:line="240" w:lineRule="auto"/>
              <w:ind w:firstLine="0" w:firstLineChars="0"/>
              <w:jc w:val="center"/>
            </w:pPr>
            <w:r>
              <w:rPr>
                <w:rFonts w:hint="eastAsia"/>
              </w:rPr>
              <w:t>项目经理</w:t>
            </w:r>
          </w:p>
        </w:tc>
        <w:tc>
          <w:tcPr>
            <w:tcW w:w="0" w:type="auto"/>
            <w:shd w:val="clear" w:color="auto" w:fill="auto"/>
            <w:vAlign w:val="center"/>
          </w:tcPr>
          <w:p w14:paraId="6F59B7B7">
            <w:pPr>
              <w:widowControl/>
              <w:spacing w:line="240" w:lineRule="auto"/>
              <w:ind w:firstLine="0" w:firstLineChars="0"/>
              <w:jc w:val="center"/>
            </w:pPr>
            <w:r>
              <w:rPr>
                <w:rFonts w:hint="eastAsia"/>
              </w:rPr>
              <w:t>负责项目质量和进度控制</w:t>
            </w:r>
          </w:p>
        </w:tc>
        <w:tc>
          <w:tcPr>
            <w:tcW w:w="0" w:type="auto"/>
            <w:shd w:val="clear" w:color="auto" w:fill="auto"/>
            <w:noWrap/>
            <w:vAlign w:val="center"/>
          </w:tcPr>
          <w:p w14:paraId="1A17A04C">
            <w:pPr>
              <w:widowControl/>
              <w:spacing w:line="240" w:lineRule="auto"/>
              <w:ind w:firstLine="0" w:firstLineChars="0"/>
              <w:jc w:val="center"/>
            </w:pPr>
            <w:r>
              <w:rPr>
                <w:rFonts w:hint="eastAsia"/>
              </w:rPr>
              <w:t>1人</w:t>
            </w:r>
          </w:p>
        </w:tc>
        <w:tc>
          <w:tcPr>
            <w:tcW w:w="0" w:type="auto"/>
            <w:vAlign w:val="center"/>
          </w:tcPr>
          <w:p w14:paraId="6E426051">
            <w:pPr>
              <w:widowControl/>
              <w:spacing w:line="240" w:lineRule="auto"/>
              <w:ind w:firstLine="0" w:firstLineChars="0"/>
              <w:jc w:val="center"/>
            </w:pPr>
            <w:r>
              <w:rPr>
                <w:rFonts w:hint="eastAsia"/>
              </w:rPr>
              <w:t>具备信息化项目实施管理经验，能够协调医院、监理、承建单位等各方</w:t>
            </w:r>
          </w:p>
        </w:tc>
        <w:tc>
          <w:tcPr>
            <w:tcW w:w="0" w:type="auto"/>
            <w:shd w:val="clear" w:color="auto" w:fill="auto"/>
            <w:noWrap/>
            <w:vAlign w:val="center"/>
          </w:tcPr>
          <w:p w14:paraId="01117D52">
            <w:pPr>
              <w:widowControl/>
              <w:spacing w:line="240" w:lineRule="auto"/>
              <w:ind w:firstLine="0" w:firstLineChars="0"/>
              <w:jc w:val="center"/>
            </w:pPr>
            <w:r>
              <w:rPr>
                <w:rFonts w:hint="eastAsia"/>
              </w:rPr>
              <w:t>否</w:t>
            </w:r>
          </w:p>
        </w:tc>
      </w:tr>
      <w:tr w14:paraId="04C24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76" w:type="dxa"/>
            <w:shd w:val="clear" w:color="auto" w:fill="auto"/>
            <w:noWrap/>
            <w:vAlign w:val="center"/>
          </w:tcPr>
          <w:p w14:paraId="6D31ADB2">
            <w:pPr>
              <w:widowControl/>
              <w:spacing w:line="240" w:lineRule="auto"/>
              <w:ind w:firstLine="0" w:firstLineChars="0"/>
              <w:jc w:val="center"/>
            </w:pPr>
            <w:r>
              <w:rPr>
                <w:rFonts w:hint="eastAsia"/>
              </w:rPr>
              <w:t>技术负责人/架构师</w:t>
            </w:r>
          </w:p>
        </w:tc>
        <w:tc>
          <w:tcPr>
            <w:tcW w:w="2930" w:type="dxa"/>
            <w:shd w:val="clear" w:color="auto" w:fill="auto"/>
            <w:vAlign w:val="center"/>
          </w:tcPr>
          <w:p w14:paraId="26A68BE9">
            <w:pPr>
              <w:widowControl/>
              <w:spacing w:line="240" w:lineRule="auto"/>
              <w:ind w:firstLine="0" w:firstLineChars="0"/>
              <w:jc w:val="center"/>
            </w:pPr>
            <w:r>
              <w:rPr>
                <w:rFonts w:hint="eastAsia"/>
              </w:rPr>
              <w:t>负责技术方案、系统架构、接口集成、部署实施和技术风险控制。</w:t>
            </w:r>
          </w:p>
        </w:tc>
        <w:tc>
          <w:tcPr>
            <w:tcW w:w="1177" w:type="dxa"/>
            <w:shd w:val="clear" w:color="auto" w:fill="auto"/>
            <w:noWrap/>
            <w:vAlign w:val="center"/>
          </w:tcPr>
          <w:p w14:paraId="366D9A89">
            <w:pPr>
              <w:widowControl/>
              <w:spacing w:line="240" w:lineRule="auto"/>
              <w:ind w:firstLine="0" w:firstLineChars="0"/>
              <w:jc w:val="center"/>
            </w:pPr>
            <w:r>
              <w:rPr>
                <w:rFonts w:hint="eastAsia"/>
              </w:rPr>
              <w:t>1人</w:t>
            </w:r>
          </w:p>
        </w:tc>
        <w:tc>
          <w:tcPr>
            <w:tcW w:w="1762" w:type="dxa"/>
            <w:vAlign w:val="center"/>
          </w:tcPr>
          <w:p w14:paraId="7F9DDA8E">
            <w:pPr>
              <w:widowControl/>
              <w:spacing w:line="240" w:lineRule="auto"/>
              <w:ind w:firstLine="0" w:firstLineChars="0"/>
              <w:jc w:val="center"/>
            </w:pPr>
            <w:r>
              <w:rPr>
                <w:rFonts w:hint="eastAsia"/>
              </w:rPr>
              <w:t>熟悉算力平台建设、系统集成、数据安全。</w:t>
            </w:r>
          </w:p>
        </w:tc>
        <w:tc>
          <w:tcPr>
            <w:tcW w:w="1483" w:type="dxa"/>
            <w:shd w:val="clear" w:color="auto" w:fill="auto"/>
            <w:noWrap/>
            <w:vAlign w:val="center"/>
          </w:tcPr>
          <w:p w14:paraId="41C374B2">
            <w:pPr>
              <w:widowControl/>
              <w:spacing w:line="240" w:lineRule="auto"/>
              <w:ind w:firstLine="0" w:firstLineChars="0"/>
              <w:jc w:val="center"/>
            </w:pPr>
            <w:r>
              <w:rPr>
                <w:rFonts w:hint="eastAsia"/>
              </w:rPr>
              <w:t>否</w:t>
            </w:r>
          </w:p>
        </w:tc>
      </w:tr>
      <w:tr w14:paraId="671C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5" w:hRule="atLeast"/>
          <w:jc w:val="center"/>
        </w:trPr>
        <w:tc>
          <w:tcPr>
            <w:tcW w:w="1176" w:type="dxa"/>
            <w:shd w:val="clear" w:color="auto" w:fill="auto"/>
            <w:noWrap/>
            <w:vAlign w:val="center"/>
          </w:tcPr>
          <w:p w14:paraId="7776FA77">
            <w:pPr>
              <w:widowControl/>
              <w:spacing w:line="240" w:lineRule="auto"/>
              <w:ind w:firstLine="0" w:firstLineChars="0"/>
              <w:jc w:val="center"/>
            </w:pPr>
            <w:r>
              <w:rPr>
                <w:rFonts w:hint="eastAsia"/>
              </w:rPr>
              <w:t>实施及研发人员</w:t>
            </w:r>
          </w:p>
        </w:tc>
        <w:tc>
          <w:tcPr>
            <w:tcW w:w="2930" w:type="dxa"/>
            <w:shd w:val="clear" w:color="auto" w:fill="auto"/>
            <w:noWrap/>
            <w:vAlign w:val="center"/>
          </w:tcPr>
          <w:p w14:paraId="4ABFEB8B">
            <w:pPr>
              <w:widowControl/>
              <w:spacing w:line="240" w:lineRule="auto"/>
              <w:ind w:firstLine="0" w:firstLineChars="0"/>
              <w:jc w:val="center"/>
            </w:pPr>
            <w:r>
              <w:rPr>
                <w:rFonts w:hint="eastAsia"/>
              </w:rPr>
              <w:t>负责系统配置、开发、接口联调、测试、上线和问题整改。</w:t>
            </w:r>
          </w:p>
        </w:tc>
        <w:tc>
          <w:tcPr>
            <w:tcW w:w="1177" w:type="dxa"/>
            <w:shd w:val="clear" w:color="auto" w:fill="auto"/>
            <w:noWrap/>
            <w:vAlign w:val="center"/>
          </w:tcPr>
          <w:p w14:paraId="5342CB38">
            <w:pPr>
              <w:widowControl/>
              <w:spacing w:line="240" w:lineRule="auto"/>
              <w:ind w:firstLine="0" w:firstLineChars="0"/>
              <w:jc w:val="center"/>
            </w:pPr>
            <w:r>
              <w:rPr>
                <w:rFonts w:hint="eastAsia"/>
              </w:rPr>
              <w:t>2人</w:t>
            </w:r>
          </w:p>
        </w:tc>
        <w:tc>
          <w:tcPr>
            <w:tcW w:w="1762" w:type="dxa"/>
            <w:vAlign w:val="center"/>
          </w:tcPr>
          <w:p w14:paraId="69AA3370">
            <w:pPr>
              <w:widowControl/>
              <w:spacing w:line="240" w:lineRule="auto"/>
              <w:ind w:firstLine="0" w:firstLineChars="0"/>
              <w:jc w:val="center"/>
            </w:pPr>
            <w:r>
              <w:rPr>
                <w:rFonts w:hint="eastAsia"/>
              </w:rPr>
              <w:t>具备相关产品实施、软件开发、数据库或接口联调能力。</w:t>
            </w:r>
          </w:p>
        </w:tc>
        <w:tc>
          <w:tcPr>
            <w:tcW w:w="1483" w:type="dxa"/>
            <w:shd w:val="clear" w:color="auto" w:fill="auto"/>
            <w:noWrap/>
            <w:vAlign w:val="center"/>
          </w:tcPr>
          <w:p w14:paraId="1E97D152">
            <w:pPr>
              <w:widowControl/>
              <w:spacing w:line="240" w:lineRule="auto"/>
              <w:ind w:firstLine="0" w:firstLineChars="0"/>
              <w:jc w:val="center"/>
            </w:pPr>
            <w:r>
              <w:rPr>
                <w:rFonts w:hint="eastAsia"/>
              </w:rPr>
              <w:t>是</w:t>
            </w:r>
          </w:p>
        </w:tc>
      </w:tr>
      <w:tr w14:paraId="76A97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176" w:type="dxa"/>
            <w:shd w:val="clear" w:color="auto" w:fill="auto"/>
            <w:noWrap/>
            <w:vAlign w:val="center"/>
          </w:tcPr>
          <w:p w14:paraId="3781D97D">
            <w:pPr>
              <w:widowControl/>
              <w:spacing w:line="240" w:lineRule="auto"/>
              <w:ind w:firstLine="0" w:firstLineChars="0"/>
              <w:jc w:val="center"/>
            </w:pPr>
            <w:r>
              <w:rPr>
                <w:rFonts w:hint="eastAsia"/>
              </w:rPr>
              <w:t>培训及运维人员</w:t>
            </w:r>
          </w:p>
        </w:tc>
        <w:tc>
          <w:tcPr>
            <w:tcW w:w="2930" w:type="dxa"/>
            <w:shd w:val="clear" w:color="auto" w:fill="auto"/>
            <w:noWrap/>
            <w:vAlign w:val="center"/>
          </w:tcPr>
          <w:p w14:paraId="46CE701F">
            <w:pPr>
              <w:widowControl/>
              <w:spacing w:line="240" w:lineRule="auto"/>
              <w:ind w:firstLine="0" w:firstLineChars="0"/>
              <w:jc w:val="center"/>
            </w:pPr>
            <w:r>
              <w:rPr>
                <w:rFonts w:hint="eastAsia"/>
              </w:rPr>
              <w:t>负责用户培训、运行维护、巡检、故障处理和质保期支持。</w:t>
            </w:r>
          </w:p>
        </w:tc>
        <w:tc>
          <w:tcPr>
            <w:tcW w:w="1177" w:type="dxa"/>
            <w:shd w:val="clear" w:color="auto" w:fill="auto"/>
            <w:noWrap/>
            <w:vAlign w:val="center"/>
          </w:tcPr>
          <w:p w14:paraId="5EC8199B">
            <w:pPr>
              <w:widowControl/>
              <w:spacing w:line="240" w:lineRule="auto"/>
              <w:ind w:firstLine="0" w:firstLineChars="0"/>
              <w:jc w:val="center"/>
            </w:pPr>
            <w:r>
              <w:rPr>
                <w:rFonts w:hint="eastAsia"/>
              </w:rPr>
              <w:t>2人</w:t>
            </w:r>
          </w:p>
        </w:tc>
        <w:tc>
          <w:tcPr>
            <w:tcW w:w="1762" w:type="dxa"/>
            <w:vAlign w:val="center"/>
          </w:tcPr>
          <w:p w14:paraId="13660EAB">
            <w:pPr>
              <w:widowControl/>
              <w:spacing w:line="240" w:lineRule="auto"/>
              <w:ind w:firstLine="0" w:firstLineChars="0"/>
              <w:jc w:val="center"/>
            </w:pPr>
            <w:r>
              <w:rPr>
                <w:rFonts w:hint="eastAsia"/>
              </w:rPr>
              <w:t>具备系统运维、培训交付和医疗行业服务经验。</w:t>
            </w:r>
          </w:p>
        </w:tc>
        <w:tc>
          <w:tcPr>
            <w:tcW w:w="1483" w:type="dxa"/>
            <w:shd w:val="clear" w:color="auto" w:fill="auto"/>
            <w:noWrap/>
            <w:vAlign w:val="center"/>
          </w:tcPr>
          <w:p w14:paraId="28EEF1C2">
            <w:pPr>
              <w:widowControl/>
              <w:spacing w:line="240" w:lineRule="auto"/>
              <w:ind w:firstLine="0" w:firstLineChars="0"/>
              <w:jc w:val="center"/>
            </w:pPr>
            <w:r>
              <w:rPr>
                <w:rFonts w:hint="eastAsia"/>
              </w:rPr>
              <w:t>是</w:t>
            </w:r>
          </w:p>
        </w:tc>
      </w:tr>
    </w:tbl>
    <w:p w14:paraId="29A3A25C">
      <w:pPr>
        <w:pStyle w:val="3"/>
      </w:pPr>
      <w:bookmarkStart w:id="32" w:name="_Toc63785511"/>
      <w:r>
        <w:t>等级保护要求</w:t>
      </w:r>
      <w:bookmarkEnd w:id="32"/>
    </w:p>
    <w:p w14:paraId="71D135C1">
      <w:r>
        <w:rPr>
          <w:rFonts w:hint="eastAsia"/>
        </w:rPr>
        <w:t>本项目应依据医院信息系统第三级网络安全等级保护要求开展建设，落实身份鉴别、访问控制、安全审计、通信保护、数据安全和运行维护安全等要求。</w:t>
      </w:r>
      <w:bookmarkStart w:id="34" w:name="_GoBack"/>
      <w:bookmarkEnd w:id="34"/>
    </w:p>
    <w:p w14:paraId="5F3EE23F">
      <w:pPr>
        <w:pStyle w:val="3"/>
      </w:pPr>
      <w:r>
        <w:rPr>
          <w:rFonts w:hint="eastAsia"/>
        </w:rPr>
        <w:t>商业密码应用需求</w:t>
      </w:r>
    </w:p>
    <w:p w14:paraId="27B49CA1">
      <w:r>
        <w:rPr>
          <w:rFonts w:hint="eastAsia"/>
        </w:rPr>
        <w:t>系统涉及医疗数据、患者隐私和业务接口交互，应结合医院商用密码应用建设要求，在身份认证、传输加密、数据存储保护、日志审计等环节落实相应密码应用措施。具体密码应用范围以医院密码应用方案及测评要求为准。</w:t>
      </w:r>
    </w:p>
    <w:p w14:paraId="0E33F22C">
      <w:pPr>
        <w:pStyle w:val="3"/>
      </w:pPr>
      <w:bookmarkStart w:id="33" w:name="_Toc63785512"/>
      <w:r>
        <w:rPr>
          <w:rFonts w:hint="eastAsia"/>
        </w:rPr>
        <w:t>技术文件要求</w:t>
      </w:r>
    </w:p>
    <w:p w14:paraId="6792FBAA">
      <w:r>
        <w:rPr>
          <w:rFonts w:hint="eastAsia"/>
        </w:rPr>
        <w:t>投标人提供的书面技术资料应能确保系统正常运行所需的管理、运营及维护有关的全套文件。技术文件应该全面、完整、详细。投标人提供的技术文件至少应包括：</w:t>
      </w:r>
    </w:p>
    <w:p w14:paraId="489F313D">
      <w:r>
        <w:rPr>
          <w:rFonts w:hint="eastAsia"/>
        </w:rPr>
        <w:t>－</w:t>
      </w:r>
      <w:r>
        <w:t xml:space="preserve"> 系统说明文件； </w:t>
      </w:r>
    </w:p>
    <w:p w14:paraId="0629D996">
      <w:r>
        <w:rPr>
          <w:rFonts w:hint="eastAsia"/>
        </w:rPr>
        <w:t>－</w:t>
      </w:r>
      <w:r>
        <w:t xml:space="preserve"> 技术手册(安装、测试、操作、维护、故障排除等)； </w:t>
      </w:r>
    </w:p>
    <w:p w14:paraId="4E8822D1">
      <w:r>
        <w:rPr>
          <w:rFonts w:hint="eastAsia"/>
        </w:rPr>
        <w:t>－</w:t>
      </w:r>
      <w:r>
        <w:t xml:space="preserve"> 项目文档，应该包括：</w:t>
      </w:r>
    </w:p>
    <w:p w14:paraId="2DB8E01C">
      <w:pPr>
        <w:numPr>
          <w:ilvl w:val="0"/>
          <w:numId w:val="4"/>
        </w:numPr>
        <w:tabs>
          <w:tab w:val="clear" w:pos="420"/>
        </w:tabs>
        <w:ind w:left="1265" w:firstLineChars="0"/>
      </w:pPr>
      <w:r>
        <w:t>软件需求说明书</w:t>
      </w:r>
    </w:p>
    <w:p w14:paraId="3D0A7870">
      <w:pPr>
        <w:numPr>
          <w:ilvl w:val="0"/>
          <w:numId w:val="4"/>
        </w:numPr>
        <w:tabs>
          <w:tab w:val="clear" w:pos="420"/>
        </w:tabs>
        <w:ind w:left="1265" w:firstLineChars="0"/>
      </w:pPr>
      <w:r>
        <w:t>系统总体设计说明书</w:t>
      </w:r>
    </w:p>
    <w:p w14:paraId="16429941">
      <w:pPr>
        <w:numPr>
          <w:ilvl w:val="0"/>
          <w:numId w:val="4"/>
        </w:numPr>
        <w:tabs>
          <w:tab w:val="clear" w:pos="420"/>
        </w:tabs>
        <w:ind w:left="1265" w:firstLineChars="0"/>
      </w:pPr>
      <w:r>
        <w:t>应用软件功能清单</w:t>
      </w:r>
    </w:p>
    <w:p w14:paraId="2DE14EA7">
      <w:pPr>
        <w:numPr>
          <w:ilvl w:val="0"/>
          <w:numId w:val="4"/>
        </w:numPr>
        <w:tabs>
          <w:tab w:val="clear" w:pos="420"/>
        </w:tabs>
        <w:ind w:left="1265" w:firstLineChars="0"/>
      </w:pPr>
      <w:r>
        <w:rPr>
          <w:rFonts w:hint="eastAsia"/>
        </w:rPr>
        <w:t>用户操作手册</w:t>
      </w:r>
    </w:p>
    <w:p w14:paraId="0CAE7E21">
      <w:pPr>
        <w:numPr>
          <w:ilvl w:val="0"/>
          <w:numId w:val="4"/>
        </w:numPr>
        <w:tabs>
          <w:tab w:val="clear" w:pos="420"/>
        </w:tabs>
        <w:ind w:left="1265" w:firstLineChars="0"/>
      </w:pPr>
      <w:r>
        <w:rPr>
          <w:rFonts w:hint="eastAsia"/>
        </w:rPr>
        <w:t>管理员维护手册</w:t>
      </w:r>
    </w:p>
    <w:p w14:paraId="688AA324">
      <w:pPr>
        <w:numPr>
          <w:ilvl w:val="0"/>
          <w:numId w:val="4"/>
        </w:numPr>
        <w:tabs>
          <w:tab w:val="clear" w:pos="420"/>
        </w:tabs>
        <w:ind w:left="1265" w:firstLineChars="0"/>
      </w:pPr>
      <w:r>
        <w:rPr>
          <w:rFonts w:hint="eastAsia"/>
        </w:rPr>
        <w:t>培训材料</w:t>
      </w:r>
    </w:p>
    <w:p w14:paraId="6F13D954">
      <w:pPr>
        <w:numPr>
          <w:ilvl w:val="0"/>
          <w:numId w:val="4"/>
        </w:numPr>
        <w:tabs>
          <w:tab w:val="clear" w:pos="420"/>
        </w:tabs>
        <w:ind w:left="1265" w:firstLineChars="0"/>
      </w:pPr>
      <w:r>
        <w:rPr>
          <w:rFonts w:hint="eastAsia"/>
        </w:rPr>
        <w:t>验收文档</w:t>
      </w:r>
    </w:p>
    <w:p w14:paraId="0D4C9D52">
      <w:pPr>
        <w:numPr>
          <w:ilvl w:val="0"/>
          <w:numId w:val="4"/>
        </w:numPr>
        <w:tabs>
          <w:tab w:val="clear" w:pos="420"/>
        </w:tabs>
        <w:ind w:left="1265" w:firstLineChars="0"/>
      </w:pPr>
      <w:r>
        <w:rPr>
          <w:rFonts w:hint="eastAsia"/>
        </w:rPr>
        <w:t>运维服务方案</w:t>
      </w:r>
    </w:p>
    <w:p w14:paraId="169CA22F">
      <w:pPr>
        <w:numPr>
          <w:ilvl w:val="0"/>
          <w:numId w:val="4"/>
        </w:numPr>
        <w:tabs>
          <w:tab w:val="clear" w:pos="420"/>
        </w:tabs>
        <w:ind w:left="1265" w:firstLineChars="0"/>
      </w:pPr>
      <w:r>
        <w:rPr>
          <w:rFonts w:hint="eastAsia"/>
        </w:rPr>
        <w:t>应急预案</w:t>
      </w:r>
    </w:p>
    <w:p w14:paraId="19BF5F10">
      <w:pPr>
        <w:pStyle w:val="13"/>
        <w:ind w:firstLine="480"/>
        <w:rPr>
          <w:sz w:val="24"/>
          <w:szCs w:val="24"/>
        </w:rPr>
      </w:pPr>
      <w:r>
        <w:rPr>
          <w:rFonts w:hint="eastAsia"/>
          <w:sz w:val="24"/>
          <w:szCs w:val="24"/>
        </w:rPr>
        <w:t>提供全套技术文件纸介质</w:t>
      </w:r>
      <w:r>
        <w:rPr>
          <w:sz w:val="24"/>
          <w:szCs w:val="24"/>
        </w:rPr>
        <w:t>2套以及电子文件1套</w:t>
      </w:r>
      <w:r>
        <w:rPr>
          <w:rFonts w:hint="eastAsia"/>
          <w:sz w:val="24"/>
          <w:szCs w:val="24"/>
        </w:rPr>
        <w:t>，并保证提交文档与最终上线系统版本一致</w:t>
      </w:r>
      <w:r>
        <w:rPr>
          <w:sz w:val="24"/>
          <w:szCs w:val="24"/>
        </w:rPr>
        <w:t>。</w:t>
      </w:r>
      <w:bookmarkEnd w:id="33"/>
    </w:p>
    <w:sectPr>
      <w:headerReference r:id="rId7" w:type="first"/>
      <w:footerReference r:id="rId10" w:type="first"/>
      <w:headerReference r:id="rId5" w:type="default"/>
      <w:footerReference r:id="rId8" w:type="default"/>
      <w:headerReference r:id="rId6" w:type="even"/>
      <w:footerReference r:id="rId9" w:type="even"/>
      <w:pgSz w:w="11906" w:h="16838"/>
      <w:pgMar w:top="1134" w:right="1797" w:bottom="1135" w:left="1797" w:header="340" w:footer="7" w:gutter="0"/>
      <w:pgNumType w:start="1"/>
      <w:cols w:space="720" w:num="1"/>
      <w:titlePg/>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文泉驿微米黑"/>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ESI黑体-GB13000">
    <w:panose1 w:val="02000500000000000000"/>
    <w:charset w:val="86"/>
    <w:family w:val="auto"/>
    <w:pitch w:val="default"/>
    <w:sig w:usb0="800002BF" w:usb1="38CF7CF8" w:usb2="00000016" w:usb3="00000000" w:csb0="0004000F" w:csb1="00000000"/>
  </w:font>
  <w:font w:name="Tahoma">
    <w:altName w:val="noto sans thai"/>
    <w:panose1 w:val="020B0604030504040204"/>
    <w:charset w:val="00"/>
    <w:family w:val="swiss"/>
    <w:pitch w:val="default"/>
    <w:sig w:usb0="00000000" w:usb1="00000000" w:usb2="00000029" w:usb3="00000000" w:csb0="000101FF" w:csb1="00000000"/>
  </w:font>
  <w:font w:name="noto sans thai">
    <w:panose1 w:val="020B0502040504020204"/>
    <w:charset w:val="00"/>
    <w:family w:val="auto"/>
    <w:pitch w:val="default"/>
    <w:sig w:usb0="81000063" w:usb1="00002000" w:usb2="00000000" w:usb3="00000000" w:csb0="00010000" w:csb1="00000000"/>
  </w:font>
  <w:font w:name="微软雅黑">
    <w:altName w:val="文泉驿微米黑"/>
    <w:panose1 w:val="020B0503020204020204"/>
    <w:charset w:val="86"/>
    <w:family w:val="swiss"/>
    <w:pitch w:val="default"/>
    <w:sig w:usb0="00000000" w:usb1="00000000" w:usb2="00000016" w:usb3="00000000" w:csb0="0004001F" w:csb1="00000000"/>
  </w:font>
  <w:font w:name="东文宋体">
    <w:altName w:val="Noto Serif CJK SC"/>
    <w:panose1 w:val="00000000000000000000"/>
    <w:charset w:val="00"/>
    <w:family w:val="auto"/>
    <w:pitch w:val="default"/>
    <w:sig w:usb0="00000000" w:usb1="00000000" w:usb2="00000000" w:usb3="00000000" w:csb0="00000000" w:csb1="00000000"/>
  </w:font>
  <w:font w:name="Noto Serif CJK SC">
    <w:panose1 w:val="02020400000000000000"/>
    <w:charset w:val="86"/>
    <w:family w:val="auto"/>
    <w:pitch w:val="default"/>
    <w:sig w:usb0="30000083" w:usb1="2BDF3C10" w:usb2="00000016" w:usb3="00000000" w:csb0="602E0107"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1E0AF">
    <w:pPr>
      <w:pStyle w:val="7"/>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11CEC">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AA4E4">
    <w:pPr>
      <w:ind w:firstLine="0" w:firstLineChars="0"/>
      <w:jc w:val="center"/>
      <w:rPr>
        <w:lang w:val="zh-CN"/>
      </w:rP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p w14:paraId="634069E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69D49">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33E50">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74D9A">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BCC7CA"/>
    <w:multiLevelType w:val="singleLevel"/>
    <w:tmpl w:val="8ABCC7CA"/>
    <w:lvl w:ilvl="0" w:tentative="0">
      <w:start w:val="1"/>
      <w:numFmt w:val="decimal"/>
      <w:lvlText w:val="%1)"/>
      <w:lvlJc w:val="left"/>
      <w:pPr>
        <w:ind w:left="425" w:hanging="425"/>
      </w:pPr>
      <w:rPr>
        <w:rFonts w:hint="default"/>
      </w:rPr>
    </w:lvl>
  </w:abstractNum>
  <w:abstractNum w:abstractNumId="1">
    <w:nsid w:val="A6F6FC13"/>
    <w:multiLevelType w:val="singleLevel"/>
    <w:tmpl w:val="A6F6FC13"/>
    <w:lvl w:ilvl="0" w:tentative="0">
      <w:start w:val="1"/>
      <w:numFmt w:val="decimal"/>
      <w:lvlText w:val="(%1)"/>
      <w:lvlJc w:val="left"/>
      <w:pPr>
        <w:tabs>
          <w:tab w:val="left" w:pos="420"/>
        </w:tabs>
        <w:ind w:left="845" w:hanging="425"/>
      </w:pPr>
      <w:rPr>
        <w:rFonts w:hint="default"/>
      </w:rPr>
    </w:lvl>
  </w:abstractNum>
  <w:abstractNum w:abstractNumId="2">
    <w:nsid w:val="FDFEEA3B"/>
    <w:multiLevelType w:val="singleLevel"/>
    <w:tmpl w:val="FDFEEA3B"/>
    <w:lvl w:ilvl="0" w:tentative="0">
      <w:start w:val="1"/>
      <w:numFmt w:val="decimal"/>
      <w:suff w:val="nothing"/>
      <w:lvlText w:val="%1、"/>
      <w:lvlJc w:val="left"/>
      <w:pPr>
        <w:ind w:left="0"/>
      </w:pPr>
    </w:lvl>
  </w:abstractNum>
  <w:abstractNum w:abstractNumId="3">
    <w:nsid w:val="6A2F4AB3"/>
    <w:multiLevelType w:val="multilevel"/>
    <w:tmpl w:val="6A2F4AB3"/>
    <w:lvl w:ilvl="0" w:tentative="0">
      <w:start w:val="1"/>
      <w:numFmt w:val="chineseCountingThousand"/>
      <w:pStyle w:val="2"/>
      <w:suff w:val="nothing"/>
      <w:lvlText w:val="%1、"/>
      <w:lvlJc w:val="left"/>
      <w:pPr>
        <w:ind w:left="425" w:hanging="425"/>
      </w:pPr>
      <w:rPr>
        <w:rFonts w:hint="eastAsia"/>
        <w:sz w:val="32"/>
        <w:szCs w:val="32"/>
      </w:rPr>
    </w:lvl>
    <w:lvl w:ilvl="1" w:tentative="0">
      <w:start w:val="1"/>
      <w:numFmt w:val="decimal"/>
      <w:pStyle w:val="3"/>
      <w:isLgl/>
      <w:suff w:val="nothing"/>
      <w:lvlText w:val="%1.%2、"/>
      <w:lvlJc w:val="left"/>
      <w:pPr>
        <w:ind w:left="1135" w:hanging="567"/>
      </w:pPr>
    </w:lvl>
    <w:lvl w:ilvl="2" w:tentative="0">
      <w:start w:val="1"/>
      <w:numFmt w:val="decimal"/>
      <w:isLgl/>
      <w:suff w:val="nothing"/>
      <w:lvlText w:val="%1.%2.%3、"/>
      <w:lvlJc w:val="left"/>
      <w:pPr>
        <w:ind w:left="1069" w:hanging="1069"/>
      </w:pPr>
      <w:rPr>
        <w:rFonts w:hint="default" w:ascii="宋体" w:hAnsi="宋体" w:eastAsia="宋体" w:cs="Arial"/>
      </w:rPr>
    </w:lvl>
    <w:lvl w:ilvl="3" w:tentative="0">
      <w:start w:val="1"/>
      <w:numFmt w:val="decimal"/>
      <w:isLgl/>
      <w:suff w:val="nothing"/>
      <w:lvlText w:val="%1.%2.%3.%4、"/>
      <w:lvlJc w:val="left"/>
      <w:pPr>
        <w:ind w:left="3403" w:hanging="851"/>
      </w:pPr>
    </w:lvl>
    <w:lvl w:ilvl="4" w:tentative="0">
      <w:start w:val="1"/>
      <w:numFmt w:val="decimal"/>
      <w:isLgl/>
      <w:suff w:val="nothing"/>
      <w:lvlText w:val="%1.%2.%3.%4.%5、"/>
      <w:lvlJc w:val="left"/>
      <w:pPr>
        <w:ind w:left="3544" w:hanging="992"/>
      </w:pPr>
      <w:rPr>
        <w:rFonts w:hint="eastAsia"/>
      </w:rPr>
    </w:lvl>
    <w:lvl w:ilvl="5" w:tentative="0">
      <w:start w:val="1"/>
      <w:numFmt w:val="decimal"/>
      <w:isLgl/>
      <w:suff w:val="nothing"/>
      <w:lvlText w:val="%1.%2.%3.%4.%5.%6、"/>
      <w:lvlJc w:val="left"/>
      <w:pPr>
        <w:ind w:left="1134" w:hanging="1134"/>
      </w:pPr>
      <w:rPr>
        <w:rFonts w:hint="eastAsia"/>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M1OTMyYmVkNDBiZGZjOTJjNzg0ZTljMGM2NGM1NWEifQ=="/>
  </w:docVars>
  <w:rsids>
    <w:rsidRoot w:val="00293D06"/>
    <w:rsid w:val="000D1E3D"/>
    <w:rsid w:val="00126414"/>
    <w:rsid w:val="0026369F"/>
    <w:rsid w:val="00293D06"/>
    <w:rsid w:val="00395217"/>
    <w:rsid w:val="003F50FE"/>
    <w:rsid w:val="004B5FB1"/>
    <w:rsid w:val="00545DC3"/>
    <w:rsid w:val="00721EEF"/>
    <w:rsid w:val="00D160CA"/>
    <w:rsid w:val="1F783FFD"/>
    <w:rsid w:val="2F5FC6D5"/>
    <w:rsid w:val="33AF2159"/>
    <w:rsid w:val="33C6471E"/>
    <w:rsid w:val="356EA06B"/>
    <w:rsid w:val="37F70813"/>
    <w:rsid w:val="3CEF7DDD"/>
    <w:rsid w:val="3DFEA9BA"/>
    <w:rsid w:val="543EF8FF"/>
    <w:rsid w:val="5D674EF7"/>
    <w:rsid w:val="5FE515D4"/>
    <w:rsid w:val="645D785C"/>
    <w:rsid w:val="65F2C8AA"/>
    <w:rsid w:val="65FAE4B9"/>
    <w:rsid w:val="7D1FDD5F"/>
    <w:rsid w:val="7D7B04D2"/>
    <w:rsid w:val="7D7F1ED5"/>
    <w:rsid w:val="7FB68BF0"/>
    <w:rsid w:val="7FBD6055"/>
    <w:rsid w:val="CFA736C8"/>
    <w:rsid w:val="DEBAB7C3"/>
    <w:rsid w:val="E5FD8D3E"/>
    <w:rsid w:val="E7BE6B77"/>
    <w:rsid w:val="EFEF0720"/>
    <w:rsid w:val="EFFFCD81"/>
    <w:rsid w:val="F5DE53AA"/>
    <w:rsid w:val="FBF9EB9E"/>
    <w:rsid w:val="FD9B05AE"/>
    <w:rsid w:val="FE9B9819"/>
    <w:rsid w:val="FEE1E873"/>
    <w:rsid w:val="FFF131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80" w:firstLineChars="200"/>
      <w:jc w:val="both"/>
    </w:pPr>
    <w:rPr>
      <w:rFonts w:ascii="宋体" w:hAnsi="宋体" w:eastAsia="宋体" w:cs="Times New Roman"/>
      <w:kern w:val="2"/>
      <w:sz w:val="24"/>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0" w:firstLineChars="0"/>
      <w:outlineLvl w:val="0"/>
    </w:pPr>
    <w:rPr>
      <w:rFonts w:eastAsia="黑体"/>
      <w:b/>
      <w:bCs/>
      <w:kern w:val="44"/>
      <w:sz w:val="32"/>
      <w:szCs w:val="28"/>
    </w:rPr>
  </w:style>
  <w:style w:type="paragraph" w:styleId="3">
    <w:name w:val="heading 2"/>
    <w:basedOn w:val="1"/>
    <w:next w:val="1"/>
    <w:qFormat/>
    <w:uiPriority w:val="9"/>
    <w:pPr>
      <w:keepNext/>
      <w:keepLines/>
      <w:numPr>
        <w:ilvl w:val="1"/>
        <w:numId w:val="1"/>
      </w:numPr>
      <w:spacing w:before="120" w:after="120"/>
      <w:ind w:firstLine="0" w:firstLineChars="0"/>
      <w:outlineLvl w:val="1"/>
    </w:pPr>
    <w:rPr>
      <w:b/>
      <w:bCs/>
      <w:sz w:val="30"/>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qFormat/>
    <w:uiPriority w:val="1"/>
    <w:pPr>
      <w:spacing w:before="139"/>
    </w:pPr>
  </w:style>
  <w:style w:type="paragraph" w:styleId="6">
    <w:name w:val="Balloon Text"/>
    <w:basedOn w:val="1"/>
    <w:link w:val="15"/>
    <w:qFormat/>
    <w:uiPriority w:val="0"/>
    <w:pPr>
      <w:spacing w:line="240" w:lineRule="auto"/>
    </w:pPr>
    <w:rPr>
      <w:sz w:val="18"/>
      <w:szCs w:val="18"/>
    </w:rPr>
  </w:style>
  <w:style w:type="paragraph" w:styleId="7">
    <w:name w:val="footer"/>
    <w:basedOn w:val="1"/>
    <w:link w:val="16"/>
    <w:qFormat/>
    <w:uiPriority w:val="0"/>
    <w:pPr>
      <w:tabs>
        <w:tab w:val="center" w:pos="4153"/>
        <w:tab w:val="right" w:pos="8306"/>
      </w:tabs>
      <w:snapToGrid w:val="0"/>
      <w:spacing w:line="240" w:lineRule="auto"/>
      <w:jc w:val="left"/>
    </w:pPr>
    <w:rPr>
      <w:sz w:val="18"/>
      <w:szCs w:val="18"/>
    </w:rPr>
  </w:style>
  <w:style w:type="paragraph" w:styleId="8">
    <w:name w:val="header"/>
    <w:basedOn w:val="1"/>
    <w:qFormat/>
    <w:uiPriority w:val="99"/>
    <w:pPr>
      <w:pBdr>
        <w:bottom w:val="single" w:color="auto" w:sz="4" w:space="0"/>
      </w:pBdr>
      <w:tabs>
        <w:tab w:val="center" w:pos="4153"/>
        <w:tab w:val="right" w:pos="8306"/>
      </w:tabs>
      <w:snapToGrid w:val="0"/>
      <w:jc w:val="center"/>
    </w:pPr>
    <w:rPr>
      <w:rFonts w:ascii="Times New Roman" w:hAnsi="Times New Roman"/>
      <w:sz w:val="18"/>
      <w:szCs w:val="18"/>
    </w:rPr>
  </w:style>
  <w:style w:type="character" w:styleId="11">
    <w:name w:val="annotation reference"/>
    <w:basedOn w:val="10"/>
    <w:qFormat/>
    <w:uiPriority w:val="0"/>
    <w:rPr>
      <w:sz w:val="21"/>
      <w:szCs w:val="21"/>
    </w:rPr>
  </w:style>
  <w:style w:type="paragraph" w:customStyle="1" w:styleId="12">
    <w:name w:val="正文缩进1"/>
    <w:basedOn w:val="1"/>
    <w:autoRedefine/>
    <w:qFormat/>
    <w:uiPriority w:val="0"/>
    <w:pPr>
      <w:spacing w:line="240" w:lineRule="auto"/>
      <w:ind w:firstLine="420"/>
    </w:pPr>
    <w:rPr>
      <w:rFonts w:ascii="Times New Roman" w:hAnsi="Times New Roman"/>
      <w:sz w:val="21"/>
      <w:szCs w:val="20"/>
    </w:rPr>
  </w:style>
  <w:style w:type="paragraph" w:customStyle="1" w:styleId="13">
    <w:name w:val="正文正文2"/>
    <w:basedOn w:val="1"/>
    <w:autoRedefine/>
    <w:qFormat/>
    <w:uiPriority w:val="0"/>
    <w:pPr>
      <w:ind w:firstLine="460"/>
    </w:pPr>
    <w:rPr>
      <w:sz w:val="21"/>
      <w:szCs w:val="21"/>
    </w:rPr>
  </w:style>
  <w:style w:type="paragraph" w:styleId="14">
    <w:name w:val="No Spacing"/>
    <w:qFormat/>
    <w:uiPriority w:val="1"/>
    <w:rPr>
      <w:rFonts w:ascii="Calibri" w:hAnsi="Calibri" w:eastAsia="宋体" w:cs="Times New Roman"/>
      <w:sz w:val="22"/>
      <w:szCs w:val="22"/>
      <w:lang w:val="en-US" w:eastAsia="zh-CN" w:bidi="ar-SA"/>
    </w:rPr>
  </w:style>
  <w:style w:type="character" w:customStyle="1" w:styleId="15">
    <w:name w:val="批注框文本 字符"/>
    <w:basedOn w:val="10"/>
    <w:link w:val="6"/>
    <w:qFormat/>
    <w:uiPriority w:val="0"/>
    <w:rPr>
      <w:rFonts w:ascii="宋体" w:hAnsi="宋体" w:eastAsia="宋体" w:cs="Times New Roman"/>
      <w:kern w:val="2"/>
      <w:sz w:val="18"/>
      <w:szCs w:val="18"/>
    </w:rPr>
  </w:style>
  <w:style w:type="character" w:customStyle="1" w:styleId="16">
    <w:name w:val="页脚 字符"/>
    <w:basedOn w:val="10"/>
    <w:link w:val="7"/>
    <w:qFormat/>
    <w:uiPriority w:val="0"/>
    <w:rPr>
      <w:rFonts w:ascii="宋体" w:hAnsi="宋体"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734</Words>
  <Characters>4185</Characters>
  <Lines>34</Lines>
  <Paragraphs>9</Paragraphs>
  <TotalTime>199</TotalTime>
  <ScaleCrop>false</ScaleCrop>
  <LinksUpToDate>false</LinksUpToDate>
  <CharactersWithSpaces>4910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2024-05-16T15:04:00Z</dcterms:created>
  <dc:creator>user</dc:creator>
  <cp:lastModifiedBy>李修辞</cp:lastModifiedBy>
  <dcterms:modified xsi:type="dcterms:W3CDTF">2026-09-28T12:26:35Z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980636FD3E5D01DDB9E37B6AAB79897F_43</vt:lpwstr>
  </property>
</Properties>
</file>