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373F" w14:textId="2581F336" w:rsidR="006830E3" w:rsidRDefault="00000000">
      <w:pPr>
        <w:jc w:val="center"/>
        <w:rPr>
          <w:b/>
          <w:sz w:val="32"/>
        </w:rPr>
      </w:pPr>
      <w:r>
        <w:rPr>
          <w:rFonts w:hint="eastAsia"/>
          <w:b/>
          <w:sz w:val="32"/>
        </w:rPr>
        <w:t>服务需求</w:t>
      </w:r>
    </w:p>
    <w:p w14:paraId="6651A32A" w14:textId="77777777" w:rsidR="00792CC5" w:rsidRDefault="00792CC5" w:rsidP="00792CC5">
      <w:pPr>
        <w:rPr>
          <w:rFonts w:hint="eastAsia"/>
          <w:b/>
          <w:sz w:val="32"/>
        </w:rPr>
      </w:pPr>
    </w:p>
    <w:p w14:paraId="7C14FE5E" w14:textId="2EA3DCF7" w:rsidR="006830E3" w:rsidRDefault="00000000">
      <w:pPr>
        <w:spacing w:line="360" w:lineRule="auto"/>
        <w:ind w:firstLine="408"/>
        <w:rPr>
          <w:sz w:val="24"/>
        </w:rPr>
      </w:pPr>
      <w:r>
        <w:rPr>
          <w:rFonts w:hint="eastAsia"/>
          <w:sz w:val="24"/>
        </w:rPr>
        <w:t>一、采购项目建设方案，需实现的功能或目标</w:t>
      </w:r>
    </w:p>
    <w:p w14:paraId="3B1F5D17" w14:textId="77777777" w:rsidR="006830E3" w:rsidRDefault="00000000">
      <w:pPr>
        <w:spacing w:line="360" w:lineRule="auto"/>
        <w:ind w:firstLineChars="200" w:firstLine="480"/>
        <w:rPr>
          <w:sz w:val="24"/>
        </w:rPr>
      </w:pPr>
      <w:r>
        <w:rPr>
          <w:rFonts w:hint="eastAsia"/>
          <w:sz w:val="24"/>
        </w:rPr>
        <w:t>1.</w:t>
      </w:r>
      <w:r>
        <w:rPr>
          <w:rFonts w:hint="eastAsia"/>
          <w:sz w:val="24"/>
        </w:rPr>
        <w:t>项目背景与建设意义</w:t>
      </w:r>
    </w:p>
    <w:p w14:paraId="150ACEE4" w14:textId="77777777" w:rsidR="006830E3" w:rsidRDefault="00000000">
      <w:pPr>
        <w:spacing w:line="360" w:lineRule="auto"/>
        <w:ind w:firstLineChars="200" w:firstLine="480"/>
        <w:rPr>
          <w:sz w:val="24"/>
        </w:rPr>
      </w:pPr>
      <w:r>
        <w:rPr>
          <w:rFonts w:hint="eastAsia"/>
          <w:sz w:val="24"/>
        </w:rPr>
        <w:t>出海企业财税综合教学平台（二期）建设以上海对外经贸大学“服务国家战略、对接区域经济”为核心导向，是一期建设的延续与升级。在一期已构建的基础上，进一步聚焦中国企业出海（尤其是“一带一路”及东盟区域）在更深层次的财税合</w:t>
      </w:r>
      <w:proofErr w:type="gramStart"/>
      <w:r>
        <w:rPr>
          <w:rFonts w:hint="eastAsia"/>
          <w:sz w:val="24"/>
        </w:rPr>
        <w:t>规</w:t>
      </w:r>
      <w:proofErr w:type="gramEnd"/>
      <w:r>
        <w:rPr>
          <w:rFonts w:hint="eastAsia"/>
          <w:sz w:val="24"/>
        </w:rPr>
        <w:t>与风险管控需求，如复杂跨境税务合</w:t>
      </w:r>
      <w:proofErr w:type="gramStart"/>
      <w:r>
        <w:rPr>
          <w:rFonts w:hint="eastAsia"/>
          <w:sz w:val="24"/>
        </w:rPr>
        <w:t>规</w:t>
      </w:r>
      <w:proofErr w:type="gramEnd"/>
      <w:r>
        <w:rPr>
          <w:rFonts w:hint="eastAsia"/>
          <w:sz w:val="24"/>
        </w:rPr>
        <w:t>管理、新兴市场财税风险应对等。通过持续</w:t>
      </w:r>
      <w:proofErr w:type="gramStart"/>
      <w:r>
        <w:rPr>
          <w:rFonts w:hint="eastAsia"/>
          <w:sz w:val="24"/>
        </w:rPr>
        <w:t>完善集</w:t>
      </w:r>
      <w:proofErr w:type="gramEnd"/>
      <w:r>
        <w:rPr>
          <w:rFonts w:hint="eastAsia"/>
          <w:sz w:val="24"/>
        </w:rPr>
        <w:t>数据整合、模型研发、案例教学与校企协同于一体的新型实验教学平台，模拟更真实复杂的出海场景，培养具备国际视野、区域深耕能力的高端财经人才，助力长三角企业“走出去”的财税决策优化与风险防控，更好地服务于二期教学平台的人才培养和企业服务目标。</w:t>
      </w:r>
    </w:p>
    <w:p w14:paraId="51ECECB2" w14:textId="77777777" w:rsidR="006830E3" w:rsidRDefault="00000000">
      <w:pPr>
        <w:spacing w:line="360" w:lineRule="auto"/>
        <w:ind w:firstLineChars="200" w:firstLine="480"/>
        <w:rPr>
          <w:sz w:val="24"/>
        </w:rPr>
      </w:pPr>
      <w:r>
        <w:rPr>
          <w:rFonts w:hint="eastAsia"/>
          <w:sz w:val="24"/>
        </w:rPr>
        <w:t>2.</w:t>
      </w:r>
      <w:r>
        <w:rPr>
          <w:rFonts w:hint="eastAsia"/>
          <w:sz w:val="24"/>
        </w:rPr>
        <w:t>总体建设目标</w:t>
      </w:r>
    </w:p>
    <w:p w14:paraId="086D8D5B" w14:textId="77777777" w:rsidR="006830E3" w:rsidRDefault="00000000">
      <w:pPr>
        <w:spacing w:line="360" w:lineRule="auto"/>
        <w:ind w:firstLineChars="200" w:firstLine="480"/>
        <w:rPr>
          <w:sz w:val="24"/>
          <w:highlight w:val="green"/>
        </w:rPr>
      </w:pPr>
      <w:r>
        <w:rPr>
          <w:rFonts w:hint="eastAsia"/>
          <w:sz w:val="24"/>
        </w:rPr>
        <w:t>出海企业财税综合教学平台（二期）建设聚焦中国企业出海财税合</w:t>
      </w:r>
      <w:proofErr w:type="gramStart"/>
      <w:r>
        <w:rPr>
          <w:rFonts w:hint="eastAsia"/>
          <w:sz w:val="24"/>
        </w:rPr>
        <w:t>规</w:t>
      </w:r>
      <w:proofErr w:type="gramEnd"/>
      <w:r>
        <w:rPr>
          <w:rFonts w:hint="eastAsia"/>
          <w:sz w:val="24"/>
        </w:rPr>
        <w:t>与风险管控，是在一期已构建的服务国家战略的实验教学平台基础上的深化升级。进一步定位东盟等区域，深化多语种政策、企业财务及宏观经济数据整合，升级跨境税务与财务分析模型，联合更多龙头企业共建实训基地，提升具备国际视野的高端财经人才培养的针对性和实用性，更好地助力长三角企业“走出去”决策优化与风险防控。</w:t>
      </w:r>
    </w:p>
    <w:p w14:paraId="2ACBBC11" w14:textId="77777777" w:rsidR="006830E3" w:rsidRDefault="00000000">
      <w:pPr>
        <w:spacing w:line="360" w:lineRule="auto"/>
        <w:ind w:firstLineChars="200" w:firstLine="480"/>
        <w:rPr>
          <w:sz w:val="24"/>
        </w:rPr>
      </w:pPr>
      <w:r>
        <w:rPr>
          <w:rFonts w:hint="eastAsia"/>
          <w:sz w:val="24"/>
        </w:rPr>
        <w:t>3.</w:t>
      </w:r>
      <w:r>
        <w:rPr>
          <w:rFonts w:hint="eastAsia"/>
          <w:sz w:val="24"/>
        </w:rPr>
        <w:t>主要建设内容</w:t>
      </w:r>
    </w:p>
    <w:p w14:paraId="037529C9" w14:textId="77777777" w:rsidR="006830E3" w:rsidRDefault="00000000">
      <w:pPr>
        <w:spacing w:line="360" w:lineRule="auto"/>
        <w:ind w:firstLineChars="200" w:firstLine="480"/>
        <w:rPr>
          <w:sz w:val="24"/>
        </w:rPr>
      </w:pPr>
      <w:r>
        <w:rPr>
          <w:rFonts w:hint="eastAsia"/>
          <w:sz w:val="24"/>
        </w:rPr>
        <w:t>本项目为出海企业财税综合教学平台（二期）项目，包含出海企业财税沙盘（二期共</w:t>
      </w:r>
      <w:r>
        <w:rPr>
          <w:rFonts w:hint="eastAsia"/>
          <w:sz w:val="24"/>
        </w:rPr>
        <w:t>4</w:t>
      </w:r>
      <w:r>
        <w:rPr>
          <w:rFonts w:hint="eastAsia"/>
          <w:sz w:val="24"/>
        </w:rPr>
        <w:t>个阶段），</w:t>
      </w:r>
      <w:r>
        <w:rPr>
          <w:rFonts w:hint="eastAsia"/>
          <w:sz w:val="24"/>
        </w:rPr>
        <w:t>2</w:t>
      </w:r>
      <w:r>
        <w:rPr>
          <w:rFonts w:hint="eastAsia"/>
          <w:sz w:val="24"/>
        </w:rPr>
        <w:t>个企业出海智能体（境外税务智能体和外汇管理智能体），</w:t>
      </w:r>
      <w:r>
        <w:rPr>
          <w:rFonts w:hint="eastAsia"/>
          <w:sz w:val="24"/>
        </w:rPr>
        <w:t>1</w:t>
      </w:r>
      <w:r>
        <w:rPr>
          <w:rFonts w:hint="eastAsia"/>
          <w:sz w:val="24"/>
        </w:rPr>
        <w:t>个全球经济</w:t>
      </w:r>
      <w:r>
        <w:rPr>
          <w:rFonts w:hint="eastAsia"/>
          <w:sz w:val="24"/>
        </w:rPr>
        <w:t>BI</w:t>
      </w:r>
      <w:r>
        <w:rPr>
          <w:rFonts w:hint="eastAsia"/>
          <w:sz w:val="24"/>
        </w:rPr>
        <w:t>项目模块，</w:t>
      </w:r>
      <w:r>
        <w:rPr>
          <w:rFonts w:hint="eastAsia"/>
          <w:sz w:val="24"/>
        </w:rPr>
        <w:t>1</w:t>
      </w:r>
      <w:r>
        <w:rPr>
          <w:rFonts w:hint="eastAsia"/>
          <w:sz w:val="24"/>
        </w:rPr>
        <w:t>个企业出海</w:t>
      </w:r>
      <w:r>
        <w:rPr>
          <w:rFonts w:hint="eastAsia"/>
          <w:sz w:val="24"/>
        </w:rPr>
        <w:t>REA</w:t>
      </w:r>
      <w:proofErr w:type="gramStart"/>
      <w:r>
        <w:rPr>
          <w:rFonts w:hint="eastAsia"/>
          <w:sz w:val="24"/>
        </w:rPr>
        <w:t>业财分析</w:t>
      </w:r>
      <w:proofErr w:type="gramEnd"/>
      <w:r>
        <w:rPr>
          <w:rFonts w:hint="eastAsia"/>
          <w:sz w:val="24"/>
        </w:rPr>
        <w:t>模块。内容体系具体如下：</w:t>
      </w:r>
    </w:p>
    <w:tbl>
      <w:tblPr>
        <w:tblW w:w="4998" w:type="pct"/>
        <w:tblLook w:val="04A0" w:firstRow="1" w:lastRow="0" w:firstColumn="1" w:lastColumn="0" w:noHBand="0" w:noVBand="1"/>
      </w:tblPr>
      <w:tblGrid>
        <w:gridCol w:w="1875"/>
        <w:gridCol w:w="2993"/>
        <w:gridCol w:w="3425"/>
      </w:tblGrid>
      <w:tr w:rsidR="006830E3" w14:paraId="5B2EFC72" w14:textId="77777777">
        <w:trPr>
          <w:trHeight w:val="440"/>
        </w:trPr>
        <w:tc>
          <w:tcPr>
            <w:tcW w:w="1130" w:type="pct"/>
            <w:tcBorders>
              <w:top w:val="single" w:sz="4" w:space="0" w:color="000000"/>
              <w:left w:val="single" w:sz="4" w:space="0" w:color="000000"/>
              <w:bottom w:val="single" w:sz="4" w:space="0" w:color="000000"/>
              <w:right w:val="single" w:sz="4" w:space="0" w:color="000000"/>
            </w:tcBorders>
            <w:vAlign w:val="center"/>
          </w:tcPr>
          <w:p w14:paraId="0D80B6E1"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模块名称</w:t>
            </w:r>
          </w:p>
        </w:tc>
        <w:tc>
          <w:tcPr>
            <w:tcW w:w="3869" w:type="pct"/>
            <w:gridSpan w:val="2"/>
            <w:tcBorders>
              <w:top w:val="single" w:sz="4" w:space="0" w:color="000000"/>
              <w:left w:val="single" w:sz="4" w:space="0" w:color="000000"/>
              <w:bottom w:val="single" w:sz="4" w:space="0" w:color="000000"/>
              <w:right w:val="single" w:sz="4" w:space="0" w:color="000000"/>
            </w:tcBorders>
            <w:vAlign w:val="center"/>
          </w:tcPr>
          <w:p w14:paraId="0BFA4F11"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lang w:bidi="ar"/>
              </w:rPr>
              <w:t>建设内容</w:t>
            </w:r>
          </w:p>
        </w:tc>
      </w:tr>
      <w:tr w:rsidR="006830E3" w14:paraId="350FD27E" w14:textId="77777777">
        <w:trPr>
          <w:trHeight w:val="440"/>
        </w:trPr>
        <w:tc>
          <w:tcPr>
            <w:tcW w:w="1130" w:type="pct"/>
            <w:vMerge w:val="restart"/>
            <w:tcBorders>
              <w:top w:val="single" w:sz="4" w:space="0" w:color="000000"/>
              <w:left w:val="single" w:sz="4" w:space="0" w:color="000000"/>
              <w:right w:val="single" w:sz="4" w:space="0" w:color="000000"/>
            </w:tcBorders>
            <w:vAlign w:val="center"/>
          </w:tcPr>
          <w:p w14:paraId="4E2193F0"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b/>
                <w:bCs/>
                <w:sz w:val="22"/>
                <w:lang w:bidi="ar"/>
              </w:rPr>
              <w:t>出海企业财税沙盘二期</w:t>
            </w:r>
          </w:p>
        </w:tc>
        <w:tc>
          <w:tcPr>
            <w:tcW w:w="1804" w:type="pct"/>
            <w:vMerge w:val="restart"/>
            <w:tcBorders>
              <w:top w:val="single" w:sz="4" w:space="0" w:color="000000"/>
              <w:left w:val="single" w:sz="4" w:space="0" w:color="000000"/>
              <w:right w:val="single" w:sz="4" w:space="0" w:color="000000"/>
            </w:tcBorders>
            <w:vAlign w:val="center"/>
          </w:tcPr>
          <w:p w14:paraId="07A56A32"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日常运营与持续合</w:t>
            </w:r>
            <w:proofErr w:type="gramStart"/>
            <w:r>
              <w:rPr>
                <w:rFonts w:ascii="宋体" w:eastAsia="宋体" w:hAnsi="宋体" w:cs="宋体" w:hint="eastAsia"/>
                <w:color w:val="000000"/>
                <w:kern w:val="0"/>
                <w:sz w:val="20"/>
                <w:szCs w:val="20"/>
              </w:rPr>
              <w:t>规</w:t>
            </w:r>
            <w:proofErr w:type="gramEnd"/>
            <w:r>
              <w:rPr>
                <w:rFonts w:ascii="宋体" w:eastAsia="宋体" w:hAnsi="宋体" w:cs="宋体" w:hint="eastAsia"/>
                <w:color w:val="000000"/>
                <w:kern w:val="0"/>
                <w:sz w:val="20"/>
                <w:szCs w:val="20"/>
              </w:rPr>
              <w:t>阶段</w:t>
            </w:r>
          </w:p>
        </w:tc>
        <w:tc>
          <w:tcPr>
            <w:tcW w:w="2065" w:type="pct"/>
            <w:tcBorders>
              <w:top w:val="single" w:sz="4" w:space="0" w:color="000000"/>
              <w:left w:val="single" w:sz="4" w:space="0" w:color="000000"/>
              <w:bottom w:val="single" w:sz="4" w:space="0" w:color="000000"/>
              <w:right w:val="single" w:sz="4" w:space="0" w:color="000000"/>
            </w:tcBorders>
            <w:vAlign w:val="center"/>
          </w:tcPr>
          <w:p w14:paraId="0DC4DDEE"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激励兑付</w:t>
            </w:r>
          </w:p>
        </w:tc>
      </w:tr>
      <w:tr w:rsidR="006830E3" w14:paraId="4C1DB107" w14:textId="77777777">
        <w:trPr>
          <w:trHeight w:val="440"/>
        </w:trPr>
        <w:tc>
          <w:tcPr>
            <w:tcW w:w="1130" w:type="pct"/>
            <w:vMerge/>
            <w:tcBorders>
              <w:left w:val="single" w:sz="4" w:space="0" w:color="000000"/>
              <w:right w:val="single" w:sz="4" w:space="0" w:color="000000"/>
            </w:tcBorders>
            <w:vAlign w:val="center"/>
          </w:tcPr>
          <w:p w14:paraId="3B0AF50E"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2E67E64A"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3D4CC2DB"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人力合</w:t>
            </w:r>
            <w:proofErr w:type="gramStart"/>
            <w:r>
              <w:rPr>
                <w:rFonts w:ascii="宋体" w:eastAsia="宋体" w:hAnsi="宋体" w:cs="宋体" w:hint="eastAsia"/>
                <w:color w:val="000000"/>
                <w:kern w:val="0"/>
                <w:sz w:val="20"/>
                <w:szCs w:val="20"/>
              </w:rPr>
              <w:t>规</w:t>
            </w:r>
            <w:proofErr w:type="gramEnd"/>
          </w:p>
        </w:tc>
      </w:tr>
      <w:tr w:rsidR="006830E3" w14:paraId="730706ED" w14:textId="77777777">
        <w:trPr>
          <w:trHeight w:val="440"/>
        </w:trPr>
        <w:tc>
          <w:tcPr>
            <w:tcW w:w="1130" w:type="pct"/>
            <w:vMerge/>
            <w:tcBorders>
              <w:left w:val="single" w:sz="4" w:space="0" w:color="000000"/>
              <w:right w:val="single" w:sz="4" w:space="0" w:color="000000"/>
            </w:tcBorders>
            <w:vAlign w:val="center"/>
          </w:tcPr>
          <w:p w14:paraId="2A1D4272"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3F8ACE47"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0194C546"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采购付款</w:t>
            </w:r>
          </w:p>
        </w:tc>
      </w:tr>
      <w:tr w:rsidR="006830E3" w14:paraId="6C73A38A" w14:textId="77777777">
        <w:trPr>
          <w:trHeight w:val="400"/>
        </w:trPr>
        <w:tc>
          <w:tcPr>
            <w:tcW w:w="1130" w:type="pct"/>
            <w:vMerge/>
            <w:tcBorders>
              <w:left w:val="single" w:sz="4" w:space="0" w:color="000000"/>
              <w:right w:val="single" w:sz="4" w:space="0" w:color="000000"/>
            </w:tcBorders>
            <w:vAlign w:val="center"/>
          </w:tcPr>
          <w:p w14:paraId="6FA19753"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bottom w:val="single" w:sz="4" w:space="0" w:color="000000"/>
              <w:right w:val="single" w:sz="4" w:space="0" w:color="000000"/>
            </w:tcBorders>
            <w:vAlign w:val="center"/>
          </w:tcPr>
          <w:p w14:paraId="25373447"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34115FDF"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司库管理</w:t>
            </w:r>
          </w:p>
        </w:tc>
      </w:tr>
      <w:tr w:rsidR="006830E3" w14:paraId="6896221D" w14:textId="77777777">
        <w:trPr>
          <w:trHeight w:val="400"/>
        </w:trPr>
        <w:tc>
          <w:tcPr>
            <w:tcW w:w="1130" w:type="pct"/>
            <w:vMerge/>
            <w:tcBorders>
              <w:left w:val="single" w:sz="4" w:space="0" w:color="000000"/>
              <w:right w:val="single" w:sz="4" w:space="0" w:color="000000"/>
            </w:tcBorders>
            <w:vAlign w:val="center"/>
          </w:tcPr>
          <w:p w14:paraId="2B55E470" w14:textId="77777777" w:rsidR="006830E3" w:rsidRDefault="006830E3">
            <w:pPr>
              <w:widowControl/>
              <w:jc w:val="left"/>
              <w:rPr>
                <w:rFonts w:ascii="宋体" w:eastAsia="宋体" w:hAnsi="宋体" w:cs="宋体" w:hint="eastAsia"/>
                <w:color w:val="000000"/>
                <w:kern w:val="0"/>
                <w:sz w:val="20"/>
                <w:szCs w:val="20"/>
              </w:rPr>
            </w:pPr>
          </w:p>
        </w:tc>
        <w:tc>
          <w:tcPr>
            <w:tcW w:w="1804" w:type="pct"/>
            <w:vMerge w:val="restart"/>
            <w:tcBorders>
              <w:top w:val="single" w:sz="4" w:space="0" w:color="000000"/>
              <w:left w:val="single" w:sz="4" w:space="0" w:color="000000"/>
              <w:right w:val="single" w:sz="4" w:space="0" w:color="000000"/>
            </w:tcBorders>
            <w:vAlign w:val="center"/>
          </w:tcPr>
          <w:p w14:paraId="5FFAF4C7"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经营管控与财务核算阶段</w:t>
            </w:r>
          </w:p>
        </w:tc>
        <w:tc>
          <w:tcPr>
            <w:tcW w:w="2065" w:type="pct"/>
            <w:tcBorders>
              <w:top w:val="single" w:sz="4" w:space="0" w:color="000000"/>
              <w:left w:val="single" w:sz="4" w:space="0" w:color="000000"/>
              <w:bottom w:val="single" w:sz="4" w:space="0" w:color="000000"/>
              <w:right w:val="single" w:sz="4" w:space="0" w:color="000000"/>
            </w:tcBorders>
            <w:vAlign w:val="center"/>
          </w:tcPr>
          <w:p w14:paraId="1E9A8DBD"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企业合并</w:t>
            </w:r>
          </w:p>
        </w:tc>
      </w:tr>
      <w:tr w:rsidR="006830E3" w14:paraId="4B3463DA" w14:textId="77777777">
        <w:trPr>
          <w:trHeight w:val="400"/>
        </w:trPr>
        <w:tc>
          <w:tcPr>
            <w:tcW w:w="1130" w:type="pct"/>
            <w:vMerge/>
            <w:tcBorders>
              <w:left w:val="single" w:sz="4" w:space="0" w:color="000000"/>
              <w:right w:val="single" w:sz="4" w:space="0" w:color="000000"/>
            </w:tcBorders>
            <w:vAlign w:val="center"/>
          </w:tcPr>
          <w:p w14:paraId="62A78EB2"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511A2C89"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427BAFC3"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成本管理</w:t>
            </w:r>
          </w:p>
        </w:tc>
      </w:tr>
      <w:tr w:rsidR="006830E3" w14:paraId="1CFB82FD" w14:textId="77777777">
        <w:trPr>
          <w:trHeight w:val="400"/>
        </w:trPr>
        <w:tc>
          <w:tcPr>
            <w:tcW w:w="1130" w:type="pct"/>
            <w:vMerge/>
            <w:tcBorders>
              <w:left w:val="single" w:sz="4" w:space="0" w:color="000000"/>
              <w:right w:val="single" w:sz="4" w:space="0" w:color="000000"/>
            </w:tcBorders>
            <w:vAlign w:val="center"/>
          </w:tcPr>
          <w:p w14:paraId="33E76C4D"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50329219"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256AE532"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责任会计</w:t>
            </w:r>
          </w:p>
        </w:tc>
      </w:tr>
      <w:tr w:rsidR="006830E3" w14:paraId="51C3B152" w14:textId="77777777">
        <w:trPr>
          <w:trHeight w:val="400"/>
        </w:trPr>
        <w:tc>
          <w:tcPr>
            <w:tcW w:w="1130" w:type="pct"/>
            <w:vMerge/>
            <w:tcBorders>
              <w:left w:val="single" w:sz="4" w:space="0" w:color="000000"/>
              <w:right w:val="single" w:sz="4" w:space="0" w:color="000000"/>
            </w:tcBorders>
            <w:vAlign w:val="center"/>
          </w:tcPr>
          <w:p w14:paraId="77DCD4AF"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6DD8474A"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69A6410C"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租赁会计</w:t>
            </w:r>
          </w:p>
        </w:tc>
      </w:tr>
      <w:tr w:rsidR="006830E3" w14:paraId="4B3B00C4" w14:textId="77777777">
        <w:trPr>
          <w:trHeight w:val="400"/>
        </w:trPr>
        <w:tc>
          <w:tcPr>
            <w:tcW w:w="1130" w:type="pct"/>
            <w:vMerge/>
            <w:tcBorders>
              <w:left w:val="single" w:sz="4" w:space="0" w:color="000000"/>
              <w:right w:val="single" w:sz="4" w:space="0" w:color="000000"/>
            </w:tcBorders>
            <w:vAlign w:val="center"/>
          </w:tcPr>
          <w:p w14:paraId="5B767A4B"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bottom w:val="single" w:sz="4" w:space="0" w:color="000000"/>
              <w:right w:val="single" w:sz="4" w:space="0" w:color="000000"/>
            </w:tcBorders>
            <w:vAlign w:val="center"/>
          </w:tcPr>
          <w:p w14:paraId="6B3E717A"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31A2A10D"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股权激励</w:t>
            </w:r>
          </w:p>
        </w:tc>
      </w:tr>
      <w:tr w:rsidR="006830E3" w14:paraId="0D3D0326" w14:textId="77777777">
        <w:trPr>
          <w:trHeight w:val="400"/>
        </w:trPr>
        <w:tc>
          <w:tcPr>
            <w:tcW w:w="1130" w:type="pct"/>
            <w:vMerge/>
            <w:tcBorders>
              <w:left w:val="single" w:sz="4" w:space="0" w:color="000000"/>
              <w:right w:val="single" w:sz="4" w:space="0" w:color="000000"/>
            </w:tcBorders>
            <w:vAlign w:val="center"/>
          </w:tcPr>
          <w:p w14:paraId="31994C4D" w14:textId="77777777" w:rsidR="006830E3" w:rsidRDefault="006830E3">
            <w:pPr>
              <w:widowControl/>
              <w:jc w:val="left"/>
              <w:rPr>
                <w:rFonts w:ascii="宋体" w:eastAsia="宋体" w:hAnsi="宋体" w:cs="宋体" w:hint="eastAsia"/>
                <w:color w:val="000000"/>
                <w:kern w:val="0"/>
                <w:sz w:val="20"/>
                <w:szCs w:val="20"/>
              </w:rPr>
            </w:pPr>
          </w:p>
        </w:tc>
        <w:tc>
          <w:tcPr>
            <w:tcW w:w="1804" w:type="pct"/>
            <w:vMerge w:val="restart"/>
            <w:tcBorders>
              <w:top w:val="single" w:sz="4" w:space="0" w:color="000000"/>
              <w:left w:val="single" w:sz="4" w:space="0" w:color="000000"/>
              <w:right w:val="single" w:sz="4" w:space="0" w:color="000000"/>
            </w:tcBorders>
            <w:vAlign w:val="center"/>
          </w:tcPr>
          <w:p w14:paraId="1DFAA18B"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外汇风险与国际税务阶段</w:t>
            </w:r>
          </w:p>
        </w:tc>
        <w:tc>
          <w:tcPr>
            <w:tcW w:w="2065" w:type="pct"/>
            <w:tcBorders>
              <w:top w:val="single" w:sz="4" w:space="0" w:color="000000"/>
              <w:left w:val="single" w:sz="4" w:space="0" w:color="000000"/>
              <w:bottom w:val="single" w:sz="4" w:space="0" w:color="000000"/>
              <w:right w:val="single" w:sz="4" w:space="0" w:color="000000"/>
            </w:tcBorders>
            <w:vAlign w:val="center"/>
          </w:tcPr>
          <w:p w14:paraId="5A6974ED"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套期保值</w:t>
            </w:r>
          </w:p>
        </w:tc>
      </w:tr>
      <w:tr w:rsidR="006830E3" w14:paraId="3FAC65AE" w14:textId="77777777">
        <w:trPr>
          <w:trHeight w:val="400"/>
        </w:trPr>
        <w:tc>
          <w:tcPr>
            <w:tcW w:w="1130" w:type="pct"/>
            <w:vMerge/>
            <w:tcBorders>
              <w:left w:val="single" w:sz="4" w:space="0" w:color="000000"/>
              <w:right w:val="single" w:sz="4" w:space="0" w:color="000000"/>
            </w:tcBorders>
            <w:vAlign w:val="center"/>
          </w:tcPr>
          <w:p w14:paraId="78AE7203"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5758D98B"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0E31DD1A"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个税处理</w:t>
            </w:r>
          </w:p>
        </w:tc>
      </w:tr>
      <w:tr w:rsidR="006830E3" w14:paraId="07866983" w14:textId="77777777">
        <w:trPr>
          <w:trHeight w:val="400"/>
        </w:trPr>
        <w:tc>
          <w:tcPr>
            <w:tcW w:w="1130" w:type="pct"/>
            <w:vMerge/>
            <w:tcBorders>
              <w:left w:val="single" w:sz="4" w:space="0" w:color="000000"/>
              <w:right w:val="single" w:sz="4" w:space="0" w:color="000000"/>
            </w:tcBorders>
            <w:vAlign w:val="center"/>
          </w:tcPr>
          <w:p w14:paraId="53C5AD7C"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619D4FC0"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64A3039F"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增值税务</w:t>
            </w:r>
          </w:p>
        </w:tc>
      </w:tr>
      <w:tr w:rsidR="006830E3" w14:paraId="4F591B6F" w14:textId="77777777">
        <w:trPr>
          <w:trHeight w:val="400"/>
        </w:trPr>
        <w:tc>
          <w:tcPr>
            <w:tcW w:w="1130" w:type="pct"/>
            <w:vMerge/>
            <w:tcBorders>
              <w:left w:val="single" w:sz="4" w:space="0" w:color="000000"/>
              <w:right w:val="single" w:sz="4" w:space="0" w:color="000000"/>
            </w:tcBorders>
            <w:vAlign w:val="center"/>
          </w:tcPr>
          <w:p w14:paraId="4A8A7B1D"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bottom w:val="single" w:sz="4" w:space="0" w:color="000000"/>
              <w:right w:val="single" w:sz="4" w:space="0" w:color="000000"/>
            </w:tcBorders>
            <w:vAlign w:val="center"/>
          </w:tcPr>
          <w:p w14:paraId="3DA1EE0A" w14:textId="77777777" w:rsidR="006830E3" w:rsidRDefault="006830E3">
            <w:pPr>
              <w:widowControl/>
              <w:jc w:val="center"/>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106E48C6" w14:textId="77777777" w:rsidR="006830E3" w:rsidRDefault="00000000">
            <w:pPr>
              <w:widowControl/>
              <w:jc w:val="center"/>
              <w:rPr>
                <w:rFonts w:ascii="宋体" w:eastAsia="宋体" w:hAnsi="宋体" w:cs="宋体" w:hint="eastAsia"/>
                <w:color w:val="000000"/>
                <w:kern w:val="0"/>
                <w:sz w:val="20"/>
                <w:szCs w:val="20"/>
              </w:rPr>
            </w:pPr>
            <w:proofErr w:type="gramStart"/>
            <w:r>
              <w:rPr>
                <w:rFonts w:ascii="宋体" w:eastAsia="宋体" w:hAnsi="宋体" w:cs="宋体" w:hint="eastAsia"/>
                <w:color w:val="000000"/>
                <w:kern w:val="0"/>
                <w:sz w:val="20"/>
                <w:szCs w:val="20"/>
              </w:rPr>
              <w:t>企税处理</w:t>
            </w:r>
            <w:proofErr w:type="gramEnd"/>
          </w:p>
        </w:tc>
      </w:tr>
      <w:tr w:rsidR="006830E3" w14:paraId="1EDC9D40" w14:textId="77777777">
        <w:trPr>
          <w:trHeight w:val="400"/>
        </w:trPr>
        <w:tc>
          <w:tcPr>
            <w:tcW w:w="1130" w:type="pct"/>
            <w:vMerge/>
            <w:tcBorders>
              <w:left w:val="single" w:sz="4" w:space="0" w:color="000000"/>
              <w:right w:val="single" w:sz="4" w:space="0" w:color="000000"/>
            </w:tcBorders>
            <w:vAlign w:val="center"/>
          </w:tcPr>
          <w:p w14:paraId="287E4612" w14:textId="77777777" w:rsidR="006830E3" w:rsidRDefault="006830E3">
            <w:pPr>
              <w:widowControl/>
              <w:jc w:val="left"/>
              <w:rPr>
                <w:rFonts w:ascii="宋体" w:eastAsia="宋体" w:hAnsi="宋体" w:cs="宋体" w:hint="eastAsia"/>
                <w:color w:val="000000"/>
                <w:kern w:val="0"/>
                <w:sz w:val="20"/>
                <w:szCs w:val="20"/>
              </w:rPr>
            </w:pPr>
          </w:p>
        </w:tc>
        <w:tc>
          <w:tcPr>
            <w:tcW w:w="1804" w:type="pct"/>
            <w:vMerge w:val="restart"/>
            <w:tcBorders>
              <w:top w:val="single" w:sz="4" w:space="0" w:color="000000"/>
              <w:left w:val="single" w:sz="4" w:space="0" w:color="000000"/>
              <w:right w:val="single" w:sz="4" w:space="0" w:color="000000"/>
            </w:tcBorders>
            <w:vAlign w:val="center"/>
          </w:tcPr>
          <w:p w14:paraId="1FADB502"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合并与分析阶段</w:t>
            </w:r>
          </w:p>
        </w:tc>
        <w:tc>
          <w:tcPr>
            <w:tcW w:w="2065" w:type="pct"/>
            <w:tcBorders>
              <w:top w:val="single" w:sz="4" w:space="0" w:color="000000"/>
              <w:left w:val="single" w:sz="4" w:space="0" w:color="000000"/>
              <w:bottom w:val="single" w:sz="4" w:space="0" w:color="000000"/>
              <w:right w:val="single" w:sz="4" w:space="0" w:color="000000"/>
            </w:tcBorders>
            <w:vAlign w:val="center"/>
          </w:tcPr>
          <w:p w14:paraId="56B635A2"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报表合并</w:t>
            </w:r>
          </w:p>
        </w:tc>
      </w:tr>
      <w:tr w:rsidR="006830E3" w14:paraId="28F694D9" w14:textId="77777777">
        <w:trPr>
          <w:trHeight w:val="400"/>
        </w:trPr>
        <w:tc>
          <w:tcPr>
            <w:tcW w:w="1130" w:type="pct"/>
            <w:vMerge/>
            <w:tcBorders>
              <w:left w:val="single" w:sz="4" w:space="0" w:color="000000"/>
              <w:right w:val="single" w:sz="4" w:space="0" w:color="000000"/>
            </w:tcBorders>
            <w:vAlign w:val="center"/>
          </w:tcPr>
          <w:p w14:paraId="108974D9"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04545F16" w14:textId="77777777" w:rsidR="006830E3" w:rsidRDefault="006830E3">
            <w:pPr>
              <w:widowControl/>
              <w:jc w:val="left"/>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5E55A7DB"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报表分析</w:t>
            </w:r>
          </w:p>
        </w:tc>
      </w:tr>
      <w:tr w:rsidR="006830E3" w14:paraId="29300178" w14:textId="77777777">
        <w:trPr>
          <w:trHeight w:val="400"/>
        </w:trPr>
        <w:tc>
          <w:tcPr>
            <w:tcW w:w="1130" w:type="pct"/>
            <w:vMerge/>
            <w:tcBorders>
              <w:left w:val="single" w:sz="4" w:space="0" w:color="000000"/>
              <w:right w:val="single" w:sz="4" w:space="0" w:color="000000"/>
            </w:tcBorders>
            <w:vAlign w:val="center"/>
          </w:tcPr>
          <w:p w14:paraId="16B919AF"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right w:val="single" w:sz="4" w:space="0" w:color="000000"/>
            </w:tcBorders>
            <w:vAlign w:val="center"/>
          </w:tcPr>
          <w:p w14:paraId="561B01AD" w14:textId="77777777" w:rsidR="006830E3" w:rsidRDefault="006830E3">
            <w:pPr>
              <w:widowControl/>
              <w:jc w:val="left"/>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000000"/>
              <w:right w:val="single" w:sz="4" w:space="0" w:color="000000"/>
            </w:tcBorders>
            <w:vAlign w:val="center"/>
          </w:tcPr>
          <w:p w14:paraId="02DFB0A2"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投后管理</w:t>
            </w:r>
          </w:p>
        </w:tc>
      </w:tr>
      <w:tr w:rsidR="006830E3" w14:paraId="6202F86A" w14:textId="77777777">
        <w:trPr>
          <w:trHeight w:val="440"/>
        </w:trPr>
        <w:tc>
          <w:tcPr>
            <w:tcW w:w="1130" w:type="pct"/>
            <w:vMerge/>
            <w:tcBorders>
              <w:left w:val="single" w:sz="4" w:space="0" w:color="000000"/>
              <w:bottom w:val="single" w:sz="4" w:space="0" w:color="auto"/>
              <w:right w:val="single" w:sz="4" w:space="0" w:color="000000"/>
            </w:tcBorders>
            <w:vAlign w:val="center"/>
          </w:tcPr>
          <w:p w14:paraId="31B52F83" w14:textId="77777777" w:rsidR="006830E3" w:rsidRDefault="006830E3">
            <w:pPr>
              <w:widowControl/>
              <w:jc w:val="left"/>
              <w:rPr>
                <w:rFonts w:ascii="宋体" w:eastAsia="宋体" w:hAnsi="宋体" w:cs="宋体" w:hint="eastAsia"/>
                <w:color w:val="000000"/>
                <w:kern w:val="0"/>
                <w:sz w:val="20"/>
                <w:szCs w:val="20"/>
              </w:rPr>
            </w:pPr>
          </w:p>
        </w:tc>
        <w:tc>
          <w:tcPr>
            <w:tcW w:w="1804" w:type="pct"/>
            <w:vMerge/>
            <w:tcBorders>
              <w:left w:val="single" w:sz="4" w:space="0" w:color="000000"/>
              <w:bottom w:val="single" w:sz="4" w:space="0" w:color="auto"/>
              <w:right w:val="single" w:sz="4" w:space="0" w:color="000000"/>
            </w:tcBorders>
            <w:vAlign w:val="center"/>
          </w:tcPr>
          <w:p w14:paraId="0EEC830B" w14:textId="77777777" w:rsidR="006830E3" w:rsidRDefault="006830E3">
            <w:pPr>
              <w:widowControl/>
              <w:jc w:val="left"/>
              <w:rPr>
                <w:rFonts w:ascii="宋体" w:eastAsia="宋体" w:hAnsi="宋体" w:cs="宋体" w:hint="eastAsia"/>
                <w:color w:val="000000"/>
                <w:kern w:val="0"/>
                <w:sz w:val="20"/>
                <w:szCs w:val="20"/>
              </w:rPr>
            </w:pPr>
          </w:p>
        </w:tc>
        <w:tc>
          <w:tcPr>
            <w:tcW w:w="2065" w:type="pct"/>
            <w:tcBorders>
              <w:top w:val="single" w:sz="4" w:space="0" w:color="000000"/>
              <w:left w:val="single" w:sz="4" w:space="0" w:color="000000"/>
              <w:bottom w:val="single" w:sz="4" w:space="0" w:color="auto"/>
              <w:right w:val="single" w:sz="4" w:space="0" w:color="000000"/>
            </w:tcBorders>
            <w:vAlign w:val="center"/>
          </w:tcPr>
          <w:p w14:paraId="22FAB7DD"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业绩评价</w:t>
            </w:r>
          </w:p>
        </w:tc>
      </w:tr>
      <w:tr w:rsidR="006830E3" w14:paraId="0C7D0BBF" w14:textId="77777777">
        <w:trPr>
          <w:trHeight w:val="440"/>
        </w:trPr>
        <w:tc>
          <w:tcPr>
            <w:tcW w:w="1130" w:type="pct"/>
            <w:tcBorders>
              <w:top w:val="single" w:sz="4" w:space="0" w:color="auto"/>
              <w:left w:val="single" w:sz="4" w:space="0" w:color="auto"/>
              <w:bottom w:val="single" w:sz="4" w:space="0" w:color="auto"/>
              <w:right w:val="single" w:sz="4" w:space="0" w:color="auto"/>
            </w:tcBorders>
            <w:vAlign w:val="center"/>
          </w:tcPr>
          <w:p w14:paraId="762B3766"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b/>
                <w:bCs/>
                <w:sz w:val="22"/>
                <w:lang w:bidi="ar"/>
              </w:rPr>
              <w:t>企业出海REA</w:t>
            </w:r>
            <w:proofErr w:type="gramStart"/>
            <w:r>
              <w:rPr>
                <w:rFonts w:ascii="宋体" w:eastAsia="宋体" w:hAnsi="宋体" w:cs="宋体" w:hint="eastAsia"/>
                <w:b/>
                <w:bCs/>
                <w:sz w:val="22"/>
                <w:lang w:bidi="ar"/>
              </w:rPr>
              <w:t>业财分析</w:t>
            </w:r>
            <w:proofErr w:type="gramEnd"/>
            <w:r>
              <w:rPr>
                <w:rFonts w:ascii="宋体" w:eastAsia="宋体" w:hAnsi="宋体" w:cs="宋体" w:hint="eastAsia"/>
                <w:b/>
                <w:bCs/>
                <w:sz w:val="22"/>
                <w:lang w:bidi="ar"/>
              </w:rPr>
              <w:t>模块</w:t>
            </w:r>
          </w:p>
        </w:tc>
        <w:tc>
          <w:tcPr>
            <w:tcW w:w="3869" w:type="pct"/>
            <w:gridSpan w:val="2"/>
            <w:tcBorders>
              <w:top w:val="single" w:sz="4" w:space="0" w:color="auto"/>
              <w:left w:val="single" w:sz="4" w:space="0" w:color="auto"/>
              <w:bottom w:val="single" w:sz="4" w:space="0" w:color="auto"/>
              <w:right w:val="single" w:sz="4" w:space="0" w:color="auto"/>
            </w:tcBorders>
            <w:vAlign w:val="center"/>
          </w:tcPr>
          <w:p w14:paraId="359DBFCF"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szCs w:val="21"/>
                <w:lang w:bidi="ar"/>
              </w:rPr>
              <w:t>基于企业出海业务，用</w:t>
            </w:r>
            <w:proofErr w:type="gramStart"/>
            <w:r>
              <w:rPr>
                <w:rFonts w:ascii="宋体" w:eastAsia="宋体" w:hAnsi="宋体" w:cs="宋体" w:hint="eastAsia"/>
                <w:szCs w:val="21"/>
                <w:lang w:bidi="ar"/>
              </w:rPr>
              <w:t>真实业务</w:t>
            </w:r>
            <w:proofErr w:type="gramEnd"/>
            <w:r>
              <w:rPr>
                <w:rFonts w:ascii="宋体" w:eastAsia="宋体" w:hAnsi="宋体" w:cs="宋体" w:hint="eastAsia"/>
                <w:szCs w:val="21"/>
                <w:lang w:bidi="ar"/>
              </w:rPr>
              <w:t>对象建模，用资源、事件、参与者刻画业务和数据库结构，具备 REA图谱绘制模块、 REA词典管理模块、会计凭证生成模块，并</w:t>
            </w:r>
            <w:proofErr w:type="gramStart"/>
            <w:r>
              <w:rPr>
                <w:rFonts w:ascii="宋体" w:eastAsia="宋体" w:hAnsi="宋体" w:cs="宋体" w:hint="eastAsia"/>
                <w:szCs w:val="21"/>
                <w:lang w:bidi="ar"/>
              </w:rPr>
              <w:t>预置预置</w:t>
            </w:r>
            <w:proofErr w:type="gramEnd"/>
            <w:r>
              <w:rPr>
                <w:rFonts w:ascii="宋体" w:eastAsia="宋体" w:hAnsi="宋体" w:cs="宋体" w:hint="eastAsia"/>
                <w:szCs w:val="21"/>
                <w:lang w:bidi="ar"/>
              </w:rPr>
              <w:t>典型企业出海业务案例。</w:t>
            </w:r>
          </w:p>
        </w:tc>
      </w:tr>
      <w:tr w:rsidR="006830E3" w14:paraId="2C36785B" w14:textId="77777777">
        <w:trPr>
          <w:trHeight w:val="440"/>
        </w:trPr>
        <w:tc>
          <w:tcPr>
            <w:tcW w:w="1130" w:type="pct"/>
            <w:tcBorders>
              <w:top w:val="single" w:sz="4" w:space="0" w:color="auto"/>
              <w:left w:val="single" w:sz="4" w:space="0" w:color="auto"/>
              <w:bottom w:val="single" w:sz="4" w:space="0" w:color="auto"/>
              <w:right w:val="single" w:sz="4" w:space="0" w:color="auto"/>
            </w:tcBorders>
            <w:vAlign w:val="center"/>
          </w:tcPr>
          <w:p w14:paraId="466F6416" w14:textId="77777777" w:rsidR="006830E3" w:rsidRDefault="00000000">
            <w:pPr>
              <w:spacing w:beforeLines="50" w:before="156"/>
              <w:jc w:val="center"/>
              <w:rPr>
                <w:rFonts w:ascii="宋体" w:eastAsia="宋体" w:hAnsi="宋体" w:cs="宋体" w:hint="eastAsia"/>
                <w:b/>
                <w:bCs/>
                <w:sz w:val="22"/>
                <w:lang w:bidi="ar"/>
              </w:rPr>
            </w:pPr>
            <w:r>
              <w:rPr>
                <w:rFonts w:ascii="宋体" w:eastAsia="宋体" w:hAnsi="宋体" w:cs="宋体" w:hint="eastAsia"/>
                <w:b/>
                <w:bCs/>
                <w:sz w:val="22"/>
                <w:lang w:bidi="ar"/>
              </w:rPr>
              <w:t>境外财税咨询智能体模块</w:t>
            </w:r>
          </w:p>
          <w:p w14:paraId="1E850D23" w14:textId="77777777" w:rsidR="006830E3" w:rsidRDefault="006830E3">
            <w:pPr>
              <w:widowControl/>
              <w:jc w:val="center"/>
              <w:rPr>
                <w:rFonts w:ascii="宋体" w:eastAsia="宋体" w:hAnsi="宋体" w:cs="宋体" w:hint="eastAsia"/>
                <w:color w:val="000000"/>
                <w:kern w:val="0"/>
                <w:sz w:val="20"/>
                <w:szCs w:val="20"/>
              </w:rPr>
            </w:pPr>
          </w:p>
        </w:tc>
        <w:tc>
          <w:tcPr>
            <w:tcW w:w="3869" w:type="pct"/>
            <w:gridSpan w:val="2"/>
            <w:tcBorders>
              <w:top w:val="single" w:sz="4" w:space="0" w:color="auto"/>
              <w:left w:val="single" w:sz="4" w:space="0" w:color="auto"/>
              <w:bottom w:val="single" w:sz="4" w:space="0" w:color="auto"/>
              <w:right w:val="single" w:sz="4" w:space="0" w:color="auto"/>
            </w:tcBorders>
            <w:vAlign w:val="center"/>
          </w:tcPr>
          <w:p w14:paraId="778BA9D4"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szCs w:val="21"/>
                <w:lang w:bidi="ar"/>
              </w:rPr>
              <w:t>财税咨询智能体应涵盖企业出海过程中涉及的国际税务、跨境会计准则、转移定价、税收协定、投资合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等专业领域的智能问答与政策解读。</w:t>
            </w:r>
          </w:p>
        </w:tc>
      </w:tr>
      <w:tr w:rsidR="006830E3" w14:paraId="28228966" w14:textId="77777777">
        <w:trPr>
          <w:trHeight w:val="1024"/>
        </w:trPr>
        <w:tc>
          <w:tcPr>
            <w:tcW w:w="1130" w:type="pct"/>
            <w:tcBorders>
              <w:top w:val="single" w:sz="4" w:space="0" w:color="auto"/>
              <w:left w:val="single" w:sz="4" w:space="0" w:color="auto"/>
              <w:bottom w:val="single" w:sz="4" w:space="0" w:color="auto"/>
              <w:right w:val="single" w:sz="4" w:space="0" w:color="auto"/>
            </w:tcBorders>
            <w:vAlign w:val="center"/>
          </w:tcPr>
          <w:p w14:paraId="33A4F812"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b/>
                <w:bCs/>
                <w:sz w:val="22"/>
                <w:lang w:bidi="ar"/>
              </w:rPr>
              <w:t>境外外汇咨询智能体模块</w:t>
            </w:r>
          </w:p>
        </w:tc>
        <w:tc>
          <w:tcPr>
            <w:tcW w:w="3869" w:type="pct"/>
            <w:gridSpan w:val="2"/>
            <w:tcBorders>
              <w:top w:val="single" w:sz="4" w:space="0" w:color="auto"/>
              <w:left w:val="single" w:sz="4" w:space="0" w:color="auto"/>
              <w:bottom w:val="single" w:sz="4" w:space="0" w:color="auto"/>
              <w:right w:val="single" w:sz="4" w:space="0" w:color="auto"/>
            </w:tcBorders>
            <w:vAlign w:val="center"/>
          </w:tcPr>
          <w:p w14:paraId="1C68A3A1"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szCs w:val="21"/>
                <w:lang w:bidi="ar"/>
              </w:rPr>
              <w:t>外汇咨询智能体应能够涵盖企业出海过程中涉及的汇率风险管理、跨境资金调拨、外汇管制政策、国际支付结算、套期保值等金融专业领域的智能问答与策略建议。</w:t>
            </w:r>
          </w:p>
        </w:tc>
      </w:tr>
      <w:tr w:rsidR="006830E3" w14:paraId="2D7A3CB4" w14:textId="77777777">
        <w:trPr>
          <w:trHeight w:val="1026"/>
        </w:trPr>
        <w:tc>
          <w:tcPr>
            <w:tcW w:w="1130" w:type="pct"/>
            <w:tcBorders>
              <w:top w:val="single" w:sz="4" w:space="0" w:color="auto"/>
              <w:left w:val="single" w:sz="4" w:space="0" w:color="auto"/>
              <w:bottom w:val="single" w:sz="4" w:space="0" w:color="auto"/>
              <w:right w:val="single" w:sz="4" w:space="0" w:color="auto"/>
            </w:tcBorders>
            <w:vAlign w:val="center"/>
          </w:tcPr>
          <w:p w14:paraId="4B793C64"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b/>
                <w:bCs/>
                <w:sz w:val="22"/>
                <w:lang w:bidi="ar"/>
              </w:rPr>
              <w:t>全球经济BI项目模块</w:t>
            </w:r>
          </w:p>
        </w:tc>
        <w:tc>
          <w:tcPr>
            <w:tcW w:w="3869" w:type="pct"/>
            <w:gridSpan w:val="2"/>
            <w:tcBorders>
              <w:top w:val="single" w:sz="4" w:space="0" w:color="auto"/>
              <w:left w:val="single" w:sz="4" w:space="0" w:color="auto"/>
              <w:bottom w:val="single" w:sz="4" w:space="0" w:color="auto"/>
              <w:right w:val="single" w:sz="4" w:space="0" w:color="auto"/>
            </w:tcBorders>
            <w:vAlign w:val="center"/>
          </w:tcPr>
          <w:p w14:paraId="4C78CA2A" w14:textId="77777777" w:rsidR="006830E3"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szCs w:val="21"/>
                <w:lang w:bidi="ar"/>
              </w:rPr>
              <w:t>应包括国际宏观经济数据，全球经济统计数据，中国进出口数据等都可以基于交互查看视觉对象进行展示。</w:t>
            </w:r>
          </w:p>
        </w:tc>
      </w:tr>
    </w:tbl>
    <w:p w14:paraId="64AFF79D" w14:textId="5F60C393" w:rsidR="006830E3" w:rsidRDefault="00000000">
      <w:pPr>
        <w:spacing w:line="360" w:lineRule="auto"/>
        <w:ind w:firstLine="408"/>
        <w:rPr>
          <w:sz w:val="24"/>
        </w:rPr>
      </w:pPr>
      <w:r>
        <w:rPr>
          <w:rFonts w:hint="eastAsia"/>
          <w:sz w:val="24"/>
        </w:rPr>
        <w:t>二、采购项目建设需满足的技术规格、质量、安全、物理特性等要求</w:t>
      </w:r>
    </w:p>
    <w:tbl>
      <w:tblPr>
        <w:tblW w:w="4998" w:type="pct"/>
        <w:jc w:val="center"/>
        <w:tblCellMar>
          <w:top w:w="80" w:type="dxa"/>
          <w:left w:w="102" w:type="dxa"/>
          <w:bottom w:w="80" w:type="dxa"/>
          <w:right w:w="102" w:type="dxa"/>
        </w:tblCellMar>
        <w:tblLook w:val="04A0" w:firstRow="1" w:lastRow="0" w:firstColumn="1" w:lastColumn="0" w:noHBand="0" w:noVBand="1"/>
      </w:tblPr>
      <w:tblGrid>
        <w:gridCol w:w="1508"/>
        <w:gridCol w:w="6785"/>
      </w:tblGrid>
      <w:tr w:rsidR="006830E3" w14:paraId="2A230324" w14:textId="77777777">
        <w:trPr>
          <w:tblHeader/>
          <w:jc w:val="center"/>
        </w:trPr>
        <w:tc>
          <w:tcPr>
            <w:tcW w:w="909" w:type="pct"/>
            <w:tcBorders>
              <w:top w:val="single" w:sz="4" w:space="0" w:color="000000"/>
              <w:left w:val="single" w:sz="4" w:space="0" w:color="000000"/>
              <w:bottom w:val="single" w:sz="4" w:space="0" w:color="000000"/>
              <w:right w:val="single" w:sz="4" w:space="0" w:color="000000"/>
            </w:tcBorders>
            <w:vAlign w:val="center"/>
          </w:tcPr>
          <w:p w14:paraId="3D767BAA" w14:textId="77777777" w:rsidR="006830E3" w:rsidRDefault="00000000">
            <w:pPr>
              <w:snapToGrid w:val="0"/>
              <w:jc w:val="center"/>
              <w:rPr>
                <w:rFonts w:ascii="宋体" w:eastAsia="宋体" w:hAnsi="宋体" w:cs="宋体" w:hint="eastAsia"/>
                <w:b/>
                <w:szCs w:val="21"/>
              </w:rPr>
            </w:pPr>
            <w:r>
              <w:rPr>
                <w:rFonts w:ascii="宋体" w:eastAsia="宋体" w:hAnsi="宋体" w:cs="宋体" w:hint="eastAsia"/>
                <w:b/>
                <w:szCs w:val="21"/>
              </w:rPr>
              <w:t>设备名称</w:t>
            </w:r>
          </w:p>
        </w:tc>
        <w:tc>
          <w:tcPr>
            <w:tcW w:w="4090" w:type="pct"/>
            <w:tcBorders>
              <w:top w:val="single" w:sz="4" w:space="0" w:color="000000"/>
              <w:left w:val="single" w:sz="4" w:space="0" w:color="000000"/>
              <w:bottom w:val="single" w:sz="4" w:space="0" w:color="000000"/>
              <w:right w:val="single" w:sz="4" w:space="0" w:color="000000"/>
            </w:tcBorders>
            <w:vAlign w:val="center"/>
          </w:tcPr>
          <w:p w14:paraId="05730F6A" w14:textId="77777777" w:rsidR="006830E3" w:rsidRDefault="00000000">
            <w:pPr>
              <w:snapToGrid w:val="0"/>
              <w:jc w:val="center"/>
              <w:rPr>
                <w:rFonts w:ascii="宋体" w:eastAsia="宋体" w:hAnsi="宋体" w:cs="宋体" w:hint="eastAsia"/>
                <w:b/>
                <w:szCs w:val="21"/>
              </w:rPr>
            </w:pPr>
            <w:r>
              <w:rPr>
                <w:rFonts w:ascii="宋体" w:eastAsia="宋体" w:hAnsi="宋体" w:cs="宋体" w:hint="eastAsia"/>
                <w:b/>
                <w:szCs w:val="21"/>
              </w:rPr>
              <w:t>技术要求／参数</w:t>
            </w:r>
          </w:p>
        </w:tc>
      </w:tr>
      <w:tr w:rsidR="006830E3" w14:paraId="11E4C382" w14:textId="77777777">
        <w:trPr>
          <w:jc w:val="center"/>
        </w:trPr>
        <w:tc>
          <w:tcPr>
            <w:tcW w:w="909" w:type="pct"/>
            <w:tcBorders>
              <w:top w:val="single" w:sz="4" w:space="0" w:color="000000"/>
              <w:left w:val="single" w:sz="4" w:space="0" w:color="000000"/>
              <w:bottom w:val="single" w:sz="4" w:space="0" w:color="000000"/>
              <w:right w:val="single" w:sz="4" w:space="0" w:color="000000"/>
            </w:tcBorders>
            <w:vAlign w:val="center"/>
          </w:tcPr>
          <w:p w14:paraId="1C3C474F" w14:textId="77777777" w:rsidR="006830E3" w:rsidRDefault="00000000">
            <w:pPr>
              <w:snapToGrid w:val="0"/>
              <w:jc w:val="center"/>
              <w:rPr>
                <w:rFonts w:ascii="宋体" w:eastAsia="宋体" w:hAnsi="宋体" w:cs="宋体" w:hint="eastAsia"/>
                <w:szCs w:val="21"/>
              </w:rPr>
            </w:pPr>
            <w:r>
              <w:rPr>
                <w:rFonts w:ascii="宋体" w:eastAsia="宋体" w:hAnsi="宋体" w:cs="宋体" w:hint="eastAsia"/>
                <w:szCs w:val="21"/>
              </w:rPr>
              <w:t>出海企业财税综合教学平台（二期）</w:t>
            </w:r>
          </w:p>
        </w:tc>
        <w:tc>
          <w:tcPr>
            <w:tcW w:w="4090" w:type="pct"/>
            <w:tcBorders>
              <w:top w:val="single" w:sz="4" w:space="0" w:color="000000"/>
              <w:left w:val="single" w:sz="4" w:space="0" w:color="000000"/>
              <w:bottom w:val="single" w:sz="4" w:space="0" w:color="000000"/>
              <w:right w:val="single" w:sz="4" w:space="0" w:color="000000"/>
            </w:tcBorders>
            <w:vAlign w:val="center"/>
          </w:tcPr>
          <w:p w14:paraId="14E43ED7" w14:textId="77777777" w:rsidR="006830E3" w:rsidRDefault="00000000">
            <w:pPr>
              <w:spacing w:beforeLines="50" w:before="156"/>
              <w:rPr>
                <w:rFonts w:ascii="宋体" w:eastAsia="宋体" w:hAnsi="宋体" w:cs="宋体" w:hint="eastAsia"/>
                <w:b/>
                <w:bCs/>
                <w:sz w:val="22"/>
                <w:lang w:bidi="ar"/>
              </w:rPr>
            </w:pPr>
            <w:r>
              <w:rPr>
                <w:rFonts w:ascii="宋体" w:eastAsia="宋体" w:hAnsi="宋体" w:cs="宋体" w:hint="eastAsia"/>
                <w:b/>
                <w:bCs/>
                <w:sz w:val="22"/>
                <w:lang w:bidi="ar"/>
              </w:rPr>
              <w:t>一、出海企业财税沙盘二期定制开发技术要求</w:t>
            </w:r>
          </w:p>
          <w:p w14:paraId="5D0FE334" w14:textId="1E3BC20F"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出海企业财税沙盘二期应包含日常运营与持续合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、经营管控与财务核算、外汇风险与国际税务、合并与分析等4个阶段。</w:t>
            </w:r>
          </w:p>
          <w:p w14:paraId="170BE050" w14:textId="75908340"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日常运营与持续合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阶段应包含激励兑付、人力合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、采购付款、司库管理任务；经营管控与财务核算阶段应包含企业合并、成本管理、责任会计、租赁会计、业绩激励任务；外汇风险与国际税务阶段应包含套期保值、个税处理、增值税务、</w:t>
            </w:r>
            <w:proofErr w:type="gramStart"/>
            <w:r>
              <w:rPr>
                <w:rFonts w:ascii="宋体" w:eastAsia="宋体" w:hAnsi="宋体" w:cs="宋体" w:hint="eastAsia"/>
                <w:szCs w:val="21"/>
                <w:lang w:bidi="ar"/>
              </w:rPr>
              <w:t>企税处理</w:t>
            </w:r>
            <w:proofErr w:type="gramEnd"/>
            <w:r>
              <w:rPr>
                <w:rFonts w:ascii="宋体" w:eastAsia="宋体" w:hAnsi="宋体" w:cs="宋体" w:hint="eastAsia"/>
                <w:szCs w:val="21"/>
                <w:lang w:bidi="ar"/>
              </w:rPr>
              <w:t>任务；合并与分析阶段应包含报表合并、报表分析、投后管理、业绩评价任务。</w:t>
            </w:r>
          </w:p>
          <w:p w14:paraId="1B437A15"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沙盘中政府激励兑付与合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复核任务应能够按KPI提交就业/税收/投资证明文件；激励兑付中期审计；回溯条款合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性检查</w:t>
            </w:r>
          </w:p>
          <w:p w14:paraId="299AB3DD"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lastRenderedPageBreak/>
              <w:t>沙盘中人力与用工合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管理任务应能够进行员工个税居民身份认定；社保与法定福利缴纳；派驻人员津贴税务处理、费用报销制度与相关税收规定</w:t>
            </w:r>
          </w:p>
          <w:p w14:paraId="2B19BC48"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沙盘中采购预付款业务管理应能够进行多货币、多体系下的采购合同审批流程、三单匹配（订单/入库单/发票）与付款业务流程。</w:t>
            </w:r>
            <w:proofErr w:type="gramStart"/>
            <w:r>
              <w:rPr>
                <w:rFonts w:ascii="宋体" w:eastAsia="宋体" w:hAnsi="宋体" w:cs="宋体" w:hint="eastAsia"/>
                <w:szCs w:val="21"/>
                <w:lang w:bidi="ar"/>
              </w:rPr>
              <w:t>以业财融合</w:t>
            </w:r>
            <w:proofErr w:type="gramEnd"/>
            <w:r>
              <w:rPr>
                <w:rFonts w:ascii="宋体" w:eastAsia="宋体" w:hAnsi="宋体" w:cs="宋体" w:hint="eastAsia"/>
                <w:szCs w:val="21"/>
                <w:lang w:bidi="ar"/>
              </w:rPr>
              <w:t>的方式，同步在多准则</w:t>
            </w:r>
            <w:proofErr w:type="gramStart"/>
            <w:r>
              <w:rPr>
                <w:rFonts w:ascii="宋体" w:eastAsia="宋体" w:hAnsi="宋体" w:cs="宋体" w:hint="eastAsia"/>
                <w:szCs w:val="21"/>
                <w:lang w:bidi="ar"/>
              </w:rPr>
              <w:t>账套下</w:t>
            </w:r>
            <w:proofErr w:type="gramEnd"/>
            <w:r>
              <w:rPr>
                <w:rFonts w:ascii="宋体" w:eastAsia="宋体" w:hAnsi="宋体" w:cs="宋体" w:hint="eastAsia"/>
                <w:szCs w:val="21"/>
                <w:lang w:bidi="ar"/>
              </w:rPr>
              <w:t>平行生成会计凭证；跨境收付合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管理与票据链完整性审核</w:t>
            </w:r>
          </w:p>
          <w:p w14:paraId="01DDEFF8"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沙盘中跨国</w:t>
            </w:r>
            <w:proofErr w:type="gramStart"/>
            <w:r>
              <w:rPr>
                <w:rFonts w:ascii="宋体" w:eastAsia="宋体" w:hAnsi="宋体" w:cs="宋体" w:hint="eastAsia"/>
                <w:szCs w:val="21"/>
                <w:lang w:bidi="ar"/>
              </w:rPr>
              <w:t>司库管</w:t>
            </w:r>
            <w:proofErr w:type="gramEnd"/>
            <w:r>
              <w:rPr>
                <w:rFonts w:ascii="宋体" w:eastAsia="宋体" w:hAnsi="宋体" w:cs="宋体" w:hint="eastAsia"/>
                <w:szCs w:val="21"/>
                <w:lang w:bidi="ar"/>
              </w:rPr>
              <w:t>理应能够进行外汇集中管理与风险对冲；跨境资金池搭建；反洗钱/反恐怖融资/反逃税（三反）合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检查</w:t>
            </w:r>
          </w:p>
          <w:p w14:paraId="60D574FF"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沙盘中企业合并会计处理应能够进行同</w:t>
            </w:r>
            <w:proofErr w:type="gramStart"/>
            <w:r>
              <w:rPr>
                <w:rFonts w:ascii="宋体" w:eastAsia="宋体" w:hAnsi="宋体" w:cs="宋体" w:hint="eastAsia"/>
                <w:szCs w:val="21"/>
                <w:lang w:bidi="ar"/>
              </w:rPr>
              <w:t>一控制</w:t>
            </w:r>
            <w:proofErr w:type="gramEnd"/>
            <w:r>
              <w:rPr>
                <w:rFonts w:ascii="宋体" w:eastAsia="宋体" w:hAnsi="宋体" w:cs="宋体" w:hint="eastAsia"/>
                <w:szCs w:val="21"/>
                <w:lang w:bidi="ar"/>
              </w:rPr>
              <w:t>下企业合并与非同</w:t>
            </w:r>
            <w:proofErr w:type="gramStart"/>
            <w:r>
              <w:rPr>
                <w:rFonts w:ascii="宋体" w:eastAsia="宋体" w:hAnsi="宋体" w:cs="宋体" w:hint="eastAsia"/>
                <w:szCs w:val="21"/>
                <w:lang w:bidi="ar"/>
              </w:rPr>
              <w:t>一控制</w:t>
            </w:r>
            <w:proofErr w:type="gramEnd"/>
            <w:r>
              <w:rPr>
                <w:rFonts w:ascii="宋体" w:eastAsia="宋体" w:hAnsi="宋体" w:cs="宋体" w:hint="eastAsia"/>
                <w:szCs w:val="21"/>
                <w:lang w:bidi="ar"/>
              </w:rPr>
              <w:t>下企业合并的会计处理差异；购买法下的可辨认净资产公允价值评估、商誉初始计量与后续减值测试；</w:t>
            </w:r>
            <w:proofErr w:type="gramStart"/>
            <w:r>
              <w:rPr>
                <w:rFonts w:ascii="宋体" w:eastAsia="宋体" w:hAnsi="宋体" w:cs="宋体" w:hint="eastAsia"/>
                <w:szCs w:val="21"/>
                <w:lang w:bidi="ar"/>
              </w:rPr>
              <w:t>合并日</w:t>
            </w:r>
            <w:proofErr w:type="gramEnd"/>
            <w:r>
              <w:rPr>
                <w:rFonts w:ascii="宋体" w:eastAsia="宋体" w:hAnsi="宋体" w:cs="宋体" w:hint="eastAsia"/>
                <w:szCs w:val="21"/>
                <w:lang w:bidi="ar"/>
              </w:rPr>
              <w:t>被购买方资产负债的逐项公允价值调整；合并成本分摊与购买价格分配（PPA）。</w:t>
            </w:r>
          </w:p>
          <w:p w14:paraId="799B0EF0"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沙盘中战略成本管理应用应能够进行作业成本法（ABC）下成本动因识别与作业成本池归集，产品成本精细核算；目标成本法在新产品定价中的应用（目标售价→目标利润→目标成本）；价值</w:t>
            </w:r>
            <w:proofErr w:type="gramStart"/>
            <w:r>
              <w:rPr>
                <w:rFonts w:ascii="宋体" w:eastAsia="宋体" w:hAnsi="宋体" w:cs="宋体" w:hint="eastAsia"/>
                <w:szCs w:val="21"/>
                <w:lang w:bidi="ar"/>
              </w:rPr>
              <w:t>链成本</w:t>
            </w:r>
            <w:proofErr w:type="gramEnd"/>
            <w:r>
              <w:rPr>
                <w:rFonts w:ascii="宋体" w:eastAsia="宋体" w:hAnsi="宋体" w:cs="宋体" w:hint="eastAsia"/>
                <w:szCs w:val="21"/>
                <w:lang w:bidi="ar"/>
              </w:rPr>
              <w:t>分析——</w:t>
            </w:r>
            <w:proofErr w:type="gramStart"/>
            <w:r>
              <w:rPr>
                <w:rFonts w:ascii="宋体" w:eastAsia="宋体" w:hAnsi="宋体" w:cs="宋体" w:hint="eastAsia"/>
                <w:szCs w:val="21"/>
                <w:lang w:bidi="ar"/>
              </w:rPr>
              <w:t>识别增值</w:t>
            </w:r>
            <w:proofErr w:type="gramEnd"/>
            <w:r>
              <w:rPr>
                <w:rFonts w:ascii="宋体" w:eastAsia="宋体" w:hAnsi="宋体" w:cs="宋体" w:hint="eastAsia"/>
                <w:szCs w:val="21"/>
                <w:lang w:bidi="ar"/>
              </w:rPr>
              <w:t>作业与非增值作业，提出成本优化方案；跨境供应链中的关税成本、物流成本与合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成本综合管控。</w:t>
            </w:r>
          </w:p>
          <w:p w14:paraId="6FAC8E70"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责任会计与内部转移定价应能够进行责任中心类型划分（成本中心/利润中心/投资中心）与绩效指标设计；内部转移定价方法选择（市场基础法、成本加成法、协商定价法）与适用条件分析；转移定价对责任中心利润、整体税负及业绩评价的影响；跨国转移定价三层文档（主体文档/本地文档/国别报告）编制与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评估。</w:t>
            </w:r>
          </w:p>
          <w:p w14:paraId="4AAEA683"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租赁会计准则应用应能够进行承租人与出租人的会计处理差异，融资租赁与经营租赁的判定标准（所有权转移、购买选择权、租赁期占经济寿命比重、最低租赁付款额现值占比等五项指标）；使用权资产与租赁负债的初始计量与后续计量（含折现率确定与租赁付款额构成）；售后租回交易的会计处理与损益确认；跨境租赁中多币种租赁负债的汇率</w:t>
            </w:r>
            <w:proofErr w:type="gramStart"/>
            <w:r>
              <w:rPr>
                <w:rFonts w:ascii="宋体" w:eastAsia="宋体" w:hAnsi="宋体" w:cs="宋体" w:hint="eastAsia"/>
                <w:szCs w:val="21"/>
                <w:lang w:bidi="ar"/>
              </w:rPr>
              <w:t>重估与外币</w:t>
            </w:r>
            <w:proofErr w:type="gramEnd"/>
            <w:r>
              <w:rPr>
                <w:rFonts w:ascii="宋体" w:eastAsia="宋体" w:hAnsi="宋体" w:cs="宋体" w:hint="eastAsia"/>
                <w:szCs w:val="21"/>
                <w:lang w:bidi="ar"/>
              </w:rPr>
              <w:t>折算差异。</w:t>
            </w:r>
          </w:p>
          <w:p w14:paraId="19C54320"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股权激励体系设计应能够进行平衡计分卡（BSC）四维度（财务/客户/内部流程/学习成长）指标设计与权重分配；经济增加值（EVA）计算与驱动因素分解（NOPAT、资本占用、WACC）；管理层激励方案设计（短期激励与长期激励、现金奖励与权益激励）；跨国经营中汇率波动对业绩评价的扭曲影响与调整方法。</w:t>
            </w:r>
          </w:p>
          <w:p w14:paraId="7030B267"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沙盘中外汇套期保值操作应能够进行结合汇率走势分析，选择远期结售汇、外汇掉期等工具进行汇率波动风险管理。</w:t>
            </w:r>
          </w:p>
          <w:p w14:paraId="716E90DB"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沙盘中国际个税处理与合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管理应能够进行跨境派遣人员个税申报与汇算清缴；税收居民身份判定与避免双重征税；专项附加扣除与税收协定优惠应用。</w:t>
            </w:r>
          </w:p>
          <w:p w14:paraId="6D32F3ED"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沙盘中跨境增值税处理应能够进行目的国增值税登记与申报；进项税额抵扣合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性审核；跨境服务/货物贸易增值税免税与零税率适用。</w:t>
            </w:r>
          </w:p>
          <w:p w14:paraId="52B14A57"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lastRenderedPageBreak/>
              <w:t>沙盘中企业所得税处理与合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管理应能够进行常设机构风险评估与管理；应纳税所得额计算与税前扣除项目审核；税收协定优惠申请与合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备案。</w:t>
            </w:r>
          </w:p>
          <w:p w14:paraId="4C575047"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沙盘中跨国财务报表合并应能够进行母子公司会计政策差异调整；外币报表折算；内部交易与未实现损益抵消；合并报表编制与披露。</w:t>
            </w:r>
          </w:p>
          <w:p w14:paraId="6C6C6E31"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沙盘中财务报表分析应能够基于合并报表的偿债能力、营运能力、盈利能力及发展能力分析；关键财务指标对标分析。</w:t>
            </w:r>
          </w:p>
          <w:p w14:paraId="01EA3D8A" w14:textId="77777777" w:rsidR="006830E3" w:rsidRDefault="00000000">
            <w:pPr>
              <w:numPr>
                <w:ilvl w:val="0"/>
                <w:numId w:val="1"/>
              </w:numPr>
              <w:rPr>
                <w:rFonts w:ascii="宋体" w:eastAsia="宋体" w:hAnsi="宋体" w:cs="宋体" w:hint="eastAsia"/>
                <w:szCs w:val="21"/>
                <w:lang w:bidi="ar"/>
              </w:rPr>
            </w:pPr>
            <w:r>
              <w:rPr>
                <w:rFonts w:ascii="宋体" w:eastAsia="宋体" w:hAnsi="宋体" w:cs="宋体" w:hint="eastAsia"/>
                <w:szCs w:val="21"/>
                <w:lang w:bidi="ar"/>
              </w:rPr>
              <w:t>沙盘中投后财务监控应能够设立投后管理关键指标（KPI）体系；定期财务健康检查；重大经营风险预警与应对。</w:t>
            </w:r>
          </w:p>
          <w:p w14:paraId="370F093C" w14:textId="77777777" w:rsidR="006830E3" w:rsidRDefault="00000000">
            <w:pPr>
              <w:numPr>
                <w:ilvl w:val="0"/>
                <w:numId w:val="1"/>
              </w:numPr>
            </w:pPr>
            <w:r>
              <w:rPr>
                <w:rFonts w:ascii="宋体" w:eastAsia="宋体" w:hAnsi="宋体" w:cs="宋体" w:hint="eastAsia"/>
                <w:szCs w:val="21"/>
                <w:lang w:bidi="ar"/>
              </w:rPr>
              <w:t>沙盘中综合业绩评价应能够基于财务指标（ROI/EVA）与非财务指标（合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性/战略达成率）的综合业绩评价；管理层绩效考核与激励挂钩</w:t>
            </w:r>
            <w:r>
              <w:rPr>
                <w:rFonts w:hint="eastAsia"/>
              </w:rPr>
              <w:t>。</w:t>
            </w:r>
          </w:p>
          <w:p w14:paraId="02C7BC73" w14:textId="77777777" w:rsidR="006830E3" w:rsidRDefault="00000000">
            <w:pPr>
              <w:spacing w:beforeLines="50" w:before="156"/>
              <w:rPr>
                <w:rFonts w:ascii="宋体" w:eastAsia="宋体" w:hAnsi="宋体" w:cs="宋体" w:hint="eastAsia"/>
                <w:b/>
                <w:bCs/>
                <w:sz w:val="22"/>
                <w:lang w:bidi="ar"/>
              </w:rPr>
            </w:pPr>
            <w:r>
              <w:rPr>
                <w:rFonts w:ascii="宋体" w:eastAsia="宋体" w:hAnsi="宋体" w:cs="宋体" w:hint="eastAsia"/>
                <w:b/>
                <w:bCs/>
                <w:sz w:val="22"/>
                <w:lang w:bidi="ar"/>
              </w:rPr>
              <w:t>二、企业出海REA</w:t>
            </w:r>
            <w:proofErr w:type="gramStart"/>
            <w:r>
              <w:rPr>
                <w:rFonts w:ascii="宋体" w:eastAsia="宋体" w:hAnsi="宋体" w:cs="宋体" w:hint="eastAsia"/>
                <w:b/>
                <w:bCs/>
                <w:sz w:val="22"/>
                <w:lang w:bidi="ar"/>
              </w:rPr>
              <w:t>业财分析</w:t>
            </w:r>
            <w:proofErr w:type="gramEnd"/>
            <w:r>
              <w:rPr>
                <w:rFonts w:ascii="宋体" w:eastAsia="宋体" w:hAnsi="宋体" w:cs="宋体" w:hint="eastAsia"/>
                <w:b/>
                <w:bCs/>
                <w:sz w:val="22"/>
                <w:lang w:bidi="ar"/>
              </w:rPr>
              <w:t>模块定制开发要求</w:t>
            </w:r>
          </w:p>
          <w:p w14:paraId="1744B1DC" w14:textId="44082B3B" w:rsidR="006830E3" w:rsidRDefault="00000000">
            <w:pPr>
              <w:numPr>
                <w:ilvl w:val="0"/>
                <w:numId w:val="2"/>
              </w:numPr>
              <w:rPr>
                <w:rFonts w:ascii="宋体" w:eastAsia="宋体" w:hAnsi="宋体" w:cs="宋体" w:hint="eastAsia"/>
                <w:szCs w:val="21"/>
                <w:lang w:bidi="ar"/>
              </w:rPr>
            </w:pPr>
            <w:r>
              <w:rPr>
                <w:rFonts w:ascii="宋体" w:eastAsia="宋体" w:hAnsi="宋体" w:cs="宋体" w:hint="eastAsia"/>
                <w:szCs w:val="21"/>
                <w:lang w:bidi="ar"/>
              </w:rPr>
              <w:t>REA图谱绘制模块应具备如下功能：</w:t>
            </w:r>
          </w:p>
          <w:p w14:paraId="73BFFAF4" w14:textId="77777777" w:rsidR="006830E3" w:rsidRDefault="00000000">
            <w:pPr>
              <w:rPr>
                <w:rFonts w:ascii="宋体" w:eastAsia="宋体" w:hAnsi="宋体" w:cs="宋体" w:hint="eastAsia"/>
                <w:szCs w:val="21"/>
              </w:rPr>
            </w:pPr>
            <w:r>
              <w:rPr>
                <w:rFonts w:ascii="宋体" w:eastAsia="宋体" w:hAnsi="宋体" w:cs="宋体" w:hint="eastAsia"/>
                <w:szCs w:val="21"/>
                <w:lang w:bidi="ar"/>
              </w:rPr>
              <w:t>（1）画布基础功能</w:t>
            </w:r>
          </w:p>
          <w:p w14:paraId="4C54DFD4"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【画布类型】SVG矢量画布</w:t>
            </w:r>
          </w:p>
          <w:p w14:paraId="5D3314F7"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【画布尺寸】自适应容器，无固定尺寸限制</w:t>
            </w:r>
          </w:p>
          <w:p w14:paraId="039C90DB"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【节点拖拽】支持鼠标拖拽移动所有节点，拖拽过程中实时更新连线位置</w:t>
            </w:r>
          </w:p>
          <w:p w14:paraId="24C18942"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【节点碰撞检测】基于圆心距离与半径的碰撞检测算法，精确识别点击目标</w:t>
            </w:r>
          </w:p>
          <w:p w14:paraId="2BD6F904"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【视图平移】支持按住空格键+鼠标拖拽实现画布整体平移</w:t>
            </w:r>
          </w:p>
          <w:p w14:paraId="37376A93"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【视图缩放】支持鼠标滚轮缩放画布，缩放范围0.25x～4x</w:t>
            </w:r>
          </w:p>
          <w:p w14:paraId="06428736"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【网格背景】画布显示点阵网格背景，辅助节点对齐</w:t>
            </w:r>
          </w:p>
          <w:p w14:paraId="1398F069"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【坐标系统】SVG全局坐标系统，节点位置以(x, y)像素坐标存储</w:t>
            </w:r>
          </w:p>
          <w:p w14:paraId="21DF477B" w14:textId="77777777" w:rsidR="006830E3" w:rsidRDefault="00000000">
            <w:pPr>
              <w:rPr>
                <w:rFonts w:ascii="宋体" w:eastAsia="宋体" w:hAnsi="宋体" w:cs="宋体" w:hint="eastAsia"/>
                <w:szCs w:val="21"/>
              </w:rPr>
            </w:pPr>
            <w:r>
              <w:rPr>
                <w:rFonts w:ascii="宋体" w:eastAsia="宋体" w:hAnsi="宋体" w:cs="宋体" w:hint="eastAsia"/>
                <w:szCs w:val="21"/>
                <w:lang w:bidi="ar"/>
              </w:rPr>
              <w:t>（2）节点类型与属性</w:t>
            </w:r>
          </w:p>
          <w:p w14:paraId="03373B1C"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【资源节点（R）】圆形，默认半径20px，颜色#3B82F6（蓝色），显示会计科目名称与代码</w:t>
            </w:r>
          </w:p>
          <w:p w14:paraId="41359844"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【事件节点（E）】圆形，默认半径20px，颜色#10B981（绿色），显示业务事件名称与阶段标签</w:t>
            </w:r>
          </w:p>
          <w:p w14:paraId="14EE0E43"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【主体节点（A）】圆形，默认半径20px，颜色#8B5CF6（紫色），显示参与方名称与类型</w:t>
            </w:r>
          </w:p>
          <w:p w14:paraId="57EEF7F3"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【节点选中状态】选中时显示白色发光描边（stroke-width: 3px, stroke: white, filter: drop-shadow）</w:t>
            </w:r>
          </w:p>
          <w:p w14:paraId="15D9D476"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【节点悬停效果】鼠标悬停时显示浅色外圈高亮</w:t>
            </w:r>
          </w:p>
          <w:p w14:paraId="56343F80"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【节点属性字段】id（唯一标识）、name（名称）、type（R/E/A）、x/y（坐标）、附加属性（</w:t>
            </w:r>
            <w:proofErr w:type="spellStart"/>
            <w:r>
              <w:rPr>
                <w:rFonts w:ascii="宋体" w:eastAsia="宋体" w:hAnsi="宋体" w:cs="宋体" w:hint="eastAsia"/>
                <w:szCs w:val="21"/>
                <w:lang w:bidi="ar"/>
              </w:rPr>
              <w:t>rCode</w:t>
            </w:r>
            <w:proofErr w:type="spellEnd"/>
            <w:r>
              <w:rPr>
                <w:rFonts w:ascii="宋体" w:eastAsia="宋体" w:hAnsi="宋体" w:cs="宋体" w:hint="eastAsia"/>
                <w:szCs w:val="21"/>
                <w:lang w:bidi="ar"/>
              </w:rPr>
              <w:t>科目代码/</w:t>
            </w:r>
            <w:proofErr w:type="spellStart"/>
            <w:r>
              <w:rPr>
                <w:rFonts w:ascii="宋体" w:eastAsia="宋体" w:hAnsi="宋体" w:cs="宋体" w:hint="eastAsia"/>
                <w:szCs w:val="21"/>
                <w:lang w:bidi="ar"/>
              </w:rPr>
              <w:t>aType</w:t>
            </w:r>
            <w:proofErr w:type="spellEnd"/>
            <w:r>
              <w:rPr>
                <w:rFonts w:ascii="宋体" w:eastAsia="宋体" w:hAnsi="宋体" w:cs="宋体" w:hint="eastAsia"/>
                <w:szCs w:val="21"/>
                <w:lang w:bidi="ar"/>
              </w:rPr>
              <w:t>主体类型/stage阶段/category类别/direction方向/balance余额方向等）</w:t>
            </w:r>
          </w:p>
          <w:p w14:paraId="4DBA6CE5" w14:textId="77777777" w:rsidR="006830E3" w:rsidRDefault="00000000">
            <w:pPr>
              <w:rPr>
                <w:rFonts w:ascii="宋体" w:eastAsia="宋体" w:hAnsi="宋体" w:cs="宋体" w:hint="eastAsia"/>
                <w:szCs w:val="21"/>
              </w:rPr>
            </w:pPr>
            <w:r>
              <w:rPr>
                <w:rFonts w:ascii="宋体" w:eastAsia="宋体" w:hAnsi="宋体" w:cs="宋体" w:hint="eastAsia"/>
                <w:szCs w:val="21"/>
                <w:lang w:bidi="ar"/>
              </w:rPr>
              <w:t>（3）连线功能</w:t>
            </w:r>
          </w:p>
          <w:p w14:paraId="0408745F"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【连线类型】SVG直线连线，支持带箭头和不带箭头两种类型</w:t>
            </w:r>
          </w:p>
          <w:p w14:paraId="026B6DB6"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【R类连线（资源连线）】两端均为资源节点时，连线自动标为绿色（#22C55E），显示金额标签，箭头从圆边缘出发</w:t>
            </w:r>
          </w:p>
          <w:p w14:paraId="5C006095"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lastRenderedPageBreak/>
              <w:t>【普通连线】</w:t>
            </w:r>
            <w:proofErr w:type="gramStart"/>
            <w:r>
              <w:rPr>
                <w:rFonts w:ascii="宋体" w:eastAsia="宋体" w:hAnsi="宋体" w:cs="宋体" w:hint="eastAsia"/>
                <w:szCs w:val="21"/>
                <w:lang w:bidi="ar"/>
              </w:rPr>
              <w:t>非资源</w:t>
            </w:r>
            <w:proofErr w:type="gramEnd"/>
            <w:r>
              <w:rPr>
                <w:rFonts w:ascii="宋体" w:eastAsia="宋体" w:hAnsi="宋体" w:cs="宋体" w:hint="eastAsia"/>
                <w:szCs w:val="21"/>
                <w:lang w:bidi="ar"/>
              </w:rPr>
              <w:t>连线使用灰色（#6B7280），带箭头指示方向</w:t>
            </w:r>
          </w:p>
          <w:p w14:paraId="08CB35CE"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【箭头Marker】预定义三种SVG箭头标记——arrow-gray（灰色）、arrow-green（绿色资源连线）、arrow-cyan（青色高亮）</w:t>
            </w:r>
          </w:p>
          <w:p w14:paraId="45BC6DBB"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【连线标签】支持在连线中点显示文本标签（关系描述或金额）</w:t>
            </w:r>
          </w:p>
          <w:p w14:paraId="6525B13E"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【连线金额】资源连线支持设置数值</w:t>
            </w:r>
            <w:proofErr w:type="gramStart"/>
            <w:r>
              <w:rPr>
                <w:rFonts w:ascii="宋体" w:eastAsia="宋体" w:hAnsi="宋体" w:cs="宋体" w:hint="eastAsia"/>
                <w:szCs w:val="21"/>
                <w:lang w:bidi="ar"/>
              </w:rPr>
              <w:t>型金额</w:t>
            </w:r>
            <w:proofErr w:type="gramEnd"/>
            <w:r>
              <w:rPr>
                <w:rFonts w:ascii="宋体" w:eastAsia="宋体" w:hAnsi="宋体" w:cs="宋体" w:hint="eastAsia"/>
                <w:szCs w:val="21"/>
                <w:lang w:bidi="ar"/>
              </w:rPr>
              <w:t>属性，格式化显示（带千分位）</w:t>
            </w:r>
          </w:p>
          <w:p w14:paraId="7596A948"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【重复连线检测】自动检测并阻止同一对节点之间的重复连线</w:t>
            </w:r>
          </w:p>
          <w:p w14:paraId="0CF3C260"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【连线创建方式】选中起始节点后点击目标节点创建连线，支持ESC取消</w:t>
            </w:r>
          </w:p>
          <w:p w14:paraId="601A2B38" w14:textId="77777777" w:rsidR="006830E3" w:rsidRDefault="00000000">
            <w:pPr>
              <w:rPr>
                <w:rFonts w:ascii="宋体" w:eastAsia="宋体" w:hAnsi="宋体" w:cs="宋体" w:hint="eastAsia"/>
                <w:szCs w:val="21"/>
              </w:rPr>
            </w:pPr>
            <w:r>
              <w:rPr>
                <w:rFonts w:ascii="宋体" w:eastAsia="宋体" w:hAnsi="宋体" w:cs="宋体" w:hint="eastAsia"/>
                <w:szCs w:val="21"/>
                <w:lang w:bidi="ar"/>
              </w:rPr>
              <w:t>（4）词典面板</w:t>
            </w:r>
          </w:p>
          <w:p w14:paraId="0B12A72E"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【面板位置】画布左侧，宽度240px，可折叠</w:t>
            </w:r>
          </w:p>
          <w:p w14:paraId="6B2A7C8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【词典来源】本地JSON文件（</w:t>
            </w:r>
            <w:proofErr w:type="spellStart"/>
            <w:r>
              <w:rPr>
                <w:rFonts w:ascii="宋体" w:eastAsia="宋体" w:hAnsi="宋体" w:cs="宋体" w:hint="eastAsia"/>
                <w:szCs w:val="21"/>
                <w:lang w:bidi="ar"/>
              </w:rPr>
              <w:t>r_standard.json</w:t>
            </w:r>
            <w:proofErr w:type="spellEnd"/>
            <w:r>
              <w:rPr>
                <w:rFonts w:ascii="宋体" w:eastAsia="宋体" w:hAnsi="宋体" w:cs="宋体" w:hint="eastAsia"/>
                <w:szCs w:val="21"/>
                <w:lang w:bidi="ar"/>
              </w:rPr>
              <w:t xml:space="preserve"> / </w:t>
            </w:r>
            <w:proofErr w:type="spellStart"/>
            <w:r>
              <w:rPr>
                <w:rFonts w:ascii="宋体" w:eastAsia="宋体" w:hAnsi="宋体" w:cs="宋体" w:hint="eastAsia"/>
                <w:szCs w:val="21"/>
                <w:lang w:bidi="ar"/>
              </w:rPr>
              <w:t>e_standard.json</w:t>
            </w:r>
            <w:proofErr w:type="spellEnd"/>
            <w:r>
              <w:rPr>
                <w:rFonts w:ascii="宋体" w:eastAsia="宋体" w:hAnsi="宋体" w:cs="宋体" w:hint="eastAsia"/>
                <w:szCs w:val="21"/>
                <w:lang w:bidi="ar"/>
              </w:rPr>
              <w:t xml:space="preserve"> / </w:t>
            </w:r>
            <w:proofErr w:type="spellStart"/>
            <w:r>
              <w:rPr>
                <w:rFonts w:ascii="宋体" w:eastAsia="宋体" w:hAnsi="宋体" w:cs="宋体" w:hint="eastAsia"/>
                <w:szCs w:val="21"/>
                <w:lang w:bidi="ar"/>
              </w:rPr>
              <w:t>a_standard.json</w:t>
            </w:r>
            <w:proofErr w:type="spellEnd"/>
            <w:r>
              <w:rPr>
                <w:rFonts w:ascii="宋体" w:eastAsia="宋体" w:hAnsi="宋体" w:cs="宋体" w:hint="eastAsia"/>
                <w:szCs w:val="21"/>
                <w:lang w:bidi="ar"/>
              </w:rPr>
              <w:t>）</w:t>
            </w:r>
          </w:p>
          <w:p w14:paraId="4DCD5EB5"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【分类展示】按R/E/A三类分组展示，每组显示节点数量</w:t>
            </w:r>
          </w:p>
          <w:p w14:paraId="1E913A63"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【节点添加】点击词典中的条目即可在画布中央添加对应类型节点</w:t>
            </w:r>
          </w:p>
          <w:p w14:paraId="7274ACB9"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【搜索功能】支持实时搜索过滤词典条目</w:t>
            </w:r>
          </w:p>
          <w:p w14:paraId="20979E0F"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【展开/折叠】支持词典分类的展开和折叠操作</w:t>
            </w:r>
          </w:p>
          <w:p w14:paraId="49C97DDC" w14:textId="77777777" w:rsidR="006830E3" w:rsidRDefault="00000000">
            <w:pPr>
              <w:rPr>
                <w:rFonts w:ascii="宋体" w:eastAsia="宋体" w:hAnsi="宋体" w:cs="宋体" w:hint="eastAsia"/>
                <w:szCs w:val="21"/>
              </w:rPr>
            </w:pPr>
            <w:r>
              <w:rPr>
                <w:rFonts w:ascii="宋体" w:eastAsia="宋体" w:hAnsi="宋体" w:cs="宋体" w:hint="eastAsia"/>
                <w:szCs w:val="21"/>
                <w:lang w:bidi="ar"/>
              </w:rPr>
              <w:t>（5）属性面板</w:t>
            </w:r>
          </w:p>
          <w:p w14:paraId="3FFBD7A0"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【面板位置】画布右侧，宽度280px</w:t>
            </w:r>
          </w:p>
          <w:p w14:paraId="686A34C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【触发条件】选中任意节点后自动显示属性编辑面板</w:t>
            </w:r>
          </w:p>
          <w:p w14:paraId="7921FAE3"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【属性编辑】支持编辑节点的名称、科目代码（</w:t>
            </w:r>
            <w:proofErr w:type="spellStart"/>
            <w:r>
              <w:rPr>
                <w:rFonts w:ascii="宋体" w:eastAsia="宋体" w:hAnsi="宋体" w:cs="宋体" w:hint="eastAsia"/>
                <w:szCs w:val="21"/>
                <w:lang w:bidi="ar"/>
              </w:rPr>
              <w:t>rCode</w:t>
            </w:r>
            <w:proofErr w:type="spellEnd"/>
            <w:r>
              <w:rPr>
                <w:rFonts w:ascii="宋体" w:eastAsia="宋体" w:hAnsi="宋体" w:cs="宋体" w:hint="eastAsia"/>
                <w:szCs w:val="21"/>
                <w:lang w:bidi="ar"/>
              </w:rPr>
              <w:t>）、主体类型（</w:t>
            </w:r>
            <w:proofErr w:type="spellStart"/>
            <w:r>
              <w:rPr>
                <w:rFonts w:ascii="宋体" w:eastAsia="宋体" w:hAnsi="宋体" w:cs="宋体" w:hint="eastAsia"/>
                <w:szCs w:val="21"/>
                <w:lang w:bidi="ar"/>
              </w:rPr>
              <w:t>aType</w:t>
            </w:r>
            <w:proofErr w:type="spellEnd"/>
            <w:r>
              <w:rPr>
                <w:rFonts w:ascii="宋体" w:eastAsia="宋体" w:hAnsi="宋体" w:cs="宋体" w:hint="eastAsia"/>
                <w:szCs w:val="21"/>
                <w:lang w:bidi="ar"/>
              </w:rPr>
              <w:t>）、阶段（stage）、类别（category）、方向（direction）、余额方向（balance）等属性</w:t>
            </w:r>
          </w:p>
          <w:p w14:paraId="56089C31"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【实时更新】属性修改后画布上节点显示内容实时同步更新</w:t>
            </w:r>
          </w:p>
          <w:p w14:paraId="6FD02CCB" w14:textId="77777777" w:rsidR="006830E3" w:rsidRDefault="00000000">
            <w:pPr>
              <w:rPr>
                <w:rFonts w:ascii="宋体" w:eastAsia="宋体" w:hAnsi="宋体" w:cs="宋体" w:hint="eastAsia"/>
                <w:szCs w:val="21"/>
              </w:rPr>
            </w:pPr>
            <w:r>
              <w:rPr>
                <w:rFonts w:ascii="宋体" w:eastAsia="宋体" w:hAnsi="宋体" w:cs="宋体" w:hint="eastAsia"/>
                <w:szCs w:val="21"/>
                <w:lang w:bidi="ar"/>
              </w:rPr>
              <w:t>2.  REA词典管理模块应具备如下功能：</w:t>
            </w:r>
          </w:p>
          <w:p w14:paraId="34AC54D3" w14:textId="77777777" w:rsidR="006830E3" w:rsidRDefault="00000000">
            <w:pPr>
              <w:rPr>
                <w:rFonts w:ascii="宋体" w:eastAsia="宋体" w:hAnsi="宋体" w:cs="宋体" w:hint="eastAsia"/>
                <w:szCs w:val="21"/>
              </w:rPr>
            </w:pPr>
            <w:r>
              <w:rPr>
                <w:rFonts w:ascii="宋体" w:eastAsia="宋体" w:hAnsi="宋体" w:cs="宋体" w:hint="eastAsia"/>
                <w:szCs w:val="21"/>
                <w:lang w:bidi="ar"/>
              </w:rPr>
              <w:t>（1）词典数据规范</w:t>
            </w:r>
          </w:p>
          <w:p w14:paraId="4A4C952B"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【资源词典（R标准）】包含64项会计科目，覆盖资产类、负债类、所有者权益类、收入类、费用类、现金流量类六大类别</w:t>
            </w:r>
          </w:p>
          <w:p w14:paraId="05092DD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【事件词典（E标准）】包含76项业务事件，覆盖S1～S6</w:t>
            </w:r>
            <w:proofErr w:type="gramStart"/>
            <w:r>
              <w:rPr>
                <w:rFonts w:ascii="宋体" w:eastAsia="宋体" w:hAnsi="宋体" w:cs="宋体" w:hint="eastAsia"/>
                <w:szCs w:val="21"/>
                <w:lang w:bidi="ar"/>
              </w:rPr>
              <w:t>六个</w:t>
            </w:r>
            <w:proofErr w:type="gramEnd"/>
            <w:r>
              <w:rPr>
                <w:rFonts w:ascii="宋体" w:eastAsia="宋体" w:hAnsi="宋体" w:cs="宋体" w:hint="eastAsia"/>
                <w:szCs w:val="21"/>
                <w:lang w:bidi="ar"/>
              </w:rPr>
              <w:t>业务阶段（投资设立、工程建设、采购生产、销售配送、资金管理、期末结账）</w:t>
            </w:r>
          </w:p>
          <w:p w14:paraId="70383759"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【主体词典（A标准）】包含57项利益主体，覆盖公司实体、内部部门、人员、客户、供应商、政府机构、金融机构、专业服务</w:t>
            </w:r>
            <w:proofErr w:type="gramStart"/>
            <w:r>
              <w:rPr>
                <w:rFonts w:ascii="宋体" w:eastAsia="宋体" w:hAnsi="宋体" w:cs="宋体" w:hint="eastAsia"/>
                <w:szCs w:val="21"/>
                <w:lang w:bidi="ar"/>
              </w:rPr>
              <w:t>机构八</w:t>
            </w:r>
            <w:proofErr w:type="gramEnd"/>
            <w:r>
              <w:rPr>
                <w:rFonts w:ascii="宋体" w:eastAsia="宋体" w:hAnsi="宋体" w:cs="宋体" w:hint="eastAsia"/>
                <w:szCs w:val="21"/>
                <w:lang w:bidi="ar"/>
              </w:rPr>
              <w:t>大类型</w:t>
            </w:r>
          </w:p>
          <w:p w14:paraId="071BC443" w14:textId="77777777" w:rsidR="006830E3" w:rsidRDefault="00000000">
            <w:pPr>
              <w:rPr>
                <w:rFonts w:ascii="宋体" w:eastAsia="宋体" w:hAnsi="宋体" w:cs="宋体" w:hint="eastAsia"/>
                <w:szCs w:val="21"/>
              </w:rPr>
            </w:pPr>
            <w:r>
              <w:rPr>
                <w:rFonts w:ascii="宋体" w:eastAsia="宋体" w:hAnsi="宋体" w:cs="宋体" w:hint="eastAsia"/>
                <w:szCs w:val="21"/>
                <w:lang w:bidi="ar"/>
              </w:rPr>
              <w:t>（2）词典操作功能</w:t>
            </w:r>
          </w:p>
          <w:p w14:paraId="343E3C7C"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【增加】支持新增R/E/A词典条目，填写所有必填字段后保存</w:t>
            </w:r>
          </w:p>
          <w:p w14:paraId="165E2FA8"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【删除】支持标记删除（逻辑删除/作废），</w:t>
            </w:r>
            <w:proofErr w:type="gramStart"/>
            <w:r>
              <w:rPr>
                <w:rFonts w:ascii="宋体" w:eastAsia="宋体" w:hAnsi="宋体" w:cs="宋体" w:hint="eastAsia"/>
                <w:szCs w:val="21"/>
                <w:lang w:bidi="ar"/>
              </w:rPr>
              <w:t>不</w:t>
            </w:r>
            <w:proofErr w:type="gramEnd"/>
            <w:r>
              <w:rPr>
                <w:rFonts w:ascii="宋体" w:eastAsia="宋体" w:hAnsi="宋体" w:cs="宋体" w:hint="eastAsia"/>
                <w:szCs w:val="21"/>
                <w:lang w:bidi="ar"/>
              </w:rPr>
              <w:t>立即物理删除</w:t>
            </w:r>
          </w:p>
          <w:p w14:paraId="4068B5A6"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【修改】支持编辑已有词典条目的所有字段</w:t>
            </w:r>
          </w:p>
          <w:p w14:paraId="3FDE5603"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【查找】支持按名称、代码、类别等关键字搜索词典条目</w:t>
            </w:r>
          </w:p>
          <w:p w14:paraId="56893303"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【作废】支持将条目标记为已作废状态，作废后不在默认列表中显示</w:t>
            </w:r>
          </w:p>
          <w:p w14:paraId="0930833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【恢复】支持恢复已作废的词典条目至正常状态</w:t>
            </w:r>
          </w:p>
          <w:p w14:paraId="5F9D2920"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【下载】支持将词典数据导出为JSON文件下载到本地</w:t>
            </w:r>
          </w:p>
          <w:p w14:paraId="69F028AB"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lastRenderedPageBreak/>
              <w:t>【批量显示】词典浏览页面</w:t>
            </w:r>
            <w:proofErr w:type="gramStart"/>
            <w:r>
              <w:rPr>
                <w:rFonts w:ascii="宋体" w:eastAsia="宋体" w:hAnsi="宋体" w:cs="宋体" w:hint="eastAsia"/>
                <w:szCs w:val="21"/>
                <w:lang w:bidi="ar"/>
              </w:rPr>
              <w:t>支持分页显示</w:t>
            </w:r>
            <w:proofErr w:type="gramEnd"/>
            <w:r>
              <w:rPr>
                <w:rFonts w:ascii="宋体" w:eastAsia="宋体" w:hAnsi="宋体" w:cs="宋体" w:hint="eastAsia"/>
                <w:szCs w:val="21"/>
                <w:lang w:bidi="ar"/>
              </w:rPr>
              <w:t>和全部展开</w:t>
            </w:r>
          </w:p>
          <w:p w14:paraId="0B4C5914" w14:textId="086F4F61" w:rsidR="006830E3" w:rsidRDefault="00000000">
            <w:pPr>
              <w:rPr>
                <w:rFonts w:ascii="宋体" w:eastAsia="宋体" w:hAnsi="宋体" w:cs="宋体" w:hint="eastAsia"/>
                <w:szCs w:val="21"/>
              </w:rPr>
            </w:pPr>
            <w:r>
              <w:rPr>
                <w:rFonts w:ascii="宋体" w:eastAsia="宋体" w:hAnsi="宋体" w:cs="宋体" w:hint="eastAsia"/>
                <w:szCs w:val="21"/>
                <w:lang w:bidi="ar"/>
              </w:rPr>
              <w:t>3. 会计凭证生成模块应具备如下功能：</w:t>
            </w:r>
          </w:p>
          <w:p w14:paraId="27E27296" w14:textId="77777777" w:rsidR="006830E3" w:rsidRDefault="00000000">
            <w:pPr>
              <w:rPr>
                <w:rFonts w:ascii="宋体" w:eastAsia="宋体" w:hAnsi="宋体" w:cs="宋体" w:hint="eastAsia"/>
                <w:szCs w:val="21"/>
              </w:rPr>
            </w:pPr>
            <w:r>
              <w:rPr>
                <w:rFonts w:ascii="宋体" w:eastAsia="宋体" w:hAnsi="宋体" w:cs="宋体" w:hint="eastAsia"/>
                <w:szCs w:val="21"/>
                <w:lang w:bidi="ar"/>
              </w:rPr>
              <w:t>（1）凭证生成规则</w:t>
            </w:r>
          </w:p>
          <w:p w14:paraId="32AA5A95"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【生成依据】基于REA图谱中的资源连线（两端均为资源节点的连线）自动生成会计分录</w:t>
            </w:r>
          </w:p>
          <w:p w14:paraId="0B8391C8"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【借贷规则】起点（资源流出事件）记贷方，终点（资源流入事件）记借方</w:t>
            </w:r>
          </w:p>
          <w:p w14:paraId="53A28CB7"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【金额取值】直接取用连线上设置的金额属性</w:t>
            </w:r>
          </w:p>
          <w:p w14:paraId="1F2A8A2F"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【科目取值】取用资源节点关联的会计科目代码（</w:t>
            </w:r>
            <w:proofErr w:type="spellStart"/>
            <w:r>
              <w:rPr>
                <w:rFonts w:ascii="宋体" w:eastAsia="宋体" w:hAnsi="宋体" w:cs="宋体" w:hint="eastAsia"/>
                <w:szCs w:val="21"/>
                <w:lang w:bidi="ar"/>
              </w:rPr>
              <w:t>rCode</w:t>
            </w:r>
            <w:proofErr w:type="spellEnd"/>
            <w:r>
              <w:rPr>
                <w:rFonts w:ascii="宋体" w:eastAsia="宋体" w:hAnsi="宋体" w:cs="宋体" w:hint="eastAsia"/>
                <w:szCs w:val="21"/>
                <w:lang w:bidi="ar"/>
              </w:rPr>
              <w:t>）和科目名称</w:t>
            </w:r>
          </w:p>
          <w:p w14:paraId="5AD26444"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【双准则对比】同一业务事件同时生成CAS准则和IFRS准则两套分录，并排展示差异</w:t>
            </w:r>
          </w:p>
          <w:p w14:paraId="12DEA02D" w14:textId="77777777" w:rsidR="006830E3" w:rsidRDefault="00000000">
            <w:pPr>
              <w:rPr>
                <w:rFonts w:ascii="宋体" w:eastAsia="宋体" w:hAnsi="宋体" w:cs="宋体" w:hint="eastAsia"/>
                <w:szCs w:val="21"/>
              </w:rPr>
            </w:pPr>
            <w:r>
              <w:rPr>
                <w:rFonts w:ascii="宋体" w:eastAsia="宋体" w:hAnsi="宋体" w:cs="宋体" w:hint="eastAsia"/>
                <w:szCs w:val="21"/>
                <w:lang w:bidi="ar"/>
              </w:rPr>
              <w:t>（2）凭证展示</w:t>
            </w:r>
          </w:p>
          <w:p w14:paraId="13412526"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【展示格式】标准会计分录格式（借方科目 + 金额 / 贷方科目 + 金额）</w:t>
            </w:r>
          </w:p>
          <w:p w14:paraId="735AB9B2"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【分录编号】自动生成连续编号</w:t>
            </w:r>
          </w:p>
          <w:p w14:paraId="5456BA42"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【关联追溯】每条分录可追溯到对应的REA图谱连线，点击可</w:t>
            </w:r>
            <w:proofErr w:type="gramStart"/>
            <w:r>
              <w:rPr>
                <w:rFonts w:ascii="宋体" w:eastAsia="宋体" w:hAnsi="宋体" w:cs="宋体" w:hint="eastAsia"/>
                <w:szCs w:val="21"/>
                <w:lang w:bidi="ar"/>
              </w:rPr>
              <w:t>高亮源节点</w:t>
            </w:r>
            <w:proofErr w:type="gramEnd"/>
            <w:r>
              <w:rPr>
                <w:rFonts w:ascii="宋体" w:eastAsia="宋体" w:hAnsi="宋体" w:cs="宋体" w:hint="eastAsia"/>
                <w:szCs w:val="21"/>
                <w:lang w:bidi="ar"/>
              </w:rPr>
              <w:t>和连线</w:t>
            </w:r>
          </w:p>
          <w:p w14:paraId="5DAA34BF" w14:textId="77777777" w:rsidR="006830E3" w:rsidRDefault="00000000">
            <w:pPr>
              <w:rPr>
                <w:rFonts w:ascii="宋体" w:eastAsia="宋体" w:hAnsi="宋体" w:cs="宋体" w:hint="eastAsia"/>
                <w:szCs w:val="21"/>
              </w:rPr>
            </w:pPr>
            <w:r>
              <w:rPr>
                <w:rFonts w:ascii="宋体" w:eastAsia="宋体" w:hAnsi="宋体" w:cs="宋体" w:hint="eastAsia"/>
                <w:szCs w:val="21"/>
                <w:lang w:bidi="ar"/>
              </w:rPr>
              <w:t>4.  REA</w:t>
            </w:r>
            <w:proofErr w:type="gramStart"/>
            <w:r>
              <w:rPr>
                <w:rFonts w:ascii="宋体" w:eastAsia="宋体" w:hAnsi="宋体" w:cs="宋体" w:hint="eastAsia"/>
                <w:szCs w:val="21"/>
                <w:lang w:bidi="ar"/>
              </w:rPr>
              <w:t>行信息</w:t>
            </w:r>
            <w:proofErr w:type="gramEnd"/>
            <w:r>
              <w:rPr>
                <w:rFonts w:ascii="宋体" w:eastAsia="宋体" w:hAnsi="宋体" w:cs="宋体" w:hint="eastAsia"/>
                <w:szCs w:val="21"/>
                <w:lang w:bidi="ar"/>
              </w:rPr>
              <w:t>总表应具备如下功能：</w:t>
            </w:r>
          </w:p>
          <w:p w14:paraId="0670E2BE" w14:textId="77777777" w:rsidR="006830E3" w:rsidRDefault="00000000">
            <w:pPr>
              <w:rPr>
                <w:rFonts w:ascii="宋体" w:eastAsia="宋体" w:hAnsi="宋体" w:cs="宋体" w:hint="eastAsia"/>
                <w:szCs w:val="21"/>
              </w:rPr>
            </w:pPr>
            <w:r>
              <w:rPr>
                <w:rFonts w:ascii="宋体" w:eastAsia="宋体" w:hAnsi="宋体" w:cs="宋体" w:hint="eastAsia"/>
                <w:szCs w:val="21"/>
                <w:lang w:bidi="ar"/>
              </w:rPr>
              <w:t>（1）表格结构</w:t>
            </w:r>
          </w:p>
          <w:p w14:paraId="101F913E"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【字段数量】12列（序号、源节点、源类型、目标节点、目标类型、关系类型、金额、阶段、业务描述、准则、状态、操作）</w:t>
            </w:r>
          </w:p>
          <w:p w14:paraId="1172ED02"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【数据来源】从当前REA图谱的所有连线中动态生成</w:t>
            </w:r>
          </w:p>
          <w:p w14:paraId="3C5E674C"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【表格类型】HTML Table，支持排序和筛选</w:t>
            </w:r>
          </w:p>
          <w:p w14:paraId="03C9CD6A" w14:textId="77777777" w:rsidR="006830E3" w:rsidRDefault="00000000">
            <w:pPr>
              <w:rPr>
                <w:rFonts w:ascii="宋体" w:eastAsia="宋体" w:hAnsi="宋体" w:cs="宋体" w:hint="eastAsia"/>
                <w:szCs w:val="21"/>
              </w:rPr>
            </w:pPr>
            <w:r>
              <w:rPr>
                <w:rFonts w:ascii="宋体" w:eastAsia="宋体" w:hAnsi="宋体" w:cs="宋体" w:hint="eastAsia"/>
                <w:szCs w:val="21"/>
                <w:lang w:bidi="ar"/>
              </w:rPr>
              <w:t>（2）交互功能</w:t>
            </w:r>
          </w:p>
          <w:p w14:paraId="3F05B4F8"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【分组筛选】</w:t>
            </w:r>
            <w:proofErr w:type="gramStart"/>
            <w:r>
              <w:rPr>
                <w:rFonts w:ascii="宋体" w:eastAsia="宋体" w:hAnsi="宋体" w:cs="宋体" w:hint="eastAsia"/>
                <w:szCs w:val="21"/>
                <w:lang w:bidi="ar"/>
              </w:rPr>
              <w:t>支持按源节点</w:t>
            </w:r>
            <w:proofErr w:type="gramEnd"/>
            <w:r>
              <w:rPr>
                <w:rFonts w:ascii="宋体" w:eastAsia="宋体" w:hAnsi="宋体" w:cs="宋体" w:hint="eastAsia"/>
                <w:szCs w:val="21"/>
                <w:lang w:bidi="ar"/>
              </w:rPr>
              <w:t>类型（R/E/A）或阶段进行分组筛选</w:t>
            </w:r>
          </w:p>
          <w:p w14:paraId="66A25B34"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【搜索】支持按节点名称、业务描述等关键字搜索</w:t>
            </w:r>
          </w:p>
          <w:p w14:paraId="1EC4612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【CSV导出】支持将表格数据导出为CSV文件</w:t>
            </w:r>
          </w:p>
          <w:p w14:paraId="5E44A432"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【行点击】点击表格行可高亮画布上对应的连线和节点</w:t>
            </w:r>
          </w:p>
          <w:p w14:paraId="41B55A86" w14:textId="3144E0A8" w:rsidR="006830E3" w:rsidRDefault="00000000">
            <w:pPr>
              <w:rPr>
                <w:rFonts w:ascii="宋体" w:eastAsia="宋体" w:hAnsi="宋体" w:cs="宋体" w:hint="eastAsia"/>
                <w:szCs w:val="21"/>
              </w:rPr>
            </w:pPr>
            <w:r>
              <w:rPr>
                <w:rFonts w:ascii="宋体" w:eastAsia="宋体" w:hAnsi="宋体" w:cs="宋体" w:hint="eastAsia"/>
                <w:szCs w:val="21"/>
                <w:lang w:bidi="ar"/>
              </w:rPr>
              <w:t>5. 业务案例管理模块应具备如下功能：</w:t>
            </w:r>
          </w:p>
          <w:p w14:paraId="75778C7A" w14:textId="77777777" w:rsidR="006830E3" w:rsidRDefault="00000000">
            <w:pPr>
              <w:rPr>
                <w:rFonts w:ascii="宋体" w:eastAsia="宋体" w:hAnsi="宋体" w:cs="宋体" w:hint="eastAsia"/>
                <w:szCs w:val="21"/>
              </w:rPr>
            </w:pPr>
            <w:r>
              <w:rPr>
                <w:rFonts w:ascii="宋体" w:eastAsia="宋体" w:hAnsi="宋体" w:cs="宋体" w:hint="eastAsia"/>
                <w:szCs w:val="21"/>
                <w:lang w:bidi="ar"/>
              </w:rPr>
              <w:t>（1）案例数据</w:t>
            </w:r>
          </w:p>
          <w:p w14:paraId="20875C77"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【内置案例】预置典型企业出海业务案例，包括越南工厂原材料采购（BC-001，含10份文档）、公司合并（BC-002，含12份文档）等</w:t>
            </w:r>
          </w:p>
          <w:p w14:paraId="41BE2A9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【案例内容】每个案例包含完整的REA图谱数据（nodes + links）、业务描述、关联文档</w:t>
            </w:r>
          </w:p>
          <w:p w14:paraId="0CB8116E"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【文档类型】业务合同、发票、银行回单、报关单、会计凭证等图片文件（PNG格式）</w:t>
            </w:r>
          </w:p>
          <w:p w14:paraId="2A39F499" w14:textId="77777777" w:rsidR="006830E3" w:rsidRDefault="00000000">
            <w:pPr>
              <w:rPr>
                <w:rFonts w:ascii="宋体" w:eastAsia="宋体" w:hAnsi="宋体" w:cs="宋体" w:hint="eastAsia"/>
                <w:szCs w:val="21"/>
              </w:rPr>
            </w:pPr>
            <w:r>
              <w:rPr>
                <w:rFonts w:ascii="宋体" w:eastAsia="宋体" w:hAnsi="宋体" w:cs="宋体" w:hint="eastAsia"/>
                <w:szCs w:val="21"/>
                <w:lang w:bidi="ar"/>
              </w:rPr>
              <w:t>（2）案例操作</w:t>
            </w:r>
          </w:p>
          <w:p w14:paraId="2DC553A5"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【案例加载】支持从JSON文件加载案例数据并还原为REA图谱</w:t>
            </w:r>
          </w:p>
          <w:p w14:paraId="0F1FF98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【案例保存】支持将当前图谱保存为案例数据</w:t>
            </w:r>
          </w:p>
          <w:p w14:paraId="6133BBA0"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【案例删除】支持删除不需要的案例</w:t>
            </w:r>
          </w:p>
          <w:p w14:paraId="7F9F6C29"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【图谱管理】支持图谱的保存、加载、复制和删除操作</w:t>
            </w:r>
          </w:p>
          <w:p w14:paraId="79D4061B"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lastRenderedPageBreak/>
              <w:t>【存储方式】</w:t>
            </w:r>
            <w:proofErr w:type="spellStart"/>
            <w:r>
              <w:rPr>
                <w:rFonts w:ascii="宋体" w:eastAsia="宋体" w:hAnsi="宋体" w:cs="宋体" w:hint="eastAsia"/>
                <w:szCs w:val="21"/>
                <w:lang w:bidi="ar"/>
              </w:rPr>
              <w:t>LocalStorage</w:t>
            </w:r>
            <w:proofErr w:type="spellEnd"/>
            <w:r>
              <w:rPr>
                <w:rFonts w:ascii="宋体" w:eastAsia="宋体" w:hAnsi="宋体" w:cs="宋体" w:hint="eastAsia"/>
                <w:szCs w:val="21"/>
                <w:lang w:bidi="ar"/>
              </w:rPr>
              <w:t>持久化存储，浏览器本地保存</w:t>
            </w:r>
          </w:p>
          <w:p w14:paraId="471F0B7D" w14:textId="77777777" w:rsidR="006830E3" w:rsidRDefault="00000000">
            <w:pPr>
              <w:ind w:left="420"/>
              <w:rPr>
                <w:rFonts w:ascii="宋体" w:eastAsia="宋体" w:hAnsi="宋体" w:cs="宋体" w:hint="eastAsia"/>
                <w:szCs w:val="21"/>
              </w:rPr>
            </w:pPr>
            <w:r>
              <w:rPr>
                <w:rFonts w:ascii="宋体" w:eastAsia="宋体" w:hAnsi="宋体" w:cs="宋体" w:hint="eastAsia"/>
                <w:szCs w:val="21"/>
                <w:lang w:bidi="ar"/>
              </w:rPr>
              <w:t>【案例导出】支持导出图谱数据为JSON文件</w:t>
            </w:r>
          </w:p>
          <w:p w14:paraId="07E91B51" w14:textId="77777777" w:rsidR="006830E3" w:rsidRDefault="00000000">
            <w:pPr>
              <w:spacing w:beforeLines="50" w:before="156"/>
              <w:rPr>
                <w:rFonts w:ascii="宋体" w:eastAsia="宋体" w:hAnsi="宋体" w:cs="宋体" w:hint="eastAsia"/>
                <w:b/>
                <w:bCs/>
                <w:sz w:val="22"/>
                <w:lang w:bidi="ar"/>
              </w:rPr>
            </w:pPr>
            <w:r>
              <w:rPr>
                <w:rFonts w:ascii="宋体" w:eastAsia="宋体" w:hAnsi="宋体" w:cs="宋体" w:hint="eastAsia"/>
                <w:b/>
                <w:bCs/>
                <w:sz w:val="22"/>
                <w:lang w:bidi="ar"/>
              </w:rPr>
              <w:t>三、境外财税咨询智能体模块定制开发要求</w:t>
            </w:r>
          </w:p>
          <w:p w14:paraId="2B206CFD" w14:textId="3A6B4B26"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财税咨询智能体是REA平台“出海AI”功能组件中的核心智能体模块，应涵盖企业出海过程中涉及的国际税务、跨境会计准则、转移定价、税收协定、投资合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等专业领域的智能问答与政策解读。</w:t>
            </w:r>
          </w:p>
          <w:p w14:paraId="4B4C86D4"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咨询领域覆盖功能需覆盖国际税务政策的六大核心领域：各国企业所得税、增值税/GST、预提所得税政策解读与比較；双边税收协定（DTA）的股息、利息、特许权使用费条款分析与适用；转移定价关联交易定价方法、文档要求、安全港规则；CAS vs IFRS vs US GAAP关键差异分析；常设机构判定、CFC规则、受控外国企业审查；SPV设立、红筹架构、境外投资备案（ODI）等投资架构设计。</w:t>
            </w:r>
          </w:p>
          <w:p w14:paraId="0614DFAD"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智能对话引擎应采用DeepSeek大语言模型作为底层推理引擎，模型版本为deepseek-v4-flash，通过专业系统提示词（System Prompt）引导模型输出符合财税咨询场景的专业回答，支持多轮上下文对话，最多保留20轮对话历史，确保连贯的多</w:t>
            </w:r>
            <w:proofErr w:type="gramStart"/>
            <w:r>
              <w:rPr>
                <w:rFonts w:ascii="宋体" w:eastAsia="宋体" w:hAnsi="宋体" w:cs="宋体" w:hint="eastAsia"/>
                <w:szCs w:val="21"/>
                <w:lang w:bidi="ar"/>
              </w:rPr>
              <w:t>步咨询</w:t>
            </w:r>
            <w:proofErr w:type="gramEnd"/>
            <w:r>
              <w:rPr>
                <w:rFonts w:ascii="宋体" w:eastAsia="宋体" w:hAnsi="宋体" w:cs="宋体" w:hint="eastAsia"/>
                <w:szCs w:val="21"/>
                <w:lang w:bidi="ar"/>
              </w:rPr>
              <w:t>体验。</w:t>
            </w:r>
          </w:p>
          <w:p w14:paraId="71142D08"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问答输出规范能够使得回答使用中文输出，专业术语附带英文原文（如“转移定价/Transfer Pricing”）；分点列出关键信息，结构清晰；涉及具体国家时明确标注国别；引用法规条款时注明来源；对时效性政策信息提醒用户注意可能的变化；回答末尾附带进一步建议的提问方向；保持客观中立，不提供政治倾向性评论。</w:t>
            </w:r>
          </w:p>
          <w:p w14:paraId="59F4BAA6"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连接与请求参数应通过平台内置的Node.js代理服务器与DeepSeek API通信，代理端口为localhost:8899，API路径为/</w:t>
            </w:r>
            <w:proofErr w:type="spellStart"/>
            <w:r>
              <w:rPr>
                <w:rFonts w:ascii="宋体" w:eastAsia="宋体" w:hAnsi="宋体" w:cs="宋体" w:hint="eastAsia"/>
                <w:szCs w:val="21"/>
                <w:lang w:bidi="ar"/>
              </w:rPr>
              <w:t>api</w:t>
            </w:r>
            <w:proofErr w:type="spellEnd"/>
            <w:r>
              <w:rPr>
                <w:rFonts w:ascii="宋体" w:eastAsia="宋体" w:hAnsi="宋体" w:cs="宋体" w:hint="eastAsia"/>
                <w:szCs w:val="21"/>
                <w:lang w:bidi="ar"/>
              </w:rPr>
              <w:t>/</w:t>
            </w:r>
            <w:proofErr w:type="spellStart"/>
            <w:r>
              <w:rPr>
                <w:rFonts w:ascii="宋体" w:eastAsia="宋体" w:hAnsi="宋体" w:cs="宋体" w:hint="eastAsia"/>
                <w:szCs w:val="21"/>
                <w:lang w:bidi="ar"/>
              </w:rPr>
              <w:t>deepseek</w:t>
            </w:r>
            <w:proofErr w:type="spellEnd"/>
            <w:r>
              <w:rPr>
                <w:rFonts w:ascii="宋体" w:eastAsia="宋体" w:hAnsi="宋体" w:cs="宋体" w:hint="eastAsia"/>
                <w:szCs w:val="21"/>
                <w:lang w:bidi="ar"/>
              </w:rPr>
              <w:t>/chat/completions；前端请求超时时限90秒，后端代理超时时限120秒；支持HTTP/HTTPS加密传输，API Key仅存储于服务端，前端不接触密钥；单次请求内容长度无硬性限制，受模型最大上下文窗口约束。</w:t>
            </w:r>
          </w:p>
          <w:p w14:paraId="4A35B831"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错误处理与自动重试应内置自动重试机制，最多尝试2次（首次 + 1次重试）；5xx服务器错误自动触发重试，4xx客户端错误直接返回错误提示；请求超时（超过90秒）</w:t>
            </w:r>
            <w:proofErr w:type="gramStart"/>
            <w:r>
              <w:rPr>
                <w:rFonts w:ascii="宋体" w:eastAsia="宋体" w:hAnsi="宋体" w:cs="宋体" w:hint="eastAsia"/>
                <w:szCs w:val="21"/>
                <w:lang w:bidi="ar"/>
              </w:rPr>
              <w:t>不</w:t>
            </w:r>
            <w:proofErr w:type="gramEnd"/>
            <w:r>
              <w:rPr>
                <w:rFonts w:ascii="宋体" w:eastAsia="宋体" w:hAnsi="宋体" w:cs="宋体" w:hint="eastAsia"/>
                <w:szCs w:val="21"/>
                <w:lang w:bidi="ar"/>
              </w:rPr>
              <w:t>重试，提示用户简化问题；重试间隔2秒，并在界面展示“正在重试…”状态提示；处理失败后展示可点击重试的错误消息卡片，用户可一键重发上一次咨询请求。</w:t>
            </w:r>
          </w:p>
          <w:p w14:paraId="55DEE21C"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交互界面参数应采用</w:t>
            </w:r>
            <w:proofErr w:type="gramStart"/>
            <w:r>
              <w:rPr>
                <w:rFonts w:ascii="宋体" w:eastAsia="宋体" w:hAnsi="宋体" w:cs="宋体" w:hint="eastAsia"/>
                <w:szCs w:val="21"/>
                <w:lang w:bidi="ar"/>
              </w:rPr>
              <w:t>独立弹窗模式</w:t>
            </w:r>
            <w:proofErr w:type="gramEnd"/>
            <w:r>
              <w:rPr>
                <w:rFonts w:ascii="宋体" w:eastAsia="宋体" w:hAnsi="宋体" w:cs="宋体" w:hint="eastAsia"/>
                <w:szCs w:val="21"/>
                <w:lang w:bidi="ar"/>
              </w:rPr>
              <w:t>，默认窗口尺寸为1100×750像素，支持窗口拖拽、缩放；</w:t>
            </w:r>
            <w:proofErr w:type="gramStart"/>
            <w:r>
              <w:rPr>
                <w:rFonts w:ascii="宋体" w:eastAsia="宋体" w:hAnsi="宋体" w:cs="宋体" w:hint="eastAsia"/>
                <w:szCs w:val="21"/>
                <w:lang w:bidi="ar"/>
              </w:rPr>
              <w:t>弹窗头部</w:t>
            </w:r>
            <w:proofErr w:type="gramEnd"/>
            <w:r>
              <w:rPr>
                <w:rFonts w:ascii="宋体" w:eastAsia="宋体" w:hAnsi="宋体" w:cs="宋体" w:hint="eastAsia"/>
                <w:szCs w:val="21"/>
                <w:lang w:bidi="ar"/>
              </w:rPr>
              <w:t>采用棕色渐变配色（棕色系#92400e→#b45309→#d97706），体现财税专业场景特色；输入区采用多行文本框，支持Enter发送、</w:t>
            </w:r>
            <w:proofErr w:type="spellStart"/>
            <w:r>
              <w:rPr>
                <w:rFonts w:ascii="宋体" w:eastAsia="宋体" w:hAnsi="宋体" w:cs="宋体" w:hint="eastAsia"/>
                <w:szCs w:val="21"/>
                <w:lang w:bidi="ar"/>
              </w:rPr>
              <w:t>Shift+Enter</w:t>
            </w:r>
            <w:proofErr w:type="spellEnd"/>
            <w:r>
              <w:rPr>
                <w:rFonts w:ascii="宋体" w:eastAsia="宋体" w:hAnsi="宋体" w:cs="宋体" w:hint="eastAsia"/>
                <w:szCs w:val="21"/>
                <w:lang w:bidi="ar"/>
              </w:rPr>
              <w:t>换行，自动高度适应（最大120px）；对话气泡支持简单Markdown渲染（粗体、斜体、行内代码、换行）；窗口内点击</w:t>
            </w:r>
            <w:proofErr w:type="gramStart"/>
            <w:r>
              <w:rPr>
                <w:rFonts w:ascii="宋体" w:eastAsia="宋体" w:hAnsi="宋体" w:cs="宋体" w:hint="eastAsia"/>
                <w:szCs w:val="21"/>
                <w:lang w:bidi="ar"/>
              </w:rPr>
              <w:t>遮罩层或</w:t>
            </w:r>
            <w:proofErr w:type="gramEnd"/>
            <w:r>
              <w:rPr>
                <w:rFonts w:ascii="宋体" w:eastAsia="宋体" w:hAnsi="宋体" w:cs="宋体" w:hint="eastAsia"/>
                <w:szCs w:val="21"/>
                <w:lang w:bidi="ar"/>
              </w:rPr>
              <w:t>关闭按钮均可关闭弹窗。</w:t>
            </w:r>
          </w:p>
          <w:p w14:paraId="72FD3048"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状态反馈与加载指示应能够等待AI回复时展示动态打字动画（三点跳动指示器）；实时显示思考计时（精确到秒，如“思考中...12s”）；请求发送期间禁用发送按钮和输入框，防止重复提交；错误状态下展示带有图标（⚠️）和详细错误信息的红色提示卡片，支持点击重试；</w:t>
            </w:r>
            <w:r>
              <w:rPr>
                <w:rFonts w:ascii="宋体" w:eastAsia="宋体" w:hAnsi="宋体" w:cs="宋体" w:hint="eastAsia"/>
                <w:szCs w:val="21"/>
                <w:lang w:bidi="ar"/>
              </w:rPr>
              <w:lastRenderedPageBreak/>
              <w:t>每次咨询成功后自动聚焦输入框，便于连续提问。</w:t>
            </w:r>
          </w:p>
          <w:p w14:paraId="53F65976"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安全与隐私参数应能够使得API密钥仅存储于服务端（server.js），前端代码不包含任何密钥信息；所有AI通信经由后端代理转发，前端不直接访问DeepSeek API；对话历史仅保存在前端内存，不写入本地存储或数据库；</w:t>
            </w:r>
            <w:proofErr w:type="gramStart"/>
            <w:r>
              <w:rPr>
                <w:rFonts w:ascii="宋体" w:eastAsia="宋体" w:hAnsi="宋体" w:cs="宋体" w:hint="eastAsia"/>
                <w:szCs w:val="21"/>
                <w:lang w:bidi="ar"/>
              </w:rPr>
              <w:t>关闭弹窗时</w:t>
            </w:r>
            <w:proofErr w:type="gramEnd"/>
            <w:r>
              <w:rPr>
                <w:rFonts w:ascii="宋体" w:eastAsia="宋体" w:hAnsi="宋体" w:cs="宋体" w:hint="eastAsia"/>
                <w:szCs w:val="21"/>
                <w:lang w:bidi="ar"/>
              </w:rPr>
              <w:t>自动清空全部对话记录；前端请求自动添加CORS头，服务器对OPTIONS预检请求返回204状态码。</w:t>
            </w:r>
          </w:p>
          <w:p w14:paraId="708BB048"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模块联动与数据流应可与平台图谱绘制模块联动，通过</w:t>
            </w:r>
            <w:proofErr w:type="spellStart"/>
            <w:r>
              <w:rPr>
                <w:rFonts w:ascii="宋体" w:eastAsia="宋体" w:hAnsi="宋体" w:cs="宋体" w:hint="eastAsia"/>
                <w:szCs w:val="21"/>
                <w:lang w:bidi="ar"/>
              </w:rPr>
              <w:t>postMessage</w:t>
            </w:r>
            <w:proofErr w:type="spellEnd"/>
            <w:r>
              <w:rPr>
                <w:rFonts w:ascii="宋体" w:eastAsia="宋体" w:hAnsi="宋体" w:cs="宋体" w:hint="eastAsia"/>
                <w:szCs w:val="21"/>
                <w:lang w:bidi="ar"/>
              </w:rPr>
              <w:t>接口接收REA提取智能体生成的结构化REA数据（JSON格式），自动加载到图谱画布；支持与REA词典数据联动，咨询过程中可引用平台内置的64项会计科目、76项业务事件、57项利益主体的标准定义；多智能体之间可共享同一个代理服务器和API连接，互不干扰。</w:t>
            </w:r>
          </w:p>
          <w:p w14:paraId="602CC9A2" w14:textId="77777777" w:rsidR="006830E3" w:rsidRDefault="00000000">
            <w:pPr>
              <w:numPr>
                <w:ilvl w:val="0"/>
                <w:numId w:val="3"/>
              </w:numPr>
              <w:rPr>
                <w:rFonts w:ascii="宋体" w:eastAsia="宋体" w:hAnsi="宋体" w:cs="宋体" w:hint="eastAsia"/>
                <w:szCs w:val="21"/>
                <w:lang w:bidi="ar"/>
              </w:rPr>
            </w:pPr>
            <w:r>
              <w:rPr>
                <w:rFonts w:ascii="宋体" w:eastAsia="宋体" w:hAnsi="宋体" w:cs="宋体" w:hint="eastAsia"/>
                <w:szCs w:val="21"/>
                <w:lang w:bidi="ar"/>
              </w:rPr>
              <w:t>服务部署参数应能够使得后端代理服务基于Node.js原生http模块和https模块，无额外依赖，无需</w:t>
            </w:r>
            <w:proofErr w:type="spellStart"/>
            <w:r>
              <w:rPr>
                <w:rFonts w:ascii="宋体" w:eastAsia="宋体" w:hAnsi="宋体" w:cs="宋体" w:hint="eastAsia"/>
                <w:szCs w:val="21"/>
                <w:lang w:bidi="ar"/>
              </w:rPr>
              <w:t>npm</w:t>
            </w:r>
            <w:proofErr w:type="spellEnd"/>
            <w:r>
              <w:rPr>
                <w:rFonts w:ascii="宋体" w:eastAsia="宋体" w:hAnsi="宋体" w:cs="宋体" w:hint="eastAsia"/>
                <w:szCs w:val="21"/>
                <w:lang w:bidi="ar"/>
              </w:rPr>
              <w:t xml:space="preserve"> install；服务器监听端口8899，支持</w:t>
            </w:r>
            <w:proofErr w:type="gramStart"/>
            <w:r>
              <w:rPr>
                <w:rFonts w:ascii="宋体" w:eastAsia="宋体" w:hAnsi="宋体" w:cs="宋体" w:hint="eastAsia"/>
                <w:szCs w:val="21"/>
                <w:lang w:bidi="ar"/>
              </w:rPr>
              <w:t>单进程多</w:t>
            </w:r>
            <w:proofErr w:type="gramEnd"/>
            <w:r>
              <w:rPr>
                <w:rFonts w:ascii="宋体" w:eastAsia="宋体" w:hAnsi="宋体" w:cs="宋体" w:hint="eastAsia"/>
                <w:szCs w:val="21"/>
                <w:lang w:bidi="ar"/>
              </w:rPr>
              <w:t>路由处理；提供Windows批处理文件一键启动，自动检测Node.js环境并打开浏览器；支持单机部署，同时可作为独立窗口运行（端口3456），与主平台解耦使用。</w:t>
            </w:r>
          </w:p>
          <w:p w14:paraId="20B2FE36" w14:textId="77777777" w:rsidR="006830E3" w:rsidRDefault="00000000">
            <w:pPr>
              <w:spacing w:beforeLines="50" w:before="156"/>
              <w:rPr>
                <w:rFonts w:ascii="宋体" w:eastAsia="宋体" w:hAnsi="宋体" w:cs="宋体" w:hint="eastAsia"/>
                <w:b/>
                <w:bCs/>
                <w:sz w:val="22"/>
                <w:lang w:bidi="ar"/>
              </w:rPr>
            </w:pPr>
            <w:r>
              <w:rPr>
                <w:rFonts w:ascii="宋体" w:eastAsia="宋体" w:hAnsi="宋体" w:cs="宋体" w:hint="eastAsia"/>
                <w:b/>
                <w:bCs/>
                <w:sz w:val="22"/>
                <w:lang w:bidi="ar"/>
              </w:rPr>
              <w:t>四、境外外汇咨询智能体模块定制开发要求</w:t>
            </w:r>
          </w:p>
          <w:p w14:paraId="706AD582" w14:textId="412EBA89"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外汇咨询智能体是REA平台“出海AI”功能组件中的专业智能体模块，应能够涵盖企业出海过程中涉及的汇率风险管理、跨境资金调拨、外汇管制政策、国际支付结算、套期保值等金融专业领域的智能问答与策略建议。</w:t>
            </w:r>
          </w:p>
          <w:p w14:paraId="49888700"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咨询领域覆盖应能够覆盖企业出海外汇与跨境资金管理的六大核心领域：汇率风险管理包括远期结售汇、期权组合、自然对冲策略；跨境结算方式包括信用证（L/C）、电汇（T/T）、托收（D/P、D/A）；各国外汇管制政策包括ODI/FDI外汇登记、利润汇出规定；资金</w:t>
            </w:r>
            <w:proofErr w:type="gramStart"/>
            <w:r>
              <w:rPr>
                <w:rFonts w:ascii="宋体" w:eastAsia="宋体" w:hAnsi="宋体" w:cs="宋体" w:hint="eastAsia"/>
                <w:szCs w:val="21"/>
                <w:lang w:bidi="ar"/>
              </w:rPr>
              <w:t>池管理</w:t>
            </w:r>
            <w:proofErr w:type="gramEnd"/>
            <w:r>
              <w:rPr>
                <w:rFonts w:ascii="宋体" w:eastAsia="宋体" w:hAnsi="宋体" w:cs="宋体" w:hint="eastAsia"/>
                <w:szCs w:val="21"/>
                <w:lang w:bidi="ar"/>
              </w:rPr>
              <w:t>包括跨境资金归集、内部借贷、FTP定价；套期保值会计包括套</w:t>
            </w:r>
            <w:proofErr w:type="gramStart"/>
            <w:r>
              <w:rPr>
                <w:rFonts w:ascii="宋体" w:eastAsia="宋体" w:hAnsi="宋体" w:cs="宋体" w:hint="eastAsia"/>
                <w:szCs w:val="21"/>
                <w:lang w:bidi="ar"/>
              </w:rPr>
              <w:t>期工具</w:t>
            </w:r>
            <w:proofErr w:type="gramEnd"/>
            <w:r>
              <w:rPr>
                <w:rFonts w:ascii="宋体" w:eastAsia="宋体" w:hAnsi="宋体" w:cs="宋体" w:hint="eastAsia"/>
                <w:szCs w:val="21"/>
                <w:lang w:bidi="ar"/>
              </w:rPr>
              <w:t>分类、有效性测试、会计处理；国际支付包括SWIFT系统、跨境人民币结算、数字货币发展。</w:t>
            </w:r>
          </w:p>
          <w:p w14:paraId="55F8A54B"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智能对话引擎应能够采用DeepSeek大语言模型作为底层推理引擎，模型版本为deepseek-v4-flash，通过外汇专业系统提示词（System Prompt）引导模型输出符合外汇咨询场景的专业回答，支持多轮上下文对话，最多保留20轮对话历史，确保连贯的多</w:t>
            </w:r>
            <w:proofErr w:type="gramStart"/>
            <w:r>
              <w:rPr>
                <w:rFonts w:ascii="宋体" w:eastAsia="宋体" w:hAnsi="宋体" w:cs="宋体" w:hint="eastAsia"/>
                <w:szCs w:val="21"/>
                <w:lang w:bidi="ar"/>
              </w:rPr>
              <w:t>步咨询</w:t>
            </w:r>
            <w:proofErr w:type="gramEnd"/>
            <w:r>
              <w:rPr>
                <w:rFonts w:ascii="宋体" w:eastAsia="宋体" w:hAnsi="宋体" w:cs="宋体" w:hint="eastAsia"/>
                <w:szCs w:val="21"/>
                <w:lang w:bidi="ar"/>
              </w:rPr>
              <w:t>体验。</w:t>
            </w:r>
          </w:p>
          <w:p w14:paraId="46B89EE3"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问答输出规范应确保回答使用中文输出，金融术语附带英文原文（如“远期结售汇/Forward Contract”）；涉及实时汇率时提醒用户查看最新报价，避免参考过时数据；给出具体操作建议时说明适用条件（如“适用于有外币收入的出口企业”）；风险提示要醒目，特别是涉及套期保值、杆杆等金融衍生品的场景；分点列出关键信息，逻辑清晰，便于快速把握要点。</w:t>
            </w:r>
          </w:p>
          <w:p w14:paraId="3A951B86"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汇率风险管理功能应能够支持对多种汇率风险管理工具的原理解读与应用场景分析：远期结售汇合约（Forward Contract）的锁定汇率、到期履约机制；外汇期权（Option）的</w:t>
            </w:r>
            <w:proofErr w:type="gramStart"/>
            <w:r>
              <w:rPr>
                <w:rFonts w:ascii="宋体" w:eastAsia="宋体" w:hAnsi="宋体" w:cs="宋体" w:hint="eastAsia"/>
                <w:szCs w:val="21"/>
                <w:lang w:bidi="ar"/>
              </w:rPr>
              <w:t>买卖权类型</w:t>
            </w:r>
            <w:proofErr w:type="gramEnd"/>
            <w:r>
              <w:rPr>
                <w:rFonts w:ascii="宋体" w:eastAsia="宋体" w:hAnsi="宋体" w:cs="宋体" w:hint="eastAsia"/>
                <w:szCs w:val="21"/>
                <w:lang w:bidi="ar"/>
              </w:rPr>
              <w:t xml:space="preserve">、期权费计算、最大损失与收益分析；跨境资金内部对冲策略（自然对冲/Natural </w:t>
            </w:r>
            <w:r>
              <w:rPr>
                <w:rFonts w:ascii="宋体" w:eastAsia="宋体" w:hAnsi="宋体" w:cs="宋体" w:hint="eastAsia"/>
                <w:szCs w:val="21"/>
                <w:lang w:bidi="ar"/>
              </w:rPr>
              <w:lastRenderedPageBreak/>
              <w:t>Hedging），包括货币匹配、资产负债匹配等方法；费用组合策略（如远期+期权组合）的优劣对比与适用场景。</w:t>
            </w:r>
          </w:p>
          <w:p w14:paraId="2BD4373C"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跨境资金管理功能应能够支持跨境资金调拨的多种方式解读：跨境资金归集（Cash Pooling）的架构设计、操作流程、合</w:t>
            </w:r>
            <w:proofErr w:type="gramStart"/>
            <w:r>
              <w:rPr>
                <w:rFonts w:ascii="宋体" w:eastAsia="宋体" w:hAnsi="宋体" w:cs="宋体" w:hint="eastAsia"/>
                <w:szCs w:val="21"/>
                <w:lang w:bidi="ar"/>
              </w:rPr>
              <w:t>规</w:t>
            </w:r>
            <w:proofErr w:type="gramEnd"/>
            <w:r>
              <w:rPr>
                <w:rFonts w:ascii="宋体" w:eastAsia="宋体" w:hAnsi="宋体" w:cs="宋体" w:hint="eastAsia"/>
                <w:szCs w:val="21"/>
                <w:lang w:bidi="ar"/>
              </w:rPr>
              <w:t>要求；内部借贷（Intercompany Loan）的利率设定、转定价规则、税务影响；FTP（资金转移定价）机制设计与多货币场景应用；每日资金</w:t>
            </w:r>
            <w:proofErr w:type="gramStart"/>
            <w:r>
              <w:rPr>
                <w:rFonts w:ascii="宋体" w:eastAsia="宋体" w:hAnsi="宋体" w:cs="宋体" w:hint="eastAsia"/>
                <w:szCs w:val="21"/>
                <w:lang w:bidi="ar"/>
              </w:rPr>
              <w:t>流预测</w:t>
            </w:r>
            <w:proofErr w:type="gramEnd"/>
            <w:r>
              <w:rPr>
                <w:rFonts w:ascii="宋体" w:eastAsia="宋体" w:hAnsi="宋体" w:cs="宋体" w:hint="eastAsia"/>
                <w:szCs w:val="21"/>
                <w:lang w:bidi="ar"/>
              </w:rPr>
              <w:t>与流动性管理建议；利润汇出所涉及的外汇管制、税务处理、文件准备等实务操作指导。</w:t>
            </w:r>
          </w:p>
          <w:p w14:paraId="5271A1EF"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连接与请求参数应通过平台内置的Node.js代理服务器与DeepSeek API通信，代理端口为localhost:8899，API路径为/</w:t>
            </w:r>
            <w:proofErr w:type="spellStart"/>
            <w:r>
              <w:rPr>
                <w:rFonts w:ascii="宋体" w:eastAsia="宋体" w:hAnsi="宋体" w:cs="宋体" w:hint="eastAsia"/>
                <w:szCs w:val="21"/>
                <w:lang w:bidi="ar"/>
              </w:rPr>
              <w:t>api</w:t>
            </w:r>
            <w:proofErr w:type="spellEnd"/>
            <w:r>
              <w:rPr>
                <w:rFonts w:ascii="宋体" w:eastAsia="宋体" w:hAnsi="宋体" w:cs="宋体" w:hint="eastAsia"/>
                <w:szCs w:val="21"/>
                <w:lang w:bidi="ar"/>
              </w:rPr>
              <w:t>/</w:t>
            </w:r>
            <w:proofErr w:type="spellStart"/>
            <w:r>
              <w:rPr>
                <w:rFonts w:ascii="宋体" w:eastAsia="宋体" w:hAnsi="宋体" w:cs="宋体" w:hint="eastAsia"/>
                <w:szCs w:val="21"/>
                <w:lang w:bidi="ar"/>
              </w:rPr>
              <w:t>deepseek</w:t>
            </w:r>
            <w:proofErr w:type="spellEnd"/>
            <w:r>
              <w:rPr>
                <w:rFonts w:ascii="宋体" w:eastAsia="宋体" w:hAnsi="宋体" w:cs="宋体" w:hint="eastAsia"/>
                <w:szCs w:val="21"/>
                <w:lang w:bidi="ar"/>
              </w:rPr>
              <w:t>/chat/completions；前端请求超时时限90秒，后端代理超时时限120秒；支持HTTP/HTTPS加密传输，API Key仅存储于服务端，前端不接触密钥；单次请求内容长度无硬性限制，受模型最大上下文窗口约束。</w:t>
            </w:r>
          </w:p>
          <w:p w14:paraId="779855D4"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错误处理与自动重试应能够内置自动重试机制，最多尝试2次（首次 + 1次重试）；5xx服务器错误自动触发重试，4xx客户端错误直接返回错误提示；请求超时（超过90秒）</w:t>
            </w:r>
            <w:proofErr w:type="gramStart"/>
            <w:r>
              <w:rPr>
                <w:rFonts w:ascii="宋体" w:eastAsia="宋体" w:hAnsi="宋体" w:cs="宋体" w:hint="eastAsia"/>
                <w:szCs w:val="21"/>
                <w:lang w:bidi="ar"/>
              </w:rPr>
              <w:t>不</w:t>
            </w:r>
            <w:proofErr w:type="gramEnd"/>
            <w:r>
              <w:rPr>
                <w:rFonts w:ascii="宋体" w:eastAsia="宋体" w:hAnsi="宋体" w:cs="宋体" w:hint="eastAsia"/>
                <w:szCs w:val="21"/>
                <w:lang w:bidi="ar"/>
              </w:rPr>
              <w:t>重试，提示用户简化问题；重试间隔2秒，并在界面展示“正在重试…”状态提示；处理失败后展示可点击重试的错误消息卡片，用户可一键重发上一次咨询请求。</w:t>
            </w:r>
          </w:p>
          <w:p w14:paraId="08E2DCCF"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交互界面参数应采用</w:t>
            </w:r>
            <w:proofErr w:type="gramStart"/>
            <w:r>
              <w:rPr>
                <w:rFonts w:ascii="宋体" w:eastAsia="宋体" w:hAnsi="宋体" w:cs="宋体" w:hint="eastAsia"/>
                <w:szCs w:val="21"/>
                <w:lang w:bidi="ar"/>
              </w:rPr>
              <w:t>独立弹窗模式</w:t>
            </w:r>
            <w:proofErr w:type="gramEnd"/>
            <w:r>
              <w:rPr>
                <w:rFonts w:ascii="宋体" w:eastAsia="宋体" w:hAnsi="宋体" w:cs="宋体" w:hint="eastAsia"/>
                <w:szCs w:val="21"/>
                <w:lang w:bidi="ar"/>
              </w:rPr>
              <w:t>，默认窗口尺寸为1100×750像素，支持窗口拖拽、缩放；</w:t>
            </w:r>
            <w:proofErr w:type="gramStart"/>
            <w:r>
              <w:rPr>
                <w:rFonts w:ascii="宋体" w:eastAsia="宋体" w:hAnsi="宋体" w:cs="宋体" w:hint="eastAsia"/>
                <w:szCs w:val="21"/>
                <w:lang w:bidi="ar"/>
              </w:rPr>
              <w:t>弹窗头部</w:t>
            </w:r>
            <w:proofErr w:type="gramEnd"/>
            <w:r>
              <w:rPr>
                <w:rFonts w:ascii="宋体" w:eastAsia="宋体" w:hAnsi="宋体" w:cs="宋体" w:hint="eastAsia"/>
                <w:szCs w:val="21"/>
                <w:lang w:bidi="ar"/>
              </w:rPr>
              <w:t>采用紫色渐变配色（紫色系#581c87→#7e22ce→#a855f7），体现外汇金融专业场景特色；输入区采用多行文本框，支持Enter发送、</w:t>
            </w:r>
            <w:proofErr w:type="spellStart"/>
            <w:r>
              <w:rPr>
                <w:rFonts w:ascii="宋体" w:eastAsia="宋体" w:hAnsi="宋体" w:cs="宋体" w:hint="eastAsia"/>
                <w:szCs w:val="21"/>
                <w:lang w:bidi="ar"/>
              </w:rPr>
              <w:t>Shift+Enter</w:t>
            </w:r>
            <w:proofErr w:type="spellEnd"/>
            <w:r>
              <w:rPr>
                <w:rFonts w:ascii="宋体" w:eastAsia="宋体" w:hAnsi="宋体" w:cs="宋体" w:hint="eastAsia"/>
                <w:szCs w:val="21"/>
                <w:lang w:bidi="ar"/>
              </w:rPr>
              <w:t>换行，自动高度适应（最大120px）；对话气泡支持简单Markdown渲染（粗体、斜体、行内代码、换行）；窗口内点击</w:t>
            </w:r>
            <w:proofErr w:type="gramStart"/>
            <w:r>
              <w:rPr>
                <w:rFonts w:ascii="宋体" w:eastAsia="宋体" w:hAnsi="宋体" w:cs="宋体" w:hint="eastAsia"/>
                <w:szCs w:val="21"/>
                <w:lang w:bidi="ar"/>
              </w:rPr>
              <w:t>遮罩层或</w:t>
            </w:r>
            <w:proofErr w:type="gramEnd"/>
            <w:r>
              <w:rPr>
                <w:rFonts w:ascii="宋体" w:eastAsia="宋体" w:hAnsi="宋体" w:cs="宋体" w:hint="eastAsia"/>
                <w:szCs w:val="21"/>
                <w:lang w:bidi="ar"/>
              </w:rPr>
              <w:t>关闭按钮均可关闭弹窗。</w:t>
            </w:r>
          </w:p>
          <w:p w14:paraId="552DDBA2"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状态反馈与加载指示应等待AI回复时展示动态打字动画（三点跳动指示器）；实时显示思考计时（精确到秒，如“思考中...12s”）；请求发送期间禁用发送按钮和输入框，防止重复提交；错误状态下展示带有图标（⚠️）和详细错误信息的红色提示卡片，支持点击重试；每次咨询成功后自动聚焦输入框，便于连续提问。</w:t>
            </w:r>
          </w:p>
          <w:p w14:paraId="4504B0A9" w14:textId="77777777" w:rsidR="006830E3" w:rsidRDefault="00000000">
            <w:pPr>
              <w:numPr>
                <w:ilvl w:val="0"/>
                <w:numId w:val="4"/>
              </w:numPr>
              <w:rPr>
                <w:rFonts w:ascii="宋体" w:eastAsia="宋体" w:hAnsi="宋体" w:cs="宋体" w:hint="eastAsia"/>
                <w:szCs w:val="21"/>
                <w:lang w:bidi="ar"/>
              </w:rPr>
            </w:pPr>
            <w:r>
              <w:rPr>
                <w:rFonts w:ascii="宋体" w:eastAsia="宋体" w:hAnsi="宋体" w:cs="宋体" w:hint="eastAsia"/>
                <w:szCs w:val="21"/>
                <w:lang w:bidi="ar"/>
              </w:rPr>
              <w:t>安全与隐私参数应能够使得API密钥仅存储于服务端（server.js），前端代码不包含任何密钥信息；所有AI通信经由后端代理转发，前端不直接访问DeepSeek API；对话历史仅保存在前端内存，不写入本地存储或数据库；</w:t>
            </w:r>
            <w:proofErr w:type="gramStart"/>
            <w:r>
              <w:rPr>
                <w:rFonts w:ascii="宋体" w:eastAsia="宋体" w:hAnsi="宋体" w:cs="宋体" w:hint="eastAsia"/>
                <w:szCs w:val="21"/>
                <w:lang w:bidi="ar"/>
              </w:rPr>
              <w:t>关闭弹窗时</w:t>
            </w:r>
            <w:proofErr w:type="gramEnd"/>
            <w:r>
              <w:rPr>
                <w:rFonts w:ascii="宋体" w:eastAsia="宋体" w:hAnsi="宋体" w:cs="宋体" w:hint="eastAsia"/>
                <w:szCs w:val="21"/>
                <w:lang w:bidi="ar"/>
              </w:rPr>
              <w:t>自动清空全部对话记录；前端请求自动添加CORS头，服务器对OPTIONS预检请求返回204状态码。</w:t>
            </w:r>
          </w:p>
          <w:p w14:paraId="50A64167" w14:textId="77777777" w:rsidR="006830E3" w:rsidRDefault="00000000">
            <w:pPr>
              <w:spacing w:beforeLines="50" w:before="156"/>
              <w:rPr>
                <w:rFonts w:ascii="宋体" w:eastAsia="宋体" w:hAnsi="宋体" w:cs="宋体" w:hint="eastAsia"/>
                <w:b/>
                <w:bCs/>
                <w:sz w:val="22"/>
                <w:lang w:bidi="ar"/>
              </w:rPr>
            </w:pPr>
            <w:r>
              <w:rPr>
                <w:rFonts w:ascii="宋体" w:eastAsia="宋体" w:hAnsi="宋体" w:cs="宋体" w:hint="eastAsia"/>
                <w:b/>
                <w:bCs/>
                <w:sz w:val="22"/>
                <w:lang w:bidi="ar"/>
              </w:rPr>
              <w:t>五、全球经济BI项目模块定制开发要求</w:t>
            </w:r>
          </w:p>
          <w:p w14:paraId="0E13BC35" w14:textId="77777777" w:rsidR="006830E3" w:rsidRDefault="00000000">
            <w:pPr>
              <w:numPr>
                <w:ilvl w:val="0"/>
                <w:numId w:val="5"/>
              </w:numPr>
              <w:rPr>
                <w:rFonts w:ascii="宋体" w:eastAsia="宋体" w:hAnsi="宋体" w:cs="宋体" w:hint="eastAsia"/>
                <w:szCs w:val="21"/>
              </w:rPr>
            </w:pPr>
            <w:r>
              <w:rPr>
                <w:rFonts w:ascii="宋体" w:eastAsia="宋体" w:hAnsi="宋体" w:cs="宋体" w:hint="eastAsia"/>
                <w:szCs w:val="21"/>
                <w:lang w:bidi="ar"/>
              </w:rPr>
              <w:t>全球经济BI项目用power BI或者FBI等主流BI平台设计，支持网页</w:t>
            </w:r>
            <w:proofErr w:type="gramStart"/>
            <w:r>
              <w:rPr>
                <w:rFonts w:ascii="宋体" w:eastAsia="宋体" w:hAnsi="宋体" w:cs="宋体" w:hint="eastAsia"/>
                <w:szCs w:val="21"/>
                <w:lang w:bidi="ar"/>
              </w:rPr>
              <w:t>端打开</w:t>
            </w:r>
            <w:proofErr w:type="gramEnd"/>
            <w:r>
              <w:rPr>
                <w:rFonts w:ascii="宋体" w:eastAsia="宋体" w:hAnsi="宋体" w:cs="宋体" w:hint="eastAsia"/>
                <w:szCs w:val="21"/>
                <w:lang w:bidi="ar"/>
              </w:rPr>
              <w:t>和交互式查看数据；</w:t>
            </w:r>
          </w:p>
          <w:p w14:paraId="7EF0C76F" w14:textId="77777777" w:rsidR="006830E3" w:rsidRDefault="00000000">
            <w:pPr>
              <w:numPr>
                <w:ilvl w:val="0"/>
                <w:numId w:val="5"/>
              </w:numPr>
              <w:rPr>
                <w:rFonts w:ascii="宋体" w:eastAsia="宋体" w:hAnsi="宋体" w:cs="宋体" w:hint="eastAsia"/>
                <w:szCs w:val="21"/>
              </w:rPr>
            </w:pPr>
            <w:r>
              <w:rPr>
                <w:rFonts w:ascii="宋体" w:eastAsia="宋体" w:hAnsi="宋体" w:cs="宋体" w:hint="eastAsia"/>
                <w:szCs w:val="21"/>
                <w:lang w:bidi="ar"/>
              </w:rPr>
              <w:t>全球经济BI项目应包含国际宏观经济数据BI子项目，该项目可以查看世界主要经济体和区域性国际组织的国际宏观经济数据，并且可以分类交互显示用户所需的指标信息，能够快速的进行对比和图</w:t>
            </w:r>
            <w:r>
              <w:rPr>
                <w:rFonts w:ascii="宋体" w:eastAsia="宋体" w:hAnsi="宋体" w:cs="宋体" w:hint="eastAsia"/>
                <w:szCs w:val="21"/>
                <w:lang w:bidi="ar"/>
              </w:rPr>
              <w:lastRenderedPageBreak/>
              <w:t>表分析；</w:t>
            </w:r>
          </w:p>
          <w:p w14:paraId="3EB48436" w14:textId="77777777" w:rsidR="006830E3" w:rsidRDefault="00000000">
            <w:pPr>
              <w:numPr>
                <w:ilvl w:val="0"/>
                <w:numId w:val="5"/>
              </w:numPr>
              <w:rPr>
                <w:rFonts w:ascii="宋体" w:eastAsia="宋体" w:hAnsi="宋体" w:cs="宋体" w:hint="eastAsia"/>
                <w:szCs w:val="21"/>
              </w:rPr>
            </w:pPr>
            <w:r>
              <w:rPr>
                <w:rFonts w:ascii="宋体" w:eastAsia="宋体" w:hAnsi="宋体" w:cs="宋体" w:hint="eastAsia"/>
                <w:szCs w:val="21"/>
                <w:lang w:bidi="ar"/>
              </w:rPr>
              <w:t>全球经济BI项目应包含全球经济统计数据BI子项目，该项目可以查看世界主要经济体和区域性国际组织的经济统计指标，并且可以分类交互显示用户所需的指标信息，能够快速的进行对比和图表分析；</w:t>
            </w:r>
          </w:p>
          <w:p w14:paraId="0D4C0DC7" w14:textId="77777777" w:rsidR="006830E3" w:rsidRDefault="00000000">
            <w:pPr>
              <w:numPr>
                <w:ilvl w:val="0"/>
                <w:numId w:val="5"/>
              </w:numPr>
              <w:rPr>
                <w:rFonts w:ascii="宋体" w:eastAsia="宋体" w:hAnsi="宋体" w:cs="宋体" w:hint="eastAsia"/>
                <w:szCs w:val="21"/>
              </w:rPr>
            </w:pPr>
            <w:r>
              <w:rPr>
                <w:rFonts w:ascii="宋体" w:eastAsia="宋体" w:hAnsi="宋体" w:cs="宋体" w:hint="eastAsia"/>
                <w:szCs w:val="21"/>
                <w:lang w:bidi="ar"/>
              </w:rPr>
              <w:t>全球经济BI项目应包含中国进出口数据BI子项目，该项目可以查看中国与世界主要经济体和区域性国际组织的进出口统计指标，并且可以分类交互显示用户所需的指标信息，能够快速的进行对比和图表分析；</w:t>
            </w:r>
          </w:p>
          <w:p w14:paraId="7A0B4B52" w14:textId="38B6E96B" w:rsidR="006830E3" w:rsidRDefault="00000000">
            <w:pPr>
              <w:numPr>
                <w:ilvl w:val="0"/>
                <w:numId w:val="5"/>
              </w:numPr>
              <w:rPr>
                <w:rFonts w:ascii="宋体" w:eastAsia="宋体" w:hAnsi="宋体" w:cs="宋体" w:hint="eastAsia"/>
                <w:szCs w:val="21"/>
              </w:rPr>
            </w:pPr>
            <w:r>
              <w:rPr>
                <w:rFonts w:ascii="宋体" w:eastAsia="宋体" w:hAnsi="宋体" w:cs="宋体" w:hint="eastAsia"/>
                <w:szCs w:val="21"/>
                <w:lang w:bidi="ar"/>
              </w:rPr>
              <w:t>全球经济BI项目应该包含世界地图的交互查看视觉对象，支持人手触摸式调整地图，达到较好的交互演示效果；</w:t>
            </w:r>
          </w:p>
        </w:tc>
      </w:tr>
    </w:tbl>
    <w:p w14:paraId="4DBB2FE1" w14:textId="77777777" w:rsidR="006830E3" w:rsidRDefault="006830E3">
      <w:pPr>
        <w:spacing w:line="360" w:lineRule="auto"/>
        <w:ind w:firstLine="408"/>
        <w:rPr>
          <w:sz w:val="24"/>
        </w:rPr>
      </w:pPr>
    </w:p>
    <w:p w14:paraId="2128AF85" w14:textId="5C258AEE" w:rsidR="006830E3" w:rsidRDefault="00000000">
      <w:pPr>
        <w:spacing w:line="360" w:lineRule="auto"/>
        <w:ind w:firstLine="408"/>
        <w:rPr>
          <w:sz w:val="24"/>
        </w:rPr>
      </w:pPr>
      <w:r>
        <w:rPr>
          <w:rFonts w:hint="eastAsia"/>
          <w:sz w:val="24"/>
        </w:rPr>
        <w:t>三、采购项目的明细数量、交付或实施时间、地点</w:t>
      </w:r>
    </w:p>
    <w:p w14:paraId="21A25ED3" w14:textId="77777777" w:rsidR="006830E3" w:rsidRDefault="00000000">
      <w:pPr>
        <w:spacing w:line="360" w:lineRule="auto"/>
        <w:ind w:firstLineChars="200" w:firstLine="480"/>
        <w:rPr>
          <w:sz w:val="24"/>
        </w:rPr>
      </w:pPr>
      <w:r>
        <w:rPr>
          <w:rFonts w:hint="eastAsia"/>
          <w:sz w:val="24"/>
        </w:rPr>
        <w:t>1.</w:t>
      </w:r>
      <w:r>
        <w:rPr>
          <w:rFonts w:hint="eastAsia"/>
          <w:sz w:val="24"/>
        </w:rPr>
        <w:t>采购明细与数量</w:t>
      </w:r>
    </w:p>
    <w:p w14:paraId="6D1C7C06" w14:textId="77777777" w:rsidR="006830E3" w:rsidRDefault="00000000">
      <w:pPr>
        <w:spacing w:line="360" w:lineRule="auto"/>
        <w:ind w:firstLineChars="200" w:firstLine="480"/>
        <w:rPr>
          <w:sz w:val="24"/>
        </w:rPr>
      </w:pPr>
      <w:r>
        <w:rPr>
          <w:rFonts w:hint="eastAsia"/>
          <w:sz w:val="24"/>
        </w:rPr>
        <w:t>采购出海企业财税综合教学平台（二期），一套</w:t>
      </w:r>
    </w:p>
    <w:p w14:paraId="78CED4EF" w14:textId="77777777" w:rsidR="006830E3" w:rsidRDefault="00000000">
      <w:pPr>
        <w:spacing w:line="360" w:lineRule="auto"/>
        <w:ind w:firstLineChars="200" w:firstLine="480"/>
        <w:rPr>
          <w:sz w:val="24"/>
        </w:rPr>
      </w:pPr>
      <w:r>
        <w:rPr>
          <w:rFonts w:hint="eastAsia"/>
          <w:sz w:val="24"/>
        </w:rPr>
        <w:t>2.</w:t>
      </w:r>
      <w:r>
        <w:rPr>
          <w:rFonts w:hint="eastAsia"/>
          <w:sz w:val="24"/>
        </w:rPr>
        <w:t>交付与实施时间</w:t>
      </w:r>
    </w:p>
    <w:p w14:paraId="31CBBE40" w14:textId="77777777" w:rsidR="006830E3" w:rsidRPr="00792CC5" w:rsidRDefault="00000000">
      <w:pPr>
        <w:spacing w:line="360" w:lineRule="auto"/>
        <w:ind w:firstLineChars="200" w:firstLine="480"/>
        <w:rPr>
          <w:sz w:val="24"/>
        </w:rPr>
      </w:pPr>
      <w:bookmarkStart w:id="0" w:name="OLE_LINK1"/>
      <w:r w:rsidRPr="00792CC5">
        <w:rPr>
          <w:rFonts w:hint="eastAsia"/>
          <w:sz w:val="24"/>
        </w:rPr>
        <w:t>软件定制交付，合同签订后</w:t>
      </w:r>
      <w:r w:rsidRPr="00792CC5">
        <w:rPr>
          <w:sz w:val="24"/>
        </w:rPr>
        <w:t>3</w:t>
      </w:r>
      <w:r w:rsidRPr="00792CC5">
        <w:rPr>
          <w:rFonts w:hint="eastAsia"/>
          <w:sz w:val="24"/>
        </w:rPr>
        <w:t>个月内完成定制模块安装、调试工作。</w:t>
      </w:r>
    </w:p>
    <w:bookmarkEnd w:id="0"/>
    <w:p w14:paraId="704E669A" w14:textId="77777777" w:rsidR="006830E3" w:rsidRDefault="00000000">
      <w:pPr>
        <w:spacing w:line="360" w:lineRule="auto"/>
        <w:ind w:firstLineChars="200" w:firstLine="480"/>
        <w:rPr>
          <w:sz w:val="24"/>
        </w:rPr>
      </w:pPr>
      <w:r>
        <w:rPr>
          <w:rFonts w:hint="eastAsia"/>
          <w:sz w:val="24"/>
        </w:rPr>
        <w:t>3.</w:t>
      </w:r>
      <w:r>
        <w:rPr>
          <w:rFonts w:hint="eastAsia"/>
          <w:sz w:val="24"/>
        </w:rPr>
        <w:t>交付地点：学校指定地点。</w:t>
      </w:r>
    </w:p>
    <w:p w14:paraId="72D36D1C" w14:textId="1A8A64E7" w:rsidR="006830E3" w:rsidRDefault="00000000">
      <w:pPr>
        <w:spacing w:line="360" w:lineRule="auto"/>
        <w:ind w:firstLine="408"/>
        <w:rPr>
          <w:sz w:val="24"/>
        </w:rPr>
      </w:pPr>
      <w:r>
        <w:rPr>
          <w:rFonts w:hint="eastAsia"/>
          <w:sz w:val="24"/>
        </w:rPr>
        <w:t>四、采购项目需满足的服务标准、期限、效率等要求</w:t>
      </w:r>
    </w:p>
    <w:p w14:paraId="770BD1A4" w14:textId="77777777" w:rsidR="006830E3" w:rsidRDefault="00000000">
      <w:pPr>
        <w:spacing w:line="360" w:lineRule="auto"/>
        <w:ind w:firstLineChars="200" w:firstLine="480"/>
        <w:rPr>
          <w:sz w:val="24"/>
        </w:rPr>
      </w:pPr>
      <w:r>
        <w:rPr>
          <w:rFonts w:hint="eastAsia"/>
          <w:sz w:val="24"/>
        </w:rPr>
        <w:t>1.</w:t>
      </w:r>
      <w:r>
        <w:rPr>
          <w:rFonts w:hint="eastAsia"/>
          <w:sz w:val="24"/>
        </w:rPr>
        <w:t>免费提供不少于</w:t>
      </w:r>
      <w:r>
        <w:rPr>
          <w:rFonts w:hint="eastAsia"/>
          <w:sz w:val="24"/>
        </w:rPr>
        <w:t>2</w:t>
      </w:r>
      <w:r>
        <w:rPr>
          <w:rFonts w:hint="eastAsia"/>
          <w:sz w:val="24"/>
        </w:rPr>
        <w:t>次的上门培训，第一次培训在验收前完成</w:t>
      </w:r>
      <w:r>
        <w:rPr>
          <w:rFonts w:hint="eastAsia"/>
          <w:sz w:val="24"/>
        </w:rPr>
        <w:t xml:space="preserve"> </w:t>
      </w:r>
      <w:r>
        <w:rPr>
          <w:rFonts w:hint="eastAsia"/>
          <w:sz w:val="24"/>
        </w:rPr>
        <w:t>，以后培训时间由采购方指定。</w:t>
      </w:r>
    </w:p>
    <w:p w14:paraId="1B7679E4" w14:textId="77777777" w:rsidR="006830E3" w:rsidRDefault="00000000">
      <w:pPr>
        <w:spacing w:line="360" w:lineRule="auto"/>
        <w:ind w:firstLineChars="200" w:firstLine="480"/>
        <w:rPr>
          <w:sz w:val="24"/>
        </w:rPr>
      </w:pPr>
      <w:r>
        <w:rPr>
          <w:rFonts w:hint="eastAsia"/>
          <w:sz w:val="24"/>
        </w:rPr>
        <w:t>2.</w:t>
      </w:r>
      <w:r>
        <w:rPr>
          <w:rFonts w:hint="eastAsia"/>
          <w:sz w:val="24"/>
        </w:rPr>
        <w:t>自合同签订之日起三年内免费售后服务。</w:t>
      </w:r>
    </w:p>
    <w:p w14:paraId="6DC9C507" w14:textId="6FA7DB43" w:rsidR="006830E3" w:rsidRDefault="00000000">
      <w:pPr>
        <w:spacing w:line="360" w:lineRule="auto"/>
        <w:ind w:firstLine="408"/>
        <w:rPr>
          <w:sz w:val="24"/>
        </w:rPr>
      </w:pPr>
      <w:r>
        <w:rPr>
          <w:rFonts w:hint="eastAsia"/>
          <w:sz w:val="24"/>
        </w:rPr>
        <w:t>五、项目验收方法或标准</w:t>
      </w:r>
    </w:p>
    <w:p w14:paraId="037A885B" w14:textId="77777777" w:rsidR="006830E3" w:rsidRDefault="00000000">
      <w:pPr>
        <w:spacing w:line="360" w:lineRule="auto"/>
        <w:ind w:firstLineChars="200" w:firstLine="480"/>
        <w:rPr>
          <w:sz w:val="24"/>
        </w:rPr>
      </w:pPr>
      <w:r>
        <w:rPr>
          <w:rFonts w:hint="eastAsia"/>
          <w:sz w:val="24"/>
        </w:rPr>
        <w:t>符合国家与地方相关法律法规及行业规范和标准及达到甲方提出的技术参数要求及使用需求。</w:t>
      </w:r>
    </w:p>
    <w:p w14:paraId="2927E2BA" w14:textId="15939EB7" w:rsidR="006830E3" w:rsidRDefault="00000000">
      <w:pPr>
        <w:spacing w:line="360" w:lineRule="auto"/>
        <w:ind w:firstLine="408"/>
        <w:rPr>
          <w:sz w:val="24"/>
        </w:rPr>
      </w:pPr>
      <w:r>
        <w:rPr>
          <w:rFonts w:hint="eastAsia"/>
          <w:sz w:val="24"/>
        </w:rPr>
        <w:t>六、售后服务要求</w:t>
      </w:r>
    </w:p>
    <w:p w14:paraId="02F63917" w14:textId="77777777" w:rsidR="006830E3" w:rsidRDefault="00000000">
      <w:pPr>
        <w:spacing w:line="360" w:lineRule="auto"/>
        <w:ind w:firstLineChars="200" w:firstLine="480"/>
        <w:rPr>
          <w:sz w:val="24"/>
        </w:rPr>
      </w:pPr>
      <w:r>
        <w:rPr>
          <w:rFonts w:hint="eastAsia"/>
          <w:sz w:val="24"/>
        </w:rPr>
        <w:t>本项目须提供</w:t>
      </w:r>
      <w:r>
        <w:rPr>
          <w:rFonts w:hint="eastAsia"/>
          <w:sz w:val="24"/>
        </w:rPr>
        <w:t>3</w:t>
      </w:r>
      <w:r>
        <w:rPr>
          <w:rFonts w:hint="eastAsia"/>
          <w:sz w:val="24"/>
        </w:rPr>
        <w:t>年免费售后服务，售后服务期从项目整体验收结束起，具体要求如下：</w:t>
      </w:r>
    </w:p>
    <w:p w14:paraId="3AF8E339" w14:textId="77777777" w:rsidR="006830E3" w:rsidRDefault="00000000">
      <w:pPr>
        <w:spacing w:line="360" w:lineRule="auto"/>
        <w:ind w:firstLineChars="200" w:firstLine="480"/>
        <w:rPr>
          <w:sz w:val="24"/>
        </w:rPr>
      </w:pPr>
      <w:r>
        <w:rPr>
          <w:rFonts w:hint="eastAsia"/>
          <w:sz w:val="24"/>
        </w:rPr>
        <w:t>1.</w:t>
      </w:r>
      <w:r>
        <w:rPr>
          <w:rFonts w:hint="eastAsia"/>
          <w:sz w:val="24"/>
        </w:rPr>
        <w:t>技术支持。成交人应提供</w:t>
      </w:r>
      <w:r>
        <w:rPr>
          <w:rFonts w:hint="eastAsia"/>
          <w:sz w:val="24"/>
        </w:rPr>
        <w:t>7</w:t>
      </w:r>
      <w:r>
        <w:rPr>
          <w:rFonts w:hint="eastAsia"/>
          <w:sz w:val="24"/>
        </w:rPr>
        <w:t>×</w:t>
      </w:r>
      <w:r>
        <w:rPr>
          <w:rFonts w:hint="eastAsia"/>
          <w:sz w:val="24"/>
        </w:rPr>
        <w:t>8</w:t>
      </w:r>
      <w:r>
        <w:rPr>
          <w:rFonts w:hint="eastAsia"/>
          <w:sz w:val="24"/>
        </w:rPr>
        <w:t>小时技术支持服务，在接到技术支持要求时，应为系统使用人员提供如何使用系统的咨询。</w:t>
      </w:r>
    </w:p>
    <w:p w14:paraId="7931E091" w14:textId="2D4B9B53" w:rsidR="006830E3" w:rsidRDefault="00000000">
      <w:pPr>
        <w:spacing w:line="360" w:lineRule="auto"/>
        <w:ind w:firstLineChars="200" w:firstLine="480"/>
        <w:rPr>
          <w:sz w:val="24"/>
        </w:rPr>
      </w:pPr>
      <w:r>
        <w:rPr>
          <w:rFonts w:hint="eastAsia"/>
          <w:sz w:val="24"/>
        </w:rPr>
        <w:t>2.</w:t>
      </w:r>
      <w:r>
        <w:rPr>
          <w:rFonts w:hint="eastAsia"/>
          <w:sz w:val="24"/>
        </w:rPr>
        <w:t>故障响应。各类故障应在</w:t>
      </w:r>
      <w:r>
        <w:rPr>
          <w:rFonts w:hint="eastAsia"/>
          <w:sz w:val="24"/>
        </w:rPr>
        <w:t>2</w:t>
      </w:r>
      <w:r>
        <w:rPr>
          <w:rFonts w:hint="eastAsia"/>
          <w:sz w:val="24"/>
        </w:rPr>
        <w:t>小时内响应，</w:t>
      </w:r>
      <w:r>
        <w:rPr>
          <w:rFonts w:hint="eastAsia"/>
          <w:sz w:val="24"/>
        </w:rPr>
        <w:t>4</w:t>
      </w:r>
      <w:r>
        <w:rPr>
          <w:rFonts w:hint="eastAsia"/>
          <w:sz w:val="24"/>
        </w:rPr>
        <w:t>小时内提供应急解决方案。影响系统正常使用的</w:t>
      </w:r>
      <w:r>
        <w:rPr>
          <w:rFonts w:hint="eastAsia"/>
          <w:sz w:val="24"/>
        </w:rPr>
        <w:t>bug</w:t>
      </w:r>
      <w:r>
        <w:rPr>
          <w:rFonts w:hint="eastAsia"/>
          <w:sz w:val="24"/>
        </w:rPr>
        <w:t>在使用方提出后</w:t>
      </w:r>
      <w:r>
        <w:rPr>
          <w:rFonts w:hint="eastAsia"/>
          <w:sz w:val="24"/>
        </w:rPr>
        <w:t>8</w:t>
      </w:r>
      <w:r>
        <w:rPr>
          <w:rFonts w:hint="eastAsia"/>
          <w:sz w:val="24"/>
        </w:rPr>
        <w:t>小时内修正；系统安全漏洞的修复，要</w:t>
      </w:r>
      <w:r>
        <w:rPr>
          <w:rFonts w:hint="eastAsia"/>
          <w:sz w:val="24"/>
        </w:rPr>
        <w:lastRenderedPageBreak/>
        <w:t>在使用方提出后</w:t>
      </w:r>
      <w:r>
        <w:rPr>
          <w:rFonts w:hint="eastAsia"/>
          <w:sz w:val="24"/>
        </w:rPr>
        <w:t>24</w:t>
      </w:r>
      <w:r>
        <w:rPr>
          <w:rFonts w:hint="eastAsia"/>
          <w:sz w:val="24"/>
        </w:rPr>
        <w:t>小时内解决；上述问题发生后需</w:t>
      </w:r>
      <w:r>
        <w:rPr>
          <w:rFonts w:hint="eastAsia"/>
          <w:sz w:val="24"/>
        </w:rPr>
        <w:t>2</w:t>
      </w:r>
      <w:r>
        <w:rPr>
          <w:rFonts w:hint="eastAsia"/>
          <w:sz w:val="24"/>
        </w:rPr>
        <w:t>小时内提供应急解决方案。</w:t>
      </w:r>
    </w:p>
    <w:p w14:paraId="098109DF" w14:textId="77777777" w:rsidR="006830E3" w:rsidRDefault="00000000">
      <w:pPr>
        <w:spacing w:line="360" w:lineRule="auto"/>
        <w:ind w:firstLineChars="200" w:firstLine="480"/>
        <w:rPr>
          <w:sz w:val="24"/>
        </w:rPr>
      </w:pPr>
      <w:r>
        <w:rPr>
          <w:rFonts w:hint="eastAsia"/>
          <w:sz w:val="24"/>
        </w:rPr>
        <w:t>3.</w:t>
      </w:r>
      <w:r>
        <w:rPr>
          <w:rFonts w:hint="eastAsia"/>
          <w:sz w:val="24"/>
        </w:rPr>
        <w:t>热线服务。成交人应保证在质保期内为招标方的所有应用单位提供电话客服服务，并且成交人应提供本单位的热线电话、</w:t>
      </w:r>
      <w:r>
        <w:rPr>
          <w:rFonts w:hint="eastAsia"/>
          <w:sz w:val="24"/>
        </w:rPr>
        <w:t>E-mail</w:t>
      </w:r>
      <w:r>
        <w:rPr>
          <w:rFonts w:hint="eastAsia"/>
          <w:sz w:val="24"/>
        </w:rPr>
        <w:t>、传真、网站等途径，随时接受建设单位及项目使用单位提出的各种技术问题，并在</w:t>
      </w:r>
      <w:r>
        <w:rPr>
          <w:rFonts w:hint="eastAsia"/>
          <w:sz w:val="24"/>
        </w:rPr>
        <w:t>24</w:t>
      </w:r>
      <w:r>
        <w:rPr>
          <w:rFonts w:hint="eastAsia"/>
          <w:sz w:val="24"/>
        </w:rPr>
        <w:t>小时内提供解决方案。</w:t>
      </w:r>
    </w:p>
    <w:p w14:paraId="25F2FCF3" w14:textId="68D5A2A3" w:rsidR="006830E3" w:rsidRDefault="00000000" w:rsidP="00792CC5">
      <w:pPr>
        <w:spacing w:line="360" w:lineRule="auto"/>
        <w:ind w:firstLineChars="200" w:firstLine="480"/>
        <w:rPr>
          <w:sz w:val="24"/>
        </w:rPr>
      </w:pPr>
      <w:r>
        <w:rPr>
          <w:rFonts w:hint="eastAsia"/>
          <w:sz w:val="24"/>
        </w:rPr>
        <w:t>4.</w:t>
      </w:r>
      <w:r>
        <w:rPr>
          <w:rFonts w:hint="eastAsia"/>
          <w:sz w:val="24"/>
        </w:rPr>
        <w:t>免费售后服务期后成交人承诺以最低价提供续保服务，续保期内提供与免费售后服务期</w:t>
      </w:r>
      <w:proofErr w:type="gramStart"/>
      <w:r>
        <w:rPr>
          <w:rFonts w:hint="eastAsia"/>
          <w:sz w:val="24"/>
        </w:rPr>
        <w:t>内相同</w:t>
      </w:r>
      <w:proofErr w:type="gramEnd"/>
      <w:r>
        <w:rPr>
          <w:rFonts w:hint="eastAsia"/>
          <w:sz w:val="24"/>
        </w:rPr>
        <w:t>的服务内容与服务质量。</w:t>
      </w:r>
    </w:p>
    <w:sectPr w:rsidR="006830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29E2" w14:textId="77777777" w:rsidR="00ED14D8" w:rsidRDefault="00ED14D8" w:rsidP="001D3969">
      <w:r>
        <w:separator/>
      </w:r>
    </w:p>
  </w:endnote>
  <w:endnote w:type="continuationSeparator" w:id="0">
    <w:p w14:paraId="6B050F87" w14:textId="77777777" w:rsidR="00ED14D8" w:rsidRDefault="00ED14D8" w:rsidP="001D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3816" w14:textId="77777777" w:rsidR="00ED14D8" w:rsidRDefault="00ED14D8" w:rsidP="001D3969">
      <w:r>
        <w:separator/>
      </w:r>
    </w:p>
  </w:footnote>
  <w:footnote w:type="continuationSeparator" w:id="0">
    <w:p w14:paraId="40C8081B" w14:textId="77777777" w:rsidR="00ED14D8" w:rsidRDefault="00ED14D8" w:rsidP="001D3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7BAD08"/>
    <w:multiLevelType w:val="multilevel"/>
    <w:tmpl w:val="BD7BAD08"/>
    <w:lvl w:ilvl="0">
      <w:start w:val="1"/>
      <w:numFmt w:val="decimal"/>
      <w:lvlText w:val="%1."/>
      <w:lvlJc w:val="left"/>
      <w:pPr>
        <w:ind w:left="425" w:hanging="42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C21C8319"/>
    <w:multiLevelType w:val="multilevel"/>
    <w:tmpl w:val="C21C8319"/>
    <w:lvl w:ilvl="0">
      <w:start w:val="1"/>
      <w:numFmt w:val="decimal"/>
      <w:lvlText w:val="%1."/>
      <w:lvlJc w:val="left"/>
      <w:pPr>
        <w:ind w:left="425" w:hanging="42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F62D84FD"/>
    <w:multiLevelType w:val="multilevel"/>
    <w:tmpl w:val="F62D84FD"/>
    <w:lvl w:ilvl="0">
      <w:start w:val="1"/>
      <w:numFmt w:val="decimal"/>
      <w:lvlText w:val="%1."/>
      <w:lvlJc w:val="left"/>
      <w:pPr>
        <w:ind w:left="425" w:hanging="42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249FF57"/>
    <w:multiLevelType w:val="multilevel"/>
    <w:tmpl w:val="1249FF57"/>
    <w:lvl w:ilvl="0">
      <w:start w:val="1"/>
      <w:numFmt w:val="decimal"/>
      <w:lvlText w:val="%1."/>
      <w:lvlJc w:val="left"/>
      <w:pPr>
        <w:ind w:left="425" w:hanging="42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6763D646"/>
    <w:multiLevelType w:val="multilevel"/>
    <w:tmpl w:val="6763D646"/>
    <w:lvl w:ilvl="0">
      <w:start w:val="1"/>
      <w:numFmt w:val="decimal"/>
      <w:lvlText w:val="%1."/>
      <w:lvlJc w:val="left"/>
      <w:pPr>
        <w:ind w:left="425" w:hanging="42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668288038">
    <w:abstractNumId w:val="3"/>
  </w:num>
  <w:num w:numId="2" w16cid:durableId="738752964">
    <w:abstractNumId w:val="1"/>
  </w:num>
  <w:num w:numId="3" w16cid:durableId="1545828299">
    <w:abstractNumId w:val="0"/>
  </w:num>
  <w:num w:numId="4" w16cid:durableId="790511471">
    <w:abstractNumId w:val="4"/>
  </w:num>
  <w:num w:numId="5" w16cid:durableId="1471560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5C"/>
    <w:rsid w:val="00025F9A"/>
    <w:rsid w:val="00054D09"/>
    <w:rsid w:val="000677EB"/>
    <w:rsid w:val="00135C69"/>
    <w:rsid w:val="00136AD7"/>
    <w:rsid w:val="001D3969"/>
    <w:rsid w:val="00263F21"/>
    <w:rsid w:val="00306DFF"/>
    <w:rsid w:val="00351715"/>
    <w:rsid w:val="003A517A"/>
    <w:rsid w:val="00421F99"/>
    <w:rsid w:val="00447E5C"/>
    <w:rsid w:val="00456F4A"/>
    <w:rsid w:val="004D0DB2"/>
    <w:rsid w:val="00522905"/>
    <w:rsid w:val="00536B7C"/>
    <w:rsid w:val="0054464E"/>
    <w:rsid w:val="00581002"/>
    <w:rsid w:val="005C315C"/>
    <w:rsid w:val="005E6B94"/>
    <w:rsid w:val="00601822"/>
    <w:rsid w:val="00617D5C"/>
    <w:rsid w:val="006310B1"/>
    <w:rsid w:val="00654D04"/>
    <w:rsid w:val="00682E74"/>
    <w:rsid w:val="006830E3"/>
    <w:rsid w:val="006D6D9F"/>
    <w:rsid w:val="007259C7"/>
    <w:rsid w:val="0077556A"/>
    <w:rsid w:val="00776C7F"/>
    <w:rsid w:val="00792CC5"/>
    <w:rsid w:val="007A4A79"/>
    <w:rsid w:val="0081207F"/>
    <w:rsid w:val="00843E14"/>
    <w:rsid w:val="0087269D"/>
    <w:rsid w:val="0091353D"/>
    <w:rsid w:val="009250BA"/>
    <w:rsid w:val="00945F8A"/>
    <w:rsid w:val="0095018B"/>
    <w:rsid w:val="00991195"/>
    <w:rsid w:val="009A7645"/>
    <w:rsid w:val="009B12EC"/>
    <w:rsid w:val="009F1A76"/>
    <w:rsid w:val="00A02D9A"/>
    <w:rsid w:val="00A07998"/>
    <w:rsid w:val="00A56018"/>
    <w:rsid w:val="00AD1389"/>
    <w:rsid w:val="00AE040E"/>
    <w:rsid w:val="00B50C9A"/>
    <w:rsid w:val="00B73FB6"/>
    <w:rsid w:val="00B76591"/>
    <w:rsid w:val="00B85E19"/>
    <w:rsid w:val="00BD6494"/>
    <w:rsid w:val="00BE4023"/>
    <w:rsid w:val="00BF034E"/>
    <w:rsid w:val="00C11593"/>
    <w:rsid w:val="00C26144"/>
    <w:rsid w:val="00C85ADA"/>
    <w:rsid w:val="00C92E11"/>
    <w:rsid w:val="00CB63B9"/>
    <w:rsid w:val="00D60B4C"/>
    <w:rsid w:val="00D82595"/>
    <w:rsid w:val="00DC518C"/>
    <w:rsid w:val="00DD7BB8"/>
    <w:rsid w:val="00DF333A"/>
    <w:rsid w:val="00E2176E"/>
    <w:rsid w:val="00E933EE"/>
    <w:rsid w:val="00E97C15"/>
    <w:rsid w:val="00ED14D8"/>
    <w:rsid w:val="00F62930"/>
    <w:rsid w:val="00F713AA"/>
    <w:rsid w:val="00F949E1"/>
    <w:rsid w:val="00FA3C0C"/>
    <w:rsid w:val="00FA72BB"/>
    <w:rsid w:val="00FD79B3"/>
    <w:rsid w:val="11DE2D99"/>
    <w:rsid w:val="2BF84DCA"/>
    <w:rsid w:val="42C20FB3"/>
    <w:rsid w:val="55184DF1"/>
    <w:rsid w:val="570E4973"/>
    <w:rsid w:val="5AC63BF3"/>
    <w:rsid w:val="61B57630"/>
    <w:rsid w:val="640554E4"/>
    <w:rsid w:val="7B0E1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29C83"/>
  <w15:docId w15:val="{F8DBDF39-A82E-4799-B37E-08A7F048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paragraph" w:customStyle="1" w:styleId="1">
    <w:name w:val="修订1"/>
    <w:hidden/>
    <w:uiPriority w:val="99"/>
    <w:unhideWhenUsed/>
    <w:rPr>
      <w:kern w:val="2"/>
      <w:sz w:val="21"/>
      <w:szCs w:val="22"/>
    </w:rPr>
  </w:style>
  <w:style w:type="paragraph" w:styleId="ab">
    <w:name w:val="Revision"/>
    <w:hidden/>
    <w:uiPriority w:val="99"/>
    <w:unhideWhenUsed/>
    <w:rsid w:val="001D396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4817</Words>
  <Characters>5396</Characters>
  <DocSecurity>0</DocSecurity>
  <Lines>245</Lines>
  <Paragraphs>200</Paragraphs>
  <ScaleCrop>false</ScaleCrop>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2026-09-03T01:20:00Z</dcterms:created>
  <dcterms:modified xsi:type="dcterms:W3CDTF">2026-09-03T04:30:00Z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eyJoZGlkIjoiZTQ4ODQwNThiYTg4YTBlNDhkZDRmNGNiNWM5NWE1YzAiLCJ1c2VySWQiOiIxMjU4MTI1NjkzIn0=</vt:lpwstr>
  </property>
  <property fmtid="{D5CDD505-2E9C-101B-9397-08002B2CF9AE}" pid="3" name="KSOProductBuildVer">
    <vt:lpwstr>2052-12.1.0.28043</vt:lpwstr>
  </property>
  <property fmtid="{D5CDD505-2E9C-101B-9397-08002B2CF9AE}" pid="4" name="ICV">
    <vt:lpwstr>D07A3417D82341DD85A51B4264B7F789_12</vt:lpwstr>
  </property>
</Properties>
</file>