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F5FB7">
      <w:pPr>
        <w:pStyle w:val="8"/>
        <w:spacing w:before="313" w:line="360" w:lineRule="auto"/>
        <w:ind w:left="40"/>
        <w:jc w:val="center"/>
        <w:rPr>
          <w:b/>
          <w:bCs/>
          <w:color w:val="auto"/>
          <w:spacing w:val="12"/>
          <w:sz w:val="32"/>
          <w:szCs w:val="32"/>
          <w:highlight w:val="none"/>
          <w:lang w:eastAsia="zh-CN"/>
        </w:rPr>
      </w:pPr>
      <w:r>
        <w:rPr>
          <w:rFonts w:hint="eastAsia"/>
          <w:b/>
          <w:bCs/>
          <w:color w:val="auto"/>
          <w:spacing w:val="12"/>
          <w:sz w:val="32"/>
          <w:szCs w:val="32"/>
          <w:highlight w:val="none"/>
          <w:lang w:eastAsia="zh-CN"/>
        </w:rPr>
        <w:t>家具采购需求标准</w:t>
      </w:r>
    </w:p>
    <w:p w14:paraId="5290E910">
      <w:pPr>
        <w:pStyle w:val="8"/>
        <w:spacing w:before="313" w:line="360" w:lineRule="auto"/>
        <w:ind w:left="40" w:firstLine="468" w:firstLineChars="200"/>
        <w:rPr>
          <w:b/>
          <w:bCs/>
          <w:color w:val="auto"/>
          <w:sz w:val="21"/>
          <w:szCs w:val="21"/>
          <w:highlight w:val="none"/>
          <w:lang w:eastAsia="zh-CN"/>
        </w:rPr>
      </w:pPr>
      <w:r>
        <w:rPr>
          <w:rFonts w:hint="eastAsia"/>
          <w:b/>
          <w:bCs/>
          <w:color w:val="auto"/>
          <w:spacing w:val="12"/>
          <w:sz w:val="21"/>
          <w:szCs w:val="21"/>
          <w:highlight w:val="none"/>
          <w:lang w:eastAsia="zh-CN"/>
        </w:rPr>
        <w:t>一、项目背景</w:t>
      </w:r>
    </w:p>
    <w:p w14:paraId="06D2FED1">
      <w:pPr>
        <w:pStyle w:val="8"/>
        <w:spacing w:before="44" w:line="360" w:lineRule="auto"/>
        <w:ind w:left="50" w:firstLine="480" w:firstLineChars="200"/>
        <w:jc w:val="both"/>
        <w:rPr>
          <w:color w:val="auto"/>
          <w:highlight w:val="none"/>
          <w:lang w:eastAsia="zh-CN"/>
        </w:rPr>
      </w:pPr>
      <w:r>
        <w:rPr>
          <w:rFonts w:hint="eastAsia"/>
          <w:color w:val="auto"/>
          <w:highlight w:val="none"/>
          <w:lang w:eastAsia="zh-CN"/>
        </w:rPr>
        <w:t>我校身为上海市首批实验性示范性高中，一直致力于发挥示范引领作用，不断优化办学与育人环境。</w:t>
      </w:r>
    </w:p>
    <w:p w14:paraId="57BBDF99">
      <w:pPr>
        <w:pStyle w:val="8"/>
        <w:spacing w:before="44" w:line="360" w:lineRule="auto"/>
        <w:ind w:left="50" w:firstLine="480" w:firstLineChars="200"/>
        <w:jc w:val="both"/>
        <w:rPr>
          <w:color w:val="auto"/>
          <w:highlight w:val="none"/>
          <w:lang w:eastAsia="zh-CN"/>
        </w:rPr>
      </w:pPr>
      <w:r>
        <w:rPr>
          <w:color w:val="auto"/>
          <w:highlight w:val="none"/>
          <w:lang w:eastAsia="zh-CN"/>
        </w:rPr>
        <w:t>2026年，学校将对女生宿舍楼开展全面翻新升级工作。本次改造不仅会优化房间格局、科学规划每一处空间，还将悉数更新宿舍内各类生活设施，从居住安全、日常便利、生活体验等方面全面提升条件，用心为全体住宿女生打造温馨舒适、安心宜居的生活与学习港湾。</w:t>
      </w:r>
    </w:p>
    <w:p w14:paraId="6986C313">
      <w:pPr>
        <w:pStyle w:val="8"/>
        <w:spacing w:before="44" w:line="360" w:lineRule="auto"/>
        <w:ind w:left="50" w:firstLine="420" w:firstLineChars="200"/>
        <w:jc w:val="both"/>
        <w:rPr>
          <w:color w:val="auto"/>
          <w:sz w:val="21"/>
          <w:szCs w:val="21"/>
          <w:highlight w:val="none"/>
          <w:lang w:eastAsia="zh-CN"/>
        </w:rPr>
      </w:pPr>
      <w:r>
        <w:rPr>
          <w:rFonts w:hint="eastAsia"/>
          <w:color w:val="auto"/>
          <w:sz w:val="21"/>
          <w:szCs w:val="21"/>
          <w:highlight w:val="none"/>
          <w:lang w:eastAsia="zh-CN"/>
        </w:rPr>
        <w:t>女生宿舍的设计以“温馨、安全、实用、成长”为核心理念。高中阶段是学生身心快速发展的重要时期，宿舍不仅是学生休息的场所，更是她们交流、学习、成长的第二课堂。因此，设计从女生的生理和心理需求出发，致力于打造一个集舒适居住、高效学习、友好社交于一体的空间，助力学生在高中生活中获得良好的居住体验，促进其身心健康发展</w:t>
      </w:r>
      <w:r>
        <w:rPr>
          <w:color w:val="auto"/>
          <w:sz w:val="21"/>
          <w:szCs w:val="21"/>
          <w:highlight w:val="none"/>
          <w:lang w:eastAsia="zh-CN"/>
        </w:rPr>
        <w:t xml:space="preserve"> </w:t>
      </w:r>
      <w:r>
        <w:rPr>
          <w:rFonts w:hint="eastAsia"/>
          <w:color w:val="auto"/>
          <w:sz w:val="21"/>
          <w:szCs w:val="21"/>
          <w:highlight w:val="none"/>
          <w:lang w:eastAsia="zh-CN"/>
        </w:rPr>
        <w:t>。</w:t>
      </w:r>
    </w:p>
    <w:p w14:paraId="496A54F9">
      <w:pPr>
        <w:pStyle w:val="8"/>
        <w:spacing w:before="44" w:line="360" w:lineRule="auto"/>
        <w:ind w:left="50" w:firstLine="420" w:firstLineChars="200"/>
        <w:jc w:val="both"/>
        <w:rPr>
          <w:color w:val="auto"/>
          <w:sz w:val="21"/>
          <w:szCs w:val="21"/>
          <w:highlight w:val="none"/>
          <w:lang w:eastAsia="zh-CN"/>
        </w:rPr>
      </w:pPr>
      <w:r>
        <w:rPr>
          <w:rFonts w:hint="eastAsia"/>
          <w:color w:val="auto"/>
          <w:sz w:val="21"/>
          <w:szCs w:val="21"/>
          <w:highlight w:val="none"/>
          <w:lang w:eastAsia="zh-CN"/>
        </w:rPr>
        <w:t>项目涉及区域图纸详见附件。</w:t>
      </w:r>
    </w:p>
    <w:p w14:paraId="5D05CB4A">
      <w:pPr>
        <w:pStyle w:val="8"/>
        <w:spacing w:before="44" w:line="360" w:lineRule="auto"/>
        <w:ind w:left="50" w:firstLine="420" w:firstLineChars="200"/>
        <w:jc w:val="both"/>
        <w:rPr>
          <w:b/>
          <w:bCs/>
          <w:color w:val="auto"/>
          <w:sz w:val="21"/>
          <w:szCs w:val="21"/>
          <w:highlight w:val="none"/>
          <w:lang w:eastAsia="zh-CN"/>
        </w:rPr>
      </w:pPr>
      <w:r>
        <w:rPr>
          <w:rFonts w:hint="eastAsia"/>
          <w:b/>
          <w:bCs/>
          <w:color w:val="auto"/>
          <w:sz w:val="21"/>
          <w:szCs w:val="21"/>
          <w:highlight w:val="none"/>
          <w:lang w:eastAsia="zh-CN"/>
        </w:rPr>
        <w:t>二、需执行的国家相关标准、行业标准或其他标准、规范</w:t>
      </w:r>
    </w:p>
    <w:p w14:paraId="72DE3B31">
      <w:pPr>
        <w:pStyle w:val="10"/>
        <w:rPr>
          <w:color w:val="auto"/>
          <w:highlight w:val="none"/>
        </w:rPr>
      </w:pPr>
      <w:bookmarkStart w:id="0" w:name="_Toc8379"/>
      <w:bookmarkStart w:id="1" w:name="_Toc25898_WPSOffice_Level2"/>
      <w:r>
        <w:rPr>
          <w:rFonts w:hint="eastAsia"/>
          <w:color w:val="auto"/>
          <w:highlight w:val="none"/>
        </w:rPr>
        <w:t>（一）强制性标准</w:t>
      </w:r>
      <w:bookmarkEnd w:id="0"/>
      <w:bookmarkEnd w:id="1"/>
    </w:p>
    <w:p w14:paraId="7EEB3FD2">
      <w:pPr>
        <w:pStyle w:val="10"/>
        <w:rPr>
          <w:color w:val="auto"/>
          <w:highlight w:val="none"/>
        </w:rPr>
      </w:pPr>
      <w:bookmarkStart w:id="2" w:name="_Toc16007"/>
      <w:bookmarkStart w:id="3" w:name="_Toc227555682"/>
      <w:bookmarkStart w:id="4" w:name="_Toc25730_WPSOffice_Level2"/>
      <w:r>
        <w:rPr>
          <w:color w:val="auto"/>
          <w:highlight w:val="none"/>
        </w:rPr>
        <w:t>GB 18584-2024《家具中有害物质限量》</w:t>
      </w:r>
    </w:p>
    <w:p w14:paraId="570583AC">
      <w:pPr>
        <w:pStyle w:val="10"/>
        <w:rPr>
          <w:color w:val="auto"/>
          <w:highlight w:val="none"/>
        </w:rPr>
      </w:pPr>
      <w:r>
        <w:rPr>
          <w:color w:val="auto"/>
          <w:highlight w:val="none"/>
        </w:rPr>
        <w:t xml:space="preserve">GB 28008-2024《家具结构安全技术规范》 </w:t>
      </w:r>
    </w:p>
    <w:p w14:paraId="433B7D91">
      <w:pPr>
        <w:pStyle w:val="10"/>
        <w:rPr>
          <w:color w:val="auto"/>
          <w:highlight w:val="none"/>
        </w:rPr>
      </w:pPr>
      <w:r>
        <w:rPr>
          <w:color w:val="auto"/>
          <w:highlight w:val="none"/>
        </w:rPr>
        <w:t xml:space="preserve">GB 17927-2024《家具阻燃性能安全技术规范》 </w:t>
      </w:r>
    </w:p>
    <w:p w14:paraId="02C453D0">
      <w:pPr>
        <w:pStyle w:val="10"/>
        <w:rPr>
          <w:color w:val="auto"/>
          <w:highlight w:val="none"/>
        </w:rPr>
      </w:pPr>
      <w:r>
        <w:rPr>
          <w:color w:val="auto"/>
          <w:highlight w:val="none"/>
        </w:rPr>
        <w:t xml:space="preserve">GB 18583-2008 </w:t>
      </w:r>
      <w:r>
        <w:rPr>
          <w:rFonts w:hint="eastAsia"/>
          <w:color w:val="auto"/>
          <w:highlight w:val="none"/>
        </w:rPr>
        <w:t>《室内装饰装修材料</w:t>
      </w:r>
      <w:r>
        <w:rPr>
          <w:color w:val="auto"/>
          <w:highlight w:val="none"/>
        </w:rPr>
        <w:t xml:space="preserve"> </w:t>
      </w:r>
      <w:r>
        <w:rPr>
          <w:rFonts w:hint="eastAsia"/>
          <w:color w:val="auto"/>
          <w:highlight w:val="none"/>
        </w:rPr>
        <w:t>胶粘剂中有害物质限量》；</w:t>
      </w:r>
    </w:p>
    <w:p w14:paraId="233DA23A">
      <w:pPr>
        <w:pStyle w:val="10"/>
        <w:rPr>
          <w:color w:val="auto"/>
          <w:highlight w:val="none"/>
        </w:rPr>
      </w:pPr>
      <w:r>
        <w:rPr>
          <w:color w:val="auto"/>
          <w:highlight w:val="none"/>
        </w:rPr>
        <w:t xml:space="preserve">GB 6566-2010 </w:t>
      </w:r>
      <w:r>
        <w:rPr>
          <w:rFonts w:hint="eastAsia"/>
          <w:color w:val="auto"/>
          <w:highlight w:val="none"/>
        </w:rPr>
        <w:t>《建筑材料放射性核素限量》；</w:t>
      </w:r>
    </w:p>
    <w:p w14:paraId="3D8037B5">
      <w:pPr>
        <w:pStyle w:val="10"/>
        <w:rPr>
          <w:color w:val="auto"/>
          <w:highlight w:val="none"/>
        </w:rPr>
      </w:pPr>
      <w:r>
        <w:rPr>
          <w:color w:val="auto"/>
          <w:highlight w:val="none"/>
        </w:rPr>
        <w:t xml:space="preserve">GB 18580-2025 《室内装饰装修材料人造板及其制品中甲醛释放限量》 </w:t>
      </w:r>
      <w:bookmarkStart w:id="5" w:name="_GoBack"/>
      <w:bookmarkEnd w:id="5"/>
    </w:p>
    <w:p w14:paraId="0964971C">
      <w:pPr>
        <w:pStyle w:val="10"/>
        <w:rPr>
          <w:color w:val="auto"/>
          <w:highlight w:val="none"/>
        </w:rPr>
      </w:pPr>
      <w:r>
        <w:rPr>
          <w:color w:val="auto"/>
          <w:highlight w:val="none"/>
        </w:rPr>
        <w:t xml:space="preserve">GB 30981.2-2025 《涂料中有害物质限量 第2部分：工业涂料》 </w:t>
      </w:r>
    </w:p>
    <w:p w14:paraId="244DE579">
      <w:pPr>
        <w:pStyle w:val="10"/>
        <w:kinsoku/>
        <w:autoSpaceDE/>
        <w:autoSpaceDN/>
        <w:adjustRightInd/>
        <w:snapToGrid/>
        <w:ind w:firstLineChars="200"/>
        <w:textAlignment w:val="center"/>
        <w:rPr>
          <w:color w:val="auto"/>
          <w:highlight w:val="none"/>
        </w:rPr>
      </w:pPr>
      <w:r>
        <w:rPr>
          <w:color w:val="auto"/>
          <w:highlight w:val="none"/>
        </w:rPr>
        <w:t xml:space="preserve">GB </w:t>
      </w:r>
      <w:r>
        <w:rPr>
          <w:rFonts w:hint="eastAsia"/>
          <w:color w:val="auto"/>
          <w:highlight w:val="none"/>
        </w:rPr>
        <w:t>18401-2010《国家纺织产品基本安全技术规范》；</w:t>
      </w:r>
    </w:p>
    <w:p w14:paraId="1122E00B">
      <w:pPr>
        <w:pStyle w:val="10"/>
        <w:kinsoku/>
        <w:autoSpaceDE/>
        <w:autoSpaceDN/>
        <w:adjustRightInd/>
        <w:snapToGrid/>
        <w:ind w:firstLineChars="200"/>
        <w:textAlignment w:val="center"/>
        <w:rPr>
          <w:color w:val="auto"/>
          <w:highlight w:val="none"/>
        </w:rPr>
      </w:pPr>
    </w:p>
    <w:p w14:paraId="735015A6">
      <w:pPr>
        <w:pStyle w:val="10"/>
        <w:rPr>
          <w:color w:val="auto"/>
          <w:highlight w:val="none"/>
        </w:rPr>
      </w:pPr>
      <w:r>
        <w:rPr>
          <w:rFonts w:hint="eastAsia"/>
          <w:color w:val="auto"/>
          <w:highlight w:val="none"/>
        </w:rPr>
        <w:t>（二）质量及技术标准</w:t>
      </w:r>
      <w:bookmarkEnd w:id="2"/>
      <w:bookmarkEnd w:id="3"/>
      <w:bookmarkEnd w:id="4"/>
    </w:p>
    <w:p w14:paraId="0D946437">
      <w:pPr>
        <w:pStyle w:val="10"/>
        <w:rPr>
          <w:color w:val="auto"/>
          <w:highlight w:val="none"/>
        </w:rPr>
      </w:pPr>
      <w:r>
        <w:rPr>
          <w:rFonts w:hint="eastAsia"/>
          <w:color w:val="auto"/>
          <w:highlight w:val="none"/>
        </w:rPr>
        <w:t>重要标准：</w:t>
      </w:r>
    </w:p>
    <w:p w14:paraId="2625ECDA">
      <w:pPr>
        <w:pStyle w:val="10"/>
        <w:rPr>
          <w:color w:val="auto"/>
          <w:highlight w:val="none"/>
        </w:rPr>
      </w:pPr>
      <w:r>
        <w:rPr>
          <w:color w:val="auto"/>
          <w:highlight w:val="none"/>
        </w:rPr>
        <w:t>GB/T 35607-2024《绿色产品评价家具》；</w:t>
      </w:r>
    </w:p>
    <w:p w14:paraId="71B90928">
      <w:pPr>
        <w:pStyle w:val="10"/>
        <w:rPr>
          <w:color w:val="auto"/>
          <w:highlight w:val="none"/>
        </w:rPr>
      </w:pPr>
      <w:r>
        <w:rPr>
          <w:color w:val="auto"/>
          <w:highlight w:val="none"/>
        </w:rPr>
        <w:t>GB/T 3325-2024</w:t>
      </w:r>
      <w:r>
        <w:rPr>
          <w:rFonts w:hint="eastAsia"/>
          <w:color w:val="auto"/>
          <w:highlight w:val="none"/>
        </w:rPr>
        <w:t>《金属家具通用技术条件》；</w:t>
      </w:r>
    </w:p>
    <w:p w14:paraId="6BDDDA6A">
      <w:pPr>
        <w:pStyle w:val="10"/>
        <w:rPr>
          <w:color w:val="auto"/>
          <w:highlight w:val="none"/>
        </w:rPr>
      </w:pPr>
      <w:r>
        <w:rPr>
          <w:color w:val="auto"/>
          <w:highlight w:val="none"/>
        </w:rPr>
        <w:t>GB/T 3324-2024《木家具通用技术条件》；</w:t>
      </w:r>
    </w:p>
    <w:p w14:paraId="3EDC026B">
      <w:pPr>
        <w:pStyle w:val="10"/>
        <w:rPr>
          <w:color w:val="auto"/>
          <w:highlight w:val="none"/>
        </w:rPr>
      </w:pPr>
      <w:r>
        <w:rPr>
          <w:rFonts w:hint="eastAsia"/>
          <w:color w:val="auto"/>
          <w:highlight w:val="none"/>
        </w:rPr>
        <w:t>其他标准：</w:t>
      </w:r>
    </w:p>
    <w:p w14:paraId="799CDA6B">
      <w:pPr>
        <w:ind w:firstLine="420" w:firstLineChars="200"/>
        <w:rPr>
          <w:color w:val="auto"/>
          <w:highlight w:val="none"/>
          <w:lang w:eastAsia="zh-CN"/>
        </w:rPr>
      </w:pPr>
      <w:r>
        <w:rPr>
          <w:rFonts w:ascii="宋体" w:hAnsi="宋体" w:eastAsia="宋体" w:cs="宋体"/>
          <w:color w:val="auto"/>
          <w:highlight w:val="none"/>
          <w:lang w:eastAsia="zh-CN"/>
        </w:rPr>
        <w:t>GB/T 16799-2018《家具用皮革》；</w:t>
      </w:r>
    </w:p>
    <w:p w14:paraId="6280E869">
      <w:pPr>
        <w:pStyle w:val="10"/>
        <w:rPr>
          <w:color w:val="auto"/>
          <w:highlight w:val="none"/>
        </w:rPr>
      </w:pPr>
      <w:r>
        <w:rPr>
          <w:color w:val="auto"/>
          <w:highlight w:val="none"/>
        </w:rPr>
        <w:t>GB/T 15102-2017《浸渍胶膜纸饰面纤维板和刨花板》；</w:t>
      </w:r>
    </w:p>
    <w:p w14:paraId="096E6233">
      <w:pPr>
        <w:pStyle w:val="10"/>
        <w:rPr>
          <w:color w:val="auto"/>
          <w:highlight w:val="none"/>
        </w:rPr>
      </w:pPr>
      <w:r>
        <w:rPr>
          <w:color w:val="auto"/>
          <w:highlight w:val="none"/>
        </w:rPr>
        <w:t xml:space="preserve">GB/T 29525-2013《座椅升降气弹簧 </w:t>
      </w:r>
      <w:r>
        <w:rPr>
          <w:rFonts w:hint="eastAsia"/>
          <w:color w:val="auto"/>
          <w:highlight w:val="none"/>
        </w:rPr>
        <w:t>技术条件》；</w:t>
      </w:r>
    </w:p>
    <w:p w14:paraId="080EDBD8">
      <w:pPr>
        <w:pStyle w:val="10"/>
        <w:rPr>
          <w:color w:val="auto"/>
          <w:highlight w:val="none"/>
        </w:rPr>
      </w:pPr>
      <w:r>
        <w:rPr>
          <w:color w:val="auto"/>
          <w:highlight w:val="none"/>
        </w:rPr>
        <w:t>GB/T 10802-2023《通用软质聚氨酯泡沫塑料》；</w:t>
      </w:r>
    </w:p>
    <w:p w14:paraId="41AC4304">
      <w:pPr>
        <w:pStyle w:val="10"/>
        <w:rPr>
          <w:color w:val="auto"/>
          <w:highlight w:val="none"/>
        </w:rPr>
      </w:pPr>
      <w:r>
        <w:rPr>
          <w:color w:val="auto"/>
          <w:highlight w:val="none"/>
        </w:rPr>
        <w:t>GB/T 35601-2024</w:t>
      </w:r>
      <w:r>
        <w:rPr>
          <w:rFonts w:hint="eastAsia"/>
          <w:color w:val="auto"/>
          <w:highlight w:val="none"/>
        </w:rPr>
        <w:t>《绿色产品评价</w:t>
      </w:r>
      <w:r>
        <w:rPr>
          <w:color w:val="auto"/>
          <w:highlight w:val="none"/>
        </w:rPr>
        <w:t xml:space="preserve"> </w:t>
      </w:r>
      <w:r>
        <w:rPr>
          <w:rFonts w:hint="eastAsia"/>
          <w:color w:val="auto"/>
          <w:highlight w:val="none"/>
        </w:rPr>
        <w:t>人造板和木质地板》；</w:t>
      </w:r>
    </w:p>
    <w:p w14:paraId="56B5073B">
      <w:pPr>
        <w:pStyle w:val="10"/>
        <w:rPr>
          <w:color w:val="auto"/>
          <w:highlight w:val="none"/>
        </w:rPr>
      </w:pPr>
      <w:r>
        <w:rPr>
          <w:color w:val="auto"/>
          <w:highlight w:val="none"/>
        </w:rPr>
        <w:t xml:space="preserve">QB/T 2189-2013《家具五金 </w:t>
      </w:r>
      <w:r>
        <w:rPr>
          <w:rFonts w:hint="eastAsia"/>
          <w:color w:val="auto"/>
          <w:highlight w:val="none"/>
        </w:rPr>
        <w:t>杯状暗铰链》；</w:t>
      </w:r>
    </w:p>
    <w:p w14:paraId="52C46DFD">
      <w:pPr>
        <w:pStyle w:val="10"/>
        <w:rPr>
          <w:color w:val="auto"/>
          <w:highlight w:val="none"/>
        </w:rPr>
      </w:pPr>
      <w:r>
        <w:rPr>
          <w:color w:val="auto"/>
          <w:highlight w:val="none"/>
        </w:rPr>
        <w:t>GB/T 11718-2021 《中密度纤维板》；</w:t>
      </w:r>
    </w:p>
    <w:p w14:paraId="7F062EFE">
      <w:pPr>
        <w:pStyle w:val="10"/>
        <w:rPr>
          <w:color w:val="auto"/>
          <w:highlight w:val="none"/>
        </w:rPr>
      </w:pPr>
      <w:r>
        <w:rPr>
          <w:color w:val="auto"/>
          <w:highlight w:val="none"/>
        </w:rPr>
        <w:t xml:space="preserve">QB/T 1621-2015 </w:t>
      </w:r>
      <w:r>
        <w:rPr>
          <w:rFonts w:hint="eastAsia"/>
          <w:color w:val="auto"/>
          <w:highlight w:val="none"/>
        </w:rPr>
        <w:t>《家具锁》；</w:t>
      </w:r>
    </w:p>
    <w:p w14:paraId="18A228A6">
      <w:pPr>
        <w:pStyle w:val="10"/>
        <w:rPr>
          <w:color w:val="auto"/>
          <w:highlight w:val="none"/>
        </w:rPr>
      </w:pPr>
      <w:r>
        <w:rPr>
          <w:color w:val="auto"/>
          <w:highlight w:val="none"/>
        </w:rPr>
        <w:t xml:space="preserve">GB/T 2454-2013 </w:t>
      </w:r>
      <w:r>
        <w:rPr>
          <w:rFonts w:hint="eastAsia"/>
          <w:color w:val="auto"/>
          <w:highlight w:val="none"/>
        </w:rPr>
        <w:t>《家具五金</w:t>
      </w:r>
      <w:r>
        <w:rPr>
          <w:color w:val="auto"/>
          <w:highlight w:val="none"/>
        </w:rPr>
        <w:t xml:space="preserve"> </w:t>
      </w:r>
      <w:r>
        <w:rPr>
          <w:rFonts w:hint="eastAsia"/>
          <w:color w:val="auto"/>
          <w:highlight w:val="none"/>
        </w:rPr>
        <w:t>抽屉导轨》；</w:t>
      </w:r>
    </w:p>
    <w:p w14:paraId="5D799B7D">
      <w:pPr>
        <w:pStyle w:val="10"/>
        <w:rPr>
          <w:color w:val="auto"/>
          <w:highlight w:val="none"/>
        </w:rPr>
      </w:pPr>
      <w:r>
        <w:rPr>
          <w:color w:val="auto"/>
          <w:highlight w:val="none"/>
        </w:rPr>
        <w:t xml:space="preserve">GB/T 4765-2014 </w:t>
      </w:r>
      <w:r>
        <w:rPr>
          <w:rFonts w:hint="eastAsia"/>
          <w:color w:val="auto"/>
          <w:highlight w:val="none"/>
        </w:rPr>
        <w:t>《家具用脚轮》；</w:t>
      </w:r>
    </w:p>
    <w:p w14:paraId="102C8311">
      <w:pPr>
        <w:pStyle w:val="10"/>
        <w:rPr>
          <w:color w:val="auto"/>
          <w:highlight w:val="none"/>
        </w:rPr>
      </w:pPr>
      <w:r>
        <w:rPr>
          <w:color w:val="auto"/>
          <w:highlight w:val="none"/>
        </w:rPr>
        <w:t xml:space="preserve">QB/T 2280-2016《办公家具 </w:t>
      </w:r>
      <w:r>
        <w:rPr>
          <w:rFonts w:hint="eastAsia"/>
          <w:color w:val="auto"/>
          <w:highlight w:val="none"/>
        </w:rPr>
        <w:t>办公椅》；</w:t>
      </w:r>
    </w:p>
    <w:p w14:paraId="15CA7649">
      <w:pPr>
        <w:pStyle w:val="10"/>
        <w:rPr>
          <w:color w:val="auto"/>
          <w:highlight w:val="none"/>
        </w:rPr>
      </w:pPr>
      <w:r>
        <w:rPr>
          <w:color w:val="auto"/>
          <w:highlight w:val="none"/>
        </w:rPr>
        <w:t xml:space="preserve">QB/T 1952.1-2023《软体家具 </w:t>
      </w:r>
      <w:r>
        <w:rPr>
          <w:rFonts w:hint="eastAsia"/>
          <w:color w:val="auto"/>
          <w:highlight w:val="none"/>
        </w:rPr>
        <w:t>沙发》。</w:t>
      </w:r>
    </w:p>
    <w:p w14:paraId="0EFBA9CA">
      <w:pPr>
        <w:pStyle w:val="10"/>
        <w:ind w:firstLine="422"/>
        <w:rPr>
          <w:b/>
          <w:bCs/>
          <w:color w:val="auto"/>
          <w:highlight w:val="none"/>
        </w:rPr>
      </w:pPr>
      <w:r>
        <w:rPr>
          <w:rFonts w:hint="eastAsia"/>
          <w:b/>
          <w:bCs/>
          <w:color w:val="auto"/>
          <w:highlight w:val="none"/>
        </w:rPr>
        <w:t>及其他与本次采购的家具相关的现行最新标准；采购需求内所涉及到的标准若与现行标准冲突，均以现行的最新版本为准。</w:t>
      </w:r>
    </w:p>
    <w:p w14:paraId="3524DF9F">
      <w:pPr>
        <w:numPr>
          <w:ilvl w:val="255"/>
          <w:numId w:val="0"/>
        </w:numPr>
        <w:rPr>
          <w:color w:val="auto"/>
          <w:highlight w:val="none"/>
          <w:lang w:eastAsia="zh-CN"/>
        </w:rPr>
      </w:pPr>
    </w:p>
    <w:p w14:paraId="50EFB14C">
      <w:pPr>
        <w:spacing w:before="120" w:line="360" w:lineRule="auto"/>
        <w:ind w:left="160"/>
        <w:outlineLvl w:val="6"/>
        <w:rPr>
          <w:rFonts w:ascii="宋体" w:hAnsi="宋体" w:eastAsia="宋体" w:cs="宋体"/>
          <w:b/>
          <w:bCs/>
          <w:color w:val="auto"/>
          <w:spacing w:val="-25"/>
          <w:highlight w:val="none"/>
          <w:lang w:eastAsia="zh-CN"/>
        </w:rPr>
      </w:pPr>
      <w:r>
        <w:rPr>
          <w:rFonts w:hint="eastAsia" w:ascii="宋体" w:hAnsi="宋体" w:eastAsia="宋体" w:cs="宋体"/>
          <w:b/>
          <w:bCs/>
          <w:color w:val="auto"/>
          <w:spacing w:val="-2"/>
          <w:highlight w:val="none"/>
          <w:lang w:eastAsia="zh-CN"/>
        </w:rPr>
        <w:t>三、</w:t>
      </w:r>
      <w:r>
        <w:rPr>
          <w:rFonts w:hint="eastAsia" w:ascii="宋体" w:hAnsi="宋体" w:eastAsia="宋体" w:cs="宋体"/>
          <w:b/>
          <w:bCs/>
          <w:color w:val="auto"/>
          <w:highlight w:val="none"/>
          <w:lang w:eastAsia="zh-CN"/>
        </w:rPr>
        <w:t>采购清单及技术参数</w:t>
      </w:r>
      <w:r>
        <w:rPr>
          <w:rFonts w:hint="eastAsia" w:ascii="宋体" w:hAnsi="宋体" w:eastAsia="宋体" w:cs="宋体"/>
          <w:b/>
          <w:bCs/>
          <w:color w:val="auto"/>
          <w:spacing w:val="-2"/>
          <w:highlight w:val="none"/>
          <w:lang w:eastAsia="zh-CN"/>
        </w:rPr>
        <w:t>要求</w:t>
      </w:r>
    </w:p>
    <w:p w14:paraId="02D62816">
      <w:pPr>
        <w:spacing w:line="360" w:lineRule="auto"/>
        <w:ind w:firstLine="522" w:firstLineChars="300"/>
        <w:rPr>
          <w:rFonts w:ascii="宋体" w:hAnsi="宋体" w:eastAsia="宋体" w:cs="宋体"/>
          <w:color w:val="auto"/>
          <w:spacing w:val="-18"/>
          <w:highlight w:val="none"/>
          <w:lang w:eastAsia="zh-CN"/>
        </w:rPr>
      </w:pPr>
      <w:r>
        <w:rPr>
          <w:rFonts w:hint="eastAsia" w:ascii="宋体" w:hAnsi="宋体" w:eastAsia="宋体" w:cs="宋体"/>
          <w:color w:val="auto"/>
          <w:spacing w:val="-18"/>
          <w:highlight w:val="none"/>
          <w:lang w:eastAsia="zh-CN"/>
        </w:rPr>
        <w:t>详见附件：家具清单</w:t>
      </w:r>
    </w:p>
    <w:p w14:paraId="1611A18D">
      <w:pPr>
        <w:pStyle w:val="10"/>
        <w:rPr>
          <w:color w:val="auto"/>
          <w:highlight w:val="none"/>
        </w:rPr>
      </w:pPr>
      <w:r>
        <w:rPr>
          <w:rFonts w:hint="eastAsia"/>
          <w:color w:val="auto"/>
          <w:highlight w:val="none"/>
        </w:rPr>
        <w:t>（1）投标方应对投标货物品牌、尺寸规格、颜色、材料、质量、性能等作出说明，提供所投产品的技术参数偏离表，按实际情况注明以上清单产品各项技术参数偏离情况（正偏离/满足/负偏离），技术要求偏离表不能违背真实的参数和指标。</w:t>
      </w:r>
    </w:p>
    <w:p w14:paraId="5564B08D">
      <w:pPr>
        <w:pStyle w:val="21"/>
        <w:spacing w:before="94"/>
        <w:ind w:right="203" w:firstLine="420" w:firstLineChars="200"/>
        <w:rPr>
          <w:color w:val="auto"/>
          <w:sz w:val="21"/>
          <w:szCs w:val="21"/>
          <w:highlight w:val="none"/>
          <w:lang w:eastAsia="zh-CN"/>
        </w:rPr>
      </w:pPr>
      <w:r>
        <w:rPr>
          <w:rFonts w:hint="eastAsia"/>
          <w:color w:val="auto"/>
          <w:sz w:val="21"/>
          <w:szCs w:val="21"/>
          <w:highlight w:val="none"/>
          <w:lang w:eastAsia="zh-CN"/>
        </w:rPr>
        <w:t>（2）项目需求中指出的工艺、材料和货物的标准以及参照的技术参数、图片或型号仅起说明作用，并没有任何限制性和排他性，且图片所示细节（如颜色、纹理、 品牌标识等）不作为评审依据，最终以文字技术参数为准。响应方在投标中可以选用其他替代标准、技术参数或型号，但这些替代应以不影响产品质量或功能实现为前提。</w:t>
      </w:r>
    </w:p>
    <w:p w14:paraId="00A0A5AE">
      <w:pPr>
        <w:pStyle w:val="10"/>
        <w:rPr>
          <w:color w:val="auto"/>
          <w:highlight w:val="none"/>
        </w:rPr>
      </w:pPr>
    </w:p>
    <w:p w14:paraId="0E5E7FD8">
      <w:pPr>
        <w:pStyle w:val="10"/>
        <w:rPr>
          <w:color w:val="auto"/>
          <w:highlight w:val="none"/>
        </w:rPr>
      </w:pPr>
      <w:r>
        <w:rPr>
          <w:rFonts w:hint="eastAsia"/>
          <w:color w:val="auto"/>
          <w:highlight w:val="none"/>
        </w:rPr>
        <w:t>（3）项目需求中指出的技术标准与规范如有更新，应以最新的标准规范实施。</w:t>
      </w:r>
    </w:p>
    <w:p w14:paraId="3B934985">
      <w:pPr>
        <w:pStyle w:val="10"/>
        <w:rPr>
          <w:color w:val="auto"/>
          <w:highlight w:val="none"/>
        </w:rPr>
      </w:pPr>
      <w:r>
        <w:rPr>
          <w:rFonts w:hint="eastAsia"/>
          <w:color w:val="auto"/>
          <w:highlight w:val="none"/>
        </w:rPr>
        <w:t>（4）所有采购家具产品，均需经使用方确认最终的色样方可采购或制作。</w:t>
      </w:r>
    </w:p>
    <w:p w14:paraId="6308B6F1">
      <w:pPr>
        <w:spacing w:line="360" w:lineRule="auto"/>
        <w:ind w:firstLine="522" w:firstLineChars="300"/>
        <w:rPr>
          <w:rFonts w:ascii="宋体" w:hAnsi="宋体" w:eastAsia="宋体" w:cs="宋体"/>
          <w:color w:val="auto"/>
          <w:spacing w:val="-18"/>
          <w:highlight w:val="none"/>
          <w:lang w:eastAsia="zh-CN"/>
        </w:rPr>
      </w:pPr>
    </w:p>
    <w:p w14:paraId="7215F97E">
      <w:pPr>
        <w:numPr>
          <w:ilvl w:val="0"/>
          <w:numId w:val="1"/>
        </w:numPr>
        <w:spacing w:before="123" w:line="360" w:lineRule="auto"/>
        <w:ind w:firstLine="420" w:firstLineChars="200"/>
        <w:outlineLvl w:val="6"/>
        <w:rPr>
          <w:color w:val="auto"/>
          <w:highlight w:val="none"/>
        </w:rPr>
      </w:pPr>
      <w:r>
        <w:rPr>
          <w:rFonts w:hint="eastAsia" w:ascii="宋体" w:hAnsi="宋体" w:eastAsia="宋体" w:cs="宋体"/>
          <w:b/>
          <w:bCs/>
          <w:color w:val="auto"/>
          <w:highlight w:val="none"/>
          <w:lang w:eastAsia="zh-CN"/>
        </w:rPr>
        <w:t>材料要求</w:t>
      </w:r>
    </w:p>
    <w:p w14:paraId="0B753E00">
      <w:pPr>
        <w:pStyle w:val="8"/>
        <w:spacing w:before="315" w:line="360" w:lineRule="auto"/>
        <w:ind w:firstLine="480" w:firstLineChars="200"/>
        <w:rPr>
          <w:b/>
          <w:bCs/>
          <w:color w:val="auto"/>
          <w:sz w:val="21"/>
          <w:szCs w:val="21"/>
          <w:highlight w:val="none"/>
          <w:lang w:eastAsia="zh-CN"/>
        </w:rPr>
      </w:pPr>
      <w:r>
        <w:rPr>
          <w:rFonts w:hint="eastAsia"/>
          <w:color w:val="auto"/>
          <w:highlight w:val="none"/>
          <w:lang w:eastAsia="zh-CN"/>
        </w:rPr>
        <w:t>▲</w:t>
      </w:r>
      <w:r>
        <w:rPr>
          <w:rFonts w:hint="eastAsia"/>
          <w:b/>
          <w:bCs/>
          <w:color w:val="auto"/>
          <w:sz w:val="21"/>
          <w:szCs w:val="21"/>
          <w:highlight w:val="none"/>
          <w:lang w:eastAsia="zh-CN"/>
        </w:rPr>
        <w:t>1.本项目主要原材料检测报告需符合以下要求：</w:t>
      </w:r>
    </w:p>
    <w:p w14:paraId="10AA20CF">
      <w:pPr>
        <w:kinsoku/>
        <w:autoSpaceDE/>
        <w:autoSpaceDN/>
        <w:adjustRightInd/>
        <w:snapToGrid/>
        <w:spacing w:line="360" w:lineRule="auto"/>
        <w:ind w:firstLine="720" w:firstLineChars="300"/>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（一）</w:t>
      </w:r>
      <w:r>
        <w:rPr>
          <w:rFonts w:hint="eastAsia" w:asciiTheme="minorEastAsia" w:hAnsiTheme="minorEastAsia" w:cstheme="minorEastAsia"/>
          <w:b/>
          <w:bCs/>
          <w:color w:val="auto"/>
          <w:sz w:val="24"/>
          <w:szCs w:val="24"/>
          <w:highlight w:val="none"/>
          <w:lang w:eastAsia="zh-CN"/>
        </w:rPr>
        <w:t>实木</w:t>
      </w:r>
      <w:r>
        <w:rPr>
          <w:rFonts w:hint="eastAsia" w:asciiTheme="minorEastAsia" w:hAnsiTheme="minorEastAsia" w:cstheme="minorEastAsia"/>
          <w:color w:val="auto"/>
          <w:sz w:val="24"/>
          <w:szCs w:val="24"/>
          <w:highlight w:val="none"/>
          <w:lang w:eastAsia="zh-CN"/>
        </w:rPr>
        <w:t>：</w:t>
      </w:r>
    </w:p>
    <w:p w14:paraId="0E90C8F8">
      <w:pPr>
        <w:kinsoku/>
        <w:autoSpaceDE/>
        <w:autoSpaceDN/>
        <w:adjustRightInd/>
        <w:snapToGrid/>
        <w:spacing w:line="360" w:lineRule="auto"/>
        <w:ind w:firstLine="720" w:firstLineChars="300"/>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符合</w:t>
      </w:r>
      <w:r>
        <w:rPr>
          <w:rFonts w:asciiTheme="minorEastAsia" w:hAnsiTheme="minorEastAsia" w:cstheme="minorEastAsia"/>
          <w:color w:val="auto"/>
          <w:sz w:val="24"/>
          <w:szCs w:val="24"/>
          <w:highlight w:val="none"/>
          <w:lang w:eastAsia="zh-CN"/>
        </w:rPr>
        <w:t xml:space="preserve">GB/T3324-2024《木家具通用技术条件》GB/T1741-2020《漆膜耐霉菌性测定法 </w:t>
      </w:r>
      <w:r>
        <w:rPr>
          <w:rFonts w:hint="eastAsia" w:asciiTheme="minorEastAsia" w:hAnsiTheme="minorEastAsia" w:cstheme="minorEastAsia"/>
          <w:color w:val="auto"/>
          <w:sz w:val="24"/>
          <w:szCs w:val="24"/>
          <w:highlight w:val="none"/>
          <w:lang w:eastAsia="zh-CN"/>
        </w:rPr>
        <w:t>企业技术指标》</w:t>
      </w:r>
      <w:r>
        <w:rPr>
          <w:rFonts w:asciiTheme="minorEastAsia" w:hAnsiTheme="minorEastAsia" w:cstheme="minorEastAsia"/>
          <w:color w:val="auto"/>
          <w:sz w:val="24"/>
          <w:szCs w:val="24"/>
          <w:highlight w:val="none"/>
          <w:lang w:eastAsia="zh-CN"/>
        </w:rPr>
        <w:t>GB 18580-2025《室内装饰装修材料</w:t>
      </w:r>
      <w:r>
        <w:rPr>
          <w:rFonts w:hint="eastAsia" w:asciiTheme="minorEastAsia" w:hAnsiTheme="minorEastAsia" w:cstheme="minorEastAsia"/>
          <w:color w:val="auto"/>
          <w:sz w:val="24"/>
          <w:szCs w:val="24"/>
          <w:highlight w:val="none"/>
          <w:lang w:eastAsia="zh-CN"/>
        </w:rPr>
        <w:t>人造板及其制品中甲醛释放限量》</w:t>
      </w:r>
      <w:r>
        <w:rPr>
          <w:rFonts w:asciiTheme="minorEastAsia" w:hAnsiTheme="minorEastAsia" w:cstheme="minorEastAsia"/>
          <w:color w:val="auto"/>
          <w:sz w:val="24"/>
          <w:szCs w:val="24"/>
          <w:highlight w:val="none"/>
          <w:lang w:eastAsia="zh-CN"/>
        </w:rPr>
        <w:t>GB/T45245-2025《人造板及其制品中总有机碳的测定方法企业技术指标》</w:t>
      </w:r>
    </w:p>
    <w:p w14:paraId="3E194817">
      <w:pPr>
        <w:kinsoku/>
        <w:autoSpaceDE/>
        <w:autoSpaceDN/>
        <w:adjustRightInd/>
        <w:snapToGrid/>
        <w:spacing w:line="360" w:lineRule="auto"/>
        <w:ind w:firstLine="720" w:firstLineChars="300"/>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检测项目至少包含：外观性能</w:t>
      </w:r>
      <w:r>
        <w:rPr>
          <w:rFonts w:asciiTheme="minorEastAsia" w:hAnsiTheme="minorEastAsia" w:cstheme="minorEastAsia"/>
          <w:color w:val="auto"/>
          <w:sz w:val="24"/>
          <w:szCs w:val="24"/>
          <w:highlight w:val="none"/>
          <w:lang w:eastAsia="zh-CN"/>
        </w:rPr>
        <w:t>-符合要求；含水率8~15.6%；漆膜附着力≥3级；漆膜耐冷热温-差应无鼓泡、裂缝和明显失光；漆膜耐磨性≥3级；漆膜抗冲击≥3级；防霉等级-黑曲霉0级（没有生长）；</w:t>
      </w:r>
      <w:r>
        <w:rPr>
          <w:rFonts w:hint="eastAsia" w:asciiTheme="minorEastAsia" w:hAnsiTheme="minorEastAsia" w:cstheme="minorEastAsia"/>
          <w:color w:val="auto"/>
          <w:sz w:val="24"/>
          <w:szCs w:val="24"/>
          <w:highlight w:val="none"/>
          <w:lang w:eastAsia="zh-CN"/>
        </w:rPr>
        <w:t>总有机碳含量≤</w:t>
      </w:r>
      <w:r>
        <w:rPr>
          <w:rFonts w:asciiTheme="minorEastAsia" w:hAnsiTheme="minorEastAsia" w:cstheme="minorEastAsia"/>
          <w:color w:val="auto"/>
          <w:sz w:val="24"/>
          <w:szCs w:val="24"/>
          <w:highlight w:val="none"/>
          <w:lang w:eastAsia="zh-CN"/>
        </w:rPr>
        <w:t>550g/kg</w:t>
      </w:r>
      <w:r>
        <w:rPr>
          <w:rFonts w:hint="eastAsia" w:asciiTheme="minorEastAsia" w:hAnsiTheme="minorEastAsia" w:cstheme="minorEastAsia"/>
          <w:color w:val="auto"/>
          <w:sz w:val="24"/>
          <w:szCs w:val="24"/>
          <w:highlight w:val="none"/>
          <w:lang w:eastAsia="zh-CN"/>
        </w:rPr>
        <w:t>；甲醛释放量≤</w:t>
      </w:r>
      <w:r>
        <w:rPr>
          <w:rFonts w:asciiTheme="minorEastAsia" w:hAnsiTheme="minorEastAsia" w:cstheme="minorEastAsia"/>
          <w:color w:val="auto"/>
          <w:sz w:val="24"/>
          <w:szCs w:val="24"/>
          <w:highlight w:val="none"/>
          <w:lang w:eastAsia="zh-CN"/>
        </w:rPr>
        <w:t>0.050mg/m³；</w:t>
      </w:r>
    </w:p>
    <w:p w14:paraId="7EBDE05C">
      <w:pPr>
        <w:numPr>
          <w:ilvl w:val="0"/>
          <w:numId w:val="2"/>
        </w:numPr>
        <w:kinsoku/>
        <w:autoSpaceDE/>
        <w:autoSpaceDN/>
        <w:adjustRightInd/>
        <w:snapToGrid/>
        <w:spacing w:line="360" w:lineRule="auto"/>
        <w:ind w:firstLine="720" w:firstLineChars="300"/>
        <w:textAlignment w:val="center"/>
        <w:rPr>
          <w:rFonts w:asciiTheme="minorEastAsia" w:hAnsiTheme="minorEastAsia" w:cstheme="minorEastAsia"/>
          <w:b/>
          <w:bCs/>
          <w:color w:val="auto"/>
          <w:sz w:val="24"/>
          <w:szCs w:val="24"/>
          <w:highlight w:val="none"/>
          <w:lang w:eastAsia="zh-CN"/>
        </w:rPr>
      </w:pPr>
      <w:r>
        <w:rPr>
          <w:rFonts w:hint="eastAsia" w:asciiTheme="minorEastAsia" w:hAnsiTheme="minorEastAsia" w:cstheme="minorEastAsia"/>
          <w:b/>
          <w:bCs/>
          <w:color w:val="auto"/>
          <w:sz w:val="24"/>
          <w:szCs w:val="24"/>
          <w:highlight w:val="none"/>
          <w:lang w:eastAsia="zh-CN"/>
        </w:rPr>
        <w:t>实木多层板（覆面）</w:t>
      </w:r>
    </w:p>
    <w:p w14:paraId="19EE02F1">
      <w:pPr>
        <w:kinsoku/>
        <w:autoSpaceDE/>
        <w:autoSpaceDN/>
        <w:adjustRightInd/>
        <w:snapToGrid/>
        <w:spacing w:line="360" w:lineRule="auto"/>
        <w:ind w:left="10" w:leftChars="0" w:firstLine="708" w:firstLineChars="295"/>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符合</w:t>
      </w:r>
      <w:r>
        <w:rPr>
          <w:rFonts w:asciiTheme="minorEastAsia" w:hAnsiTheme="minorEastAsia" w:cstheme="minorEastAsia"/>
          <w:color w:val="auto"/>
          <w:sz w:val="24"/>
          <w:szCs w:val="24"/>
          <w:highlight w:val="none"/>
          <w:lang w:eastAsia="zh-CN"/>
        </w:rPr>
        <w:t xml:space="preserve">GB/T34722-2025《浸渍胶膜纸饰面胶合板和细木工板》JC/T2039-2010《抗菌防霉木质装饰板》GB 18580-2025《室内装饰装修材料 </w:t>
      </w:r>
      <w:r>
        <w:rPr>
          <w:rFonts w:hint="eastAsia" w:asciiTheme="minorEastAsia" w:hAnsiTheme="minorEastAsia" w:cstheme="minorEastAsia"/>
          <w:color w:val="auto"/>
          <w:sz w:val="24"/>
          <w:szCs w:val="24"/>
          <w:highlight w:val="none"/>
          <w:lang w:eastAsia="zh-CN"/>
        </w:rPr>
        <w:t>人造板及其制品中甲醛释放限量》</w:t>
      </w:r>
      <w:r>
        <w:rPr>
          <w:rFonts w:asciiTheme="minorEastAsia" w:hAnsiTheme="minorEastAsia" w:cstheme="minorEastAsia"/>
          <w:color w:val="auto"/>
          <w:sz w:val="24"/>
          <w:szCs w:val="24"/>
          <w:highlight w:val="none"/>
          <w:lang w:eastAsia="zh-CN"/>
        </w:rPr>
        <w:t>JG/T 527-2017《木制品甲醛和挥发性有机物释放率测试方法》</w:t>
      </w:r>
    </w:p>
    <w:p w14:paraId="5B9E7601">
      <w:pPr>
        <w:kinsoku/>
        <w:autoSpaceDE/>
        <w:autoSpaceDN/>
        <w:adjustRightInd/>
        <w:snapToGrid/>
        <w:spacing w:line="360" w:lineRule="auto"/>
        <w:ind w:left="10" w:leftChars="0" w:firstLine="708" w:firstLineChars="295"/>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检测项目至少包含：理化性能</w:t>
      </w:r>
      <w:r>
        <w:rPr>
          <w:rFonts w:asciiTheme="minorEastAsia" w:hAnsiTheme="minorEastAsia" w:cstheme="minorEastAsia"/>
          <w:color w:val="auto"/>
          <w:sz w:val="24"/>
          <w:szCs w:val="24"/>
          <w:highlight w:val="none"/>
          <w:lang w:eastAsia="zh-CN"/>
        </w:rPr>
        <w:t>-含水率4.0%~16.0%；表面胶合强度≥0.60MPa；表面耐划痕-表面无大于90%的连续划痕；</w:t>
      </w:r>
      <w:r>
        <w:rPr>
          <w:rFonts w:hint="eastAsia" w:asciiTheme="minorEastAsia" w:hAnsiTheme="minorEastAsia" w:cstheme="minorEastAsia"/>
          <w:color w:val="auto"/>
          <w:sz w:val="24"/>
          <w:szCs w:val="24"/>
          <w:highlight w:val="none"/>
          <w:lang w:eastAsia="zh-CN"/>
        </w:rPr>
        <w:t>表面耐磨</w:t>
      </w:r>
      <w:r>
        <w:rPr>
          <w:rFonts w:asciiTheme="minorEastAsia" w:hAnsiTheme="minorEastAsia" w:cstheme="minorEastAsia"/>
          <w:color w:val="auto"/>
          <w:sz w:val="24"/>
          <w:szCs w:val="24"/>
          <w:highlight w:val="none"/>
          <w:lang w:eastAsia="zh-CN"/>
        </w:rPr>
        <w:t>100r后应保留花纹</w:t>
      </w:r>
      <w:r>
        <w:rPr>
          <w:rFonts w:hint="eastAsia" w:asciiTheme="minorEastAsia" w:hAnsiTheme="minorEastAsia" w:cstheme="minorEastAsia"/>
          <w:color w:val="auto"/>
          <w:sz w:val="24"/>
          <w:szCs w:val="24"/>
          <w:highlight w:val="none"/>
          <w:lang w:eastAsia="zh-CN"/>
        </w:rPr>
        <w:t>；防霉等级</w:t>
      </w:r>
      <w:r>
        <w:rPr>
          <w:rFonts w:asciiTheme="minorEastAsia" w:hAnsiTheme="minorEastAsia" w:cstheme="minorEastAsia"/>
          <w:color w:val="auto"/>
          <w:sz w:val="24"/>
          <w:szCs w:val="24"/>
          <w:highlight w:val="none"/>
          <w:lang w:eastAsia="zh-CN"/>
        </w:rPr>
        <w:t>-黑曲霉0级（没有生长）</w:t>
      </w:r>
      <w:r>
        <w:rPr>
          <w:rFonts w:hint="eastAsia" w:asciiTheme="minorEastAsia" w:hAnsiTheme="minorEastAsia" w:cstheme="minorEastAsia"/>
          <w:color w:val="auto"/>
          <w:sz w:val="24"/>
          <w:szCs w:val="24"/>
          <w:highlight w:val="none"/>
          <w:lang w:eastAsia="zh-CN"/>
        </w:rPr>
        <w:t>；甲醛释放率≤</w:t>
      </w:r>
      <w:r>
        <w:rPr>
          <w:rFonts w:asciiTheme="minorEastAsia" w:hAnsiTheme="minorEastAsia" w:cstheme="minorEastAsia"/>
          <w:color w:val="auto"/>
          <w:sz w:val="24"/>
          <w:szCs w:val="24"/>
          <w:highlight w:val="none"/>
          <w:lang w:eastAsia="zh-CN"/>
        </w:rPr>
        <w:t>0.05hg/m²h</w:t>
      </w:r>
      <w:r>
        <w:rPr>
          <w:rFonts w:hint="eastAsia" w:asciiTheme="minorEastAsia" w:hAnsiTheme="minorEastAsia" w:cstheme="minorEastAsia"/>
          <w:color w:val="auto"/>
          <w:sz w:val="24"/>
          <w:szCs w:val="24"/>
          <w:highlight w:val="none"/>
          <w:lang w:eastAsia="zh-CN"/>
        </w:rPr>
        <w:t>；甲醛释放量≤</w:t>
      </w:r>
      <w:r>
        <w:rPr>
          <w:rFonts w:asciiTheme="minorEastAsia" w:hAnsiTheme="minorEastAsia" w:cstheme="minorEastAsia"/>
          <w:color w:val="auto"/>
          <w:sz w:val="24"/>
          <w:szCs w:val="24"/>
          <w:highlight w:val="none"/>
          <w:lang w:eastAsia="zh-CN"/>
        </w:rPr>
        <w:t>0.050mg/m³；</w:t>
      </w:r>
    </w:p>
    <w:p w14:paraId="162CEE4A">
      <w:pPr>
        <w:pStyle w:val="8"/>
        <w:spacing w:before="315" w:line="360" w:lineRule="auto"/>
        <w:ind w:firstLine="480" w:firstLineChars="200"/>
        <w:rPr>
          <w:b/>
          <w:bCs/>
          <w:color w:val="auto"/>
          <w:sz w:val="21"/>
          <w:szCs w:val="21"/>
          <w:highlight w:val="none"/>
          <w:lang w:eastAsia="zh-CN"/>
        </w:rPr>
      </w:pPr>
      <w:r>
        <w:rPr>
          <w:rFonts w:hint="eastAsia"/>
          <w:color w:val="auto"/>
          <w:highlight w:val="none"/>
          <w:lang w:eastAsia="zh-CN"/>
        </w:rPr>
        <w:t>▲</w:t>
      </w:r>
      <w:r>
        <w:rPr>
          <w:rFonts w:hint="eastAsia"/>
          <w:b/>
          <w:bCs/>
          <w:color w:val="auto"/>
          <w:sz w:val="21"/>
          <w:szCs w:val="21"/>
          <w:highlight w:val="none"/>
          <w:lang w:eastAsia="zh-CN"/>
        </w:rPr>
        <w:t>2</w:t>
      </w:r>
      <w:r>
        <w:rPr>
          <w:b/>
          <w:bCs/>
          <w:color w:val="auto"/>
          <w:sz w:val="21"/>
          <w:szCs w:val="21"/>
          <w:highlight w:val="none"/>
          <w:lang w:eastAsia="zh-CN"/>
        </w:rPr>
        <w:t>.本项目辅料、辅材检测报告需符合以下要求：</w:t>
      </w:r>
    </w:p>
    <w:p w14:paraId="2FFD1266">
      <w:pPr>
        <w:kinsoku/>
        <w:autoSpaceDE/>
        <w:autoSpaceDN/>
        <w:adjustRightInd/>
        <w:snapToGrid/>
        <w:spacing w:line="360" w:lineRule="auto"/>
        <w:ind w:left="630" w:leftChars="300"/>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b/>
          <w:bCs/>
          <w:color w:val="auto"/>
          <w:sz w:val="24"/>
          <w:szCs w:val="24"/>
          <w:highlight w:val="none"/>
          <w:lang w:eastAsia="zh-CN"/>
        </w:rPr>
        <w:t>（一）床板</w:t>
      </w:r>
      <w:r>
        <w:rPr>
          <w:rFonts w:hint="eastAsia" w:asciiTheme="minorEastAsia" w:hAnsiTheme="minorEastAsia" w:cstheme="minorEastAsia"/>
          <w:color w:val="auto"/>
          <w:sz w:val="24"/>
          <w:szCs w:val="24"/>
          <w:highlight w:val="none"/>
          <w:lang w:eastAsia="zh-CN"/>
        </w:rPr>
        <w:t>：</w:t>
      </w:r>
    </w:p>
    <w:p w14:paraId="5C78B7CC">
      <w:pPr>
        <w:kinsoku/>
        <w:autoSpaceDE/>
        <w:autoSpaceDN/>
        <w:adjustRightInd/>
        <w:snapToGrid/>
        <w:spacing w:line="360" w:lineRule="auto"/>
        <w:ind w:left="10" w:leftChars="0" w:firstLine="708" w:firstLineChars="295"/>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符合</w:t>
      </w:r>
      <w:r>
        <w:rPr>
          <w:rFonts w:asciiTheme="minorEastAsia" w:hAnsiTheme="minorEastAsia" w:cstheme="minorEastAsia"/>
          <w:color w:val="auto"/>
          <w:sz w:val="24"/>
          <w:szCs w:val="24"/>
          <w:highlight w:val="none"/>
          <w:lang w:eastAsia="zh-CN"/>
        </w:rPr>
        <w:t>JC/T2039-2010、GB/T3324-2017、GB18580-2017</w:t>
      </w:r>
      <w:r>
        <w:rPr>
          <w:rFonts w:hint="eastAsia" w:asciiTheme="minorEastAsia" w:hAnsiTheme="minorEastAsia" w:cstheme="minorEastAsia"/>
          <w:color w:val="auto"/>
          <w:sz w:val="24"/>
          <w:szCs w:val="24"/>
          <w:highlight w:val="none"/>
          <w:lang w:eastAsia="zh-CN"/>
        </w:rPr>
        <w:t>要求</w:t>
      </w:r>
      <w:r>
        <w:rPr>
          <w:rFonts w:hint="eastAsia" w:asciiTheme="minorEastAsia" w:hAnsiTheme="minorEastAsia" w:cstheme="minorEastAsia"/>
          <w:color w:val="auto"/>
          <w:sz w:val="24"/>
          <w:szCs w:val="24"/>
          <w:highlight w:val="none"/>
          <w:lang w:eastAsia="zh-CN"/>
        </w:rPr>
        <w:t>。</w:t>
      </w:r>
    </w:p>
    <w:p w14:paraId="52DDE303">
      <w:pPr>
        <w:kinsoku/>
        <w:autoSpaceDE/>
        <w:autoSpaceDN/>
        <w:adjustRightInd/>
        <w:snapToGrid/>
        <w:spacing w:line="360" w:lineRule="auto"/>
        <w:ind w:left="10" w:leftChars="0" w:firstLine="708" w:firstLineChars="295"/>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检测项目至少包含：木材含水率</w:t>
      </w:r>
      <w:r>
        <w:rPr>
          <w:rFonts w:asciiTheme="minorEastAsia" w:hAnsiTheme="minorEastAsia" w:cstheme="minorEastAsia"/>
          <w:color w:val="auto"/>
          <w:sz w:val="24"/>
          <w:szCs w:val="24"/>
          <w:highlight w:val="none"/>
          <w:lang w:eastAsia="zh-CN"/>
        </w:rPr>
        <w:t>8%-12%;木制件外观:贯通裂缝、虫蛀、腐朽材、树脂囊、节子、死节、孔洞夹皮和树脂道、树胶道、其他轻微材质缺陷</w:t>
      </w:r>
      <w:r>
        <w:rPr>
          <w:rFonts w:hint="eastAsia" w:asciiTheme="minorEastAsia" w:hAnsiTheme="minorEastAsia" w:cstheme="minorEastAsia"/>
          <w:color w:val="auto"/>
          <w:sz w:val="24"/>
          <w:szCs w:val="24"/>
          <w:highlight w:val="none"/>
          <w:lang w:eastAsia="zh-CN"/>
        </w:rPr>
        <w:t>均符合合格要求</w:t>
      </w:r>
      <w:r>
        <w:rPr>
          <w:rFonts w:asciiTheme="minorEastAsia" w:hAnsiTheme="minorEastAsia" w:cstheme="minorEastAsia"/>
          <w:color w:val="auto"/>
          <w:sz w:val="24"/>
          <w:szCs w:val="24"/>
          <w:highlight w:val="none"/>
          <w:lang w:eastAsia="zh-CN"/>
        </w:rPr>
        <w:t>;抗菌防霉性能(防霉菌等级)(黑曲霉、黄曲霉、腊叶芽枝霉(多主枝抱霉)、宛氏拟青霉、桔青霉、绿色木霉、出芽短梗霉、链格抱)0级或1级;抗细菌率-金黄色葡萄球菌≥99.9％合格、抗细菌率-鼠伤寒沙门氏菌≥99.9％</w:t>
      </w:r>
      <w:r>
        <w:rPr>
          <w:rFonts w:hint="eastAsia" w:asciiTheme="minorEastAsia" w:hAnsiTheme="minorEastAsia" w:cstheme="minorEastAsia"/>
          <w:color w:val="auto"/>
          <w:sz w:val="24"/>
          <w:szCs w:val="24"/>
          <w:highlight w:val="none"/>
          <w:lang w:eastAsia="zh-CN"/>
        </w:rPr>
        <w:t>合格；甲醛释放量≤未检出（</w:t>
      </w:r>
      <w:r>
        <w:rPr>
          <w:rFonts w:asciiTheme="minorEastAsia" w:hAnsiTheme="minorEastAsia" w:cstheme="minorEastAsia"/>
          <w:color w:val="auto"/>
          <w:sz w:val="24"/>
          <w:szCs w:val="24"/>
          <w:highlight w:val="none"/>
          <w:lang w:eastAsia="zh-CN"/>
        </w:rPr>
        <w:t>mg/m3）</w:t>
      </w:r>
      <w:r>
        <w:rPr>
          <w:rFonts w:hint="eastAsia" w:asciiTheme="minorEastAsia" w:hAnsiTheme="minorEastAsia" w:cstheme="minorEastAsia"/>
          <w:color w:val="auto"/>
          <w:sz w:val="24"/>
          <w:szCs w:val="24"/>
          <w:highlight w:val="none"/>
          <w:lang w:eastAsia="zh-CN"/>
        </w:rPr>
        <w:t>。</w:t>
      </w:r>
    </w:p>
    <w:p w14:paraId="10A671E1">
      <w:pPr>
        <w:pStyle w:val="8"/>
        <w:spacing w:before="315" w:line="360" w:lineRule="auto"/>
        <w:ind w:left="10" w:leftChars="0" w:firstLine="620" w:firstLineChars="258"/>
        <w:rPr>
          <w:rFonts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bCs/>
          <w:color w:val="auto"/>
          <w:highlight w:val="none"/>
          <w:lang w:eastAsia="zh-CN"/>
        </w:rPr>
        <w:t>（二）胶水</w:t>
      </w:r>
      <w:r>
        <w:rPr>
          <w:rFonts w:hint="eastAsia" w:asciiTheme="minorEastAsia" w:hAnsiTheme="minorEastAsia" w:eastAsiaTheme="minorEastAsia" w:cstheme="minorEastAsia"/>
          <w:color w:val="auto"/>
          <w:highlight w:val="none"/>
          <w:lang w:eastAsia="zh-CN"/>
        </w:rPr>
        <w:t>：</w:t>
      </w:r>
    </w:p>
    <w:p w14:paraId="0135F007">
      <w:pPr>
        <w:pStyle w:val="8"/>
        <w:spacing w:before="315" w:line="360" w:lineRule="auto"/>
        <w:ind w:left="10" w:leftChars="0" w:firstLine="619" w:firstLineChars="258"/>
        <w:rPr>
          <w:rFonts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符合</w:t>
      </w:r>
      <w:r>
        <w:rPr>
          <w:rFonts w:asciiTheme="minorEastAsia" w:hAnsiTheme="minorEastAsia" w:eastAsiaTheme="minorEastAsia" w:cstheme="minorEastAsia"/>
          <w:color w:val="auto"/>
          <w:highlight w:val="none"/>
          <w:lang w:eastAsia="zh-CN"/>
        </w:rPr>
        <w:t xml:space="preserve">GB18583-2008《室内装饰装修材料 </w:t>
      </w:r>
      <w:r>
        <w:rPr>
          <w:rFonts w:hint="eastAsia" w:asciiTheme="minorEastAsia" w:hAnsiTheme="minorEastAsia" w:eastAsiaTheme="minorEastAsia" w:cstheme="minorEastAsia"/>
          <w:color w:val="auto"/>
          <w:highlight w:val="none"/>
          <w:lang w:eastAsia="zh-CN"/>
        </w:rPr>
        <w:t>胶粘剂中有害物质限量》、</w:t>
      </w:r>
      <w:r>
        <w:rPr>
          <w:rFonts w:asciiTheme="minorEastAsia" w:hAnsiTheme="minorEastAsia" w:eastAsiaTheme="minorEastAsia" w:cstheme="minorEastAsia"/>
          <w:color w:val="auto"/>
          <w:highlight w:val="none"/>
          <w:lang w:eastAsia="zh-CN"/>
        </w:rPr>
        <w:t>HG/T 2727-2010《聚乙酸乙烯酯乳液木材胶粘剂》。</w:t>
      </w:r>
    </w:p>
    <w:p w14:paraId="77D0C09B">
      <w:pPr>
        <w:pStyle w:val="8"/>
        <w:spacing w:before="315" w:line="360" w:lineRule="auto"/>
        <w:ind w:left="10" w:leftChars="0" w:firstLine="619" w:firstLineChars="258"/>
        <w:rPr>
          <w:rFonts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检测项目至少包含：游离甲醛≤未检出；</w:t>
      </w:r>
      <w:r>
        <w:rPr>
          <w:rFonts w:asciiTheme="minorEastAsia" w:hAnsiTheme="minorEastAsia" w:eastAsiaTheme="minorEastAsia" w:cstheme="minorEastAsia"/>
          <w:color w:val="auto"/>
          <w:highlight w:val="none"/>
          <w:lang w:eastAsia="zh-CN"/>
        </w:rPr>
        <w:t>PH值3~7，黏度≥0.5Pa·s；</w:t>
      </w:r>
      <w:r>
        <w:rPr>
          <w:rFonts w:hint="eastAsia" w:asciiTheme="minorEastAsia" w:hAnsiTheme="minorEastAsia" w:eastAsiaTheme="minorEastAsia" w:cstheme="minorEastAsia"/>
          <w:color w:val="auto"/>
          <w:highlight w:val="none"/>
          <w:lang w:eastAsia="zh-CN"/>
        </w:rPr>
        <w:t>甲苯</w:t>
      </w:r>
      <w:r>
        <w:rPr>
          <w:rFonts w:asciiTheme="minorEastAsia" w:hAnsiTheme="minorEastAsia" w:eastAsiaTheme="minorEastAsia" w:cstheme="minorEastAsia"/>
          <w:color w:val="auto"/>
          <w:highlight w:val="none"/>
          <w:lang w:eastAsia="zh-CN"/>
        </w:rPr>
        <w:t>+二甲苯未检出；</w:t>
      </w:r>
      <w:r>
        <w:rPr>
          <w:rFonts w:hint="eastAsia" w:asciiTheme="minorEastAsia" w:hAnsiTheme="minorEastAsia" w:eastAsiaTheme="minorEastAsia" w:cstheme="minorEastAsia"/>
          <w:color w:val="auto"/>
          <w:highlight w:val="none"/>
          <w:lang w:eastAsia="zh-CN"/>
        </w:rPr>
        <w:t>总挥发性有机物≦</w:t>
      </w:r>
      <w:r>
        <w:rPr>
          <w:rFonts w:asciiTheme="minorEastAsia" w:hAnsiTheme="minorEastAsia" w:eastAsiaTheme="minorEastAsia" w:cstheme="minorEastAsia"/>
          <w:color w:val="auto"/>
          <w:highlight w:val="none"/>
          <w:lang w:eastAsia="zh-CN"/>
        </w:rPr>
        <w:t>20g/L。</w:t>
      </w:r>
    </w:p>
    <w:p w14:paraId="175460A0">
      <w:pPr>
        <w:pStyle w:val="8"/>
        <w:spacing w:before="315" w:line="360" w:lineRule="auto"/>
        <w:ind w:left="10" w:leftChars="0" w:firstLine="620" w:firstLineChars="258"/>
        <w:rPr>
          <w:rFonts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bCs/>
          <w:color w:val="auto"/>
          <w:highlight w:val="none"/>
          <w:lang w:eastAsia="zh-CN"/>
        </w:rPr>
        <w:t>（三）螺杆</w:t>
      </w:r>
      <w:r>
        <w:rPr>
          <w:rFonts w:hint="eastAsia" w:asciiTheme="minorEastAsia" w:hAnsiTheme="minorEastAsia" w:eastAsiaTheme="minorEastAsia" w:cstheme="minorEastAsia"/>
          <w:color w:val="auto"/>
          <w:highlight w:val="none"/>
          <w:lang w:eastAsia="zh-CN"/>
        </w:rPr>
        <w:t>：</w:t>
      </w:r>
    </w:p>
    <w:p w14:paraId="65D6C625">
      <w:pPr>
        <w:pStyle w:val="8"/>
        <w:spacing w:before="315" w:line="360" w:lineRule="auto"/>
        <w:ind w:left="10" w:leftChars="0" w:firstLine="619" w:firstLineChars="258"/>
        <w:rPr>
          <w:rFonts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符合</w:t>
      </w:r>
      <w:r>
        <w:rPr>
          <w:rFonts w:asciiTheme="minorEastAsia" w:hAnsiTheme="minorEastAsia" w:eastAsiaTheme="minorEastAsia" w:cstheme="minorEastAsia"/>
          <w:color w:val="auto"/>
          <w:highlight w:val="none"/>
          <w:lang w:eastAsia="zh-CN"/>
        </w:rPr>
        <w:t>QB/T3827-1999《轻工产品金属镀层和化学处理层的耐腐蚀试验方法乙酸盐雾试验(ASS)法》、OB/T3832-1999《轻工产品金属镀层腐蚀试验结果的评价》、GB/T1741-2020《漆膜耐霉菌性测定法》。</w:t>
      </w:r>
    </w:p>
    <w:p w14:paraId="29F158BF">
      <w:pPr>
        <w:pStyle w:val="8"/>
        <w:spacing w:before="315" w:line="360" w:lineRule="auto"/>
        <w:ind w:left="10" w:leftChars="0" w:firstLine="619" w:firstLineChars="258"/>
        <w:rPr>
          <w:rFonts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检测项目至少包含：乙酸盐雾试验</w:t>
      </w:r>
      <w:r>
        <w:rPr>
          <w:rFonts w:asciiTheme="minorEastAsia" w:hAnsiTheme="minorEastAsia" w:eastAsiaTheme="minorEastAsia" w:cstheme="minorEastAsia"/>
          <w:color w:val="auto"/>
          <w:highlight w:val="none"/>
          <w:lang w:eastAsia="zh-CN"/>
        </w:rPr>
        <w:t>(200小时)</w:t>
      </w:r>
      <w:r>
        <w:rPr>
          <w:rFonts w:hint="eastAsia" w:asciiTheme="minorEastAsia" w:hAnsiTheme="minorEastAsia" w:eastAsiaTheme="minorEastAsia" w:cstheme="minorEastAsia"/>
          <w:color w:val="auto"/>
          <w:highlight w:val="none"/>
          <w:lang w:eastAsia="zh-CN"/>
        </w:rPr>
        <w:t>耐腐蚀等级</w:t>
      </w:r>
      <w:r>
        <w:rPr>
          <w:rFonts w:asciiTheme="minorEastAsia" w:hAnsiTheme="minorEastAsia" w:eastAsiaTheme="minorEastAsia" w:cstheme="minorEastAsia"/>
          <w:color w:val="auto"/>
          <w:highlight w:val="none"/>
          <w:lang w:eastAsia="zh-CN"/>
        </w:rPr>
        <w:t>:10级，保护等级:10级；耐霉菌性等级(黑曲霉、黄曲霉、腊叶芽枝霉(多主枝孢霉)、宛氏拟青霉、桔青霉、绿色木霉、出芽短梗霉、链格孢)0级。抗细菌率-金黄色葡萄球菌≥99.9％合格、抗细菌率-鼠伤寒沙门氏菌≥99.9％合格；理化性能要求：抗盐</w:t>
      </w:r>
      <w:r>
        <w:rPr>
          <w:rFonts w:hint="eastAsia" w:asciiTheme="minorEastAsia" w:hAnsiTheme="minorEastAsia" w:eastAsiaTheme="minorEastAsia" w:cstheme="minorEastAsia"/>
          <w:color w:val="auto"/>
          <w:highlight w:val="none"/>
          <w:lang w:eastAsia="zh-CN"/>
        </w:rPr>
        <w:t>雾</w:t>
      </w:r>
      <w:r>
        <w:rPr>
          <w:rFonts w:hint="eastAsia" w:asciiTheme="minorEastAsia" w:hAnsiTheme="minorEastAsia" w:eastAsiaTheme="minorEastAsia" w:cstheme="minorEastAsia"/>
          <w:color w:val="auto"/>
          <w:highlight w:val="none"/>
          <w:lang w:val="en-US" w:eastAsia="zh-CN"/>
        </w:rPr>
        <w:t>5</w:t>
      </w:r>
      <w:r>
        <w:rPr>
          <w:rFonts w:asciiTheme="minorEastAsia" w:hAnsiTheme="minorEastAsia" w:eastAsiaTheme="minorEastAsia" w:cstheme="minorEastAsia"/>
          <w:color w:val="auto"/>
          <w:highlight w:val="none"/>
          <w:lang w:eastAsia="zh-CN"/>
        </w:rPr>
        <w:t>00h</w:t>
      </w:r>
      <w:r>
        <w:rPr>
          <w:rFonts w:hint="eastAsia" w:asciiTheme="minorEastAsia" w:hAnsiTheme="minorEastAsia" w:eastAsiaTheme="minorEastAsia" w:cstheme="minorEastAsia"/>
          <w:color w:val="auto"/>
          <w:highlight w:val="none"/>
          <w:lang w:eastAsia="zh-CN"/>
        </w:rPr>
        <w:t>。</w:t>
      </w:r>
    </w:p>
    <w:p w14:paraId="7CD4E4E9">
      <w:pPr>
        <w:pStyle w:val="8"/>
        <w:spacing w:before="315" w:line="360" w:lineRule="auto"/>
        <w:ind w:left="10" w:leftChars="0" w:firstLine="620" w:firstLineChars="258"/>
        <w:rPr>
          <w:rFonts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bCs/>
          <w:color w:val="auto"/>
          <w:highlight w:val="none"/>
          <w:lang w:eastAsia="zh-CN"/>
        </w:rPr>
        <w:t>（四）螺帽：</w:t>
      </w:r>
    </w:p>
    <w:p w14:paraId="462FEED0">
      <w:pPr>
        <w:pStyle w:val="8"/>
        <w:spacing w:before="315" w:line="360" w:lineRule="auto"/>
        <w:ind w:left="10" w:leftChars="0" w:firstLine="619" w:firstLineChars="258"/>
        <w:rPr>
          <w:rFonts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符合</w:t>
      </w:r>
      <w:r>
        <w:rPr>
          <w:rFonts w:asciiTheme="minorEastAsia" w:hAnsiTheme="minorEastAsia" w:eastAsiaTheme="minorEastAsia" w:cstheme="minorEastAsia"/>
          <w:color w:val="auto"/>
          <w:highlight w:val="none"/>
          <w:lang w:eastAsia="zh-CN"/>
        </w:rPr>
        <w:t>QB/T3827-1999《轻工产品金属镀层和化学处理层的耐腐蚀试验方法乙酸盐雾试验(ASS)法》、QB/T3832-1999《轻工产品金属镀层腐蚀试验结果的评价》、GB/T1741-2020《漆膜耐霉菌性测定法》。</w:t>
      </w:r>
    </w:p>
    <w:p w14:paraId="2F7BAC2D">
      <w:pPr>
        <w:pStyle w:val="8"/>
        <w:spacing w:before="315" w:line="360" w:lineRule="auto"/>
        <w:ind w:left="10" w:leftChars="0" w:firstLine="619" w:firstLineChars="258"/>
        <w:rPr>
          <w:rFonts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检测项目至少包含：乙酸盐雾试验</w:t>
      </w:r>
      <w:r>
        <w:rPr>
          <w:rFonts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lang w:val="en-US" w:eastAsia="zh-CN"/>
        </w:rPr>
        <w:t>1</w:t>
      </w:r>
      <w:r>
        <w:rPr>
          <w:rFonts w:asciiTheme="minorEastAsia" w:hAnsiTheme="minorEastAsia" w:eastAsiaTheme="minorEastAsia" w:cstheme="minorEastAsia"/>
          <w:color w:val="auto"/>
          <w:highlight w:val="none"/>
          <w:lang w:eastAsia="zh-CN"/>
        </w:rPr>
        <w:t>200小时)</w:t>
      </w:r>
      <w:r>
        <w:rPr>
          <w:rFonts w:hint="eastAsia" w:asciiTheme="minorEastAsia" w:hAnsiTheme="minorEastAsia" w:eastAsiaTheme="minorEastAsia" w:cstheme="minorEastAsia"/>
          <w:color w:val="auto"/>
          <w:highlight w:val="none"/>
          <w:lang w:eastAsia="zh-CN"/>
        </w:rPr>
        <w:t>耐腐蚀等级</w:t>
      </w:r>
      <w:r>
        <w:rPr>
          <w:rFonts w:asciiTheme="minorEastAsia" w:hAnsiTheme="minorEastAsia" w:eastAsiaTheme="minorEastAsia" w:cstheme="minorEastAsia"/>
          <w:color w:val="auto"/>
          <w:highlight w:val="none"/>
          <w:lang w:eastAsia="zh-CN"/>
        </w:rPr>
        <w:t>:10级，保护等级:10级；耐霉菌性等级(黑曲霉、黄曲霉、腊叶芽枝霉(多主枝孢霉)、宛氏拟青霉、桔青霉、绿色木霉、出芽短梗霉、链格孢)0级。抗细菌率-金黄色葡萄球菌≥99.9％合格、抗细菌率-鼠伤寒沙门氏菌≥99.9％合格；理化性能要求：</w:t>
      </w:r>
      <w:r>
        <w:rPr>
          <w:rFonts w:hint="eastAsia" w:asciiTheme="minorEastAsia" w:hAnsiTheme="minorEastAsia" w:eastAsiaTheme="minorEastAsia" w:cstheme="minorEastAsia"/>
          <w:color w:val="auto"/>
          <w:highlight w:val="none"/>
          <w:lang w:eastAsia="zh-CN"/>
        </w:rPr>
        <w:t>抗盐雾</w:t>
      </w:r>
      <w:r>
        <w:rPr>
          <w:rFonts w:hint="eastAsia" w:asciiTheme="minorEastAsia" w:hAnsiTheme="minorEastAsia" w:eastAsiaTheme="minorEastAsia" w:cstheme="minorEastAsia"/>
          <w:color w:val="auto"/>
          <w:highlight w:val="none"/>
          <w:lang w:val="en-US" w:eastAsia="zh-CN"/>
        </w:rPr>
        <w:t>5</w:t>
      </w:r>
      <w:r>
        <w:rPr>
          <w:rFonts w:asciiTheme="minorEastAsia" w:hAnsiTheme="minorEastAsia" w:eastAsiaTheme="minorEastAsia" w:cstheme="minorEastAsia"/>
          <w:color w:val="auto"/>
          <w:highlight w:val="none"/>
          <w:lang w:eastAsia="zh-CN"/>
        </w:rPr>
        <w:t>00h</w:t>
      </w:r>
      <w:r>
        <w:rPr>
          <w:rFonts w:hint="eastAsia" w:asciiTheme="minorEastAsia" w:hAnsiTheme="minorEastAsia" w:eastAsiaTheme="minorEastAsia" w:cstheme="minorEastAsia"/>
          <w:color w:val="auto"/>
          <w:highlight w:val="none"/>
          <w:lang w:eastAsia="zh-CN"/>
        </w:rPr>
        <w:t>。</w:t>
      </w:r>
    </w:p>
    <w:p w14:paraId="7DE6BB66">
      <w:pPr>
        <w:kinsoku/>
        <w:autoSpaceDE/>
        <w:autoSpaceDN/>
        <w:adjustRightInd/>
        <w:snapToGrid/>
        <w:spacing w:line="360" w:lineRule="auto"/>
        <w:ind w:left="10" w:leftChars="0" w:firstLine="620"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b/>
          <w:bCs/>
          <w:color w:val="auto"/>
          <w:sz w:val="24"/>
          <w:szCs w:val="24"/>
          <w:highlight w:val="none"/>
          <w:lang w:eastAsia="zh-CN"/>
        </w:rPr>
        <w:t>（五）水性面漆</w:t>
      </w:r>
      <w:r>
        <w:rPr>
          <w:rFonts w:hint="eastAsia" w:asciiTheme="minorEastAsia" w:hAnsiTheme="minorEastAsia" w:cstheme="minorEastAsia"/>
          <w:color w:val="auto"/>
          <w:sz w:val="24"/>
          <w:szCs w:val="24"/>
          <w:highlight w:val="none"/>
          <w:lang w:eastAsia="zh-CN"/>
        </w:rPr>
        <w:t>：</w:t>
      </w:r>
    </w:p>
    <w:p w14:paraId="475D1244">
      <w:pPr>
        <w:pStyle w:val="2"/>
        <w:ind w:firstLine="720" w:firstLineChars="300"/>
        <w:rPr>
          <w:rFonts w:hint="eastAsia"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符合GB 18581-2020、HJ2537-2014、GB/T 23994-2009、GB/T23999-2009</w:t>
      </w:r>
    </w:p>
    <w:p w14:paraId="5096E4CE">
      <w:pPr>
        <w:kinsoku/>
        <w:autoSpaceDE/>
        <w:autoSpaceDN/>
        <w:adjustRightInd/>
        <w:snapToGrid/>
        <w:spacing w:line="360" w:lineRule="auto"/>
        <w:ind w:left="10" w:leftChars="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检测项目至少包含：木器涂料中有害物质限量（甲醛未检出）；乙二醇醚及醚酯总和含量</w:t>
      </w:r>
      <w:r>
        <w:rPr>
          <w:rFonts w:asciiTheme="minorEastAsia" w:hAnsiTheme="minorEastAsia" w:cstheme="minorEastAsia"/>
          <w:color w:val="auto"/>
          <w:sz w:val="24"/>
          <w:szCs w:val="24"/>
          <w:highlight w:val="none"/>
          <w:lang w:eastAsia="zh-CN"/>
        </w:rPr>
        <w:t>(限乙二醇甲醚、乙二醇甲醚醋酸酯、乙二醇乙醚、乙二醇乙醚醋酸酯、乙二醇二甲醚、二醇二乙醚、二乙二醇二甲醚、三乙二醇二甲醚)未检出；</w:t>
      </w:r>
      <w:r>
        <w:rPr>
          <w:rFonts w:hint="eastAsia" w:asciiTheme="minorEastAsia" w:hAnsiTheme="minorEastAsia" w:cstheme="minorEastAsia"/>
          <w:color w:val="auto"/>
          <w:sz w:val="24"/>
          <w:szCs w:val="24"/>
          <w:highlight w:val="none"/>
          <w:lang w:eastAsia="zh-CN"/>
        </w:rPr>
        <w:t>挥发性有机化合物</w:t>
      </w:r>
      <w:r>
        <w:rPr>
          <w:rFonts w:asciiTheme="minorEastAsia" w:hAnsiTheme="minorEastAsia" w:cstheme="minorEastAsia"/>
          <w:color w:val="auto"/>
          <w:sz w:val="24"/>
          <w:szCs w:val="24"/>
          <w:highlight w:val="none"/>
          <w:lang w:eastAsia="zh-CN"/>
        </w:rPr>
        <w:t>(VOC)未检出；</w:t>
      </w:r>
      <w:r>
        <w:rPr>
          <w:rFonts w:hint="eastAsia" w:asciiTheme="minorEastAsia" w:hAnsiTheme="minorEastAsia" w:cstheme="minorEastAsia"/>
          <w:color w:val="auto"/>
          <w:sz w:val="24"/>
          <w:szCs w:val="24"/>
          <w:highlight w:val="none"/>
          <w:lang w:eastAsia="zh-CN"/>
        </w:rPr>
        <w:t>苯、甲苯、二甲苯、乙苯的总量≤</w:t>
      </w:r>
      <w:r>
        <w:rPr>
          <w:rFonts w:asciiTheme="minorEastAsia" w:hAnsiTheme="minorEastAsia" w:cstheme="minorEastAsia"/>
          <w:color w:val="auto"/>
          <w:sz w:val="24"/>
          <w:szCs w:val="24"/>
          <w:highlight w:val="none"/>
          <w:lang w:eastAsia="zh-CN"/>
        </w:rPr>
        <w:t>30mg/kg；卤代烃(以二氯甲烷计)未检出；可溶性元素(A类涂料)8项未检出；搅拌后均匀无硬块；贮存稳定性[(50士2)℃，7d]无异常；硬度(擦伤)≥3H；耐醇性(50%，1h)无异常。</w:t>
      </w:r>
    </w:p>
    <w:p w14:paraId="4F2638CC">
      <w:pPr>
        <w:pStyle w:val="2"/>
        <w:rPr>
          <w:highlight w:val="none"/>
          <w:lang w:eastAsia="zh-CN"/>
        </w:rPr>
      </w:pPr>
    </w:p>
    <w:p w14:paraId="5AE8630E">
      <w:pPr>
        <w:kinsoku/>
        <w:autoSpaceDE/>
        <w:autoSpaceDN/>
        <w:adjustRightInd/>
        <w:snapToGrid/>
        <w:spacing w:line="360" w:lineRule="auto"/>
        <w:ind w:left="10" w:firstLine="620" w:firstLineChars="258"/>
        <w:textAlignment w:val="center"/>
        <w:rPr>
          <w:rFonts w:asciiTheme="minorEastAsia" w:hAnsiTheme="minorEastAsia" w:cstheme="minorEastAsia"/>
          <w:b/>
          <w:bCs/>
          <w:color w:val="auto"/>
          <w:sz w:val="24"/>
          <w:szCs w:val="24"/>
          <w:highlight w:val="none"/>
          <w:lang w:eastAsia="zh-CN"/>
        </w:rPr>
      </w:pPr>
      <w:r>
        <w:rPr>
          <w:rFonts w:hint="eastAsia" w:asciiTheme="minorEastAsia" w:hAnsiTheme="minorEastAsia" w:cstheme="minorEastAsia"/>
          <w:b/>
          <w:bCs/>
          <w:color w:val="auto"/>
          <w:sz w:val="24"/>
          <w:szCs w:val="24"/>
          <w:highlight w:val="none"/>
          <w:lang w:eastAsia="zh-CN"/>
        </w:rPr>
        <w:t>（六）水性底漆：</w:t>
      </w:r>
    </w:p>
    <w:p w14:paraId="4B994247">
      <w:pPr>
        <w:kinsoku/>
        <w:autoSpaceDE/>
        <w:autoSpaceDN/>
        <w:adjustRightInd/>
        <w:snapToGrid/>
        <w:spacing w:line="360" w:lineRule="auto"/>
        <w:ind w:left="1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符合</w:t>
      </w:r>
      <w:r>
        <w:rPr>
          <w:rFonts w:asciiTheme="minorEastAsia" w:hAnsiTheme="minorEastAsia" w:cstheme="minorEastAsia"/>
          <w:color w:val="auto"/>
          <w:sz w:val="24"/>
          <w:szCs w:val="24"/>
          <w:highlight w:val="none"/>
          <w:lang w:eastAsia="zh-CN"/>
        </w:rPr>
        <w:t>HJ 2537-2014《环境标志产品技术要求水性涂料》GB/T 23994-2009《与人体接触的消费产品用涂料中特定有害元素限量》GB/T23999-2009《室内装饰装修用水性木器涂料》</w:t>
      </w:r>
    </w:p>
    <w:p w14:paraId="2CCFD3A5">
      <w:pPr>
        <w:kinsoku/>
        <w:autoSpaceDE/>
        <w:autoSpaceDN/>
        <w:adjustRightInd/>
        <w:snapToGrid/>
        <w:spacing w:line="360" w:lineRule="auto"/>
        <w:ind w:left="1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检测项目至少包含：有害物质限量的限量值要求</w:t>
      </w:r>
      <w:r>
        <w:rPr>
          <w:rFonts w:asciiTheme="minorEastAsia" w:hAnsiTheme="minorEastAsia" w:cstheme="minorEastAsia"/>
          <w:color w:val="auto"/>
          <w:sz w:val="24"/>
          <w:szCs w:val="24"/>
          <w:highlight w:val="none"/>
          <w:lang w:eastAsia="zh-CN"/>
        </w:rPr>
        <w:t>6项（-水性涂料(含腻子)-清漆：未检出；总铅(Pb)含量(限色漆、腻子和醇酸清漆)≤0.05mg/kg；可溶性重金属含量(限色漆、腻子和醇酸清漆)-镉(Cd)含量未检出；可溶性重金属含量(限色漆、腻子和醇酸清漆)-铬(Cr)含量未检出；可溶性重金属含量(限色漆、腻子和醇酸清漆)-汞(Hg)含量未检出；烷基酚聚氧乙烯醚总和含量限辛基酚聚氧乙烯醚未检出；挥发性有机化合物(VOC)-木器涂料清漆未检出；</w:t>
      </w:r>
      <w:r>
        <w:rPr>
          <w:rFonts w:hint="eastAsia" w:asciiTheme="minorEastAsia" w:hAnsiTheme="minorEastAsia" w:cstheme="minorEastAsia"/>
          <w:color w:val="auto"/>
          <w:sz w:val="24"/>
          <w:szCs w:val="24"/>
          <w:highlight w:val="none"/>
          <w:lang w:eastAsia="zh-CN"/>
        </w:rPr>
        <w:t>苯、甲苯、二甲苯、乙苯的总量未检出；耐碱性</w:t>
      </w:r>
      <w:r>
        <w:rPr>
          <w:rFonts w:asciiTheme="minorEastAsia" w:hAnsiTheme="minorEastAsia" w:cstheme="minorEastAsia"/>
          <w:color w:val="auto"/>
          <w:sz w:val="24"/>
          <w:szCs w:val="24"/>
          <w:highlight w:val="none"/>
          <w:lang w:eastAsia="zh-CN"/>
        </w:rPr>
        <w:t>(50g/L NaHC0:，1h)无异常；不挥发物清漆和透明色漆:≥50%；特定有害元素限量的要求7项未检出、可溶性元素铅≤0.05mg/kg。</w:t>
      </w:r>
    </w:p>
    <w:p w14:paraId="1E6D8FD9">
      <w:pPr>
        <w:kinsoku/>
        <w:autoSpaceDE/>
        <w:autoSpaceDN/>
        <w:adjustRightInd/>
        <w:snapToGrid/>
        <w:spacing w:line="360" w:lineRule="auto"/>
        <w:ind w:left="10" w:leftChars="0" w:firstLine="620"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b/>
          <w:bCs/>
          <w:color w:val="auto"/>
          <w:sz w:val="24"/>
          <w:szCs w:val="24"/>
          <w:highlight w:val="none"/>
          <w:lang w:eastAsia="zh-CN"/>
        </w:rPr>
        <w:t>（七）海绵</w:t>
      </w:r>
      <w:r>
        <w:rPr>
          <w:rFonts w:hint="eastAsia" w:asciiTheme="minorEastAsia" w:hAnsiTheme="minorEastAsia" w:cstheme="minorEastAsia"/>
          <w:color w:val="auto"/>
          <w:sz w:val="24"/>
          <w:szCs w:val="24"/>
          <w:highlight w:val="none"/>
          <w:lang w:eastAsia="zh-CN"/>
        </w:rPr>
        <w:t>：</w:t>
      </w:r>
    </w:p>
    <w:p w14:paraId="1DE03E09">
      <w:pPr>
        <w:kinsoku/>
        <w:autoSpaceDE/>
        <w:autoSpaceDN/>
        <w:adjustRightInd/>
        <w:snapToGrid/>
        <w:spacing w:line="360" w:lineRule="auto"/>
        <w:ind w:left="10" w:leftChars="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符合</w:t>
      </w:r>
      <w:r>
        <w:rPr>
          <w:rFonts w:asciiTheme="minorEastAsia" w:hAnsiTheme="minorEastAsia" w:cstheme="minorEastAsia"/>
          <w:color w:val="auto"/>
          <w:sz w:val="24"/>
          <w:szCs w:val="24"/>
          <w:highlight w:val="none"/>
          <w:lang w:eastAsia="zh-CN"/>
        </w:rPr>
        <w:t xml:space="preserve">GB/T 10802-2023《通用软质聚氨酯泡沫塑料》QB/T2280-2016《办公家具办公椅》GB/T 40971-2021《家具产品及其材料中禁限用物质测定方法多环芳烃》GB/T9345.1-2008《塑料灰分的测定第1部分:通用方法》GB/T 24451-2020《慢回弹软质聚氨酯泡沫塑料》GB/T 26392-2011《慢回弹泡沫 </w:t>
      </w:r>
      <w:r>
        <w:rPr>
          <w:rFonts w:hint="eastAsia" w:asciiTheme="minorEastAsia" w:hAnsiTheme="minorEastAsia" w:cstheme="minorEastAsia"/>
          <w:color w:val="auto"/>
          <w:sz w:val="24"/>
          <w:szCs w:val="24"/>
          <w:highlight w:val="none"/>
          <w:lang w:eastAsia="zh-CN"/>
        </w:rPr>
        <w:t>复原时间的测定》</w:t>
      </w:r>
      <w:r>
        <w:rPr>
          <w:rFonts w:asciiTheme="minorEastAsia" w:hAnsiTheme="minorEastAsia" w:cstheme="minorEastAsia"/>
          <w:color w:val="auto"/>
          <w:sz w:val="24"/>
          <w:szCs w:val="24"/>
          <w:highlight w:val="none"/>
          <w:lang w:eastAsia="zh-CN"/>
        </w:rPr>
        <w:t>QB/T 2819-2006《软质泡沫材料长期疲劳性能的测定》QB/T 4371-2012《家具抗菌性能的评价》</w:t>
      </w:r>
    </w:p>
    <w:p w14:paraId="4624124A">
      <w:pPr>
        <w:kinsoku/>
        <w:autoSpaceDE/>
        <w:autoSpaceDN/>
        <w:adjustRightInd/>
        <w:snapToGrid/>
        <w:spacing w:line="360" w:lineRule="auto"/>
        <w:ind w:left="10" w:leftChars="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检测项目至少包含：抗菌性能抑菌率</w:t>
      </w:r>
      <w:r>
        <w:rPr>
          <w:rFonts w:asciiTheme="minorEastAsia" w:hAnsiTheme="minorEastAsia" w:cstheme="minorEastAsia"/>
          <w:color w:val="auto"/>
          <w:sz w:val="24"/>
          <w:szCs w:val="24"/>
          <w:highlight w:val="none"/>
          <w:lang w:eastAsia="zh-CN"/>
        </w:rPr>
        <w:t>(抗菌率)≥99%；回弹率≥50%；75%压缩永久变形≤5%；18种多环芳烃未检出；软质聚氨酯泡沫塑料-密度≥35kg/m³；灰分≤2%；复原时间≤8s；甲醛散发未检出；</w:t>
      </w:r>
      <w:r>
        <w:rPr>
          <w:rFonts w:hint="eastAsia" w:asciiTheme="minorEastAsia" w:hAnsiTheme="minorEastAsia" w:cstheme="minorEastAsia"/>
          <w:color w:val="auto"/>
          <w:sz w:val="24"/>
          <w:szCs w:val="24"/>
          <w:highlight w:val="none"/>
          <w:lang w:eastAsia="zh-CN"/>
        </w:rPr>
        <w:t>长期疲劳性能</w:t>
      </w:r>
      <w:r>
        <w:rPr>
          <w:rFonts w:asciiTheme="minorEastAsia" w:hAnsiTheme="minorEastAsia" w:cstheme="minorEastAsia"/>
          <w:color w:val="auto"/>
          <w:sz w:val="24"/>
          <w:szCs w:val="24"/>
          <w:highlight w:val="none"/>
          <w:lang w:eastAsia="zh-CN"/>
        </w:rPr>
        <w:t>80000次厚度损失≤5%、硬度损失≤15%；</w:t>
      </w:r>
    </w:p>
    <w:p w14:paraId="0C687ED3">
      <w:pPr>
        <w:kinsoku/>
        <w:autoSpaceDE/>
        <w:autoSpaceDN/>
        <w:adjustRightInd/>
        <w:snapToGrid/>
        <w:spacing w:line="360" w:lineRule="auto"/>
        <w:ind w:left="10" w:leftChars="0" w:firstLine="620"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b/>
          <w:bCs/>
          <w:color w:val="auto"/>
          <w:sz w:val="24"/>
          <w:szCs w:val="24"/>
          <w:highlight w:val="none"/>
          <w:lang w:eastAsia="zh-CN"/>
        </w:rPr>
        <w:t>（八）布料</w:t>
      </w:r>
      <w:r>
        <w:rPr>
          <w:rFonts w:hint="eastAsia" w:asciiTheme="minorEastAsia" w:hAnsiTheme="minorEastAsia" w:cstheme="minorEastAsia"/>
          <w:color w:val="auto"/>
          <w:sz w:val="24"/>
          <w:szCs w:val="24"/>
          <w:highlight w:val="none"/>
          <w:lang w:eastAsia="zh-CN"/>
        </w:rPr>
        <w:t>：</w:t>
      </w:r>
    </w:p>
    <w:p w14:paraId="2EAF6AC5">
      <w:pPr>
        <w:kinsoku/>
        <w:autoSpaceDE/>
        <w:autoSpaceDN/>
        <w:adjustRightInd/>
        <w:snapToGrid/>
        <w:spacing w:line="360" w:lineRule="auto"/>
        <w:ind w:left="10" w:leftChars="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符合</w:t>
      </w:r>
      <w:r>
        <w:rPr>
          <w:rFonts w:asciiTheme="minorEastAsia" w:hAnsiTheme="minorEastAsia" w:cstheme="minorEastAsia"/>
          <w:color w:val="auto"/>
          <w:sz w:val="24"/>
          <w:szCs w:val="24"/>
          <w:highlight w:val="none"/>
          <w:lang w:eastAsia="zh-CN"/>
        </w:rPr>
        <w:t>GB 18401-2010《国家纺织产品基本安全技术规范》GB/T 8427-2019《纺织品 色牢度试验耐人造光色牢度:氙弧》FZ/T 01118-2012《纺织品 防污性能的检测和评价 易去污性》GB/T18830-2009《纺织品 防紫外线性能的评定》GB/T 21196.2-2007《纺织品马丁代尔法织物耐磨性的测定第2部分:试样破损的测定》GB/T 4745-2012《纺织品 防水性能的检测和评价沾水法》GB/T19977-2014《纺织品拒油性抗碳氢化合物试验》 GB/T 3923.1-2013《纺织品织物拉伸性能第1部分:断裂强力和断裂伸长率的测定(条样法)》</w:t>
      </w:r>
    </w:p>
    <w:p w14:paraId="1D8C85F1">
      <w:pPr>
        <w:kinsoku/>
        <w:autoSpaceDE/>
        <w:autoSpaceDN/>
        <w:adjustRightInd/>
        <w:snapToGrid/>
        <w:spacing w:line="360" w:lineRule="auto"/>
        <w:ind w:left="10" w:leftChars="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检测项目至少包含：</w:t>
      </w:r>
      <w:r>
        <w:rPr>
          <w:rFonts w:asciiTheme="minorEastAsia" w:hAnsiTheme="minorEastAsia" w:cstheme="minorEastAsia"/>
          <w:color w:val="auto"/>
          <w:sz w:val="24"/>
          <w:szCs w:val="24"/>
          <w:highlight w:val="none"/>
          <w:lang w:eastAsia="zh-CN"/>
        </w:rPr>
        <w:t>耐磨性能10000次</w:t>
      </w:r>
      <w:r>
        <w:rPr>
          <w:rFonts w:hint="eastAsia" w:asciiTheme="minorEastAsia" w:hAnsiTheme="minorEastAsia" w:cstheme="minorEastAsia"/>
          <w:color w:val="auto"/>
          <w:sz w:val="24"/>
          <w:szCs w:val="24"/>
          <w:highlight w:val="none"/>
          <w:lang w:eastAsia="zh-CN"/>
        </w:rPr>
        <w:t>未破损；耐人造光色牢度≥</w:t>
      </w:r>
      <w:r>
        <w:rPr>
          <w:rFonts w:asciiTheme="minorEastAsia" w:hAnsiTheme="minorEastAsia" w:cstheme="minorEastAsia"/>
          <w:color w:val="auto"/>
          <w:sz w:val="24"/>
          <w:szCs w:val="24"/>
          <w:highlight w:val="none"/>
          <w:lang w:eastAsia="zh-CN"/>
        </w:rPr>
        <w:t>4级；紫外线防护系数(UPF)＞50；紫外线防护系数(UPFAV)≥500；透射比T(UVA)AV＜1%；透射比T(UVB)AV＜1%；防水性能≥4级；易去污性≥3级；断裂强力经向≥1100;纬向≥800；拒油性≥5级；</w:t>
      </w:r>
      <w:r>
        <w:rPr>
          <w:rFonts w:hint="eastAsia" w:asciiTheme="minorEastAsia" w:hAnsiTheme="minorEastAsia" w:cstheme="minorEastAsia"/>
          <w:color w:val="auto"/>
          <w:sz w:val="24"/>
          <w:szCs w:val="24"/>
          <w:highlight w:val="none"/>
          <w:lang w:eastAsia="zh-CN"/>
        </w:rPr>
        <w:t>甲醛含量</w:t>
      </w:r>
      <w:r>
        <w:rPr>
          <w:rFonts w:asciiTheme="minorEastAsia" w:hAnsiTheme="minorEastAsia" w:cstheme="minorEastAsia"/>
          <w:color w:val="auto"/>
          <w:sz w:val="24"/>
          <w:szCs w:val="24"/>
          <w:highlight w:val="none"/>
          <w:lang w:eastAsia="zh-CN"/>
        </w:rPr>
        <w:t>-C类未检出；可分解致癌芳香胺染料（禁用）未检出；</w:t>
      </w:r>
    </w:p>
    <w:p w14:paraId="2F54B685">
      <w:pPr>
        <w:kinsoku/>
        <w:autoSpaceDE/>
        <w:autoSpaceDN/>
        <w:adjustRightInd/>
        <w:snapToGrid/>
        <w:spacing w:line="360" w:lineRule="auto"/>
        <w:ind w:left="10" w:leftChars="0" w:firstLine="620" w:firstLineChars="258"/>
        <w:textAlignment w:val="center"/>
        <w:rPr>
          <w:rFonts w:asciiTheme="minorEastAsia" w:hAnsiTheme="minorEastAsia" w:cstheme="minorEastAsia"/>
          <w:b/>
          <w:bCs/>
          <w:color w:val="auto"/>
          <w:sz w:val="24"/>
          <w:szCs w:val="24"/>
          <w:highlight w:val="none"/>
          <w:lang w:eastAsia="zh-CN"/>
        </w:rPr>
      </w:pPr>
      <w:r>
        <w:rPr>
          <w:rFonts w:hint="eastAsia" w:asciiTheme="minorEastAsia" w:hAnsiTheme="minorEastAsia" w:cstheme="minorEastAsia"/>
          <w:b/>
          <w:bCs/>
          <w:color w:val="auto"/>
          <w:sz w:val="24"/>
          <w:szCs w:val="24"/>
          <w:highlight w:val="none"/>
          <w:lang w:eastAsia="zh-CN"/>
        </w:rPr>
        <w:t>（九）铰链：</w:t>
      </w:r>
    </w:p>
    <w:p w14:paraId="0CA9C18F">
      <w:pPr>
        <w:kinsoku/>
        <w:autoSpaceDE/>
        <w:autoSpaceDN/>
        <w:adjustRightInd/>
        <w:snapToGrid/>
        <w:spacing w:line="360" w:lineRule="auto"/>
        <w:ind w:left="1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符合</w:t>
      </w:r>
      <w:r>
        <w:rPr>
          <w:rFonts w:asciiTheme="minorEastAsia" w:hAnsiTheme="minorEastAsia" w:cstheme="minorEastAsia"/>
          <w:color w:val="auto"/>
          <w:sz w:val="24"/>
          <w:szCs w:val="24"/>
          <w:highlight w:val="none"/>
          <w:lang w:eastAsia="zh-CN"/>
        </w:rPr>
        <w:t xml:space="preserve">QB/T 2189-2013《家具五金杯状暗铰链》、GB/T1865-2009《色漆和清漆 </w:t>
      </w:r>
      <w:r>
        <w:rPr>
          <w:rFonts w:hint="eastAsia" w:asciiTheme="minorEastAsia" w:hAnsiTheme="minorEastAsia" w:cstheme="minorEastAsia"/>
          <w:color w:val="auto"/>
          <w:sz w:val="24"/>
          <w:szCs w:val="24"/>
          <w:highlight w:val="none"/>
          <w:lang w:eastAsia="zh-CN"/>
        </w:rPr>
        <w:t>人工气候老化和人工辐射曝露滤过的氙弧辐射》</w:t>
      </w:r>
      <w:r>
        <w:rPr>
          <w:rFonts w:asciiTheme="minorEastAsia" w:hAnsiTheme="minorEastAsia" w:cstheme="minorEastAsia"/>
          <w:color w:val="auto"/>
          <w:sz w:val="24"/>
          <w:szCs w:val="24"/>
          <w:highlight w:val="none"/>
          <w:lang w:eastAsia="zh-CN"/>
        </w:rPr>
        <w:t>GB/T4956-2025</w:t>
      </w:r>
      <w:r>
        <w:rPr>
          <w:rFonts w:hint="eastAsia" w:asciiTheme="minorEastAsia" w:hAnsiTheme="minorEastAsia" w:cstheme="minorEastAsia"/>
          <w:color w:val="auto"/>
          <w:sz w:val="24"/>
          <w:szCs w:val="24"/>
          <w:highlight w:val="none"/>
          <w:lang w:eastAsia="zh-CN"/>
        </w:rPr>
        <w:t>《磁性基体上非磁性覆盖层覆盖层厚度测量</w:t>
      </w:r>
      <w:r>
        <w:rPr>
          <w:rFonts w:asciiTheme="minorEastAsia" w:hAnsiTheme="minorEastAsia" w:cstheme="minorEastAsia"/>
          <w:color w:val="auto"/>
          <w:sz w:val="24"/>
          <w:szCs w:val="24"/>
          <w:highlight w:val="none"/>
          <w:lang w:eastAsia="zh-CN"/>
        </w:rPr>
        <w:t xml:space="preserve"> </w:t>
      </w:r>
      <w:r>
        <w:rPr>
          <w:rFonts w:hint="eastAsia" w:asciiTheme="minorEastAsia" w:hAnsiTheme="minorEastAsia" w:cstheme="minorEastAsia"/>
          <w:color w:val="auto"/>
          <w:sz w:val="24"/>
          <w:szCs w:val="24"/>
          <w:highlight w:val="none"/>
          <w:lang w:eastAsia="zh-CN"/>
        </w:rPr>
        <w:t>磁性法》</w:t>
      </w:r>
      <w:r>
        <w:rPr>
          <w:rFonts w:asciiTheme="minorEastAsia" w:hAnsiTheme="minorEastAsia" w:cstheme="minorEastAsia"/>
          <w:color w:val="auto"/>
          <w:sz w:val="24"/>
          <w:szCs w:val="24"/>
          <w:highlight w:val="none"/>
          <w:lang w:eastAsia="zh-CN"/>
        </w:rPr>
        <w:t xml:space="preserve">GB/T17897-2016《金属和合金的腐蚀 </w:t>
      </w:r>
      <w:r>
        <w:rPr>
          <w:rFonts w:hint="eastAsia" w:asciiTheme="minorEastAsia" w:hAnsiTheme="minorEastAsia" w:cstheme="minorEastAsia"/>
          <w:color w:val="auto"/>
          <w:sz w:val="24"/>
          <w:szCs w:val="24"/>
          <w:highlight w:val="none"/>
          <w:lang w:eastAsia="zh-CN"/>
        </w:rPr>
        <w:t>不锈钢三氯化铁点腐蚀试验方法》、</w:t>
      </w:r>
      <w:r>
        <w:rPr>
          <w:rFonts w:hint="eastAsia" w:asciiTheme="minorEastAsia" w:hAnsiTheme="minorEastAsia" w:cstheme="minorEastAsia"/>
          <w:color w:val="auto"/>
          <w:sz w:val="24"/>
          <w:szCs w:val="24"/>
          <w:highlight w:val="none"/>
          <w:lang w:eastAsia="zh-CN"/>
        </w:rPr>
        <w:t>GB/T4956-2003</w:t>
      </w:r>
    </w:p>
    <w:p w14:paraId="6FCB852A">
      <w:pPr>
        <w:kinsoku/>
        <w:autoSpaceDE/>
        <w:autoSpaceDN/>
        <w:adjustRightInd/>
        <w:snapToGrid/>
        <w:spacing w:line="360" w:lineRule="auto"/>
        <w:ind w:left="1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检测项目至少包含：耐腐蚀</w:t>
      </w:r>
      <w:r>
        <w:rPr>
          <w:rFonts w:asciiTheme="minorEastAsia" w:hAnsiTheme="minorEastAsia" w:cstheme="minorEastAsia"/>
          <w:color w:val="auto"/>
          <w:sz w:val="24"/>
          <w:szCs w:val="24"/>
          <w:highlight w:val="none"/>
          <w:lang w:eastAsia="zh-CN"/>
        </w:rPr>
        <w:t>18h,1.5mm以下锈点不应超过20点/dm2，其中1.0mm以上的锈点不应超过5点/d㎡；氙灯老化(100h)起泡密度等级0级(无泡)，开裂数量等级0级(无可见的开裂)，锈点(斑)数量等级0级(无锈点)，剥落面积等级0级；洛氏硬度≥75HR；非金属夹杂物含量AT≤1.5、AH≤1.5、BT≤1.5、BH≤1.5、CT≤1.5、CH≤1.5、DT≤1.5、DH≤1.5、DS≤1.5；不锈钢三氯化铁点腐蚀-腐蚀率 24h≤0.8g/（㎡*h）；覆盖层厚度≥80μm；</w:t>
      </w:r>
    </w:p>
    <w:p w14:paraId="2688849F">
      <w:pPr>
        <w:kinsoku/>
        <w:autoSpaceDE/>
        <w:autoSpaceDN/>
        <w:adjustRightInd/>
        <w:snapToGrid/>
        <w:spacing w:line="360" w:lineRule="auto"/>
        <w:ind w:left="10" w:leftChars="0" w:firstLine="620" w:firstLineChars="258"/>
        <w:textAlignment w:val="center"/>
        <w:rPr>
          <w:rFonts w:asciiTheme="minorEastAsia" w:hAnsiTheme="minorEastAsia" w:cstheme="minorEastAsia"/>
          <w:b/>
          <w:bCs/>
          <w:color w:val="auto"/>
          <w:sz w:val="24"/>
          <w:szCs w:val="24"/>
          <w:highlight w:val="none"/>
          <w:lang w:eastAsia="zh-CN"/>
        </w:rPr>
      </w:pPr>
      <w:r>
        <w:rPr>
          <w:rFonts w:hint="eastAsia" w:asciiTheme="minorEastAsia" w:hAnsiTheme="minorEastAsia" w:cstheme="minorEastAsia"/>
          <w:b/>
          <w:bCs/>
          <w:color w:val="auto"/>
          <w:sz w:val="24"/>
          <w:szCs w:val="24"/>
          <w:highlight w:val="none"/>
          <w:lang w:eastAsia="zh-CN"/>
        </w:rPr>
        <w:t>（十）缓冲阻尼静音滑轨</w:t>
      </w:r>
    </w:p>
    <w:p w14:paraId="4DBB7951">
      <w:pPr>
        <w:kinsoku/>
        <w:autoSpaceDE/>
        <w:autoSpaceDN/>
        <w:adjustRightInd/>
        <w:snapToGrid/>
        <w:spacing w:line="360" w:lineRule="auto"/>
        <w:ind w:left="10" w:leftChars="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符合</w:t>
      </w:r>
      <w:r>
        <w:rPr>
          <w:rFonts w:asciiTheme="minorEastAsia" w:hAnsiTheme="minorEastAsia" w:cstheme="minorEastAsia"/>
          <w:color w:val="auto"/>
          <w:sz w:val="24"/>
          <w:szCs w:val="24"/>
          <w:highlight w:val="none"/>
          <w:lang w:eastAsia="zh-CN"/>
        </w:rPr>
        <w:t xml:space="preserve">GB/T10125-2021《人造气氛腐蚀试验 </w:t>
      </w:r>
      <w:r>
        <w:rPr>
          <w:rFonts w:hint="eastAsia" w:asciiTheme="minorEastAsia" w:hAnsiTheme="minorEastAsia" w:cstheme="minorEastAsia"/>
          <w:color w:val="auto"/>
          <w:sz w:val="24"/>
          <w:szCs w:val="24"/>
          <w:highlight w:val="none"/>
          <w:lang w:eastAsia="zh-CN"/>
        </w:rPr>
        <w:t>盐雾试验》、</w:t>
      </w:r>
      <w:r>
        <w:rPr>
          <w:rFonts w:asciiTheme="minorEastAsia" w:hAnsiTheme="minorEastAsia" w:cstheme="minorEastAsia"/>
          <w:color w:val="auto"/>
          <w:sz w:val="24"/>
          <w:szCs w:val="24"/>
          <w:highlight w:val="none"/>
          <w:lang w:eastAsia="zh-CN"/>
        </w:rPr>
        <w:t>GB/T 30789.2-2014《色漆和清漆涂层老化的评价缺陷的数量和大小以及外观均匀变化程度的标识:第2部分:起泡等级的评定》GB/T30789.3-2014《色漆和清漆涂层老化的评价缺陷的数量和大小以及外观均匀变化程度的标识第3部分:生锈等级的评定》GB/T30789.4-2015《色漆和清漆涂层老化的评价缺陷的数量和大小以及外观均匀变化程度的标识第4部分:开裂等级的评定》QB/T 2454-2013《家具五金抽屉导轨》GB/T231.1-2018《金属材料布氏硬度试验第1部分:试验方法》</w:t>
      </w:r>
    </w:p>
    <w:p w14:paraId="0A929EF3">
      <w:pPr>
        <w:kinsoku/>
        <w:autoSpaceDE/>
        <w:autoSpaceDN/>
        <w:adjustRightInd/>
        <w:snapToGrid/>
        <w:spacing w:line="360" w:lineRule="auto"/>
        <w:ind w:left="1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检测项目至少包含：中性盐雾试验连续喷雾</w:t>
      </w:r>
      <w:r>
        <w:rPr>
          <w:rFonts w:asciiTheme="minorEastAsia" w:hAnsiTheme="minorEastAsia" w:cstheme="minorEastAsia"/>
          <w:color w:val="auto"/>
          <w:sz w:val="24"/>
          <w:szCs w:val="24"/>
          <w:highlight w:val="none"/>
          <w:lang w:eastAsia="zh-CN"/>
        </w:rPr>
        <w:t>500h</w:t>
      </w:r>
      <w:r>
        <w:rPr>
          <w:rFonts w:hint="eastAsia" w:asciiTheme="minorEastAsia" w:hAnsiTheme="minorEastAsia" w:cstheme="minorEastAsia"/>
          <w:color w:val="auto"/>
          <w:sz w:val="24"/>
          <w:szCs w:val="24"/>
          <w:highlight w:val="none"/>
          <w:lang w:eastAsia="zh-CN"/>
        </w:rPr>
        <w:t>，起泡等级</w:t>
      </w:r>
      <w:r>
        <w:rPr>
          <w:rFonts w:asciiTheme="minorEastAsia" w:hAnsiTheme="minorEastAsia" w:cstheme="minorEastAsia"/>
          <w:color w:val="auto"/>
          <w:sz w:val="24"/>
          <w:szCs w:val="24"/>
          <w:highlight w:val="none"/>
          <w:lang w:eastAsia="zh-CN"/>
        </w:rPr>
        <w:t>0级、生锈等级Ri0级、开裂等级0级、剥落等级0级、划线或其他人造缺陷周边剥离和腐蚀等级腐蚀等级1级剥离等级1级；垂直向下静载荷家用型/250N合格；夏比摆锤冲击试验-吸收能量KV2≥20J；布氏硬度≤180HBW；奥氏体及铁素体-奥氏体(双相)不锈钢晶间腐蚀-无因晶间腐蚀而产生的裂纹晶间腐蚀；</w:t>
      </w:r>
    </w:p>
    <w:p w14:paraId="124992BD">
      <w:pPr>
        <w:kinsoku/>
        <w:autoSpaceDE/>
        <w:autoSpaceDN/>
        <w:adjustRightInd/>
        <w:snapToGrid/>
        <w:spacing w:line="360" w:lineRule="auto"/>
        <w:ind w:left="10" w:leftChars="0" w:firstLine="620" w:firstLineChars="258"/>
        <w:textAlignment w:val="center"/>
        <w:rPr>
          <w:rFonts w:asciiTheme="minorEastAsia" w:hAnsiTheme="minorEastAsia" w:cstheme="minorEastAsia"/>
          <w:b/>
          <w:bCs/>
          <w:color w:val="auto"/>
          <w:sz w:val="24"/>
          <w:szCs w:val="24"/>
          <w:highlight w:val="none"/>
          <w:lang w:eastAsia="zh-CN"/>
        </w:rPr>
      </w:pPr>
      <w:r>
        <w:rPr>
          <w:rFonts w:hint="eastAsia" w:asciiTheme="minorEastAsia" w:hAnsiTheme="minorEastAsia" w:cstheme="minorEastAsia"/>
          <w:b/>
          <w:bCs/>
          <w:color w:val="auto"/>
          <w:sz w:val="24"/>
          <w:szCs w:val="24"/>
          <w:highlight w:val="none"/>
          <w:lang w:eastAsia="zh-CN"/>
        </w:rPr>
        <w:t>（十一）粉末涂料</w:t>
      </w:r>
    </w:p>
    <w:p w14:paraId="6326EB1E">
      <w:pPr>
        <w:kinsoku/>
        <w:autoSpaceDE/>
        <w:autoSpaceDN/>
        <w:adjustRightInd/>
        <w:snapToGrid/>
        <w:spacing w:line="360" w:lineRule="auto"/>
        <w:ind w:left="1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符合</w:t>
      </w:r>
      <w:r>
        <w:rPr>
          <w:rFonts w:asciiTheme="minorEastAsia" w:hAnsiTheme="minorEastAsia" w:cstheme="minorEastAsia"/>
          <w:color w:val="auto"/>
          <w:sz w:val="24"/>
          <w:szCs w:val="24"/>
          <w:highlight w:val="none"/>
          <w:lang w:eastAsia="zh-CN"/>
        </w:rPr>
        <w:t>HG/T 2006-2022《热固性和热塑性粉末涂料》</w:t>
      </w:r>
      <w:r>
        <w:rPr>
          <w:rFonts w:hint="eastAsia" w:asciiTheme="minorEastAsia" w:hAnsiTheme="minorEastAsia" w:cstheme="minorEastAsia"/>
          <w:color w:val="auto"/>
          <w:sz w:val="24"/>
          <w:szCs w:val="24"/>
          <w:highlight w:val="none"/>
          <w:lang w:eastAsia="zh-CN"/>
        </w:rPr>
        <w:t>、</w:t>
      </w:r>
      <w:r>
        <w:rPr>
          <w:rFonts w:asciiTheme="minorEastAsia" w:hAnsiTheme="minorEastAsia" w:cstheme="minorEastAsia"/>
          <w:color w:val="auto"/>
          <w:sz w:val="24"/>
          <w:szCs w:val="24"/>
          <w:highlight w:val="none"/>
          <w:lang w:eastAsia="zh-CN"/>
        </w:rPr>
        <w:t>HG/T 3950-2025</w:t>
      </w:r>
      <w:r>
        <w:rPr>
          <w:rFonts w:hint="eastAsia" w:asciiTheme="minorEastAsia" w:hAnsiTheme="minorEastAsia" w:cstheme="minorEastAsia"/>
          <w:color w:val="auto"/>
          <w:sz w:val="24"/>
          <w:szCs w:val="24"/>
          <w:highlight w:val="none"/>
          <w:lang w:eastAsia="zh-CN"/>
        </w:rPr>
        <w:t>《抗菌涂料》、</w:t>
      </w:r>
      <w:r>
        <w:rPr>
          <w:rFonts w:asciiTheme="minorEastAsia" w:hAnsiTheme="minorEastAsia" w:cstheme="minorEastAsia"/>
          <w:color w:val="auto"/>
          <w:sz w:val="24"/>
          <w:szCs w:val="24"/>
          <w:highlight w:val="none"/>
          <w:lang w:eastAsia="zh-CN"/>
        </w:rPr>
        <w:t>GB 6675.4-2014《玩具安全第4部分:特定元素的迁移》、GB/T21604-2022《化学品急性皮肤刺激性/腐蚀性试验方法》、GB/T 34675-2017《辐射固化涂料中挥发性有机化合物(VOC)含量的测定》</w:t>
      </w:r>
    </w:p>
    <w:p w14:paraId="6944F52B">
      <w:pPr>
        <w:kinsoku/>
        <w:autoSpaceDE/>
        <w:autoSpaceDN/>
        <w:adjustRightInd/>
        <w:snapToGrid/>
        <w:spacing w:line="360" w:lineRule="auto"/>
        <w:ind w:left="1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检测项目至少包含：</w:t>
      </w:r>
      <w:r>
        <w:rPr>
          <w:rFonts w:hint="eastAsia" w:asciiTheme="minorEastAsia" w:hAnsiTheme="minorEastAsia" w:cstheme="minorEastAsia"/>
          <w:color w:val="auto"/>
          <w:sz w:val="24"/>
          <w:szCs w:val="24"/>
          <w:highlight w:val="none"/>
          <w:lang w:eastAsia="zh-CN"/>
        </w:rPr>
        <w:t>I型1类热固性粉末涂料的要求，附着力，干附着力≤1级；</w:t>
      </w:r>
      <w:r>
        <w:rPr>
          <w:rFonts w:hint="eastAsia" w:asciiTheme="minorEastAsia" w:hAnsiTheme="minorEastAsia" w:cstheme="minorEastAsia"/>
          <w:color w:val="auto"/>
          <w:sz w:val="24"/>
          <w:szCs w:val="24"/>
          <w:highlight w:val="none"/>
          <w:lang w:eastAsia="zh-CN"/>
        </w:rPr>
        <w:t>铅笔硬度</w:t>
      </w:r>
      <w:r>
        <w:rPr>
          <w:rFonts w:asciiTheme="minorEastAsia" w:hAnsiTheme="minorEastAsia" w:cstheme="minorEastAsia"/>
          <w:color w:val="auto"/>
          <w:sz w:val="24"/>
          <w:szCs w:val="24"/>
          <w:highlight w:val="none"/>
          <w:lang w:eastAsia="zh-CN"/>
        </w:rPr>
        <w:t>(内聚破坏中擦伤)≥5H；耐酸性[3%(质量分数)盐酸溶液]-240h无异常；</w:t>
      </w:r>
      <w:r>
        <w:rPr>
          <w:rFonts w:hint="eastAsia" w:asciiTheme="minorEastAsia" w:hAnsiTheme="minorEastAsia" w:cstheme="minorEastAsia"/>
          <w:color w:val="auto"/>
          <w:sz w:val="24"/>
          <w:szCs w:val="24"/>
          <w:highlight w:val="none"/>
          <w:lang w:eastAsia="zh-CN"/>
        </w:rPr>
        <w:t>耐盐雾性中性盐雾</w:t>
      </w:r>
      <w:r>
        <w:rPr>
          <w:rFonts w:asciiTheme="minorEastAsia" w:hAnsiTheme="minorEastAsia" w:cstheme="minorEastAsia"/>
          <w:color w:val="auto"/>
          <w:sz w:val="24"/>
          <w:szCs w:val="24"/>
          <w:highlight w:val="none"/>
          <w:lang w:eastAsia="zh-CN"/>
        </w:rPr>
        <w:t>-500h</w:t>
      </w:r>
      <w:r>
        <w:rPr>
          <w:rFonts w:hint="eastAsia" w:asciiTheme="minorEastAsia" w:hAnsiTheme="minorEastAsia" w:cstheme="minorEastAsia"/>
          <w:color w:val="auto"/>
          <w:sz w:val="24"/>
          <w:szCs w:val="24"/>
          <w:highlight w:val="none"/>
          <w:lang w:eastAsia="zh-CN"/>
        </w:rPr>
        <w:t>划痕处单向腐蚀蔓延宽度≤</w:t>
      </w:r>
      <w:r>
        <w:rPr>
          <w:rFonts w:asciiTheme="minorEastAsia" w:hAnsiTheme="minorEastAsia" w:cstheme="minorEastAsia"/>
          <w:color w:val="auto"/>
          <w:sz w:val="24"/>
          <w:szCs w:val="24"/>
          <w:highlight w:val="none"/>
          <w:lang w:eastAsia="zh-CN"/>
        </w:rPr>
        <w:t>2.0mm，未划痕区无起泡、生锈、开裂、剥落等异常现象；抗菌涂料的抗菌性能（白色葡萄球菌、嗜肺军团菌、白色念珠菌）-抗细菌率≥99.9%</w:t>
      </w:r>
      <w:r>
        <w:rPr>
          <w:rFonts w:hint="eastAsia" w:asciiTheme="minorEastAsia" w:hAnsiTheme="minorEastAsia" w:cstheme="minorEastAsia"/>
          <w:color w:val="auto"/>
          <w:sz w:val="24"/>
          <w:szCs w:val="24"/>
          <w:highlight w:val="none"/>
          <w:lang w:eastAsia="zh-CN"/>
        </w:rPr>
        <w:t>（培养4</w:t>
      </w:r>
      <w:r>
        <w:rPr>
          <w:rFonts w:asciiTheme="minorEastAsia" w:hAnsiTheme="minorEastAsia" w:cstheme="minorEastAsia"/>
          <w:color w:val="auto"/>
          <w:sz w:val="24"/>
          <w:szCs w:val="24"/>
          <w:highlight w:val="none"/>
          <w:lang w:eastAsia="zh-CN"/>
        </w:rPr>
        <w:t>8</w:t>
      </w:r>
      <w:r>
        <w:rPr>
          <w:rFonts w:hint="eastAsia" w:asciiTheme="minorEastAsia" w:hAnsiTheme="minorEastAsia" w:cstheme="minorEastAsia"/>
          <w:color w:val="auto"/>
          <w:sz w:val="24"/>
          <w:szCs w:val="24"/>
          <w:highlight w:val="none"/>
          <w:lang w:eastAsia="zh-CN"/>
        </w:rPr>
        <w:t>h）</w:t>
      </w:r>
      <w:r>
        <w:rPr>
          <w:rFonts w:asciiTheme="minorEastAsia" w:hAnsiTheme="minorEastAsia" w:cstheme="minorEastAsia"/>
          <w:color w:val="auto"/>
          <w:sz w:val="24"/>
          <w:szCs w:val="24"/>
          <w:highlight w:val="none"/>
          <w:lang w:eastAsia="zh-CN"/>
        </w:rPr>
        <w:t>；可迁移元素的最大限量要求（锑、砷、钡、镉、铬、铅、汞、硒）未检出；急性皮肤刺激性/腐蚀性试验-无刺激性；</w:t>
      </w:r>
      <w:r>
        <w:rPr>
          <w:rFonts w:hint="eastAsia" w:asciiTheme="minorEastAsia" w:hAnsiTheme="minorEastAsia" w:cstheme="minorEastAsia"/>
          <w:color w:val="auto"/>
          <w:sz w:val="24"/>
          <w:szCs w:val="24"/>
          <w:highlight w:val="none"/>
          <w:lang w:eastAsia="zh-CN"/>
        </w:rPr>
        <w:t>挥发性有机化合物</w:t>
      </w:r>
      <w:r>
        <w:rPr>
          <w:rFonts w:asciiTheme="minorEastAsia" w:hAnsiTheme="minorEastAsia" w:cstheme="minorEastAsia"/>
          <w:color w:val="auto"/>
          <w:sz w:val="24"/>
          <w:szCs w:val="24"/>
          <w:highlight w:val="none"/>
          <w:lang w:eastAsia="zh-CN"/>
        </w:rPr>
        <w:t>(VOC)含量≤5g/kg。</w:t>
      </w:r>
    </w:p>
    <w:p w14:paraId="39569285">
      <w:pPr>
        <w:kinsoku/>
        <w:autoSpaceDE/>
        <w:autoSpaceDN/>
        <w:adjustRightInd/>
        <w:snapToGrid/>
        <w:spacing w:line="360" w:lineRule="auto"/>
        <w:ind w:left="10" w:leftChars="0" w:firstLine="620" w:firstLineChars="258"/>
        <w:textAlignment w:val="center"/>
        <w:rPr>
          <w:rFonts w:asciiTheme="minorEastAsia" w:hAnsiTheme="minorEastAsia" w:cstheme="minorEastAsia"/>
          <w:b/>
          <w:bCs/>
          <w:color w:val="auto"/>
          <w:sz w:val="24"/>
          <w:szCs w:val="24"/>
          <w:highlight w:val="none"/>
          <w:lang w:eastAsia="zh-CN"/>
        </w:rPr>
      </w:pPr>
      <w:r>
        <w:rPr>
          <w:rFonts w:hint="eastAsia" w:asciiTheme="minorEastAsia" w:hAnsiTheme="minorEastAsia" w:cstheme="minorEastAsia"/>
          <w:b/>
          <w:bCs/>
          <w:color w:val="auto"/>
          <w:sz w:val="24"/>
          <w:szCs w:val="24"/>
          <w:highlight w:val="none"/>
          <w:lang w:eastAsia="zh-CN"/>
        </w:rPr>
        <w:t>（十二）冷轧钢管</w:t>
      </w:r>
    </w:p>
    <w:p w14:paraId="0C040376">
      <w:pPr>
        <w:kinsoku/>
        <w:autoSpaceDE/>
        <w:autoSpaceDN/>
        <w:adjustRightInd/>
        <w:snapToGrid/>
        <w:spacing w:line="360" w:lineRule="auto"/>
        <w:ind w:left="10" w:leftChars="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符合</w:t>
      </w:r>
      <w:r>
        <w:rPr>
          <w:rFonts w:asciiTheme="minorEastAsia" w:hAnsiTheme="minorEastAsia" w:cstheme="minorEastAsia"/>
          <w:color w:val="auto"/>
          <w:sz w:val="24"/>
          <w:szCs w:val="24"/>
          <w:highlight w:val="none"/>
          <w:lang w:eastAsia="zh-CN"/>
        </w:rPr>
        <w:t>GB/T 228.1-2021《金属材料拉伸试验第1部分:室温试验方法》</w:t>
      </w:r>
      <w:r>
        <w:rPr>
          <w:rFonts w:hint="eastAsia" w:asciiTheme="minorEastAsia" w:hAnsiTheme="minorEastAsia" w:cstheme="minorEastAsia"/>
          <w:color w:val="auto"/>
          <w:sz w:val="24"/>
          <w:szCs w:val="24"/>
          <w:highlight w:val="none"/>
          <w:lang w:eastAsia="zh-CN"/>
        </w:rPr>
        <w:t>、</w:t>
      </w:r>
      <w:r>
        <w:rPr>
          <w:rFonts w:asciiTheme="minorEastAsia" w:hAnsiTheme="minorEastAsia" w:cstheme="minorEastAsia"/>
          <w:color w:val="auto"/>
          <w:sz w:val="24"/>
          <w:szCs w:val="24"/>
          <w:highlight w:val="none"/>
          <w:lang w:eastAsia="zh-CN"/>
        </w:rPr>
        <w:t xml:space="preserve">QB/T 4767-2014《家具用钢构件》、HG/T2006-2022《热固性和热塑性粉末涂料》、GB/T 20125-2006《低合金钢多元素含量的测定 </w:t>
      </w:r>
      <w:r>
        <w:rPr>
          <w:rFonts w:hint="eastAsia" w:asciiTheme="minorEastAsia" w:hAnsiTheme="minorEastAsia" w:cstheme="minorEastAsia"/>
          <w:color w:val="auto"/>
          <w:sz w:val="24"/>
          <w:szCs w:val="24"/>
          <w:highlight w:val="none"/>
          <w:lang w:eastAsia="zh-CN"/>
        </w:rPr>
        <w:t>电感耦合等离子体原子发射光谱法》、</w:t>
      </w:r>
      <w:r>
        <w:rPr>
          <w:rFonts w:asciiTheme="minorEastAsia" w:hAnsiTheme="minorEastAsia" w:cstheme="minorEastAsia"/>
          <w:color w:val="auto"/>
          <w:sz w:val="24"/>
          <w:szCs w:val="24"/>
          <w:highlight w:val="none"/>
          <w:lang w:eastAsia="zh-CN"/>
        </w:rPr>
        <w:t>GB/T 3094-2012《冷拔异型钢管》</w:t>
      </w:r>
    </w:p>
    <w:p w14:paraId="4D6B0B05">
      <w:pPr>
        <w:kinsoku/>
        <w:autoSpaceDE/>
        <w:autoSpaceDN/>
        <w:adjustRightInd/>
        <w:snapToGrid/>
        <w:spacing w:line="360" w:lineRule="auto"/>
        <w:ind w:left="10" w:leftChars="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检测项目至少包含：</w:t>
      </w:r>
      <w:r>
        <w:rPr>
          <w:rFonts w:asciiTheme="minorEastAsia" w:hAnsiTheme="minorEastAsia" w:cstheme="minorEastAsia"/>
          <w:color w:val="auto"/>
          <w:sz w:val="24"/>
          <w:szCs w:val="24"/>
          <w:highlight w:val="none"/>
          <w:lang w:eastAsia="zh-CN"/>
        </w:rPr>
        <w:t xml:space="preserve"> </w:t>
      </w:r>
      <w:r>
        <w:rPr>
          <w:rFonts w:hint="eastAsia" w:asciiTheme="minorEastAsia" w:hAnsiTheme="minorEastAsia" w:cstheme="minorEastAsia"/>
          <w:color w:val="auto"/>
          <w:sz w:val="24"/>
          <w:szCs w:val="24"/>
          <w:highlight w:val="none"/>
          <w:lang w:eastAsia="zh-CN"/>
        </w:rPr>
        <w:t>耐沸水性</w:t>
      </w:r>
      <w:r>
        <w:rPr>
          <w:rFonts w:asciiTheme="minorEastAsia" w:hAnsiTheme="minorEastAsia" w:cstheme="minorEastAsia"/>
          <w:color w:val="auto"/>
          <w:sz w:val="24"/>
          <w:szCs w:val="24"/>
          <w:highlight w:val="none"/>
          <w:lang w:eastAsia="zh-CN"/>
        </w:rPr>
        <w:t>72h无异常；金属喷涂层-硬度≥5H；</w:t>
      </w:r>
      <w:r>
        <w:rPr>
          <w:rFonts w:hint="eastAsia" w:asciiTheme="minorEastAsia" w:hAnsiTheme="minorEastAsia" w:cstheme="minorEastAsia"/>
          <w:color w:val="auto"/>
          <w:sz w:val="24"/>
          <w:szCs w:val="24"/>
          <w:highlight w:val="none"/>
          <w:lang w:eastAsia="zh-CN"/>
        </w:rPr>
        <w:t>抗拉强度</w:t>
      </w:r>
      <w:r>
        <w:rPr>
          <w:rFonts w:asciiTheme="minorEastAsia" w:hAnsiTheme="minorEastAsia" w:cstheme="minorEastAsia"/>
          <w:color w:val="auto"/>
          <w:sz w:val="24"/>
          <w:szCs w:val="24"/>
          <w:highlight w:val="none"/>
          <w:lang w:eastAsia="zh-CN"/>
        </w:rPr>
        <w:t>400~450MPa；下屈服强度≥250MPa；断后伸长率≥40%；化学成分（硅≤0.15%、锰≤0.30%、磷≤0.05%；</w:t>
      </w:r>
    </w:p>
    <w:p w14:paraId="20375E11">
      <w:pPr>
        <w:kinsoku/>
        <w:autoSpaceDE/>
        <w:autoSpaceDN/>
        <w:adjustRightInd/>
        <w:snapToGrid/>
        <w:spacing w:line="360" w:lineRule="auto"/>
        <w:ind w:left="10" w:firstLine="620" w:firstLineChars="258"/>
        <w:textAlignment w:val="center"/>
        <w:rPr>
          <w:rFonts w:asciiTheme="minorEastAsia" w:hAnsiTheme="minorEastAsia" w:cstheme="minorEastAsia"/>
          <w:b/>
          <w:bCs/>
          <w:color w:val="auto"/>
          <w:sz w:val="24"/>
          <w:szCs w:val="24"/>
          <w:highlight w:val="none"/>
          <w:lang w:eastAsia="zh-CN"/>
        </w:rPr>
      </w:pPr>
      <w:r>
        <w:rPr>
          <w:rFonts w:hint="eastAsia" w:asciiTheme="minorEastAsia" w:hAnsiTheme="minorEastAsia" w:cstheme="minorEastAsia"/>
          <w:b/>
          <w:bCs/>
          <w:color w:val="auto"/>
          <w:sz w:val="24"/>
          <w:szCs w:val="24"/>
          <w:highlight w:val="none"/>
          <w:lang w:eastAsia="zh-CN"/>
        </w:rPr>
        <w:t>（十三）铝合金：</w:t>
      </w:r>
    </w:p>
    <w:p w14:paraId="48432965">
      <w:pPr>
        <w:kinsoku/>
        <w:autoSpaceDE/>
        <w:autoSpaceDN/>
        <w:adjustRightInd/>
        <w:snapToGrid/>
        <w:spacing w:line="360" w:lineRule="auto"/>
        <w:ind w:left="1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符合</w:t>
      </w:r>
      <w:r>
        <w:rPr>
          <w:rFonts w:asciiTheme="minorEastAsia" w:hAnsiTheme="minorEastAsia" w:cstheme="minorEastAsia"/>
          <w:color w:val="auto"/>
          <w:sz w:val="24"/>
          <w:szCs w:val="24"/>
          <w:highlight w:val="none"/>
          <w:lang w:eastAsia="zh-CN"/>
        </w:rPr>
        <w:t>GB/T228.1-2021《金属材料拉伸试验第1部分:室温试验方法》、GB/T9286-2021《色漆和清漆划格试验》、GB/T16865-2023《变形铝、镁及其合金加工制品拉伸试验用试样及方法》、GB/T5237.3-2017《铝合金建筑型材第3部分:电泳涂漆型材》、GB/T3190-2020《变形铝及铝合金化学成分》</w:t>
      </w:r>
    </w:p>
    <w:p w14:paraId="4B86EE40">
      <w:pPr>
        <w:kinsoku/>
        <w:autoSpaceDE/>
        <w:autoSpaceDN/>
        <w:adjustRightInd/>
        <w:snapToGrid/>
        <w:spacing w:line="360" w:lineRule="auto"/>
        <w:ind w:left="1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检测项目至少包含：外观质量符合要求；抗拉强度</w:t>
      </w:r>
      <w:r>
        <w:rPr>
          <w:rFonts w:asciiTheme="minorEastAsia" w:hAnsiTheme="minorEastAsia" w:cstheme="minorEastAsia"/>
          <w:color w:val="auto"/>
          <w:sz w:val="24"/>
          <w:szCs w:val="24"/>
          <w:highlight w:val="none"/>
          <w:lang w:eastAsia="zh-CN"/>
        </w:rPr>
        <w:t>Rm≥260MPa(N/mm2)；断后伸长率≥35%;金属喷漆(塑)涂层附着力≥2级；规定非比例延伸强度Rpo.2≥200MPa(N/mm2)；</w:t>
      </w:r>
    </w:p>
    <w:p w14:paraId="3BA41290">
      <w:pPr>
        <w:kinsoku/>
        <w:autoSpaceDE/>
        <w:autoSpaceDN/>
        <w:adjustRightInd/>
        <w:snapToGrid/>
        <w:spacing w:line="360" w:lineRule="auto"/>
        <w:ind w:left="10" w:leftChars="0" w:firstLine="619" w:firstLineChars="258"/>
        <w:textAlignment w:val="center"/>
        <w:rPr>
          <w:rFonts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化学成分</w:t>
      </w:r>
      <w:r>
        <w:rPr>
          <w:rFonts w:asciiTheme="minorEastAsia" w:hAnsiTheme="minorEastAsia" w:cstheme="minorEastAsia"/>
          <w:color w:val="auto"/>
          <w:sz w:val="24"/>
          <w:szCs w:val="24"/>
          <w:highlight w:val="none"/>
          <w:lang w:eastAsia="zh-CN"/>
        </w:rPr>
        <w:t>8项(Si、Fe、Cu、Mg、Mn、Zn、Ti、Cr)合格；</w:t>
      </w:r>
    </w:p>
    <w:p w14:paraId="2633CCF3">
      <w:pPr>
        <w:spacing w:line="360" w:lineRule="auto"/>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说明：</w:t>
      </w:r>
    </w:p>
    <w:p w14:paraId="1B2B9175">
      <w:pPr>
        <w:numPr>
          <w:ilvl w:val="0"/>
          <w:numId w:val="3"/>
        </w:numPr>
        <w:spacing w:line="360" w:lineRule="auto"/>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本项目提供的检测报告签发日期不早于</w:t>
      </w:r>
      <w:r>
        <w:rPr>
          <w:rFonts w:ascii="宋体" w:hAnsi="宋体" w:eastAsia="宋体" w:cs="宋体"/>
          <w:color w:val="auto"/>
          <w:highlight w:val="none"/>
          <w:lang w:eastAsia="zh-CN"/>
        </w:rPr>
        <w:t>2025年1月1日；</w:t>
      </w:r>
    </w:p>
    <w:p w14:paraId="3BFCFCC3">
      <w:pPr>
        <w:numPr>
          <w:ilvl w:val="0"/>
          <w:numId w:val="3"/>
        </w:numPr>
        <w:spacing w:line="360" w:lineRule="auto"/>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上述原材料要求如与“三、采购清单及技术参数要求”不一致，以上述要求为准，中标后提供原件查验真伪；</w:t>
      </w:r>
    </w:p>
    <w:p w14:paraId="5C35B3CC">
      <w:pPr>
        <w:numPr>
          <w:ilvl w:val="0"/>
          <w:numId w:val="3"/>
        </w:numPr>
        <w:spacing w:line="360" w:lineRule="auto"/>
        <w:ind w:firstLine="420" w:firstLineChars="200"/>
        <w:rPr>
          <w:rFonts w:hAnsi="宋体" w:eastAsia="宋体" w:cs="宋体"/>
          <w:color w:val="auto"/>
          <w:highlight w:val="none"/>
          <w:lang w:eastAsia="zh-CN"/>
        </w:rPr>
      </w:pPr>
      <w:r>
        <w:rPr>
          <w:rFonts w:hint="eastAsia" w:ascii="宋体" w:hAnsi="宋体" w:eastAsia="宋体" w:cs="宋体"/>
          <w:color w:val="auto"/>
          <w:highlight w:val="none"/>
          <w:lang w:eastAsia="zh-CN"/>
        </w:rPr>
        <w:t>针对不同叫法的同一原材料，其检测报告均予认可（如名称不一致，需注明需求中对应的原材料名称）；</w:t>
      </w:r>
    </w:p>
    <w:p w14:paraId="2EC1A35C">
      <w:pPr>
        <w:numPr>
          <w:ilvl w:val="255"/>
          <w:numId w:val="0"/>
        </w:numPr>
        <w:spacing w:line="360" w:lineRule="auto"/>
        <w:ind w:firstLine="420" w:firstLineChars="200"/>
        <w:rPr>
          <w:rFonts w:hAnsi="宋体" w:eastAsia="宋体" w:cs="宋体"/>
          <w:color w:val="auto"/>
          <w:highlight w:val="none"/>
          <w:lang w:eastAsia="zh-CN"/>
        </w:rPr>
      </w:pPr>
      <w:r>
        <w:rPr>
          <w:rFonts w:hint="eastAsia"/>
          <w:color w:val="auto"/>
          <w:highlight w:val="none"/>
          <w:lang w:eastAsia="zh-CN"/>
        </w:rPr>
        <w:t>（4）</w:t>
      </w:r>
      <w:r>
        <w:rPr>
          <w:rFonts w:hint="eastAsia" w:ascii="宋体" w:hAnsi="宋体" w:eastAsia="宋体" w:cs="宋体"/>
          <w:color w:val="auto"/>
          <w:highlight w:val="none"/>
          <w:lang w:eastAsia="zh-CN"/>
        </w:rPr>
        <w:t>每项带▲标注的项目，必须提供具备“</w:t>
      </w:r>
      <w:r>
        <w:rPr>
          <w:rFonts w:ascii="宋体" w:hAnsi="宋体" w:eastAsia="宋体" w:cs="宋体"/>
          <w:color w:val="auto"/>
          <w:highlight w:val="none"/>
          <w:lang w:eastAsia="zh-CN"/>
        </w:rPr>
        <w:t>CMA”或“CNAS”资质的检测机构出具的对应检测报告，本项仅作评分依据，检测报告具体评分方法要求详见评分表。受检单位要求：</w:t>
      </w:r>
      <w:r>
        <w:rPr>
          <w:rFonts w:hint="eastAsia" w:ascii="宋体" w:hAnsi="宋体" w:eastAsia="宋体" w:cs="宋体"/>
          <w:color w:val="auto"/>
          <w:highlight w:val="none"/>
          <w:lang w:eastAsia="zh-CN"/>
        </w:rPr>
        <w:t>检测报告上的委托单位(受检单位)名称必须与投标人或投标产品的生产厂家或原材料的生产厂家名称一致，否则不予认可。</w:t>
      </w:r>
    </w:p>
    <w:p w14:paraId="55E9DEA8">
      <w:pPr>
        <w:spacing w:line="360" w:lineRule="auto"/>
        <w:rPr>
          <w:rFonts w:ascii="宋体" w:hAnsi="宋体" w:eastAsia="宋体" w:cs="宋体"/>
          <w:color w:val="auto"/>
          <w:highlight w:val="none"/>
          <w:lang w:eastAsia="zh-CN"/>
        </w:rPr>
        <w:sectPr>
          <w:pgSz w:w="23810" w:h="16840"/>
          <w:pgMar w:top="400" w:right="3571" w:bottom="0" w:left="1550" w:header="0" w:footer="0" w:gutter="0"/>
          <w:cols w:space="720" w:num="1"/>
        </w:sectPr>
      </w:pPr>
    </w:p>
    <w:p w14:paraId="03BA0765">
      <w:pPr>
        <w:spacing w:before="121" w:line="360" w:lineRule="auto"/>
        <w:rPr>
          <w:rFonts w:ascii="宋体" w:hAnsi="宋体" w:eastAsia="宋体" w:cs="宋体"/>
          <w:b/>
          <w:bCs/>
          <w:color w:val="auto"/>
          <w:spacing w:val="-5"/>
          <w:highlight w:val="none"/>
          <w:lang w:eastAsia="zh-CN"/>
        </w:rPr>
      </w:pPr>
    </w:p>
    <w:p w14:paraId="7EDFFBE0">
      <w:pPr>
        <w:numPr>
          <w:ilvl w:val="0"/>
          <w:numId w:val="4"/>
        </w:numPr>
        <w:spacing w:before="121" w:line="360" w:lineRule="auto"/>
        <w:rPr>
          <w:rFonts w:ascii="宋体" w:hAnsi="宋体" w:eastAsia="宋体" w:cs="宋体"/>
          <w:b/>
          <w:bCs/>
          <w:color w:val="auto"/>
          <w:highlight w:val="none"/>
          <w:lang w:eastAsia="zh-CN"/>
        </w:rPr>
      </w:pPr>
      <w:r>
        <w:rPr>
          <w:rFonts w:hint="eastAsia" w:ascii="宋体" w:hAnsi="宋体" w:eastAsia="宋体" w:cs="宋体"/>
          <w:b/>
          <w:bCs/>
          <w:color w:val="auto"/>
          <w:spacing w:val="-5"/>
          <w:highlight w:val="none"/>
          <w:lang w:eastAsia="zh-CN"/>
        </w:rPr>
        <w:t>颜色要求</w:t>
      </w:r>
    </w:p>
    <w:p w14:paraId="13FEE73D">
      <w:pPr>
        <w:spacing w:before="121" w:line="360" w:lineRule="auto"/>
        <w:ind w:firstLine="630" w:firstLineChars="300"/>
        <w:rPr>
          <w:rFonts w:ascii="宋体" w:hAnsi="宋体" w:eastAsia="宋体" w:cs="宋体"/>
          <w:color w:val="auto"/>
          <w:highlight w:val="none"/>
          <w:lang w:eastAsia="zh-CN"/>
        </w:rPr>
      </w:pPr>
      <w:r>
        <w:rPr>
          <w:rFonts w:hint="eastAsia" w:ascii="宋体" w:hAnsi="宋体" w:eastAsia="宋体" w:cs="宋体"/>
          <w:color w:val="auto"/>
          <w:highlight w:val="none"/>
          <w:lang w:eastAsia="zh-CN"/>
        </w:rPr>
        <w:t>家具颜色应与建筑内装饰风格相适应，以单色为主，不宜过于鲜艳，主体颜色投标时暂按以下要求考虑，中标后具体颜色须待采购人明确后方可下单制作。（请投标人注意，中标后价格不因具体颜色的调整而改变，报价时应综合考虑该因素）</w:t>
      </w:r>
    </w:p>
    <w:tbl>
      <w:tblPr>
        <w:tblStyle w:val="22"/>
        <w:tblpPr w:leftFromText="180" w:rightFromText="180" w:vertAnchor="text" w:horzAnchor="page" w:tblpX="1534" w:tblpY="110"/>
        <w:tblOverlap w:val="never"/>
        <w:tblW w:w="1721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09"/>
        <w:gridCol w:w="14101"/>
      </w:tblGrid>
      <w:tr w14:paraId="52937F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5" w:hRule="atLeast"/>
        </w:trPr>
        <w:tc>
          <w:tcPr>
            <w:tcW w:w="3109" w:type="dxa"/>
          </w:tcPr>
          <w:p w14:paraId="2D9CDA1F">
            <w:pPr>
              <w:pStyle w:val="21"/>
              <w:spacing w:before="237" w:line="360" w:lineRule="auto"/>
              <w:ind w:firstLine="1165" w:firstLineChars="600"/>
              <w:jc w:val="both"/>
              <w:rPr>
                <w:b/>
                <w:bCs/>
                <w:color w:val="auto"/>
                <w:sz w:val="21"/>
                <w:szCs w:val="21"/>
                <w:highlight w:val="none"/>
              </w:rPr>
            </w:pPr>
            <w:r>
              <w:rPr>
                <w:rFonts w:hint="eastAsia"/>
                <w:b/>
                <w:bCs/>
                <w:color w:val="auto"/>
                <w:spacing w:val="-8"/>
                <w:sz w:val="21"/>
                <w:szCs w:val="21"/>
                <w:highlight w:val="none"/>
              </w:rPr>
              <w:t>分类</w:t>
            </w:r>
          </w:p>
        </w:tc>
        <w:tc>
          <w:tcPr>
            <w:tcW w:w="14101" w:type="dxa"/>
          </w:tcPr>
          <w:p w14:paraId="3BEED5B6">
            <w:pPr>
              <w:pStyle w:val="21"/>
              <w:spacing w:before="238" w:line="360" w:lineRule="auto"/>
              <w:ind w:left="152"/>
              <w:jc w:val="center"/>
              <w:rPr>
                <w:b/>
                <w:bCs/>
                <w:color w:val="auto"/>
                <w:sz w:val="21"/>
                <w:szCs w:val="21"/>
                <w:highlight w:val="none"/>
              </w:rPr>
            </w:pPr>
            <w:r>
              <w:rPr>
                <w:rFonts w:hint="eastAsia"/>
                <w:b/>
                <w:bCs/>
                <w:color w:val="auto"/>
                <w:spacing w:val="3"/>
                <w:sz w:val="21"/>
                <w:szCs w:val="21"/>
                <w:highlight w:val="none"/>
              </w:rPr>
              <w:t>主体颜色</w:t>
            </w:r>
          </w:p>
        </w:tc>
      </w:tr>
      <w:tr w14:paraId="1BA3C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3109" w:type="dxa"/>
            <w:vAlign w:val="center"/>
          </w:tcPr>
          <w:p w14:paraId="4F8CCE66">
            <w:pPr>
              <w:pStyle w:val="21"/>
              <w:spacing w:before="94" w:line="360" w:lineRule="auto"/>
              <w:jc w:val="center"/>
              <w:rPr>
                <w:color w:val="auto"/>
                <w:sz w:val="21"/>
                <w:szCs w:val="21"/>
                <w:highlight w:val="none"/>
                <w:lang w:eastAsia="zh-CN"/>
              </w:rPr>
            </w:pPr>
            <w:r>
              <w:rPr>
                <w:rFonts w:hint="eastAsia"/>
                <w:color w:val="auto"/>
                <w:sz w:val="21"/>
                <w:szCs w:val="21"/>
                <w:highlight w:val="none"/>
                <w:lang w:eastAsia="zh-CN"/>
              </w:rPr>
              <w:t>木质</w:t>
            </w:r>
          </w:p>
        </w:tc>
        <w:tc>
          <w:tcPr>
            <w:tcW w:w="14101" w:type="dxa"/>
            <w:vAlign w:val="center"/>
          </w:tcPr>
          <w:p w14:paraId="69A9C665">
            <w:pPr>
              <w:pStyle w:val="21"/>
              <w:spacing w:before="86" w:line="360" w:lineRule="auto"/>
              <w:jc w:val="both"/>
              <w:rPr>
                <w:color w:val="auto"/>
                <w:sz w:val="21"/>
                <w:szCs w:val="21"/>
                <w:highlight w:val="none"/>
                <w:lang w:eastAsia="zh-CN"/>
              </w:rPr>
            </w:pPr>
            <w:r>
              <w:rPr>
                <w:rFonts w:hint="eastAsia"/>
                <w:color w:val="auto"/>
                <w:spacing w:val="-1"/>
                <w:sz w:val="21"/>
                <w:szCs w:val="21"/>
                <w:highlight w:val="none"/>
                <w:lang w:eastAsia="zh-CN"/>
              </w:rPr>
              <w:t>主体颜色：榉木色、橡木色、白蜡木色</w:t>
            </w:r>
          </w:p>
        </w:tc>
      </w:tr>
      <w:tr w14:paraId="1E8FA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1" w:hRule="atLeast"/>
        </w:trPr>
        <w:tc>
          <w:tcPr>
            <w:tcW w:w="3109" w:type="dxa"/>
            <w:vAlign w:val="center"/>
          </w:tcPr>
          <w:p w14:paraId="7CE51941">
            <w:pPr>
              <w:pStyle w:val="21"/>
              <w:spacing w:before="268" w:line="360" w:lineRule="auto"/>
              <w:jc w:val="center"/>
              <w:rPr>
                <w:color w:val="auto"/>
                <w:sz w:val="21"/>
                <w:szCs w:val="21"/>
                <w:highlight w:val="none"/>
                <w:lang w:eastAsia="zh-CN"/>
              </w:rPr>
            </w:pPr>
            <w:r>
              <w:rPr>
                <w:rFonts w:hint="eastAsia"/>
                <w:color w:val="auto"/>
                <w:sz w:val="21"/>
                <w:szCs w:val="21"/>
                <w:highlight w:val="none"/>
                <w:lang w:eastAsia="zh-CN"/>
              </w:rPr>
              <w:t>布艺</w:t>
            </w:r>
          </w:p>
        </w:tc>
        <w:tc>
          <w:tcPr>
            <w:tcW w:w="14101" w:type="dxa"/>
            <w:vAlign w:val="center"/>
          </w:tcPr>
          <w:p w14:paraId="6CB17F88">
            <w:pPr>
              <w:pStyle w:val="21"/>
              <w:spacing w:before="127" w:line="360" w:lineRule="auto"/>
              <w:jc w:val="both"/>
              <w:rPr>
                <w:color w:val="auto"/>
                <w:spacing w:val="-1"/>
                <w:sz w:val="21"/>
                <w:szCs w:val="21"/>
                <w:highlight w:val="none"/>
                <w:lang w:eastAsia="zh-CN"/>
              </w:rPr>
            </w:pPr>
            <w:r>
              <w:rPr>
                <w:rFonts w:hint="eastAsia"/>
                <w:color w:val="auto"/>
                <w:spacing w:val="-1"/>
                <w:sz w:val="21"/>
                <w:szCs w:val="21"/>
                <w:highlight w:val="none"/>
                <w:lang w:eastAsia="zh-CN"/>
              </w:rPr>
              <w:t>主体颜色：雅士灰色、晴空蓝色、云杏色</w:t>
            </w:r>
          </w:p>
        </w:tc>
      </w:tr>
      <w:tr w14:paraId="6A115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3109" w:type="dxa"/>
            <w:vAlign w:val="center"/>
          </w:tcPr>
          <w:p w14:paraId="6FEF79F0">
            <w:pPr>
              <w:pStyle w:val="21"/>
              <w:spacing w:before="268" w:line="360" w:lineRule="auto"/>
              <w:jc w:val="center"/>
              <w:rPr>
                <w:color w:val="auto"/>
                <w:sz w:val="21"/>
                <w:szCs w:val="21"/>
                <w:highlight w:val="none"/>
                <w:lang w:eastAsia="zh-CN"/>
              </w:rPr>
            </w:pPr>
            <w:r>
              <w:rPr>
                <w:rFonts w:hint="eastAsia"/>
                <w:color w:val="auto"/>
                <w:sz w:val="21"/>
                <w:szCs w:val="21"/>
                <w:highlight w:val="none"/>
                <w:lang w:eastAsia="zh-CN"/>
              </w:rPr>
              <w:t>金属</w:t>
            </w:r>
          </w:p>
        </w:tc>
        <w:tc>
          <w:tcPr>
            <w:tcW w:w="14101" w:type="dxa"/>
            <w:vAlign w:val="center"/>
          </w:tcPr>
          <w:p w14:paraId="34C290D6">
            <w:pPr>
              <w:pStyle w:val="21"/>
              <w:spacing w:before="127" w:line="360" w:lineRule="auto"/>
              <w:jc w:val="both"/>
              <w:rPr>
                <w:color w:val="auto"/>
                <w:sz w:val="21"/>
                <w:szCs w:val="21"/>
                <w:highlight w:val="none"/>
                <w:lang w:eastAsia="zh-CN"/>
              </w:rPr>
            </w:pPr>
            <w:r>
              <w:rPr>
                <w:rFonts w:hint="eastAsia"/>
                <w:color w:val="auto"/>
                <w:spacing w:val="-1"/>
                <w:sz w:val="21"/>
                <w:szCs w:val="21"/>
                <w:highlight w:val="none"/>
                <w:lang w:eastAsia="zh-CN"/>
              </w:rPr>
              <w:t>主体颜色：白色、黑色、铁灰色</w:t>
            </w:r>
          </w:p>
        </w:tc>
      </w:tr>
      <w:tr w14:paraId="7AF6DC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3109" w:type="dxa"/>
            <w:vAlign w:val="center"/>
          </w:tcPr>
          <w:p w14:paraId="789EBCDA">
            <w:pPr>
              <w:pStyle w:val="21"/>
              <w:spacing w:before="250" w:line="360" w:lineRule="auto"/>
              <w:jc w:val="center"/>
              <w:rPr>
                <w:color w:val="auto"/>
                <w:spacing w:val="2"/>
                <w:sz w:val="21"/>
                <w:szCs w:val="21"/>
                <w:highlight w:val="none"/>
                <w:lang w:eastAsia="zh-CN"/>
              </w:rPr>
            </w:pPr>
            <w:r>
              <w:rPr>
                <w:rFonts w:hint="eastAsia"/>
                <w:color w:val="auto"/>
                <w:spacing w:val="2"/>
                <w:sz w:val="21"/>
                <w:szCs w:val="21"/>
                <w:highlight w:val="none"/>
                <w:lang w:eastAsia="zh-CN"/>
              </w:rPr>
              <w:t>板式</w:t>
            </w:r>
          </w:p>
        </w:tc>
        <w:tc>
          <w:tcPr>
            <w:tcW w:w="14101" w:type="dxa"/>
            <w:vAlign w:val="center"/>
          </w:tcPr>
          <w:p w14:paraId="5A4E2B91">
            <w:pPr>
              <w:pStyle w:val="21"/>
              <w:spacing w:before="127" w:line="360" w:lineRule="auto"/>
              <w:jc w:val="both"/>
              <w:rPr>
                <w:color w:val="auto"/>
                <w:sz w:val="21"/>
                <w:szCs w:val="21"/>
                <w:highlight w:val="none"/>
                <w:lang w:eastAsia="zh-CN"/>
              </w:rPr>
            </w:pPr>
            <w:r>
              <w:rPr>
                <w:rFonts w:hint="eastAsia"/>
                <w:color w:val="auto"/>
                <w:sz w:val="21"/>
                <w:szCs w:val="21"/>
                <w:highlight w:val="none"/>
                <w:lang w:eastAsia="zh-CN"/>
              </w:rPr>
              <w:t>主体颜色：白色、胡桃色</w:t>
            </w:r>
          </w:p>
        </w:tc>
      </w:tr>
    </w:tbl>
    <w:p w14:paraId="19284E13">
      <w:pPr>
        <w:spacing w:before="121" w:line="360" w:lineRule="auto"/>
        <w:rPr>
          <w:rFonts w:ascii="宋体" w:hAnsi="宋体" w:eastAsia="宋体" w:cs="宋体"/>
          <w:b/>
          <w:bCs/>
          <w:color w:val="auto"/>
          <w:spacing w:val="-5"/>
          <w:highlight w:val="none"/>
          <w:lang w:eastAsia="zh-CN"/>
        </w:rPr>
      </w:pPr>
    </w:p>
    <w:p w14:paraId="316F87BF">
      <w:pPr>
        <w:spacing w:before="121" w:line="360" w:lineRule="auto"/>
        <w:rPr>
          <w:rFonts w:ascii="宋体" w:hAnsi="宋体" w:eastAsia="宋体" w:cs="宋体"/>
          <w:b/>
          <w:bCs/>
          <w:color w:val="auto"/>
          <w:spacing w:val="-5"/>
          <w:highlight w:val="none"/>
          <w:lang w:eastAsia="zh-CN"/>
        </w:rPr>
      </w:pPr>
    </w:p>
    <w:p w14:paraId="580B49E6">
      <w:pPr>
        <w:spacing w:before="121" w:line="360" w:lineRule="auto"/>
        <w:rPr>
          <w:rFonts w:ascii="宋体" w:hAnsi="宋体" w:eastAsia="宋体" w:cs="宋体"/>
          <w:b/>
          <w:bCs/>
          <w:color w:val="auto"/>
          <w:spacing w:val="-5"/>
          <w:highlight w:val="none"/>
          <w:lang w:eastAsia="zh-CN"/>
        </w:rPr>
      </w:pPr>
    </w:p>
    <w:p w14:paraId="6307FD9D">
      <w:pPr>
        <w:spacing w:before="121" w:line="360" w:lineRule="auto"/>
        <w:rPr>
          <w:rFonts w:ascii="宋体" w:hAnsi="宋体" w:eastAsia="宋体" w:cs="宋体"/>
          <w:b/>
          <w:bCs/>
          <w:color w:val="auto"/>
          <w:spacing w:val="-5"/>
          <w:highlight w:val="none"/>
          <w:lang w:eastAsia="zh-CN"/>
        </w:rPr>
      </w:pPr>
    </w:p>
    <w:p w14:paraId="05494B47">
      <w:pPr>
        <w:spacing w:before="121" w:line="360" w:lineRule="auto"/>
        <w:rPr>
          <w:rFonts w:ascii="宋体" w:hAnsi="宋体" w:eastAsia="宋体" w:cs="宋体"/>
          <w:b/>
          <w:bCs/>
          <w:color w:val="auto"/>
          <w:spacing w:val="-5"/>
          <w:highlight w:val="none"/>
          <w:lang w:eastAsia="zh-CN"/>
        </w:rPr>
      </w:pPr>
    </w:p>
    <w:p w14:paraId="5DD6B5FD">
      <w:pPr>
        <w:spacing w:before="121" w:line="360" w:lineRule="auto"/>
        <w:rPr>
          <w:rFonts w:ascii="宋体" w:hAnsi="宋体" w:eastAsia="宋体" w:cs="宋体"/>
          <w:b/>
          <w:bCs/>
          <w:color w:val="auto"/>
          <w:spacing w:val="-5"/>
          <w:highlight w:val="none"/>
          <w:lang w:eastAsia="zh-CN"/>
        </w:rPr>
      </w:pPr>
    </w:p>
    <w:p w14:paraId="16C9276B">
      <w:pPr>
        <w:spacing w:before="121" w:line="360" w:lineRule="auto"/>
        <w:rPr>
          <w:rFonts w:ascii="宋体" w:hAnsi="宋体" w:eastAsia="宋体" w:cs="宋体"/>
          <w:b/>
          <w:bCs/>
          <w:color w:val="auto"/>
          <w:spacing w:val="-5"/>
          <w:highlight w:val="none"/>
          <w:lang w:eastAsia="zh-CN"/>
        </w:rPr>
      </w:pPr>
    </w:p>
    <w:p w14:paraId="5AD325C6">
      <w:pPr>
        <w:spacing w:before="130" w:line="360" w:lineRule="auto"/>
        <w:ind w:firstLine="420" w:firstLineChars="200"/>
        <w:rPr>
          <w:rFonts w:ascii="宋体" w:hAnsi="宋体" w:eastAsia="宋体" w:cs="宋体"/>
          <w:color w:val="auto"/>
          <w:highlight w:val="none"/>
          <w:lang w:eastAsia="zh-CN"/>
        </w:rPr>
      </w:pPr>
      <w:r>
        <w:rPr>
          <w:rFonts w:hint="eastAsia" w:ascii="宋体" w:hAnsi="宋体" w:eastAsia="宋体" w:cs="宋体"/>
          <w:b/>
          <w:bCs/>
          <w:color w:val="auto"/>
          <w:highlight w:val="none"/>
          <w:lang w:eastAsia="zh-CN"/>
        </w:rPr>
        <w:t>六、样品要求</w:t>
      </w:r>
    </w:p>
    <w:tbl>
      <w:tblPr>
        <w:tblStyle w:val="22"/>
        <w:tblW w:w="15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90"/>
        <w:gridCol w:w="3163"/>
        <w:gridCol w:w="3362"/>
        <w:gridCol w:w="6825"/>
      </w:tblGrid>
      <w:tr w14:paraId="0CF09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jc w:val="center"/>
        </w:trPr>
        <w:tc>
          <w:tcPr>
            <w:tcW w:w="2290" w:type="dxa"/>
          </w:tcPr>
          <w:p w14:paraId="0C912EE3">
            <w:pPr>
              <w:pStyle w:val="21"/>
              <w:spacing w:before="246" w:line="360" w:lineRule="auto"/>
              <w:ind w:left="1175"/>
              <w:rPr>
                <w:b/>
                <w:bCs/>
                <w:color w:val="auto"/>
                <w:sz w:val="21"/>
                <w:szCs w:val="21"/>
                <w:highlight w:val="none"/>
              </w:rPr>
            </w:pPr>
            <w:r>
              <w:rPr>
                <w:rFonts w:hint="eastAsia"/>
                <w:b/>
                <w:bCs/>
                <w:color w:val="auto"/>
                <w:spacing w:val="-8"/>
                <w:sz w:val="21"/>
                <w:szCs w:val="21"/>
                <w:highlight w:val="none"/>
              </w:rPr>
              <w:t>分类</w:t>
            </w:r>
          </w:p>
        </w:tc>
        <w:tc>
          <w:tcPr>
            <w:tcW w:w="3163" w:type="dxa"/>
          </w:tcPr>
          <w:p w14:paraId="1E2DE067">
            <w:pPr>
              <w:pStyle w:val="21"/>
              <w:spacing w:before="246" w:line="360" w:lineRule="auto"/>
              <w:ind w:left="132"/>
              <w:jc w:val="center"/>
              <w:rPr>
                <w:b/>
                <w:bCs/>
                <w:color w:val="auto"/>
                <w:sz w:val="21"/>
                <w:szCs w:val="21"/>
                <w:highlight w:val="none"/>
              </w:rPr>
            </w:pPr>
            <w:r>
              <w:rPr>
                <w:rFonts w:hint="eastAsia"/>
                <w:b/>
                <w:bCs/>
                <w:color w:val="auto"/>
                <w:spacing w:val="3"/>
                <w:sz w:val="21"/>
                <w:szCs w:val="21"/>
                <w:highlight w:val="none"/>
              </w:rPr>
              <w:t>样品要求</w:t>
            </w:r>
          </w:p>
        </w:tc>
        <w:tc>
          <w:tcPr>
            <w:tcW w:w="3362" w:type="dxa"/>
          </w:tcPr>
          <w:p w14:paraId="20BDDA25">
            <w:pPr>
              <w:pStyle w:val="21"/>
              <w:spacing w:before="246" w:line="360" w:lineRule="auto"/>
              <w:ind w:left="132"/>
              <w:jc w:val="center"/>
              <w:rPr>
                <w:b/>
                <w:bCs/>
                <w:color w:val="auto"/>
                <w:spacing w:val="3"/>
                <w:sz w:val="21"/>
                <w:szCs w:val="21"/>
                <w:highlight w:val="none"/>
                <w:lang w:eastAsia="zh-CN"/>
              </w:rPr>
            </w:pPr>
            <w:r>
              <w:rPr>
                <w:rFonts w:hint="eastAsia"/>
                <w:b/>
                <w:bCs/>
                <w:color w:val="auto"/>
                <w:spacing w:val="3"/>
                <w:sz w:val="21"/>
                <w:szCs w:val="21"/>
                <w:highlight w:val="none"/>
                <w:lang w:eastAsia="zh-CN"/>
              </w:rPr>
              <w:t>技术要求</w:t>
            </w:r>
          </w:p>
        </w:tc>
        <w:tc>
          <w:tcPr>
            <w:tcW w:w="6825" w:type="dxa"/>
          </w:tcPr>
          <w:p w14:paraId="70183A6B">
            <w:pPr>
              <w:pStyle w:val="21"/>
              <w:spacing w:before="244" w:line="360" w:lineRule="auto"/>
              <w:ind w:left="106"/>
              <w:jc w:val="center"/>
              <w:rPr>
                <w:b/>
                <w:bCs/>
                <w:color w:val="auto"/>
                <w:sz w:val="21"/>
                <w:szCs w:val="21"/>
                <w:highlight w:val="none"/>
              </w:rPr>
            </w:pPr>
            <w:r>
              <w:rPr>
                <w:rFonts w:hint="eastAsia"/>
                <w:b/>
                <w:bCs/>
                <w:color w:val="auto"/>
                <w:spacing w:val="7"/>
                <w:sz w:val="21"/>
                <w:szCs w:val="21"/>
                <w:highlight w:val="none"/>
              </w:rPr>
              <w:t>大小尺寸</w:t>
            </w:r>
            <w:r>
              <w:rPr>
                <w:b/>
                <w:bCs/>
                <w:color w:val="auto"/>
                <w:spacing w:val="7"/>
                <w:sz w:val="21"/>
                <w:szCs w:val="21"/>
                <w:highlight w:val="none"/>
              </w:rPr>
              <w:t>(单位</w:t>
            </w:r>
            <w:r>
              <w:rPr>
                <w:b/>
                <w:bCs/>
                <w:color w:val="auto"/>
                <w:sz w:val="21"/>
                <w:szCs w:val="21"/>
                <w:highlight w:val="none"/>
              </w:rPr>
              <w:t>mm</w:t>
            </w:r>
            <w:r>
              <w:rPr>
                <w:b/>
                <w:bCs/>
                <w:color w:val="auto"/>
                <w:spacing w:val="7"/>
                <w:sz w:val="21"/>
                <w:szCs w:val="21"/>
                <w:highlight w:val="none"/>
              </w:rPr>
              <w:t>)</w:t>
            </w:r>
          </w:p>
        </w:tc>
      </w:tr>
      <w:tr w14:paraId="1D8965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290" w:type="dxa"/>
            <w:vMerge w:val="restart"/>
            <w:vAlign w:val="center"/>
          </w:tcPr>
          <w:p w14:paraId="23309827">
            <w:pPr>
              <w:pStyle w:val="21"/>
              <w:widowControl w:val="0"/>
              <w:kinsoku/>
              <w:autoSpaceDE/>
              <w:autoSpaceDN/>
              <w:adjustRightInd/>
              <w:snapToGrid/>
              <w:spacing w:line="360" w:lineRule="auto"/>
              <w:jc w:val="center"/>
              <w:textAlignment w:val="auto"/>
              <w:rPr>
                <w:color w:val="auto"/>
                <w:sz w:val="21"/>
                <w:szCs w:val="21"/>
                <w:highlight w:val="none"/>
                <w:lang w:eastAsia="zh-CN"/>
              </w:rPr>
            </w:pPr>
            <w:r>
              <w:rPr>
                <w:rFonts w:hint="eastAsia"/>
                <w:color w:val="auto"/>
                <w:spacing w:val="-7"/>
                <w:sz w:val="21"/>
                <w:szCs w:val="21"/>
                <w:highlight w:val="none"/>
                <w:lang w:eastAsia="zh-CN"/>
              </w:rPr>
              <w:t>小样</w:t>
            </w:r>
          </w:p>
        </w:tc>
        <w:tc>
          <w:tcPr>
            <w:tcW w:w="3163" w:type="dxa"/>
            <w:vAlign w:val="center"/>
          </w:tcPr>
          <w:p w14:paraId="3341F490">
            <w:pPr>
              <w:pStyle w:val="21"/>
              <w:widowControl w:val="0"/>
              <w:kinsoku/>
              <w:autoSpaceDE/>
              <w:autoSpaceDN/>
              <w:adjustRightInd/>
              <w:snapToGrid/>
              <w:spacing w:line="360" w:lineRule="auto"/>
              <w:jc w:val="center"/>
              <w:textAlignment w:val="auto"/>
              <w:rPr>
                <w:color w:val="auto"/>
                <w:spacing w:val="4"/>
                <w:sz w:val="21"/>
                <w:szCs w:val="21"/>
                <w:highlight w:val="none"/>
                <w:lang w:eastAsia="zh-CN"/>
              </w:rPr>
            </w:pPr>
          </w:p>
          <w:p w14:paraId="190E1978">
            <w:pPr>
              <w:pStyle w:val="21"/>
              <w:widowControl w:val="0"/>
              <w:kinsoku/>
              <w:autoSpaceDE/>
              <w:autoSpaceDN/>
              <w:adjustRightInd/>
              <w:snapToGrid/>
              <w:spacing w:line="360" w:lineRule="auto"/>
              <w:jc w:val="center"/>
              <w:textAlignment w:val="auto"/>
              <w:rPr>
                <w:color w:val="auto"/>
                <w:spacing w:val="4"/>
                <w:sz w:val="21"/>
                <w:szCs w:val="21"/>
                <w:highlight w:val="none"/>
                <w:lang w:eastAsia="zh-CN"/>
              </w:rPr>
            </w:pPr>
            <w:r>
              <w:rPr>
                <w:rFonts w:hint="eastAsia"/>
                <w:color w:val="auto"/>
                <w:spacing w:val="4"/>
                <w:sz w:val="21"/>
                <w:szCs w:val="21"/>
                <w:highlight w:val="none"/>
                <w:lang w:eastAsia="zh-CN"/>
              </w:rPr>
              <w:t>床立柱</w:t>
            </w:r>
          </w:p>
          <w:p w14:paraId="5224F1B2">
            <w:pPr>
              <w:pStyle w:val="21"/>
              <w:widowControl w:val="0"/>
              <w:kinsoku/>
              <w:autoSpaceDE/>
              <w:autoSpaceDN/>
              <w:adjustRightInd/>
              <w:snapToGrid/>
              <w:spacing w:line="360" w:lineRule="auto"/>
              <w:jc w:val="center"/>
              <w:textAlignment w:val="auto"/>
              <w:rPr>
                <w:color w:val="auto"/>
                <w:spacing w:val="4"/>
                <w:sz w:val="21"/>
                <w:szCs w:val="21"/>
                <w:highlight w:val="none"/>
                <w:lang w:eastAsia="zh-CN"/>
              </w:rPr>
            </w:pPr>
            <w:r>
              <w:rPr>
                <w:rFonts w:hint="eastAsia"/>
                <w:color w:val="auto"/>
                <w:spacing w:val="4"/>
                <w:sz w:val="21"/>
                <w:szCs w:val="21"/>
                <w:highlight w:val="none"/>
                <w:lang w:eastAsia="zh-CN"/>
              </w:rPr>
              <w:t>实木多层板（覆面）</w:t>
            </w:r>
          </w:p>
          <w:p w14:paraId="1247B094">
            <w:pPr>
              <w:pStyle w:val="21"/>
              <w:widowControl w:val="0"/>
              <w:kinsoku/>
              <w:autoSpaceDE/>
              <w:autoSpaceDN/>
              <w:adjustRightInd/>
              <w:snapToGrid/>
              <w:spacing w:line="360" w:lineRule="auto"/>
              <w:jc w:val="center"/>
              <w:textAlignment w:val="auto"/>
              <w:rPr>
                <w:color w:val="auto"/>
                <w:spacing w:val="4"/>
                <w:sz w:val="21"/>
                <w:szCs w:val="21"/>
                <w:highlight w:val="none"/>
                <w:lang w:eastAsia="zh-CN"/>
              </w:rPr>
            </w:pPr>
            <w:r>
              <w:rPr>
                <w:rFonts w:hint="eastAsia"/>
                <w:color w:val="auto"/>
                <w:spacing w:val="4"/>
                <w:sz w:val="21"/>
                <w:szCs w:val="21"/>
                <w:highlight w:val="none"/>
                <w:lang w:eastAsia="zh-CN"/>
              </w:rPr>
              <w:t>床板</w:t>
            </w:r>
          </w:p>
          <w:p w14:paraId="230D52BA">
            <w:pPr>
              <w:pStyle w:val="21"/>
              <w:widowControl w:val="0"/>
              <w:kinsoku/>
              <w:autoSpaceDE/>
              <w:autoSpaceDN/>
              <w:adjustRightInd/>
              <w:snapToGrid/>
              <w:spacing w:line="360" w:lineRule="auto"/>
              <w:jc w:val="center"/>
              <w:textAlignment w:val="auto"/>
              <w:rPr>
                <w:color w:val="auto"/>
                <w:spacing w:val="4"/>
                <w:sz w:val="21"/>
                <w:szCs w:val="21"/>
                <w:highlight w:val="none"/>
                <w:lang w:eastAsia="zh-CN"/>
              </w:rPr>
            </w:pPr>
            <w:r>
              <w:rPr>
                <w:rFonts w:hint="eastAsia"/>
                <w:color w:val="auto"/>
                <w:spacing w:val="4"/>
                <w:sz w:val="21"/>
                <w:szCs w:val="21"/>
                <w:highlight w:val="none"/>
                <w:lang w:eastAsia="zh-CN"/>
              </w:rPr>
              <w:t>阅览桌台面</w:t>
            </w:r>
          </w:p>
        </w:tc>
        <w:tc>
          <w:tcPr>
            <w:tcW w:w="3362" w:type="dxa"/>
            <w:vMerge w:val="restart"/>
            <w:vAlign w:val="center"/>
          </w:tcPr>
          <w:p w14:paraId="21C199D8">
            <w:pPr>
              <w:pStyle w:val="21"/>
              <w:widowControl w:val="0"/>
              <w:kinsoku/>
              <w:autoSpaceDE/>
              <w:autoSpaceDN/>
              <w:adjustRightInd/>
              <w:snapToGrid/>
              <w:spacing w:line="360" w:lineRule="auto"/>
              <w:jc w:val="center"/>
              <w:textAlignment w:val="auto"/>
              <w:rPr>
                <w:color w:val="auto"/>
                <w:spacing w:val="4"/>
                <w:sz w:val="21"/>
                <w:szCs w:val="21"/>
                <w:highlight w:val="none"/>
                <w:lang w:eastAsia="zh-CN"/>
              </w:rPr>
            </w:pPr>
            <w:r>
              <w:rPr>
                <w:rFonts w:hint="eastAsia"/>
                <w:color w:val="auto"/>
                <w:spacing w:val="4"/>
                <w:sz w:val="21"/>
                <w:szCs w:val="21"/>
                <w:highlight w:val="none"/>
                <w:lang w:eastAsia="zh-CN"/>
              </w:rPr>
              <w:t>参照对应产品的技术参数要求</w:t>
            </w:r>
          </w:p>
        </w:tc>
        <w:tc>
          <w:tcPr>
            <w:tcW w:w="6825" w:type="dxa"/>
            <w:vAlign w:val="center"/>
          </w:tcPr>
          <w:p w14:paraId="011FE577">
            <w:pPr>
              <w:pStyle w:val="21"/>
              <w:widowControl w:val="0"/>
              <w:kinsoku/>
              <w:autoSpaceDE/>
              <w:autoSpaceDN/>
              <w:adjustRightInd/>
              <w:snapToGrid/>
              <w:spacing w:line="360" w:lineRule="auto"/>
              <w:jc w:val="center"/>
              <w:textAlignment w:val="auto"/>
              <w:rPr>
                <w:color w:val="auto"/>
                <w:spacing w:val="-7"/>
                <w:sz w:val="21"/>
                <w:szCs w:val="21"/>
                <w:highlight w:val="none"/>
                <w:lang w:eastAsia="zh-CN"/>
              </w:rPr>
            </w:pPr>
            <w:r>
              <w:rPr>
                <w:rFonts w:hint="eastAsia"/>
                <w:color w:val="auto"/>
                <w:spacing w:val="-7"/>
                <w:sz w:val="21"/>
                <w:szCs w:val="21"/>
                <w:highlight w:val="none"/>
                <w:lang w:eastAsia="zh-CN"/>
              </w:rPr>
              <w:t>床立柱小样规格：</w:t>
            </w:r>
            <w:r>
              <w:rPr>
                <w:color w:val="auto"/>
                <w:spacing w:val="-7"/>
                <w:sz w:val="21"/>
                <w:szCs w:val="21"/>
                <w:highlight w:val="none"/>
                <w:lang w:eastAsia="zh-CN"/>
              </w:rPr>
              <w:t>60*80*200</w:t>
            </w:r>
          </w:p>
          <w:p w14:paraId="597DBF7E">
            <w:pPr>
              <w:pStyle w:val="21"/>
              <w:widowControl w:val="0"/>
              <w:kinsoku/>
              <w:autoSpaceDE/>
              <w:autoSpaceDN/>
              <w:adjustRightInd/>
              <w:snapToGrid/>
              <w:spacing w:line="360" w:lineRule="auto"/>
              <w:jc w:val="center"/>
              <w:textAlignment w:val="auto"/>
              <w:rPr>
                <w:color w:val="auto"/>
                <w:spacing w:val="-7"/>
                <w:sz w:val="21"/>
                <w:szCs w:val="21"/>
                <w:highlight w:val="none"/>
                <w:lang w:eastAsia="zh-CN"/>
              </w:rPr>
            </w:pPr>
            <w:r>
              <w:rPr>
                <w:rFonts w:hint="eastAsia"/>
                <w:color w:val="auto"/>
                <w:spacing w:val="4"/>
                <w:sz w:val="21"/>
                <w:szCs w:val="21"/>
                <w:highlight w:val="none"/>
                <w:lang w:eastAsia="zh-CN"/>
              </w:rPr>
              <w:t>实木多层板（覆面）：</w:t>
            </w:r>
            <w:r>
              <w:rPr>
                <w:color w:val="auto"/>
                <w:spacing w:val="-7"/>
                <w:sz w:val="21"/>
                <w:szCs w:val="21"/>
                <w:highlight w:val="none"/>
                <w:lang w:eastAsia="zh-CN"/>
              </w:rPr>
              <w:t>200×200</w:t>
            </w:r>
          </w:p>
          <w:p w14:paraId="3A570A58">
            <w:pPr>
              <w:pStyle w:val="21"/>
              <w:widowControl w:val="0"/>
              <w:kinsoku/>
              <w:autoSpaceDE/>
              <w:autoSpaceDN/>
              <w:adjustRightInd/>
              <w:snapToGrid/>
              <w:spacing w:line="360" w:lineRule="auto"/>
              <w:jc w:val="center"/>
              <w:textAlignment w:val="auto"/>
              <w:rPr>
                <w:color w:val="auto"/>
                <w:spacing w:val="-7"/>
                <w:sz w:val="21"/>
                <w:szCs w:val="21"/>
                <w:highlight w:val="none"/>
                <w:lang w:eastAsia="zh-CN"/>
              </w:rPr>
            </w:pPr>
            <w:r>
              <w:rPr>
                <w:rFonts w:hint="eastAsia"/>
                <w:color w:val="auto"/>
                <w:spacing w:val="-7"/>
                <w:sz w:val="21"/>
                <w:szCs w:val="21"/>
                <w:highlight w:val="none"/>
                <w:lang w:eastAsia="zh-CN"/>
              </w:rPr>
              <w:t>床板原材料：</w:t>
            </w:r>
            <w:r>
              <w:rPr>
                <w:color w:val="auto"/>
                <w:spacing w:val="-7"/>
                <w:sz w:val="21"/>
                <w:szCs w:val="21"/>
                <w:highlight w:val="none"/>
                <w:lang w:eastAsia="zh-CN"/>
              </w:rPr>
              <w:t>200长</w:t>
            </w:r>
          </w:p>
          <w:p w14:paraId="29AE2730">
            <w:pPr>
              <w:pStyle w:val="21"/>
              <w:widowControl w:val="0"/>
              <w:kinsoku/>
              <w:autoSpaceDE/>
              <w:autoSpaceDN/>
              <w:adjustRightInd/>
              <w:snapToGrid/>
              <w:spacing w:line="360" w:lineRule="auto"/>
              <w:jc w:val="center"/>
              <w:textAlignment w:val="auto"/>
              <w:rPr>
                <w:color w:val="auto"/>
                <w:spacing w:val="-7"/>
                <w:sz w:val="21"/>
                <w:szCs w:val="21"/>
                <w:highlight w:val="none"/>
                <w:lang w:eastAsia="zh-CN"/>
              </w:rPr>
            </w:pPr>
            <w:r>
              <w:rPr>
                <w:rFonts w:hint="eastAsia"/>
                <w:color w:val="auto"/>
                <w:spacing w:val="-7"/>
                <w:sz w:val="21"/>
                <w:szCs w:val="21"/>
                <w:highlight w:val="none"/>
                <w:lang w:eastAsia="zh-CN"/>
              </w:rPr>
              <w:t>阅览桌台面：</w:t>
            </w:r>
            <w:r>
              <w:rPr>
                <w:color w:val="auto"/>
                <w:spacing w:val="-7"/>
                <w:sz w:val="21"/>
                <w:szCs w:val="21"/>
                <w:highlight w:val="none"/>
                <w:lang w:eastAsia="zh-CN"/>
              </w:rPr>
              <w:t>1600（600）*1800（600）*25mm</w:t>
            </w:r>
            <w:r>
              <w:rPr>
                <w:rFonts w:hint="eastAsia"/>
                <w:color w:val="auto"/>
                <w:spacing w:val="-7"/>
                <w:sz w:val="21"/>
                <w:szCs w:val="21"/>
                <w:highlight w:val="none"/>
                <w:lang w:eastAsia="zh-CN"/>
              </w:rPr>
              <w:t>（整块）</w:t>
            </w:r>
          </w:p>
        </w:tc>
      </w:tr>
      <w:tr w14:paraId="06874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5" w:hRule="atLeast"/>
          <w:jc w:val="center"/>
        </w:trPr>
        <w:tc>
          <w:tcPr>
            <w:tcW w:w="2290" w:type="dxa"/>
            <w:vMerge w:val="continue"/>
            <w:vAlign w:val="center"/>
          </w:tcPr>
          <w:p w14:paraId="6B4978D3">
            <w:pPr>
              <w:pStyle w:val="21"/>
              <w:widowControl w:val="0"/>
              <w:kinsoku/>
              <w:autoSpaceDE/>
              <w:autoSpaceDN/>
              <w:adjustRightInd/>
              <w:snapToGrid/>
              <w:spacing w:line="360" w:lineRule="auto"/>
              <w:jc w:val="center"/>
              <w:textAlignment w:val="auto"/>
              <w:rPr>
                <w:color w:val="auto"/>
                <w:sz w:val="21"/>
                <w:szCs w:val="21"/>
                <w:highlight w:val="none"/>
                <w:lang w:eastAsia="zh-CN"/>
              </w:rPr>
            </w:pPr>
          </w:p>
        </w:tc>
        <w:tc>
          <w:tcPr>
            <w:tcW w:w="3163" w:type="dxa"/>
            <w:vAlign w:val="center"/>
          </w:tcPr>
          <w:p w14:paraId="4CDC8661">
            <w:pPr>
              <w:pStyle w:val="21"/>
              <w:widowControl w:val="0"/>
              <w:kinsoku/>
              <w:autoSpaceDE/>
              <w:autoSpaceDN/>
              <w:adjustRightInd/>
              <w:snapToGrid/>
              <w:spacing w:line="360" w:lineRule="auto"/>
              <w:jc w:val="center"/>
              <w:textAlignment w:val="auto"/>
              <w:rPr>
                <w:color w:val="auto"/>
                <w:position w:val="11"/>
                <w:sz w:val="21"/>
                <w:szCs w:val="21"/>
                <w:highlight w:val="none"/>
                <w:lang w:eastAsia="zh-CN"/>
              </w:rPr>
            </w:pPr>
            <w:r>
              <w:rPr>
                <w:rFonts w:hint="eastAsia"/>
                <w:color w:val="auto"/>
                <w:position w:val="14"/>
                <w:sz w:val="21"/>
                <w:szCs w:val="21"/>
                <w:highlight w:val="none"/>
                <w:lang w:eastAsia="zh-CN"/>
              </w:rPr>
              <w:t>海绵一块</w:t>
            </w:r>
          </w:p>
          <w:p w14:paraId="1E1A850D">
            <w:pPr>
              <w:pStyle w:val="21"/>
              <w:widowControl w:val="0"/>
              <w:kinsoku/>
              <w:autoSpaceDE/>
              <w:autoSpaceDN/>
              <w:adjustRightInd/>
              <w:snapToGrid/>
              <w:spacing w:line="360" w:lineRule="auto"/>
              <w:jc w:val="center"/>
              <w:textAlignment w:val="auto"/>
              <w:rPr>
                <w:color w:val="auto"/>
                <w:sz w:val="21"/>
                <w:szCs w:val="21"/>
                <w:highlight w:val="none"/>
                <w:lang w:eastAsia="zh-CN"/>
              </w:rPr>
            </w:pPr>
            <w:r>
              <w:rPr>
                <w:rFonts w:hint="eastAsia"/>
                <w:color w:val="auto"/>
                <w:position w:val="14"/>
                <w:sz w:val="21"/>
                <w:szCs w:val="21"/>
                <w:highlight w:val="none"/>
                <w:lang w:eastAsia="zh-CN"/>
              </w:rPr>
              <w:t>布料一块</w:t>
            </w:r>
          </w:p>
        </w:tc>
        <w:tc>
          <w:tcPr>
            <w:tcW w:w="3362" w:type="dxa"/>
            <w:vMerge w:val="continue"/>
            <w:vAlign w:val="center"/>
          </w:tcPr>
          <w:p w14:paraId="43877CAA">
            <w:pPr>
              <w:pStyle w:val="21"/>
              <w:widowControl w:val="0"/>
              <w:kinsoku/>
              <w:autoSpaceDE/>
              <w:autoSpaceDN/>
              <w:adjustRightInd/>
              <w:snapToGrid/>
              <w:spacing w:line="360" w:lineRule="auto"/>
              <w:jc w:val="center"/>
              <w:textAlignment w:val="auto"/>
              <w:rPr>
                <w:color w:val="auto"/>
                <w:position w:val="14"/>
                <w:sz w:val="21"/>
                <w:szCs w:val="21"/>
                <w:highlight w:val="none"/>
                <w:lang w:eastAsia="zh-CN"/>
              </w:rPr>
            </w:pPr>
          </w:p>
        </w:tc>
        <w:tc>
          <w:tcPr>
            <w:tcW w:w="6825" w:type="dxa"/>
            <w:vAlign w:val="center"/>
          </w:tcPr>
          <w:p w14:paraId="03D792D1">
            <w:pPr>
              <w:pStyle w:val="21"/>
              <w:widowControl w:val="0"/>
              <w:kinsoku/>
              <w:autoSpaceDE/>
              <w:autoSpaceDN/>
              <w:adjustRightInd/>
              <w:snapToGrid/>
              <w:spacing w:line="360" w:lineRule="auto"/>
              <w:jc w:val="center"/>
              <w:textAlignment w:val="auto"/>
              <w:rPr>
                <w:color w:val="auto"/>
                <w:sz w:val="21"/>
                <w:szCs w:val="21"/>
                <w:highlight w:val="none"/>
              </w:rPr>
            </w:pPr>
            <w:r>
              <w:rPr>
                <w:color w:val="auto"/>
                <w:spacing w:val="-7"/>
                <w:sz w:val="21"/>
                <w:szCs w:val="21"/>
                <w:highlight w:val="none"/>
              </w:rPr>
              <w:t>200×200</w:t>
            </w:r>
          </w:p>
        </w:tc>
      </w:tr>
      <w:tr w14:paraId="02F3EA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97" w:hRule="atLeast"/>
          <w:jc w:val="center"/>
        </w:trPr>
        <w:tc>
          <w:tcPr>
            <w:tcW w:w="2290" w:type="dxa"/>
            <w:vAlign w:val="center"/>
          </w:tcPr>
          <w:p w14:paraId="4B1B61EA">
            <w:pPr>
              <w:pStyle w:val="21"/>
              <w:widowControl w:val="0"/>
              <w:kinsoku/>
              <w:autoSpaceDE/>
              <w:autoSpaceDN/>
              <w:adjustRightInd/>
              <w:snapToGrid/>
              <w:spacing w:line="360" w:lineRule="auto"/>
              <w:jc w:val="center"/>
              <w:textAlignment w:val="auto"/>
              <w:rPr>
                <w:color w:val="auto"/>
                <w:sz w:val="21"/>
                <w:szCs w:val="21"/>
                <w:highlight w:val="none"/>
                <w:lang w:eastAsia="zh-CN"/>
              </w:rPr>
            </w:pPr>
            <w:r>
              <w:rPr>
                <w:rFonts w:hint="eastAsia"/>
                <w:color w:val="auto"/>
                <w:spacing w:val="4"/>
                <w:sz w:val="21"/>
                <w:szCs w:val="21"/>
                <w:highlight w:val="none"/>
              </w:rPr>
              <w:t>五金件</w:t>
            </w:r>
            <w:r>
              <w:rPr>
                <w:rFonts w:hint="eastAsia"/>
                <w:color w:val="auto"/>
                <w:spacing w:val="4"/>
                <w:sz w:val="21"/>
                <w:szCs w:val="21"/>
                <w:highlight w:val="none"/>
                <w:lang w:eastAsia="zh-CN"/>
              </w:rPr>
              <w:t>、配件</w:t>
            </w:r>
          </w:p>
        </w:tc>
        <w:tc>
          <w:tcPr>
            <w:tcW w:w="3163" w:type="dxa"/>
            <w:vAlign w:val="center"/>
          </w:tcPr>
          <w:p w14:paraId="0AB421F8">
            <w:pPr>
              <w:pStyle w:val="21"/>
              <w:widowControl w:val="0"/>
              <w:kinsoku/>
              <w:autoSpaceDE/>
              <w:autoSpaceDN/>
              <w:adjustRightInd/>
              <w:snapToGrid/>
              <w:jc w:val="center"/>
              <w:textAlignment w:val="auto"/>
              <w:rPr>
                <w:color w:val="auto"/>
                <w:position w:val="14"/>
                <w:sz w:val="21"/>
                <w:szCs w:val="21"/>
                <w:highlight w:val="none"/>
                <w:lang w:eastAsia="zh-CN"/>
              </w:rPr>
            </w:pPr>
            <w:r>
              <w:rPr>
                <w:rFonts w:hint="eastAsia"/>
                <w:color w:val="auto"/>
                <w:position w:val="14"/>
                <w:sz w:val="21"/>
                <w:szCs w:val="21"/>
                <w:highlight w:val="none"/>
                <w:lang w:eastAsia="zh-CN"/>
              </w:rPr>
              <w:t>螺杆</w:t>
            </w:r>
          </w:p>
          <w:p w14:paraId="39596D7A">
            <w:pPr>
              <w:pStyle w:val="21"/>
              <w:widowControl w:val="0"/>
              <w:kinsoku/>
              <w:autoSpaceDE/>
              <w:autoSpaceDN/>
              <w:adjustRightInd/>
              <w:snapToGrid/>
              <w:jc w:val="center"/>
              <w:textAlignment w:val="auto"/>
              <w:rPr>
                <w:color w:val="auto"/>
                <w:position w:val="14"/>
                <w:sz w:val="21"/>
                <w:szCs w:val="21"/>
                <w:highlight w:val="none"/>
                <w:lang w:eastAsia="zh-CN"/>
              </w:rPr>
            </w:pPr>
            <w:r>
              <w:rPr>
                <w:rFonts w:hint="eastAsia"/>
                <w:color w:val="auto"/>
                <w:position w:val="14"/>
                <w:sz w:val="21"/>
                <w:szCs w:val="21"/>
                <w:highlight w:val="none"/>
                <w:lang w:eastAsia="zh-CN"/>
              </w:rPr>
              <w:t>螺帽</w:t>
            </w:r>
          </w:p>
          <w:p w14:paraId="4084CA6C">
            <w:pPr>
              <w:pStyle w:val="21"/>
              <w:widowControl w:val="0"/>
              <w:kinsoku/>
              <w:autoSpaceDE/>
              <w:autoSpaceDN/>
              <w:adjustRightInd/>
              <w:snapToGrid/>
              <w:jc w:val="center"/>
              <w:textAlignment w:val="auto"/>
              <w:rPr>
                <w:color w:val="auto"/>
                <w:position w:val="14"/>
                <w:sz w:val="21"/>
                <w:szCs w:val="21"/>
                <w:highlight w:val="none"/>
                <w:lang w:eastAsia="zh-CN"/>
              </w:rPr>
            </w:pPr>
            <w:r>
              <w:rPr>
                <w:rFonts w:hint="eastAsia"/>
                <w:color w:val="auto"/>
                <w:position w:val="14"/>
                <w:sz w:val="21"/>
                <w:szCs w:val="21"/>
                <w:highlight w:val="none"/>
                <w:lang w:eastAsia="zh-CN"/>
              </w:rPr>
              <w:t>铰链</w:t>
            </w:r>
          </w:p>
          <w:p w14:paraId="11C5B787">
            <w:pPr>
              <w:pStyle w:val="21"/>
              <w:widowControl w:val="0"/>
              <w:kinsoku/>
              <w:autoSpaceDE/>
              <w:autoSpaceDN/>
              <w:adjustRightInd/>
              <w:snapToGrid/>
              <w:jc w:val="center"/>
              <w:textAlignment w:val="auto"/>
              <w:rPr>
                <w:color w:val="auto"/>
                <w:position w:val="14"/>
                <w:sz w:val="21"/>
                <w:szCs w:val="21"/>
                <w:highlight w:val="none"/>
                <w:lang w:eastAsia="zh-CN"/>
              </w:rPr>
            </w:pPr>
            <w:r>
              <w:rPr>
                <w:rFonts w:hint="eastAsia"/>
                <w:color w:val="auto"/>
                <w:position w:val="14"/>
                <w:sz w:val="21"/>
                <w:szCs w:val="21"/>
                <w:highlight w:val="none"/>
                <w:lang w:eastAsia="zh-CN"/>
              </w:rPr>
              <w:t>缓冲阻尼静音滑轨</w:t>
            </w:r>
          </w:p>
          <w:p w14:paraId="56896BEA">
            <w:pPr>
              <w:pStyle w:val="21"/>
              <w:widowControl w:val="0"/>
              <w:kinsoku/>
              <w:autoSpaceDE/>
              <w:autoSpaceDN/>
              <w:adjustRightInd/>
              <w:snapToGrid/>
              <w:jc w:val="center"/>
              <w:textAlignment w:val="auto"/>
              <w:rPr>
                <w:color w:val="auto"/>
                <w:position w:val="14"/>
                <w:sz w:val="21"/>
                <w:szCs w:val="21"/>
                <w:highlight w:val="none"/>
                <w:lang w:eastAsia="zh-CN"/>
              </w:rPr>
            </w:pPr>
            <w:r>
              <w:rPr>
                <w:color w:val="auto"/>
                <w:position w:val="14"/>
                <w:sz w:val="21"/>
                <w:szCs w:val="21"/>
                <w:highlight w:val="none"/>
                <w:lang w:eastAsia="zh-CN"/>
              </w:rPr>
              <w:t>U形槽</w:t>
            </w:r>
          </w:p>
        </w:tc>
        <w:tc>
          <w:tcPr>
            <w:tcW w:w="3362" w:type="dxa"/>
            <w:vMerge w:val="continue"/>
            <w:vAlign w:val="center"/>
          </w:tcPr>
          <w:p w14:paraId="136245DE">
            <w:pPr>
              <w:pStyle w:val="21"/>
              <w:widowControl w:val="0"/>
              <w:kinsoku/>
              <w:autoSpaceDE/>
              <w:autoSpaceDN/>
              <w:adjustRightInd/>
              <w:snapToGrid/>
              <w:jc w:val="center"/>
              <w:textAlignment w:val="auto"/>
              <w:rPr>
                <w:color w:val="auto"/>
                <w:position w:val="14"/>
                <w:sz w:val="21"/>
                <w:szCs w:val="21"/>
                <w:highlight w:val="none"/>
                <w:lang w:eastAsia="zh-CN"/>
              </w:rPr>
            </w:pPr>
          </w:p>
        </w:tc>
        <w:tc>
          <w:tcPr>
            <w:tcW w:w="6825" w:type="dxa"/>
            <w:vAlign w:val="center"/>
          </w:tcPr>
          <w:p w14:paraId="085F70E6">
            <w:pPr>
              <w:pStyle w:val="21"/>
              <w:widowControl w:val="0"/>
              <w:kinsoku/>
              <w:autoSpaceDE/>
              <w:autoSpaceDN/>
              <w:adjustRightInd/>
              <w:snapToGrid/>
              <w:spacing w:line="360" w:lineRule="auto"/>
              <w:jc w:val="center"/>
              <w:textAlignment w:val="auto"/>
              <w:rPr>
                <w:color w:val="auto"/>
                <w:sz w:val="21"/>
                <w:szCs w:val="21"/>
                <w:highlight w:val="none"/>
              </w:rPr>
            </w:pPr>
            <w:r>
              <w:rPr>
                <w:rFonts w:hint="eastAsia"/>
                <w:color w:val="auto"/>
                <w:spacing w:val="-13"/>
                <w:sz w:val="21"/>
                <w:szCs w:val="21"/>
                <w:highlight w:val="none"/>
              </w:rPr>
              <w:t>各</w:t>
            </w:r>
            <w:r>
              <w:rPr>
                <w:color w:val="auto"/>
                <w:spacing w:val="-13"/>
                <w:sz w:val="21"/>
                <w:szCs w:val="21"/>
                <w:highlight w:val="none"/>
              </w:rPr>
              <w:t xml:space="preserve"> 1件</w:t>
            </w:r>
          </w:p>
        </w:tc>
      </w:tr>
      <w:tr w14:paraId="168AA0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6" w:hRule="atLeast"/>
          <w:jc w:val="center"/>
        </w:trPr>
        <w:tc>
          <w:tcPr>
            <w:tcW w:w="2290" w:type="dxa"/>
            <w:vAlign w:val="center"/>
          </w:tcPr>
          <w:p w14:paraId="13786E12">
            <w:pPr>
              <w:pStyle w:val="21"/>
              <w:widowControl w:val="0"/>
              <w:kinsoku/>
              <w:autoSpaceDE/>
              <w:autoSpaceDN/>
              <w:adjustRightInd/>
              <w:snapToGrid/>
              <w:spacing w:line="360" w:lineRule="auto"/>
              <w:jc w:val="center"/>
              <w:textAlignment w:val="auto"/>
              <w:rPr>
                <w:color w:val="auto"/>
                <w:sz w:val="21"/>
                <w:szCs w:val="21"/>
                <w:highlight w:val="none"/>
              </w:rPr>
            </w:pPr>
            <w:r>
              <w:rPr>
                <w:rFonts w:hint="eastAsia"/>
                <w:color w:val="auto"/>
                <w:spacing w:val="4"/>
                <w:sz w:val="21"/>
                <w:szCs w:val="21"/>
                <w:highlight w:val="none"/>
                <w:lang w:eastAsia="zh-CN"/>
              </w:rPr>
              <w:t>成品</w:t>
            </w:r>
          </w:p>
        </w:tc>
        <w:tc>
          <w:tcPr>
            <w:tcW w:w="3163" w:type="dxa"/>
            <w:vAlign w:val="center"/>
          </w:tcPr>
          <w:p w14:paraId="1B705458">
            <w:pPr>
              <w:pStyle w:val="21"/>
              <w:widowControl w:val="0"/>
              <w:kinsoku/>
              <w:autoSpaceDE/>
              <w:autoSpaceDN/>
              <w:adjustRightInd/>
              <w:snapToGrid/>
              <w:spacing w:line="360" w:lineRule="auto"/>
              <w:jc w:val="center"/>
              <w:textAlignment w:val="auto"/>
              <w:rPr>
                <w:color w:val="auto"/>
                <w:spacing w:val="4"/>
                <w:sz w:val="21"/>
                <w:szCs w:val="21"/>
                <w:highlight w:val="none"/>
                <w:lang w:eastAsia="zh-CN"/>
              </w:rPr>
            </w:pPr>
            <w:r>
              <w:rPr>
                <w:rFonts w:hint="eastAsia"/>
                <w:color w:val="auto"/>
                <w:spacing w:val="4"/>
                <w:sz w:val="21"/>
                <w:szCs w:val="21"/>
                <w:highlight w:val="none"/>
                <w:lang w:eastAsia="zh-CN"/>
              </w:rPr>
              <w:t>组合公寓床</w:t>
            </w:r>
            <w:r>
              <w:rPr>
                <w:color w:val="auto"/>
                <w:spacing w:val="4"/>
                <w:sz w:val="21"/>
                <w:szCs w:val="21"/>
                <w:highlight w:val="none"/>
                <w:lang w:eastAsia="zh-CN"/>
              </w:rPr>
              <w:t xml:space="preserve"> </w:t>
            </w:r>
            <w:r>
              <w:rPr>
                <w:rFonts w:hint="eastAsia"/>
                <w:color w:val="auto"/>
                <w:spacing w:val="4"/>
                <w:sz w:val="21"/>
                <w:szCs w:val="21"/>
                <w:highlight w:val="none"/>
                <w:lang w:eastAsia="zh-CN"/>
              </w:rPr>
              <w:t>序号</w:t>
            </w:r>
            <w:r>
              <w:rPr>
                <w:color w:val="auto"/>
                <w:spacing w:val="4"/>
                <w:sz w:val="21"/>
                <w:szCs w:val="21"/>
                <w:highlight w:val="none"/>
                <w:lang w:eastAsia="zh-CN"/>
              </w:rPr>
              <w:t>1</w:t>
            </w:r>
          </w:p>
          <w:p w14:paraId="615BFB9B">
            <w:pPr>
              <w:pStyle w:val="21"/>
              <w:widowControl w:val="0"/>
              <w:kinsoku/>
              <w:autoSpaceDE/>
              <w:autoSpaceDN/>
              <w:adjustRightInd/>
              <w:snapToGrid/>
              <w:spacing w:line="360" w:lineRule="auto"/>
              <w:jc w:val="center"/>
              <w:textAlignment w:val="auto"/>
              <w:rPr>
                <w:color w:val="auto"/>
                <w:spacing w:val="4"/>
                <w:sz w:val="21"/>
                <w:szCs w:val="21"/>
                <w:highlight w:val="none"/>
                <w:lang w:eastAsia="zh-CN"/>
              </w:rPr>
            </w:pPr>
            <w:r>
              <w:rPr>
                <w:rFonts w:hint="eastAsia"/>
                <w:color w:val="auto"/>
                <w:spacing w:val="4"/>
                <w:sz w:val="21"/>
                <w:szCs w:val="21"/>
                <w:highlight w:val="none"/>
                <w:lang w:eastAsia="zh-CN"/>
              </w:rPr>
              <w:t>组合写字桌</w:t>
            </w:r>
            <w:r>
              <w:rPr>
                <w:color w:val="auto"/>
                <w:spacing w:val="4"/>
                <w:sz w:val="21"/>
                <w:szCs w:val="21"/>
                <w:highlight w:val="none"/>
                <w:lang w:eastAsia="zh-CN"/>
              </w:rPr>
              <w:t xml:space="preserve"> </w:t>
            </w:r>
            <w:r>
              <w:rPr>
                <w:rFonts w:hint="eastAsia"/>
                <w:color w:val="auto"/>
                <w:spacing w:val="4"/>
                <w:sz w:val="21"/>
                <w:szCs w:val="21"/>
                <w:highlight w:val="none"/>
                <w:lang w:eastAsia="zh-CN"/>
              </w:rPr>
              <w:t>序号</w:t>
            </w:r>
            <w:r>
              <w:rPr>
                <w:color w:val="auto"/>
                <w:spacing w:val="4"/>
                <w:sz w:val="21"/>
                <w:szCs w:val="21"/>
                <w:highlight w:val="none"/>
                <w:lang w:eastAsia="zh-CN"/>
              </w:rPr>
              <w:t>3</w:t>
            </w:r>
          </w:p>
          <w:p w14:paraId="619FD396">
            <w:pPr>
              <w:pStyle w:val="21"/>
              <w:widowControl w:val="0"/>
              <w:kinsoku/>
              <w:autoSpaceDE/>
              <w:autoSpaceDN/>
              <w:adjustRightInd/>
              <w:snapToGrid/>
              <w:spacing w:line="360" w:lineRule="auto"/>
              <w:jc w:val="center"/>
              <w:textAlignment w:val="auto"/>
              <w:rPr>
                <w:color w:val="auto"/>
                <w:spacing w:val="4"/>
                <w:sz w:val="21"/>
                <w:szCs w:val="21"/>
                <w:highlight w:val="none"/>
                <w:lang w:eastAsia="zh-CN"/>
              </w:rPr>
            </w:pPr>
            <w:r>
              <w:rPr>
                <w:rFonts w:hint="eastAsia"/>
                <w:color w:val="auto"/>
                <w:spacing w:val="4"/>
                <w:sz w:val="21"/>
                <w:szCs w:val="21"/>
                <w:highlight w:val="none"/>
                <w:lang w:eastAsia="zh-CN"/>
              </w:rPr>
              <w:t>写字椅</w:t>
            </w:r>
            <w:r>
              <w:rPr>
                <w:color w:val="auto"/>
                <w:spacing w:val="4"/>
                <w:sz w:val="21"/>
                <w:szCs w:val="21"/>
                <w:highlight w:val="none"/>
                <w:lang w:eastAsia="zh-CN"/>
              </w:rPr>
              <w:t xml:space="preserve"> </w:t>
            </w:r>
            <w:r>
              <w:rPr>
                <w:rFonts w:hint="eastAsia"/>
                <w:color w:val="auto"/>
                <w:spacing w:val="4"/>
                <w:sz w:val="21"/>
                <w:szCs w:val="21"/>
                <w:highlight w:val="none"/>
                <w:lang w:eastAsia="zh-CN"/>
              </w:rPr>
              <w:t>序号</w:t>
            </w:r>
            <w:r>
              <w:rPr>
                <w:color w:val="auto"/>
                <w:spacing w:val="4"/>
                <w:sz w:val="21"/>
                <w:szCs w:val="21"/>
                <w:highlight w:val="none"/>
                <w:lang w:eastAsia="zh-CN"/>
              </w:rPr>
              <w:t>4</w:t>
            </w:r>
          </w:p>
          <w:p w14:paraId="74B466BF">
            <w:pPr>
              <w:pStyle w:val="21"/>
              <w:widowControl w:val="0"/>
              <w:kinsoku/>
              <w:autoSpaceDE/>
              <w:autoSpaceDN/>
              <w:adjustRightInd/>
              <w:snapToGrid/>
              <w:spacing w:line="360" w:lineRule="auto"/>
              <w:jc w:val="center"/>
              <w:textAlignment w:val="auto"/>
              <w:rPr>
                <w:color w:val="auto"/>
                <w:spacing w:val="4"/>
                <w:sz w:val="21"/>
                <w:szCs w:val="21"/>
                <w:highlight w:val="none"/>
                <w:u w:val="single"/>
                <w:lang w:eastAsia="zh-CN"/>
              </w:rPr>
            </w:pPr>
            <w:r>
              <w:rPr>
                <w:rFonts w:hint="eastAsia"/>
                <w:color w:val="auto"/>
                <w:spacing w:val="4"/>
                <w:sz w:val="21"/>
                <w:szCs w:val="21"/>
                <w:highlight w:val="none"/>
                <w:u w:val="single"/>
                <w:lang w:eastAsia="zh-CN"/>
              </w:rPr>
              <w:t>学习桌</w:t>
            </w:r>
            <w:r>
              <w:rPr>
                <w:color w:val="auto"/>
                <w:spacing w:val="4"/>
                <w:sz w:val="21"/>
                <w:szCs w:val="21"/>
                <w:highlight w:val="none"/>
                <w:u w:val="single"/>
                <w:lang w:eastAsia="zh-CN"/>
              </w:rPr>
              <w:t xml:space="preserve"> </w:t>
            </w:r>
            <w:r>
              <w:rPr>
                <w:rFonts w:hint="eastAsia"/>
                <w:color w:val="auto"/>
                <w:spacing w:val="4"/>
                <w:sz w:val="21"/>
                <w:szCs w:val="21"/>
                <w:highlight w:val="none"/>
                <w:u w:val="single"/>
                <w:lang w:eastAsia="zh-CN"/>
              </w:rPr>
              <w:t>序号</w:t>
            </w:r>
            <w:r>
              <w:rPr>
                <w:color w:val="auto"/>
                <w:spacing w:val="4"/>
                <w:sz w:val="21"/>
                <w:szCs w:val="21"/>
                <w:highlight w:val="none"/>
                <w:u w:val="single"/>
                <w:lang w:eastAsia="zh-CN"/>
              </w:rPr>
              <w:t>15</w:t>
            </w:r>
          </w:p>
          <w:p w14:paraId="4699283B">
            <w:pPr>
              <w:pStyle w:val="21"/>
              <w:widowControl w:val="0"/>
              <w:kinsoku/>
              <w:autoSpaceDE/>
              <w:autoSpaceDN/>
              <w:adjustRightInd/>
              <w:snapToGrid/>
              <w:spacing w:line="360" w:lineRule="auto"/>
              <w:jc w:val="center"/>
              <w:textAlignment w:val="auto"/>
              <w:rPr>
                <w:color w:val="auto"/>
                <w:spacing w:val="4"/>
                <w:sz w:val="21"/>
                <w:szCs w:val="21"/>
                <w:highlight w:val="none"/>
                <w:u w:val="single"/>
                <w:lang w:eastAsia="zh-CN"/>
              </w:rPr>
            </w:pPr>
            <w:r>
              <w:rPr>
                <w:rFonts w:hint="eastAsia"/>
                <w:color w:val="auto"/>
                <w:spacing w:val="4"/>
                <w:sz w:val="21"/>
                <w:szCs w:val="21"/>
                <w:highlight w:val="none"/>
                <w:u w:val="single"/>
                <w:lang w:eastAsia="zh-CN"/>
              </w:rPr>
              <w:t>学习椅</w:t>
            </w:r>
            <w:r>
              <w:rPr>
                <w:color w:val="auto"/>
                <w:spacing w:val="4"/>
                <w:sz w:val="21"/>
                <w:szCs w:val="21"/>
                <w:highlight w:val="none"/>
                <w:u w:val="single"/>
                <w:lang w:eastAsia="zh-CN"/>
              </w:rPr>
              <w:t xml:space="preserve"> </w:t>
            </w:r>
            <w:r>
              <w:rPr>
                <w:rFonts w:hint="eastAsia"/>
                <w:color w:val="auto"/>
                <w:spacing w:val="4"/>
                <w:sz w:val="21"/>
                <w:szCs w:val="21"/>
                <w:highlight w:val="none"/>
                <w:u w:val="single"/>
                <w:lang w:eastAsia="zh-CN"/>
              </w:rPr>
              <w:t>序号</w:t>
            </w:r>
            <w:r>
              <w:rPr>
                <w:color w:val="auto"/>
                <w:spacing w:val="4"/>
                <w:sz w:val="21"/>
                <w:szCs w:val="21"/>
                <w:highlight w:val="none"/>
                <w:u w:val="single"/>
                <w:lang w:eastAsia="zh-CN"/>
              </w:rPr>
              <w:t>16</w:t>
            </w:r>
          </w:p>
          <w:p w14:paraId="0FCF9753">
            <w:pPr>
              <w:pStyle w:val="21"/>
              <w:widowControl w:val="0"/>
              <w:kinsoku/>
              <w:autoSpaceDE/>
              <w:autoSpaceDN/>
              <w:adjustRightInd/>
              <w:snapToGrid/>
              <w:spacing w:line="360" w:lineRule="auto"/>
              <w:jc w:val="center"/>
              <w:textAlignment w:val="auto"/>
              <w:rPr>
                <w:color w:val="auto"/>
                <w:spacing w:val="4"/>
                <w:sz w:val="21"/>
                <w:szCs w:val="21"/>
                <w:highlight w:val="none"/>
                <w:lang w:eastAsia="zh-CN"/>
              </w:rPr>
            </w:pPr>
          </w:p>
        </w:tc>
        <w:tc>
          <w:tcPr>
            <w:tcW w:w="3362" w:type="dxa"/>
            <w:vMerge w:val="continue"/>
            <w:vAlign w:val="center"/>
          </w:tcPr>
          <w:p w14:paraId="63CA426F">
            <w:pPr>
              <w:pStyle w:val="21"/>
              <w:widowControl w:val="0"/>
              <w:kinsoku/>
              <w:autoSpaceDE/>
              <w:autoSpaceDN/>
              <w:adjustRightInd/>
              <w:snapToGrid/>
              <w:spacing w:line="360" w:lineRule="auto"/>
              <w:jc w:val="center"/>
              <w:textAlignment w:val="auto"/>
              <w:rPr>
                <w:color w:val="auto"/>
                <w:spacing w:val="4"/>
                <w:sz w:val="21"/>
                <w:szCs w:val="21"/>
                <w:highlight w:val="none"/>
                <w:lang w:eastAsia="zh-CN"/>
              </w:rPr>
            </w:pPr>
          </w:p>
        </w:tc>
        <w:tc>
          <w:tcPr>
            <w:tcW w:w="6825" w:type="dxa"/>
            <w:vAlign w:val="center"/>
          </w:tcPr>
          <w:p w14:paraId="6407FFB0">
            <w:pPr>
              <w:pStyle w:val="21"/>
              <w:widowControl w:val="0"/>
              <w:kinsoku/>
              <w:autoSpaceDE/>
              <w:autoSpaceDN/>
              <w:adjustRightInd/>
              <w:snapToGrid/>
              <w:spacing w:line="360" w:lineRule="auto"/>
              <w:jc w:val="center"/>
              <w:textAlignment w:val="auto"/>
              <w:rPr>
                <w:color w:val="auto"/>
                <w:sz w:val="21"/>
                <w:szCs w:val="21"/>
                <w:highlight w:val="none"/>
              </w:rPr>
            </w:pPr>
            <w:r>
              <w:rPr>
                <w:rFonts w:hint="eastAsia"/>
                <w:color w:val="auto"/>
                <w:spacing w:val="-13"/>
                <w:sz w:val="21"/>
                <w:szCs w:val="21"/>
                <w:highlight w:val="none"/>
                <w:lang w:eastAsia="zh-CN"/>
              </w:rPr>
              <w:t>各</w:t>
            </w:r>
            <w:r>
              <w:rPr>
                <w:color w:val="auto"/>
                <w:spacing w:val="-13"/>
                <w:sz w:val="21"/>
                <w:szCs w:val="21"/>
                <w:highlight w:val="none"/>
                <w:lang w:eastAsia="zh-CN"/>
              </w:rPr>
              <w:t>1件</w:t>
            </w:r>
          </w:p>
        </w:tc>
      </w:tr>
    </w:tbl>
    <w:p w14:paraId="3D4C4256">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说明：</w:t>
      </w:r>
    </w:p>
    <w:p w14:paraId="7851E884">
      <w:pPr>
        <w:spacing w:before="1"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1.投标人需要按以上要求提交样品，中标样品交由采购人作为履约验收参考，最终产品使用的原辅材料不得低于样品的标准。</w:t>
      </w:r>
    </w:p>
    <w:p w14:paraId="7405957A">
      <w:pPr>
        <w:rPr>
          <w:rFonts w:ascii="宋体" w:hAnsi="宋体" w:eastAsia="宋体" w:cs="宋体"/>
          <w:color w:val="auto"/>
          <w:highlight w:val="none"/>
          <w:lang w:eastAsia="zh-CN"/>
        </w:rPr>
      </w:pPr>
      <w:r>
        <w:rPr>
          <w:rFonts w:hint="eastAsia" w:ascii="宋体" w:hAnsi="宋体" w:eastAsia="宋体" w:cs="宋体"/>
          <w:color w:val="auto"/>
          <w:highlight w:val="none"/>
          <w:lang w:eastAsia="zh-CN"/>
        </w:rPr>
        <w:t>2.允许样品的规格尺寸与上述要求有合理偏差，但投标人中标后必须按照采购需求中规定的规格尺寸生产供货，不得影响交付正常使用。</w:t>
      </w:r>
    </w:p>
    <w:p w14:paraId="5239013E">
      <w:pPr>
        <w:spacing w:before="1"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3.投标人需在标书中提供样品清单（格式自拟）：列出此次样品涉及的材料品牌、五金配件品牌、型号、制造厂商。</w:t>
      </w:r>
    </w:p>
    <w:p w14:paraId="27063038">
      <w:pPr>
        <w:spacing w:line="360" w:lineRule="auto"/>
        <w:rPr>
          <w:rFonts w:ascii="宋体" w:hAnsi="宋体" w:eastAsia="宋体" w:cs="宋体"/>
          <w:color w:val="auto"/>
          <w:highlight w:val="none"/>
          <w:lang w:eastAsia="zh-CN"/>
        </w:rPr>
      </w:pPr>
    </w:p>
    <w:p w14:paraId="6422E51F">
      <w:pPr>
        <w:spacing w:line="360" w:lineRule="auto"/>
        <w:rPr>
          <w:rFonts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样品款式如下：</w:t>
      </w:r>
    </w:p>
    <w:p w14:paraId="19163DB9">
      <w:pPr>
        <w:pStyle w:val="21"/>
        <w:widowControl w:val="0"/>
        <w:kinsoku/>
        <w:autoSpaceDE/>
        <w:autoSpaceDN/>
        <w:adjustRightInd/>
        <w:snapToGrid/>
        <w:spacing w:line="360" w:lineRule="auto"/>
        <w:jc w:val="both"/>
        <w:textAlignment w:val="auto"/>
        <w:rPr>
          <w:b/>
          <w:bCs/>
          <w:color w:val="auto"/>
          <w:sz w:val="24"/>
          <w:szCs w:val="24"/>
          <w:highlight w:val="none"/>
          <w:lang w:eastAsia="zh-CN"/>
        </w:rPr>
      </w:pPr>
      <w:r>
        <w:rPr>
          <w:rFonts w:hint="eastAsia"/>
          <w:b/>
          <w:bCs/>
          <w:color w:val="auto"/>
          <w:spacing w:val="4"/>
          <w:sz w:val="24"/>
          <w:szCs w:val="24"/>
          <w:highlight w:val="none"/>
          <w:lang w:eastAsia="zh-CN"/>
        </w:rPr>
        <w:t>组合公寓床（</w:t>
      </w:r>
      <w:r>
        <w:rPr>
          <w:rFonts w:hint="eastAsia"/>
          <w:color w:val="auto"/>
          <w:spacing w:val="4"/>
          <w:sz w:val="21"/>
          <w:szCs w:val="21"/>
          <w:highlight w:val="none"/>
          <w:lang w:eastAsia="zh-CN"/>
        </w:rPr>
        <w:t>序号1</w:t>
      </w:r>
      <w:r>
        <w:rPr>
          <w:rFonts w:hint="eastAsia"/>
          <w:b/>
          <w:bCs/>
          <w:color w:val="auto"/>
          <w:spacing w:val="4"/>
          <w:sz w:val="24"/>
          <w:szCs w:val="24"/>
          <w:highlight w:val="none"/>
          <w:lang w:eastAsia="zh-CN"/>
        </w:rPr>
        <w:t>）</w:t>
      </w:r>
      <w:r>
        <w:rPr>
          <w:rFonts w:hint="eastAsia"/>
          <w:b/>
          <w:bCs/>
          <w:color w:val="auto"/>
          <w:sz w:val="24"/>
          <w:szCs w:val="24"/>
          <w:highlight w:val="none"/>
          <w:lang w:eastAsia="zh-CN"/>
        </w:rPr>
        <w:t>款式：：</w:t>
      </w:r>
    </w:p>
    <w:p w14:paraId="07C83589">
      <w:pPr>
        <w:spacing w:line="360" w:lineRule="auto"/>
        <w:rPr>
          <w:rFonts w:ascii="宋体" w:hAnsi="宋体" w:eastAsia="宋体" w:cs="宋体"/>
          <w:color w:val="auto"/>
          <w:highlight w:val="none"/>
          <w:lang w:eastAsia="zh-CN"/>
        </w:rPr>
      </w:pPr>
      <w:r>
        <w:rPr>
          <w:color w:val="auto"/>
          <w:highlight w:val="none"/>
        </w:rPr>
        <w:drawing>
          <wp:inline distT="0" distB="0" distL="114300" distR="114300">
            <wp:extent cx="11010900" cy="6343650"/>
            <wp:effectExtent l="0" t="0" r="6350" b="635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5"/>
                    <a:stretch>
                      <a:fillRect/>
                    </a:stretch>
                  </pic:blipFill>
                  <pic:spPr>
                    <a:xfrm>
                      <a:off x="0" y="0"/>
                      <a:ext cx="11010900" cy="6343650"/>
                    </a:xfrm>
                    <a:prstGeom prst="rect">
                      <a:avLst/>
                    </a:prstGeom>
                    <a:noFill/>
                    <a:ln>
                      <a:noFill/>
                    </a:ln>
                  </pic:spPr>
                </pic:pic>
              </a:graphicData>
            </a:graphic>
          </wp:inline>
        </w:drawing>
      </w:r>
    </w:p>
    <w:p w14:paraId="3E1E19EE">
      <w:pPr>
        <w:pStyle w:val="21"/>
        <w:widowControl w:val="0"/>
        <w:kinsoku/>
        <w:autoSpaceDE/>
        <w:autoSpaceDN/>
        <w:adjustRightInd/>
        <w:snapToGrid/>
        <w:spacing w:line="360" w:lineRule="auto"/>
        <w:jc w:val="both"/>
        <w:textAlignment w:val="auto"/>
        <w:rPr>
          <w:b/>
          <w:bCs/>
          <w:color w:val="auto"/>
          <w:sz w:val="24"/>
          <w:szCs w:val="24"/>
          <w:highlight w:val="none"/>
          <w:lang w:eastAsia="zh-CN"/>
        </w:rPr>
      </w:pPr>
      <w:r>
        <w:rPr>
          <w:rFonts w:hint="eastAsia"/>
          <w:b/>
          <w:bCs/>
          <w:color w:val="auto"/>
          <w:spacing w:val="4"/>
          <w:sz w:val="24"/>
          <w:szCs w:val="24"/>
          <w:highlight w:val="none"/>
          <w:lang w:eastAsia="zh-CN"/>
        </w:rPr>
        <w:t>组合写字桌（</w:t>
      </w:r>
      <w:r>
        <w:rPr>
          <w:rFonts w:hint="eastAsia"/>
          <w:color w:val="auto"/>
          <w:spacing w:val="4"/>
          <w:sz w:val="21"/>
          <w:szCs w:val="21"/>
          <w:highlight w:val="none"/>
          <w:lang w:eastAsia="zh-CN"/>
        </w:rPr>
        <w:t>序号3</w:t>
      </w:r>
      <w:r>
        <w:rPr>
          <w:rFonts w:hint="eastAsia"/>
          <w:b/>
          <w:bCs/>
          <w:color w:val="auto"/>
          <w:spacing w:val="4"/>
          <w:sz w:val="24"/>
          <w:szCs w:val="24"/>
          <w:highlight w:val="none"/>
          <w:lang w:eastAsia="zh-CN"/>
        </w:rPr>
        <w:t>）、</w:t>
      </w:r>
      <w:r>
        <w:rPr>
          <w:rFonts w:hint="eastAsia"/>
          <w:color w:val="auto"/>
          <w:spacing w:val="4"/>
          <w:sz w:val="21"/>
          <w:szCs w:val="21"/>
          <w:highlight w:val="none"/>
          <w:lang w:eastAsia="zh-CN"/>
        </w:rPr>
        <w:t>写字椅 （序号4）</w:t>
      </w:r>
      <w:r>
        <w:rPr>
          <w:rFonts w:hint="eastAsia"/>
          <w:b/>
          <w:bCs/>
          <w:color w:val="auto"/>
          <w:sz w:val="24"/>
          <w:szCs w:val="24"/>
          <w:highlight w:val="none"/>
          <w:lang w:eastAsia="zh-CN"/>
        </w:rPr>
        <w:t>：</w:t>
      </w:r>
    </w:p>
    <w:p w14:paraId="62D4D21D">
      <w:pPr>
        <w:spacing w:line="360" w:lineRule="auto"/>
        <w:rPr>
          <w:color w:val="auto"/>
          <w:highlight w:val="none"/>
        </w:rPr>
      </w:pPr>
      <w:r>
        <w:rPr>
          <w:color w:val="auto"/>
          <w:highlight w:val="none"/>
        </w:rPr>
        <w:drawing>
          <wp:inline distT="0" distB="0" distL="114300" distR="114300">
            <wp:extent cx="11163300" cy="6553200"/>
            <wp:effectExtent l="0" t="0" r="12700" b="317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6"/>
                    <a:stretch>
                      <a:fillRect/>
                    </a:stretch>
                  </pic:blipFill>
                  <pic:spPr>
                    <a:xfrm>
                      <a:off x="0" y="0"/>
                      <a:ext cx="11163300" cy="6553200"/>
                    </a:xfrm>
                    <a:prstGeom prst="rect">
                      <a:avLst/>
                    </a:prstGeom>
                    <a:noFill/>
                    <a:ln>
                      <a:noFill/>
                    </a:ln>
                  </pic:spPr>
                </pic:pic>
              </a:graphicData>
            </a:graphic>
          </wp:inline>
        </w:drawing>
      </w:r>
    </w:p>
    <w:p w14:paraId="67F461CA">
      <w:pPr>
        <w:spacing w:line="360" w:lineRule="auto"/>
        <w:rPr>
          <w:color w:val="auto"/>
          <w:highlight w:val="none"/>
        </w:rPr>
      </w:pPr>
    </w:p>
    <w:p w14:paraId="3415EC15">
      <w:pPr>
        <w:spacing w:line="360" w:lineRule="auto"/>
        <w:rPr>
          <w:color w:val="auto"/>
          <w:highlight w:val="none"/>
        </w:rPr>
      </w:pPr>
    </w:p>
    <w:p w14:paraId="0967A9C1">
      <w:pPr>
        <w:spacing w:line="360" w:lineRule="auto"/>
        <w:rPr>
          <w:b/>
          <w:bCs/>
          <w:color w:val="auto"/>
          <w:sz w:val="24"/>
          <w:szCs w:val="24"/>
          <w:highlight w:val="none"/>
          <w:lang w:eastAsia="zh-CN"/>
        </w:rPr>
      </w:pPr>
      <w:r>
        <w:rPr>
          <w:rFonts w:hint="eastAsia" w:ascii="宋体" w:hAnsi="宋体" w:eastAsia="宋体" w:cs="宋体"/>
          <w:b/>
          <w:bCs/>
          <w:color w:val="auto"/>
          <w:sz w:val="24"/>
          <w:szCs w:val="24"/>
          <w:highlight w:val="none"/>
          <w:lang w:eastAsia="zh-CN"/>
        </w:rPr>
        <w:t>学习桌（序号15）、学习椅（序号16）</w:t>
      </w:r>
    </w:p>
    <w:p w14:paraId="387CC886">
      <w:pPr>
        <w:spacing w:line="360" w:lineRule="auto"/>
        <w:rPr>
          <w:rFonts w:ascii="宋体" w:hAnsi="宋体" w:eastAsia="宋体" w:cs="宋体"/>
          <w:color w:val="auto"/>
          <w:highlight w:val="none"/>
          <w:lang w:eastAsia="zh-CN"/>
        </w:rPr>
      </w:pPr>
      <w:r>
        <w:rPr>
          <w:color w:val="auto"/>
          <w:highlight w:val="none"/>
        </w:rPr>
        <w:drawing>
          <wp:inline distT="0" distB="0" distL="114300" distR="114300">
            <wp:extent cx="10991850" cy="6457950"/>
            <wp:effectExtent l="0" t="0" r="9525" b="3175"/>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pic:cNvPicPr>
                      <a:picLocks noChangeAspect="1"/>
                    </pic:cNvPicPr>
                  </pic:nvPicPr>
                  <pic:blipFill>
                    <a:blip r:embed="rId7"/>
                    <a:stretch>
                      <a:fillRect/>
                    </a:stretch>
                  </pic:blipFill>
                  <pic:spPr>
                    <a:xfrm>
                      <a:off x="0" y="0"/>
                      <a:ext cx="10991850" cy="6457950"/>
                    </a:xfrm>
                    <a:prstGeom prst="rect">
                      <a:avLst/>
                    </a:prstGeom>
                    <a:noFill/>
                    <a:ln>
                      <a:noFill/>
                    </a:ln>
                  </pic:spPr>
                </pic:pic>
              </a:graphicData>
            </a:graphic>
          </wp:inline>
        </w:drawing>
      </w:r>
    </w:p>
    <w:p w14:paraId="4D5D63B1">
      <w:pPr>
        <w:spacing w:line="360" w:lineRule="auto"/>
        <w:rPr>
          <w:rFonts w:ascii="宋体" w:hAnsi="宋体" w:eastAsia="宋体" w:cs="宋体"/>
          <w:color w:val="auto"/>
          <w:highlight w:val="none"/>
          <w:lang w:eastAsia="zh-CN"/>
        </w:rPr>
      </w:pPr>
    </w:p>
    <w:p w14:paraId="75219F65">
      <w:pPr>
        <w:spacing w:line="360" w:lineRule="auto"/>
        <w:rPr>
          <w:rFonts w:ascii="宋体" w:hAnsi="宋体" w:eastAsia="宋体" w:cs="宋体"/>
          <w:color w:val="auto"/>
          <w:highlight w:val="none"/>
          <w:lang w:eastAsia="zh-CN"/>
        </w:rPr>
      </w:pPr>
    </w:p>
    <w:p w14:paraId="702152B4">
      <w:pPr>
        <w:pStyle w:val="8"/>
        <w:spacing w:before="120" w:line="360" w:lineRule="auto"/>
        <w:ind w:left="160" w:firstLine="404" w:firstLineChars="200"/>
        <w:outlineLvl w:val="6"/>
        <w:rPr>
          <w:color w:val="auto"/>
          <w:sz w:val="21"/>
          <w:szCs w:val="21"/>
          <w:highlight w:val="none"/>
          <w:lang w:eastAsia="zh-CN"/>
        </w:rPr>
      </w:pPr>
      <w:r>
        <w:rPr>
          <w:rFonts w:hint="eastAsia"/>
          <w:b/>
          <w:bCs/>
          <w:color w:val="auto"/>
          <w:spacing w:val="-4"/>
          <w:sz w:val="21"/>
          <w:szCs w:val="21"/>
          <w:highlight w:val="none"/>
          <w:lang w:eastAsia="zh-CN"/>
        </w:rPr>
        <w:t>七、供货及验收</w:t>
      </w:r>
    </w:p>
    <w:p w14:paraId="4CF53D39">
      <w:pPr>
        <w:spacing w:line="360" w:lineRule="auto"/>
        <w:rPr>
          <w:rFonts w:ascii="宋体" w:hAnsi="宋体" w:eastAsia="宋体" w:cs="宋体"/>
          <w:color w:val="auto"/>
          <w:highlight w:val="none"/>
          <w:lang w:eastAsia="zh-CN"/>
        </w:rPr>
      </w:pPr>
    </w:p>
    <w:tbl>
      <w:tblPr>
        <w:tblStyle w:val="22"/>
        <w:tblW w:w="177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43"/>
        <w:gridCol w:w="13856"/>
      </w:tblGrid>
      <w:tr w14:paraId="44E07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3943" w:type="dxa"/>
          </w:tcPr>
          <w:p w14:paraId="3DDA1551">
            <w:pPr>
              <w:pStyle w:val="21"/>
              <w:spacing w:before="190" w:line="360" w:lineRule="auto"/>
              <w:jc w:val="center"/>
              <w:rPr>
                <w:b/>
                <w:bCs/>
                <w:color w:val="auto"/>
                <w:sz w:val="21"/>
                <w:szCs w:val="21"/>
                <w:highlight w:val="none"/>
              </w:rPr>
            </w:pPr>
            <w:r>
              <w:rPr>
                <w:rFonts w:hint="eastAsia"/>
                <w:b/>
                <w:bCs/>
                <w:color w:val="auto"/>
                <w:spacing w:val="-10"/>
                <w:sz w:val="21"/>
                <w:szCs w:val="21"/>
                <w:highlight w:val="none"/>
              </w:rPr>
              <w:t>分类</w:t>
            </w:r>
          </w:p>
        </w:tc>
        <w:tc>
          <w:tcPr>
            <w:tcW w:w="13856" w:type="dxa"/>
          </w:tcPr>
          <w:p w14:paraId="3B624140">
            <w:pPr>
              <w:pStyle w:val="21"/>
              <w:spacing w:before="190" w:line="360" w:lineRule="auto"/>
              <w:ind w:left="5471"/>
              <w:rPr>
                <w:b/>
                <w:bCs/>
                <w:color w:val="auto"/>
                <w:sz w:val="21"/>
                <w:szCs w:val="21"/>
                <w:highlight w:val="none"/>
              </w:rPr>
            </w:pPr>
            <w:r>
              <w:rPr>
                <w:rFonts w:hint="eastAsia"/>
                <w:b/>
                <w:bCs/>
                <w:color w:val="auto"/>
                <w:spacing w:val="-30"/>
                <w:sz w:val="21"/>
                <w:szCs w:val="21"/>
                <w:highlight w:val="none"/>
              </w:rPr>
              <w:t>内容</w:t>
            </w:r>
          </w:p>
        </w:tc>
      </w:tr>
      <w:tr w14:paraId="5AC91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3" w:hRule="atLeast"/>
        </w:trPr>
        <w:tc>
          <w:tcPr>
            <w:tcW w:w="3943" w:type="dxa"/>
          </w:tcPr>
          <w:p w14:paraId="3B48F305">
            <w:pPr>
              <w:pStyle w:val="21"/>
              <w:spacing w:before="120" w:line="360" w:lineRule="auto"/>
              <w:jc w:val="center"/>
              <w:rPr>
                <w:color w:val="auto"/>
                <w:spacing w:val="4"/>
                <w:sz w:val="21"/>
                <w:szCs w:val="21"/>
                <w:highlight w:val="none"/>
              </w:rPr>
            </w:pPr>
          </w:p>
          <w:p w14:paraId="0EA1C1E1">
            <w:pPr>
              <w:pStyle w:val="21"/>
              <w:spacing w:before="120" w:line="360" w:lineRule="auto"/>
              <w:jc w:val="center"/>
              <w:rPr>
                <w:color w:val="auto"/>
                <w:sz w:val="21"/>
                <w:szCs w:val="21"/>
                <w:highlight w:val="none"/>
              </w:rPr>
            </w:pPr>
            <w:r>
              <w:rPr>
                <w:rFonts w:hint="eastAsia"/>
                <w:color w:val="auto"/>
                <w:spacing w:val="4"/>
                <w:sz w:val="21"/>
                <w:szCs w:val="21"/>
                <w:highlight w:val="none"/>
              </w:rPr>
              <w:t>供货要求</w:t>
            </w:r>
          </w:p>
        </w:tc>
        <w:tc>
          <w:tcPr>
            <w:tcW w:w="13856" w:type="dxa"/>
          </w:tcPr>
          <w:p w14:paraId="05B13EA5">
            <w:pPr>
              <w:pStyle w:val="21"/>
              <w:spacing w:before="191" w:line="360" w:lineRule="auto"/>
              <w:ind w:left="152" w:right="180" w:hanging="10"/>
              <w:rPr>
                <w:color w:val="auto"/>
                <w:sz w:val="21"/>
                <w:szCs w:val="21"/>
                <w:highlight w:val="none"/>
                <w:lang w:eastAsia="zh-CN"/>
              </w:rPr>
            </w:pPr>
          </w:p>
          <w:p w14:paraId="680085E4">
            <w:pPr>
              <w:pStyle w:val="21"/>
              <w:spacing w:before="191" w:line="360" w:lineRule="auto"/>
              <w:ind w:right="180"/>
              <w:rPr>
                <w:color w:val="auto"/>
                <w:sz w:val="21"/>
                <w:szCs w:val="21"/>
                <w:highlight w:val="none"/>
                <w:lang w:eastAsia="zh-CN"/>
              </w:rPr>
            </w:pPr>
            <w:r>
              <w:rPr>
                <w:rFonts w:hint="eastAsia"/>
                <w:color w:val="auto"/>
                <w:sz w:val="21"/>
                <w:szCs w:val="21"/>
                <w:highlight w:val="none"/>
                <w:lang w:eastAsia="zh-CN"/>
              </w:rPr>
              <w:t>供应商应当在合同签订后不多于</w:t>
            </w:r>
            <w:r>
              <w:rPr>
                <w:color w:val="auto"/>
                <w:sz w:val="21"/>
                <w:szCs w:val="21"/>
                <w:highlight w:val="none"/>
                <w:u w:val="single"/>
                <w:lang w:eastAsia="zh-CN"/>
              </w:rPr>
              <w:t>50</w:t>
            </w:r>
            <w:r>
              <w:rPr>
                <w:rFonts w:hint="eastAsia"/>
                <w:color w:val="auto"/>
                <w:sz w:val="21"/>
                <w:szCs w:val="21"/>
                <w:highlight w:val="none"/>
                <w:lang w:eastAsia="zh-CN"/>
              </w:rPr>
              <w:t>个自然日内供货及安装完毕。供应商</w:t>
            </w:r>
            <w:r>
              <w:rPr>
                <w:rFonts w:hint="eastAsia"/>
                <w:color w:val="auto"/>
                <w:spacing w:val="6"/>
                <w:sz w:val="21"/>
                <w:szCs w:val="21"/>
                <w:highlight w:val="none"/>
                <w:lang w:eastAsia="zh-CN"/>
              </w:rPr>
              <w:t>所提供的货物应符合国家相关质量标准；货物名称、型号规格、数</w:t>
            </w:r>
            <w:r>
              <w:rPr>
                <w:rFonts w:hint="eastAsia"/>
                <w:color w:val="auto"/>
                <w:spacing w:val="5"/>
                <w:sz w:val="21"/>
                <w:szCs w:val="21"/>
                <w:highlight w:val="none"/>
                <w:lang w:eastAsia="zh-CN"/>
              </w:rPr>
              <w:t>量、</w:t>
            </w:r>
            <w:r>
              <w:rPr>
                <w:rFonts w:hint="eastAsia"/>
                <w:color w:val="auto"/>
                <w:spacing w:val="-1"/>
                <w:sz w:val="21"/>
                <w:szCs w:val="21"/>
                <w:highlight w:val="none"/>
                <w:lang w:eastAsia="zh-CN"/>
              </w:rPr>
              <w:t>颜色、外观等符合采购人要求，不得有损毁或损坏。</w:t>
            </w:r>
          </w:p>
        </w:tc>
      </w:tr>
      <w:tr w14:paraId="00A7E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3943" w:type="dxa"/>
          </w:tcPr>
          <w:p w14:paraId="6704E645">
            <w:pPr>
              <w:pStyle w:val="21"/>
              <w:spacing w:before="185" w:line="360" w:lineRule="auto"/>
              <w:jc w:val="center"/>
              <w:rPr>
                <w:color w:val="auto"/>
                <w:sz w:val="21"/>
                <w:szCs w:val="21"/>
                <w:highlight w:val="none"/>
              </w:rPr>
            </w:pPr>
            <w:r>
              <w:rPr>
                <w:rFonts w:hint="eastAsia"/>
                <w:color w:val="auto"/>
                <w:spacing w:val="4"/>
                <w:sz w:val="21"/>
                <w:szCs w:val="21"/>
                <w:highlight w:val="none"/>
              </w:rPr>
              <w:t>验收要求</w:t>
            </w:r>
          </w:p>
        </w:tc>
        <w:tc>
          <w:tcPr>
            <w:tcW w:w="13856" w:type="dxa"/>
          </w:tcPr>
          <w:p w14:paraId="0AADB484">
            <w:pPr>
              <w:pStyle w:val="21"/>
              <w:spacing w:before="182" w:line="360" w:lineRule="auto"/>
              <w:ind w:left="152"/>
              <w:rPr>
                <w:color w:val="auto"/>
                <w:sz w:val="21"/>
                <w:szCs w:val="21"/>
                <w:highlight w:val="none"/>
                <w:lang w:eastAsia="zh-CN"/>
              </w:rPr>
            </w:pPr>
            <w:r>
              <w:rPr>
                <w:rFonts w:hint="eastAsia"/>
                <w:color w:val="auto"/>
                <w:sz w:val="21"/>
                <w:szCs w:val="21"/>
                <w:highlight w:val="none"/>
                <w:lang w:eastAsia="zh-CN"/>
              </w:rPr>
              <w:t>家具安装、调试后，由供、需双方按照合同约定对</w:t>
            </w:r>
            <w:r>
              <w:rPr>
                <w:rFonts w:hint="eastAsia"/>
                <w:color w:val="auto"/>
                <w:spacing w:val="-1"/>
                <w:sz w:val="21"/>
                <w:szCs w:val="21"/>
                <w:highlight w:val="none"/>
                <w:lang w:eastAsia="zh-CN"/>
              </w:rPr>
              <w:t>家具进行验收。</w:t>
            </w:r>
            <w:r>
              <w:rPr>
                <w:rFonts w:hint="eastAsia"/>
                <w:color w:val="auto"/>
                <w:sz w:val="21"/>
                <w:szCs w:val="21"/>
                <w:highlight w:val="none"/>
                <w:lang w:eastAsia="zh-CN"/>
              </w:rPr>
              <w:t>验收包括清点数量、检查外观、家具使用规范说明，供应商应当提供家具清单、验收清单</w:t>
            </w:r>
          </w:p>
        </w:tc>
      </w:tr>
      <w:tr w14:paraId="36B404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3943" w:type="dxa"/>
            <w:shd w:val="clear" w:color="auto" w:fill="auto"/>
            <w:vAlign w:val="center"/>
          </w:tcPr>
          <w:p w14:paraId="4724A834">
            <w:pPr>
              <w:pStyle w:val="21"/>
              <w:spacing w:before="201" w:line="360" w:lineRule="auto"/>
              <w:jc w:val="center"/>
              <w:rPr>
                <w:color w:val="auto"/>
                <w:sz w:val="21"/>
                <w:szCs w:val="21"/>
                <w:highlight w:val="none"/>
              </w:rPr>
            </w:pPr>
            <w:r>
              <w:rPr>
                <w:rFonts w:hint="eastAsia"/>
                <w:color w:val="auto"/>
                <w:spacing w:val="4"/>
                <w:sz w:val="21"/>
                <w:szCs w:val="21"/>
                <w:highlight w:val="none"/>
              </w:rPr>
              <w:t>包装要求</w:t>
            </w:r>
          </w:p>
        </w:tc>
        <w:tc>
          <w:tcPr>
            <w:tcW w:w="13856" w:type="dxa"/>
            <w:shd w:val="clear" w:color="auto" w:fill="auto"/>
          </w:tcPr>
          <w:p w14:paraId="440D31A7">
            <w:pPr>
              <w:pStyle w:val="21"/>
              <w:spacing w:before="191" w:line="288" w:lineRule="auto"/>
              <w:ind w:left="153" w:right="180" w:hanging="10"/>
              <w:rPr>
                <w:color w:val="auto"/>
                <w:sz w:val="21"/>
                <w:szCs w:val="21"/>
                <w:highlight w:val="none"/>
                <w:lang w:eastAsia="zh-CN"/>
              </w:rPr>
            </w:pPr>
            <w:r>
              <w:rPr>
                <w:rFonts w:hint="eastAsia"/>
                <w:color w:val="auto"/>
                <w:sz w:val="21"/>
                <w:szCs w:val="21"/>
                <w:highlight w:val="none"/>
                <w:lang w:eastAsia="zh-CN"/>
              </w:rPr>
              <w:t>采购中如涉及商品包装和快递包装的，其包装需求标准应不低于《关于印发〈商品包装政府采购需求标准（试行）〉〈快递包装政府采购需求标准（试行）〉的通知》（财办库〔</w:t>
            </w:r>
            <w:r>
              <w:rPr>
                <w:color w:val="auto"/>
                <w:sz w:val="21"/>
                <w:szCs w:val="21"/>
                <w:highlight w:val="none"/>
                <w:lang w:eastAsia="zh-CN"/>
              </w:rPr>
              <w:t>2020〕123号）规定的包装要求。采购人、供应商双方签订合同及验收环节，应包含上述包装要求的条款。</w:t>
            </w:r>
          </w:p>
        </w:tc>
      </w:tr>
    </w:tbl>
    <w:p w14:paraId="53181DF9">
      <w:pPr>
        <w:spacing w:line="360" w:lineRule="auto"/>
        <w:rPr>
          <w:rFonts w:ascii="宋体" w:hAnsi="宋体" w:eastAsia="宋体" w:cs="宋体"/>
          <w:color w:val="auto"/>
          <w:highlight w:val="none"/>
          <w:lang w:eastAsia="zh-CN"/>
        </w:rPr>
        <w:sectPr>
          <w:pgSz w:w="23810" w:h="16840"/>
          <w:pgMar w:top="400" w:right="3571" w:bottom="0" w:left="1505" w:header="0" w:footer="0" w:gutter="0"/>
          <w:cols w:space="720" w:num="1"/>
        </w:sectPr>
      </w:pPr>
    </w:p>
    <w:p w14:paraId="5F271727">
      <w:pPr>
        <w:pStyle w:val="8"/>
        <w:spacing w:before="120" w:line="360" w:lineRule="auto"/>
        <w:rPr>
          <w:color w:val="auto"/>
          <w:sz w:val="21"/>
          <w:szCs w:val="21"/>
          <w:highlight w:val="none"/>
          <w:lang w:eastAsia="zh-CN"/>
        </w:rPr>
      </w:pPr>
      <w:r>
        <w:rPr>
          <w:rFonts w:hint="eastAsia"/>
          <w:b/>
          <w:bCs/>
          <w:color w:val="auto"/>
          <w:spacing w:val="-3"/>
          <w:sz w:val="21"/>
          <w:szCs w:val="21"/>
          <w:highlight w:val="none"/>
          <w:lang w:eastAsia="zh-CN"/>
        </w:rPr>
        <w:t>八、服务要求</w:t>
      </w:r>
    </w:p>
    <w:p w14:paraId="278C8FF6">
      <w:pPr>
        <w:spacing w:line="360" w:lineRule="auto"/>
        <w:rPr>
          <w:rFonts w:ascii="宋体" w:hAnsi="宋体" w:eastAsia="宋体" w:cs="宋体"/>
          <w:color w:val="auto"/>
          <w:highlight w:val="none"/>
          <w:lang w:eastAsia="zh-CN"/>
        </w:rPr>
      </w:pPr>
    </w:p>
    <w:tbl>
      <w:tblPr>
        <w:tblStyle w:val="22"/>
        <w:tblW w:w="159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43"/>
        <w:gridCol w:w="12007"/>
      </w:tblGrid>
      <w:tr w14:paraId="51DC9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3943" w:type="dxa"/>
          </w:tcPr>
          <w:p w14:paraId="20734E6B">
            <w:pPr>
              <w:pStyle w:val="21"/>
              <w:spacing w:before="180" w:line="360" w:lineRule="auto"/>
              <w:jc w:val="center"/>
              <w:rPr>
                <w:b/>
                <w:bCs/>
                <w:color w:val="auto"/>
                <w:sz w:val="21"/>
                <w:szCs w:val="21"/>
                <w:highlight w:val="none"/>
              </w:rPr>
            </w:pPr>
            <w:r>
              <w:rPr>
                <w:rFonts w:hint="eastAsia"/>
                <w:b/>
                <w:bCs/>
                <w:color w:val="auto"/>
                <w:sz w:val="21"/>
                <w:szCs w:val="21"/>
                <w:highlight w:val="none"/>
              </w:rPr>
              <w:t>分类</w:t>
            </w:r>
          </w:p>
        </w:tc>
        <w:tc>
          <w:tcPr>
            <w:tcW w:w="12007" w:type="dxa"/>
          </w:tcPr>
          <w:p w14:paraId="4A0143C5">
            <w:pPr>
              <w:pStyle w:val="21"/>
              <w:spacing w:before="180" w:line="360" w:lineRule="auto"/>
              <w:ind w:left="5431"/>
              <w:rPr>
                <w:b/>
                <w:bCs/>
                <w:color w:val="auto"/>
                <w:sz w:val="21"/>
                <w:szCs w:val="21"/>
                <w:highlight w:val="none"/>
              </w:rPr>
            </w:pPr>
            <w:r>
              <w:rPr>
                <w:rFonts w:hint="eastAsia"/>
                <w:b/>
                <w:bCs/>
                <w:color w:val="auto"/>
                <w:sz w:val="21"/>
                <w:szCs w:val="21"/>
                <w:highlight w:val="none"/>
              </w:rPr>
              <w:t>内容</w:t>
            </w:r>
          </w:p>
        </w:tc>
      </w:tr>
      <w:tr w14:paraId="2EFB3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26" w:hRule="atLeast"/>
        </w:trPr>
        <w:tc>
          <w:tcPr>
            <w:tcW w:w="3943" w:type="dxa"/>
            <w:vAlign w:val="center"/>
          </w:tcPr>
          <w:p w14:paraId="780E4298">
            <w:pPr>
              <w:pStyle w:val="21"/>
              <w:spacing w:before="182" w:line="360" w:lineRule="auto"/>
              <w:jc w:val="center"/>
              <w:rPr>
                <w:color w:val="auto"/>
                <w:sz w:val="21"/>
                <w:szCs w:val="21"/>
                <w:highlight w:val="none"/>
              </w:rPr>
            </w:pPr>
            <w:r>
              <w:rPr>
                <w:rFonts w:hint="eastAsia"/>
                <w:color w:val="auto"/>
                <w:sz w:val="21"/>
                <w:szCs w:val="21"/>
                <w:highlight w:val="none"/>
                <w:lang w:eastAsia="zh-CN"/>
              </w:rPr>
              <w:t>保修服务</w:t>
            </w:r>
          </w:p>
        </w:tc>
        <w:tc>
          <w:tcPr>
            <w:tcW w:w="12007" w:type="dxa"/>
          </w:tcPr>
          <w:p w14:paraId="1FD93C9E">
            <w:pPr>
              <w:pStyle w:val="21"/>
              <w:spacing w:before="182" w:line="360" w:lineRule="auto"/>
              <w:ind w:left="152"/>
              <w:rPr>
                <w:color w:val="auto"/>
                <w:sz w:val="21"/>
                <w:szCs w:val="21"/>
                <w:highlight w:val="none"/>
                <w:lang w:eastAsia="zh-CN"/>
              </w:rPr>
            </w:pPr>
            <w:r>
              <w:rPr>
                <w:rFonts w:hint="eastAsia"/>
                <w:color w:val="auto"/>
                <w:sz w:val="21"/>
                <w:szCs w:val="21"/>
                <w:highlight w:val="none"/>
                <w:lang w:eastAsia="zh-CN"/>
              </w:rPr>
              <w:t>家具免费保修期应当至少不低于</w:t>
            </w:r>
            <w:r>
              <w:rPr>
                <w:color w:val="auto"/>
                <w:sz w:val="21"/>
                <w:szCs w:val="21"/>
                <w:highlight w:val="none"/>
                <w:lang w:eastAsia="zh-CN"/>
              </w:rPr>
              <w:t>10年。免费保修期内，除采购人因非正常使用造成家具损坏外，损坏维修以及所涉及的零部件更换，应当由供应商免费提供，供应商应当承诺每年对所供家具进行巡检。免费保修期满后，供应商保证以优惠价格提供家具所需零配件和维修服务。</w:t>
            </w:r>
          </w:p>
        </w:tc>
      </w:tr>
      <w:tr w14:paraId="03CF7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trPr>
        <w:tc>
          <w:tcPr>
            <w:tcW w:w="3943" w:type="dxa"/>
            <w:vAlign w:val="center"/>
          </w:tcPr>
          <w:p w14:paraId="53230B5A">
            <w:pPr>
              <w:pStyle w:val="21"/>
              <w:spacing w:before="203" w:line="360" w:lineRule="auto"/>
              <w:jc w:val="center"/>
              <w:rPr>
                <w:color w:val="auto"/>
                <w:sz w:val="21"/>
                <w:szCs w:val="21"/>
                <w:highlight w:val="none"/>
              </w:rPr>
            </w:pPr>
            <w:r>
              <w:rPr>
                <w:rFonts w:hint="eastAsia"/>
                <w:color w:val="auto"/>
                <w:spacing w:val="7"/>
                <w:sz w:val="21"/>
                <w:szCs w:val="21"/>
                <w:highlight w:val="none"/>
              </w:rPr>
              <w:t>应急能力</w:t>
            </w:r>
          </w:p>
        </w:tc>
        <w:tc>
          <w:tcPr>
            <w:tcW w:w="12007" w:type="dxa"/>
            <w:vAlign w:val="center"/>
          </w:tcPr>
          <w:p w14:paraId="5A393E4B">
            <w:pPr>
              <w:pStyle w:val="21"/>
              <w:spacing w:before="182" w:line="360" w:lineRule="auto"/>
              <w:ind w:left="152"/>
              <w:rPr>
                <w:color w:val="auto"/>
                <w:sz w:val="21"/>
                <w:szCs w:val="21"/>
                <w:highlight w:val="none"/>
                <w:lang w:eastAsia="zh-CN"/>
              </w:rPr>
            </w:pPr>
            <w:r>
              <w:rPr>
                <w:rFonts w:hint="eastAsia"/>
                <w:color w:val="auto"/>
                <w:sz w:val="21"/>
                <w:szCs w:val="21"/>
                <w:highlight w:val="none"/>
                <w:lang w:eastAsia="zh-CN"/>
              </w:rPr>
              <w:t>供应商应当拥有维修服务能力，提供售后服务支持。如遇质量问题，供应商应当在接到通知</w:t>
            </w:r>
            <w:r>
              <w:rPr>
                <w:color w:val="auto"/>
                <w:sz w:val="21"/>
                <w:szCs w:val="21"/>
                <w:highlight w:val="none"/>
                <w:lang w:eastAsia="zh-CN"/>
              </w:rPr>
              <w:t>2小时内予以响应，并于8小时内解决完毕或提供代用产品。</w:t>
            </w:r>
          </w:p>
        </w:tc>
      </w:tr>
      <w:tr w14:paraId="3329CF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trPr>
        <w:tc>
          <w:tcPr>
            <w:tcW w:w="3943" w:type="dxa"/>
            <w:shd w:val="clear" w:color="auto" w:fill="auto"/>
            <w:vAlign w:val="center"/>
          </w:tcPr>
          <w:p w14:paraId="7B0613AF">
            <w:pPr>
              <w:pStyle w:val="21"/>
              <w:spacing w:before="182" w:line="360" w:lineRule="auto"/>
              <w:jc w:val="center"/>
              <w:rPr>
                <w:color w:val="auto"/>
                <w:sz w:val="21"/>
                <w:szCs w:val="21"/>
                <w:highlight w:val="none"/>
                <w:lang w:eastAsia="zh-CN"/>
              </w:rPr>
            </w:pPr>
            <w:r>
              <w:rPr>
                <w:rFonts w:hint="eastAsia"/>
                <w:color w:val="auto"/>
                <w:sz w:val="21"/>
                <w:szCs w:val="21"/>
                <w:highlight w:val="none"/>
                <w:lang w:eastAsia="zh-CN"/>
              </w:rPr>
              <w:t>环保</w:t>
            </w:r>
          </w:p>
        </w:tc>
        <w:tc>
          <w:tcPr>
            <w:tcW w:w="12007" w:type="dxa"/>
            <w:shd w:val="clear" w:color="auto" w:fill="auto"/>
            <w:vAlign w:val="center"/>
          </w:tcPr>
          <w:p w14:paraId="5E46CFF9">
            <w:pPr>
              <w:pStyle w:val="21"/>
              <w:spacing w:before="182" w:line="360" w:lineRule="auto"/>
              <w:ind w:left="152"/>
              <w:jc w:val="both"/>
              <w:rPr>
                <w:color w:val="auto"/>
                <w:sz w:val="21"/>
                <w:szCs w:val="21"/>
                <w:highlight w:val="none"/>
                <w:lang w:eastAsia="zh-CN"/>
              </w:rPr>
            </w:pPr>
            <w:r>
              <w:rPr>
                <w:rFonts w:hint="eastAsia"/>
                <w:color w:val="auto"/>
                <w:sz w:val="21"/>
                <w:szCs w:val="21"/>
                <w:highlight w:val="none"/>
                <w:lang w:eastAsia="zh-CN"/>
              </w:rPr>
              <w:t>为响应国家环保号召以及政策要求，针对生产过程中大气污染、水污染及其他环境污染治理，需采取科学合理的环保措施。</w:t>
            </w:r>
          </w:p>
        </w:tc>
      </w:tr>
      <w:tr w14:paraId="0F7A6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trPr>
        <w:tc>
          <w:tcPr>
            <w:tcW w:w="3943" w:type="dxa"/>
            <w:shd w:val="clear" w:color="auto" w:fill="auto"/>
            <w:vAlign w:val="center"/>
          </w:tcPr>
          <w:p w14:paraId="30D61AB2">
            <w:pPr>
              <w:pStyle w:val="21"/>
              <w:spacing w:before="182" w:line="360" w:lineRule="auto"/>
              <w:jc w:val="center"/>
              <w:rPr>
                <w:color w:val="auto"/>
                <w:sz w:val="21"/>
                <w:szCs w:val="21"/>
                <w:highlight w:val="none"/>
                <w:lang w:eastAsia="zh-CN"/>
              </w:rPr>
            </w:pPr>
            <w:r>
              <w:rPr>
                <w:rFonts w:hint="eastAsia"/>
                <w:color w:val="auto"/>
                <w:spacing w:val="7"/>
                <w:sz w:val="21"/>
                <w:szCs w:val="21"/>
                <w:highlight w:val="none"/>
                <w:lang w:eastAsia="zh-CN"/>
              </w:rPr>
              <w:t>企业综合实力</w:t>
            </w:r>
          </w:p>
        </w:tc>
        <w:tc>
          <w:tcPr>
            <w:tcW w:w="12007" w:type="dxa"/>
            <w:shd w:val="clear" w:color="auto" w:fill="auto"/>
            <w:vAlign w:val="center"/>
          </w:tcPr>
          <w:p w14:paraId="5CC85F4E">
            <w:pPr>
              <w:pStyle w:val="21"/>
              <w:spacing w:before="182" w:line="360" w:lineRule="auto"/>
              <w:ind w:left="152"/>
              <w:jc w:val="both"/>
              <w:rPr>
                <w:color w:val="auto"/>
                <w:sz w:val="21"/>
                <w:szCs w:val="21"/>
                <w:highlight w:val="none"/>
                <w:lang w:eastAsia="zh-CN"/>
              </w:rPr>
            </w:pPr>
            <w:r>
              <w:rPr>
                <w:rFonts w:hint="eastAsia"/>
                <w:color w:val="auto"/>
                <w:sz w:val="21"/>
                <w:szCs w:val="21"/>
                <w:highlight w:val="none"/>
                <w:lang w:eastAsia="zh-CN"/>
              </w:rPr>
              <w:t>所投核心产品的制造厂商具有有效的质量管理体系、环境管理体系、职业健康安全管理体系的，优先考虑。</w:t>
            </w:r>
          </w:p>
        </w:tc>
      </w:tr>
      <w:tr w14:paraId="28E42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trPr>
        <w:tc>
          <w:tcPr>
            <w:tcW w:w="3943" w:type="dxa"/>
            <w:shd w:val="clear" w:color="auto" w:fill="auto"/>
            <w:vAlign w:val="center"/>
          </w:tcPr>
          <w:p w14:paraId="37F3C2F0">
            <w:pPr>
              <w:pStyle w:val="21"/>
              <w:spacing w:before="182" w:line="360" w:lineRule="auto"/>
              <w:jc w:val="center"/>
              <w:rPr>
                <w:color w:val="auto"/>
                <w:sz w:val="21"/>
                <w:szCs w:val="21"/>
                <w:highlight w:val="none"/>
                <w:lang w:eastAsia="zh-CN"/>
              </w:rPr>
            </w:pPr>
            <w:r>
              <w:rPr>
                <w:rFonts w:hint="eastAsia"/>
                <w:color w:val="auto"/>
                <w:sz w:val="21"/>
                <w:szCs w:val="21"/>
                <w:highlight w:val="none"/>
                <w:lang w:eastAsia="zh-CN"/>
              </w:rPr>
              <w:t>项目团队</w:t>
            </w:r>
          </w:p>
        </w:tc>
        <w:tc>
          <w:tcPr>
            <w:tcW w:w="12007" w:type="dxa"/>
            <w:shd w:val="clear" w:color="auto" w:fill="auto"/>
            <w:vAlign w:val="center"/>
          </w:tcPr>
          <w:p w14:paraId="74B4BF9A">
            <w:pPr>
              <w:pStyle w:val="21"/>
              <w:spacing w:before="182" w:line="360" w:lineRule="auto"/>
              <w:ind w:left="152"/>
              <w:jc w:val="both"/>
              <w:rPr>
                <w:color w:val="auto"/>
                <w:sz w:val="21"/>
                <w:szCs w:val="21"/>
                <w:highlight w:val="none"/>
                <w:lang w:eastAsia="zh-CN"/>
              </w:rPr>
            </w:pPr>
            <w:r>
              <w:rPr>
                <w:rFonts w:hint="eastAsia"/>
                <w:color w:val="auto"/>
                <w:sz w:val="21"/>
                <w:szCs w:val="21"/>
                <w:highlight w:val="none"/>
                <w:lang w:eastAsia="zh-CN"/>
              </w:rPr>
              <w:t>供应商提供项目技术团队及其能力说明，提供人员清单、履历、专业技术能力等资料。</w:t>
            </w:r>
          </w:p>
        </w:tc>
      </w:tr>
    </w:tbl>
    <w:p w14:paraId="50E11A29">
      <w:pPr>
        <w:pStyle w:val="8"/>
        <w:spacing w:before="44" w:line="360" w:lineRule="auto"/>
        <w:jc w:val="both"/>
        <w:rPr>
          <w:b/>
          <w:bCs/>
          <w:color w:val="auto"/>
          <w:sz w:val="21"/>
          <w:szCs w:val="21"/>
          <w:highlight w:val="none"/>
          <w:lang w:eastAsia="zh-CN"/>
        </w:rPr>
      </w:pPr>
    </w:p>
    <w:sectPr>
      <w:headerReference r:id="rId3" w:type="default"/>
      <w:pgSz w:w="23820" w:h="16840"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文泉驿微米黑"/>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文泉驿微米黑">
    <w:panose1 w:val="020B0606030804020204"/>
    <w:charset w:val="86"/>
    <w:family w:val="auto"/>
    <w:pitch w:val="default"/>
    <w:sig w:usb0="E10002EF" w:usb1="6BDFFCFB" w:usb2="00800036" w:usb3="00000000" w:csb0="603E019F" w:csb1="DFD70000"/>
  </w:font>
  <w:font w:name="CESI黑体-GB13000">
    <w:panose1 w:val="02000500000000000000"/>
    <w:charset w:val="86"/>
    <w:family w:val="auto"/>
    <w:pitch w:val="default"/>
    <w:sig w:usb0="800002BF" w:usb1="38CF7CF8"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B3519">
    <w:pPr>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426690"/>
    <w:multiLevelType w:val="singleLevel"/>
    <w:tmpl w:val="9D426690"/>
    <w:lvl w:ilvl="0" w:tentative="0">
      <w:start w:val="4"/>
      <w:numFmt w:val="chineseCounting"/>
      <w:suff w:val="nothing"/>
      <w:lvlText w:val="%1、"/>
      <w:lvlJc w:val="left"/>
      <w:rPr>
        <w:rFonts w:hint="eastAsia"/>
      </w:rPr>
    </w:lvl>
  </w:abstractNum>
  <w:abstractNum w:abstractNumId="1">
    <w:nsid w:val="FC1A83B8"/>
    <w:multiLevelType w:val="singleLevel"/>
    <w:tmpl w:val="FC1A83B8"/>
    <w:lvl w:ilvl="0" w:tentative="0">
      <w:start w:val="5"/>
      <w:numFmt w:val="chineseCounting"/>
      <w:suff w:val="nothing"/>
      <w:lvlText w:val="%1、"/>
      <w:lvlJc w:val="left"/>
      <w:rPr>
        <w:rFonts w:hint="eastAsia"/>
      </w:rPr>
    </w:lvl>
  </w:abstractNum>
  <w:abstractNum w:abstractNumId="2">
    <w:nsid w:val="25A3AD3A"/>
    <w:multiLevelType w:val="singleLevel"/>
    <w:tmpl w:val="25A3AD3A"/>
    <w:lvl w:ilvl="0" w:tentative="0">
      <w:start w:val="2"/>
      <w:numFmt w:val="chineseCounting"/>
      <w:suff w:val="nothing"/>
      <w:lvlText w:val="（%1）"/>
      <w:lvlJc w:val="left"/>
      <w:rPr>
        <w:rFonts w:hint="eastAsia"/>
      </w:rPr>
    </w:lvl>
  </w:abstractNum>
  <w:abstractNum w:abstractNumId="3">
    <w:nsid w:val="5C8ED985"/>
    <w:multiLevelType w:val="singleLevel"/>
    <w:tmpl w:val="5C8ED985"/>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1OTMyYmVkNDBiZGZjOTJjNzg0ZTljMGM2NGM1NWEifQ=="/>
  </w:docVars>
  <w:rsids>
    <w:rsidRoot w:val="F32BEA20"/>
    <w:rsid w:val="00030F97"/>
    <w:rsid w:val="000A503A"/>
    <w:rsid w:val="000B7219"/>
    <w:rsid w:val="000D4DFF"/>
    <w:rsid w:val="000E7E1A"/>
    <w:rsid w:val="000F3890"/>
    <w:rsid w:val="001D6556"/>
    <w:rsid w:val="002A1595"/>
    <w:rsid w:val="002B705F"/>
    <w:rsid w:val="00303362"/>
    <w:rsid w:val="00313BC9"/>
    <w:rsid w:val="003324B6"/>
    <w:rsid w:val="00370CD3"/>
    <w:rsid w:val="00373E3B"/>
    <w:rsid w:val="003B70E8"/>
    <w:rsid w:val="00477ADE"/>
    <w:rsid w:val="00491D0C"/>
    <w:rsid w:val="004A65F7"/>
    <w:rsid w:val="004B24BC"/>
    <w:rsid w:val="004E2372"/>
    <w:rsid w:val="004E3009"/>
    <w:rsid w:val="00502A07"/>
    <w:rsid w:val="0051180E"/>
    <w:rsid w:val="00541D04"/>
    <w:rsid w:val="005827BC"/>
    <w:rsid w:val="005A47B7"/>
    <w:rsid w:val="006255E6"/>
    <w:rsid w:val="006263FD"/>
    <w:rsid w:val="00633781"/>
    <w:rsid w:val="00662BE9"/>
    <w:rsid w:val="006A5F7B"/>
    <w:rsid w:val="006F31B1"/>
    <w:rsid w:val="006F51A9"/>
    <w:rsid w:val="007217F7"/>
    <w:rsid w:val="007368BA"/>
    <w:rsid w:val="007A5712"/>
    <w:rsid w:val="007A59F0"/>
    <w:rsid w:val="00874DC3"/>
    <w:rsid w:val="008F78A6"/>
    <w:rsid w:val="00931AA9"/>
    <w:rsid w:val="00A22C06"/>
    <w:rsid w:val="00A50927"/>
    <w:rsid w:val="00A5171D"/>
    <w:rsid w:val="00A5293A"/>
    <w:rsid w:val="00A575FF"/>
    <w:rsid w:val="00A87052"/>
    <w:rsid w:val="00AB0786"/>
    <w:rsid w:val="00B01454"/>
    <w:rsid w:val="00B038DF"/>
    <w:rsid w:val="00B70789"/>
    <w:rsid w:val="00BC59F5"/>
    <w:rsid w:val="00BD5D1A"/>
    <w:rsid w:val="00BF21A4"/>
    <w:rsid w:val="00C16242"/>
    <w:rsid w:val="00C17B63"/>
    <w:rsid w:val="00C316D2"/>
    <w:rsid w:val="00C451DB"/>
    <w:rsid w:val="00CE02A4"/>
    <w:rsid w:val="00DC60BB"/>
    <w:rsid w:val="00E52E48"/>
    <w:rsid w:val="00E6065C"/>
    <w:rsid w:val="00EE0FE9"/>
    <w:rsid w:val="00FC4822"/>
    <w:rsid w:val="00FC4D10"/>
    <w:rsid w:val="00FD664B"/>
    <w:rsid w:val="01E202A3"/>
    <w:rsid w:val="03A013D6"/>
    <w:rsid w:val="03E3153A"/>
    <w:rsid w:val="04510922"/>
    <w:rsid w:val="057D44CE"/>
    <w:rsid w:val="07BE557C"/>
    <w:rsid w:val="07C16B97"/>
    <w:rsid w:val="082A6B65"/>
    <w:rsid w:val="098E3AAE"/>
    <w:rsid w:val="0A9E5F43"/>
    <w:rsid w:val="0C1952C5"/>
    <w:rsid w:val="0C3E5484"/>
    <w:rsid w:val="0EA84A08"/>
    <w:rsid w:val="0EB613A6"/>
    <w:rsid w:val="0ED56EC0"/>
    <w:rsid w:val="0F586024"/>
    <w:rsid w:val="10881228"/>
    <w:rsid w:val="11022343"/>
    <w:rsid w:val="110C68E2"/>
    <w:rsid w:val="12E34E3B"/>
    <w:rsid w:val="134623CD"/>
    <w:rsid w:val="135573A7"/>
    <w:rsid w:val="139759D1"/>
    <w:rsid w:val="139D3E55"/>
    <w:rsid w:val="14A420E2"/>
    <w:rsid w:val="156D4BDD"/>
    <w:rsid w:val="170C727C"/>
    <w:rsid w:val="178C5AA1"/>
    <w:rsid w:val="187E0E03"/>
    <w:rsid w:val="18BF5A03"/>
    <w:rsid w:val="18DC30F4"/>
    <w:rsid w:val="18DC3BBE"/>
    <w:rsid w:val="193B0A68"/>
    <w:rsid w:val="194B4765"/>
    <w:rsid w:val="19E72720"/>
    <w:rsid w:val="1A9802E9"/>
    <w:rsid w:val="1AFF47DC"/>
    <w:rsid w:val="1C2C74F4"/>
    <w:rsid w:val="1C4B6F18"/>
    <w:rsid w:val="1E1C7453"/>
    <w:rsid w:val="1EFF8184"/>
    <w:rsid w:val="1F413615"/>
    <w:rsid w:val="1FF3E11A"/>
    <w:rsid w:val="202F346E"/>
    <w:rsid w:val="20746A5E"/>
    <w:rsid w:val="20D22716"/>
    <w:rsid w:val="213638E3"/>
    <w:rsid w:val="25056D27"/>
    <w:rsid w:val="296F3171"/>
    <w:rsid w:val="2C5448FB"/>
    <w:rsid w:val="2DF789B1"/>
    <w:rsid w:val="2F7C5FA4"/>
    <w:rsid w:val="2FBE696D"/>
    <w:rsid w:val="30430E22"/>
    <w:rsid w:val="31F938DC"/>
    <w:rsid w:val="33574D5E"/>
    <w:rsid w:val="347F27BE"/>
    <w:rsid w:val="358A766C"/>
    <w:rsid w:val="36F558A1"/>
    <w:rsid w:val="37782C2E"/>
    <w:rsid w:val="388157A3"/>
    <w:rsid w:val="39054BEB"/>
    <w:rsid w:val="3A3C1882"/>
    <w:rsid w:val="3B58401E"/>
    <w:rsid w:val="3B9F11A4"/>
    <w:rsid w:val="3B9F23F4"/>
    <w:rsid w:val="3BFFC478"/>
    <w:rsid w:val="3C6D114E"/>
    <w:rsid w:val="3D5CBD80"/>
    <w:rsid w:val="3D65451B"/>
    <w:rsid w:val="3E23240C"/>
    <w:rsid w:val="3EFA7727"/>
    <w:rsid w:val="3F5AB3C8"/>
    <w:rsid w:val="3FAA26B9"/>
    <w:rsid w:val="3FB61CF4"/>
    <w:rsid w:val="3FDE82F7"/>
    <w:rsid w:val="3FEBE777"/>
    <w:rsid w:val="42334BE8"/>
    <w:rsid w:val="43254907"/>
    <w:rsid w:val="43385AD2"/>
    <w:rsid w:val="43617533"/>
    <w:rsid w:val="436C43ED"/>
    <w:rsid w:val="43B24586"/>
    <w:rsid w:val="44191166"/>
    <w:rsid w:val="44CE29A6"/>
    <w:rsid w:val="4545333A"/>
    <w:rsid w:val="455A5044"/>
    <w:rsid w:val="47FFDCAD"/>
    <w:rsid w:val="48597B39"/>
    <w:rsid w:val="48812D23"/>
    <w:rsid w:val="48836449"/>
    <w:rsid w:val="48E72288"/>
    <w:rsid w:val="49601602"/>
    <w:rsid w:val="49920446"/>
    <w:rsid w:val="4B503E44"/>
    <w:rsid w:val="4B755146"/>
    <w:rsid w:val="4D7B7092"/>
    <w:rsid w:val="4DF940F1"/>
    <w:rsid w:val="4EF61F46"/>
    <w:rsid w:val="50BD090F"/>
    <w:rsid w:val="513454B5"/>
    <w:rsid w:val="52691FE2"/>
    <w:rsid w:val="527F3EE1"/>
    <w:rsid w:val="532F5294"/>
    <w:rsid w:val="53A71407"/>
    <w:rsid w:val="53BF7232"/>
    <w:rsid w:val="53FA37B7"/>
    <w:rsid w:val="55B54A87"/>
    <w:rsid w:val="55D825CD"/>
    <w:rsid w:val="57155951"/>
    <w:rsid w:val="57770C7B"/>
    <w:rsid w:val="57BB34E2"/>
    <w:rsid w:val="57BF3926"/>
    <w:rsid w:val="58F6C121"/>
    <w:rsid w:val="58F9535E"/>
    <w:rsid w:val="59FF9E14"/>
    <w:rsid w:val="5A1667A4"/>
    <w:rsid w:val="5A570E97"/>
    <w:rsid w:val="5ACB1A0A"/>
    <w:rsid w:val="5BD56184"/>
    <w:rsid w:val="5BFF5FD2"/>
    <w:rsid w:val="5C252F1C"/>
    <w:rsid w:val="5C2C297C"/>
    <w:rsid w:val="5CE8183E"/>
    <w:rsid w:val="5CEBF368"/>
    <w:rsid w:val="5CEDDA00"/>
    <w:rsid w:val="5D105DFA"/>
    <w:rsid w:val="5D792DE9"/>
    <w:rsid w:val="5D7E0FB5"/>
    <w:rsid w:val="5DBF5DC0"/>
    <w:rsid w:val="5DD62B9F"/>
    <w:rsid w:val="5DEF1908"/>
    <w:rsid w:val="5DFB03BE"/>
    <w:rsid w:val="5E385608"/>
    <w:rsid w:val="5E3F78BD"/>
    <w:rsid w:val="5F4A002D"/>
    <w:rsid w:val="5F7D427D"/>
    <w:rsid w:val="5F89630D"/>
    <w:rsid w:val="5FFF8E82"/>
    <w:rsid w:val="60600D3A"/>
    <w:rsid w:val="60BF0862"/>
    <w:rsid w:val="62EA41DC"/>
    <w:rsid w:val="62F258D7"/>
    <w:rsid w:val="636838C0"/>
    <w:rsid w:val="642D255B"/>
    <w:rsid w:val="645A5BAC"/>
    <w:rsid w:val="647C0161"/>
    <w:rsid w:val="64887E62"/>
    <w:rsid w:val="649D4EA6"/>
    <w:rsid w:val="65A74E21"/>
    <w:rsid w:val="65AE16E3"/>
    <w:rsid w:val="65BE74CA"/>
    <w:rsid w:val="66F5302E"/>
    <w:rsid w:val="67E934CF"/>
    <w:rsid w:val="6875280B"/>
    <w:rsid w:val="688952EA"/>
    <w:rsid w:val="6898113A"/>
    <w:rsid w:val="6A1B7BCE"/>
    <w:rsid w:val="6AB67932"/>
    <w:rsid w:val="6B4F0592"/>
    <w:rsid w:val="6BB54295"/>
    <w:rsid w:val="6BB67460"/>
    <w:rsid w:val="6CF22E26"/>
    <w:rsid w:val="6D5706E5"/>
    <w:rsid w:val="6DB46902"/>
    <w:rsid w:val="6DDD333A"/>
    <w:rsid w:val="6E4BC4BD"/>
    <w:rsid w:val="6E7F762C"/>
    <w:rsid w:val="6EEB1385"/>
    <w:rsid w:val="6EF748F5"/>
    <w:rsid w:val="6F3FF192"/>
    <w:rsid w:val="6F94399F"/>
    <w:rsid w:val="6FED22EA"/>
    <w:rsid w:val="71F52618"/>
    <w:rsid w:val="726D0843"/>
    <w:rsid w:val="73FA9C1E"/>
    <w:rsid w:val="74C9464C"/>
    <w:rsid w:val="75596B19"/>
    <w:rsid w:val="75797745"/>
    <w:rsid w:val="75FBCD7E"/>
    <w:rsid w:val="769A1E8A"/>
    <w:rsid w:val="77117009"/>
    <w:rsid w:val="777FCD40"/>
    <w:rsid w:val="77B74889"/>
    <w:rsid w:val="77FAB99E"/>
    <w:rsid w:val="77FDDCB7"/>
    <w:rsid w:val="7858069A"/>
    <w:rsid w:val="797A5A3D"/>
    <w:rsid w:val="798B3D70"/>
    <w:rsid w:val="79EF9161"/>
    <w:rsid w:val="7A1EF845"/>
    <w:rsid w:val="7A574FB4"/>
    <w:rsid w:val="7AFFAE7B"/>
    <w:rsid w:val="7C1A5EF5"/>
    <w:rsid w:val="7C35AD77"/>
    <w:rsid w:val="7CD373CF"/>
    <w:rsid w:val="7CE7D045"/>
    <w:rsid w:val="7D006E99"/>
    <w:rsid w:val="7D7E1D03"/>
    <w:rsid w:val="7DA47414"/>
    <w:rsid w:val="7DEB81F6"/>
    <w:rsid w:val="7E7C4598"/>
    <w:rsid w:val="7EDAB6D1"/>
    <w:rsid w:val="7EEF4D41"/>
    <w:rsid w:val="7F0E0AF5"/>
    <w:rsid w:val="7F4E2521"/>
    <w:rsid w:val="7F6C422D"/>
    <w:rsid w:val="7F7EF15A"/>
    <w:rsid w:val="7FF9E780"/>
    <w:rsid w:val="7FFC40B2"/>
    <w:rsid w:val="7FFEA662"/>
    <w:rsid w:val="9B66BCD5"/>
    <w:rsid w:val="9EBE9E05"/>
    <w:rsid w:val="A1D86066"/>
    <w:rsid w:val="AEFB553E"/>
    <w:rsid w:val="B7F3D3EF"/>
    <w:rsid w:val="B93B6BD6"/>
    <w:rsid w:val="BBFAB8B6"/>
    <w:rsid w:val="BBFB8DC5"/>
    <w:rsid w:val="BDCF052B"/>
    <w:rsid w:val="BEF31F7A"/>
    <w:rsid w:val="BFEEBC32"/>
    <w:rsid w:val="BFF6FB84"/>
    <w:rsid w:val="CED60F20"/>
    <w:rsid w:val="CEFA34A0"/>
    <w:rsid w:val="D5EF1BBC"/>
    <w:rsid w:val="D75D7127"/>
    <w:rsid w:val="D7B5291F"/>
    <w:rsid w:val="DB5A13CC"/>
    <w:rsid w:val="DCFF6989"/>
    <w:rsid w:val="DFCDF6B7"/>
    <w:rsid w:val="DFFD94D4"/>
    <w:rsid w:val="DFFDAC87"/>
    <w:rsid w:val="E5F57EB6"/>
    <w:rsid w:val="E5FB5E7F"/>
    <w:rsid w:val="E60F163D"/>
    <w:rsid w:val="E6FECC97"/>
    <w:rsid w:val="E7EF1F2D"/>
    <w:rsid w:val="E9BF572B"/>
    <w:rsid w:val="EADF10DB"/>
    <w:rsid w:val="EBB8B835"/>
    <w:rsid w:val="EDDF14A6"/>
    <w:rsid w:val="EEE73F2C"/>
    <w:rsid w:val="EF47C42F"/>
    <w:rsid w:val="EFF210A5"/>
    <w:rsid w:val="EFFBAC65"/>
    <w:rsid w:val="EFFBDEFD"/>
    <w:rsid w:val="F32BEA20"/>
    <w:rsid w:val="F3D70B92"/>
    <w:rsid w:val="F3EF83A9"/>
    <w:rsid w:val="F3FD853C"/>
    <w:rsid w:val="F4DB9A57"/>
    <w:rsid w:val="F77E4E00"/>
    <w:rsid w:val="F79F4D83"/>
    <w:rsid w:val="F7BF3339"/>
    <w:rsid w:val="F7FF7053"/>
    <w:rsid w:val="F7FFACF7"/>
    <w:rsid w:val="F9E7476A"/>
    <w:rsid w:val="FB6FEA93"/>
    <w:rsid w:val="FB8F55DC"/>
    <w:rsid w:val="FBCF7ABF"/>
    <w:rsid w:val="FBEE54BD"/>
    <w:rsid w:val="FCDD3ADA"/>
    <w:rsid w:val="FCF7F34B"/>
    <w:rsid w:val="FD7FF99E"/>
    <w:rsid w:val="FDF51E43"/>
    <w:rsid w:val="FE3F271B"/>
    <w:rsid w:val="FEA3D4E8"/>
    <w:rsid w:val="FEBFC356"/>
    <w:rsid w:val="FEF72FDB"/>
    <w:rsid w:val="FFBCC882"/>
    <w:rsid w:val="FFDFE0A2"/>
    <w:rsid w:val="FFEACDC0"/>
    <w:rsid w:val="FFFDB8E3"/>
    <w:rsid w:val="FFFF2A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3">
    <w:name w:val="heading 1"/>
    <w:basedOn w:val="1"/>
    <w:next w:val="1"/>
    <w:qFormat/>
    <w:uiPriority w:val="0"/>
    <w:pPr>
      <w:spacing w:beforeAutospacing="1" w:afterAutospacing="1"/>
      <w:outlineLvl w:val="0"/>
    </w:pPr>
    <w:rPr>
      <w:rFonts w:hint="eastAsia" w:ascii="宋体" w:hAnsi="宋体" w:eastAsia="宋体" w:cs="Times New Roman"/>
      <w:b/>
      <w:bCs/>
      <w:kern w:val="44"/>
      <w:sz w:val="48"/>
      <w:szCs w:val="48"/>
      <w:lang w:eastAsia="zh-CN"/>
    </w:rPr>
  </w:style>
  <w:style w:type="paragraph" w:styleId="4">
    <w:name w:val="heading 4"/>
    <w:basedOn w:val="1"/>
    <w:next w:val="1"/>
    <w:semiHidden/>
    <w:unhideWhenUsed/>
    <w:qFormat/>
    <w:uiPriority w:val="0"/>
    <w:pPr>
      <w:spacing w:beforeAutospacing="1" w:afterAutospacing="1"/>
      <w:outlineLvl w:val="3"/>
    </w:pPr>
    <w:rPr>
      <w:rFonts w:hint="eastAsia" w:ascii="宋体" w:hAnsi="宋体" w:eastAsia="宋体" w:cs="Times New Roman"/>
      <w:b/>
      <w:bCs/>
      <w:sz w:val="24"/>
      <w:szCs w:val="24"/>
      <w:lang w:eastAsia="zh-CN"/>
    </w:rPr>
  </w:style>
  <w:style w:type="paragraph" w:styleId="5">
    <w:name w:val="heading 5"/>
    <w:basedOn w:val="1"/>
    <w:next w:val="1"/>
    <w:semiHidden/>
    <w:unhideWhenUsed/>
    <w:qFormat/>
    <w:uiPriority w:val="0"/>
    <w:pPr>
      <w:spacing w:beforeAutospacing="1" w:afterAutospacing="1"/>
      <w:outlineLvl w:val="4"/>
    </w:pPr>
    <w:rPr>
      <w:rFonts w:hint="eastAsia" w:ascii="宋体" w:hAnsi="宋体" w:eastAsia="宋体" w:cs="Times New Roman"/>
      <w:b/>
      <w:bCs/>
      <w:sz w:val="20"/>
      <w:szCs w:val="20"/>
      <w:lang w:eastAsia="zh-CN"/>
    </w:rPr>
  </w:style>
  <w:style w:type="paragraph" w:styleId="6">
    <w:name w:val="heading 8"/>
    <w:basedOn w:val="1"/>
    <w:next w:val="1"/>
    <w:semiHidden/>
    <w:unhideWhenUsed/>
    <w:qFormat/>
    <w:uiPriority w:val="0"/>
    <w:pPr>
      <w:keepNext/>
      <w:keepLines/>
      <w:spacing w:before="240" w:after="64" w:line="317" w:lineRule="auto"/>
      <w:outlineLvl w:val="7"/>
    </w:pPr>
    <w:rPr>
      <w:rFonts w:eastAsia="黑体"/>
      <w:sz w:val="24"/>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7">
    <w:name w:val="annotation text"/>
    <w:basedOn w:val="1"/>
    <w:link w:val="27"/>
    <w:qFormat/>
    <w:uiPriority w:val="0"/>
  </w:style>
  <w:style w:type="paragraph" w:styleId="8">
    <w:name w:val="Body Text"/>
    <w:basedOn w:val="1"/>
    <w:autoRedefine/>
    <w:semiHidden/>
    <w:qFormat/>
    <w:uiPriority w:val="0"/>
    <w:rPr>
      <w:rFonts w:ascii="宋体" w:hAnsi="宋体" w:eastAsia="宋体" w:cs="宋体"/>
      <w:sz w:val="24"/>
      <w:szCs w:val="24"/>
    </w:rPr>
  </w:style>
  <w:style w:type="paragraph" w:styleId="9">
    <w:name w:val="Body Text Indent"/>
    <w:basedOn w:val="1"/>
    <w:next w:val="6"/>
    <w:qFormat/>
    <w:uiPriority w:val="0"/>
    <w:pPr>
      <w:spacing w:after="120"/>
      <w:ind w:left="420" w:leftChars="200"/>
      <w:jc w:val="center"/>
    </w:pPr>
    <w:rPr>
      <w:b/>
      <w:sz w:val="31"/>
    </w:rPr>
  </w:style>
  <w:style w:type="paragraph" w:styleId="10">
    <w:name w:val="index 4"/>
    <w:basedOn w:val="1"/>
    <w:next w:val="1"/>
    <w:autoRedefine/>
    <w:qFormat/>
    <w:uiPriority w:val="0"/>
    <w:pPr>
      <w:spacing w:line="360" w:lineRule="auto"/>
      <w:ind w:firstLine="420" w:firstLineChars="200"/>
    </w:pPr>
    <w:rPr>
      <w:rFonts w:ascii="宋体" w:hAnsi="宋体" w:eastAsia="宋体" w:cs="宋体"/>
      <w:color w:val="FF0000"/>
      <w:lang w:eastAsia="zh-CN"/>
    </w:rPr>
  </w:style>
  <w:style w:type="paragraph" w:styleId="11">
    <w:name w:val="Balloon Text"/>
    <w:basedOn w:val="1"/>
    <w:link w:val="26"/>
    <w:autoRedefine/>
    <w:qFormat/>
    <w:uiPriority w:val="0"/>
    <w:rPr>
      <w:sz w:val="18"/>
      <w:szCs w:val="18"/>
    </w:rPr>
  </w:style>
  <w:style w:type="paragraph" w:styleId="12">
    <w:name w:val="footer"/>
    <w:basedOn w:val="1"/>
    <w:link w:val="25"/>
    <w:autoRedefine/>
    <w:qFormat/>
    <w:uiPriority w:val="0"/>
    <w:pPr>
      <w:tabs>
        <w:tab w:val="center" w:pos="4153"/>
        <w:tab w:val="right" w:pos="8306"/>
      </w:tabs>
    </w:pPr>
    <w:rPr>
      <w:sz w:val="18"/>
      <w:szCs w:val="18"/>
    </w:rPr>
  </w:style>
  <w:style w:type="paragraph" w:styleId="13">
    <w:name w:val="header"/>
    <w:basedOn w:val="1"/>
    <w:link w:val="24"/>
    <w:autoRedefine/>
    <w:qFormat/>
    <w:uiPriority w:val="0"/>
    <w:pPr>
      <w:pBdr>
        <w:bottom w:val="single" w:color="auto" w:sz="6" w:space="1"/>
      </w:pBdr>
      <w:tabs>
        <w:tab w:val="center" w:pos="4153"/>
        <w:tab w:val="right" w:pos="8306"/>
      </w:tabs>
      <w:jc w:val="center"/>
    </w:pPr>
    <w:rPr>
      <w:sz w:val="18"/>
      <w:szCs w:val="18"/>
    </w:rPr>
  </w:style>
  <w:style w:type="paragraph" w:styleId="14">
    <w:name w:val="annotation subject"/>
    <w:basedOn w:val="7"/>
    <w:next w:val="7"/>
    <w:link w:val="28"/>
    <w:qFormat/>
    <w:uiPriority w:val="0"/>
    <w:rPr>
      <w:b/>
      <w:bCs/>
    </w:rPr>
  </w:style>
  <w:style w:type="paragraph" w:styleId="15">
    <w:name w:val="Body Text First Indent 2"/>
    <w:basedOn w:val="9"/>
    <w:qFormat/>
    <w:uiPriority w:val="0"/>
    <w:pPr>
      <w:ind w:firstLine="420" w:firstLineChars="200"/>
    </w:pPr>
  </w:style>
  <w:style w:type="character" w:styleId="18">
    <w:name w:val="Strong"/>
    <w:basedOn w:val="17"/>
    <w:qFormat/>
    <w:uiPriority w:val="0"/>
    <w:rPr>
      <w:b/>
    </w:rPr>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paragraph" w:customStyle="1" w:styleId="21">
    <w:name w:val="Table Text"/>
    <w:basedOn w:val="1"/>
    <w:autoRedefine/>
    <w:semiHidden/>
    <w:qFormat/>
    <w:uiPriority w:val="0"/>
    <w:rPr>
      <w:rFonts w:ascii="宋体" w:hAnsi="宋体" w:eastAsia="宋体" w:cs="宋体"/>
      <w:sz w:val="28"/>
      <w:szCs w:val="28"/>
    </w:rPr>
  </w:style>
  <w:style w:type="table" w:customStyle="1" w:styleId="22">
    <w:name w:val="Table Normal"/>
    <w:autoRedefine/>
    <w:semiHidden/>
    <w:unhideWhenUsed/>
    <w:qFormat/>
    <w:uiPriority w:val="0"/>
    <w:tblPr>
      <w:tblCellMar>
        <w:top w:w="0" w:type="dxa"/>
        <w:left w:w="0" w:type="dxa"/>
        <w:bottom w:w="0" w:type="dxa"/>
        <w:right w:w="0" w:type="dxa"/>
      </w:tblCellMar>
    </w:tblPr>
  </w:style>
  <w:style w:type="paragraph" w:customStyle="1" w:styleId="23">
    <w:name w:val="Default"/>
    <w:autoRedefine/>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24">
    <w:name w:val="页眉 字符"/>
    <w:basedOn w:val="17"/>
    <w:link w:val="13"/>
    <w:autoRedefine/>
    <w:qFormat/>
    <w:uiPriority w:val="0"/>
    <w:rPr>
      <w:rFonts w:ascii="Arial" w:hAnsi="Arial" w:cs="Arial"/>
      <w:snapToGrid w:val="0"/>
      <w:color w:val="000000"/>
      <w:sz w:val="18"/>
      <w:szCs w:val="18"/>
      <w:lang w:eastAsia="en-US"/>
    </w:rPr>
  </w:style>
  <w:style w:type="character" w:customStyle="1" w:styleId="25">
    <w:name w:val="页脚 字符"/>
    <w:basedOn w:val="17"/>
    <w:link w:val="12"/>
    <w:autoRedefine/>
    <w:qFormat/>
    <w:uiPriority w:val="0"/>
    <w:rPr>
      <w:rFonts w:ascii="Arial" w:hAnsi="Arial" w:cs="Arial"/>
      <w:snapToGrid w:val="0"/>
      <w:color w:val="000000"/>
      <w:sz w:val="18"/>
      <w:szCs w:val="18"/>
      <w:lang w:eastAsia="en-US"/>
    </w:rPr>
  </w:style>
  <w:style w:type="character" w:customStyle="1" w:styleId="26">
    <w:name w:val="批注框文本 字符"/>
    <w:basedOn w:val="17"/>
    <w:link w:val="11"/>
    <w:autoRedefine/>
    <w:qFormat/>
    <w:uiPriority w:val="0"/>
    <w:rPr>
      <w:rFonts w:ascii="Arial" w:hAnsi="Arial" w:cs="Arial"/>
      <w:snapToGrid w:val="0"/>
      <w:color w:val="000000"/>
      <w:sz w:val="18"/>
      <w:szCs w:val="18"/>
      <w:lang w:eastAsia="en-US"/>
    </w:rPr>
  </w:style>
  <w:style w:type="character" w:customStyle="1" w:styleId="27">
    <w:name w:val="批注文字 字符"/>
    <w:basedOn w:val="17"/>
    <w:link w:val="7"/>
    <w:qFormat/>
    <w:uiPriority w:val="0"/>
    <w:rPr>
      <w:rFonts w:ascii="Arial" w:hAnsi="Arial" w:cs="Arial" w:eastAsiaTheme="minorEastAsia"/>
      <w:snapToGrid w:val="0"/>
      <w:color w:val="000000"/>
      <w:sz w:val="21"/>
      <w:szCs w:val="21"/>
      <w:lang w:eastAsia="en-US"/>
    </w:rPr>
  </w:style>
  <w:style w:type="character" w:customStyle="1" w:styleId="28">
    <w:name w:val="批注主题 字符"/>
    <w:basedOn w:val="27"/>
    <w:link w:val="14"/>
    <w:qFormat/>
    <w:uiPriority w:val="0"/>
    <w:rPr>
      <w:rFonts w:ascii="Arial" w:hAnsi="Arial" w:cs="Arial" w:eastAsiaTheme="minorEastAsia"/>
      <w:b/>
      <w:bCs/>
      <w:snapToGrid w:val="0"/>
      <w:color w:val="000000"/>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1984</Words>
  <Characters>11314</Characters>
  <Lines>94</Lines>
  <Paragraphs>26</Paragraphs>
  <TotalTime>0</TotalTime>
  <ScaleCrop>false</ScaleCrop>
  <LinksUpToDate>false</LinksUpToDate>
  <CharactersWithSpaces>13272</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2024-05-01T01:59:00Z</dcterms:created>
  <dc:creator>Cindy</dc:creator>
  <cp:lastModifiedBy>冯子倩</cp:lastModifiedBy>
  <dcterms:modified xsi:type="dcterms:W3CDTF">2026-08-03T09:23:04Z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80C6C307767C51FF8DEC6F6A1BC4A8B2_43</vt:lpwstr>
  </property>
  <property fmtid="{D5CDD505-2E9C-101B-9397-08002B2CF9AE}" pid="4" name="KSOTemplateDocerSaveRecord">
    <vt:lpwstr>eyJoZGlkIjoiOGM3MjdjNzdiN2ExMWQwMDlhZDk3YTFiMmYwMTJjOGEiLCJ1c2VySWQiOiI4ODM1OTgxOTMifQ==</vt:lpwstr>
  </property>
</Properties>
</file>