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81DADE">
      <w:pPr>
        <w:ind w:firstLine="0" w:firstLineChars="0"/>
        <w:rPr>
          <w:rFonts w:ascii="黑体" w:hAnsi="黑体" w:eastAsia="黑体"/>
          <w:sz w:val="52"/>
          <w:szCs w:val="52"/>
        </w:rPr>
      </w:pPr>
    </w:p>
    <w:p w14:paraId="56B65FFF">
      <w:pPr>
        <w:ind w:firstLine="0" w:firstLineChars="0"/>
        <w:jc w:val="center"/>
        <w:rPr>
          <w:rFonts w:ascii="黑体" w:hAnsi="黑体" w:eastAsia="黑体"/>
          <w:sz w:val="52"/>
          <w:szCs w:val="52"/>
        </w:rPr>
      </w:pPr>
      <w:r>
        <w:rPr>
          <w:rFonts w:hint="eastAsia" w:ascii="黑体" w:hAnsi="黑体" w:eastAsia="黑体"/>
          <w:sz w:val="52"/>
          <w:szCs w:val="52"/>
        </w:rPr>
        <w:t>空间底板大系统</w:t>
      </w:r>
      <w:r>
        <w:rPr>
          <w:rFonts w:ascii="黑体" w:hAnsi="黑体" w:eastAsia="黑体"/>
          <w:sz w:val="52"/>
          <w:szCs w:val="52"/>
        </w:rPr>
        <w:t>-权属调查相关子模块建设项目(2026年升级改造)</w:t>
      </w:r>
    </w:p>
    <w:p w14:paraId="2D8DA276">
      <w:pPr>
        <w:ind w:firstLine="0" w:firstLineChars="0"/>
        <w:jc w:val="center"/>
        <w:rPr>
          <w:rFonts w:ascii="黑体" w:hAnsi="黑体" w:eastAsia="黑体"/>
          <w:sz w:val="52"/>
          <w:szCs w:val="52"/>
        </w:rPr>
      </w:pPr>
      <w:r>
        <w:rPr>
          <w:rFonts w:hint="eastAsia" w:ascii="黑体" w:hAnsi="黑体" w:eastAsia="黑体"/>
          <w:sz w:val="52"/>
          <w:szCs w:val="52"/>
        </w:rPr>
        <w:t>采购需求</w:t>
      </w:r>
    </w:p>
    <w:p w14:paraId="2D9E6721">
      <w:pPr>
        <w:ind w:firstLine="0" w:firstLineChars="0"/>
        <w:jc w:val="center"/>
        <w:rPr>
          <w:rFonts w:ascii="黑体" w:hAnsi="黑体" w:eastAsia="黑体"/>
          <w:sz w:val="72"/>
          <w:szCs w:val="72"/>
        </w:rPr>
      </w:pPr>
    </w:p>
    <w:p w14:paraId="30E723CC">
      <w:pPr>
        <w:ind w:firstLine="0" w:firstLineChars="0"/>
        <w:jc w:val="center"/>
        <w:rPr>
          <w:rFonts w:ascii="黑体" w:hAnsi="黑体" w:eastAsia="黑体"/>
          <w:sz w:val="48"/>
          <w:szCs w:val="48"/>
        </w:rPr>
      </w:pPr>
    </w:p>
    <w:p w14:paraId="2E55158A">
      <w:pPr>
        <w:ind w:firstLine="0" w:firstLineChars="0"/>
        <w:jc w:val="center"/>
        <w:rPr>
          <w:rFonts w:ascii="黑体" w:hAnsi="黑体" w:eastAsia="黑体"/>
          <w:sz w:val="52"/>
          <w:szCs w:val="52"/>
        </w:rPr>
      </w:pPr>
    </w:p>
    <w:p w14:paraId="11280D1A">
      <w:pPr>
        <w:ind w:firstLine="1040"/>
        <w:rPr>
          <w:rFonts w:ascii="黑体" w:hAnsi="黑体" w:eastAsia="黑体"/>
          <w:sz w:val="52"/>
          <w:szCs w:val="52"/>
        </w:rPr>
      </w:pPr>
    </w:p>
    <w:p w14:paraId="488B5A3D"/>
    <w:p w14:paraId="2511AE0E"/>
    <w:p w14:paraId="324F0509"/>
    <w:p w14:paraId="1C80FBB8"/>
    <w:p w14:paraId="1B458655"/>
    <w:p w14:paraId="553F1F1A">
      <w:pPr>
        <w:ind w:firstLine="1040"/>
        <w:rPr>
          <w:rFonts w:ascii="黑体" w:hAnsi="黑体" w:eastAsia="黑体"/>
          <w:sz w:val="52"/>
          <w:szCs w:val="52"/>
        </w:rPr>
      </w:pPr>
    </w:p>
    <w:p w14:paraId="273DC072">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1971B43B">
      <w:pPr>
        <w:pStyle w:val="2"/>
        <w:numPr>
          <w:ilvl w:val="0"/>
          <w:numId w:val="3"/>
        </w:numPr>
      </w:pPr>
      <w:bookmarkStart w:id="0" w:name="_Toc63785461"/>
      <w:r>
        <w:rPr>
          <w:rFonts w:hint="eastAsia"/>
        </w:rPr>
        <w:t>项目概况</w:t>
      </w:r>
      <w:bookmarkEnd w:id="0"/>
    </w:p>
    <w:p w14:paraId="3A1C0D7B">
      <w:r>
        <w:rPr>
          <w:rFonts w:hint="eastAsia"/>
        </w:rPr>
        <w:t>项目背景&amp;现状：当前，我国测绘地理信息事业正处于转型升级关键期，自动驾驶、实景三维等新技术广泛应用，相关政策对测绘管理、权属与现状调查提出更高标准，要求强化全生命周期监管、提升地籍数据覆盖与动态更新能力、完善自然资源调查监测体系。上海市规划资源局已建成“空间底板大系统”，初步整合了测绘管理、权属调查、现状调查等业务模块，实现了数据衔接与共享。然而，随着国家层面新政策密集出台与业务深化，现有系统在测绘事项批后监管、地籍调查成果汇交、专项调查任务支撑等方面已难以满足当前管理需要。因此，亟需对系统进行升级改造，以响应政策要求，填补功能短板，进一步提升自然资源精细化管理与协同治理能力。</w:t>
      </w:r>
    </w:p>
    <w:p w14:paraId="613DFD8D">
      <w:r>
        <w:rPr>
          <w:rFonts w:hint="eastAsia"/>
        </w:rPr>
        <w:t>建设期限：自合同签订之日起至</w:t>
      </w:r>
      <w:r>
        <w:t>2026年11月30日；</w:t>
      </w:r>
    </w:p>
    <w:p w14:paraId="2234EA35">
      <w:r>
        <w:rPr>
          <w:rFonts w:hint="eastAsia"/>
        </w:rPr>
        <w:t>建设地点：上海市规划和自然资源局，上海市北京西路</w:t>
      </w:r>
      <w:r>
        <w:t>99号及上海市大数据中心指定的地点；</w:t>
      </w:r>
    </w:p>
    <w:p w14:paraId="6309C0E1">
      <w:r>
        <w:rPr>
          <w:rFonts w:hint="eastAsia"/>
        </w:rPr>
        <w:t>预算金额：</w:t>
      </w:r>
      <w:r>
        <w:t>1,275,000</w:t>
      </w:r>
      <w:r>
        <w:rPr>
          <w:rFonts w:hint="eastAsia"/>
        </w:rPr>
        <w:t>元</w:t>
      </w:r>
    </w:p>
    <w:p w14:paraId="08395879">
      <w:r>
        <w:rPr>
          <w:rFonts w:hint="eastAsia"/>
        </w:rPr>
        <w:t>当年度预算金额：</w:t>
      </w:r>
      <w:r>
        <w:t>1,275,000</w:t>
      </w:r>
      <w:r>
        <w:rPr>
          <w:rFonts w:hint="eastAsia"/>
        </w:rPr>
        <w:t>元</w:t>
      </w:r>
    </w:p>
    <w:p w14:paraId="1B03E08B">
      <w:r>
        <w:rPr>
          <w:rFonts w:hint="eastAsia"/>
        </w:rPr>
        <w:t>采购金额（最高限价）：</w:t>
      </w:r>
      <w:r>
        <w:t>1,275,000</w:t>
      </w:r>
      <w:r>
        <w:rPr>
          <w:rFonts w:hint="eastAsia"/>
        </w:rPr>
        <w:t>元</w:t>
      </w:r>
    </w:p>
    <w:p w14:paraId="7EC9EC04">
      <w:r>
        <w:rPr>
          <w:rFonts w:hint="eastAsia"/>
        </w:rPr>
        <w:t>组织形式：集中采购</w:t>
      </w:r>
    </w:p>
    <w:p w14:paraId="23704626">
      <w:r>
        <w:rPr>
          <w:rFonts w:hint="eastAsia"/>
        </w:rPr>
        <w:t>采购人式：竞争性磋商</w:t>
      </w:r>
    </w:p>
    <w:p w14:paraId="253FDA7A">
      <w:r>
        <w:rPr>
          <w:rFonts w:hint="eastAsia"/>
        </w:rPr>
        <w:t>是否接受联合体投标：否</w:t>
      </w:r>
    </w:p>
    <w:p w14:paraId="1DAD366A">
      <w:r>
        <w:t>是否按</w:t>
      </w:r>
      <w:r>
        <w:rPr>
          <w:rFonts w:hint="eastAsia"/>
        </w:rPr>
        <w:t>XC</w:t>
      </w:r>
      <w:r>
        <w:t>要求建设：是</w:t>
      </w:r>
    </w:p>
    <w:p w14:paraId="190D4DE9">
      <w:r>
        <w:rPr>
          <w:rFonts w:hint="eastAsia"/>
        </w:rPr>
        <w:t>是否采用低代码建设：否</w:t>
      </w:r>
    </w:p>
    <w:p w14:paraId="2E72AF79">
      <w:r>
        <w:rPr>
          <w:rFonts w:hint="eastAsia"/>
        </w:rPr>
        <w:t>运维后所属大系统：自然资源和资产管理大系统</w:t>
      </w:r>
    </w:p>
    <w:p w14:paraId="00C287E8">
      <w:pPr>
        <w:pStyle w:val="2"/>
        <w:numPr>
          <w:ilvl w:val="0"/>
          <w:numId w:val="3"/>
        </w:numPr>
      </w:pPr>
      <w:bookmarkStart w:id="1" w:name="_Toc47531634"/>
      <w:bookmarkEnd w:id="1"/>
      <w:bookmarkStart w:id="2" w:name="_Toc47532255"/>
      <w:bookmarkEnd w:id="2"/>
      <w:bookmarkStart w:id="3" w:name="_Toc47537134"/>
      <w:bookmarkEnd w:id="3"/>
      <w:bookmarkStart w:id="4" w:name="_Toc47536272"/>
      <w:bookmarkEnd w:id="4"/>
      <w:bookmarkStart w:id="5" w:name="_Toc47536644"/>
      <w:bookmarkEnd w:id="5"/>
      <w:bookmarkStart w:id="6" w:name="_Toc47539070"/>
      <w:bookmarkEnd w:id="6"/>
      <w:bookmarkStart w:id="7" w:name="_Toc47532891"/>
      <w:bookmarkEnd w:id="7"/>
      <w:bookmarkStart w:id="8" w:name="_Toc47533256"/>
      <w:bookmarkEnd w:id="8"/>
      <w:bookmarkStart w:id="9" w:name="_Toc63785463"/>
      <w:bookmarkStart w:id="10" w:name="_Toc48223882"/>
      <w:r>
        <w:rPr>
          <w:rFonts w:hint="eastAsia"/>
        </w:rPr>
        <w:t>建设目标</w:t>
      </w:r>
      <w:bookmarkEnd w:id="9"/>
      <w:bookmarkEnd w:id="10"/>
    </w:p>
    <w:p w14:paraId="41E485AE">
      <w:pPr>
        <w:pStyle w:val="3"/>
        <w:numPr>
          <w:ilvl w:val="1"/>
          <w:numId w:val="3"/>
        </w:numPr>
      </w:pPr>
      <w:r>
        <w:rPr>
          <w:rFonts w:hint="eastAsia"/>
        </w:rPr>
        <w:t>项目总体目标</w:t>
      </w:r>
    </w:p>
    <w:p w14:paraId="76E9391A">
      <w:pPr>
        <w:ind w:firstLine="482"/>
        <w:rPr>
          <w:rFonts w:ascii="仿宋" w:hAnsi="仿宋"/>
        </w:rPr>
      </w:pPr>
      <w:r>
        <w:rPr>
          <w:rFonts w:hint="eastAsia" w:ascii="仿宋" w:hAnsi="仿宋"/>
          <w:b/>
        </w:rPr>
        <w:t>一、加强测绘事务批后监管，构建测绘管理事项监管体系</w:t>
      </w:r>
    </w:p>
    <w:p w14:paraId="6C409E64">
      <w:r>
        <w:rPr>
          <w:rFonts w:hint="eastAsia"/>
        </w:rPr>
        <w:t>通过测量标志点批后监管、地图告知承批后监管等信息化功能建设，实现测绘基准稳定性保障、地理信息安全防控、地图审核效能提升三大核心能力升级，推动测绘地理信息事业从传统审批向信用监管转型。</w:t>
      </w:r>
    </w:p>
    <w:p w14:paraId="06095D97">
      <w:pPr>
        <w:ind w:firstLine="482"/>
        <w:rPr>
          <w:rFonts w:ascii="仿宋" w:hAnsi="仿宋"/>
        </w:rPr>
      </w:pPr>
      <w:r>
        <w:rPr>
          <w:rFonts w:hint="eastAsia" w:ascii="仿宋" w:hAnsi="仿宋"/>
          <w:b/>
        </w:rPr>
        <w:t>二、加强地籍调查成果应用，支撑确权登记与自然资源管理工作</w:t>
      </w:r>
    </w:p>
    <w:p w14:paraId="305815B1">
      <w:r>
        <w:t>建立健全地籍数据更新维护机制，开展主动式地籍调查和更新工作，梳理初始地籍信息，建立全市全覆盖使用权宗地的初始地籍册信息，制定现势性评价方法，为地籍管理部门主动开展宗地现势性梳理与调查提供线索和支撑。搭建地籍</w:t>
      </w:r>
      <w:r>
        <w:rPr>
          <w:rFonts w:hint="eastAsia"/>
        </w:rPr>
        <w:t>专题图</w:t>
      </w:r>
      <w:r>
        <w:t>，实现图形、属性、档案等信息一体化管理展示，实现“一码关联”宗地全生命周期信息展示和监控监管。深化地籍数据共享应用，强化部门协作和业务协同，提升地籍数据共享应用能力，便利信息共享和查询追溯。</w:t>
      </w:r>
    </w:p>
    <w:p w14:paraId="3E44E4BE">
      <w:pPr>
        <w:ind w:firstLine="482"/>
        <w:rPr>
          <w:rFonts w:ascii="仿宋" w:hAnsi="仿宋"/>
        </w:rPr>
      </w:pPr>
      <w:r>
        <w:rPr>
          <w:rFonts w:hint="eastAsia" w:ascii="仿宋" w:hAnsi="仿宋"/>
          <w:b/>
        </w:rPr>
        <w:t>三、完善现状专项监测调查，建立自然资源协同调查机制</w:t>
      </w:r>
    </w:p>
    <w:p w14:paraId="740824C3">
      <w:r>
        <w:rPr>
          <w:rFonts w:hint="eastAsia"/>
        </w:rPr>
        <w:t>开展水资源、林草湿荒及城市国土空间专项调查模块开发，构建年度变更-日常变更-专项调查联动的动态监测体系，实现地类属性同步更新、调查成果跨部门共享，解决多源数据冲突问题，支撑国土空间精细化治理。</w:t>
      </w:r>
    </w:p>
    <w:p w14:paraId="77774193">
      <w:pPr>
        <w:pStyle w:val="3"/>
        <w:numPr>
          <w:ilvl w:val="1"/>
          <w:numId w:val="3"/>
        </w:numPr>
      </w:pPr>
      <w:r>
        <w:rPr>
          <w:rFonts w:hint="eastAsia"/>
        </w:rPr>
        <w:t>项目成效考核目标（规划指标）</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752"/>
        <w:gridCol w:w="1003"/>
        <w:gridCol w:w="2060"/>
        <w:gridCol w:w="2429"/>
        <w:gridCol w:w="1722"/>
      </w:tblGrid>
      <w:tr w14:paraId="47B7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14:paraId="351BA49B">
            <w:pPr>
              <w:pStyle w:val="135"/>
              <w:widowControl w:val="0"/>
              <w:jc w:val="center"/>
              <w:rPr>
                <w:rFonts w:ascii="Calibri" w:hAnsi="Calibri"/>
              </w:rPr>
            </w:pPr>
            <w:r>
              <w:rPr>
                <w:rFonts w:hint="eastAsia" w:ascii="Calibri" w:hAnsi="Calibri"/>
              </w:rPr>
              <w:t>业务目标</w:t>
            </w:r>
          </w:p>
        </w:tc>
        <w:tc>
          <w:tcPr>
            <w:tcW w:w="0" w:type="auto"/>
            <w:gridSpan w:val="4"/>
            <w:vAlign w:val="center"/>
          </w:tcPr>
          <w:p w14:paraId="0086A00F">
            <w:pPr>
              <w:pStyle w:val="135"/>
              <w:widowControl w:val="0"/>
              <w:jc w:val="both"/>
              <w:rPr>
                <w:rFonts w:ascii="Calibri" w:hAnsi="Calibri"/>
              </w:rPr>
            </w:pPr>
            <w:r>
              <w:rPr>
                <w:rFonts w:hint="eastAsia" w:ascii="Calibri" w:hAnsi="Calibri"/>
              </w:rPr>
              <w:t>加强自然资源管理工作，包括测绘事项审后监管、主动式地籍监管与更新、水资源、林草湿荒与城市国土空间监测专项调查等</w:t>
            </w:r>
          </w:p>
        </w:tc>
      </w:tr>
      <w:tr w14:paraId="6DBD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657F485">
            <w:pPr>
              <w:pStyle w:val="135"/>
              <w:widowControl w:val="0"/>
              <w:jc w:val="center"/>
              <w:rPr>
                <w:rFonts w:ascii="Calibri" w:hAnsi="Calibri"/>
              </w:rPr>
            </w:pPr>
            <w:r>
              <w:rPr>
                <w:rFonts w:hint="eastAsia" w:ascii="Calibri" w:hAnsi="Calibri"/>
              </w:rPr>
              <w:t>序号</w:t>
            </w:r>
          </w:p>
        </w:tc>
        <w:tc>
          <w:tcPr>
            <w:tcW w:w="0" w:type="auto"/>
            <w:vAlign w:val="center"/>
          </w:tcPr>
          <w:p w14:paraId="074C69E9">
            <w:pPr>
              <w:pStyle w:val="135"/>
              <w:widowControl w:val="0"/>
              <w:jc w:val="center"/>
              <w:rPr>
                <w:rFonts w:ascii="Calibri" w:hAnsi="Calibri"/>
              </w:rPr>
            </w:pPr>
            <w:r>
              <w:rPr>
                <w:rFonts w:hint="eastAsia" w:ascii="Calibri" w:hAnsi="Calibri"/>
              </w:rPr>
              <w:t>一级指标</w:t>
            </w:r>
          </w:p>
        </w:tc>
        <w:tc>
          <w:tcPr>
            <w:tcW w:w="0" w:type="auto"/>
            <w:vAlign w:val="center"/>
          </w:tcPr>
          <w:p w14:paraId="1987D016">
            <w:pPr>
              <w:pStyle w:val="135"/>
              <w:widowControl w:val="0"/>
              <w:jc w:val="center"/>
              <w:rPr>
                <w:rFonts w:ascii="Calibri" w:hAnsi="Calibri"/>
              </w:rPr>
            </w:pPr>
            <w:r>
              <w:rPr>
                <w:rFonts w:hint="eastAsia" w:ascii="Calibri" w:hAnsi="Calibri"/>
              </w:rPr>
              <w:t>二级指标</w:t>
            </w:r>
          </w:p>
        </w:tc>
        <w:tc>
          <w:tcPr>
            <w:tcW w:w="0" w:type="auto"/>
            <w:vAlign w:val="center"/>
          </w:tcPr>
          <w:p w14:paraId="0A469790">
            <w:pPr>
              <w:pStyle w:val="135"/>
              <w:widowControl w:val="0"/>
              <w:jc w:val="center"/>
              <w:rPr>
                <w:rFonts w:ascii="Calibri" w:hAnsi="Calibri"/>
              </w:rPr>
            </w:pPr>
            <w:r>
              <w:rPr>
                <w:rFonts w:hint="eastAsia" w:ascii="Calibri" w:hAnsi="Calibri"/>
              </w:rPr>
              <w:t>三级指标</w:t>
            </w:r>
          </w:p>
        </w:tc>
        <w:tc>
          <w:tcPr>
            <w:tcW w:w="0" w:type="auto"/>
            <w:vAlign w:val="center"/>
          </w:tcPr>
          <w:p w14:paraId="5131324C">
            <w:pPr>
              <w:pStyle w:val="135"/>
              <w:widowControl w:val="0"/>
              <w:jc w:val="center"/>
              <w:rPr>
                <w:rFonts w:ascii="Calibri" w:hAnsi="Calibri"/>
              </w:rPr>
            </w:pPr>
            <w:r>
              <w:rPr>
                <w:rFonts w:hint="eastAsia" w:ascii="Calibri" w:hAnsi="Calibri"/>
              </w:rPr>
              <w:t>四级指标</w:t>
            </w:r>
          </w:p>
        </w:tc>
        <w:tc>
          <w:tcPr>
            <w:tcW w:w="0" w:type="auto"/>
            <w:vAlign w:val="center"/>
          </w:tcPr>
          <w:p w14:paraId="67637648">
            <w:pPr>
              <w:pStyle w:val="135"/>
              <w:widowControl w:val="0"/>
              <w:jc w:val="center"/>
              <w:rPr>
                <w:rFonts w:ascii="Calibri" w:hAnsi="Calibri"/>
              </w:rPr>
            </w:pPr>
            <w:r>
              <w:rPr>
                <w:rFonts w:hint="eastAsia" w:ascii="Calibri" w:hAnsi="Calibri"/>
              </w:rPr>
              <w:t>指标值</w:t>
            </w:r>
          </w:p>
        </w:tc>
      </w:tr>
      <w:tr w14:paraId="5712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E839385">
            <w:pPr>
              <w:pStyle w:val="135"/>
              <w:widowControl w:val="0"/>
              <w:jc w:val="center"/>
              <w:rPr>
                <w:rFonts w:ascii="Calibri" w:hAnsi="Calibri"/>
              </w:rPr>
            </w:pPr>
            <w:r>
              <w:rPr>
                <w:rFonts w:ascii="Calibri" w:hAnsi="Calibri"/>
              </w:rPr>
              <w:t>1</w:t>
            </w:r>
          </w:p>
        </w:tc>
        <w:tc>
          <w:tcPr>
            <w:tcW w:w="0" w:type="auto"/>
            <w:vMerge w:val="restart"/>
            <w:vAlign w:val="center"/>
          </w:tcPr>
          <w:p w14:paraId="38BF2112">
            <w:pPr>
              <w:pStyle w:val="135"/>
              <w:widowControl w:val="0"/>
              <w:jc w:val="center"/>
              <w:rPr>
                <w:rFonts w:ascii="Calibri" w:hAnsi="Calibri"/>
              </w:rPr>
            </w:pPr>
            <w:r>
              <w:rPr>
                <w:rFonts w:hint="eastAsia" w:ascii="Calibri" w:hAnsi="Calibri"/>
              </w:rPr>
              <w:t>通用指标</w:t>
            </w:r>
          </w:p>
        </w:tc>
        <w:tc>
          <w:tcPr>
            <w:tcW w:w="0" w:type="auto"/>
            <w:vMerge w:val="restart"/>
            <w:vAlign w:val="center"/>
          </w:tcPr>
          <w:p w14:paraId="17647B85">
            <w:pPr>
              <w:pStyle w:val="135"/>
              <w:widowControl w:val="0"/>
              <w:jc w:val="center"/>
              <w:rPr>
                <w:rFonts w:ascii="Calibri" w:hAnsi="Calibri"/>
              </w:rPr>
            </w:pPr>
            <w:r>
              <w:rPr>
                <w:rFonts w:hint="eastAsia" w:ascii="Calibri" w:hAnsi="Calibri"/>
              </w:rPr>
              <w:t>产出指标</w:t>
            </w:r>
          </w:p>
        </w:tc>
        <w:tc>
          <w:tcPr>
            <w:tcW w:w="0" w:type="auto"/>
            <w:vAlign w:val="center"/>
          </w:tcPr>
          <w:p w14:paraId="04E357D7">
            <w:pPr>
              <w:pStyle w:val="135"/>
              <w:widowControl w:val="0"/>
              <w:jc w:val="center"/>
              <w:rPr>
                <w:rFonts w:ascii="Calibri" w:hAnsi="Calibri"/>
              </w:rPr>
            </w:pPr>
            <w:r>
              <w:rPr>
                <w:rFonts w:hint="eastAsia" w:ascii="Calibri" w:hAnsi="Calibri"/>
              </w:rPr>
              <w:t>产出数量</w:t>
            </w:r>
          </w:p>
        </w:tc>
        <w:tc>
          <w:tcPr>
            <w:tcW w:w="0" w:type="auto"/>
            <w:vAlign w:val="center"/>
          </w:tcPr>
          <w:p w14:paraId="20AD8143">
            <w:pPr>
              <w:pStyle w:val="135"/>
              <w:widowControl w:val="0"/>
              <w:jc w:val="center"/>
              <w:rPr>
                <w:rFonts w:ascii="Calibri" w:hAnsi="Calibri"/>
              </w:rPr>
            </w:pPr>
            <w:r>
              <w:rPr>
                <w:rFonts w:hint="eastAsia" w:ascii="Calibri" w:hAnsi="Calibri"/>
              </w:rPr>
              <w:t>软件开发完成率</w:t>
            </w:r>
          </w:p>
        </w:tc>
        <w:tc>
          <w:tcPr>
            <w:tcW w:w="0" w:type="auto"/>
            <w:vAlign w:val="center"/>
          </w:tcPr>
          <w:p w14:paraId="3B44BCFC">
            <w:pPr>
              <w:pStyle w:val="135"/>
              <w:widowControl w:val="0"/>
              <w:jc w:val="center"/>
              <w:rPr>
                <w:rFonts w:ascii="Calibri" w:hAnsi="Calibri"/>
              </w:rPr>
            </w:pPr>
            <w:r>
              <w:rPr>
                <w:rFonts w:ascii="Calibri" w:hAnsi="Calibri"/>
              </w:rPr>
              <w:t>≥</w:t>
            </w:r>
            <w:r>
              <w:rPr>
                <w:rFonts w:hint="eastAsia" w:ascii="Calibri" w:hAnsi="Calibri"/>
              </w:rPr>
              <w:t>95%</w:t>
            </w:r>
          </w:p>
        </w:tc>
      </w:tr>
      <w:tr w14:paraId="1DF2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14:paraId="095A061E">
            <w:pPr>
              <w:pStyle w:val="135"/>
              <w:widowControl w:val="0"/>
              <w:jc w:val="center"/>
              <w:rPr>
                <w:rFonts w:ascii="Calibri" w:hAnsi="Calibri"/>
              </w:rPr>
            </w:pPr>
            <w:r>
              <w:rPr>
                <w:rFonts w:hint="eastAsia" w:ascii="Calibri" w:hAnsi="Calibri"/>
              </w:rPr>
              <w:t>2</w:t>
            </w:r>
          </w:p>
        </w:tc>
        <w:tc>
          <w:tcPr>
            <w:tcW w:w="0" w:type="auto"/>
            <w:vMerge w:val="continue"/>
            <w:vAlign w:val="center"/>
          </w:tcPr>
          <w:p w14:paraId="5DA96624">
            <w:pPr>
              <w:pStyle w:val="135"/>
              <w:widowControl w:val="0"/>
              <w:jc w:val="center"/>
              <w:rPr>
                <w:rFonts w:ascii="Calibri" w:hAnsi="Calibri"/>
              </w:rPr>
            </w:pPr>
          </w:p>
        </w:tc>
        <w:tc>
          <w:tcPr>
            <w:tcW w:w="0" w:type="auto"/>
            <w:vMerge w:val="continue"/>
            <w:vAlign w:val="center"/>
          </w:tcPr>
          <w:p w14:paraId="46C06A97">
            <w:pPr>
              <w:pStyle w:val="135"/>
              <w:widowControl w:val="0"/>
              <w:jc w:val="center"/>
              <w:rPr>
                <w:rFonts w:ascii="Calibri" w:hAnsi="Calibri"/>
              </w:rPr>
            </w:pPr>
          </w:p>
        </w:tc>
        <w:tc>
          <w:tcPr>
            <w:tcW w:w="0" w:type="auto"/>
            <w:vMerge w:val="restart"/>
            <w:vAlign w:val="center"/>
          </w:tcPr>
          <w:p w14:paraId="5EC5F1D4">
            <w:pPr>
              <w:pStyle w:val="135"/>
              <w:widowControl w:val="0"/>
              <w:jc w:val="center"/>
              <w:rPr>
                <w:rFonts w:ascii="Calibri" w:hAnsi="Calibri"/>
              </w:rPr>
            </w:pPr>
            <w:r>
              <w:rPr>
                <w:rFonts w:hint="eastAsia" w:ascii="Calibri" w:hAnsi="Calibri"/>
              </w:rPr>
              <w:t>产出质量</w:t>
            </w:r>
          </w:p>
        </w:tc>
        <w:tc>
          <w:tcPr>
            <w:tcW w:w="0" w:type="auto"/>
            <w:vAlign w:val="center"/>
          </w:tcPr>
          <w:p w14:paraId="6ADB3D16">
            <w:pPr>
              <w:pStyle w:val="135"/>
              <w:widowControl w:val="0"/>
              <w:jc w:val="center"/>
              <w:rPr>
                <w:rFonts w:ascii="Calibri" w:hAnsi="Calibri"/>
              </w:rPr>
            </w:pPr>
            <w:r>
              <w:rPr>
                <w:rFonts w:hint="eastAsia" w:ascii="Calibri" w:hAnsi="Calibri"/>
              </w:rPr>
              <w:t>一次性验收合格率</w:t>
            </w:r>
          </w:p>
        </w:tc>
        <w:tc>
          <w:tcPr>
            <w:tcW w:w="0" w:type="auto"/>
            <w:vAlign w:val="center"/>
          </w:tcPr>
          <w:p w14:paraId="77C3647B">
            <w:pPr>
              <w:pStyle w:val="135"/>
              <w:widowControl w:val="0"/>
              <w:jc w:val="center"/>
              <w:rPr>
                <w:rFonts w:ascii="Calibri" w:hAnsi="Calibri"/>
              </w:rPr>
            </w:pPr>
            <w:r>
              <w:rPr>
                <w:rFonts w:ascii="Calibri" w:hAnsi="Calibri"/>
              </w:rPr>
              <w:t>≥</w:t>
            </w:r>
            <w:r>
              <w:rPr>
                <w:rFonts w:hint="eastAsia" w:ascii="Calibri" w:hAnsi="Calibri"/>
              </w:rPr>
              <w:t>95%</w:t>
            </w:r>
          </w:p>
        </w:tc>
      </w:tr>
      <w:tr w14:paraId="3CB0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6C93D98">
            <w:pPr>
              <w:pStyle w:val="135"/>
              <w:widowControl w:val="0"/>
              <w:jc w:val="center"/>
              <w:rPr>
                <w:rFonts w:ascii="Calibri" w:hAnsi="Calibri"/>
              </w:rPr>
            </w:pPr>
            <w:r>
              <w:rPr>
                <w:rFonts w:hint="eastAsia" w:ascii="Calibri" w:hAnsi="Calibri"/>
              </w:rPr>
              <w:t>3</w:t>
            </w:r>
          </w:p>
        </w:tc>
        <w:tc>
          <w:tcPr>
            <w:tcW w:w="0" w:type="auto"/>
            <w:vMerge w:val="continue"/>
            <w:vAlign w:val="center"/>
          </w:tcPr>
          <w:p w14:paraId="714C983A">
            <w:pPr>
              <w:pStyle w:val="135"/>
              <w:widowControl w:val="0"/>
              <w:jc w:val="center"/>
              <w:rPr>
                <w:rFonts w:ascii="Calibri" w:hAnsi="Calibri"/>
              </w:rPr>
            </w:pPr>
          </w:p>
        </w:tc>
        <w:tc>
          <w:tcPr>
            <w:tcW w:w="0" w:type="auto"/>
            <w:vMerge w:val="continue"/>
            <w:vAlign w:val="center"/>
          </w:tcPr>
          <w:p w14:paraId="2278E920">
            <w:pPr>
              <w:pStyle w:val="135"/>
              <w:widowControl w:val="0"/>
              <w:jc w:val="center"/>
              <w:rPr>
                <w:rFonts w:ascii="Calibri" w:hAnsi="Calibri"/>
              </w:rPr>
            </w:pPr>
          </w:p>
        </w:tc>
        <w:tc>
          <w:tcPr>
            <w:tcW w:w="0" w:type="auto"/>
            <w:vMerge w:val="continue"/>
            <w:vAlign w:val="center"/>
          </w:tcPr>
          <w:p w14:paraId="13943470">
            <w:pPr>
              <w:pStyle w:val="135"/>
              <w:widowControl w:val="0"/>
              <w:jc w:val="center"/>
              <w:rPr>
                <w:rFonts w:ascii="Calibri" w:hAnsi="Calibri"/>
              </w:rPr>
            </w:pPr>
          </w:p>
        </w:tc>
        <w:tc>
          <w:tcPr>
            <w:tcW w:w="0" w:type="auto"/>
            <w:vAlign w:val="center"/>
          </w:tcPr>
          <w:p w14:paraId="37AC6EED">
            <w:pPr>
              <w:pStyle w:val="135"/>
              <w:widowControl w:val="0"/>
              <w:jc w:val="center"/>
              <w:rPr>
                <w:rFonts w:ascii="Calibri" w:hAnsi="Calibri"/>
              </w:rPr>
            </w:pPr>
            <w:r>
              <w:rPr>
                <w:rFonts w:hint="eastAsia" w:ascii="Calibri" w:hAnsi="Calibri"/>
              </w:rPr>
              <w:t>系统可靠性</w:t>
            </w:r>
          </w:p>
        </w:tc>
        <w:tc>
          <w:tcPr>
            <w:tcW w:w="0" w:type="auto"/>
            <w:vAlign w:val="center"/>
          </w:tcPr>
          <w:p w14:paraId="6D284373">
            <w:pPr>
              <w:pStyle w:val="135"/>
              <w:widowControl w:val="0"/>
              <w:jc w:val="center"/>
              <w:rPr>
                <w:rFonts w:ascii="Calibri" w:hAnsi="Calibri"/>
              </w:rPr>
            </w:pPr>
            <w:r>
              <w:rPr>
                <w:rFonts w:ascii="Calibri" w:hAnsi="Calibri"/>
              </w:rPr>
              <w:t>≥</w:t>
            </w:r>
            <w:r>
              <w:rPr>
                <w:rFonts w:hint="eastAsia" w:ascii="Calibri" w:hAnsi="Calibri"/>
              </w:rPr>
              <w:t>95%</w:t>
            </w:r>
          </w:p>
        </w:tc>
      </w:tr>
      <w:tr w14:paraId="5FFE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C03A484">
            <w:pPr>
              <w:pStyle w:val="135"/>
              <w:widowControl w:val="0"/>
              <w:jc w:val="center"/>
              <w:rPr>
                <w:rFonts w:ascii="Calibri" w:hAnsi="Calibri"/>
              </w:rPr>
            </w:pPr>
            <w:r>
              <w:rPr>
                <w:rFonts w:hint="eastAsia" w:ascii="Calibri" w:hAnsi="Calibri"/>
              </w:rPr>
              <w:t>4</w:t>
            </w:r>
          </w:p>
        </w:tc>
        <w:tc>
          <w:tcPr>
            <w:tcW w:w="0" w:type="auto"/>
            <w:vMerge w:val="continue"/>
            <w:vAlign w:val="center"/>
          </w:tcPr>
          <w:p w14:paraId="12CB326C">
            <w:pPr>
              <w:pStyle w:val="135"/>
              <w:widowControl w:val="0"/>
              <w:jc w:val="center"/>
              <w:rPr>
                <w:rFonts w:ascii="Calibri" w:hAnsi="Calibri"/>
              </w:rPr>
            </w:pPr>
          </w:p>
        </w:tc>
        <w:tc>
          <w:tcPr>
            <w:tcW w:w="0" w:type="auto"/>
            <w:vMerge w:val="continue"/>
            <w:vAlign w:val="center"/>
          </w:tcPr>
          <w:p w14:paraId="185A243E">
            <w:pPr>
              <w:pStyle w:val="135"/>
              <w:widowControl w:val="0"/>
              <w:jc w:val="center"/>
              <w:rPr>
                <w:rFonts w:ascii="Calibri" w:hAnsi="Calibri"/>
              </w:rPr>
            </w:pPr>
          </w:p>
        </w:tc>
        <w:tc>
          <w:tcPr>
            <w:tcW w:w="0" w:type="auto"/>
            <w:vMerge w:val="continue"/>
            <w:vAlign w:val="center"/>
          </w:tcPr>
          <w:p w14:paraId="552D0B2E">
            <w:pPr>
              <w:pStyle w:val="135"/>
              <w:widowControl w:val="0"/>
              <w:jc w:val="center"/>
              <w:rPr>
                <w:rFonts w:ascii="Calibri" w:hAnsi="Calibri"/>
              </w:rPr>
            </w:pPr>
          </w:p>
        </w:tc>
        <w:tc>
          <w:tcPr>
            <w:tcW w:w="0" w:type="auto"/>
            <w:vAlign w:val="center"/>
          </w:tcPr>
          <w:p w14:paraId="3C12C771">
            <w:pPr>
              <w:pStyle w:val="135"/>
              <w:widowControl w:val="0"/>
              <w:jc w:val="center"/>
              <w:rPr>
                <w:rFonts w:ascii="Calibri" w:hAnsi="Calibri"/>
              </w:rPr>
            </w:pPr>
            <w:r>
              <w:rPr>
                <w:rFonts w:hint="eastAsia" w:ascii="Calibri" w:hAnsi="Calibri"/>
              </w:rPr>
              <w:t>软件测试达标</w:t>
            </w:r>
          </w:p>
        </w:tc>
        <w:tc>
          <w:tcPr>
            <w:tcW w:w="0" w:type="auto"/>
            <w:vAlign w:val="center"/>
          </w:tcPr>
          <w:p w14:paraId="377A0AD3">
            <w:pPr>
              <w:pStyle w:val="135"/>
              <w:widowControl w:val="0"/>
              <w:jc w:val="center"/>
              <w:rPr>
                <w:rFonts w:ascii="Calibri" w:hAnsi="Calibri"/>
              </w:rPr>
            </w:pPr>
            <w:r>
              <w:rPr>
                <w:rFonts w:hint="eastAsia" w:ascii="Calibri" w:hAnsi="Calibri"/>
              </w:rPr>
              <w:t>通过</w:t>
            </w:r>
          </w:p>
        </w:tc>
      </w:tr>
      <w:tr w14:paraId="54F50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131721F">
            <w:pPr>
              <w:pStyle w:val="135"/>
              <w:widowControl w:val="0"/>
              <w:jc w:val="center"/>
              <w:rPr>
                <w:rFonts w:ascii="Calibri" w:hAnsi="Calibri"/>
              </w:rPr>
            </w:pPr>
            <w:r>
              <w:rPr>
                <w:rFonts w:hint="eastAsia" w:ascii="Calibri" w:hAnsi="Calibri"/>
              </w:rPr>
              <w:t>5</w:t>
            </w:r>
          </w:p>
        </w:tc>
        <w:tc>
          <w:tcPr>
            <w:tcW w:w="0" w:type="auto"/>
            <w:vMerge w:val="continue"/>
            <w:vAlign w:val="center"/>
          </w:tcPr>
          <w:p w14:paraId="50F3D685">
            <w:pPr>
              <w:pStyle w:val="135"/>
              <w:widowControl w:val="0"/>
              <w:jc w:val="center"/>
              <w:rPr>
                <w:rFonts w:ascii="Calibri" w:hAnsi="Calibri"/>
              </w:rPr>
            </w:pPr>
          </w:p>
        </w:tc>
        <w:tc>
          <w:tcPr>
            <w:tcW w:w="0" w:type="auto"/>
            <w:vMerge w:val="continue"/>
            <w:vAlign w:val="center"/>
          </w:tcPr>
          <w:p w14:paraId="35797C31">
            <w:pPr>
              <w:pStyle w:val="135"/>
              <w:widowControl w:val="0"/>
              <w:jc w:val="center"/>
              <w:rPr>
                <w:rFonts w:ascii="Calibri" w:hAnsi="Calibri"/>
              </w:rPr>
            </w:pPr>
          </w:p>
        </w:tc>
        <w:tc>
          <w:tcPr>
            <w:tcW w:w="0" w:type="auto"/>
            <w:vMerge w:val="continue"/>
            <w:vAlign w:val="center"/>
          </w:tcPr>
          <w:p w14:paraId="109E2F68">
            <w:pPr>
              <w:pStyle w:val="135"/>
              <w:widowControl w:val="0"/>
              <w:jc w:val="center"/>
              <w:rPr>
                <w:rFonts w:ascii="Calibri" w:hAnsi="Calibri"/>
              </w:rPr>
            </w:pPr>
          </w:p>
        </w:tc>
        <w:tc>
          <w:tcPr>
            <w:tcW w:w="0" w:type="auto"/>
            <w:vAlign w:val="center"/>
          </w:tcPr>
          <w:p w14:paraId="1F8D66D3">
            <w:pPr>
              <w:pStyle w:val="135"/>
              <w:widowControl w:val="0"/>
              <w:jc w:val="center"/>
              <w:rPr>
                <w:rFonts w:ascii="Calibri" w:hAnsi="Calibri"/>
              </w:rPr>
            </w:pPr>
            <w:r>
              <w:rPr>
                <w:rFonts w:hint="eastAsia" w:ascii="Calibri" w:hAnsi="Calibri"/>
              </w:rPr>
              <w:t>密码测试达标</w:t>
            </w:r>
          </w:p>
        </w:tc>
        <w:tc>
          <w:tcPr>
            <w:tcW w:w="0" w:type="auto"/>
            <w:vAlign w:val="center"/>
          </w:tcPr>
          <w:p w14:paraId="0EAE6F6B">
            <w:pPr>
              <w:pStyle w:val="135"/>
              <w:widowControl w:val="0"/>
              <w:jc w:val="center"/>
              <w:rPr>
                <w:rFonts w:ascii="Calibri" w:hAnsi="Calibri"/>
              </w:rPr>
            </w:pPr>
            <w:r>
              <w:rPr>
                <w:rFonts w:hint="eastAsia" w:ascii="Calibri" w:hAnsi="Calibri"/>
              </w:rPr>
              <w:t>通过</w:t>
            </w:r>
          </w:p>
        </w:tc>
      </w:tr>
      <w:tr w14:paraId="1F54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14:paraId="5771C57A">
            <w:pPr>
              <w:pStyle w:val="135"/>
              <w:widowControl w:val="0"/>
              <w:jc w:val="center"/>
              <w:rPr>
                <w:rFonts w:ascii="Calibri" w:hAnsi="Calibri"/>
              </w:rPr>
            </w:pPr>
            <w:r>
              <w:rPr>
                <w:rFonts w:hint="eastAsia" w:ascii="Calibri" w:hAnsi="Calibri"/>
              </w:rPr>
              <w:t>6</w:t>
            </w:r>
          </w:p>
        </w:tc>
        <w:tc>
          <w:tcPr>
            <w:tcW w:w="0" w:type="auto"/>
            <w:vMerge w:val="continue"/>
            <w:vAlign w:val="center"/>
          </w:tcPr>
          <w:p w14:paraId="42B1CD9C">
            <w:pPr>
              <w:pStyle w:val="135"/>
              <w:widowControl w:val="0"/>
              <w:jc w:val="center"/>
              <w:rPr>
                <w:rFonts w:ascii="Calibri" w:hAnsi="Calibri"/>
              </w:rPr>
            </w:pPr>
          </w:p>
        </w:tc>
        <w:tc>
          <w:tcPr>
            <w:tcW w:w="0" w:type="auto"/>
            <w:vMerge w:val="continue"/>
            <w:vAlign w:val="center"/>
          </w:tcPr>
          <w:p w14:paraId="3A29AFEA">
            <w:pPr>
              <w:pStyle w:val="135"/>
              <w:widowControl w:val="0"/>
              <w:jc w:val="center"/>
              <w:rPr>
                <w:rFonts w:ascii="Calibri" w:hAnsi="Calibri"/>
              </w:rPr>
            </w:pPr>
          </w:p>
        </w:tc>
        <w:tc>
          <w:tcPr>
            <w:tcW w:w="0" w:type="auto"/>
            <w:vMerge w:val="continue"/>
            <w:vAlign w:val="center"/>
          </w:tcPr>
          <w:p w14:paraId="6C4E8078">
            <w:pPr>
              <w:pStyle w:val="135"/>
              <w:widowControl w:val="0"/>
              <w:jc w:val="center"/>
              <w:rPr>
                <w:rFonts w:ascii="Calibri" w:hAnsi="Calibri"/>
              </w:rPr>
            </w:pPr>
          </w:p>
        </w:tc>
        <w:tc>
          <w:tcPr>
            <w:tcW w:w="0" w:type="auto"/>
            <w:vAlign w:val="center"/>
          </w:tcPr>
          <w:p w14:paraId="1AA35AFB">
            <w:pPr>
              <w:pStyle w:val="135"/>
              <w:widowControl w:val="0"/>
              <w:jc w:val="center"/>
              <w:rPr>
                <w:rFonts w:ascii="Calibri" w:hAnsi="Calibri"/>
              </w:rPr>
            </w:pPr>
            <w:r>
              <w:rPr>
                <w:rFonts w:hint="eastAsia" w:ascii="Calibri" w:hAnsi="Calibri"/>
              </w:rPr>
              <w:t>网络安全等级保护</w:t>
            </w:r>
          </w:p>
        </w:tc>
        <w:tc>
          <w:tcPr>
            <w:tcW w:w="0" w:type="auto"/>
            <w:vAlign w:val="center"/>
          </w:tcPr>
          <w:p w14:paraId="07E60B81">
            <w:pPr>
              <w:pStyle w:val="135"/>
              <w:widowControl w:val="0"/>
              <w:jc w:val="center"/>
              <w:rPr>
                <w:rFonts w:ascii="Calibri" w:hAnsi="Calibri"/>
              </w:rPr>
            </w:pPr>
            <w:r>
              <w:rPr>
                <w:rFonts w:hint="eastAsia" w:ascii="Calibri" w:hAnsi="Calibri"/>
              </w:rPr>
              <w:t>三级</w:t>
            </w:r>
          </w:p>
        </w:tc>
      </w:tr>
      <w:tr w14:paraId="23C5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6EF37A9">
            <w:pPr>
              <w:pStyle w:val="135"/>
              <w:widowControl w:val="0"/>
              <w:jc w:val="center"/>
              <w:rPr>
                <w:rFonts w:ascii="Calibri" w:hAnsi="Calibri"/>
              </w:rPr>
            </w:pPr>
            <w:r>
              <w:rPr>
                <w:rFonts w:hint="eastAsia" w:ascii="Calibri" w:hAnsi="Calibri"/>
              </w:rPr>
              <w:t>7</w:t>
            </w:r>
          </w:p>
        </w:tc>
        <w:tc>
          <w:tcPr>
            <w:tcW w:w="0" w:type="auto"/>
            <w:vMerge w:val="continue"/>
            <w:vAlign w:val="center"/>
          </w:tcPr>
          <w:p w14:paraId="523748D4">
            <w:pPr>
              <w:pStyle w:val="135"/>
              <w:widowControl w:val="0"/>
              <w:jc w:val="center"/>
              <w:rPr>
                <w:rFonts w:ascii="Calibri" w:hAnsi="Calibri"/>
              </w:rPr>
            </w:pPr>
          </w:p>
        </w:tc>
        <w:tc>
          <w:tcPr>
            <w:tcW w:w="0" w:type="auto"/>
            <w:vMerge w:val="continue"/>
            <w:vAlign w:val="center"/>
          </w:tcPr>
          <w:p w14:paraId="2DF1BF5D">
            <w:pPr>
              <w:pStyle w:val="135"/>
              <w:widowControl w:val="0"/>
              <w:jc w:val="center"/>
              <w:rPr>
                <w:rFonts w:ascii="Calibri" w:hAnsi="Calibri"/>
              </w:rPr>
            </w:pPr>
          </w:p>
        </w:tc>
        <w:tc>
          <w:tcPr>
            <w:tcW w:w="0" w:type="auto"/>
            <w:vMerge w:val="continue"/>
            <w:vAlign w:val="center"/>
          </w:tcPr>
          <w:p w14:paraId="2E471E2A">
            <w:pPr>
              <w:pStyle w:val="135"/>
              <w:widowControl w:val="0"/>
              <w:jc w:val="center"/>
              <w:rPr>
                <w:rFonts w:ascii="Calibri" w:hAnsi="Calibri"/>
              </w:rPr>
            </w:pPr>
          </w:p>
        </w:tc>
        <w:tc>
          <w:tcPr>
            <w:tcW w:w="0" w:type="auto"/>
            <w:vAlign w:val="center"/>
          </w:tcPr>
          <w:p w14:paraId="795D00C1">
            <w:pPr>
              <w:pStyle w:val="135"/>
              <w:widowControl w:val="0"/>
              <w:jc w:val="center"/>
              <w:rPr>
                <w:rFonts w:ascii="Calibri" w:hAnsi="Calibri"/>
              </w:rPr>
            </w:pPr>
            <w:r>
              <w:rPr>
                <w:rFonts w:hint="eastAsia" w:ascii="Calibri" w:hAnsi="Calibri"/>
              </w:rPr>
              <w:t>安全测试达标</w:t>
            </w:r>
          </w:p>
        </w:tc>
        <w:tc>
          <w:tcPr>
            <w:tcW w:w="0" w:type="auto"/>
            <w:vAlign w:val="center"/>
          </w:tcPr>
          <w:p w14:paraId="7FF2E199">
            <w:pPr>
              <w:pStyle w:val="135"/>
              <w:widowControl w:val="0"/>
              <w:jc w:val="center"/>
              <w:rPr>
                <w:rFonts w:ascii="Calibri" w:hAnsi="Calibri"/>
              </w:rPr>
            </w:pPr>
            <w:r>
              <w:rPr>
                <w:rFonts w:hint="eastAsia" w:ascii="Calibri" w:hAnsi="Calibri"/>
              </w:rPr>
              <w:t>通过</w:t>
            </w:r>
          </w:p>
        </w:tc>
      </w:tr>
      <w:tr w14:paraId="40D3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021BF2E">
            <w:pPr>
              <w:pStyle w:val="135"/>
              <w:widowControl w:val="0"/>
              <w:jc w:val="center"/>
              <w:rPr>
                <w:rFonts w:ascii="Calibri" w:hAnsi="Calibri"/>
              </w:rPr>
            </w:pPr>
            <w:r>
              <w:rPr>
                <w:rFonts w:hint="eastAsia" w:ascii="Calibri" w:hAnsi="Calibri"/>
              </w:rPr>
              <w:t>8</w:t>
            </w:r>
          </w:p>
        </w:tc>
        <w:tc>
          <w:tcPr>
            <w:tcW w:w="0" w:type="auto"/>
            <w:vMerge w:val="continue"/>
            <w:vAlign w:val="center"/>
          </w:tcPr>
          <w:p w14:paraId="59B0340E">
            <w:pPr>
              <w:pStyle w:val="135"/>
              <w:widowControl w:val="0"/>
              <w:jc w:val="center"/>
              <w:rPr>
                <w:rFonts w:ascii="Calibri" w:hAnsi="Calibri"/>
              </w:rPr>
            </w:pPr>
          </w:p>
        </w:tc>
        <w:tc>
          <w:tcPr>
            <w:tcW w:w="0" w:type="auto"/>
            <w:vMerge w:val="continue"/>
            <w:vAlign w:val="center"/>
          </w:tcPr>
          <w:p w14:paraId="57C9F01A">
            <w:pPr>
              <w:pStyle w:val="135"/>
              <w:widowControl w:val="0"/>
              <w:jc w:val="center"/>
              <w:rPr>
                <w:rFonts w:ascii="Calibri" w:hAnsi="Calibri"/>
              </w:rPr>
            </w:pPr>
          </w:p>
        </w:tc>
        <w:tc>
          <w:tcPr>
            <w:tcW w:w="0" w:type="auto"/>
            <w:vMerge w:val="continue"/>
            <w:vAlign w:val="center"/>
          </w:tcPr>
          <w:p w14:paraId="790CE850">
            <w:pPr>
              <w:pStyle w:val="135"/>
              <w:widowControl w:val="0"/>
              <w:jc w:val="center"/>
              <w:rPr>
                <w:rFonts w:ascii="Calibri" w:hAnsi="Calibri"/>
              </w:rPr>
            </w:pPr>
          </w:p>
        </w:tc>
        <w:tc>
          <w:tcPr>
            <w:tcW w:w="0" w:type="auto"/>
            <w:vAlign w:val="center"/>
          </w:tcPr>
          <w:p w14:paraId="7F394137">
            <w:pPr>
              <w:pStyle w:val="135"/>
              <w:widowControl w:val="0"/>
              <w:jc w:val="center"/>
              <w:rPr>
                <w:rFonts w:ascii="Calibri" w:hAnsi="Calibri"/>
              </w:rPr>
            </w:pPr>
            <w:r>
              <w:rPr>
                <w:rFonts w:hint="eastAsia" w:ascii="Calibri" w:hAnsi="Calibri"/>
              </w:rPr>
              <w:t>安全事件发生次数</w:t>
            </w:r>
          </w:p>
        </w:tc>
        <w:tc>
          <w:tcPr>
            <w:tcW w:w="0" w:type="auto"/>
            <w:vAlign w:val="center"/>
          </w:tcPr>
          <w:p w14:paraId="5287DA6F">
            <w:pPr>
              <w:pStyle w:val="135"/>
              <w:widowControl w:val="0"/>
              <w:jc w:val="center"/>
              <w:rPr>
                <w:rFonts w:ascii="Calibri" w:hAnsi="Calibri"/>
              </w:rPr>
            </w:pPr>
            <w:r>
              <w:rPr>
                <w:rFonts w:hint="eastAsia" w:ascii="Calibri" w:hAnsi="Calibri"/>
              </w:rPr>
              <w:t>0</w:t>
            </w:r>
          </w:p>
        </w:tc>
      </w:tr>
      <w:tr w14:paraId="3230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3A514BE">
            <w:pPr>
              <w:pStyle w:val="135"/>
              <w:widowControl w:val="0"/>
              <w:jc w:val="center"/>
              <w:rPr>
                <w:rFonts w:ascii="Calibri" w:hAnsi="Calibri"/>
              </w:rPr>
            </w:pPr>
            <w:r>
              <w:rPr>
                <w:rFonts w:hint="eastAsia" w:ascii="Calibri" w:hAnsi="Calibri"/>
              </w:rPr>
              <w:t>9</w:t>
            </w:r>
          </w:p>
        </w:tc>
        <w:tc>
          <w:tcPr>
            <w:tcW w:w="0" w:type="auto"/>
            <w:vMerge w:val="continue"/>
            <w:vAlign w:val="center"/>
          </w:tcPr>
          <w:p w14:paraId="3F198362">
            <w:pPr>
              <w:pStyle w:val="135"/>
              <w:widowControl w:val="0"/>
              <w:jc w:val="center"/>
              <w:rPr>
                <w:rFonts w:ascii="Calibri" w:hAnsi="Calibri"/>
              </w:rPr>
            </w:pPr>
          </w:p>
        </w:tc>
        <w:tc>
          <w:tcPr>
            <w:tcW w:w="0" w:type="auto"/>
            <w:vMerge w:val="restart"/>
            <w:vAlign w:val="center"/>
          </w:tcPr>
          <w:p w14:paraId="50D20F95">
            <w:pPr>
              <w:pStyle w:val="135"/>
              <w:widowControl w:val="0"/>
              <w:jc w:val="center"/>
              <w:rPr>
                <w:rFonts w:ascii="Calibri" w:hAnsi="Calibri"/>
              </w:rPr>
            </w:pPr>
            <w:r>
              <w:rPr>
                <w:rFonts w:hint="eastAsia" w:ascii="Calibri" w:hAnsi="Calibri"/>
              </w:rPr>
              <w:t>效益指标</w:t>
            </w:r>
          </w:p>
        </w:tc>
        <w:tc>
          <w:tcPr>
            <w:tcW w:w="0" w:type="auto"/>
            <w:vMerge w:val="restart"/>
            <w:vAlign w:val="center"/>
          </w:tcPr>
          <w:p w14:paraId="25AC9DD3">
            <w:pPr>
              <w:pStyle w:val="135"/>
              <w:widowControl w:val="0"/>
              <w:jc w:val="center"/>
              <w:rPr>
                <w:rFonts w:ascii="Calibri" w:hAnsi="Calibri"/>
              </w:rPr>
            </w:pPr>
            <w:r>
              <w:rPr>
                <w:rFonts w:hint="eastAsia" w:ascii="Calibri" w:hAnsi="Calibri"/>
              </w:rPr>
              <w:t>支撑系统/数据库/中间件</w:t>
            </w:r>
          </w:p>
        </w:tc>
        <w:tc>
          <w:tcPr>
            <w:tcW w:w="0" w:type="auto"/>
            <w:vAlign w:val="center"/>
          </w:tcPr>
          <w:p w14:paraId="6A2F6132">
            <w:pPr>
              <w:pStyle w:val="135"/>
              <w:widowControl w:val="0"/>
              <w:jc w:val="center"/>
              <w:rPr>
                <w:rFonts w:ascii="Calibri" w:hAnsi="Calibri"/>
              </w:rPr>
            </w:pPr>
            <w:r>
              <w:rPr>
                <w:rFonts w:hint="eastAsia" w:ascii="Calibri" w:hAnsi="Calibri"/>
              </w:rPr>
              <w:t>数据库</w:t>
            </w:r>
          </w:p>
        </w:tc>
        <w:tc>
          <w:tcPr>
            <w:tcW w:w="0" w:type="auto"/>
            <w:vAlign w:val="center"/>
          </w:tcPr>
          <w:p w14:paraId="36B0A830">
            <w:pPr>
              <w:pStyle w:val="135"/>
              <w:widowControl w:val="0"/>
              <w:jc w:val="center"/>
              <w:rPr>
                <w:rFonts w:ascii="Calibri" w:hAnsi="Calibri"/>
              </w:rPr>
            </w:pPr>
            <w:r>
              <w:rPr>
                <w:rFonts w:hint="eastAsia" w:ascii="Calibri" w:hAnsi="Calibri"/>
              </w:rPr>
              <w:t>国产数据库</w:t>
            </w:r>
          </w:p>
        </w:tc>
      </w:tr>
      <w:tr w14:paraId="1A10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14:paraId="1BA42BAC">
            <w:pPr>
              <w:pStyle w:val="135"/>
              <w:widowControl w:val="0"/>
              <w:jc w:val="center"/>
              <w:rPr>
                <w:rFonts w:ascii="Calibri" w:hAnsi="Calibri"/>
              </w:rPr>
            </w:pPr>
            <w:r>
              <w:rPr>
                <w:rFonts w:hint="eastAsia" w:ascii="Calibri" w:hAnsi="Calibri"/>
              </w:rPr>
              <w:t>10</w:t>
            </w:r>
          </w:p>
        </w:tc>
        <w:tc>
          <w:tcPr>
            <w:tcW w:w="0" w:type="auto"/>
            <w:vMerge w:val="continue"/>
            <w:vAlign w:val="center"/>
          </w:tcPr>
          <w:p w14:paraId="042C2088">
            <w:pPr>
              <w:pStyle w:val="135"/>
              <w:widowControl w:val="0"/>
              <w:jc w:val="center"/>
              <w:rPr>
                <w:rFonts w:ascii="Calibri" w:hAnsi="Calibri"/>
              </w:rPr>
            </w:pPr>
          </w:p>
        </w:tc>
        <w:tc>
          <w:tcPr>
            <w:tcW w:w="0" w:type="auto"/>
            <w:vMerge w:val="continue"/>
            <w:vAlign w:val="center"/>
          </w:tcPr>
          <w:p w14:paraId="2BE8B9FB">
            <w:pPr>
              <w:pStyle w:val="135"/>
              <w:widowControl w:val="0"/>
              <w:jc w:val="center"/>
              <w:rPr>
                <w:rFonts w:ascii="Calibri" w:hAnsi="Calibri"/>
              </w:rPr>
            </w:pPr>
          </w:p>
        </w:tc>
        <w:tc>
          <w:tcPr>
            <w:tcW w:w="0" w:type="auto"/>
            <w:vMerge w:val="continue"/>
            <w:vAlign w:val="center"/>
          </w:tcPr>
          <w:p w14:paraId="1A338AFB">
            <w:pPr>
              <w:pStyle w:val="135"/>
              <w:widowControl w:val="0"/>
              <w:jc w:val="center"/>
              <w:rPr>
                <w:rFonts w:ascii="Calibri" w:hAnsi="Calibri"/>
              </w:rPr>
            </w:pPr>
          </w:p>
        </w:tc>
        <w:tc>
          <w:tcPr>
            <w:tcW w:w="0" w:type="auto"/>
            <w:vAlign w:val="center"/>
          </w:tcPr>
          <w:p w14:paraId="46678CE2">
            <w:pPr>
              <w:pStyle w:val="135"/>
              <w:widowControl w:val="0"/>
              <w:jc w:val="center"/>
              <w:rPr>
                <w:rFonts w:ascii="Calibri" w:hAnsi="Calibri"/>
              </w:rPr>
            </w:pPr>
            <w:r>
              <w:rPr>
                <w:rFonts w:hint="eastAsia" w:ascii="Calibri" w:hAnsi="Calibri"/>
              </w:rPr>
              <w:t>中间件</w:t>
            </w:r>
          </w:p>
        </w:tc>
        <w:tc>
          <w:tcPr>
            <w:tcW w:w="0" w:type="auto"/>
            <w:vAlign w:val="center"/>
          </w:tcPr>
          <w:p w14:paraId="0D94A1CE">
            <w:pPr>
              <w:pStyle w:val="135"/>
              <w:widowControl w:val="0"/>
              <w:jc w:val="center"/>
              <w:rPr>
                <w:rFonts w:ascii="Calibri" w:hAnsi="Calibri"/>
              </w:rPr>
            </w:pPr>
            <w:r>
              <w:rPr>
                <w:rFonts w:hint="eastAsia" w:ascii="Calibri" w:hAnsi="Calibri"/>
              </w:rPr>
              <w:t>国产中间件</w:t>
            </w:r>
          </w:p>
        </w:tc>
      </w:tr>
      <w:tr w14:paraId="14DB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76727DE">
            <w:pPr>
              <w:pStyle w:val="135"/>
              <w:widowControl w:val="0"/>
              <w:jc w:val="center"/>
              <w:rPr>
                <w:rFonts w:ascii="Calibri" w:hAnsi="Calibri"/>
              </w:rPr>
            </w:pPr>
            <w:r>
              <w:rPr>
                <w:rFonts w:hint="eastAsia" w:ascii="Calibri" w:hAnsi="Calibri"/>
              </w:rPr>
              <w:t>11</w:t>
            </w:r>
          </w:p>
        </w:tc>
        <w:tc>
          <w:tcPr>
            <w:tcW w:w="0" w:type="auto"/>
            <w:vMerge w:val="continue"/>
            <w:vAlign w:val="center"/>
          </w:tcPr>
          <w:p w14:paraId="4B715CD2">
            <w:pPr>
              <w:pStyle w:val="135"/>
              <w:widowControl w:val="0"/>
              <w:jc w:val="center"/>
              <w:rPr>
                <w:rFonts w:ascii="Calibri" w:hAnsi="Calibri"/>
              </w:rPr>
            </w:pPr>
          </w:p>
        </w:tc>
        <w:tc>
          <w:tcPr>
            <w:tcW w:w="0" w:type="auto"/>
            <w:vMerge w:val="continue"/>
            <w:vAlign w:val="center"/>
          </w:tcPr>
          <w:p w14:paraId="5702B0CA">
            <w:pPr>
              <w:pStyle w:val="135"/>
              <w:widowControl w:val="0"/>
              <w:jc w:val="center"/>
              <w:rPr>
                <w:rFonts w:ascii="Calibri" w:hAnsi="Calibri"/>
              </w:rPr>
            </w:pPr>
          </w:p>
        </w:tc>
        <w:tc>
          <w:tcPr>
            <w:tcW w:w="0" w:type="auto"/>
            <w:vAlign w:val="center"/>
          </w:tcPr>
          <w:p w14:paraId="1D4520AF">
            <w:pPr>
              <w:pStyle w:val="135"/>
              <w:widowControl w:val="0"/>
              <w:jc w:val="center"/>
              <w:rPr>
                <w:rFonts w:ascii="Calibri" w:hAnsi="Calibri"/>
              </w:rPr>
            </w:pPr>
            <w:r>
              <w:rPr>
                <w:rFonts w:hint="eastAsia" w:ascii="Calibri" w:hAnsi="Calibri"/>
              </w:rPr>
              <w:t>安全体系</w:t>
            </w:r>
          </w:p>
        </w:tc>
        <w:tc>
          <w:tcPr>
            <w:tcW w:w="0" w:type="auto"/>
            <w:vAlign w:val="center"/>
          </w:tcPr>
          <w:p w14:paraId="00039140">
            <w:pPr>
              <w:pStyle w:val="135"/>
              <w:widowControl w:val="0"/>
              <w:jc w:val="center"/>
              <w:rPr>
                <w:rFonts w:ascii="Calibri" w:hAnsi="Calibri"/>
              </w:rPr>
            </w:pPr>
            <w:r>
              <w:rPr>
                <w:rFonts w:hint="eastAsia" w:ascii="Calibri" w:hAnsi="Calibri"/>
              </w:rPr>
              <w:t>安全建设</w:t>
            </w:r>
          </w:p>
        </w:tc>
        <w:tc>
          <w:tcPr>
            <w:tcW w:w="0" w:type="auto"/>
            <w:vAlign w:val="center"/>
          </w:tcPr>
          <w:p w14:paraId="23E7F627">
            <w:pPr>
              <w:pStyle w:val="135"/>
              <w:widowControl w:val="0"/>
              <w:jc w:val="center"/>
              <w:rPr>
                <w:rFonts w:ascii="Calibri" w:hAnsi="Calibri"/>
              </w:rPr>
            </w:pPr>
            <w:r>
              <w:rPr>
                <w:rFonts w:hint="eastAsia" w:ascii="Calibri" w:hAnsi="Calibri"/>
              </w:rPr>
              <w:t>通过</w:t>
            </w:r>
          </w:p>
        </w:tc>
      </w:tr>
      <w:tr w14:paraId="5818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2D9BE09">
            <w:pPr>
              <w:pStyle w:val="135"/>
              <w:widowControl w:val="0"/>
              <w:jc w:val="center"/>
              <w:rPr>
                <w:rFonts w:ascii="Calibri" w:hAnsi="Calibri"/>
              </w:rPr>
            </w:pPr>
            <w:r>
              <w:rPr>
                <w:rFonts w:hint="eastAsia" w:ascii="Calibri" w:hAnsi="Calibri"/>
              </w:rPr>
              <w:t>12</w:t>
            </w:r>
          </w:p>
        </w:tc>
        <w:tc>
          <w:tcPr>
            <w:tcW w:w="0" w:type="auto"/>
            <w:vMerge w:val="restart"/>
            <w:vAlign w:val="center"/>
          </w:tcPr>
          <w:p w14:paraId="665C261D">
            <w:pPr>
              <w:pStyle w:val="135"/>
              <w:widowControl w:val="0"/>
              <w:jc w:val="center"/>
              <w:rPr>
                <w:rFonts w:ascii="Calibri" w:hAnsi="Calibri"/>
              </w:rPr>
            </w:pPr>
            <w:r>
              <w:rPr>
                <w:rFonts w:hint="eastAsia" w:ascii="Calibri" w:hAnsi="Calibri"/>
              </w:rPr>
              <w:t>业务指标</w:t>
            </w:r>
          </w:p>
        </w:tc>
        <w:tc>
          <w:tcPr>
            <w:tcW w:w="0" w:type="auto"/>
            <w:vMerge w:val="restart"/>
            <w:vAlign w:val="center"/>
          </w:tcPr>
          <w:p w14:paraId="782F09A0">
            <w:pPr>
              <w:pStyle w:val="135"/>
              <w:widowControl w:val="0"/>
              <w:jc w:val="center"/>
              <w:rPr>
                <w:rFonts w:ascii="Calibri" w:hAnsi="Calibri"/>
              </w:rPr>
            </w:pPr>
            <w:r>
              <w:rPr>
                <w:rFonts w:hint="eastAsia" w:ascii="Calibri" w:hAnsi="Calibri"/>
              </w:rPr>
              <w:t>产出指标</w:t>
            </w:r>
          </w:p>
        </w:tc>
        <w:tc>
          <w:tcPr>
            <w:tcW w:w="0" w:type="auto"/>
            <w:vMerge w:val="restart"/>
            <w:vAlign w:val="center"/>
          </w:tcPr>
          <w:p w14:paraId="3F91349D">
            <w:pPr>
              <w:pStyle w:val="135"/>
              <w:widowControl w:val="0"/>
              <w:jc w:val="center"/>
              <w:rPr>
                <w:rFonts w:ascii="Calibri" w:hAnsi="Calibri"/>
              </w:rPr>
            </w:pPr>
            <w:r>
              <w:rPr>
                <w:rFonts w:hint="eastAsia" w:ascii="Calibri" w:hAnsi="Calibri"/>
              </w:rPr>
              <w:t>产出数量</w:t>
            </w:r>
          </w:p>
        </w:tc>
        <w:tc>
          <w:tcPr>
            <w:tcW w:w="0" w:type="auto"/>
            <w:vAlign w:val="center"/>
          </w:tcPr>
          <w:p w14:paraId="409C3DAE">
            <w:pPr>
              <w:pStyle w:val="135"/>
              <w:widowControl w:val="0"/>
              <w:jc w:val="center"/>
              <w:rPr>
                <w:rFonts w:ascii="Calibri" w:hAnsi="Calibri"/>
              </w:rPr>
            </w:pPr>
            <w:r>
              <w:rPr>
                <w:rFonts w:hint="eastAsia" w:ascii="Calibri" w:hAnsi="Calibri"/>
              </w:rPr>
              <w:t>软件开发功能模块数量</w:t>
            </w:r>
          </w:p>
        </w:tc>
        <w:tc>
          <w:tcPr>
            <w:tcW w:w="0" w:type="auto"/>
            <w:vAlign w:val="center"/>
          </w:tcPr>
          <w:p w14:paraId="44F72376">
            <w:pPr>
              <w:pStyle w:val="135"/>
              <w:widowControl w:val="0"/>
              <w:jc w:val="center"/>
              <w:rPr>
                <w:rFonts w:ascii="Calibri" w:hAnsi="Calibri"/>
              </w:rPr>
            </w:pPr>
            <w:r>
              <w:rPr>
                <w:rFonts w:ascii="Calibri" w:hAnsi="Calibri"/>
              </w:rPr>
              <w:t>≥</w:t>
            </w:r>
            <w:r>
              <w:rPr>
                <w:rFonts w:hint="eastAsia" w:ascii="Calibri" w:hAnsi="Calibri"/>
              </w:rPr>
              <w:t>7个</w:t>
            </w:r>
          </w:p>
        </w:tc>
      </w:tr>
      <w:tr w14:paraId="7CCA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70B8083">
            <w:pPr>
              <w:pStyle w:val="135"/>
              <w:widowControl w:val="0"/>
              <w:jc w:val="center"/>
              <w:rPr>
                <w:rFonts w:ascii="Calibri" w:hAnsi="Calibri"/>
              </w:rPr>
            </w:pPr>
            <w:r>
              <w:rPr>
                <w:rFonts w:hint="eastAsia" w:ascii="Calibri" w:hAnsi="Calibri"/>
              </w:rPr>
              <w:t>13</w:t>
            </w:r>
          </w:p>
        </w:tc>
        <w:tc>
          <w:tcPr>
            <w:tcW w:w="0" w:type="auto"/>
            <w:vMerge w:val="continue"/>
            <w:vAlign w:val="center"/>
          </w:tcPr>
          <w:p w14:paraId="4F4DE626">
            <w:pPr>
              <w:pStyle w:val="135"/>
              <w:widowControl w:val="0"/>
              <w:jc w:val="center"/>
              <w:rPr>
                <w:rFonts w:ascii="Calibri" w:hAnsi="Calibri"/>
              </w:rPr>
            </w:pPr>
          </w:p>
        </w:tc>
        <w:tc>
          <w:tcPr>
            <w:tcW w:w="0" w:type="auto"/>
            <w:vMerge w:val="continue"/>
            <w:vAlign w:val="center"/>
          </w:tcPr>
          <w:p w14:paraId="7A83215C">
            <w:pPr>
              <w:pStyle w:val="135"/>
              <w:widowControl w:val="0"/>
              <w:jc w:val="center"/>
              <w:rPr>
                <w:rFonts w:ascii="Calibri" w:hAnsi="Calibri"/>
              </w:rPr>
            </w:pPr>
          </w:p>
        </w:tc>
        <w:tc>
          <w:tcPr>
            <w:tcW w:w="0" w:type="auto"/>
            <w:vMerge w:val="continue"/>
            <w:vAlign w:val="center"/>
          </w:tcPr>
          <w:p w14:paraId="13A3B34C">
            <w:pPr>
              <w:pStyle w:val="135"/>
              <w:widowControl w:val="0"/>
              <w:jc w:val="center"/>
              <w:rPr>
                <w:rFonts w:ascii="Calibri" w:hAnsi="Calibri"/>
              </w:rPr>
            </w:pPr>
          </w:p>
        </w:tc>
        <w:tc>
          <w:tcPr>
            <w:tcW w:w="0" w:type="auto"/>
            <w:vAlign w:val="center"/>
          </w:tcPr>
          <w:p w14:paraId="0A221B3E">
            <w:pPr>
              <w:pStyle w:val="135"/>
              <w:widowControl w:val="0"/>
              <w:jc w:val="center"/>
              <w:rPr>
                <w:rFonts w:ascii="Calibri" w:hAnsi="Calibri"/>
              </w:rPr>
            </w:pPr>
            <w:r>
              <w:rPr>
                <w:rFonts w:hint="eastAsia" w:ascii="Calibri" w:hAnsi="Calibri"/>
              </w:rPr>
              <w:t>数据条目数量</w:t>
            </w:r>
          </w:p>
        </w:tc>
        <w:tc>
          <w:tcPr>
            <w:tcW w:w="0" w:type="auto"/>
            <w:vAlign w:val="center"/>
          </w:tcPr>
          <w:p w14:paraId="597BC894">
            <w:pPr>
              <w:pStyle w:val="135"/>
              <w:widowControl w:val="0"/>
              <w:jc w:val="center"/>
              <w:rPr>
                <w:rFonts w:ascii="Calibri" w:hAnsi="Calibri"/>
              </w:rPr>
            </w:pPr>
            <w:r>
              <w:rPr>
                <w:rFonts w:ascii="Calibri" w:hAnsi="Calibri"/>
              </w:rPr>
              <w:t>≥</w:t>
            </w:r>
            <w:r>
              <w:rPr>
                <w:rFonts w:hint="eastAsia" w:ascii="Calibri" w:hAnsi="Calibri"/>
              </w:rPr>
              <w:t>10万条每年</w:t>
            </w:r>
          </w:p>
        </w:tc>
      </w:tr>
      <w:tr w14:paraId="20B3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14:paraId="07271A54">
            <w:pPr>
              <w:pStyle w:val="135"/>
              <w:widowControl w:val="0"/>
              <w:jc w:val="center"/>
              <w:rPr>
                <w:rFonts w:ascii="Calibri" w:hAnsi="Calibri"/>
              </w:rPr>
            </w:pPr>
            <w:r>
              <w:rPr>
                <w:rFonts w:hint="eastAsia" w:ascii="Calibri" w:hAnsi="Calibri"/>
              </w:rPr>
              <w:t>14</w:t>
            </w:r>
          </w:p>
        </w:tc>
        <w:tc>
          <w:tcPr>
            <w:tcW w:w="0" w:type="auto"/>
            <w:vMerge w:val="continue"/>
            <w:vAlign w:val="center"/>
          </w:tcPr>
          <w:p w14:paraId="0229C0CA">
            <w:pPr>
              <w:pStyle w:val="135"/>
              <w:widowControl w:val="0"/>
              <w:jc w:val="center"/>
              <w:rPr>
                <w:rFonts w:ascii="Calibri" w:hAnsi="Calibri"/>
              </w:rPr>
            </w:pPr>
          </w:p>
        </w:tc>
        <w:tc>
          <w:tcPr>
            <w:tcW w:w="0" w:type="auto"/>
            <w:vMerge w:val="continue"/>
            <w:vAlign w:val="center"/>
          </w:tcPr>
          <w:p w14:paraId="16D5C8AC">
            <w:pPr>
              <w:pStyle w:val="135"/>
              <w:widowControl w:val="0"/>
              <w:jc w:val="center"/>
              <w:rPr>
                <w:rFonts w:ascii="Calibri" w:hAnsi="Calibri"/>
              </w:rPr>
            </w:pPr>
          </w:p>
        </w:tc>
        <w:tc>
          <w:tcPr>
            <w:tcW w:w="0" w:type="auto"/>
            <w:vMerge w:val="restart"/>
            <w:vAlign w:val="center"/>
          </w:tcPr>
          <w:p w14:paraId="2280264F">
            <w:pPr>
              <w:pStyle w:val="135"/>
              <w:widowControl w:val="0"/>
              <w:jc w:val="center"/>
              <w:rPr>
                <w:rFonts w:ascii="Calibri" w:hAnsi="Calibri"/>
              </w:rPr>
            </w:pPr>
            <w:r>
              <w:rPr>
                <w:rFonts w:hint="eastAsia" w:ascii="Calibri" w:hAnsi="Calibri"/>
              </w:rPr>
              <w:t>产出质量</w:t>
            </w:r>
          </w:p>
        </w:tc>
        <w:tc>
          <w:tcPr>
            <w:tcW w:w="0" w:type="auto"/>
            <w:vAlign w:val="center"/>
          </w:tcPr>
          <w:p w14:paraId="294A7B8B">
            <w:pPr>
              <w:pStyle w:val="135"/>
              <w:widowControl w:val="0"/>
              <w:jc w:val="center"/>
              <w:rPr>
                <w:rFonts w:ascii="Calibri" w:hAnsi="Calibri"/>
              </w:rPr>
            </w:pPr>
            <w:r>
              <w:rPr>
                <w:rFonts w:hint="eastAsia" w:ascii="Calibri" w:hAnsi="Calibri"/>
              </w:rPr>
              <w:t>系统响应时间</w:t>
            </w:r>
          </w:p>
        </w:tc>
        <w:tc>
          <w:tcPr>
            <w:tcW w:w="0" w:type="auto"/>
            <w:vAlign w:val="center"/>
          </w:tcPr>
          <w:p w14:paraId="29724AFB">
            <w:pPr>
              <w:pStyle w:val="135"/>
              <w:widowControl w:val="0"/>
              <w:jc w:val="center"/>
              <w:rPr>
                <w:rFonts w:ascii="Calibri" w:hAnsi="Calibri"/>
              </w:rPr>
            </w:pPr>
            <w:bookmarkStart w:id="11" w:name="OLE_LINK2"/>
            <w:bookmarkStart w:id="12" w:name="OLE_LINK1"/>
            <w:r>
              <w:rPr>
                <w:rFonts w:hint="eastAsia" w:ascii="Calibri" w:hAnsi="Calibri"/>
              </w:rPr>
              <w:t>≤10</w:t>
            </w:r>
            <w:bookmarkEnd w:id="11"/>
            <w:bookmarkEnd w:id="12"/>
            <w:r>
              <w:rPr>
                <w:rFonts w:hint="eastAsia" w:ascii="Calibri" w:hAnsi="Calibri"/>
              </w:rPr>
              <w:t>秒</w:t>
            </w:r>
          </w:p>
        </w:tc>
      </w:tr>
      <w:tr w14:paraId="09B6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74EFC30">
            <w:pPr>
              <w:pStyle w:val="135"/>
              <w:widowControl w:val="0"/>
              <w:jc w:val="center"/>
              <w:rPr>
                <w:rFonts w:ascii="Calibri" w:hAnsi="Calibri"/>
              </w:rPr>
            </w:pPr>
            <w:r>
              <w:rPr>
                <w:rFonts w:hint="eastAsia" w:ascii="Calibri" w:hAnsi="Calibri"/>
              </w:rPr>
              <w:t>15</w:t>
            </w:r>
          </w:p>
        </w:tc>
        <w:tc>
          <w:tcPr>
            <w:tcW w:w="0" w:type="auto"/>
            <w:vMerge w:val="continue"/>
            <w:vAlign w:val="center"/>
          </w:tcPr>
          <w:p w14:paraId="4C2D7C9A">
            <w:pPr>
              <w:pStyle w:val="135"/>
              <w:widowControl w:val="0"/>
              <w:jc w:val="center"/>
              <w:rPr>
                <w:rFonts w:ascii="Calibri" w:hAnsi="Calibri"/>
              </w:rPr>
            </w:pPr>
          </w:p>
        </w:tc>
        <w:tc>
          <w:tcPr>
            <w:tcW w:w="0" w:type="auto"/>
            <w:vMerge w:val="continue"/>
            <w:vAlign w:val="center"/>
          </w:tcPr>
          <w:p w14:paraId="0811FE82">
            <w:pPr>
              <w:pStyle w:val="135"/>
              <w:widowControl w:val="0"/>
              <w:jc w:val="center"/>
              <w:rPr>
                <w:rFonts w:ascii="Calibri" w:hAnsi="Calibri"/>
              </w:rPr>
            </w:pPr>
          </w:p>
        </w:tc>
        <w:tc>
          <w:tcPr>
            <w:tcW w:w="0" w:type="auto"/>
            <w:vMerge w:val="continue"/>
            <w:vAlign w:val="center"/>
          </w:tcPr>
          <w:p w14:paraId="355D7D8B">
            <w:pPr>
              <w:pStyle w:val="135"/>
              <w:widowControl w:val="0"/>
              <w:jc w:val="center"/>
              <w:rPr>
                <w:rFonts w:ascii="Calibri" w:hAnsi="Calibri"/>
              </w:rPr>
            </w:pPr>
          </w:p>
        </w:tc>
        <w:tc>
          <w:tcPr>
            <w:tcW w:w="0" w:type="auto"/>
            <w:vAlign w:val="center"/>
          </w:tcPr>
          <w:p w14:paraId="5EA61FCD">
            <w:pPr>
              <w:pStyle w:val="135"/>
              <w:widowControl w:val="0"/>
              <w:jc w:val="center"/>
              <w:rPr>
                <w:rFonts w:ascii="Calibri" w:hAnsi="Calibri"/>
              </w:rPr>
            </w:pPr>
            <w:r>
              <w:rPr>
                <w:rFonts w:hint="eastAsia" w:ascii="Calibri" w:hAnsi="Calibri"/>
              </w:rPr>
              <w:t>并发数</w:t>
            </w:r>
          </w:p>
        </w:tc>
        <w:tc>
          <w:tcPr>
            <w:tcW w:w="0" w:type="auto"/>
            <w:vAlign w:val="center"/>
          </w:tcPr>
          <w:p w14:paraId="261EE14D">
            <w:pPr>
              <w:pStyle w:val="135"/>
              <w:widowControl w:val="0"/>
              <w:jc w:val="center"/>
              <w:rPr>
                <w:rFonts w:ascii="Calibri" w:hAnsi="Calibri"/>
              </w:rPr>
            </w:pPr>
            <w:r>
              <w:rPr>
                <w:rFonts w:hint="eastAsia" w:ascii="Calibri" w:hAnsi="Calibri"/>
              </w:rPr>
              <w:t>&gt;</w:t>
            </w:r>
            <w:r>
              <w:rPr>
                <w:rFonts w:ascii="Calibri" w:hAnsi="Calibri"/>
              </w:rPr>
              <w:t>60</w:t>
            </w:r>
          </w:p>
        </w:tc>
      </w:tr>
      <w:tr w14:paraId="7E4A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A384732">
            <w:pPr>
              <w:pStyle w:val="135"/>
              <w:widowControl w:val="0"/>
              <w:jc w:val="center"/>
              <w:rPr>
                <w:rFonts w:ascii="Calibri" w:hAnsi="Calibri"/>
              </w:rPr>
            </w:pPr>
            <w:r>
              <w:rPr>
                <w:rFonts w:hint="eastAsia" w:ascii="Calibri" w:hAnsi="Calibri"/>
              </w:rPr>
              <w:t>16</w:t>
            </w:r>
          </w:p>
        </w:tc>
        <w:tc>
          <w:tcPr>
            <w:tcW w:w="0" w:type="auto"/>
            <w:vMerge w:val="continue"/>
            <w:vAlign w:val="center"/>
          </w:tcPr>
          <w:p w14:paraId="4C10069B">
            <w:pPr>
              <w:pStyle w:val="135"/>
              <w:widowControl w:val="0"/>
              <w:jc w:val="center"/>
              <w:rPr>
                <w:rFonts w:ascii="Calibri" w:hAnsi="Calibri"/>
              </w:rPr>
            </w:pPr>
          </w:p>
        </w:tc>
        <w:tc>
          <w:tcPr>
            <w:tcW w:w="0" w:type="auto"/>
            <w:vMerge w:val="restart"/>
            <w:vAlign w:val="center"/>
          </w:tcPr>
          <w:p w14:paraId="1DDA400D">
            <w:pPr>
              <w:pStyle w:val="135"/>
              <w:widowControl w:val="0"/>
              <w:jc w:val="center"/>
              <w:rPr>
                <w:rFonts w:ascii="Calibri" w:hAnsi="Calibri"/>
              </w:rPr>
            </w:pPr>
            <w:r>
              <w:rPr>
                <w:rFonts w:hint="eastAsia" w:ascii="Calibri" w:hAnsi="Calibri"/>
              </w:rPr>
              <w:t>监管成效</w:t>
            </w:r>
          </w:p>
        </w:tc>
        <w:tc>
          <w:tcPr>
            <w:tcW w:w="0" w:type="auto"/>
            <w:vMerge w:val="restart"/>
            <w:vAlign w:val="center"/>
          </w:tcPr>
          <w:p w14:paraId="58D80119">
            <w:pPr>
              <w:pStyle w:val="135"/>
              <w:widowControl w:val="0"/>
              <w:jc w:val="center"/>
              <w:rPr>
                <w:rFonts w:ascii="Calibri" w:hAnsi="Calibri"/>
              </w:rPr>
            </w:pPr>
            <w:r>
              <w:rPr>
                <w:rFonts w:hint="eastAsia" w:ascii="Calibri" w:hAnsi="Calibri"/>
              </w:rPr>
              <w:t>监管案件数量</w:t>
            </w:r>
          </w:p>
        </w:tc>
        <w:tc>
          <w:tcPr>
            <w:tcW w:w="0" w:type="auto"/>
            <w:vAlign w:val="center"/>
          </w:tcPr>
          <w:p w14:paraId="71AEF5C5">
            <w:pPr>
              <w:pStyle w:val="135"/>
              <w:widowControl w:val="0"/>
              <w:jc w:val="center"/>
              <w:rPr>
                <w:rFonts w:ascii="Calibri" w:hAnsi="Calibri"/>
              </w:rPr>
            </w:pPr>
            <w:r>
              <w:rPr>
                <w:rFonts w:hint="eastAsia" w:ascii="Calibri" w:hAnsi="Calibri"/>
              </w:rPr>
              <w:t>测绘事项批后监管监管办件数</w:t>
            </w:r>
          </w:p>
        </w:tc>
        <w:tc>
          <w:tcPr>
            <w:tcW w:w="0" w:type="auto"/>
            <w:vAlign w:val="center"/>
          </w:tcPr>
          <w:p w14:paraId="601770AA">
            <w:pPr>
              <w:pStyle w:val="135"/>
              <w:widowControl w:val="0"/>
              <w:jc w:val="center"/>
              <w:rPr>
                <w:rFonts w:ascii="Calibri" w:hAnsi="Calibri"/>
              </w:rPr>
            </w:pPr>
            <w:r>
              <w:rPr>
                <w:rFonts w:ascii="Calibri" w:hAnsi="Calibri"/>
              </w:rPr>
              <w:t>≥</w:t>
            </w:r>
            <w:r>
              <w:rPr>
                <w:rFonts w:hint="eastAsia" w:ascii="Calibri" w:hAnsi="Calibri"/>
              </w:rPr>
              <w:t>50件/年</w:t>
            </w:r>
          </w:p>
        </w:tc>
      </w:tr>
      <w:tr w14:paraId="706A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9A3C8CD">
            <w:pPr>
              <w:pStyle w:val="135"/>
              <w:widowControl w:val="0"/>
              <w:jc w:val="center"/>
              <w:rPr>
                <w:rFonts w:ascii="Calibri" w:hAnsi="Calibri"/>
              </w:rPr>
            </w:pPr>
            <w:r>
              <w:rPr>
                <w:rFonts w:hint="eastAsia" w:ascii="Calibri" w:hAnsi="Calibri"/>
              </w:rPr>
              <w:t>17</w:t>
            </w:r>
          </w:p>
        </w:tc>
        <w:tc>
          <w:tcPr>
            <w:tcW w:w="0" w:type="auto"/>
            <w:vMerge w:val="continue"/>
            <w:vAlign w:val="center"/>
          </w:tcPr>
          <w:p w14:paraId="1B5B59C9">
            <w:pPr>
              <w:pStyle w:val="135"/>
              <w:widowControl w:val="0"/>
              <w:jc w:val="center"/>
              <w:rPr>
                <w:rFonts w:ascii="Calibri" w:hAnsi="Calibri"/>
              </w:rPr>
            </w:pPr>
          </w:p>
        </w:tc>
        <w:tc>
          <w:tcPr>
            <w:tcW w:w="0" w:type="auto"/>
            <w:vMerge w:val="continue"/>
            <w:vAlign w:val="center"/>
          </w:tcPr>
          <w:p w14:paraId="1A902A7F">
            <w:pPr>
              <w:pStyle w:val="135"/>
              <w:widowControl w:val="0"/>
              <w:jc w:val="center"/>
              <w:rPr>
                <w:rFonts w:ascii="Calibri" w:hAnsi="Calibri"/>
              </w:rPr>
            </w:pPr>
          </w:p>
        </w:tc>
        <w:tc>
          <w:tcPr>
            <w:tcW w:w="0" w:type="auto"/>
            <w:vMerge w:val="continue"/>
            <w:vAlign w:val="center"/>
          </w:tcPr>
          <w:p w14:paraId="27BAFFA3">
            <w:pPr>
              <w:pStyle w:val="135"/>
              <w:widowControl w:val="0"/>
              <w:jc w:val="center"/>
              <w:rPr>
                <w:rFonts w:ascii="Calibri" w:hAnsi="Calibri"/>
              </w:rPr>
            </w:pPr>
          </w:p>
        </w:tc>
        <w:tc>
          <w:tcPr>
            <w:tcW w:w="0" w:type="auto"/>
            <w:vAlign w:val="center"/>
          </w:tcPr>
          <w:p w14:paraId="4BEDDE37">
            <w:pPr>
              <w:pStyle w:val="135"/>
              <w:widowControl w:val="0"/>
              <w:jc w:val="center"/>
              <w:rPr>
                <w:rFonts w:ascii="Calibri" w:hAnsi="Calibri"/>
              </w:rPr>
            </w:pPr>
            <w:r>
              <w:rPr>
                <w:rFonts w:hint="eastAsia" w:ascii="Calibri" w:hAnsi="Calibri"/>
              </w:rPr>
              <w:t>主动式地籍监管办件数</w:t>
            </w:r>
          </w:p>
        </w:tc>
        <w:tc>
          <w:tcPr>
            <w:tcW w:w="0" w:type="auto"/>
            <w:vAlign w:val="center"/>
          </w:tcPr>
          <w:p w14:paraId="7F72C130">
            <w:pPr>
              <w:pStyle w:val="135"/>
              <w:widowControl w:val="0"/>
              <w:jc w:val="center"/>
              <w:rPr>
                <w:rFonts w:ascii="Calibri" w:hAnsi="Calibri"/>
              </w:rPr>
            </w:pPr>
            <w:r>
              <w:rPr>
                <w:rFonts w:ascii="Calibri" w:hAnsi="Calibri"/>
              </w:rPr>
              <w:t>≥</w:t>
            </w:r>
            <w:r>
              <w:rPr>
                <w:rFonts w:hint="eastAsia" w:ascii="Calibri" w:hAnsi="Calibri"/>
              </w:rPr>
              <w:t>10000例/年</w:t>
            </w:r>
          </w:p>
        </w:tc>
      </w:tr>
      <w:tr w14:paraId="5D2E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14:paraId="391E3DEA">
            <w:pPr>
              <w:pStyle w:val="135"/>
              <w:widowControl w:val="0"/>
              <w:jc w:val="center"/>
              <w:rPr>
                <w:rFonts w:ascii="Calibri" w:hAnsi="Calibri"/>
              </w:rPr>
            </w:pPr>
            <w:r>
              <w:rPr>
                <w:rFonts w:hint="eastAsia" w:ascii="Calibri" w:hAnsi="Calibri"/>
              </w:rPr>
              <w:t>18</w:t>
            </w:r>
          </w:p>
        </w:tc>
        <w:tc>
          <w:tcPr>
            <w:tcW w:w="0" w:type="auto"/>
            <w:vMerge w:val="continue"/>
            <w:vAlign w:val="center"/>
          </w:tcPr>
          <w:p w14:paraId="5839F9C5">
            <w:pPr>
              <w:pStyle w:val="135"/>
              <w:widowControl w:val="0"/>
              <w:jc w:val="center"/>
              <w:rPr>
                <w:rFonts w:ascii="Calibri" w:hAnsi="Calibri"/>
              </w:rPr>
            </w:pPr>
          </w:p>
        </w:tc>
        <w:tc>
          <w:tcPr>
            <w:tcW w:w="0" w:type="auto"/>
            <w:vAlign w:val="center"/>
          </w:tcPr>
          <w:p w14:paraId="432FEA82">
            <w:pPr>
              <w:pStyle w:val="135"/>
              <w:widowControl w:val="0"/>
              <w:jc w:val="center"/>
              <w:rPr>
                <w:rFonts w:ascii="Calibri" w:hAnsi="Calibri"/>
              </w:rPr>
            </w:pPr>
            <w:r>
              <w:rPr>
                <w:rFonts w:hint="eastAsia" w:ascii="Calibri" w:hAnsi="Calibri"/>
              </w:rPr>
              <w:t>调查成效</w:t>
            </w:r>
          </w:p>
        </w:tc>
        <w:tc>
          <w:tcPr>
            <w:tcW w:w="0" w:type="auto"/>
            <w:vAlign w:val="center"/>
          </w:tcPr>
          <w:p w14:paraId="2044654E">
            <w:pPr>
              <w:pStyle w:val="135"/>
              <w:widowControl w:val="0"/>
              <w:jc w:val="center"/>
              <w:rPr>
                <w:rFonts w:ascii="Calibri" w:hAnsi="Calibri"/>
              </w:rPr>
            </w:pPr>
            <w:r>
              <w:rPr>
                <w:rFonts w:hint="eastAsia" w:ascii="Calibri" w:hAnsi="Calibri"/>
              </w:rPr>
              <w:t>调查图斑数量</w:t>
            </w:r>
          </w:p>
        </w:tc>
        <w:tc>
          <w:tcPr>
            <w:tcW w:w="0" w:type="auto"/>
            <w:vAlign w:val="center"/>
          </w:tcPr>
          <w:p w14:paraId="7AEF2046">
            <w:pPr>
              <w:pStyle w:val="135"/>
              <w:widowControl w:val="0"/>
              <w:jc w:val="center"/>
              <w:rPr>
                <w:rFonts w:ascii="Calibri" w:hAnsi="Calibri"/>
              </w:rPr>
            </w:pPr>
            <w:r>
              <w:rPr>
                <w:rFonts w:hint="eastAsia" w:ascii="Calibri" w:hAnsi="Calibri"/>
              </w:rPr>
              <w:t>自然资源专项调查图斑量</w:t>
            </w:r>
          </w:p>
        </w:tc>
        <w:tc>
          <w:tcPr>
            <w:tcW w:w="0" w:type="auto"/>
            <w:vAlign w:val="center"/>
          </w:tcPr>
          <w:p w14:paraId="42B60D73">
            <w:pPr>
              <w:pStyle w:val="135"/>
              <w:widowControl w:val="0"/>
              <w:jc w:val="center"/>
              <w:rPr>
                <w:rFonts w:ascii="Calibri" w:hAnsi="Calibri"/>
              </w:rPr>
            </w:pPr>
            <w:r>
              <w:rPr>
                <w:rFonts w:ascii="Calibri" w:hAnsi="Calibri" w:cs="Times New Roman"/>
              </w:rPr>
              <w:t>≥</w:t>
            </w:r>
            <w:r>
              <w:rPr>
                <w:rFonts w:hint="eastAsia" w:ascii="Calibri" w:hAnsi="Calibri"/>
              </w:rPr>
              <w:t>10万/年</w:t>
            </w:r>
          </w:p>
        </w:tc>
      </w:tr>
    </w:tbl>
    <w:p w14:paraId="6529F28E">
      <w:pPr>
        <w:pStyle w:val="2"/>
        <w:numPr>
          <w:ilvl w:val="0"/>
          <w:numId w:val="3"/>
        </w:numPr>
      </w:pPr>
      <w:bookmarkStart w:id="13" w:name="_Toc47533288"/>
      <w:bookmarkEnd w:id="13"/>
      <w:bookmarkStart w:id="14" w:name="_Toc47537166"/>
      <w:bookmarkEnd w:id="14"/>
      <w:bookmarkStart w:id="15" w:name="_Toc47536676"/>
      <w:bookmarkEnd w:id="15"/>
      <w:bookmarkStart w:id="16" w:name="_Toc47539102"/>
      <w:bookmarkEnd w:id="16"/>
      <w:bookmarkStart w:id="17" w:name="_Toc47536304"/>
      <w:bookmarkEnd w:id="17"/>
      <w:bookmarkStart w:id="18" w:name="_Toc47532923"/>
      <w:bookmarkEnd w:id="18"/>
      <w:r>
        <w:rPr>
          <w:rFonts w:hint="eastAsia"/>
        </w:rPr>
        <w:t>项目建设内容</w:t>
      </w:r>
    </w:p>
    <w:p w14:paraId="154B1DDC">
      <w:pPr>
        <w:pStyle w:val="3"/>
        <w:numPr>
          <w:ilvl w:val="1"/>
          <w:numId w:val="3"/>
        </w:numPr>
      </w:pPr>
      <w:r>
        <w:rPr>
          <w:rFonts w:hint="eastAsia"/>
        </w:rPr>
        <w:t>主要建设内容</w:t>
      </w:r>
    </w:p>
    <w:p w14:paraId="7DC54674">
      <w:r>
        <w:rPr>
          <w:rFonts w:hint="eastAsia"/>
        </w:rPr>
        <w:t>为全面提升测绘地理信息管理和自然资源治理能力，重点推进三大核心建设内容：一是构建现代化测绘监管体系，通过开发测量标志点批后监管、地图告知承诺批后监管等信息化功能，实现测绘基准稳定性保障、地理信息安全防控和地图审核效能提升三大目标，推动测绘管理从传统审批向信用监管转型，形成覆盖全流程的监管机制；二是深化地籍调查成果应用，建立健全地籍数据更新维护机制，开展主动式地籍调查和更新工作，建立全市全覆盖使用权宗地的初始地籍册信息，制定现势性评价方法，搭建地籍专题图系统，实现图形、属性、档案等信息一体化管理展示，并通过“一码关联”实现宗地全生命周期信息动态监管，同时强化部门协作和业务协同，提升地籍数据共享应用能力，为确权登记和自然资源管理提供精准支撑；三是完善自然资源动态监测体系，开展水资源、林草湿荒及城市国土空间专项调查模块开发，构建“年度变更</w:t>
      </w:r>
      <w:r>
        <w:t>-日常变更-专项调查”联动的动态监测机制，实现地类属性同步更新和调查成果跨部门共享，解决多源数据冲突问题，支撑国土空间精细化治理。通过上述措施，形成测绘监管智能化、地籍管理精准化、自然资源监测协同化的综合管理体系，全面提升测绘地理信息服务和自然资源管理效能。</w:t>
      </w:r>
    </w:p>
    <w:p w14:paraId="142CBF90">
      <w:r>
        <w:rPr>
          <w:rFonts w:hint="eastAsia"/>
        </w:rPr>
        <w:t>本项目</w:t>
      </w:r>
      <w:r>
        <w:t>基于上海市“一厅八室”顶层设计，市规划资源局</w:t>
      </w:r>
      <w:r>
        <w:rPr>
          <w:rFonts w:hint="eastAsia"/>
        </w:rPr>
        <w:t>测调</w:t>
      </w:r>
      <w:r>
        <w:t>管理系统的系统架构层主要包括了用户层、应用系统层、平台层、接口层、数据资源层、云基础设施层等。系统依托JAVA技术进行开发，系统采用B/S架构。</w:t>
      </w:r>
      <w:r>
        <w:rPr>
          <w:rFonts w:hint="eastAsia"/>
        </w:rPr>
        <w:t>系统总体架构图如下所示，绿色部分为本次升级改造新增或改造的业务模块.</w:t>
      </w:r>
    </w:p>
    <w:p w14:paraId="39D2B649">
      <w:pPr>
        <w:widowControl/>
        <w:spacing w:line="240" w:lineRule="auto"/>
        <w:ind w:firstLine="0" w:firstLineChars="0"/>
        <w:jc w:val="left"/>
        <w:rPr>
          <w:rFonts w:cs="宋体"/>
          <w:kern w:val="0"/>
        </w:rPr>
      </w:pPr>
      <w:r>
        <w:drawing>
          <wp:inline distT="0" distB="0" distL="0" distR="0">
            <wp:extent cx="5278120" cy="534543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8120" cy="5345430"/>
                    </a:xfrm>
                    <a:prstGeom prst="rect">
                      <a:avLst/>
                    </a:prstGeom>
                    <a:noFill/>
                    <a:ln>
                      <a:noFill/>
                    </a:ln>
                  </pic:spPr>
                </pic:pic>
              </a:graphicData>
            </a:graphic>
          </wp:inline>
        </w:drawing>
      </w:r>
    </w:p>
    <w:p w14:paraId="6EE35254">
      <w:pPr>
        <w:pStyle w:val="3"/>
        <w:numPr>
          <w:ilvl w:val="1"/>
          <w:numId w:val="3"/>
        </w:numPr>
      </w:pPr>
      <w:r>
        <w:rPr>
          <w:rFonts w:hint="eastAsia"/>
        </w:rPr>
        <w:t>新建内容</w:t>
      </w:r>
    </w:p>
    <w:p w14:paraId="21DA49CB">
      <w:pPr>
        <w:pStyle w:val="4"/>
        <w:numPr>
          <w:ilvl w:val="2"/>
          <w:numId w:val="3"/>
        </w:numPr>
      </w:pPr>
      <w:r>
        <w:rPr>
          <w:rFonts w:hint="eastAsia"/>
        </w:rPr>
        <w:t>软件开发清单：</w:t>
      </w:r>
    </w:p>
    <w:tbl>
      <w:tblPr>
        <w:tblStyle w:val="35"/>
        <w:tblW w:w="5000" w:type="pct"/>
        <w:jc w:val="center"/>
        <w:tblLayout w:type="autofit"/>
        <w:tblCellMar>
          <w:top w:w="0" w:type="dxa"/>
          <w:left w:w="108" w:type="dxa"/>
          <w:bottom w:w="0" w:type="dxa"/>
          <w:right w:w="108" w:type="dxa"/>
        </w:tblCellMar>
      </w:tblPr>
      <w:tblGrid>
        <w:gridCol w:w="675"/>
        <w:gridCol w:w="1585"/>
        <w:gridCol w:w="3135"/>
        <w:gridCol w:w="3133"/>
      </w:tblGrid>
      <w:tr w14:paraId="05037D80">
        <w:tblPrEx>
          <w:tblCellMar>
            <w:top w:w="0" w:type="dxa"/>
            <w:left w:w="108" w:type="dxa"/>
            <w:bottom w:w="0" w:type="dxa"/>
            <w:right w:w="108" w:type="dxa"/>
          </w:tblCellMar>
        </w:tblPrEx>
        <w:trPr>
          <w:trHeight w:val="270" w:hRule="atLeast"/>
          <w:jc w:val="center"/>
        </w:trPr>
        <w:tc>
          <w:tcPr>
            <w:tcW w:w="396" w:type="pct"/>
            <w:tcBorders>
              <w:top w:val="single" w:color="auto" w:sz="4" w:space="0"/>
              <w:left w:val="single" w:color="auto" w:sz="4" w:space="0"/>
              <w:bottom w:val="single" w:color="auto" w:sz="4" w:space="0"/>
              <w:right w:val="single" w:color="auto" w:sz="4" w:space="0"/>
            </w:tcBorders>
            <w:shd w:val="clear" w:color="000000" w:fill="F3F8FC"/>
            <w:noWrap/>
            <w:vAlign w:val="center"/>
          </w:tcPr>
          <w:p w14:paraId="4E4DAC2A">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序号</w:t>
            </w:r>
          </w:p>
        </w:tc>
        <w:tc>
          <w:tcPr>
            <w:tcW w:w="929" w:type="pct"/>
            <w:tcBorders>
              <w:top w:val="single" w:color="auto" w:sz="4" w:space="0"/>
              <w:left w:val="nil"/>
              <w:bottom w:val="single" w:color="auto" w:sz="4" w:space="0"/>
              <w:right w:val="single" w:color="auto" w:sz="4" w:space="0"/>
            </w:tcBorders>
            <w:shd w:val="clear" w:color="000000" w:fill="F3F8FC"/>
            <w:noWrap/>
            <w:vAlign w:val="center"/>
          </w:tcPr>
          <w:p w14:paraId="14D2A2AC">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应用系统名称</w:t>
            </w:r>
          </w:p>
        </w:tc>
        <w:tc>
          <w:tcPr>
            <w:tcW w:w="1838" w:type="pct"/>
            <w:tcBorders>
              <w:top w:val="single" w:color="auto" w:sz="4" w:space="0"/>
              <w:left w:val="nil"/>
              <w:bottom w:val="single" w:color="auto" w:sz="4" w:space="0"/>
              <w:right w:val="single" w:color="auto" w:sz="4" w:space="0"/>
            </w:tcBorders>
            <w:shd w:val="clear" w:color="000000" w:fill="F3F8FC"/>
            <w:noWrap/>
            <w:vAlign w:val="center"/>
          </w:tcPr>
          <w:p w14:paraId="6FB76B09">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模块名称</w:t>
            </w:r>
          </w:p>
        </w:tc>
        <w:tc>
          <w:tcPr>
            <w:tcW w:w="1837" w:type="pct"/>
            <w:tcBorders>
              <w:top w:val="single" w:color="auto" w:sz="4" w:space="0"/>
              <w:left w:val="nil"/>
              <w:bottom w:val="single" w:color="auto" w:sz="4" w:space="0"/>
              <w:right w:val="single" w:color="auto" w:sz="4" w:space="0"/>
            </w:tcBorders>
            <w:shd w:val="clear" w:color="000000" w:fill="F3F8FC"/>
          </w:tcPr>
          <w:p w14:paraId="6A922E34">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模块描述</w:t>
            </w:r>
          </w:p>
        </w:tc>
      </w:tr>
      <w:tr w14:paraId="45D4D67A">
        <w:tblPrEx>
          <w:tblCellMar>
            <w:top w:w="0" w:type="dxa"/>
            <w:left w:w="108" w:type="dxa"/>
            <w:bottom w:w="0" w:type="dxa"/>
            <w:right w:w="108" w:type="dxa"/>
          </w:tblCellMar>
        </w:tblPrEx>
        <w:trPr>
          <w:trHeight w:val="114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71F24D98">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1</w:t>
            </w:r>
          </w:p>
        </w:tc>
        <w:tc>
          <w:tcPr>
            <w:tcW w:w="929" w:type="pct"/>
            <w:tcBorders>
              <w:top w:val="single" w:color="auto" w:sz="4" w:space="0"/>
              <w:left w:val="nil"/>
              <w:bottom w:val="single" w:color="auto" w:sz="4" w:space="0"/>
              <w:right w:val="single" w:color="auto" w:sz="4" w:space="0"/>
            </w:tcBorders>
            <w:shd w:val="clear" w:color="auto" w:fill="FFFFFF"/>
            <w:vAlign w:val="center"/>
          </w:tcPr>
          <w:p w14:paraId="7797C5F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1492776A">
            <w:pPr>
              <w:widowControl/>
              <w:spacing w:line="240" w:lineRule="auto"/>
              <w:ind w:firstLine="0" w:firstLineChars="0"/>
              <w:jc w:val="center"/>
              <w:rPr>
                <w:rFonts w:ascii="Tahoma" w:hAnsi="Tahoma" w:cs="Tahoma"/>
                <w:color w:val="000000"/>
                <w:kern w:val="0"/>
                <w:sz w:val="22"/>
                <w:szCs w:val="22"/>
              </w:rPr>
            </w:pPr>
            <w:r>
              <w:rPr>
                <w:rFonts w:hint="eastAsia" w:cs="宋体" w:asciiTheme="minorEastAsia" w:hAnsiTheme="minorEastAsia" w:eastAsiaTheme="minorEastAsia"/>
                <w:color w:val="000000"/>
                <w:kern w:val="0"/>
                <w:sz w:val="21"/>
                <w:szCs w:val="21"/>
              </w:rPr>
              <w:t>测绘管理</w:t>
            </w:r>
            <w:r>
              <w:rPr>
                <w:rFonts w:cs="宋体" w:asciiTheme="minorEastAsia" w:hAnsiTheme="minorEastAsia" w:eastAsiaTheme="minorEastAsia"/>
                <w:color w:val="000000"/>
                <w:kern w:val="0"/>
                <w:sz w:val="21"/>
                <w:szCs w:val="21"/>
              </w:rPr>
              <w:t>-测绘事项批后监管-测量标志点批后监管</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51FBD986">
            <w:pPr>
              <w:widowControl/>
              <w:spacing w:line="240" w:lineRule="auto"/>
              <w:ind w:firstLine="0" w:firstLineChars="0"/>
              <w:jc w:val="center"/>
              <w:rPr>
                <w:rFonts w:ascii="Tahoma" w:hAnsi="Tahoma" w:cs="Tahoma"/>
                <w:color w:val="000000"/>
                <w:kern w:val="0"/>
                <w:sz w:val="22"/>
                <w:szCs w:val="22"/>
              </w:rPr>
            </w:pPr>
            <w:r>
              <w:rPr>
                <w:rFonts w:cs="宋体" w:asciiTheme="minorEastAsia" w:hAnsiTheme="minorEastAsia" w:eastAsiaTheme="minorEastAsia"/>
                <w:color w:val="000000"/>
                <w:kern w:val="0"/>
                <w:sz w:val="21"/>
                <w:szCs w:val="21"/>
              </w:rPr>
              <w:t>1.跟踪拆建审批后，标志点实际的拆除、新建情况，内容包括拆建合同、拆建方案、重建情况等，并且可查看对应的重点巡查收集的现场照片情况。</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2.测量标准拆建审批后，同步创建重点巡查任务，并自动推送至对应巡查人员，由巡查人员确认标志点拆迁情况；重建后，也将创建重点巡查任务，由巡查人员确认重建情况。</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3.展示拆建的测量标志点在地图分布情况，重建测量标志情况，便于业务处室直观了解测量标志拆建分布情况。</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4.对测量标志点批后重建情况，结合地图提供多条件查询，支持按测量标志的名称、编号、位置、类型、所属区域、拆迁审批时间、重建完成时间、巡查时间等多种条件进行组合查询，提高监管工作的效率。</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5.在重点巡查基础上，对长时间未完成拆建方案维护、或未按计划完成重建的，进行预警，以便管理人员进行重点管理。</w:t>
            </w:r>
          </w:p>
        </w:tc>
      </w:tr>
      <w:tr w14:paraId="68289954">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0111764">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w:t>
            </w:r>
          </w:p>
        </w:tc>
        <w:tc>
          <w:tcPr>
            <w:tcW w:w="929" w:type="pct"/>
            <w:tcBorders>
              <w:top w:val="single" w:color="auto" w:sz="4" w:space="0"/>
              <w:left w:val="nil"/>
              <w:bottom w:val="single" w:color="auto" w:sz="4" w:space="0"/>
              <w:right w:val="single" w:color="auto" w:sz="4" w:space="0"/>
            </w:tcBorders>
            <w:shd w:val="clear" w:color="auto" w:fill="FFFFFF"/>
            <w:vAlign w:val="center"/>
          </w:tcPr>
          <w:p w14:paraId="7ABB07C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742757AE">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测绘管理</w:t>
            </w:r>
            <w:r>
              <w:rPr>
                <w:rFonts w:cs="宋体" w:asciiTheme="minorEastAsia" w:hAnsiTheme="minorEastAsia" w:eastAsiaTheme="minorEastAsia"/>
                <w:color w:val="000000"/>
                <w:kern w:val="0"/>
                <w:sz w:val="21"/>
                <w:szCs w:val="21"/>
              </w:rPr>
              <w:t>-测绘事项批后监管-地图告知承诺制批后监管-地图审核告知承诺制审批批后监管跟踪</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245B9324">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跟踪地图审核告知承诺制审批后，申请单位实际制图的情况，以便处室能更好地监管地图制图和使用情况。</w:t>
            </w:r>
          </w:p>
        </w:tc>
      </w:tr>
      <w:tr w14:paraId="00BAA52D">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788F0FC4">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3</w:t>
            </w:r>
          </w:p>
        </w:tc>
        <w:tc>
          <w:tcPr>
            <w:tcW w:w="929" w:type="pct"/>
            <w:tcBorders>
              <w:top w:val="single" w:color="auto" w:sz="4" w:space="0"/>
              <w:left w:val="nil"/>
              <w:bottom w:val="single" w:color="auto" w:sz="4" w:space="0"/>
              <w:right w:val="single" w:color="auto" w:sz="4" w:space="0"/>
            </w:tcBorders>
            <w:shd w:val="clear" w:color="auto" w:fill="FFFFFF"/>
            <w:vAlign w:val="center"/>
          </w:tcPr>
          <w:p w14:paraId="235CD3C2">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3B346F33">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测绘管理</w:t>
            </w:r>
            <w:r>
              <w:rPr>
                <w:rFonts w:cs="宋体" w:asciiTheme="minorEastAsia" w:hAnsiTheme="minorEastAsia" w:eastAsiaTheme="minorEastAsia"/>
                <w:color w:val="000000"/>
                <w:kern w:val="0"/>
                <w:sz w:val="21"/>
                <w:szCs w:val="21"/>
              </w:rPr>
              <w:t>-测绘事项批后监管-地图告知承诺制批后监管-地图审核告知承诺制审批监督检查流程</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659ADA6E">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处室对地图审核资质单位，进行监督检查工作。经办单位可随机抽选单位，对单位提交的审批项目进行抽查，并录入检查结果。处室核查结果，完成监督检查任务。</w:t>
            </w:r>
          </w:p>
        </w:tc>
      </w:tr>
      <w:tr w14:paraId="5BE9BB65">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35F6274">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4</w:t>
            </w:r>
          </w:p>
        </w:tc>
        <w:tc>
          <w:tcPr>
            <w:tcW w:w="929" w:type="pct"/>
            <w:tcBorders>
              <w:top w:val="single" w:color="auto" w:sz="4" w:space="0"/>
              <w:left w:val="nil"/>
              <w:bottom w:val="single" w:color="auto" w:sz="4" w:space="0"/>
              <w:right w:val="single" w:color="auto" w:sz="4" w:space="0"/>
            </w:tcBorders>
            <w:shd w:val="clear" w:color="auto" w:fill="FFFFFF"/>
            <w:vAlign w:val="center"/>
          </w:tcPr>
          <w:p w14:paraId="4D50AAF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2ABBE597">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测绘管理</w:t>
            </w:r>
            <w:r>
              <w:rPr>
                <w:rFonts w:cs="宋体" w:asciiTheme="minorEastAsia" w:hAnsiTheme="minorEastAsia" w:eastAsiaTheme="minorEastAsia"/>
                <w:color w:val="000000"/>
                <w:kern w:val="0"/>
                <w:sz w:val="21"/>
                <w:szCs w:val="21"/>
              </w:rPr>
              <w:t>-测绘事项批后监管-地图告知承诺制批后监管-地图审核告知承诺制审批监督检查文书发布</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0563ACD3">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提供地图审核告知承诺制审批监督检查文书发布流程，处室可发起工作通知和意见通报流程，经由处室审核、办公室审核、局领导审批、办公室文印后，对外公开发布工作通知或意见通报。</w:t>
            </w:r>
          </w:p>
        </w:tc>
      </w:tr>
      <w:tr w14:paraId="6FC0AEF1">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0C6F9FE">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5</w:t>
            </w:r>
          </w:p>
        </w:tc>
        <w:tc>
          <w:tcPr>
            <w:tcW w:w="929" w:type="pct"/>
            <w:tcBorders>
              <w:top w:val="single" w:color="auto" w:sz="4" w:space="0"/>
              <w:left w:val="nil"/>
              <w:bottom w:val="single" w:color="auto" w:sz="4" w:space="0"/>
              <w:right w:val="single" w:color="auto" w:sz="4" w:space="0"/>
            </w:tcBorders>
            <w:shd w:val="clear" w:color="auto" w:fill="FFFFFF"/>
            <w:vAlign w:val="center"/>
          </w:tcPr>
          <w:p w14:paraId="5C71591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0374B78F">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测绘管理</w:t>
            </w:r>
            <w:r>
              <w:rPr>
                <w:rFonts w:cs="宋体" w:asciiTheme="minorEastAsia" w:hAnsiTheme="minorEastAsia" w:eastAsiaTheme="minorEastAsia"/>
                <w:color w:val="000000"/>
                <w:kern w:val="0"/>
                <w:sz w:val="21"/>
                <w:szCs w:val="21"/>
              </w:rPr>
              <w:t>-测绘事项批后监管-地图告知承诺制批后监管-地图审核告知承诺制审批监督检查实施功能</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2FB28C64">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在监督检查实施过程中，根据实际情况，抽选受检单位和审批项目的条件，包括锁定抽选项目，增加检查结果字典表、筛选审核案件条件。</w:t>
            </w:r>
          </w:p>
        </w:tc>
      </w:tr>
      <w:tr w14:paraId="33F18E0A">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E0452DA">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6</w:t>
            </w:r>
          </w:p>
        </w:tc>
        <w:tc>
          <w:tcPr>
            <w:tcW w:w="929" w:type="pct"/>
            <w:tcBorders>
              <w:top w:val="single" w:color="auto" w:sz="4" w:space="0"/>
              <w:left w:val="nil"/>
              <w:bottom w:val="single" w:color="auto" w:sz="4" w:space="0"/>
              <w:right w:val="single" w:color="auto" w:sz="4" w:space="0"/>
            </w:tcBorders>
            <w:shd w:val="clear" w:color="auto" w:fill="FFFFFF"/>
            <w:vAlign w:val="center"/>
          </w:tcPr>
          <w:p w14:paraId="16EB666A">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5FC4B597">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测绘管理</w:t>
            </w:r>
            <w:r>
              <w:rPr>
                <w:rFonts w:cs="宋体" w:asciiTheme="minorEastAsia" w:hAnsiTheme="minorEastAsia" w:eastAsiaTheme="minorEastAsia"/>
                <w:color w:val="000000"/>
                <w:kern w:val="0"/>
                <w:sz w:val="21"/>
                <w:szCs w:val="21"/>
              </w:rPr>
              <w:t>-测绘事项批后监管-地图告知承诺制批后监管-地图审核告知承诺制审批监督检查报告生成导出</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18774DD4">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提供导出地图审核告知承诺制审批监督检查结果功能，根据处室在实施过程中录入的检查情况，生成检查结果，支持处室进行修改。最终导出检查报告，格式为</w:t>
            </w:r>
            <w:r>
              <w:rPr>
                <w:rFonts w:cs="宋体" w:asciiTheme="minorEastAsia" w:hAnsiTheme="minorEastAsia" w:eastAsiaTheme="minorEastAsia"/>
                <w:color w:val="000000"/>
                <w:kern w:val="0"/>
                <w:sz w:val="21"/>
                <w:szCs w:val="21"/>
              </w:rPr>
              <w:t>PDF。</w:t>
            </w:r>
          </w:p>
        </w:tc>
      </w:tr>
      <w:tr w14:paraId="25102202">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4E2EF2C">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7</w:t>
            </w:r>
          </w:p>
        </w:tc>
        <w:tc>
          <w:tcPr>
            <w:tcW w:w="929" w:type="pct"/>
            <w:tcBorders>
              <w:top w:val="single" w:color="auto" w:sz="4" w:space="0"/>
              <w:left w:val="nil"/>
              <w:bottom w:val="single" w:color="auto" w:sz="4" w:space="0"/>
              <w:right w:val="single" w:color="auto" w:sz="4" w:space="0"/>
            </w:tcBorders>
            <w:shd w:val="clear" w:color="auto" w:fill="FFFFFF"/>
            <w:vAlign w:val="center"/>
          </w:tcPr>
          <w:p w14:paraId="20FE472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55FC4050">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测绘管理</w:t>
            </w:r>
            <w:r>
              <w:rPr>
                <w:rFonts w:cs="宋体" w:asciiTheme="minorEastAsia" w:hAnsiTheme="minorEastAsia" w:eastAsiaTheme="minorEastAsia"/>
                <w:color w:val="000000"/>
                <w:kern w:val="0"/>
                <w:sz w:val="21"/>
                <w:szCs w:val="21"/>
              </w:rPr>
              <w:t>-测绘事项批后监管-地图告知承诺制批后监管-地图审核告知承诺制审批测绘行业信用信息推送</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493C3027">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为地图审核告知承诺制审批业务，推送测绘行业信用信息，同时根据行业信息判断申请单位的信用是否满足告知承诺要求。</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1.查询测绘行业信用信息</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系统根据地图审核告知承诺制审批申请单位信息，获取该单位的测绘行业信用信息</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2.判断是否满足监管要求</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系统根据测绘单位信用信息情况和设定的监管要求，判断该单位是否满足告知承诺要求</w:t>
            </w:r>
          </w:p>
        </w:tc>
      </w:tr>
      <w:tr w14:paraId="13E752C0">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76F57865">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8</w:t>
            </w:r>
          </w:p>
        </w:tc>
        <w:tc>
          <w:tcPr>
            <w:tcW w:w="929" w:type="pct"/>
            <w:tcBorders>
              <w:top w:val="single" w:color="auto" w:sz="4" w:space="0"/>
              <w:left w:val="nil"/>
              <w:bottom w:val="single" w:color="auto" w:sz="4" w:space="0"/>
              <w:right w:val="single" w:color="auto" w:sz="4" w:space="0"/>
            </w:tcBorders>
            <w:shd w:val="clear" w:color="auto" w:fill="FFFFFF"/>
            <w:vAlign w:val="center"/>
          </w:tcPr>
          <w:p w14:paraId="4218BA72">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49B575B7">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-主动式地籍监管与更新-主动式地籍更新机制-地籍册数据库改造</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5171C033">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为满足主动式地籍监管与更新的要求，结合现有实地测绘的相关技术要求，实现地籍要素的自动对接及地籍变化发现，需对地籍册数据库进行升级改造</w:t>
            </w:r>
          </w:p>
        </w:tc>
      </w:tr>
      <w:tr w14:paraId="4AC8D094">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C5E4AA5">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9</w:t>
            </w:r>
          </w:p>
        </w:tc>
        <w:tc>
          <w:tcPr>
            <w:tcW w:w="929" w:type="pct"/>
            <w:tcBorders>
              <w:top w:val="single" w:color="auto" w:sz="4" w:space="0"/>
              <w:left w:val="nil"/>
              <w:bottom w:val="single" w:color="auto" w:sz="4" w:space="0"/>
              <w:right w:val="single" w:color="auto" w:sz="4" w:space="0"/>
            </w:tcBorders>
            <w:shd w:val="clear" w:color="auto" w:fill="FFFFFF"/>
            <w:vAlign w:val="center"/>
          </w:tcPr>
          <w:p w14:paraId="38626CF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32FA1A97">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-主动式地籍监管与更新-主动式地籍更新机制-地籍关联要素对接</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3FDADFCF">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对接各类地籍要素，以现有外业调查地籍数据标准为基础，为地籍册的更新维护提供数据支撑</w:t>
            </w:r>
          </w:p>
        </w:tc>
      </w:tr>
      <w:tr w14:paraId="670DAB10">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4F6A971">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10</w:t>
            </w:r>
          </w:p>
        </w:tc>
        <w:tc>
          <w:tcPr>
            <w:tcW w:w="929" w:type="pct"/>
            <w:tcBorders>
              <w:top w:val="single" w:color="auto" w:sz="4" w:space="0"/>
              <w:left w:val="nil"/>
              <w:bottom w:val="single" w:color="auto" w:sz="4" w:space="0"/>
              <w:right w:val="single" w:color="auto" w:sz="4" w:space="0"/>
            </w:tcBorders>
            <w:shd w:val="clear" w:color="auto" w:fill="FFFFFF"/>
            <w:vAlign w:val="center"/>
          </w:tcPr>
          <w:p w14:paraId="55CF083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027A768E">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-主动式地籍监管与更新-主动式地籍更新机制-地籍册信息展示及更新维护</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2F22D9E3">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完成全覆盖地籍数据初始建册，关联展示其使用权宗地基本信息、现势权属信息、土地权属情况信息、土地利用现状信息及审批关系信息等。</w:t>
            </w:r>
          </w:p>
        </w:tc>
      </w:tr>
      <w:tr w14:paraId="58ADC2CA">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2686E3D">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11</w:t>
            </w:r>
          </w:p>
        </w:tc>
        <w:tc>
          <w:tcPr>
            <w:tcW w:w="929" w:type="pct"/>
            <w:tcBorders>
              <w:top w:val="single" w:color="auto" w:sz="4" w:space="0"/>
              <w:left w:val="nil"/>
              <w:bottom w:val="single" w:color="auto" w:sz="4" w:space="0"/>
              <w:right w:val="single" w:color="auto" w:sz="4" w:space="0"/>
            </w:tcBorders>
            <w:shd w:val="clear" w:color="auto" w:fill="FFFFFF"/>
            <w:vAlign w:val="center"/>
          </w:tcPr>
          <w:p w14:paraId="4B59E37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52773241">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-主动式地籍监管与更新-主动式地籍更新机制-主动式地籍变化发现机制</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41CFB70A">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对接规划审批、不动产登记、项目型地籍变更的多源地籍要素，建立地籍数据自动发现机制，通过业务空间分析和业务逻辑规则判断，自动发现使用权宗地不现势，与所有权不一致，与登记不一致等问题。形成待维护清单并自动立案，自动触发地籍变更业务流程，形成“发现</w:t>
            </w:r>
            <w:r>
              <w:rPr>
                <w:rFonts w:cs="宋体" w:asciiTheme="minorEastAsia" w:hAnsiTheme="minorEastAsia" w:eastAsiaTheme="minorEastAsia"/>
                <w:color w:val="000000"/>
                <w:kern w:val="0"/>
                <w:sz w:val="21"/>
                <w:szCs w:val="21"/>
              </w:rPr>
              <w:t>-立项-更新-审核”动态响应机制。</w:t>
            </w:r>
          </w:p>
        </w:tc>
      </w:tr>
      <w:tr w14:paraId="034AD71C">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D169627">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12</w:t>
            </w:r>
          </w:p>
        </w:tc>
        <w:tc>
          <w:tcPr>
            <w:tcW w:w="929" w:type="pct"/>
            <w:tcBorders>
              <w:top w:val="single" w:color="auto" w:sz="4" w:space="0"/>
              <w:left w:val="nil"/>
              <w:bottom w:val="single" w:color="auto" w:sz="4" w:space="0"/>
              <w:right w:val="single" w:color="auto" w:sz="4" w:space="0"/>
            </w:tcBorders>
            <w:shd w:val="clear" w:color="auto" w:fill="FFFFFF"/>
            <w:vAlign w:val="center"/>
          </w:tcPr>
          <w:p w14:paraId="068B16A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20F1FA1D">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-主动式地籍监管与更新-主动式地籍更新机制-主动式地籍数据更新机制</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7E14E966">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搭建地籍数据更新维护流程，满足待人工判定宗地、待补充调查宗地等需更新地籍数据的数据处理流程及结果质检机制。</w:t>
            </w:r>
          </w:p>
        </w:tc>
      </w:tr>
      <w:tr w14:paraId="0BD2E931">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92AF3C2">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13</w:t>
            </w:r>
          </w:p>
        </w:tc>
        <w:tc>
          <w:tcPr>
            <w:tcW w:w="929" w:type="pct"/>
            <w:tcBorders>
              <w:top w:val="single" w:color="auto" w:sz="4" w:space="0"/>
              <w:left w:val="nil"/>
              <w:bottom w:val="single" w:color="auto" w:sz="4" w:space="0"/>
              <w:right w:val="single" w:color="auto" w:sz="4" w:space="0"/>
            </w:tcBorders>
            <w:shd w:val="clear" w:color="auto" w:fill="FFFFFF"/>
            <w:vAlign w:val="center"/>
          </w:tcPr>
          <w:p w14:paraId="2FD6483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4A9D8F05">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-主动式地籍监管与更新-宗地现势性评价-宗地现势性分析</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19848444">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根据宗地现势性判断规则，监测分析宗地现势、宗地不现势及待变更的数据情况。</w:t>
            </w:r>
          </w:p>
        </w:tc>
      </w:tr>
      <w:tr w14:paraId="7641335A">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548B107">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14</w:t>
            </w:r>
          </w:p>
        </w:tc>
        <w:tc>
          <w:tcPr>
            <w:tcW w:w="929" w:type="pct"/>
            <w:tcBorders>
              <w:top w:val="single" w:color="auto" w:sz="4" w:space="0"/>
              <w:left w:val="nil"/>
              <w:bottom w:val="single" w:color="auto" w:sz="4" w:space="0"/>
              <w:right w:val="single" w:color="auto" w:sz="4" w:space="0"/>
            </w:tcBorders>
            <w:shd w:val="clear" w:color="auto" w:fill="FFFFFF"/>
            <w:vAlign w:val="center"/>
          </w:tcPr>
          <w:p w14:paraId="40BC242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0CC48288">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-主动式地籍监管与更新-宗地现势性评价-与登记一致性分析</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69D04703">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将使用权宗地和登记信息进行一致性判断，判断宗地基本属性与登记基本属性是否一致，包括土地面积、土地权属性质，使用权人等基本字段，自动形成“与登记一致”、“与登记不一致”及“无登记”的评价结论</w:t>
            </w:r>
          </w:p>
        </w:tc>
      </w:tr>
      <w:tr w14:paraId="59298C19">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E5BE7CD">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15</w:t>
            </w:r>
          </w:p>
        </w:tc>
        <w:tc>
          <w:tcPr>
            <w:tcW w:w="929" w:type="pct"/>
            <w:tcBorders>
              <w:top w:val="single" w:color="auto" w:sz="4" w:space="0"/>
              <w:left w:val="nil"/>
              <w:bottom w:val="single" w:color="auto" w:sz="4" w:space="0"/>
              <w:right w:val="single" w:color="auto" w:sz="4" w:space="0"/>
            </w:tcBorders>
            <w:shd w:val="clear" w:color="auto" w:fill="FFFFFF"/>
            <w:vAlign w:val="center"/>
          </w:tcPr>
          <w:p w14:paraId="66D870B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18694D77">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-主动式地籍监管与更新-宗地现势性评价-其他专题分析</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1ACD830F">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cs="宋体" w:asciiTheme="minorEastAsia" w:hAnsiTheme="minorEastAsia" w:eastAsiaTheme="minorEastAsia"/>
                <w:color w:val="000000"/>
                <w:kern w:val="0"/>
                <w:sz w:val="21"/>
                <w:szCs w:val="21"/>
              </w:rPr>
              <w:t>1.为地籍管理部门提供宗地现势性维护入口，梳理完成宗地相关的审批数据后形成现势性结论。</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2.根据宗地权属来源判定规则计算宗地权属来源信息</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3.将使用权宗地与所有权宗地进行空间叠加分析，评估两者图形重叠情况及覆盖情况，形成如下判断：</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w:t>
            </w:r>
            <w:r>
              <w:rPr>
                <w:rFonts w:cs="宋体" w:asciiTheme="minorEastAsia" w:hAnsiTheme="minorEastAsia" w:eastAsiaTheme="minorEastAsia"/>
                <w:color w:val="000000"/>
                <w:kern w:val="0"/>
                <w:sz w:val="21"/>
                <w:szCs w:val="21"/>
              </w:rPr>
              <w:t>1）与所有权一致</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 xml:space="preserve">  a.国有使用权宗地，与集体所有权宗地无重叠。</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 xml:space="preserve">  b.集体使用权宗地均位于集体所有权宗地范围内，且不存在跨集体所有权地块的（集体土地使用权登记宗地、宅基地除外）。</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w:t>
            </w:r>
            <w:r>
              <w:rPr>
                <w:rFonts w:cs="宋体" w:asciiTheme="minorEastAsia" w:hAnsiTheme="minorEastAsia" w:eastAsiaTheme="minorEastAsia"/>
                <w:color w:val="000000"/>
                <w:kern w:val="0"/>
                <w:sz w:val="21"/>
                <w:szCs w:val="21"/>
              </w:rPr>
              <w:t>2）与所有权不一致：</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 xml:space="preserve">  a.国有使用权宗地，与集体所有权宗地有重叠的。</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 xml:space="preserve">  b.集体使用权宗地有集体所有权宗地未重叠未覆盖的，或有跨集体所有权地块的（集体土地使用权登记宗地、宅基地除外）。</w:t>
            </w:r>
          </w:p>
        </w:tc>
      </w:tr>
      <w:tr w14:paraId="09C645B5">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9F07705">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16</w:t>
            </w:r>
          </w:p>
        </w:tc>
        <w:tc>
          <w:tcPr>
            <w:tcW w:w="929" w:type="pct"/>
            <w:tcBorders>
              <w:top w:val="single" w:color="auto" w:sz="4" w:space="0"/>
              <w:left w:val="nil"/>
              <w:bottom w:val="single" w:color="auto" w:sz="4" w:space="0"/>
              <w:right w:val="single" w:color="auto" w:sz="4" w:space="0"/>
            </w:tcBorders>
            <w:shd w:val="clear" w:color="auto" w:fill="FFFFFF"/>
            <w:vAlign w:val="center"/>
          </w:tcPr>
          <w:p w14:paraId="0912CFCA">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31BA2B1C">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-主动式地籍监管与更新-权源补录-权源信息补录流程搭建</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4E14A9E3">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搭建权源信息补录流程，满足权源信息补录的基础信息编辑、附件上传、质量审核的要求。</w:t>
            </w:r>
          </w:p>
        </w:tc>
      </w:tr>
      <w:tr w14:paraId="1D21E94D">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66CD4DF">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17</w:t>
            </w:r>
          </w:p>
        </w:tc>
        <w:tc>
          <w:tcPr>
            <w:tcW w:w="929" w:type="pct"/>
            <w:tcBorders>
              <w:top w:val="single" w:color="auto" w:sz="4" w:space="0"/>
              <w:left w:val="nil"/>
              <w:bottom w:val="single" w:color="auto" w:sz="4" w:space="0"/>
              <w:right w:val="single" w:color="auto" w:sz="4" w:space="0"/>
            </w:tcBorders>
            <w:shd w:val="clear" w:color="auto" w:fill="FFFFFF"/>
            <w:vAlign w:val="center"/>
          </w:tcPr>
          <w:p w14:paraId="682F379D">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7675829C">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-主动式地籍监管与更新-权源补录-权源补录数据质检</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15208F30">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通用图形质检、属性检查、错误提示、地图定位、在线编辑。</w:t>
            </w:r>
          </w:p>
        </w:tc>
      </w:tr>
      <w:tr w14:paraId="77F952EE">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8FFDFAD">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18</w:t>
            </w:r>
          </w:p>
        </w:tc>
        <w:tc>
          <w:tcPr>
            <w:tcW w:w="929" w:type="pct"/>
            <w:tcBorders>
              <w:top w:val="single" w:color="auto" w:sz="4" w:space="0"/>
              <w:left w:val="nil"/>
              <w:bottom w:val="single" w:color="auto" w:sz="4" w:space="0"/>
              <w:right w:val="single" w:color="auto" w:sz="4" w:space="0"/>
            </w:tcBorders>
            <w:shd w:val="clear" w:color="auto" w:fill="FFFFFF"/>
            <w:vAlign w:val="center"/>
          </w:tcPr>
          <w:p w14:paraId="4B34CC3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438BF236">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-主动式地籍监管与更新-权源补录-权源补录信息查询</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6AD7E857">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根据证号、权利人、土地用途等进行查询筛选。</w:t>
            </w:r>
          </w:p>
        </w:tc>
      </w:tr>
      <w:tr w14:paraId="7F7EA02D">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2EF6215">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19</w:t>
            </w:r>
          </w:p>
        </w:tc>
        <w:tc>
          <w:tcPr>
            <w:tcW w:w="929" w:type="pct"/>
            <w:tcBorders>
              <w:top w:val="single" w:color="auto" w:sz="4" w:space="0"/>
              <w:left w:val="nil"/>
              <w:bottom w:val="single" w:color="auto" w:sz="4" w:space="0"/>
              <w:right w:val="single" w:color="auto" w:sz="4" w:space="0"/>
            </w:tcBorders>
            <w:shd w:val="clear" w:color="auto" w:fill="FFFFFF"/>
            <w:vAlign w:val="center"/>
          </w:tcPr>
          <w:p w14:paraId="24928F94">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259AF357">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-地籍专题图-地籍全要素浏览与地籍数据统计分析</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44760A86">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cs="宋体" w:asciiTheme="minorEastAsia" w:hAnsiTheme="minorEastAsia" w:eastAsiaTheme="minorEastAsia"/>
                <w:color w:val="000000"/>
                <w:kern w:val="0"/>
                <w:sz w:val="21"/>
                <w:szCs w:val="21"/>
              </w:rPr>
              <w:t>1.支持宗地、房屋等不动产单元数据，自然资源确权登记数据，地籍调查成果数据等地籍核心要素等分层级可视化展示</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2.提供各类宗地属性分层渲染的需求，支持权属性质、宗地面积、所属行政区等维度分层渲染，实时标注权属争议区及历史版本对比等功能。</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3.系统提供以图查属、以属查图、点击查询、穿透查询等信息查询功能。</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4.系统支持在地图场景中以点选、框选、多边形选、圆形选等方式，进行宗地、房屋、户室相关信息字段的统计分析，并通过图表形式进行直观展示。</w:t>
            </w:r>
          </w:p>
        </w:tc>
      </w:tr>
      <w:tr w14:paraId="75D85BC8">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7D3D4F6">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20</w:t>
            </w:r>
          </w:p>
        </w:tc>
        <w:tc>
          <w:tcPr>
            <w:tcW w:w="929" w:type="pct"/>
            <w:tcBorders>
              <w:top w:val="single" w:color="auto" w:sz="4" w:space="0"/>
              <w:left w:val="nil"/>
              <w:bottom w:val="single" w:color="auto" w:sz="4" w:space="0"/>
              <w:right w:val="single" w:color="auto" w:sz="4" w:space="0"/>
            </w:tcBorders>
            <w:shd w:val="clear" w:color="auto" w:fill="FFFFFF"/>
            <w:vAlign w:val="center"/>
          </w:tcPr>
          <w:p w14:paraId="549DA98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3F7D5072">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-地籍专题图-宗地全生命周期展示-全周期时间轴展示</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45840C4A">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以时间轴形式串联不动产单元规划、审批、测绘、供应、登记等各阶段数据。</w:t>
            </w:r>
          </w:p>
        </w:tc>
      </w:tr>
      <w:tr w14:paraId="494D706A">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845ECE3">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21</w:t>
            </w:r>
          </w:p>
        </w:tc>
        <w:tc>
          <w:tcPr>
            <w:tcW w:w="929" w:type="pct"/>
            <w:tcBorders>
              <w:top w:val="single" w:color="auto" w:sz="4" w:space="0"/>
              <w:left w:val="nil"/>
              <w:bottom w:val="single" w:color="auto" w:sz="4" w:space="0"/>
              <w:right w:val="single" w:color="auto" w:sz="4" w:space="0"/>
            </w:tcBorders>
            <w:shd w:val="clear" w:color="auto" w:fill="FFFFFF"/>
            <w:vAlign w:val="center"/>
          </w:tcPr>
          <w:p w14:paraId="7D9D833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1EC01BD8">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-地籍专题图-宗地全生命周期展示-全周期空间演变</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4AF8E3F1">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将不同审批阶段的批文数据进行叠加分析与同屏显示，直观反映全生命周期中，所有权宗地空间范围变化情况</w:t>
            </w:r>
          </w:p>
        </w:tc>
      </w:tr>
      <w:tr w14:paraId="25DDB472">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ADE6082">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22</w:t>
            </w:r>
          </w:p>
        </w:tc>
        <w:tc>
          <w:tcPr>
            <w:tcW w:w="929" w:type="pct"/>
            <w:tcBorders>
              <w:top w:val="single" w:color="auto" w:sz="4" w:space="0"/>
              <w:left w:val="nil"/>
              <w:bottom w:val="single" w:color="auto" w:sz="4" w:space="0"/>
              <w:right w:val="single" w:color="auto" w:sz="4" w:space="0"/>
            </w:tcBorders>
            <w:shd w:val="clear" w:color="auto" w:fill="FFFFFF"/>
            <w:vAlign w:val="center"/>
          </w:tcPr>
          <w:p w14:paraId="0029387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4866F907">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-地籍专题图-宗地全生命周期展示-地籍变更图谱</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316C614E">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追溯不动产单元的变化过程，查询每个单元变化过程的图形和属性详细信息，并支持区域历史回溯，即选择某区域某一时间点的权利变更状态和拆分合并情况</w:t>
            </w:r>
          </w:p>
        </w:tc>
      </w:tr>
      <w:tr w14:paraId="63AB0F0E">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5603B5A">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23</w:t>
            </w:r>
          </w:p>
        </w:tc>
        <w:tc>
          <w:tcPr>
            <w:tcW w:w="929" w:type="pct"/>
            <w:tcBorders>
              <w:top w:val="single" w:color="auto" w:sz="4" w:space="0"/>
              <w:left w:val="nil"/>
              <w:bottom w:val="single" w:color="auto" w:sz="4" w:space="0"/>
              <w:right w:val="single" w:color="auto" w:sz="4" w:space="0"/>
            </w:tcBorders>
            <w:shd w:val="clear" w:color="auto" w:fill="FFFFFF"/>
            <w:vAlign w:val="center"/>
          </w:tcPr>
          <w:p w14:paraId="17D1BF8B">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64ADF4C9">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-地籍数据共享应用-一码关联协同管理-全生命周期数据关联</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0094B331">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根据不动产单元码关联展示规划、审批、测绘、供应、登记等各阶段数据。</w:t>
            </w:r>
          </w:p>
        </w:tc>
      </w:tr>
      <w:tr w14:paraId="06D8B6C9">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46D6507">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24</w:t>
            </w:r>
          </w:p>
        </w:tc>
        <w:tc>
          <w:tcPr>
            <w:tcW w:w="929" w:type="pct"/>
            <w:tcBorders>
              <w:top w:val="single" w:color="auto" w:sz="4" w:space="0"/>
              <w:left w:val="nil"/>
              <w:bottom w:val="single" w:color="auto" w:sz="4" w:space="0"/>
              <w:right w:val="single" w:color="auto" w:sz="4" w:space="0"/>
            </w:tcBorders>
            <w:shd w:val="clear" w:color="auto" w:fill="FFFFFF"/>
            <w:vAlign w:val="center"/>
          </w:tcPr>
          <w:p w14:paraId="63C993C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4737627B">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-地籍数据共享应用-一码关联协同管理-异常状态监控与预警</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32C9E812">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对于存在宗地全生命周期关联数据异常及不符合业务逻辑等情况时，系统进行异常提醒。</w:t>
            </w:r>
          </w:p>
        </w:tc>
      </w:tr>
      <w:tr w14:paraId="6C9CE459">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B35829A">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2</w:t>
            </w:r>
            <w:r>
              <w:rPr>
                <w:color w:val="000000"/>
                <w:sz w:val="22"/>
                <w:szCs w:val="22"/>
              </w:rPr>
              <w:t>5</w:t>
            </w:r>
          </w:p>
        </w:tc>
        <w:tc>
          <w:tcPr>
            <w:tcW w:w="929" w:type="pct"/>
            <w:tcBorders>
              <w:top w:val="single" w:color="auto" w:sz="4" w:space="0"/>
              <w:left w:val="nil"/>
              <w:bottom w:val="single" w:color="auto" w:sz="4" w:space="0"/>
              <w:right w:val="single" w:color="auto" w:sz="4" w:space="0"/>
            </w:tcBorders>
            <w:shd w:val="clear" w:color="auto" w:fill="FFFFFF"/>
            <w:vAlign w:val="center"/>
          </w:tcPr>
          <w:p w14:paraId="3EE007F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339D72A8">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-地籍数据共享应用-分级数据共享服务-其他委办局数据共享接口</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3A446329">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提供共享接口，支持通过定期方式或事件触发方式进行数据共享，采用权限管理功能，按需提供其他委办局（如农委）所需内容（如权利人，是否登记，权利来源等信息）</w:t>
            </w:r>
          </w:p>
        </w:tc>
      </w:tr>
      <w:tr w14:paraId="5AD5823D">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9F11CF9">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26</w:t>
            </w:r>
          </w:p>
        </w:tc>
        <w:tc>
          <w:tcPr>
            <w:tcW w:w="929" w:type="pct"/>
            <w:tcBorders>
              <w:top w:val="single" w:color="auto" w:sz="4" w:space="0"/>
              <w:left w:val="nil"/>
              <w:bottom w:val="single" w:color="auto" w:sz="4" w:space="0"/>
              <w:right w:val="single" w:color="auto" w:sz="4" w:space="0"/>
            </w:tcBorders>
            <w:shd w:val="clear" w:color="auto" w:fill="FFFFFF"/>
            <w:vAlign w:val="center"/>
          </w:tcPr>
          <w:p w14:paraId="11F1530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7209F8F8">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-地籍数据共享应用-分级数据共享服务-公众用户数据</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03A1375C">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为社会公众依法开展不动产自然状况、权利限制状况、地籍图等信息可视化查询、便民利民等提供地籍数据支撑。</w:t>
            </w:r>
          </w:p>
        </w:tc>
      </w:tr>
      <w:tr w14:paraId="247CEE06">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BF23261">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27</w:t>
            </w:r>
          </w:p>
        </w:tc>
        <w:tc>
          <w:tcPr>
            <w:tcW w:w="929" w:type="pct"/>
            <w:tcBorders>
              <w:top w:val="single" w:color="auto" w:sz="4" w:space="0"/>
              <w:left w:val="nil"/>
              <w:bottom w:val="single" w:color="auto" w:sz="4" w:space="0"/>
              <w:right w:val="single" w:color="auto" w:sz="4" w:space="0"/>
            </w:tcBorders>
            <w:shd w:val="clear" w:color="auto" w:fill="FFFFFF"/>
            <w:vAlign w:val="center"/>
          </w:tcPr>
          <w:p w14:paraId="2583936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43B97F13">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-地籍数据共享应用-分级数据共享服务-接口服务管理</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3E4CD465">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建设共享服务接口管理中台，记录调取次数，调取时间，调取方。同时监测接口是否运作良好，对存在问题的接口及时告警</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1.调取情况监控</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对每个接口的使用情况做权限控制，记录共享接口的调用方，调取时间，调取次数等信息，监控异常调用并进行阻断</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2.运作情况监控</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对共享服务接口运行进行实时监控，判断接口运行情况：正常运行，存在异常，并将异常接口标红告警</w:t>
            </w:r>
          </w:p>
        </w:tc>
      </w:tr>
      <w:tr w14:paraId="7B41A4E3">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7C43305">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28</w:t>
            </w:r>
          </w:p>
        </w:tc>
        <w:tc>
          <w:tcPr>
            <w:tcW w:w="929" w:type="pct"/>
            <w:tcBorders>
              <w:top w:val="single" w:color="auto" w:sz="4" w:space="0"/>
              <w:left w:val="nil"/>
              <w:bottom w:val="single" w:color="auto" w:sz="4" w:space="0"/>
              <w:right w:val="single" w:color="auto" w:sz="4" w:space="0"/>
            </w:tcBorders>
            <w:shd w:val="clear" w:color="auto" w:fill="FFFFFF"/>
            <w:vAlign w:val="center"/>
          </w:tcPr>
          <w:p w14:paraId="6CE634A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567F1C2C">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-宅基地地籍图编制-地籍图生成-地籍图编制数据接入与预处理</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6568A9A9">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多源数据接入：系统应支持接入包括确权登记数据、地籍调查成果、地形地貌数据及遥感影像等在内的多种数据源，以全面获取编制地籍图所需信息，为后续的图件编制提供基础数据支撑。</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数据格式转换与标准化：具备将不同格式的数据转换为统一格式的功能，并对数据进行标准化处理，包括坐标转换、数据清洗等操作，确保数据的准确性和一致性，使其符合地籍图编制的要求。</w:t>
            </w:r>
          </w:p>
        </w:tc>
      </w:tr>
      <w:tr w14:paraId="2FFFCA76">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05F9945">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29</w:t>
            </w:r>
          </w:p>
        </w:tc>
        <w:tc>
          <w:tcPr>
            <w:tcW w:w="929" w:type="pct"/>
            <w:tcBorders>
              <w:top w:val="single" w:color="auto" w:sz="4" w:space="0"/>
              <w:left w:val="nil"/>
              <w:bottom w:val="single" w:color="auto" w:sz="4" w:space="0"/>
              <w:right w:val="single" w:color="auto" w:sz="4" w:space="0"/>
            </w:tcBorders>
            <w:shd w:val="clear" w:color="auto" w:fill="FFFFFF"/>
            <w:vAlign w:val="center"/>
          </w:tcPr>
          <w:p w14:paraId="0E87A8D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0564D923">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-宅基地地籍图编制-地籍图生成-地籍图编制宅基地地籍图符号库建设</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08EABA75">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宅基地地籍图符号库是为规范农村宅基地地籍图制图表达而设计的专业化符号系统，主要实现以下核心功能：</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1.标准化符号管理功能：</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w:t>
            </w:r>
            <w:r>
              <w:rPr>
                <w:rFonts w:cs="宋体" w:asciiTheme="minorEastAsia" w:hAnsiTheme="minorEastAsia" w:eastAsiaTheme="minorEastAsia"/>
                <w:color w:val="000000"/>
                <w:kern w:val="0"/>
                <w:sz w:val="21"/>
                <w:szCs w:val="21"/>
              </w:rPr>
              <w:t>1）内置符合国家地籍图编制技术规范的宅基地专用符号体系，包含宗地界线、界址点、房屋轮廓、权属注记等要素的标准化表达（2）提供符号分类树状目录，按"宗地-房屋-权属-注记"四级结构组织管理（3）支持符号</w:t>
            </w:r>
            <w:r>
              <w:rPr>
                <w:rFonts w:hint="eastAsia" w:cs="宋体" w:asciiTheme="minorEastAsia" w:hAnsiTheme="minorEastAsia" w:eastAsiaTheme="minorEastAsia"/>
                <w:color w:val="000000"/>
                <w:kern w:val="0"/>
                <w:sz w:val="21"/>
                <w:szCs w:val="21"/>
              </w:rPr>
              <w:t>参数化配置，可调整颜色（</w:t>
            </w:r>
            <w:r>
              <w:rPr>
                <w:rFonts w:cs="宋体" w:asciiTheme="minorEastAsia" w:hAnsiTheme="minorEastAsia" w:eastAsiaTheme="minorEastAsia"/>
                <w:color w:val="000000"/>
                <w:kern w:val="0"/>
                <w:sz w:val="21"/>
                <w:szCs w:val="21"/>
              </w:rPr>
              <w:t>RGB/CMYK）、线型（实线/虚线）、线宽（0.1-1.0</w:t>
            </w:r>
            <w:r>
              <w:rPr>
                <w:rFonts w:hint="eastAsia" w:cs="宋体" w:asciiTheme="minorEastAsia" w:hAnsiTheme="minorEastAsia" w:eastAsiaTheme="minorEastAsia"/>
                <w:color w:val="000000"/>
                <w:kern w:val="0"/>
                <w:sz w:val="21"/>
                <w:szCs w:val="21"/>
              </w:rPr>
              <w:t>mm</w:t>
            </w:r>
            <w:r>
              <w:rPr>
                <w:rFonts w:cs="宋体" w:asciiTheme="minorEastAsia" w:hAnsiTheme="minorEastAsia" w:eastAsiaTheme="minorEastAsia"/>
                <w:color w:val="000000"/>
                <w:kern w:val="0"/>
                <w:sz w:val="21"/>
                <w:szCs w:val="21"/>
              </w:rPr>
              <w:t>）、填充模式等视觉变量</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2.智能符号化功能：</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w:t>
            </w:r>
            <w:r>
              <w:rPr>
                <w:rFonts w:cs="宋体" w:asciiTheme="minorEastAsia" w:hAnsiTheme="minorEastAsia" w:eastAsiaTheme="minorEastAsia"/>
                <w:color w:val="000000"/>
                <w:kern w:val="0"/>
                <w:sz w:val="21"/>
                <w:szCs w:val="21"/>
              </w:rPr>
              <w:t>1）自动匹配要素类型与预设符号规则，实现宅基地地籍要素一键符号化（2）支持比例尺自适应显示，根据出图比例（1:500/1:1000/1:2000）自动切换符号细节层级（3）提供冲突检测机制，自动处理注记压盖、要素重叠等制图冲突问题</w:t>
            </w:r>
          </w:p>
        </w:tc>
      </w:tr>
      <w:tr w14:paraId="1CB82A13">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306CDF0">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30</w:t>
            </w:r>
          </w:p>
        </w:tc>
        <w:tc>
          <w:tcPr>
            <w:tcW w:w="929" w:type="pct"/>
            <w:tcBorders>
              <w:top w:val="single" w:color="auto" w:sz="4" w:space="0"/>
              <w:left w:val="nil"/>
              <w:bottom w:val="single" w:color="auto" w:sz="4" w:space="0"/>
              <w:right w:val="single" w:color="auto" w:sz="4" w:space="0"/>
            </w:tcBorders>
            <w:shd w:val="clear" w:color="auto" w:fill="FFFFFF"/>
            <w:vAlign w:val="center"/>
          </w:tcPr>
          <w:p w14:paraId="3717251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0DF69FFA">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-宅基地地籍图编制-地籍图生成-地籍图编制要素编制</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49640247">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地籍图编制要素编制是对已有的地籍数据，根据下发的规范和标准对关键要素进行整理、转换和标注的功能，以保证生成的地籍图符合自然自然部相关要求。</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 xml:space="preserve">1. </w:t>
            </w:r>
            <w:r>
              <w:rPr>
                <w:rFonts w:hint="eastAsia" w:cs="宋体" w:asciiTheme="minorEastAsia" w:hAnsiTheme="minorEastAsia" w:eastAsiaTheme="minorEastAsia"/>
                <w:color w:val="000000"/>
                <w:kern w:val="0"/>
                <w:sz w:val="21"/>
                <w:szCs w:val="21"/>
              </w:rPr>
              <w:t>要素整理</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梳理、汇总地籍图生成所需的要素内容，主要包括：行政区划、地籍区和地籍子区、集体土地所有权、集体建设用地使用权、宅基地使用权以及道路、水系、植被、房屋等地形要素等。</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 xml:space="preserve">2. </w:t>
            </w:r>
            <w:r>
              <w:rPr>
                <w:rFonts w:hint="eastAsia" w:cs="宋体" w:asciiTheme="minorEastAsia" w:hAnsiTheme="minorEastAsia" w:eastAsiaTheme="minorEastAsia"/>
                <w:color w:val="000000"/>
                <w:kern w:val="0"/>
                <w:sz w:val="21"/>
                <w:szCs w:val="21"/>
              </w:rPr>
              <w:t>坐标转换</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按自然资源部要求，对收集到的数据进行坐标系的转换，即转换为采用</w:t>
            </w:r>
            <w:r>
              <w:rPr>
                <w:rFonts w:cs="宋体" w:asciiTheme="minorEastAsia" w:hAnsiTheme="minorEastAsia" w:eastAsiaTheme="minorEastAsia"/>
                <w:color w:val="000000"/>
                <w:kern w:val="0"/>
                <w:sz w:val="21"/>
                <w:szCs w:val="21"/>
              </w:rPr>
              <w:t>2000国家大地坐标系（CGCS2000）。</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3.规范标注</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w:t>
            </w:r>
            <w:r>
              <w:rPr>
                <w:rFonts w:cs="宋体" w:asciiTheme="minorEastAsia" w:hAnsiTheme="minorEastAsia" w:eastAsiaTheme="minorEastAsia"/>
                <w:color w:val="000000"/>
                <w:kern w:val="0"/>
                <w:sz w:val="21"/>
                <w:szCs w:val="21"/>
              </w:rPr>
              <w:t>1）自动匹配符号库：根据要素类型（如界址线、房屋、注记等）自动调用标准化符号，确保图面符合规范。</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w:t>
            </w:r>
            <w:r>
              <w:rPr>
                <w:rFonts w:cs="宋体" w:asciiTheme="minorEastAsia" w:hAnsiTheme="minorEastAsia" w:eastAsiaTheme="minorEastAsia"/>
                <w:color w:val="000000"/>
                <w:kern w:val="0"/>
                <w:sz w:val="21"/>
                <w:szCs w:val="21"/>
              </w:rPr>
              <w:t>2）冲突检测与自动避让：对文字标注的字体、大小、位置进行规范，避免注记压盖、要素重叠等问题，优化图面可读性。</w:t>
            </w:r>
          </w:p>
        </w:tc>
      </w:tr>
      <w:tr w14:paraId="7E912010">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032CAEE">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31</w:t>
            </w:r>
          </w:p>
        </w:tc>
        <w:tc>
          <w:tcPr>
            <w:tcW w:w="929" w:type="pct"/>
            <w:tcBorders>
              <w:top w:val="single" w:color="auto" w:sz="4" w:space="0"/>
              <w:left w:val="nil"/>
              <w:bottom w:val="single" w:color="auto" w:sz="4" w:space="0"/>
              <w:right w:val="single" w:color="auto" w:sz="4" w:space="0"/>
            </w:tcBorders>
            <w:shd w:val="clear" w:color="auto" w:fill="FFFFFF"/>
            <w:vAlign w:val="center"/>
          </w:tcPr>
          <w:p w14:paraId="179FF6DD">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6ECE2D10">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-宅基地地籍图编制-地籍图生成-地籍图编制电子地图输出</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76A3A22A">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地籍图编制电子地图输出功能旨在用户可根据需要采用标准分幅、自定义范围等方式，批量输出给定比例尺的</w:t>
            </w:r>
            <w:r>
              <w:rPr>
                <w:rFonts w:cs="宋体" w:asciiTheme="minorEastAsia" w:hAnsiTheme="minorEastAsia" w:eastAsiaTheme="minorEastAsia"/>
                <w:color w:val="000000"/>
                <w:kern w:val="0"/>
                <w:sz w:val="21"/>
                <w:szCs w:val="21"/>
              </w:rPr>
              <w:t>TIFF、JPG或PDF格式的地籍图，输出分辨率在300dpi以上</w:t>
            </w:r>
          </w:p>
        </w:tc>
      </w:tr>
      <w:tr w14:paraId="3A9CA18E">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087FAED">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32</w:t>
            </w:r>
          </w:p>
        </w:tc>
        <w:tc>
          <w:tcPr>
            <w:tcW w:w="929" w:type="pct"/>
            <w:tcBorders>
              <w:top w:val="single" w:color="auto" w:sz="4" w:space="0"/>
              <w:left w:val="nil"/>
              <w:bottom w:val="single" w:color="auto" w:sz="4" w:space="0"/>
              <w:right w:val="single" w:color="auto" w:sz="4" w:space="0"/>
            </w:tcBorders>
            <w:shd w:val="clear" w:color="auto" w:fill="FFFFFF"/>
            <w:vAlign w:val="center"/>
          </w:tcPr>
          <w:p w14:paraId="1BB22C58">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1D5BE212">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权属调查</w:t>
            </w:r>
            <w:r>
              <w:rPr>
                <w:rFonts w:cs="宋体" w:asciiTheme="minorEastAsia" w:hAnsiTheme="minorEastAsia" w:eastAsiaTheme="minorEastAsia"/>
                <w:color w:val="000000"/>
                <w:kern w:val="0"/>
                <w:sz w:val="21"/>
                <w:szCs w:val="21"/>
              </w:rPr>
              <w:t>-宅基地地籍图编制-地籍图生成-宅基地地籍与地籍图关联浏览</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68FC858F">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将宅基地地籍数据与全市地籍图进行关联，通过图幅号、使用权宗地号、不动产单元号等进行查询</w:t>
            </w:r>
          </w:p>
        </w:tc>
      </w:tr>
      <w:tr w14:paraId="5A925411">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5EE9FED">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33</w:t>
            </w:r>
          </w:p>
        </w:tc>
        <w:tc>
          <w:tcPr>
            <w:tcW w:w="929" w:type="pct"/>
            <w:tcBorders>
              <w:top w:val="single" w:color="auto" w:sz="4" w:space="0"/>
              <w:left w:val="nil"/>
              <w:bottom w:val="single" w:color="auto" w:sz="4" w:space="0"/>
              <w:right w:val="single" w:color="auto" w:sz="4" w:space="0"/>
            </w:tcBorders>
            <w:shd w:val="clear" w:color="auto" w:fill="FFFFFF"/>
            <w:vAlign w:val="center"/>
          </w:tcPr>
          <w:p w14:paraId="4E7A0AA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3AF8AF45">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现状调查</w:t>
            </w:r>
            <w:r>
              <w:rPr>
                <w:rFonts w:cs="宋体" w:asciiTheme="minorEastAsia" w:hAnsiTheme="minorEastAsia" w:eastAsiaTheme="minorEastAsia"/>
                <w:color w:val="000000"/>
                <w:kern w:val="0"/>
                <w:sz w:val="21"/>
                <w:szCs w:val="21"/>
              </w:rPr>
              <w:t>-自然资源监测专项调查-水资源专</w:t>
            </w:r>
            <w:r>
              <w:rPr>
                <w:rFonts w:hint="eastAsia" w:cs="宋体" w:asciiTheme="minorEastAsia" w:hAnsiTheme="minorEastAsia" w:eastAsiaTheme="minorEastAsia"/>
                <w:color w:val="000000"/>
                <w:kern w:val="0"/>
                <w:sz w:val="21"/>
                <w:szCs w:val="21"/>
              </w:rPr>
              <w:t>项调查流程</w:t>
            </w:r>
            <w:r>
              <w:rPr>
                <w:rFonts w:cs="宋体" w:asciiTheme="minorEastAsia" w:hAnsiTheme="minorEastAsia" w:eastAsiaTheme="minorEastAsia"/>
                <w:color w:val="000000"/>
                <w:kern w:val="0"/>
                <w:sz w:val="21"/>
                <w:szCs w:val="21"/>
              </w:rPr>
              <w:t>-水域空间数据智能比对</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7168BFC8">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结合最新的影像与年度变更底板，提取全域范围内的水面信息，作为水资源调查的起始范围。</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1.数据输入</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由测绘院依据遥感影像进行疑似水面范围提取，并完成数据标准化后上传至系统中</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2.水体范围提取</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将上传的调查范围和年度变更数据进行比对，将年度变更数据与疑似范围数据存在差异的部分作为待调查范围立案，供后续监测核实</w:t>
            </w:r>
          </w:p>
        </w:tc>
      </w:tr>
      <w:tr w14:paraId="1AEE38C7">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AAFE61F">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34</w:t>
            </w:r>
          </w:p>
        </w:tc>
        <w:tc>
          <w:tcPr>
            <w:tcW w:w="929" w:type="pct"/>
            <w:tcBorders>
              <w:top w:val="single" w:color="auto" w:sz="4" w:space="0"/>
              <w:left w:val="nil"/>
              <w:bottom w:val="single" w:color="auto" w:sz="4" w:space="0"/>
              <w:right w:val="single" w:color="auto" w:sz="4" w:space="0"/>
            </w:tcBorders>
            <w:shd w:val="clear" w:color="auto" w:fill="FFFFFF"/>
            <w:vAlign w:val="center"/>
          </w:tcPr>
          <w:p w14:paraId="091BF3DB">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1066BBB4">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现状调查</w:t>
            </w:r>
            <w:r>
              <w:rPr>
                <w:rFonts w:cs="宋体" w:asciiTheme="minorEastAsia" w:hAnsiTheme="minorEastAsia" w:eastAsiaTheme="minorEastAsia"/>
                <w:color w:val="000000"/>
                <w:kern w:val="0"/>
                <w:sz w:val="21"/>
                <w:szCs w:val="21"/>
              </w:rPr>
              <w:t>-自然资源监测专项调查-水资源专项调查流程-水域信息举证调查</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503BA322">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通过内外业协同调查与审核系统，实现水面图斑的精准核实、边界修正与数据质检，并利用冲突箱机制解决空间重叠问题，最终生成规范化的水资源调查成果。</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1.外业信息调查</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与外业</w:t>
            </w:r>
            <w:r>
              <w:rPr>
                <w:rFonts w:cs="宋体" w:asciiTheme="minorEastAsia" w:hAnsiTheme="minorEastAsia" w:eastAsiaTheme="minorEastAsia"/>
                <w:color w:val="000000"/>
                <w:kern w:val="0"/>
                <w:sz w:val="21"/>
                <w:szCs w:val="21"/>
              </w:rPr>
              <w:t>APP及逆行数据对接，收取外业调查形成的实地属性信息和举证照片，辅助用户开展审核工作。</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2.内业审核</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系统提供成果展示页面，将遥感影像、调查属性、调查边界与调查照片做同屏展示，由技术人员针对外业调查成果进行核实，确保属性、图形信息的一致性和正确性</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3.图形冲突处理</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对于外业批次不同造成的调查冲突情况设立冲突箱，对冲突箱内数据进行复测控制，保障数据正确性</w:t>
            </w:r>
          </w:p>
        </w:tc>
      </w:tr>
      <w:tr w14:paraId="757C6FE8">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004F393">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35</w:t>
            </w:r>
          </w:p>
        </w:tc>
        <w:tc>
          <w:tcPr>
            <w:tcW w:w="929" w:type="pct"/>
            <w:tcBorders>
              <w:top w:val="single" w:color="auto" w:sz="4" w:space="0"/>
              <w:left w:val="nil"/>
              <w:bottom w:val="single" w:color="auto" w:sz="4" w:space="0"/>
              <w:right w:val="single" w:color="auto" w:sz="4" w:space="0"/>
            </w:tcBorders>
            <w:shd w:val="clear" w:color="auto" w:fill="FFFFFF"/>
            <w:vAlign w:val="center"/>
          </w:tcPr>
          <w:p w14:paraId="19011A9B">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5A667BBB">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现状调查</w:t>
            </w:r>
            <w:r>
              <w:rPr>
                <w:rFonts w:cs="宋体" w:asciiTheme="minorEastAsia" w:hAnsiTheme="minorEastAsia" w:eastAsiaTheme="minorEastAsia"/>
                <w:color w:val="000000"/>
                <w:kern w:val="0"/>
                <w:sz w:val="21"/>
                <w:szCs w:val="21"/>
              </w:rPr>
              <w:t>-自然资源监测专项调查-水资源专项调查流程-成果数据转换与上报</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28A5A374">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将调查完成的成果数据进行坐标转换，由上海坐标转换形成国家</w:t>
            </w:r>
            <w:r>
              <w:rPr>
                <w:rFonts w:cs="宋体" w:asciiTheme="minorEastAsia" w:hAnsiTheme="minorEastAsia" w:eastAsiaTheme="minorEastAsia"/>
                <w:color w:val="000000"/>
                <w:kern w:val="0"/>
                <w:sz w:val="21"/>
                <w:szCs w:val="21"/>
              </w:rPr>
              <w:t>2000坐标，系统将相关数据压缩构建标准DB格式数据，以便于提交报部</w:t>
            </w:r>
          </w:p>
        </w:tc>
      </w:tr>
      <w:tr w14:paraId="5288546A">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1DDFE28">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36</w:t>
            </w:r>
          </w:p>
        </w:tc>
        <w:tc>
          <w:tcPr>
            <w:tcW w:w="929" w:type="pct"/>
            <w:tcBorders>
              <w:top w:val="single" w:color="auto" w:sz="4" w:space="0"/>
              <w:left w:val="nil"/>
              <w:bottom w:val="single" w:color="auto" w:sz="4" w:space="0"/>
              <w:right w:val="single" w:color="auto" w:sz="4" w:space="0"/>
            </w:tcBorders>
            <w:shd w:val="clear" w:color="auto" w:fill="FFFFFF"/>
            <w:vAlign w:val="center"/>
          </w:tcPr>
          <w:p w14:paraId="7C6C2D8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5D1A9A0F">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现状调查</w:t>
            </w:r>
            <w:r>
              <w:rPr>
                <w:rFonts w:cs="宋体" w:asciiTheme="minorEastAsia" w:hAnsiTheme="minorEastAsia" w:eastAsiaTheme="minorEastAsia"/>
                <w:color w:val="000000"/>
                <w:kern w:val="0"/>
                <w:sz w:val="21"/>
                <w:szCs w:val="21"/>
              </w:rPr>
              <w:t>-自然资源监测专项调查-水资源专项调查流程-水资源基础数据库建设</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60951660">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设计水资源基础数据库架构，构建标准化、可扩展的水资源管理体系，涵盖空间数据与属性数据等</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1.数据库架构设计</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按照国家标准，构建标准化、可扩展的水资源数据管理体系，进而支撑其他业务应用，数据字段包括</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空间范围：水面范围</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属性信息：现状地类、水体深度</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元数据：数据来源、更新时间、精度说明</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2.数据质量控制</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通过线上</w:t>
            </w:r>
            <w:r>
              <w:rPr>
                <w:rFonts w:cs="宋体" w:asciiTheme="minorEastAsia" w:hAnsiTheme="minorEastAsia" w:eastAsiaTheme="minorEastAsia"/>
                <w:color w:val="000000"/>
                <w:kern w:val="0"/>
                <w:sz w:val="21"/>
                <w:szCs w:val="21"/>
              </w:rPr>
              <w:t>+线下的方式进行数据质量控制，质</w:t>
            </w:r>
            <w:r>
              <w:rPr>
                <w:rFonts w:hint="eastAsia" w:cs="宋体" w:asciiTheme="minorEastAsia" w:hAnsiTheme="minorEastAsia" w:eastAsiaTheme="minorEastAsia"/>
                <w:color w:val="000000"/>
                <w:kern w:val="0"/>
                <w:sz w:val="21"/>
                <w:szCs w:val="21"/>
              </w:rPr>
              <w:t>量控制规则如下：</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图形质量问题：图形为面要素，无尖角、局部狭长、细小面、重叠等拓扑问题，无环反向、未闭合等几何问题</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属性质量问题：现状地类及地类标注在上海字典表中，现状地类必须为水体相关地类，水深大于零</w:t>
            </w:r>
          </w:p>
        </w:tc>
      </w:tr>
      <w:tr w14:paraId="30FE5955">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31B43CB">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37</w:t>
            </w:r>
          </w:p>
        </w:tc>
        <w:tc>
          <w:tcPr>
            <w:tcW w:w="929" w:type="pct"/>
            <w:tcBorders>
              <w:top w:val="single" w:color="auto" w:sz="4" w:space="0"/>
              <w:left w:val="nil"/>
              <w:bottom w:val="single" w:color="auto" w:sz="4" w:space="0"/>
              <w:right w:val="single" w:color="auto" w:sz="4" w:space="0"/>
            </w:tcBorders>
            <w:shd w:val="clear" w:color="auto" w:fill="FFFFFF"/>
            <w:vAlign w:val="center"/>
          </w:tcPr>
          <w:p w14:paraId="5804A20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44C9CEB9">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现状调查</w:t>
            </w:r>
            <w:r>
              <w:rPr>
                <w:rFonts w:cs="宋体" w:asciiTheme="minorEastAsia" w:hAnsiTheme="minorEastAsia" w:eastAsiaTheme="minorEastAsia"/>
                <w:color w:val="000000"/>
                <w:kern w:val="0"/>
                <w:sz w:val="21"/>
                <w:szCs w:val="21"/>
              </w:rPr>
              <w:t>-自然资源监测专项调查-林草湿荒专项调查流程-林草湿地地类变化信息获取</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0D0C6EAB">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汇总多源数据（季度监测数据、审批管理数据）等、通过系统提取地类变化为林草湿荒的范围，作为待核实范围下发</w:t>
            </w:r>
          </w:p>
        </w:tc>
      </w:tr>
      <w:tr w14:paraId="39B35614">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8B5E919">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38</w:t>
            </w:r>
          </w:p>
        </w:tc>
        <w:tc>
          <w:tcPr>
            <w:tcW w:w="929" w:type="pct"/>
            <w:tcBorders>
              <w:top w:val="single" w:color="auto" w:sz="4" w:space="0"/>
              <w:left w:val="nil"/>
              <w:bottom w:val="single" w:color="auto" w:sz="4" w:space="0"/>
              <w:right w:val="single" w:color="auto" w:sz="4" w:space="0"/>
            </w:tcBorders>
            <w:shd w:val="clear" w:color="auto" w:fill="FFFFFF"/>
            <w:vAlign w:val="center"/>
          </w:tcPr>
          <w:p w14:paraId="65BC280A">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7E58FE2A">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现状调查</w:t>
            </w:r>
            <w:r>
              <w:rPr>
                <w:rFonts w:cs="宋体" w:asciiTheme="minorEastAsia" w:hAnsiTheme="minorEastAsia" w:eastAsiaTheme="minorEastAsia"/>
                <w:color w:val="000000"/>
                <w:kern w:val="0"/>
                <w:sz w:val="21"/>
                <w:szCs w:val="21"/>
              </w:rPr>
              <w:t>-自然资源监测专项调查-林草湿荒专项调查流程-管理范围比对划分</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371B9F19">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将提取出的林草湿荒范围与绿容局管理范围进行空间比对分析，形成管辖范围内</w:t>
            </w:r>
            <w:r>
              <w:rPr>
                <w:rFonts w:cs="宋体" w:asciiTheme="minorEastAsia" w:hAnsiTheme="minorEastAsia" w:eastAsiaTheme="minorEastAsia"/>
                <w:color w:val="000000"/>
                <w:kern w:val="0"/>
                <w:sz w:val="21"/>
                <w:szCs w:val="21"/>
              </w:rPr>
              <w:t>/管辖范围外两组空间数据，做好案件分件</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1.管理范围比对</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将变化图斑和绿容局管理范围进行空间叠加分析，并标注疑似调查范围是否处于管辖范围内。如横跨管辖区域的图斑，进行拆斑处理。</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2.案件分件</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将涉及管辖范围内外不同的案件进行分件，管辖范围内的案件通过共享接口提供至绿容局，管辖范围外的案件下发至区局开展外业调查核实工作。</w:t>
            </w:r>
          </w:p>
        </w:tc>
      </w:tr>
      <w:tr w14:paraId="5728FBC9">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FFA087F">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39</w:t>
            </w:r>
          </w:p>
        </w:tc>
        <w:tc>
          <w:tcPr>
            <w:tcW w:w="929" w:type="pct"/>
            <w:tcBorders>
              <w:top w:val="single" w:color="auto" w:sz="4" w:space="0"/>
              <w:left w:val="nil"/>
              <w:bottom w:val="single" w:color="auto" w:sz="4" w:space="0"/>
              <w:right w:val="single" w:color="auto" w:sz="4" w:space="0"/>
            </w:tcBorders>
            <w:shd w:val="clear" w:color="auto" w:fill="FFFFFF"/>
            <w:vAlign w:val="center"/>
          </w:tcPr>
          <w:p w14:paraId="2624B1B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68C1F764">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现状调查</w:t>
            </w:r>
            <w:r>
              <w:rPr>
                <w:rFonts w:cs="宋体" w:asciiTheme="minorEastAsia" w:hAnsiTheme="minorEastAsia" w:eastAsiaTheme="minorEastAsia"/>
                <w:color w:val="000000"/>
                <w:kern w:val="0"/>
                <w:sz w:val="21"/>
                <w:szCs w:val="21"/>
              </w:rPr>
              <w:t>-自然资源监测专项调查-林草湿荒专项调查流程-管理范围内变化信息接入</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743CAF96">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建设共享接口，读取绿容局调查数据，进行成果数据归集入库，并与区局已调查成果进行叠合分析，找出差异位置，以便于进行协同审定分析</w:t>
            </w:r>
          </w:p>
        </w:tc>
      </w:tr>
      <w:tr w14:paraId="1DEFE428">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A50363E">
            <w:pPr>
              <w:widowControl/>
              <w:spacing w:line="240" w:lineRule="auto"/>
              <w:ind w:firstLine="0" w:firstLineChars="0"/>
              <w:jc w:val="center"/>
              <w:rPr>
                <w:rFonts w:ascii="Tahoma" w:hAnsi="Tahoma" w:cs="Tahoma"/>
                <w:color w:val="000000"/>
                <w:kern w:val="0"/>
                <w:sz w:val="22"/>
                <w:szCs w:val="22"/>
              </w:rPr>
            </w:pPr>
            <w:r>
              <w:rPr>
                <w:rFonts w:hint="eastAsia"/>
                <w:color w:val="000000"/>
                <w:sz w:val="22"/>
                <w:szCs w:val="22"/>
              </w:rPr>
              <w:t>40</w:t>
            </w:r>
          </w:p>
        </w:tc>
        <w:tc>
          <w:tcPr>
            <w:tcW w:w="929" w:type="pct"/>
            <w:tcBorders>
              <w:top w:val="single" w:color="auto" w:sz="4" w:space="0"/>
              <w:left w:val="nil"/>
              <w:bottom w:val="single" w:color="auto" w:sz="4" w:space="0"/>
              <w:right w:val="single" w:color="auto" w:sz="4" w:space="0"/>
            </w:tcBorders>
            <w:shd w:val="clear" w:color="auto" w:fill="FFFFFF"/>
            <w:vAlign w:val="center"/>
          </w:tcPr>
          <w:p w14:paraId="523DDBC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2A24AF9E">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现状调查</w:t>
            </w:r>
            <w:r>
              <w:rPr>
                <w:rFonts w:cs="宋体" w:asciiTheme="minorEastAsia" w:hAnsiTheme="minorEastAsia" w:eastAsiaTheme="minorEastAsia"/>
                <w:color w:val="000000"/>
                <w:kern w:val="0"/>
                <w:sz w:val="21"/>
                <w:szCs w:val="21"/>
              </w:rPr>
              <w:t>-自然资源监测专项调查-林草湿荒专项调查流程-管理范围外变化信息调查</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1F7F07AA">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通过外业调查</w:t>
            </w:r>
            <w:r>
              <w:rPr>
                <w:rFonts w:cs="宋体" w:asciiTheme="minorEastAsia" w:hAnsiTheme="minorEastAsia" w:eastAsiaTheme="minorEastAsia"/>
                <w:color w:val="000000"/>
                <w:kern w:val="0"/>
                <w:sz w:val="21"/>
                <w:szCs w:val="21"/>
              </w:rPr>
              <w:t>+内业调查两者结合的模式，由区局展开林草湿荒图斑全要素调查工作，形成调查属性、调查图形与举证照片</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1.外业调查</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对接外业</w:t>
            </w:r>
            <w:r>
              <w:rPr>
                <w:rFonts w:cs="宋体" w:asciiTheme="minorEastAsia" w:hAnsiTheme="minorEastAsia" w:eastAsiaTheme="minorEastAsia"/>
                <w:color w:val="000000"/>
                <w:kern w:val="0"/>
                <w:sz w:val="21"/>
                <w:szCs w:val="21"/>
              </w:rPr>
              <w:t>APP，收取现场实地举证信息，包括调查地类信息、变化原因与说明、举证照片信息等，供内业审核使用</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2.内业审核</w:t>
            </w:r>
          </w:p>
          <w:p w14:paraId="5C7209D4">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对外业调查成果进行初步审核，确认调查成果正确性，地类与影像一致性，现场照片完整性，并补充相关证明材料</w:t>
            </w:r>
          </w:p>
        </w:tc>
      </w:tr>
      <w:tr w14:paraId="5B39C673">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71099B7">
            <w:pPr>
              <w:widowControl/>
              <w:spacing w:line="240" w:lineRule="auto"/>
              <w:ind w:firstLine="0" w:firstLineChars="0"/>
              <w:jc w:val="center"/>
              <w:rPr>
                <w:rFonts w:ascii="Tahoma" w:hAnsi="Tahoma" w:cs="Tahoma"/>
                <w:color w:val="000000"/>
                <w:kern w:val="0"/>
                <w:sz w:val="22"/>
                <w:szCs w:val="22"/>
              </w:rPr>
            </w:pPr>
            <w:r>
              <w:rPr>
                <w:color w:val="000000"/>
                <w:sz w:val="22"/>
                <w:szCs w:val="22"/>
              </w:rPr>
              <w:t>4</w:t>
            </w:r>
            <w:r>
              <w:rPr>
                <w:rFonts w:hint="eastAsia"/>
                <w:color w:val="000000"/>
                <w:sz w:val="22"/>
                <w:szCs w:val="22"/>
              </w:rPr>
              <w:t>1</w:t>
            </w:r>
          </w:p>
        </w:tc>
        <w:tc>
          <w:tcPr>
            <w:tcW w:w="929" w:type="pct"/>
            <w:tcBorders>
              <w:top w:val="single" w:color="auto" w:sz="4" w:space="0"/>
              <w:left w:val="nil"/>
              <w:bottom w:val="single" w:color="auto" w:sz="4" w:space="0"/>
              <w:right w:val="single" w:color="auto" w:sz="4" w:space="0"/>
            </w:tcBorders>
            <w:shd w:val="clear" w:color="auto" w:fill="FFFFFF"/>
            <w:vAlign w:val="center"/>
          </w:tcPr>
          <w:p w14:paraId="72E5CA62">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749207B0">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现状调查</w:t>
            </w:r>
            <w:r>
              <w:rPr>
                <w:rFonts w:cs="宋体" w:asciiTheme="minorEastAsia" w:hAnsiTheme="minorEastAsia" w:eastAsiaTheme="minorEastAsia"/>
                <w:color w:val="000000"/>
                <w:kern w:val="0"/>
                <w:sz w:val="21"/>
                <w:szCs w:val="21"/>
              </w:rPr>
              <w:t>-自然资源监测专项调查-林草湿荒</w:t>
            </w:r>
            <w:r>
              <w:rPr>
                <w:rFonts w:hint="eastAsia" w:cs="宋体" w:asciiTheme="minorEastAsia" w:hAnsiTheme="minorEastAsia" w:eastAsiaTheme="minorEastAsia"/>
                <w:color w:val="000000"/>
                <w:kern w:val="0"/>
                <w:sz w:val="21"/>
                <w:szCs w:val="21"/>
              </w:rPr>
              <w:t>专项调查流程</w:t>
            </w:r>
            <w:r>
              <w:rPr>
                <w:rFonts w:cs="宋体" w:asciiTheme="minorEastAsia" w:hAnsiTheme="minorEastAsia" w:eastAsiaTheme="minorEastAsia"/>
                <w:color w:val="000000"/>
                <w:kern w:val="0"/>
                <w:sz w:val="21"/>
                <w:szCs w:val="21"/>
              </w:rPr>
              <w:t>-调查数据协同审定与更新汇交</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213DCEF8">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将管理范围内外同空间位置调查结论不同的图斑独立立案，由各方技术人员进行协同审定，形成唯一调查成果，同步开展数据汇总提交工作，通过系统将向本次调查全量数据进行打包下载，压入调查属性、图形与照片信息，形成成果</w:t>
            </w:r>
            <w:r>
              <w:rPr>
                <w:rFonts w:cs="宋体" w:asciiTheme="minorEastAsia" w:hAnsiTheme="minorEastAsia" w:eastAsiaTheme="minorEastAsia"/>
                <w:color w:val="000000"/>
                <w:kern w:val="0"/>
                <w:sz w:val="21"/>
                <w:szCs w:val="21"/>
              </w:rPr>
              <w:t>DB数据。</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1.差异数据提取</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将管理范围内的调查数据与管理范围外的调查数据进行叠加分析，对于同一空间位置存在调查结论差异的，进行独立立案</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2.协同审定</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由绿容局和规资局双方技术人员进行案件会审，给出同一审核意见，对于举证材料不足的，应发回外业重审</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3.数据报部</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系统提供大文件下载管理功能，包括按区下载，按镇下载，按调查时间下载等功能，保障数据弹性报部</w:t>
            </w:r>
          </w:p>
        </w:tc>
      </w:tr>
      <w:tr w14:paraId="158C4798">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27F191F">
            <w:pPr>
              <w:widowControl/>
              <w:spacing w:line="240" w:lineRule="auto"/>
              <w:ind w:firstLine="0" w:firstLineChars="0"/>
              <w:jc w:val="center"/>
              <w:rPr>
                <w:rFonts w:ascii="Tahoma" w:hAnsi="Tahoma" w:cs="Tahoma"/>
                <w:color w:val="000000"/>
                <w:kern w:val="0"/>
                <w:sz w:val="22"/>
                <w:szCs w:val="22"/>
              </w:rPr>
            </w:pPr>
            <w:r>
              <w:rPr>
                <w:color w:val="000000"/>
                <w:sz w:val="22"/>
                <w:szCs w:val="22"/>
              </w:rPr>
              <w:t>4</w:t>
            </w:r>
            <w:r>
              <w:rPr>
                <w:rFonts w:hint="eastAsia"/>
                <w:color w:val="000000"/>
                <w:sz w:val="22"/>
                <w:szCs w:val="22"/>
              </w:rPr>
              <w:t>2</w:t>
            </w:r>
          </w:p>
        </w:tc>
        <w:tc>
          <w:tcPr>
            <w:tcW w:w="929" w:type="pct"/>
            <w:tcBorders>
              <w:top w:val="single" w:color="auto" w:sz="4" w:space="0"/>
              <w:left w:val="nil"/>
              <w:bottom w:val="single" w:color="auto" w:sz="4" w:space="0"/>
              <w:right w:val="single" w:color="auto" w:sz="4" w:space="0"/>
            </w:tcBorders>
            <w:shd w:val="clear" w:color="auto" w:fill="FFFFFF"/>
            <w:vAlign w:val="center"/>
          </w:tcPr>
          <w:p w14:paraId="70F390F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4B0CC08C">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现状调查</w:t>
            </w:r>
            <w:r>
              <w:rPr>
                <w:rFonts w:cs="宋体" w:asciiTheme="minorEastAsia" w:hAnsiTheme="minorEastAsia" w:eastAsiaTheme="minorEastAsia"/>
                <w:color w:val="000000"/>
                <w:kern w:val="0"/>
                <w:sz w:val="21"/>
                <w:szCs w:val="21"/>
              </w:rPr>
              <w:t>-自然资源监测专项调查-城市国土空间监测专项调查流程-监测范围划定</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4343A7E1">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分析上年度年度变更成果，提取城镇村范围内疑似国土空间地类图斑，转换为待调查案件</w:t>
            </w:r>
          </w:p>
        </w:tc>
      </w:tr>
      <w:tr w14:paraId="1FFD2545">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1A3586D">
            <w:pPr>
              <w:widowControl/>
              <w:spacing w:line="240" w:lineRule="auto"/>
              <w:ind w:firstLine="0" w:firstLineChars="0"/>
              <w:jc w:val="center"/>
              <w:rPr>
                <w:rFonts w:ascii="Tahoma" w:hAnsi="Tahoma" w:cs="Tahoma"/>
                <w:color w:val="000000"/>
                <w:kern w:val="0"/>
                <w:sz w:val="22"/>
                <w:szCs w:val="22"/>
              </w:rPr>
            </w:pPr>
            <w:r>
              <w:rPr>
                <w:color w:val="000000"/>
                <w:sz w:val="22"/>
                <w:szCs w:val="22"/>
              </w:rPr>
              <w:t>4</w:t>
            </w:r>
            <w:r>
              <w:rPr>
                <w:rFonts w:hint="eastAsia"/>
                <w:color w:val="000000"/>
                <w:sz w:val="22"/>
                <w:szCs w:val="22"/>
              </w:rPr>
              <w:t>3</w:t>
            </w:r>
          </w:p>
        </w:tc>
        <w:tc>
          <w:tcPr>
            <w:tcW w:w="929" w:type="pct"/>
            <w:tcBorders>
              <w:top w:val="single" w:color="auto" w:sz="4" w:space="0"/>
              <w:left w:val="nil"/>
              <w:bottom w:val="single" w:color="auto" w:sz="4" w:space="0"/>
              <w:right w:val="single" w:color="auto" w:sz="4" w:space="0"/>
            </w:tcBorders>
            <w:shd w:val="clear" w:color="auto" w:fill="FFFFFF"/>
            <w:vAlign w:val="center"/>
          </w:tcPr>
          <w:p w14:paraId="32842F0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140C184D">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现状调查</w:t>
            </w:r>
            <w:r>
              <w:rPr>
                <w:rFonts w:cs="宋体" w:asciiTheme="minorEastAsia" w:hAnsiTheme="minorEastAsia" w:eastAsiaTheme="minorEastAsia"/>
                <w:color w:val="000000"/>
                <w:kern w:val="0"/>
                <w:sz w:val="21"/>
                <w:szCs w:val="21"/>
              </w:rPr>
              <w:t>-自然资源监测专项调查-城市国土空间监测专项调查流程-监测内容采集</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2F0CFAC5">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对监测范围内图斑进行数据采集工作，将监测地类进一步细化为二级监测要素。包括监测空间位置、监测占地范围、监测面积、监测属性等信息。获取实地举证照片并回传至系统中。</w:t>
            </w:r>
          </w:p>
        </w:tc>
      </w:tr>
      <w:tr w14:paraId="170A7B30">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D8B8967">
            <w:pPr>
              <w:widowControl/>
              <w:spacing w:line="240" w:lineRule="auto"/>
              <w:ind w:firstLine="0" w:firstLineChars="0"/>
              <w:jc w:val="center"/>
              <w:rPr>
                <w:rFonts w:ascii="Tahoma" w:hAnsi="Tahoma" w:cs="Tahoma"/>
                <w:color w:val="000000"/>
                <w:kern w:val="0"/>
                <w:sz w:val="22"/>
                <w:szCs w:val="22"/>
              </w:rPr>
            </w:pPr>
            <w:r>
              <w:rPr>
                <w:color w:val="000000"/>
                <w:sz w:val="22"/>
                <w:szCs w:val="22"/>
              </w:rPr>
              <w:t>4</w:t>
            </w:r>
            <w:r>
              <w:rPr>
                <w:rFonts w:hint="eastAsia"/>
                <w:color w:val="000000"/>
                <w:sz w:val="22"/>
                <w:szCs w:val="22"/>
              </w:rPr>
              <w:t>4</w:t>
            </w:r>
          </w:p>
        </w:tc>
        <w:tc>
          <w:tcPr>
            <w:tcW w:w="929" w:type="pct"/>
            <w:tcBorders>
              <w:top w:val="single" w:color="auto" w:sz="4" w:space="0"/>
              <w:left w:val="nil"/>
              <w:bottom w:val="single" w:color="auto" w:sz="4" w:space="0"/>
              <w:right w:val="single" w:color="auto" w:sz="4" w:space="0"/>
            </w:tcBorders>
            <w:shd w:val="clear" w:color="auto" w:fill="FFFFFF"/>
            <w:vAlign w:val="center"/>
          </w:tcPr>
          <w:p w14:paraId="7D231D3D">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4725B1C8">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现状调查</w:t>
            </w:r>
            <w:r>
              <w:rPr>
                <w:rFonts w:cs="宋体" w:asciiTheme="minorEastAsia" w:hAnsiTheme="minorEastAsia" w:eastAsiaTheme="minorEastAsia"/>
                <w:color w:val="000000"/>
                <w:kern w:val="0"/>
                <w:sz w:val="21"/>
                <w:szCs w:val="21"/>
              </w:rPr>
              <w:t>-自然资源监测专项调查-城市国土空间监测专项调查流程-监测成果质量控制</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0C2232FB">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开展“两级检查，一级验收”，通过成果初审、成果复审、成果验收三个环节保障监测成果质量</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1.成果初审</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对调查成果开展初级审核工作，结合遥感影像与调查界线，评估调查属性正确性与完整性，明确举证照片是否符合调查要求，存在问题的予以退回重新举证。</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2.成果复审</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对初审成果开展复审工作，审核要点与初审保持一致，同时检验初审意见填写准确性与适当性，并对外业调查的质量开展绩效评价，形成评估结果。</w:t>
            </w:r>
            <w:r>
              <w:rPr>
                <w:rFonts w:cs="宋体" w:asciiTheme="minorEastAsia" w:hAnsiTheme="minorEastAsia" w:eastAsiaTheme="minorEastAsia"/>
                <w:color w:val="000000"/>
                <w:kern w:val="0"/>
                <w:sz w:val="21"/>
                <w:szCs w:val="21"/>
              </w:rPr>
              <w:br w:type="textWrapping"/>
            </w:r>
            <w:r>
              <w:rPr>
                <w:rFonts w:cs="宋体" w:asciiTheme="minorEastAsia" w:hAnsiTheme="minorEastAsia" w:eastAsiaTheme="minorEastAsia"/>
                <w:color w:val="000000"/>
                <w:kern w:val="0"/>
                <w:sz w:val="21"/>
                <w:szCs w:val="21"/>
              </w:rPr>
              <w:t>3.成果验收</w:t>
            </w:r>
            <w:r>
              <w:rPr>
                <w:rFonts w:cs="宋体" w:asciiTheme="minorEastAsia" w:hAnsiTheme="minorEastAsia" w:eastAsiaTheme="minorEastAsia"/>
                <w:color w:val="000000"/>
                <w:kern w:val="0"/>
                <w:sz w:val="21"/>
                <w:szCs w:val="21"/>
              </w:rPr>
              <w:br w:type="textWrapping"/>
            </w:r>
            <w:r>
              <w:rPr>
                <w:rFonts w:hint="eastAsia" w:cs="宋体" w:asciiTheme="minorEastAsia" w:hAnsiTheme="minorEastAsia" w:eastAsiaTheme="minorEastAsia"/>
                <w:color w:val="000000"/>
                <w:kern w:val="0"/>
                <w:sz w:val="21"/>
                <w:szCs w:val="21"/>
              </w:rPr>
              <w:t>结合成果初审，复审意见，给出调查成果验收结论，由市一级技术人员统一完成，对全部调查成果的完整性，一致性进行最终核验。确保调查成果与实际情况一致，完成质量管理目标。</w:t>
            </w:r>
          </w:p>
        </w:tc>
      </w:tr>
      <w:tr w14:paraId="26D053AE">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824962A">
            <w:pPr>
              <w:widowControl/>
              <w:spacing w:line="240" w:lineRule="auto"/>
              <w:ind w:firstLine="0" w:firstLineChars="0"/>
              <w:jc w:val="center"/>
              <w:rPr>
                <w:rFonts w:ascii="Tahoma" w:hAnsi="Tahoma" w:cs="Tahoma"/>
                <w:color w:val="000000"/>
                <w:kern w:val="0"/>
                <w:sz w:val="22"/>
                <w:szCs w:val="22"/>
              </w:rPr>
            </w:pPr>
            <w:r>
              <w:rPr>
                <w:color w:val="000000"/>
                <w:sz w:val="22"/>
                <w:szCs w:val="22"/>
              </w:rPr>
              <w:t>4</w:t>
            </w:r>
            <w:r>
              <w:rPr>
                <w:rFonts w:hint="eastAsia"/>
                <w:color w:val="000000"/>
                <w:sz w:val="22"/>
                <w:szCs w:val="22"/>
              </w:rPr>
              <w:t>5</w:t>
            </w:r>
          </w:p>
        </w:tc>
        <w:tc>
          <w:tcPr>
            <w:tcW w:w="929" w:type="pct"/>
            <w:tcBorders>
              <w:top w:val="single" w:color="auto" w:sz="4" w:space="0"/>
              <w:left w:val="nil"/>
              <w:bottom w:val="single" w:color="auto" w:sz="4" w:space="0"/>
              <w:right w:val="single" w:color="auto" w:sz="4" w:space="0"/>
            </w:tcBorders>
            <w:shd w:val="clear" w:color="auto" w:fill="FFFFFF"/>
            <w:vAlign w:val="center"/>
          </w:tcPr>
          <w:p w14:paraId="7EA185C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空间底板大系统-权属调查相关子模块</w:t>
            </w:r>
          </w:p>
        </w:tc>
        <w:tc>
          <w:tcPr>
            <w:tcW w:w="1838" w:type="pct"/>
            <w:tcBorders>
              <w:top w:val="single" w:color="auto" w:sz="4" w:space="0"/>
              <w:left w:val="nil"/>
              <w:bottom w:val="single" w:color="auto" w:sz="4" w:space="0"/>
              <w:right w:val="single" w:color="auto" w:sz="4" w:space="0"/>
            </w:tcBorders>
            <w:shd w:val="clear" w:color="auto" w:fill="FFFFFF"/>
            <w:vAlign w:val="center"/>
          </w:tcPr>
          <w:p w14:paraId="1596DA53">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现状调查</w:t>
            </w:r>
            <w:r>
              <w:rPr>
                <w:rFonts w:cs="宋体" w:asciiTheme="minorEastAsia" w:hAnsiTheme="minorEastAsia" w:eastAsiaTheme="minorEastAsia"/>
                <w:color w:val="000000"/>
                <w:kern w:val="0"/>
                <w:sz w:val="21"/>
                <w:szCs w:val="21"/>
              </w:rPr>
              <w:t>-自然资源监测专项调查-城市国土空间监测专项调查流程-监测成果应用</w:t>
            </w:r>
          </w:p>
        </w:tc>
        <w:tc>
          <w:tcPr>
            <w:tcW w:w="1837" w:type="pct"/>
            <w:tcBorders>
              <w:top w:val="single" w:color="auto" w:sz="4" w:space="0"/>
              <w:left w:val="nil"/>
              <w:bottom w:val="single" w:color="auto" w:sz="4" w:space="0"/>
              <w:right w:val="single" w:color="auto" w:sz="4" w:space="0"/>
            </w:tcBorders>
            <w:shd w:val="clear" w:color="auto" w:fill="FFFFFF"/>
            <w:vAlign w:val="center"/>
          </w:tcPr>
          <w:p w14:paraId="57425554">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汇总监测成果，自动生成城市国土空间监测专题报告，评估上海市全域城市国土空间建设情况。报告内容包括：上海市城市国土空间总面积，上海市城市国土空间面积相较于上年度变化情况、二级监测要素分布情况</w:t>
            </w:r>
          </w:p>
        </w:tc>
      </w:tr>
    </w:tbl>
    <w:p w14:paraId="2126FDB9">
      <w:pPr>
        <w:pStyle w:val="4"/>
        <w:numPr>
          <w:ilvl w:val="2"/>
          <w:numId w:val="3"/>
        </w:numPr>
        <w:rPr>
          <w:b w:val="0"/>
        </w:rPr>
      </w:pPr>
      <w:r>
        <w:rPr>
          <w:rFonts w:hint="eastAsia"/>
        </w:rPr>
        <w:t>硬件购置清单：</w:t>
      </w:r>
    </w:p>
    <w:p w14:paraId="6FE06EEE">
      <w:pPr>
        <w:pStyle w:val="106"/>
        <w:snapToGrid w:val="0"/>
        <w:spacing w:line="360" w:lineRule="auto"/>
        <w:ind w:firstLine="480"/>
        <w:rPr>
          <w:rFonts w:ascii="宋体" w:hAnsi="宋体"/>
          <w:sz w:val="24"/>
          <w:szCs w:val="24"/>
        </w:rPr>
      </w:pPr>
      <w:r>
        <w:rPr>
          <w:rFonts w:hint="eastAsia" w:ascii="宋体" w:hAnsi="宋体"/>
          <w:sz w:val="24"/>
          <w:szCs w:val="24"/>
        </w:rPr>
        <w:t>本项目不涉及硬件购置。</w:t>
      </w:r>
    </w:p>
    <w:p w14:paraId="100CA0AB">
      <w:pPr>
        <w:pStyle w:val="4"/>
        <w:numPr>
          <w:ilvl w:val="2"/>
          <w:numId w:val="3"/>
        </w:numPr>
      </w:pPr>
      <w:r>
        <w:rPr>
          <w:rFonts w:hint="eastAsia"/>
        </w:rPr>
        <w:t>产品软件购置清单：</w:t>
      </w:r>
    </w:p>
    <w:p w14:paraId="4F7C6B81">
      <w:pPr>
        <w:pStyle w:val="106"/>
        <w:snapToGrid w:val="0"/>
        <w:spacing w:line="360" w:lineRule="auto"/>
        <w:ind w:firstLine="480"/>
        <w:rPr>
          <w:rFonts w:ascii="宋体" w:hAnsi="宋体"/>
          <w:sz w:val="24"/>
          <w:szCs w:val="24"/>
        </w:rPr>
      </w:pPr>
      <w:r>
        <w:rPr>
          <w:rFonts w:hint="eastAsia" w:ascii="宋体" w:hAnsi="宋体"/>
          <w:sz w:val="24"/>
          <w:szCs w:val="24"/>
        </w:rPr>
        <w:t>本项目不涉及产品软件购置。</w:t>
      </w:r>
    </w:p>
    <w:p w14:paraId="73351438">
      <w:pPr>
        <w:pStyle w:val="4"/>
        <w:numPr>
          <w:ilvl w:val="2"/>
          <w:numId w:val="3"/>
        </w:numPr>
      </w:pPr>
      <w:r>
        <w:rPr>
          <w:rFonts w:hint="eastAsia"/>
        </w:rPr>
        <w:t>安全产品购置清单：</w:t>
      </w:r>
    </w:p>
    <w:p w14:paraId="565598CF">
      <w:pPr>
        <w:pStyle w:val="106"/>
        <w:snapToGrid w:val="0"/>
        <w:spacing w:line="360" w:lineRule="auto"/>
        <w:ind w:firstLine="480"/>
        <w:rPr>
          <w:rFonts w:ascii="宋体" w:hAnsi="宋体"/>
          <w:sz w:val="24"/>
          <w:szCs w:val="24"/>
        </w:rPr>
      </w:pPr>
      <w:r>
        <w:rPr>
          <w:rFonts w:hint="eastAsia" w:ascii="宋体" w:hAnsi="宋体"/>
          <w:sz w:val="24"/>
          <w:szCs w:val="24"/>
        </w:rPr>
        <w:t>本项目不涉及安全产品购置。</w:t>
      </w:r>
    </w:p>
    <w:p w14:paraId="2CD42FC4">
      <w:pPr>
        <w:pStyle w:val="2"/>
        <w:numPr>
          <w:ilvl w:val="0"/>
          <w:numId w:val="3"/>
        </w:numPr>
      </w:pPr>
      <w:r>
        <w:rPr>
          <w:rFonts w:hint="eastAsia"/>
        </w:rPr>
        <w:t>低代码建设要求</w:t>
      </w:r>
    </w:p>
    <w:p w14:paraId="633941A0">
      <w:pPr>
        <w:pStyle w:val="106"/>
        <w:snapToGrid w:val="0"/>
        <w:spacing w:line="360" w:lineRule="auto"/>
        <w:ind w:firstLine="480"/>
        <w:rPr>
          <w:rFonts w:ascii="宋体" w:hAnsi="宋体"/>
          <w:sz w:val="24"/>
          <w:szCs w:val="24"/>
        </w:rPr>
      </w:pPr>
      <w:r>
        <w:rPr>
          <w:rFonts w:hint="eastAsia" w:ascii="宋体" w:hAnsi="宋体"/>
          <w:sz w:val="24"/>
          <w:szCs w:val="24"/>
        </w:rPr>
        <w:t>本项目不涉及低代码建设。</w:t>
      </w:r>
    </w:p>
    <w:p w14:paraId="269785A5">
      <w:pPr>
        <w:pStyle w:val="2"/>
        <w:numPr>
          <w:ilvl w:val="0"/>
          <w:numId w:val="3"/>
        </w:numPr>
      </w:pPr>
      <w:bookmarkStart w:id="19" w:name="_Toc63785503"/>
      <w:r>
        <w:rPr>
          <w:rFonts w:hint="eastAsia"/>
        </w:rPr>
        <w:t>其他工作要求</w:t>
      </w:r>
      <w:bookmarkEnd w:id="19"/>
      <w:bookmarkStart w:id="20" w:name="_Toc62209488"/>
      <w:bookmarkEnd w:id="20"/>
      <w:bookmarkStart w:id="21" w:name="_Toc63585480"/>
      <w:bookmarkEnd w:id="21"/>
      <w:bookmarkStart w:id="22" w:name="_Toc62219358"/>
      <w:bookmarkEnd w:id="22"/>
      <w:bookmarkStart w:id="23" w:name="_Toc63151871"/>
      <w:bookmarkEnd w:id="23"/>
      <w:bookmarkStart w:id="24" w:name="_Toc61968111"/>
      <w:bookmarkEnd w:id="24"/>
      <w:bookmarkStart w:id="25" w:name="_Toc63762370"/>
      <w:bookmarkEnd w:id="25"/>
      <w:bookmarkStart w:id="26" w:name="_Toc63785439"/>
      <w:bookmarkEnd w:id="26"/>
      <w:bookmarkStart w:id="27" w:name="_Toc63785504"/>
      <w:bookmarkEnd w:id="27"/>
    </w:p>
    <w:p w14:paraId="1DEEE1B6">
      <w:pPr>
        <w:pStyle w:val="3"/>
        <w:numPr>
          <w:ilvl w:val="1"/>
          <w:numId w:val="3"/>
        </w:numPr>
      </w:pPr>
      <w:bookmarkStart w:id="28" w:name="_Toc63785505"/>
      <w:bookmarkStart w:id="29" w:name="_Hlk219291262"/>
      <w:r>
        <w:rPr>
          <w:rFonts w:hint="eastAsia"/>
        </w:rPr>
        <w:t>售后服务要求</w:t>
      </w:r>
      <w:bookmarkEnd w:id="28"/>
    </w:p>
    <w:bookmarkEnd w:id="29"/>
    <w:p w14:paraId="7055C3A1">
      <w:pPr>
        <w:pStyle w:val="106"/>
        <w:snapToGrid w:val="0"/>
        <w:spacing w:line="360" w:lineRule="auto"/>
        <w:ind w:firstLine="480"/>
        <w:rPr>
          <w:rFonts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14:paraId="253EE064">
      <w:pPr>
        <w:pStyle w:val="106"/>
        <w:snapToGrid w:val="0"/>
        <w:spacing w:line="360" w:lineRule="auto"/>
        <w:ind w:firstLine="480"/>
        <w:rPr>
          <w:rFonts w:ascii="宋体" w:hAnsi="宋体"/>
          <w:sz w:val="24"/>
          <w:szCs w:val="24"/>
        </w:rPr>
      </w:pPr>
      <w:r>
        <w:rPr>
          <w:rFonts w:hint="eastAsia" w:ascii="宋体" w:hAnsi="宋体"/>
          <w:sz w:val="24"/>
          <w:szCs w:val="24"/>
        </w:rPr>
        <w:t>在质量保证期内，供应商将按照售后服务的承诺提供保修和运行维护服务，如果厂商对信息系统中软、硬件设备等产品中的部分保修期超过上述期限的，则按照厂商的规定进行免费保修。</w:t>
      </w:r>
    </w:p>
    <w:p w14:paraId="78331B31">
      <w:pPr>
        <w:pStyle w:val="106"/>
        <w:snapToGrid w:val="0"/>
        <w:spacing w:line="360" w:lineRule="auto"/>
        <w:ind w:firstLine="480"/>
        <w:rPr>
          <w:rFonts w:ascii="宋体" w:hAnsi="宋体"/>
          <w:sz w:val="24"/>
          <w:szCs w:val="24"/>
          <w:u w:val="single"/>
        </w:rPr>
      </w:pPr>
      <w:r>
        <w:rPr>
          <w:rFonts w:hint="eastAsia" w:ascii="宋体" w:hAnsi="宋体"/>
          <w:sz w:val="24"/>
          <w:szCs w:val="24"/>
        </w:rPr>
        <w:t>在质量保证期内，供应商负责信息系统的运行维护工作，确保信息系统安全、稳定、可靠地运行。本项目涉及的运行维护工作范围为：</w:t>
      </w:r>
    </w:p>
    <w:p w14:paraId="5BA70FD9">
      <w:pPr>
        <w:pStyle w:val="4"/>
        <w:numPr>
          <w:ilvl w:val="2"/>
          <w:numId w:val="3"/>
        </w:numPr>
      </w:pPr>
      <w:r>
        <w:rPr>
          <w:rFonts w:hint="eastAsia"/>
        </w:rPr>
        <w:t>日常的应用维护服务</w:t>
      </w:r>
    </w:p>
    <w:p w14:paraId="3317EB26">
      <w:pPr>
        <w:pStyle w:val="106"/>
        <w:snapToGrid w:val="0"/>
        <w:spacing w:line="360" w:lineRule="auto"/>
        <w:ind w:firstLine="480"/>
        <w:rPr>
          <w:rFonts w:ascii="宋体" w:hAnsi="宋体"/>
          <w:sz w:val="24"/>
          <w:szCs w:val="24"/>
        </w:rPr>
      </w:pPr>
      <w:r>
        <w:rPr>
          <w:rFonts w:hint="eastAsia" w:ascii="宋体" w:hAnsi="宋体"/>
          <w:sz w:val="24"/>
          <w:szCs w:val="24"/>
        </w:rPr>
        <w:t>供应商在接到相关的日常维护要求后，诊断问题，分别提供各类日常维护服务，并将维修结果及时回复。提供的日常服务包括：</w:t>
      </w:r>
    </w:p>
    <w:p w14:paraId="37A4D930">
      <w:pPr>
        <w:pStyle w:val="106"/>
        <w:snapToGrid w:val="0"/>
        <w:spacing w:line="360" w:lineRule="auto"/>
        <w:ind w:firstLine="480"/>
        <w:rPr>
          <w:rFonts w:ascii="宋体" w:hAnsi="宋体"/>
          <w:sz w:val="24"/>
          <w:szCs w:val="24"/>
        </w:rPr>
      </w:pPr>
      <w:r>
        <w:rPr>
          <w:rFonts w:hint="eastAsia" w:ascii="宋体" w:hAnsi="宋体"/>
          <w:sz w:val="24"/>
          <w:szCs w:val="24"/>
        </w:rPr>
        <w:t>供应商应设立专门的技术支持小组，指派专人常驻现场，为建设单位提供全面专业的技术支持。</w:t>
      </w:r>
    </w:p>
    <w:p w14:paraId="4A2CCBBF">
      <w:pPr>
        <w:pStyle w:val="106"/>
        <w:snapToGrid w:val="0"/>
        <w:spacing w:line="360" w:lineRule="auto"/>
        <w:ind w:firstLine="480"/>
        <w:rPr>
          <w:rFonts w:ascii="宋体" w:hAnsi="宋体"/>
          <w:sz w:val="24"/>
          <w:szCs w:val="24"/>
        </w:rPr>
      </w:pPr>
      <w:r>
        <w:rPr>
          <w:rFonts w:hint="eastAsia" w:ascii="宋体" w:hAnsi="宋体"/>
          <w:sz w:val="24"/>
          <w:szCs w:val="24"/>
        </w:rPr>
        <w:t>对应用系统提供相关技术咨询、系统调整、应用升级、性能调优和定期（每月）检测维护的服务。</w:t>
      </w:r>
    </w:p>
    <w:p w14:paraId="339138E7">
      <w:pPr>
        <w:pStyle w:val="106"/>
        <w:snapToGrid w:val="0"/>
        <w:spacing w:line="360" w:lineRule="auto"/>
        <w:ind w:firstLine="480"/>
        <w:rPr>
          <w:rFonts w:ascii="宋体" w:hAnsi="宋体"/>
          <w:sz w:val="24"/>
          <w:szCs w:val="24"/>
        </w:rPr>
      </w:pPr>
      <w:r>
        <w:rPr>
          <w:rFonts w:hint="eastAsia" w:ascii="宋体" w:hAnsi="宋体"/>
          <w:sz w:val="24"/>
          <w:szCs w:val="24"/>
        </w:rPr>
        <w:t>提供一年内</w:t>
      </w:r>
      <w:r>
        <w:rPr>
          <w:rFonts w:ascii="宋体" w:hAnsi="宋体"/>
          <w:sz w:val="24"/>
          <w:szCs w:val="24"/>
        </w:rPr>
        <w:t>7</w:t>
      </w:r>
      <w:r>
        <w:rPr>
          <w:rFonts w:hint="eastAsia" w:ascii="宋体" w:hAnsi="宋体"/>
          <w:sz w:val="24"/>
          <w:szCs w:val="24"/>
        </w:rPr>
        <w:t>*24小时专人电话支持服务。对于应用系统故障情况，查找原因，提出解决方案，并工作至故障消除，完全恢复正常服务为止。</w:t>
      </w:r>
    </w:p>
    <w:p w14:paraId="6540B994">
      <w:pPr>
        <w:pStyle w:val="106"/>
        <w:snapToGrid w:val="0"/>
        <w:spacing w:line="360" w:lineRule="auto"/>
        <w:ind w:firstLine="480"/>
        <w:rPr>
          <w:rFonts w:ascii="宋体" w:hAnsi="宋体"/>
          <w:sz w:val="24"/>
          <w:szCs w:val="24"/>
        </w:rPr>
      </w:pPr>
      <w:r>
        <w:rPr>
          <w:rFonts w:hint="eastAsia" w:ascii="宋体" w:hAnsi="宋体"/>
          <w:sz w:val="24"/>
          <w:szCs w:val="24"/>
        </w:rPr>
        <w:t>无推诿承诺。即无论由于哪一方产生的问题而使系统发生不正常情况时，在得到通知后，项目开发小组与公司立刻响应派工程师到场，全力配合厂商和其他供应商，使系统尽快恢复正常。</w:t>
      </w:r>
    </w:p>
    <w:p w14:paraId="7F1C3D6D">
      <w:pPr>
        <w:pStyle w:val="106"/>
        <w:snapToGrid w:val="0"/>
        <w:spacing w:line="360" w:lineRule="auto"/>
        <w:ind w:firstLine="480"/>
        <w:rPr>
          <w:rFonts w:ascii="宋体" w:hAnsi="宋体"/>
          <w:sz w:val="24"/>
          <w:szCs w:val="24"/>
        </w:rPr>
      </w:pPr>
      <w:r>
        <w:rPr>
          <w:rFonts w:hint="eastAsia" w:ascii="宋体" w:hAnsi="宋体"/>
          <w:sz w:val="24"/>
          <w:szCs w:val="24"/>
        </w:rPr>
        <w:t>保修期结束前，进行一次全面检查，任何与要求不符的缺陷将由项目开发小组与公司负责修理，在修理之后，将缺陷原因、修理内容、完成修理及恢复正常的时间和日期等制成报告，报告一式两份；如在保修期结束时仍未完成修理的，则保修期自动顺延到修理工作完成之后。</w:t>
      </w:r>
    </w:p>
    <w:p w14:paraId="796D768E">
      <w:pPr>
        <w:pStyle w:val="4"/>
        <w:numPr>
          <w:ilvl w:val="2"/>
          <w:numId w:val="3"/>
        </w:numPr>
      </w:pPr>
      <w:r>
        <w:rPr>
          <w:rFonts w:hint="eastAsia"/>
        </w:rPr>
        <w:t>应用系统功能调整服务</w:t>
      </w:r>
    </w:p>
    <w:p w14:paraId="776A1E71">
      <w:pPr>
        <w:ind w:firstLine="470" w:firstLineChars="196"/>
        <w:rPr>
          <w:rFonts w:ascii="仿宋" w:hAnsi="仿宋"/>
        </w:rPr>
      </w:pPr>
      <w:r>
        <w:rPr>
          <w:rFonts w:hint="eastAsia" w:ascii="仿宋" w:hAnsi="仿宋"/>
        </w:rPr>
        <w:t>供应商在接到相关业务部门书面形式描述的部分更改要求后，与相关业务部门一起对需求进行确认，并对应用系统修改功能的实现提出书面的方案，由相关业务部门协调对应用修改方案进行确认并反馈给维护单位。</w:t>
      </w:r>
    </w:p>
    <w:p w14:paraId="3D1ED4CE">
      <w:pPr>
        <w:ind w:firstLine="470" w:firstLineChars="196"/>
        <w:rPr>
          <w:rFonts w:ascii="仿宋" w:hAnsi="仿宋"/>
          <w:b/>
        </w:rPr>
      </w:pPr>
      <w:r>
        <w:rPr>
          <w:rFonts w:hint="eastAsia" w:ascii="仿宋" w:hAnsi="仿宋"/>
        </w:rPr>
        <w:t>由于业务调整，维护单位需要对应用系统进行相应的功能调整服务。提供的服务包括：</w:t>
      </w:r>
    </w:p>
    <w:p w14:paraId="62D6B122">
      <w:pPr>
        <w:ind w:firstLine="470" w:firstLineChars="196"/>
        <w:rPr>
          <w:rFonts w:ascii="仿宋" w:hAnsi="仿宋"/>
        </w:rPr>
      </w:pPr>
      <w:r>
        <w:rPr>
          <w:rFonts w:hint="eastAsia" w:ascii="仿宋" w:hAnsi="仿宋"/>
        </w:rPr>
        <w:t>应用方案的提出和论证：结合系统原来设计的结构和总体框架，对变化的需求或增加的需求进行可行性分析，整理并提出可行的方案，并与业务部门或其他用户一起对方案进行论证和确认。</w:t>
      </w:r>
    </w:p>
    <w:p w14:paraId="61565E6F">
      <w:pPr>
        <w:ind w:firstLine="470" w:firstLineChars="196"/>
        <w:rPr>
          <w:rFonts w:ascii="仿宋" w:hAnsi="仿宋"/>
        </w:rPr>
      </w:pPr>
      <w:r>
        <w:rPr>
          <w:rFonts w:hint="eastAsia" w:ascii="仿宋" w:hAnsi="仿宋"/>
        </w:rPr>
        <w:t>修改应用系统相关的技术文档：根据应用修改的实际情况变更相关的应用技术文档，包括需求文档、分析设计文档、测试文档、使用手册。</w:t>
      </w:r>
    </w:p>
    <w:p w14:paraId="4971B68B">
      <w:pPr>
        <w:ind w:firstLine="470" w:firstLineChars="196"/>
        <w:rPr>
          <w:rFonts w:ascii="仿宋" w:hAnsi="仿宋"/>
        </w:rPr>
      </w:pPr>
      <w:r>
        <w:rPr>
          <w:rFonts w:hint="eastAsia" w:ascii="仿宋" w:hAnsi="仿宋"/>
        </w:rPr>
        <w:t>应用实现包括对应用程序进行修改或增加功能，对实际运行的数据库结构进行修改，修改数据的复制逻辑，修改、调整相关的字典设置，应用系统功能的测试。</w:t>
      </w:r>
    </w:p>
    <w:p w14:paraId="2A74D3C1">
      <w:pPr>
        <w:ind w:firstLine="470" w:firstLineChars="196"/>
        <w:rPr>
          <w:rFonts w:ascii="仿宋" w:hAnsi="仿宋"/>
        </w:rPr>
      </w:pPr>
      <w:r>
        <w:rPr>
          <w:rFonts w:hint="eastAsia" w:ascii="仿宋" w:hAnsi="仿宋"/>
        </w:rPr>
        <w:t>调整后功能推广包括版本的升级、编写功能更新的说明、必要的用户培训、功能试用期间的支持。</w:t>
      </w:r>
    </w:p>
    <w:p w14:paraId="5EEC641C">
      <w:pPr>
        <w:pStyle w:val="4"/>
        <w:numPr>
          <w:ilvl w:val="2"/>
          <w:numId w:val="3"/>
        </w:numPr>
      </w:pPr>
      <w:r>
        <w:rPr>
          <w:rFonts w:hint="eastAsia"/>
        </w:rPr>
        <w:t>系统接口支持配合服务</w:t>
      </w:r>
    </w:p>
    <w:p w14:paraId="2DC96D93">
      <w:pPr>
        <w:ind w:firstLine="470" w:firstLineChars="196"/>
        <w:rPr>
          <w:rFonts w:ascii="仿宋" w:hAnsi="仿宋"/>
        </w:rPr>
      </w:pPr>
      <w:r>
        <w:rPr>
          <w:rFonts w:hint="eastAsia" w:ascii="仿宋" w:hAnsi="仿宋"/>
        </w:rPr>
        <w:t>由其他公司承担开发并需要与本系统衔接的系统，供应商提供接口部分的技术支持和相关部分的实施配合。</w:t>
      </w:r>
    </w:p>
    <w:p w14:paraId="237D6D5B">
      <w:pPr>
        <w:pStyle w:val="3"/>
        <w:numPr>
          <w:ilvl w:val="1"/>
          <w:numId w:val="3"/>
        </w:numPr>
      </w:pPr>
      <w:bookmarkStart w:id="30" w:name="_Toc63785506"/>
      <w:r>
        <w:rPr>
          <w:rFonts w:hint="eastAsia"/>
        </w:rPr>
        <w:t>应急响应要求</w:t>
      </w:r>
      <w:bookmarkEnd w:id="30"/>
    </w:p>
    <w:p w14:paraId="1DD90471">
      <w:pPr>
        <w:ind w:firstLine="470" w:firstLineChars="196"/>
        <w:rPr>
          <w:rFonts w:ascii="仿宋" w:hAnsi="仿宋"/>
        </w:rPr>
      </w:pPr>
      <w:r>
        <w:rPr>
          <w:rFonts w:hint="eastAsia" w:ascii="仿宋" w:hAnsi="仿宋"/>
        </w:rPr>
        <w:t>供应商对系统故障应能够实时响应，若系统发生故障，接到通知后30分钟之内响应，专业工程师2小时内到达现场。特殊故障与采购人沟通协商后，按照协商的方式制定解决方案并进行处理。</w:t>
      </w:r>
    </w:p>
    <w:p w14:paraId="298C285C">
      <w:pPr>
        <w:ind w:firstLine="470" w:firstLineChars="196"/>
        <w:rPr>
          <w:rFonts w:ascii="仿宋" w:hAnsi="仿宋"/>
        </w:rPr>
      </w:pPr>
      <w:r>
        <w:rPr>
          <w:rFonts w:hint="eastAsia" w:ascii="仿宋" w:hAnsi="仿宋"/>
        </w:rPr>
        <w:t>具体故障级别及对应的应急响应要求如下：</w:t>
      </w:r>
    </w:p>
    <w:p w14:paraId="00F52BF0">
      <w:pPr>
        <w:ind w:firstLine="470" w:firstLineChars="196"/>
        <w:rPr>
          <w:rFonts w:ascii="仿宋" w:hAnsi="仿宋"/>
        </w:rPr>
      </w:pPr>
      <w:r>
        <w:rPr>
          <w:rFonts w:hint="eastAsia" w:ascii="仿宋" w:hAnsi="仿宋"/>
        </w:rPr>
        <w:t>一级故障：在1小时内确诊，总故障解决时间不超过4小时。</w:t>
      </w:r>
    </w:p>
    <w:p w14:paraId="58A359D9">
      <w:pPr>
        <w:ind w:firstLine="470" w:firstLineChars="196"/>
        <w:rPr>
          <w:rFonts w:ascii="仿宋" w:hAnsi="仿宋"/>
        </w:rPr>
      </w:pPr>
      <w:r>
        <w:rPr>
          <w:rFonts w:hint="eastAsia" w:ascii="仿宋" w:hAnsi="仿宋"/>
        </w:rPr>
        <w:t>二级故障：在2小时内确诊，并在4小时内由专家到达现场确诊并解决，总故障解决时间不超过8小时；</w:t>
      </w:r>
    </w:p>
    <w:p w14:paraId="0DBAB480">
      <w:pPr>
        <w:ind w:firstLine="470" w:firstLineChars="196"/>
        <w:rPr>
          <w:rFonts w:ascii="仿宋" w:hAnsi="仿宋"/>
        </w:rPr>
      </w:pPr>
      <w:r>
        <w:rPr>
          <w:rFonts w:hint="eastAsia" w:ascii="仿宋" w:hAnsi="仿宋"/>
        </w:rPr>
        <w:t>三、四级故障：在4小时内确诊故障，总故障解决时间不超过16小时。</w:t>
      </w:r>
    </w:p>
    <w:p w14:paraId="4EAB4932">
      <w:pPr>
        <w:ind w:firstLine="470" w:firstLineChars="196"/>
        <w:rPr>
          <w:rFonts w:ascii="仿宋" w:hAnsi="仿宋"/>
        </w:rPr>
      </w:pPr>
      <w:r>
        <w:rPr>
          <w:rFonts w:hint="eastAsia" w:ascii="仿宋" w:hAnsi="仿宋"/>
        </w:rPr>
        <w:t>依据故障时间及故障范围划分故障级别，故障级别分为四级，依次为Ⅰ级（紧急）、Ⅱ级（严重）、Ⅲ级（较大）和Ⅳ级（一般），分别定义如下：</w:t>
      </w:r>
    </w:p>
    <w:p w14:paraId="1C23F3EF">
      <w:pPr>
        <w:ind w:firstLine="470" w:firstLineChars="196"/>
        <w:rPr>
          <w:rFonts w:ascii="仿宋" w:hAnsi="仿宋"/>
        </w:rPr>
      </w:pPr>
      <w:r>
        <w:rPr>
          <w:rFonts w:hint="eastAsia" w:ascii="仿宋" w:hAnsi="仿宋"/>
        </w:rPr>
        <w:t>Ⅰ级（紧急）故障为工作时间段（8:30——17:30）内大范围故障；</w:t>
      </w:r>
    </w:p>
    <w:p w14:paraId="2A51D977">
      <w:pPr>
        <w:ind w:firstLine="470" w:firstLineChars="196"/>
        <w:rPr>
          <w:rFonts w:ascii="仿宋" w:hAnsi="仿宋"/>
        </w:rPr>
      </w:pPr>
      <w:r>
        <w:rPr>
          <w:rFonts w:hint="eastAsia" w:ascii="仿宋" w:hAnsi="仿宋"/>
        </w:rPr>
        <w:t>Ⅱ级（严重）故障为非工作时间段（17:30——次日8:30）内大范围故障；</w:t>
      </w:r>
    </w:p>
    <w:p w14:paraId="21106234">
      <w:pPr>
        <w:ind w:firstLine="470" w:firstLineChars="196"/>
        <w:rPr>
          <w:rFonts w:ascii="仿宋" w:hAnsi="仿宋"/>
        </w:rPr>
      </w:pPr>
      <w:r>
        <w:rPr>
          <w:rFonts w:hint="eastAsia" w:ascii="仿宋" w:hAnsi="仿宋"/>
        </w:rPr>
        <w:t>Ⅲ级（较大）故障为工作时间段（8:30——17:30）内小范围故障；</w:t>
      </w:r>
    </w:p>
    <w:p w14:paraId="0C9432AB">
      <w:pPr>
        <w:ind w:firstLine="470" w:firstLineChars="196"/>
        <w:rPr>
          <w:rFonts w:ascii="仿宋" w:hAnsi="仿宋"/>
        </w:rPr>
      </w:pPr>
      <w:r>
        <w:rPr>
          <w:rFonts w:hint="eastAsia" w:ascii="仿宋" w:hAnsi="仿宋"/>
        </w:rPr>
        <w:t>Ⅳ级（一般）故障为非工作时间段（17:30——次日8:30）内小范围故障；</w:t>
      </w:r>
    </w:p>
    <w:p w14:paraId="2C68926E">
      <w:pPr>
        <w:pStyle w:val="3"/>
        <w:numPr>
          <w:ilvl w:val="1"/>
          <w:numId w:val="3"/>
        </w:numPr>
      </w:pPr>
      <w:r>
        <w:rPr>
          <w:rFonts w:hint="eastAsia"/>
        </w:rPr>
        <w:t>网络与数据安全</w:t>
      </w:r>
    </w:p>
    <w:p w14:paraId="42C6444D">
      <w:pPr>
        <w:ind w:firstLine="470" w:firstLineChars="196"/>
        <w:rPr>
          <w:rFonts w:ascii="仿宋" w:hAnsi="仿宋"/>
        </w:rPr>
      </w:pPr>
      <w:r>
        <w:rPr>
          <w:rFonts w:hint="eastAsia" w:ascii="仿宋" w:hAnsi="仿宋"/>
        </w:rPr>
        <w:t>(1)供应商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14:paraId="4B371C9B">
      <w:pPr>
        <w:ind w:firstLine="470" w:firstLineChars="196"/>
        <w:rPr>
          <w:rFonts w:ascii="仿宋" w:hAnsi="仿宋"/>
        </w:rPr>
      </w:pPr>
      <w:r>
        <w:rPr>
          <w:rFonts w:hint="eastAsia" w:ascii="仿宋" w:hAnsi="仿宋"/>
        </w:rPr>
        <w:t>(2)供应商应配合采购人开展相关安全制度和规范的制定，并根据项目实际，制定项目实施过程安全管理方案。</w:t>
      </w:r>
    </w:p>
    <w:p w14:paraId="1C514FF6">
      <w:pPr>
        <w:ind w:firstLine="470" w:firstLineChars="196"/>
        <w:rPr>
          <w:rFonts w:ascii="仿宋" w:hAnsi="仿宋"/>
        </w:rPr>
      </w:pPr>
      <w:r>
        <w:rPr>
          <w:rFonts w:hint="eastAsia" w:ascii="仿宋" w:hAnsi="仿宋"/>
        </w:rPr>
        <w:t>(3)供应商应确保所提供的软件产品和定制开发内容所涉及的供应链满足采购人的管理要求，提供供应链物料清单，落实供应链安全控制措施，包括代码安全检测和质量评估、漏洞扫描、第三方组件评估等工作，并于系统上线前，完成信息化资产的梳理。</w:t>
      </w:r>
    </w:p>
    <w:p w14:paraId="76754830">
      <w:pPr>
        <w:ind w:firstLine="470" w:firstLineChars="196"/>
        <w:rPr>
          <w:rFonts w:ascii="仿宋" w:hAnsi="仿宋"/>
        </w:rPr>
      </w:pPr>
      <w:r>
        <w:rPr>
          <w:rFonts w:hint="eastAsia" w:ascii="仿宋" w:hAnsi="仿宋"/>
        </w:rPr>
        <w:t>(4)供应商应在项目实施过程中，推动安全开发控制工作的实施，按照安全设计方案和采购人安全开发要求，落实安全开发规范，确保代码质量和安全性。供应商应确保系统开发及生产环境安全，落实安全管理策略及安全配置。</w:t>
      </w:r>
    </w:p>
    <w:p w14:paraId="0C5F3FA5">
      <w:pPr>
        <w:ind w:firstLine="470" w:firstLineChars="196"/>
        <w:rPr>
          <w:rFonts w:ascii="仿宋" w:hAnsi="仿宋"/>
        </w:rPr>
      </w:pPr>
      <w:r>
        <w:rPr>
          <w:rFonts w:hint="eastAsia" w:ascii="仿宋" w:hAnsi="仿宋"/>
        </w:rPr>
        <w:t>(5)供应商应在项目实施过程中，按照数据差异化安全防护策略，根据系统需要采取数据加密、数据访问控制、日志记录、流转监测等防护能力及相关管理流程，切实保障数据安全。</w:t>
      </w:r>
    </w:p>
    <w:p w14:paraId="3D194720">
      <w:pPr>
        <w:ind w:firstLine="470" w:firstLineChars="196"/>
        <w:rPr>
          <w:rFonts w:ascii="仿宋" w:hAnsi="仿宋"/>
        </w:rPr>
      </w:pPr>
      <w:r>
        <w:rPr>
          <w:rFonts w:hint="eastAsia" w:ascii="仿宋" w:hAnsi="仿宋"/>
        </w:rPr>
        <w:t>(6)供应商应按照采购人场地及人员安全管理制度，加强人员管理，配合采购人落实人员背调、入离场、终端管理、网络限制、数据权限最小化等管控措施。</w:t>
      </w:r>
    </w:p>
    <w:p w14:paraId="0DCA7A95">
      <w:pPr>
        <w:ind w:firstLine="470" w:firstLineChars="196"/>
        <w:rPr>
          <w:rFonts w:ascii="仿宋" w:hAnsi="仿宋"/>
        </w:rPr>
      </w:pPr>
      <w:r>
        <w:rPr>
          <w:rFonts w:hint="eastAsia" w:ascii="仿宋" w:hAnsi="仿宋"/>
        </w:rPr>
        <w:t>(7)供应商应配合采购人开展系统安全事件（含业务故障）级别划分，制定应急预案，并落实应急预案中规定的应急响应要求。</w:t>
      </w:r>
    </w:p>
    <w:p w14:paraId="2BCD6572">
      <w:pPr>
        <w:ind w:firstLine="470" w:firstLineChars="196"/>
        <w:rPr>
          <w:rFonts w:ascii="仿宋" w:hAnsi="仿宋"/>
        </w:rPr>
      </w:pPr>
      <w:r>
        <w:rPr>
          <w:rFonts w:hint="eastAsia" w:ascii="仿宋" w:hAnsi="仿宋"/>
        </w:rPr>
        <w:t>(8)供应商应于系统上线部署前对系统运行环境、应用软件等开展安全自查，并于项目初验及系统试运行阶段，配合采购人开展安测、密测、等保、密评、数据安全风险评估等系列安全测试、评估工作，针对发现的问题及时完成整改，确保系统上线安全。</w:t>
      </w:r>
    </w:p>
    <w:p w14:paraId="01B98C8D">
      <w:pPr>
        <w:ind w:firstLine="470" w:firstLineChars="196"/>
        <w:rPr>
          <w:rFonts w:ascii="仿宋" w:hAnsi="仿宋"/>
        </w:rPr>
      </w:pPr>
      <w:r>
        <w:rPr>
          <w:rFonts w:hint="eastAsia" w:ascii="仿宋" w:hAnsi="仿宋"/>
        </w:rPr>
        <w:t>(9)供应商应在系统免维期内承担系统安全运维管理责任，落实安全管理保障措施，包括但不限于制度修订、风险排查、应急响应、漏洞修复、重保等工作。</w:t>
      </w:r>
    </w:p>
    <w:p w14:paraId="4651B14C">
      <w:pPr>
        <w:pStyle w:val="3"/>
        <w:numPr>
          <w:ilvl w:val="1"/>
          <w:numId w:val="3"/>
        </w:numPr>
      </w:pPr>
      <w:bookmarkStart w:id="31" w:name="_Toc63785507"/>
      <w:r>
        <w:rPr>
          <w:rFonts w:hint="eastAsia"/>
        </w:rPr>
        <w:t>培训要求</w:t>
      </w:r>
      <w:bookmarkEnd w:id="31"/>
    </w:p>
    <w:p w14:paraId="470B93AB">
      <w:r>
        <w:rPr>
          <w:rFonts w:hint="eastAsia"/>
        </w:rPr>
        <w:t>对系统使用单位提供业务操作培训，应提供详细培训方案。</w:t>
      </w:r>
    </w:p>
    <w:p w14:paraId="222CD68C">
      <w:r>
        <w:rPr>
          <w:rFonts w:hint="eastAsia"/>
        </w:rPr>
        <w:t>(1)在12个月的质量保证期内，提供2次与项目相关的必要培训。</w:t>
      </w:r>
    </w:p>
    <w:p w14:paraId="2D2F8104">
      <w:r>
        <w:rPr>
          <w:rFonts w:hint="eastAsia"/>
        </w:rPr>
        <w:t>(2)供应商需要开展分层次的人员培训工作，每次培训后应对参加培训人员进行测试，评估培训成果。培训应具有培训教材、培训环境和高水平的培训讲师。</w:t>
      </w:r>
    </w:p>
    <w:p w14:paraId="12754D39">
      <w:r>
        <w:rPr>
          <w:rFonts w:hint="eastAsia"/>
        </w:rPr>
        <w:t>(3)供应商应提供一般用户的基础操作培训和部门信息管理员的日常应用维护的培训，确保用户对象能够掌握对应的操作技能。</w:t>
      </w:r>
    </w:p>
    <w:p w14:paraId="39204439">
      <w:pPr>
        <w:pStyle w:val="3"/>
        <w:numPr>
          <w:ilvl w:val="1"/>
          <w:numId w:val="3"/>
        </w:numPr>
      </w:pPr>
      <w:bookmarkStart w:id="32" w:name="_Toc63785508"/>
      <w:r>
        <w:rPr>
          <w:rFonts w:hint="eastAsia"/>
        </w:rPr>
        <w:t>验收要求</w:t>
      </w:r>
      <w:bookmarkEnd w:id="32"/>
    </w:p>
    <w:p w14:paraId="25E6013F">
      <w:pPr>
        <w:rPr>
          <w:szCs w:val="21"/>
        </w:rPr>
      </w:pPr>
      <w:r>
        <w:rPr>
          <w:rFonts w:hint="eastAsia"/>
          <w:szCs w:val="21"/>
        </w:rPr>
        <w:t>本项目按下述方式开展验收。</w:t>
      </w:r>
    </w:p>
    <w:p w14:paraId="03CA8CC1">
      <w:pPr>
        <w:rPr>
          <w:szCs w:val="21"/>
        </w:rPr>
      </w:pPr>
      <w:r>
        <w:rPr>
          <w:rFonts w:hint="eastAsia"/>
        </w:rPr>
        <w:t>(1)</w:t>
      </w:r>
      <w:r>
        <w:rPr>
          <w:szCs w:val="21"/>
        </w:rPr>
        <w:t>验收分初验和终验。</w:t>
      </w:r>
    </w:p>
    <w:p w14:paraId="0C868ACE">
      <w:pPr>
        <w:rPr>
          <w:szCs w:val="21"/>
        </w:rPr>
      </w:pPr>
      <w:r>
        <w:rPr>
          <w:rFonts w:hint="eastAsia"/>
        </w:rPr>
        <w:t>(2)</w:t>
      </w:r>
      <w:r>
        <w:rPr>
          <w:szCs w:val="21"/>
        </w:rPr>
        <w:t>初验前，供应商须完成软件开发、软硬件安装和信息系统的调试等，并对本项目进行功能和运行检测，确保所有信息系统功能模块能够正常运行且已达到本项目约定的各类标准要求。供应商应以书面形式向</w:t>
      </w:r>
      <w:r>
        <w:rPr>
          <w:rFonts w:hint="eastAsia"/>
          <w:szCs w:val="21"/>
          <w:lang w:eastAsia="zh-CN"/>
        </w:rPr>
        <w:t>采购人</w:t>
      </w:r>
      <w:r>
        <w:rPr>
          <w:szCs w:val="21"/>
        </w:rPr>
        <w:t>递交初验通知书。</w:t>
      </w:r>
      <w:r>
        <w:rPr>
          <w:rFonts w:hint="eastAsia"/>
          <w:szCs w:val="21"/>
          <w:lang w:eastAsia="zh-CN"/>
        </w:rPr>
        <w:t>采购人</w:t>
      </w:r>
      <w:r>
        <w:rPr>
          <w:szCs w:val="21"/>
        </w:rPr>
        <w:t>应当在接到通知后的5个工作日内确定初验的具体日期，由双方按照本项目的约定完成本项目的初验。</w:t>
      </w:r>
      <w:r>
        <w:rPr>
          <w:rFonts w:hint="eastAsia"/>
          <w:szCs w:val="21"/>
          <w:lang w:eastAsia="zh-CN"/>
        </w:rPr>
        <w:t>采购人</w:t>
      </w:r>
      <w:r>
        <w:rPr>
          <w:szCs w:val="21"/>
        </w:rPr>
        <w:t>有权委托第三方检测机构进行验收，对此供应商应当配合。</w:t>
      </w:r>
    </w:p>
    <w:p w14:paraId="2087A747">
      <w:pPr>
        <w:rPr>
          <w:szCs w:val="21"/>
        </w:rPr>
      </w:pPr>
      <w:r>
        <w:rPr>
          <w:rFonts w:hint="eastAsia"/>
        </w:rPr>
        <w:t>(3)</w:t>
      </w:r>
      <w:r>
        <w:rPr>
          <w:szCs w:val="21"/>
        </w:rPr>
        <w:t>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w:t>
      </w:r>
      <w:r>
        <w:rPr>
          <w:rFonts w:hint="eastAsia"/>
          <w:szCs w:val="21"/>
          <w:lang w:eastAsia="zh-CN"/>
        </w:rPr>
        <w:t>采购人</w:t>
      </w:r>
      <w:r>
        <w:rPr>
          <w:szCs w:val="21"/>
        </w:rPr>
        <w:t>应向供应商出具书面报告，陈述需要改进的缺陷。供应商应立即严格依照</w:t>
      </w:r>
      <w:r>
        <w:rPr>
          <w:rFonts w:hint="eastAsia"/>
          <w:szCs w:val="21"/>
          <w:lang w:eastAsia="zh-CN"/>
        </w:rPr>
        <w:t>采购人</w:t>
      </w:r>
      <w:r>
        <w:rPr>
          <w:szCs w:val="21"/>
        </w:rPr>
        <w:t>的书面报告中的要求改进缺陷，并再次进行初验。</w:t>
      </w:r>
    </w:p>
    <w:p w14:paraId="0F29093E">
      <w:pPr>
        <w:rPr>
          <w:szCs w:val="21"/>
        </w:rPr>
      </w:pPr>
      <w:r>
        <w:rPr>
          <w:rFonts w:hint="eastAsia"/>
          <w:szCs w:val="21"/>
        </w:rPr>
        <w:t>(4)</w:t>
      </w:r>
      <w:r>
        <w:rPr>
          <w:szCs w:val="21"/>
        </w:rPr>
        <w:t>自初验通过之日起，</w:t>
      </w:r>
      <w:r>
        <w:rPr>
          <w:rFonts w:hint="eastAsia"/>
          <w:szCs w:val="21"/>
          <w:lang w:eastAsia="zh-CN"/>
        </w:rPr>
        <w:t>采购人</w:t>
      </w:r>
      <w:r>
        <w:rPr>
          <w:szCs w:val="21"/>
        </w:rPr>
        <w:t>享有供应商免费提供</w:t>
      </w:r>
      <w:r>
        <w:rPr>
          <w:rFonts w:hint="eastAsia"/>
          <w:szCs w:val="21"/>
        </w:rPr>
        <w:t>30天</w:t>
      </w:r>
      <w:r>
        <w:rPr>
          <w:szCs w:val="21"/>
        </w:rPr>
        <w:t>的信息系统试运行现场驻场服务期。该期间内，供应商应当按照</w:t>
      </w:r>
      <w:r>
        <w:rPr>
          <w:rFonts w:hint="eastAsia"/>
          <w:szCs w:val="21"/>
          <w:lang w:eastAsia="zh-CN"/>
        </w:rPr>
        <w:t>采购人</w:t>
      </w:r>
      <w:r>
        <w:rPr>
          <w:szCs w:val="21"/>
        </w:rPr>
        <w:t>的要求提供现场技术支持服务，解决信息系统试运行期间可能出现的各类问题，或进一步提高与完善信息系统运行水平。</w:t>
      </w:r>
    </w:p>
    <w:p w14:paraId="345436B6">
      <w:pPr>
        <w:rPr>
          <w:szCs w:val="21"/>
        </w:rPr>
      </w:pPr>
      <w:r>
        <w:rPr>
          <w:rFonts w:hint="eastAsia"/>
          <w:szCs w:val="21"/>
        </w:rPr>
        <w:t>(</w:t>
      </w:r>
      <w:r>
        <w:rPr>
          <w:szCs w:val="21"/>
        </w:rPr>
        <w:t>5</w:t>
      </w:r>
      <w:r>
        <w:rPr>
          <w:rFonts w:hint="eastAsia"/>
          <w:szCs w:val="21"/>
        </w:rPr>
        <w:t>)</w:t>
      </w:r>
      <w:r>
        <w:rPr>
          <w:szCs w:val="21"/>
        </w:rPr>
        <w:t>初验通过且信息系统试运行期已经达到本项目约定的时间，经供应商确认信息系统具备正常运行条件，且信息系统通过运行测试，供应商应以书面形式通知</w:t>
      </w:r>
      <w:r>
        <w:rPr>
          <w:rFonts w:hint="eastAsia"/>
          <w:szCs w:val="21"/>
          <w:lang w:eastAsia="zh-CN"/>
        </w:rPr>
        <w:t>采购人</w:t>
      </w:r>
      <w:r>
        <w:rPr>
          <w:szCs w:val="21"/>
        </w:rPr>
        <w:t>信息系统已准备就绪等待终验。</w:t>
      </w:r>
      <w:r>
        <w:rPr>
          <w:rFonts w:hint="eastAsia"/>
          <w:szCs w:val="21"/>
          <w:lang w:eastAsia="zh-CN"/>
        </w:rPr>
        <w:t>采购人</w:t>
      </w:r>
      <w:r>
        <w:rPr>
          <w:szCs w:val="21"/>
        </w:rPr>
        <w:t>在收到终验通知后的15个工作日内发起组织专家验收会。</w:t>
      </w:r>
    </w:p>
    <w:p w14:paraId="1DC3BDE2">
      <w:pPr>
        <w:rPr>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14:paraId="795851CD">
      <w:pPr>
        <w:rPr>
          <w:szCs w:val="21"/>
        </w:rPr>
      </w:pPr>
      <w:r>
        <w:rPr>
          <w:rFonts w:hint="eastAsia"/>
          <w:szCs w:val="21"/>
        </w:rPr>
        <w:t>(7)</w:t>
      </w:r>
      <w:r>
        <w:rPr>
          <w:szCs w:val="21"/>
        </w:rPr>
        <w:t>如果由于</w:t>
      </w:r>
      <w:r>
        <w:rPr>
          <w:rFonts w:hint="eastAsia"/>
          <w:szCs w:val="21"/>
          <w:lang w:eastAsia="zh-CN"/>
        </w:rPr>
        <w:t>采购人</w:t>
      </w:r>
      <w:r>
        <w:rPr>
          <w:szCs w:val="21"/>
        </w:rPr>
        <w:t>原因导致本项目在终验通过前出现故障或问题，供应商应及时配合排除该方面的故障或问题。</w:t>
      </w:r>
    </w:p>
    <w:p w14:paraId="4C472959">
      <w:pPr>
        <w:rPr>
          <w:szCs w:val="21"/>
        </w:rPr>
      </w:pPr>
      <w:r>
        <w:rPr>
          <w:rFonts w:hint="eastAsia"/>
          <w:szCs w:val="21"/>
        </w:rPr>
        <w:t>(8)</w:t>
      </w:r>
      <w:r>
        <w:rPr>
          <w:szCs w:val="21"/>
        </w:rPr>
        <w:t>如本项目连续3次验收未通过（含初验未通过或终验未通过），</w:t>
      </w:r>
      <w:r>
        <w:rPr>
          <w:rFonts w:hint="eastAsia"/>
          <w:szCs w:val="21"/>
          <w:lang w:eastAsia="zh-CN"/>
        </w:rPr>
        <w:t>采购人</w:t>
      </w:r>
      <w:r>
        <w:rPr>
          <w:szCs w:val="21"/>
        </w:rPr>
        <w:t>有权解除项目，并有权依照本项目约定的违约条款追究供应商的违约责任。</w:t>
      </w:r>
    </w:p>
    <w:p w14:paraId="610A092E">
      <w:pPr>
        <w:pStyle w:val="3"/>
        <w:numPr>
          <w:ilvl w:val="1"/>
          <w:numId w:val="3"/>
        </w:numPr>
      </w:pPr>
      <w:bookmarkStart w:id="33" w:name="_Toc63785509"/>
      <w:r>
        <w:rPr>
          <w:rFonts w:hint="eastAsia"/>
        </w:rPr>
        <w:t>进度要求</w:t>
      </w:r>
      <w:bookmarkEnd w:id="33"/>
    </w:p>
    <w:p w14:paraId="590F1F59">
      <w:r>
        <w:rPr>
          <w:rFonts w:hint="eastAsia"/>
          <w:lang w:eastAsia="zh-CN"/>
        </w:rPr>
        <w:t>供应商</w:t>
      </w:r>
      <w:r>
        <w:rPr>
          <w:rFonts w:hint="eastAsia"/>
        </w:rPr>
        <w:t>应根据建设内容，分阶段制定合理的时间进度，并且应根据</w:t>
      </w:r>
      <w:r>
        <w:rPr>
          <w:rFonts w:hint="eastAsia"/>
          <w:lang w:eastAsia="zh-CN"/>
        </w:rPr>
        <w:t>采购人</w:t>
      </w:r>
      <w:r>
        <w:rPr>
          <w:rFonts w:hint="eastAsia"/>
        </w:rPr>
        <w:t>要求进行调整和细化。</w:t>
      </w:r>
    </w:p>
    <w:p w14:paraId="343279EA">
      <w:r>
        <w:rPr>
          <w:rFonts w:hint="eastAsia"/>
        </w:rPr>
        <w:t>总建设周期为</w:t>
      </w:r>
      <w:r>
        <w:t>8</w:t>
      </w:r>
      <w:r>
        <w:rPr>
          <w:rFonts w:hint="eastAsia"/>
        </w:rPr>
        <w:t>个月，分为四个阶段。</w:t>
      </w:r>
    </w:p>
    <w:p w14:paraId="0F7BE505">
      <w:r>
        <w:rPr>
          <w:rFonts w:hint="eastAsia"/>
        </w:rPr>
        <w:t>第一阶段2</w:t>
      </w:r>
      <w:r>
        <w:t>026</w:t>
      </w:r>
      <w:r>
        <w:rPr>
          <w:rFonts w:hint="eastAsia"/>
        </w:rPr>
        <w:t>年4月-</w:t>
      </w:r>
      <w:r>
        <w:t>5</w:t>
      </w:r>
      <w:r>
        <w:rPr>
          <w:rFonts w:hint="eastAsia"/>
        </w:rPr>
        <w:t>月完成规划设计工作；</w:t>
      </w:r>
    </w:p>
    <w:p w14:paraId="1F0DB095">
      <w:r>
        <w:rPr>
          <w:rFonts w:hint="eastAsia"/>
        </w:rPr>
        <w:t>第二阶段2</w:t>
      </w:r>
      <w:r>
        <w:t>026</w:t>
      </w:r>
      <w:r>
        <w:rPr>
          <w:rFonts w:hint="eastAsia"/>
        </w:rPr>
        <w:t>年5月-</w:t>
      </w:r>
      <w:r>
        <w:t>10</w:t>
      </w:r>
      <w:r>
        <w:rPr>
          <w:rFonts w:hint="eastAsia"/>
        </w:rPr>
        <w:t>月完成项目开发测试工作；</w:t>
      </w:r>
    </w:p>
    <w:p w14:paraId="6B3C0DB5">
      <w:r>
        <w:rPr>
          <w:rFonts w:hint="eastAsia"/>
        </w:rPr>
        <w:t>第三阶段2</w:t>
      </w:r>
      <w:r>
        <w:t>026</w:t>
      </w:r>
      <w:r>
        <w:rPr>
          <w:rFonts w:hint="eastAsia"/>
        </w:rPr>
        <w:t>年1</w:t>
      </w:r>
      <w:r>
        <w:t>1</w:t>
      </w:r>
      <w:r>
        <w:rPr>
          <w:rFonts w:hint="eastAsia"/>
        </w:rPr>
        <w:t>月前完成项目试运行（</w:t>
      </w:r>
      <w:r>
        <w:t>1</w:t>
      </w:r>
      <w:r>
        <w:rPr>
          <w:rFonts w:hint="eastAsia"/>
        </w:rPr>
        <w:t>个月）工作；</w:t>
      </w:r>
    </w:p>
    <w:p w14:paraId="79E6C0D3">
      <w:r>
        <w:rPr>
          <w:rFonts w:hint="eastAsia"/>
        </w:rPr>
        <w:t>第四阶段于202</w:t>
      </w:r>
      <w:r>
        <w:t>6</w:t>
      </w:r>
      <w:r>
        <w:rPr>
          <w:rFonts w:hint="eastAsia"/>
        </w:rPr>
        <w:t>年11月30日前完成项目验收工作。</w:t>
      </w:r>
    </w:p>
    <w:p w14:paraId="24806A65">
      <w:pPr>
        <w:pStyle w:val="3"/>
        <w:numPr>
          <w:ilvl w:val="1"/>
          <w:numId w:val="3"/>
        </w:numPr>
      </w:pPr>
      <w:bookmarkStart w:id="34" w:name="_Toc63785510"/>
      <w:r>
        <w:rPr>
          <w:rFonts w:hint="eastAsia"/>
        </w:rPr>
        <w:t>项目团队及驻场人员要求</w:t>
      </w:r>
      <w:bookmarkEnd w:id="34"/>
    </w:p>
    <w:p w14:paraId="6D7E7563">
      <w:r>
        <w:rPr>
          <w:rFonts w:hint="eastAsia"/>
        </w:rPr>
        <w:t>(</w:t>
      </w:r>
      <w:r>
        <w:t>1</w:t>
      </w:r>
      <w:r>
        <w:rPr>
          <w:rFonts w:hint="eastAsia"/>
        </w:rPr>
        <w:t>)</w:t>
      </w:r>
      <w:r>
        <w:rPr>
          <w:rFonts w:hint="eastAsia"/>
          <w:lang w:eastAsia="zh-CN"/>
        </w:rPr>
        <w:t>供应商</w:t>
      </w:r>
      <w:r>
        <w:t>须具有稳定的在职技术保障力量，能够提供及时的技术支援或服务，应针对本项目提供不少于10人的项目服务团队（包括项目经理、产品经理、技术负责人、研发等），</w:t>
      </w:r>
      <w:r>
        <w:rPr>
          <w:rFonts w:hint="eastAsia"/>
          <w:lang w:eastAsia="zh-CN"/>
        </w:rPr>
        <w:t>供应商</w:t>
      </w:r>
      <w:r>
        <w:t>的相关服务人员需具备相应的服务能力，需提供相关证明。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123"/>
        <w:gridCol w:w="1276"/>
        <w:gridCol w:w="2307"/>
        <w:gridCol w:w="1180"/>
      </w:tblGrid>
      <w:tr w14:paraId="18C0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276A48DC">
            <w:pPr>
              <w:widowControl/>
              <w:spacing w:line="240" w:lineRule="auto"/>
              <w:ind w:firstLine="0" w:firstLineChars="0"/>
              <w:jc w:val="center"/>
              <w:rPr>
                <w:b/>
              </w:rPr>
            </w:pPr>
            <w:r>
              <w:rPr>
                <w:rFonts w:hint="eastAsia"/>
                <w:b/>
              </w:rPr>
              <w:t>角色</w:t>
            </w:r>
          </w:p>
        </w:tc>
        <w:tc>
          <w:tcPr>
            <w:tcW w:w="2123" w:type="dxa"/>
            <w:noWrap/>
            <w:vAlign w:val="center"/>
          </w:tcPr>
          <w:p w14:paraId="3379D6FF">
            <w:pPr>
              <w:widowControl/>
              <w:spacing w:line="240" w:lineRule="auto"/>
              <w:ind w:firstLine="0" w:firstLineChars="0"/>
              <w:jc w:val="center"/>
              <w:rPr>
                <w:b/>
              </w:rPr>
            </w:pPr>
            <w:r>
              <w:rPr>
                <w:rFonts w:hint="eastAsia"/>
                <w:b/>
              </w:rPr>
              <w:t>主要职责</w:t>
            </w:r>
          </w:p>
        </w:tc>
        <w:tc>
          <w:tcPr>
            <w:tcW w:w="1276" w:type="dxa"/>
            <w:noWrap/>
            <w:vAlign w:val="center"/>
          </w:tcPr>
          <w:p w14:paraId="6439BB84">
            <w:pPr>
              <w:widowControl/>
              <w:spacing w:line="240" w:lineRule="auto"/>
              <w:ind w:firstLine="0" w:firstLineChars="0"/>
              <w:jc w:val="center"/>
              <w:rPr>
                <w:b/>
              </w:rPr>
            </w:pPr>
            <w:r>
              <w:rPr>
                <w:rFonts w:hint="eastAsia"/>
                <w:b/>
              </w:rPr>
              <w:t>人员数量</w:t>
            </w:r>
          </w:p>
        </w:tc>
        <w:tc>
          <w:tcPr>
            <w:tcW w:w="2307" w:type="dxa"/>
            <w:vAlign w:val="center"/>
          </w:tcPr>
          <w:p w14:paraId="15DBB0B7">
            <w:pPr>
              <w:widowControl/>
              <w:spacing w:line="240" w:lineRule="auto"/>
              <w:ind w:firstLine="0" w:firstLineChars="0"/>
              <w:jc w:val="center"/>
              <w:rPr>
                <w:b/>
              </w:rPr>
            </w:pPr>
            <w:r>
              <w:rPr>
                <w:rFonts w:hint="eastAsia"/>
                <w:b/>
              </w:rPr>
              <w:t>人员要求</w:t>
            </w:r>
          </w:p>
        </w:tc>
        <w:tc>
          <w:tcPr>
            <w:tcW w:w="0" w:type="auto"/>
            <w:noWrap/>
            <w:vAlign w:val="center"/>
          </w:tcPr>
          <w:p w14:paraId="28171654">
            <w:pPr>
              <w:widowControl/>
              <w:spacing w:line="240" w:lineRule="auto"/>
              <w:ind w:firstLine="0" w:firstLineChars="0"/>
              <w:jc w:val="center"/>
              <w:rPr>
                <w:b/>
              </w:rPr>
            </w:pPr>
            <w:r>
              <w:rPr>
                <w:rFonts w:hint="eastAsia"/>
                <w:b/>
              </w:rPr>
              <w:t>驻场要求</w:t>
            </w:r>
          </w:p>
        </w:tc>
      </w:tr>
      <w:tr w14:paraId="6575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24E41DF2">
            <w:pPr>
              <w:widowControl/>
              <w:spacing w:line="240" w:lineRule="auto"/>
              <w:ind w:firstLine="0" w:firstLineChars="0"/>
              <w:jc w:val="center"/>
            </w:pPr>
            <w:r>
              <w:rPr>
                <w:rFonts w:hint="eastAsia"/>
              </w:rPr>
              <w:t>项目经理</w:t>
            </w:r>
          </w:p>
        </w:tc>
        <w:tc>
          <w:tcPr>
            <w:tcW w:w="2123" w:type="dxa"/>
            <w:vAlign w:val="center"/>
          </w:tcPr>
          <w:p w14:paraId="5E5D949E">
            <w:pPr>
              <w:widowControl/>
              <w:spacing w:line="240" w:lineRule="auto"/>
              <w:ind w:firstLine="0" w:firstLineChars="0"/>
              <w:jc w:val="center"/>
            </w:pPr>
            <w:r>
              <w:rPr>
                <w:rFonts w:hint="eastAsia"/>
              </w:rPr>
              <w:t>负责项目质量和进度控制</w:t>
            </w:r>
          </w:p>
        </w:tc>
        <w:tc>
          <w:tcPr>
            <w:tcW w:w="1276" w:type="dxa"/>
            <w:noWrap/>
            <w:vAlign w:val="center"/>
          </w:tcPr>
          <w:p w14:paraId="471B6B15">
            <w:pPr>
              <w:widowControl/>
              <w:spacing w:line="240" w:lineRule="auto"/>
              <w:ind w:firstLine="0" w:firstLineChars="0"/>
              <w:jc w:val="center"/>
            </w:pPr>
            <w:r>
              <w:rPr>
                <w:rFonts w:hint="eastAsia"/>
              </w:rPr>
              <w:t>1人</w:t>
            </w:r>
          </w:p>
        </w:tc>
        <w:tc>
          <w:tcPr>
            <w:tcW w:w="2307" w:type="dxa"/>
            <w:vAlign w:val="center"/>
          </w:tcPr>
          <w:p w14:paraId="01E7DDDF">
            <w:pPr>
              <w:widowControl/>
              <w:spacing w:line="240" w:lineRule="auto"/>
              <w:ind w:firstLine="0" w:firstLineChars="0"/>
              <w:jc w:val="center"/>
            </w:pPr>
            <w:r>
              <w:rPr>
                <w:rFonts w:hint="eastAsia"/>
              </w:rPr>
              <w:t>具备</w:t>
            </w:r>
            <w:r>
              <w:t>信息系统项目管理师</w:t>
            </w:r>
            <w:r>
              <w:rPr>
                <w:rFonts w:hint="eastAsia"/>
              </w:rPr>
              <w:t>资质证书</w:t>
            </w:r>
          </w:p>
        </w:tc>
        <w:tc>
          <w:tcPr>
            <w:tcW w:w="0" w:type="auto"/>
            <w:noWrap/>
            <w:vAlign w:val="center"/>
          </w:tcPr>
          <w:p w14:paraId="3737744D">
            <w:pPr>
              <w:widowControl/>
              <w:spacing w:line="240" w:lineRule="auto"/>
              <w:ind w:firstLine="0" w:firstLineChars="0"/>
              <w:jc w:val="center"/>
            </w:pPr>
            <w:r>
              <w:rPr>
                <w:rFonts w:hint="eastAsia"/>
              </w:rPr>
              <w:t>驻场</w:t>
            </w:r>
          </w:p>
        </w:tc>
      </w:tr>
      <w:tr w14:paraId="3405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6807E953">
            <w:pPr>
              <w:widowControl/>
              <w:spacing w:line="240" w:lineRule="auto"/>
              <w:ind w:firstLine="0" w:firstLineChars="0"/>
              <w:jc w:val="center"/>
            </w:pPr>
            <w:r>
              <w:rPr>
                <w:rFonts w:hint="eastAsia"/>
              </w:rPr>
              <w:t>产品经理</w:t>
            </w:r>
          </w:p>
        </w:tc>
        <w:tc>
          <w:tcPr>
            <w:tcW w:w="2123" w:type="dxa"/>
            <w:vAlign w:val="center"/>
          </w:tcPr>
          <w:p w14:paraId="128EF404">
            <w:pPr>
              <w:widowControl/>
              <w:spacing w:line="240" w:lineRule="auto"/>
              <w:ind w:firstLine="0" w:firstLineChars="0"/>
              <w:jc w:val="center"/>
            </w:pPr>
            <w:r>
              <w:rPr>
                <w:rFonts w:hint="eastAsia"/>
              </w:rPr>
              <w:t>负责项目需求评估与产品设计</w:t>
            </w:r>
          </w:p>
        </w:tc>
        <w:tc>
          <w:tcPr>
            <w:tcW w:w="1276" w:type="dxa"/>
            <w:noWrap/>
            <w:vAlign w:val="center"/>
          </w:tcPr>
          <w:p w14:paraId="1133EF49">
            <w:pPr>
              <w:widowControl/>
              <w:spacing w:line="240" w:lineRule="auto"/>
              <w:ind w:firstLine="0" w:firstLineChars="0"/>
              <w:jc w:val="center"/>
            </w:pPr>
            <w:r>
              <w:rPr>
                <w:rFonts w:hint="eastAsia"/>
              </w:rPr>
              <w:t>1人</w:t>
            </w:r>
          </w:p>
        </w:tc>
        <w:tc>
          <w:tcPr>
            <w:tcW w:w="2307" w:type="dxa"/>
            <w:vAlign w:val="center"/>
          </w:tcPr>
          <w:p w14:paraId="106F6EFB">
            <w:pPr>
              <w:widowControl/>
              <w:spacing w:line="240" w:lineRule="auto"/>
              <w:ind w:firstLine="0" w:firstLineChars="0"/>
              <w:jc w:val="center"/>
            </w:pPr>
            <w:r>
              <w:rPr>
                <w:rFonts w:hint="eastAsia"/>
              </w:rPr>
              <w:t>具备</w:t>
            </w:r>
            <w:r>
              <w:t>信息系统项目管理师</w:t>
            </w:r>
            <w:r>
              <w:rPr>
                <w:rFonts w:hint="eastAsia"/>
              </w:rPr>
              <w:t>资质证书</w:t>
            </w:r>
          </w:p>
        </w:tc>
        <w:tc>
          <w:tcPr>
            <w:tcW w:w="0" w:type="auto"/>
            <w:noWrap/>
            <w:vAlign w:val="center"/>
          </w:tcPr>
          <w:p w14:paraId="1E015426">
            <w:pPr>
              <w:widowControl/>
              <w:spacing w:line="240" w:lineRule="auto"/>
              <w:ind w:firstLine="0" w:firstLineChars="0"/>
              <w:jc w:val="center"/>
            </w:pPr>
            <w:r>
              <w:rPr>
                <w:rFonts w:hint="eastAsia"/>
              </w:rPr>
              <w:t>驻场</w:t>
            </w:r>
          </w:p>
        </w:tc>
      </w:tr>
      <w:tr w14:paraId="615E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649940E2">
            <w:pPr>
              <w:widowControl/>
              <w:spacing w:line="240" w:lineRule="auto"/>
              <w:ind w:firstLine="0" w:firstLineChars="0"/>
              <w:jc w:val="center"/>
            </w:pPr>
            <w:r>
              <w:rPr>
                <w:rFonts w:hint="eastAsia"/>
              </w:rPr>
              <w:t>技术负责人</w:t>
            </w:r>
          </w:p>
        </w:tc>
        <w:tc>
          <w:tcPr>
            <w:tcW w:w="2123" w:type="dxa"/>
            <w:noWrap/>
            <w:vAlign w:val="center"/>
          </w:tcPr>
          <w:p w14:paraId="665B0966">
            <w:pPr>
              <w:widowControl/>
              <w:spacing w:line="240" w:lineRule="auto"/>
              <w:ind w:firstLine="0" w:firstLineChars="0"/>
              <w:jc w:val="center"/>
            </w:pPr>
            <w:r>
              <w:rPr>
                <w:rFonts w:hint="eastAsia"/>
              </w:rPr>
              <w:t>负责项目设计及框架建设</w:t>
            </w:r>
          </w:p>
        </w:tc>
        <w:tc>
          <w:tcPr>
            <w:tcW w:w="1276" w:type="dxa"/>
            <w:noWrap/>
            <w:vAlign w:val="center"/>
          </w:tcPr>
          <w:p w14:paraId="4D846C17">
            <w:pPr>
              <w:widowControl/>
              <w:spacing w:line="240" w:lineRule="auto"/>
              <w:ind w:firstLine="0" w:firstLineChars="0"/>
              <w:jc w:val="center"/>
            </w:pPr>
            <w:r>
              <w:rPr>
                <w:rFonts w:hint="eastAsia"/>
              </w:rPr>
              <w:t>1人</w:t>
            </w:r>
          </w:p>
        </w:tc>
        <w:tc>
          <w:tcPr>
            <w:tcW w:w="2307" w:type="dxa"/>
            <w:vAlign w:val="center"/>
          </w:tcPr>
          <w:p w14:paraId="6C33869E">
            <w:pPr>
              <w:widowControl/>
              <w:spacing w:line="240" w:lineRule="auto"/>
              <w:ind w:firstLine="0" w:firstLineChars="0"/>
              <w:jc w:val="center"/>
            </w:pPr>
            <w:r>
              <w:rPr>
                <w:rFonts w:hint="eastAsia"/>
              </w:rPr>
              <w:t>具备类似项目设计及框架建设经验</w:t>
            </w:r>
          </w:p>
        </w:tc>
        <w:tc>
          <w:tcPr>
            <w:tcW w:w="0" w:type="auto"/>
            <w:noWrap/>
            <w:vAlign w:val="center"/>
          </w:tcPr>
          <w:p w14:paraId="0FC05A8E">
            <w:pPr>
              <w:widowControl/>
              <w:spacing w:line="240" w:lineRule="auto"/>
              <w:ind w:firstLine="0" w:firstLineChars="0"/>
              <w:jc w:val="center"/>
            </w:pPr>
            <w:r>
              <w:rPr>
                <w:rFonts w:hint="eastAsia"/>
              </w:rPr>
              <w:t>驻场</w:t>
            </w:r>
          </w:p>
        </w:tc>
      </w:tr>
      <w:tr w14:paraId="5835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098C4031">
            <w:pPr>
              <w:widowControl/>
              <w:spacing w:line="240" w:lineRule="auto"/>
              <w:ind w:firstLine="0" w:firstLineChars="0"/>
              <w:jc w:val="center"/>
            </w:pPr>
            <w:r>
              <w:rPr>
                <w:rFonts w:hint="eastAsia"/>
              </w:rPr>
              <w:t>研发</w:t>
            </w:r>
          </w:p>
        </w:tc>
        <w:tc>
          <w:tcPr>
            <w:tcW w:w="2123" w:type="dxa"/>
            <w:noWrap/>
            <w:vAlign w:val="center"/>
          </w:tcPr>
          <w:p w14:paraId="64875CA8">
            <w:pPr>
              <w:widowControl/>
              <w:spacing w:line="240" w:lineRule="auto"/>
              <w:ind w:firstLine="0" w:firstLineChars="0"/>
              <w:jc w:val="center"/>
            </w:pPr>
            <w:r>
              <w:rPr>
                <w:rFonts w:hint="eastAsia"/>
              </w:rPr>
              <w:t>负责项目具体开发与实施</w:t>
            </w:r>
          </w:p>
        </w:tc>
        <w:tc>
          <w:tcPr>
            <w:tcW w:w="1276" w:type="dxa"/>
            <w:noWrap/>
            <w:vAlign w:val="center"/>
          </w:tcPr>
          <w:p w14:paraId="37FA9676">
            <w:pPr>
              <w:widowControl/>
              <w:spacing w:line="240" w:lineRule="auto"/>
              <w:ind w:firstLine="0" w:firstLineChars="0"/>
              <w:jc w:val="center"/>
            </w:pPr>
            <w:r>
              <w:rPr>
                <w:rFonts w:hint="eastAsia"/>
              </w:rPr>
              <w:t>6人</w:t>
            </w:r>
          </w:p>
        </w:tc>
        <w:tc>
          <w:tcPr>
            <w:tcW w:w="2307" w:type="dxa"/>
            <w:vAlign w:val="center"/>
          </w:tcPr>
          <w:p w14:paraId="236B0941">
            <w:pPr>
              <w:widowControl/>
              <w:spacing w:line="240" w:lineRule="auto"/>
              <w:ind w:firstLine="0" w:firstLineChars="0"/>
              <w:jc w:val="center"/>
            </w:pPr>
            <w:r>
              <w:rPr>
                <w:rFonts w:hint="eastAsia"/>
              </w:rPr>
              <w:t>具备类似信息系统开发经验</w:t>
            </w:r>
          </w:p>
        </w:tc>
        <w:tc>
          <w:tcPr>
            <w:tcW w:w="0" w:type="auto"/>
            <w:noWrap/>
            <w:vAlign w:val="center"/>
          </w:tcPr>
          <w:p w14:paraId="5C4EDB07">
            <w:pPr>
              <w:widowControl/>
              <w:spacing w:line="240" w:lineRule="auto"/>
              <w:ind w:firstLine="0" w:firstLineChars="0"/>
              <w:jc w:val="center"/>
            </w:pPr>
            <w:r>
              <w:rPr>
                <w:rFonts w:hint="eastAsia"/>
              </w:rPr>
              <w:t>驻场</w:t>
            </w:r>
          </w:p>
        </w:tc>
      </w:tr>
      <w:tr w14:paraId="7E46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17D36C08">
            <w:pPr>
              <w:widowControl/>
              <w:spacing w:line="240" w:lineRule="auto"/>
              <w:ind w:firstLine="0" w:firstLineChars="0"/>
              <w:jc w:val="center"/>
            </w:pPr>
            <w:r>
              <w:rPr>
                <w:rFonts w:hint="eastAsia"/>
              </w:rPr>
              <w:t>质量管理</w:t>
            </w:r>
          </w:p>
        </w:tc>
        <w:tc>
          <w:tcPr>
            <w:tcW w:w="2123" w:type="dxa"/>
            <w:noWrap/>
            <w:vAlign w:val="center"/>
          </w:tcPr>
          <w:p w14:paraId="24E43604">
            <w:pPr>
              <w:widowControl/>
              <w:spacing w:line="240" w:lineRule="auto"/>
              <w:ind w:firstLine="0" w:firstLineChars="0"/>
              <w:jc w:val="center"/>
            </w:pPr>
            <w:r>
              <w:rPr>
                <w:rFonts w:hint="eastAsia"/>
              </w:rPr>
              <w:t>负责项目质量管理及质量控制</w:t>
            </w:r>
          </w:p>
        </w:tc>
        <w:tc>
          <w:tcPr>
            <w:tcW w:w="1276" w:type="dxa"/>
            <w:noWrap/>
            <w:vAlign w:val="center"/>
          </w:tcPr>
          <w:p w14:paraId="61F8F963">
            <w:pPr>
              <w:widowControl/>
              <w:spacing w:line="240" w:lineRule="auto"/>
              <w:ind w:firstLine="0" w:firstLineChars="0"/>
              <w:jc w:val="center"/>
            </w:pPr>
            <w:r>
              <w:rPr>
                <w:rFonts w:hint="eastAsia"/>
              </w:rPr>
              <w:t>1人</w:t>
            </w:r>
          </w:p>
        </w:tc>
        <w:tc>
          <w:tcPr>
            <w:tcW w:w="2307" w:type="dxa"/>
            <w:vAlign w:val="center"/>
          </w:tcPr>
          <w:p w14:paraId="2784452D">
            <w:pPr>
              <w:widowControl/>
              <w:spacing w:line="240" w:lineRule="auto"/>
              <w:ind w:firstLine="0" w:firstLineChars="0"/>
              <w:jc w:val="center"/>
            </w:pPr>
            <w:r>
              <w:rPr>
                <w:rFonts w:hint="eastAsia"/>
              </w:rPr>
              <w:t>具备类似信息系统质量管理经验</w:t>
            </w:r>
          </w:p>
        </w:tc>
        <w:tc>
          <w:tcPr>
            <w:tcW w:w="0" w:type="auto"/>
            <w:noWrap/>
            <w:vAlign w:val="center"/>
          </w:tcPr>
          <w:p w14:paraId="185E8CA4">
            <w:pPr>
              <w:widowControl/>
              <w:spacing w:line="240" w:lineRule="auto"/>
              <w:ind w:firstLine="0" w:firstLineChars="0"/>
              <w:jc w:val="center"/>
            </w:pPr>
            <w:r>
              <w:rPr>
                <w:rFonts w:hint="eastAsia"/>
              </w:rPr>
              <w:t>不驻场</w:t>
            </w:r>
          </w:p>
        </w:tc>
      </w:tr>
    </w:tbl>
    <w:p w14:paraId="67143B37">
      <w:r>
        <w:rPr>
          <w:rFonts w:hint="eastAsia"/>
        </w:rPr>
        <w:t>(</w:t>
      </w:r>
      <w:r>
        <w:t>2</w:t>
      </w:r>
      <w:r>
        <w:rPr>
          <w:rFonts w:hint="eastAsia"/>
        </w:rPr>
        <w:t>)</w:t>
      </w:r>
      <w:r>
        <w:rPr>
          <w:rFonts w:hint="eastAsia"/>
          <w:lang w:eastAsia="zh-CN"/>
        </w:rPr>
        <w:t>供应商</w:t>
      </w:r>
      <w:r>
        <w:t>应针对本项目提供不少于4人的质保期间支撑团队（其中技术经理</w:t>
      </w:r>
      <w:r>
        <w:rPr>
          <w:rFonts w:hint="eastAsia"/>
        </w:rPr>
        <w:t>1</w:t>
      </w:r>
      <w:r>
        <w:t>人，产品经理</w:t>
      </w:r>
      <w:r>
        <w:rPr>
          <w:rFonts w:hint="eastAsia"/>
        </w:rPr>
        <w:t>1</w:t>
      </w:r>
      <w:r>
        <w:t>人，技术工程师不少于</w:t>
      </w:r>
      <w:r>
        <w:rPr>
          <w:rFonts w:hint="eastAsia"/>
        </w:rPr>
        <w:t>2</w:t>
      </w:r>
      <w:r>
        <w:t>人）；</w:t>
      </w:r>
      <w:r>
        <w:rPr>
          <w:rFonts w:hint="eastAsia"/>
          <w:lang w:eastAsia="zh-CN"/>
        </w:rPr>
        <w:t>供应商</w:t>
      </w:r>
      <w:r>
        <w:t>的相关服务人员需具备相应的服务能力，需提供相关证明（最近一个季度依法缴纳社保费的证明）。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265"/>
        <w:gridCol w:w="1276"/>
        <w:gridCol w:w="2165"/>
        <w:gridCol w:w="1180"/>
      </w:tblGrid>
      <w:tr w14:paraId="6E08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0E30AC49">
            <w:pPr>
              <w:widowControl/>
              <w:spacing w:line="240" w:lineRule="auto"/>
              <w:ind w:firstLine="0" w:firstLineChars="0"/>
              <w:jc w:val="center"/>
              <w:rPr>
                <w:b/>
              </w:rPr>
            </w:pPr>
            <w:r>
              <w:rPr>
                <w:rFonts w:hint="eastAsia"/>
                <w:b/>
              </w:rPr>
              <w:t>角色</w:t>
            </w:r>
          </w:p>
        </w:tc>
        <w:tc>
          <w:tcPr>
            <w:tcW w:w="2265" w:type="dxa"/>
            <w:noWrap/>
            <w:vAlign w:val="center"/>
          </w:tcPr>
          <w:p w14:paraId="7C4E374B">
            <w:pPr>
              <w:widowControl/>
              <w:spacing w:line="240" w:lineRule="auto"/>
              <w:ind w:firstLine="0" w:firstLineChars="0"/>
              <w:jc w:val="center"/>
              <w:rPr>
                <w:b/>
              </w:rPr>
            </w:pPr>
            <w:r>
              <w:rPr>
                <w:rFonts w:hint="eastAsia"/>
                <w:b/>
              </w:rPr>
              <w:t>主要职责</w:t>
            </w:r>
          </w:p>
        </w:tc>
        <w:tc>
          <w:tcPr>
            <w:tcW w:w="1276" w:type="dxa"/>
            <w:noWrap/>
            <w:vAlign w:val="center"/>
          </w:tcPr>
          <w:p w14:paraId="5FAC4316">
            <w:pPr>
              <w:widowControl/>
              <w:spacing w:line="240" w:lineRule="auto"/>
              <w:ind w:firstLine="0" w:firstLineChars="0"/>
              <w:jc w:val="center"/>
              <w:rPr>
                <w:b/>
              </w:rPr>
            </w:pPr>
            <w:r>
              <w:rPr>
                <w:rFonts w:hint="eastAsia"/>
                <w:b/>
              </w:rPr>
              <w:t>人员数量</w:t>
            </w:r>
          </w:p>
        </w:tc>
        <w:tc>
          <w:tcPr>
            <w:tcW w:w="2165" w:type="dxa"/>
            <w:vAlign w:val="center"/>
          </w:tcPr>
          <w:p w14:paraId="6E969328">
            <w:pPr>
              <w:widowControl/>
              <w:spacing w:line="240" w:lineRule="auto"/>
              <w:ind w:firstLine="0" w:firstLineChars="0"/>
              <w:jc w:val="center"/>
              <w:rPr>
                <w:b/>
              </w:rPr>
            </w:pPr>
            <w:r>
              <w:rPr>
                <w:rFonts w:hint="eastAsia"/>
                <w:b/>
              </w:rPr>
              <w:t>人员要求</w:t>
            </w:r>
          </w:p>
        </w:tc>
        <w:tc>
          <w:tcPr>
            <w:tcW w:w="0" w:type="auto"/>
            <w:noWrap/>
            <w:vAlign w:val="center"/>
          </w:tcPr>
          <w:p w14:paraId="21986284">
            <w:pPr>
              <w:widowControl/>
              <w:spacing w:line="240" w:lineRule="auto"/>
              <w:ind w:firstLine="0" w:firstLineChars="0"/>
              <w:jc w:val="center"/>
              <w:rPr>
                <w:b/>
              </w:rPr>
            </w:pPr>
            <w:r>
              <w:rPr>
                <w:rFonts w:hint="eastAsia"/>
                <w:b/>
              </w:rPr>
              <w:t>驻场要求</w:t>
            </w:r>
          </w:p>
        </w:tc>
      </w:tr>
      <w:tr w14:paraId="0E78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4708702F">
            <w:pPr>
              <w:widowControl/>
              <w:spacing w:line="240" w:lineRule="auto"/>
              <w:ind w:firstLine="0" w:firstLineChars="0"/>
              <w:jc w:val="center"/>
            </w:pPr>
            <w:r>
              <w:rPr>
                <w:rFonts w:hint="eastAsia"/>
              </w:rPr>
              <w:t>项目经理</w:t>
            </w:r>
          </w:p>
        </w:tc>
        <w:tc>
          <w:tcPr>
            <w:tcW w:w="2265" w:type="dxa"/>
            <w:vAlign w:val="center"/>
          </w:tcPr>
          <w:p w14:paraId="29C49FB4">
            <w:pPr>
              <w:widowControl/>
              <w:spacing w:line="240" w:lineRule="auto"/>
              <w:ind w:firstLine="0" w:firstLineChars="0"/>
              <w:jc w:val="center"/>
            </w:pPr>
            <w:r>
              <w:rPr>
                <w:rFonts w:hint="eastAsia"/>
              </w:rPr>
              <w:t>负责项目质量和进度控制</w:t>
            </w:r>
          </w:p>
        </w:tc>
        <w:tc>
          <w:tcPr>
            <w:tcW w:w="1276" w:type="dxa"/>
            <w:noWrap/>
            <w:vAlign w:val="center"/>
          </w:tcPr>
          <w:p w14:paraId="772F940E">
            <w:pPr>
              <w:widowControl/>
              <w:spacing w:line="240" w:lineRule="auto"/>
              <w:ind w:firstLine="0" w:firstLineChars="0"/>
              <w:jc w:val="center"/>
            </w:pPr>
            <w:r>
              <w:rPr>
                <w:rFonts w:hint="eastAsia"/>
              </w:rPr>
              <w:t>1人</w:t>
            </w:r>
          </w:p>
        </w:tc>
        <w:tc>
          <w:tcPr>
            <w:tcW w:w="2165" w:type="dxa"/>
            <w:vAlign w:val="center"/>
          </w:tcPr>
          <w:p w14:paraId="774FCADA">
            <w:pPr>
              <w:widowControl/>
              <w:spacing w:line="240" w:lineRule="auto"/>
              <w:ind w:firstLine="0" w:firstLineChars="0"/>
              <w:jc w:val="center"/>
            </w:pPr>
            <w:r>
              <w:rPr>
                <w:rFonts w:hint="eastAsia"/>
              </w:rPr>
              <w:t>具备</w:t>
            </w:r>
            <w:r>
              <w:t>信息系统项目管理师</w:t>
            </w:r>
            <w:r>
              <w:rPr>
                <w:rFonts w:hint="eastAsia"/>
              </w:rPr>
              <w:t>资质证书</w:t>
            </w:r>
          </w:p>
        </w:tc>
        <w:tc>
          <w:tcPr>
            <w:tcW w:w="0" w:type="auto"/>
            <w:noWrap/>
            <w:vAlign w:val="center"/>
          </w:tcPr>
          <w:p w14:paraId="4B261172">
            <w:pPr>
              <w:widowControl/>
              <w:spacing w:line="240" w:lineRule="auto"/>
              <w:ind w:firstLine="0" w:firstLineChars="0"/>
              <w:jc w:val="center"/>
            </w:pPr>
            <w:r>
              <w:rPr>
                <w:rFonts w:hint="eastAsia"/>
              </w:rPr>
              <w:t>驻场</w:t>
            </w:r>
          </w:p>
        </w:tc>
      </w:tr>
      <w:tr w14:paraId="7821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2E9095ED">
            <w:pPr>
              <w:widowControl/>
              <w:spacing w:line="240" w:lineRule="auto"/>
              <w:ind w:firstLine="0" w:firstLineChars="0"/>
              <w:jc w:val="center"/>
            </w:pPr>
            <w:r>
              <w:rPr>
                <w:rFonts w:hint="eastAsia"/>
              </w:rPr>
              <w:t>产品经理</w:t>
            </w:r>
          </w:p>
        </w:tc>
        <w:tc>
          <w:tcPr>
            <w:tcW w:w="2265" w:type="dxa"/>
            <w:vAlign w:val="center"/>
          </w:tcPr>
          <w:p w14:paraId="7BD4836E">
            <w:pPr>
              <w:widowControl/>
              <w:spacing w:line="240" w:lineRule="auto"/>
              <w:ind w:firstLine="0" w:firstLineChars="0"/>
              <w:jc w:val="center"/>
            </w:pPr>
            <w:r>
              <w:rPr>
                <w:rFonts w:hint="eastAsia"/>
              </w:rPr>
              <w:t>负责项目需求评估与产品设计</w:t>
            </w:r>
          </w:p>
        </w:tc>
        <w:tc>
          <w:tcPr>
            <w:tcW w:w="1276" w:type="dxa"/>
            <w:noWrap/>
            <w:vAlign w:val="center"/>
          </w:tcPr>
          <w:p w14:paraId="22C3071A">
            <w:pPr>
              <w:widowControl/>
              <w:spacing w:line="240" w:lineRule="auto"/>
              <w:ind w:firstLine="0" w:firstLineChars="0"/>
              <w:jc w:val="center"/>
            </w:pPr>
            <w:r>
              <w:rPr>
                <w:rFonts w:hint="eastAsia"/>
              </w:rPr>
              <w:t>1人</w:t>
            </w:r>
          </w:p>
        </w:tc>
        <w:tc>
          <w:tcPr>
            <w:tcW w:w="2165" w:type="dxa"/>
            <w:vAlign w:val="center"/>
          </w:tcPr>
          <w:p w14:paraId="2EF438E7">
            <w:pPr>
              <w:widowControl/>
              <w:spacing w:line="240" w:lineRule="auto"/>
              <w:ind w:firstLine="0" w:firstLineChars="0"/>
              <w:jc w:val="center"/>
            </w:pPr>
            <w:r>
              <w:rPr>
                <w:rFonts w:hint="eastAsia"/>
              </w:rPr>
              <w:t>具备</w:t>
            </w:r>
            <w:r>
              <w:t>信息系统项目管理师</w:t>
            </w:r>
            <w:r>
              <w:rPr>
                <w:rFonts w:hint="eastAsia"/>
              </w:rPr>
              <w:t>资质证书</w:t>
            </w:r>
          </w:p>
        </w:tc>
        <w:tc>
          <w:tcPr>
            <w:tcW w:w="0" w:type="auto"/>
            <w:noWrap/>
            <w:vAlign w:val="center"/>
          </w:tcPr>
          <w:p w14:paraId="6A37C231">
            <w:pPr>
              <w:widowControl/>
              <w:spacing w:line="240" w:lineRule="auto"/>
              <w:ind w:firstLine="0" w:firstLineChars="0"/>
              <w:jc w:val="center"/>
            </w:pPr>
            <w:r>
              <w:rPr>
                <w:rFonts w:hint="eastAsia"/>
              </w:rPr>
              <w:t>驻场</w:t>
            </w:r>
          </w:p>
        </w:tc>
      </w:tr>
      <w:tr w14:paraId="2A8B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43FE07FC">
            <w:pPr>
              <w:widowControl/>
              <w:spacing w:line="240" w:lineRule="auto"/>
              <w:ind w:firstLine="0" w:firstLineChars="0"/>
              <w:jc w:val="center"/>
            </w:pPr>
            <w:r>
              <w:rPr>
                <w:rFonts w:hint="eastAsia"/>
              </w:rPr>
              <w:t>技术工程师</w:t>
            </w:r>
          </w:p>
        </w:tc>
        <w:tc>
          <w:tcPr>
            <w:tcW w:w="2265" w:type="dxa"/>
            <w:noWrap/>
            <w:vAlign w:val="center"/>
          </w:tcPr>
          <w:p w14:paraId="038525B1">
            <w:pPr>
              <w:widowControl/>
              <w:spacing w:line="240" w:lineRule="auto"/>
              <w:ind w:firstLine="0" w:firstLineChars="0"/>
              <w:jc w:val="center"/>
            </w:pPr>
            <w:r>
              <w:rPr>
                <w:rFonts w:hint="eastAsia"/>
              </w:rPr>
              <w:t>负责项目运行维护</w:t>
            </w:r>
          </w:p>
        </w:tc>
        <w:tc>
          <w:tcPr>
            <w:tcW w:w="1276" w:type="dxa"/>
            <w:noWrap/>
            <w:vAlign w:val="center"/>
          </w:tcPr>
          <w:p w14:paraId="2603B44B">
            <w:pPr>
              <w:widowControl/>
              <w:spacing w:line="240" w:lineRule="auto"/>
              <w:ind w:firstLine="0" w:firstLineChars="0"/>
              <w:jc w:val="center"/>
            </w:pPr>
            <w:r>
              <w:t>2</w:t>
            </w:r>
            <w:r>
              <w:rPr>
                <w:rFonts w:hint="eastAsia"/>
              </w:rPr>
              <w:t>人</w:t>
            </w:r>
          </w:p>
        </w:tc>
        <w:tc>
          <w:tcPr>
            <w:tcW w:w="2165" w:type="dxa"/>
            <w:vAlign w:val="center"/>
          </w:tcPr>
          <w:p w14:paraId="7728758A">
            <w:pPr>
              <w:widowControl/>
              <w:spacing w:line="240" w:lineRule="auto"/>
              <w:ind w:firstLine="0" w:firstLineChars="0"/>
              <w:jc w:val="center"/>
            </w:pPr>
            <w:r>
              <w:rPr>
                <w:rFonts w:cs="仿宋"/>
              </w:rPr>
              <w:t>具备类似项目维护经验</w:t>
            </w:r>
          </w:p>
        </w:tc>
        <w:tc>
          <w:tcPr>
            <w:tcW w:w="0" w:type="auto"/>
            <w:noWrap/>
            <w:vAlign w:val="center"/>
          </w:tcPr>
          <w:p w14:paraId="6632163B">
            <w:pPr>
              <w:widowControl/>
              <w:spacing w:line="240" w:lineRule="auto"/>
              <w:ind w:firstLine="0" w:firstLineChars="0"/>
              <w:jc w:val="center"/>
            </w:pPr>
            <w:r>
              <w:rPr>
                <w:rFonts w:hint="eastAsia"/>
              </w:rPr>
              <w:t>驻场</w:t>
            </w:r>
          </w:p>
        </w:tc>
      </w:tr>
    </w:tbl>
    <w:p w14:paraId="5133A406">
      <w:pPr>
        <w:pStyle w:val="3"/>
        <w:numPr>
          <w:ilvl w:val="1"/>
          <w:numId w:val="3"/>
        </w:numPr>
      </w:pPr>
      <w:bookmarkStart w:id="35" w:name="_Toc63785511"/>
      <w:r>
        <w:t>等级保护要求</w:t>
      </w:r>
      <w:bookmarkEnd w:id="35"/>
    </w:p>
    <w:p w14:paraId="4528645A">
      <w:r>
        <w:t>本项目等级保护要求：</w:t>
      </w:r>
      <w:r>
        <w:rPr>
          <w:rFonts w:hint="eastAsia"/>
        </w:rPr>
        <w:t>本项目应满足三级等保的安全规范要求。供应商应配合第三方测评机构完成等保测评工作。</w:t>
      </w:r>
    </w:p>
    <w:p w14:paraId="399EB94C">
      <w:pPr>
        <w:pStyle w:val="3"/>
        <w:numPr>
          <w:ilvl w:val="1"/>
          <w:numId w:val="3"/>
        </w:numPr>
      </w:pPr>
      <w:r>
        <w:rPr>
          <w:rFonts w:hint="eastAsia"/>
        </w:rPr>
        <w:t>商用密码应用需求</w:t>
      </w:r>
    </w:p>
    <w:p w14:paraId="193761F8">
      <w:r>
        <w:rPr>
          <w:rFonts w:hint="eastAsia"/>
        </w:rPr>
        <w:t>本项目应满足</w:t>
      </w:r>
      <w:r>
        <w:t>GB/T 39786-2021《信息安全技术 信息系统密码应用基本要求》第三级信息系统要求。供应商应免费协助建设单位向上海市大数据中心申请商业密码应用的相关资源。供应商应配合第三方测评机构完成商用密码测评工作。</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940"/>
        <w:gridCol w:w="4819"/>
        <w:gridCol w:w="794"/>
      </w:tblGrid>
      <w:tr w14:paraId="214F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14:paraId="7CB613E6">
            <w:pPr>
              <w:widowControl/>
              <w:spacing w:line="240" w:lineRule="auto"/>
              <w:ind w:firstLine="0" w:firstLineChars="0"/>
              <w:jc w:val="center"/>
              <w:rPr>
                <w:rFonts w:cs="仿宋"/>
              </w:rPr>
            </w:pPr>
            <w:r>
              <w:rPr>
                <w:rFonts w:hint="eastAsia" w:cs="仿宋"/>
              </w:rPr>
              <w:t>安全层面</w:t>
            </w:r>
          </w:p>
        </w:tc>
        <w:tc>
          <w:tcPr>
            <w:tcW w:w="1940" w:type="dxa"/>
            <w:vAlign w:val="center"/>
          </w:tcPr>
          <w:p w14:paraId="70265038">
            <w:pPr>
              <w:widowControl/>
              <w:spacing w:line="240" w:lineRule="auto"/>
              <w:ind w:firstLine="0" w:firstLineChars="0"/>
              <w:jc w:val="center"/>
              <w:rPr>
                <w:rFonts w:cs="仿宋"/>
              </w:rPr>
            </w:pPr>
            <w:r>
              <w:rPr>
                <w:rFonts w:hint="eastAsia" w:cs="仿宋"/>
              </w:rPr>
              <w:t>指标要求</w:t>
            </w:r>
          </w:p>
        </w:tc>
        <w:tc>
          <w:tcPr>
            <w:tcW w:w="4819" w:type="dxa"/>
            <w:vAlign w:val="center"/>
          </w:tcPr>
          <w:p w14:paraId="08E06351">
            <w:pPr>
              <w:widowControl/>
              <w:spacing w:line="240" w:lineRule="auto"/>
              <w:ind w:firstLine="0" w:firstLineChars="0"/>
              <w:jc w:val="center"/>
              <w:rPr>
                <w:rFonts w:cs="仿宋"/>
              </w:rPr>
            </w:pPr>
            <w:r>
              <w:rPr>
                <w:rFonts w:hint="eastAsia" w:cs="仿宋"/>
              </w:rPr>
              <w:t>系统密码应用需求</w:t>
            </w:r>
          </w:p>
        </w:tc>
        <w:tc>
          <w:tcPr>
            <w:tcW w:w="794" w:type="dxa"/>
            <w:vAlign w:val="center"/>
          </w:tcPr>
          <w:p w14:paraId="234ECE5A">
            <w:pPr>
              <w:widowControl/>
              <w:spacing w:line="240" w:lineRule="auto"/>
              <w:ind w:firstLine="0" w:firstLineChars="0"/>
              <w:jc w:val="center"/>
              <w:rPr>
                <w:rFonts w:cs="仿宋"/>
              </w:rPr>
            </w:pPr>
            <w:r>
              <w:rPr>
                <w:rFonts w:hint="eastAsia" w:cs="仿宋"/>
              </w:rPr>
              <w:t>不适用说明</w:t>
            </w:r>
          </w:p>
        </w:tc>
      </w:tr>
      <w:tr w14:paraId="71DD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vAlign w:val="center"/>
          </w:tcPr>
          <w:p w14:paraId="74B73D96">
            <w:pPr>
              <w:widowControl/>
              <w:spacing w:line="240" w:lineRule="auto"/>
              <w:ind w:firstLine="0" w:firstLineChars="0"/>
              <w:jc w:val="center"/>
              <w:rPr>
                <w:rFonts w:cs="仿宋"/>
              </w:rPr>
            </w:pPr>
            <w:r>
              <w:rPr>
                <w:rFonts w:hint="eastAsia" w:cs="仿宋"/>
              </w:rPr>
              <w:t>物理和环境安全</w:t>
            </w:r>
          </w:p>
        </w:tc>
        <w:tc>
          <w:tcPr>
            <w:tcW w:w="1940" w:type="dxa"/>
            <w:vAlign w:val="center"/>
          </w:tcPr>
          <w:p w14:paraId="34C29A54">
            <w:pPr>
              <w:widowControl/>
              <w:spacing w:line="240" w:lineRule="auto"/>
              <w:ind w:firstLine="0" w:firstLineChars="0"/>
              <w:jc w:val="center"/>
              <w:rPr>
                <w:rFonts w:cs="仿宋"/>
              </w:rPr>
            </w:pPr>
            <w:r>
              <w:rPr>
                <w:rFonts w:hint="eastAsia" w:cs="仿宋"/>
              </w:rPr>
              <w:t>身份鉴别</w:t>
            </w:r>
          </w:p>
        </w:tc>
        <w:tc>
          <w:tcPr>
            <w:tcW w:w="4819" w:type="dxa"/>
            <w:vAlign w:val="center"/>
          </w:tcPr>
          <w:p w14:paraId="28A765A7">
            <w:pPr>
              <w:widowControl/>
              <w:spacing w:line="240" w:lineRule="auto"/>
              <w:ind w:firstLine="0" w:firstLineChars="0"/>
              <w:jc w:val="center"/>
              <w:rPr>
                <w:rFonts w:cs="仿宋"/>
              </w:rPr>
            </w:pPr>
            <w:r>
              <w:rPr>
                <w:rFonts w:hint="eastAsia" w:cs="仿宋"/>
              </w:rPr>
              <w:t>确认进入机房人员身份的真实性，防止假冒人员进入。</w:t>
            </w:r>
          </w:p>
        </w:tc>
        <w:tc>
          <w:tcPr>
            <w:tcW w:w="794" w:type="dxa"/>
            <w:vAlign w:val="center"/>
          </w:tcPr>
          <w:p w14:paraId="38F3890A">
            <w:pPr>
              <w:widowControl/>
              <w:spacing w:line="240" w:lineRule="auto"/>
              <w:ind w:firstLine="0" w:firstLineChars="0"/>
              <w:jc w:val="center"/>
              <w:rPr>
                <w:rFonts w:cs="仿宋"/>
              </w:rPr>
            </w:pPr>
            <w:r>
              <w:rPr>
                <w:rFonts w:hint="eastAsia" w:cs="仿宋"/>
              </w:rPr>
              <w:t>无</w:t>
            </w:r>
          </w:p>
        </w:tc>
      </w:tr>
      <w:tr w14:paraId="7E37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4C68084C">
            <w:pPr>
              <w:widowControl/>
              <w:spacing w:line="240" w:lineRule="auto"/>
              <w:ind w:firstLine="0" w:firstLineChars="0"/>
              <w:jc w:val="center"/>
              <w:rPr>
                <w:rFonts w:cs="仿宋"/>
              </w:rPr>
            </w:pPr>
          </w:p>
        </w:tc>
        <w:tc>
          <w:tcPr>
            <w:tcW w:w="1940" w:type="dxa"/>
            <w:vAlign w:val="center"/>
          </w:tcPr>
          <w:p w14:paraId="4E133C3A">
            <w:pPr>
              <w:widowControl/>
              <w:spacing w:line="240" w:lineRule="auto"/>
              <w:ind w:firstLine="0" w:firstLineChars="0"/>
              <w:jc w:val="center"/>
              <w:rPr>
                <w:rFonts w:cs="仿宋"/>
              </w:rPr>
            </w:pPr>
            <w:r>
              <w:rPr>
                <w:rFonts w:hint="eastAsia" w:cs="仿宋"/>
              </w:rPr>
              <w:t>电子门禁记录数据完整性</w:t>
            </w:r>
          </w:p>
        </w:tc>
        <w:tc>
          <w:tcPr>
            <w:tcW w:w="4819" w:type="dxa"/>
            <w:vMerge w:val="restart"/>
            <w:vAlign w:val="center"/>
          </w:tcPr>
          <w:p w14:paraId="52FA5722">
            <w:pPr>
              <w:widowControl/>
              <w:spacing w:line="240" w:lineRule="auto"/>
              <w:ind w:firstLine="0" w:firstLineChars="0"/>
              <w:jc w:val="center"/>
              <w:rPr>
                <w:rFonts w:cs="仿宋"/>
              </w:rPr>
            </w:pPr>
            <w:r>
              <w:rPr>
                <w:rFonts w:hint="eastAsia" w:cs="仿宋"/>
              </w:rPr>
              <w:t>保护电子门禁系统进出记录和视频监控音像记录的完整性，防止被非授权篡改。</w:t>
            </w:r>
          </w:p>
        </w:tc>
        <w:tc>
          <w:tcPr>
            <w:tcW w:w="794" w:type="dxa"/>
            <w:vMerge w:val="restart"/>
            <w:vAlign w:val="center"/>
          </w:tcPr>
          <w:p w14:paraId="68ED99ED">
            <w:pPr>
              <w:widowControl/>
              <w:spacing w:line="240" w:lineRule="auto"/>
              <w:ind w:firstLine="0" w:firstLineChars="0"/>
              <w:jc w:val="center"/>
              <w:rPr>
                <w:rFonts w:cs="仿宋"/>
              </w:rPr>
            </w:pPr>
            <w:r>
              <w:rPr>
                <w:rFonts w:hint="eastAsia" w:cs="仿宋"/>
              </w:rPr>
              <w:t>无</w:t>
            </w:r>
          </w:p>
        </w:tc>
      </w:tr>
      <w:tr w14:paraId="1346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9" w:type="dxa"/>
            <w:vMerge w:val="continue"/>
            <w:vAlign w:val="center"/>
          </w:tcPr>
          <w:p w14:paraId="20E6E6C3">
            <w:pPr>
              <w:widowControl/>
              <w:spacing w:line="240" w:lineRule="auto"/>
              <w:ind w:firstLine="0" w:firstLineChars="0"/>
              <w:jc w:val="center"/>
              <w:rPr>
                <w:rFonts w:cs="仿宋"/>
              </w:rPr>
            </w:pPr>
          </w:p>
        </w:tc>
        <w:tc>
          <w:tcPr>
            <w:tcW w:w="1940" w:type="dxa"/>
            <w:vAlign w:val="center"/>
          </w:tcPr>
          <w:p w14:paraId="552F881A">
            <w:pPr>
              <w:widowControl/>
              <w:spacing w:line="240" w:lineRule="auto"/>
              <w:ind w:firstLine="0" w:firstLineChars="0"/>
              <w:jc w:val="center"/>
              <w:rPr>
                <w:rFonts w:cs="仿宋"/>
              </w:rPr>
            </w:pPr>
            <w:r>
              <w:rPr>
                <w:rFonts w:hint="eastAsia" w:cs="仿宋"/>
              </w:rPr>
              <w:t>视频监控记录数据完整性</w:t>
            </w:r>
          </w:p>
        </w:tc>
        <w:tc>
          <w:tcPr>
            <w:tcW w:w="4819" w:type="dxa"/>
            <w:vMerge w:val="continue"/>
            <w:vAlign w:val="center"/>
          </w:tcPr>
          <w:p w14:paraId="1B852F4E">
            <w:pPr>
              <w:widowControl/>
              <w:spacing w:line="240" w:lineRule="auto"/>
              <w:ind w:firstLine="0" w:firstLineChars="0"/>
              <w:jc w:val="center"/>
              <w:rPr>
                <w:rFonts w:cs="仿宋"/>
              </w:rPr>
            </w:pPr>
          </w:p>
        </w:tc>
        <w:tc>
          <w:tcPr>
            <w:tcW w:w="794" w:type="dxa"/>
            <w:vMerge w:val="continue"/>
            <w:vAlign w:val="center"/>
          </w:tcPr>
          <w:p w14:paraId="5F747F5A">
            <w:pPr>
              <w:widowControl/>
              <w:spacing w:line="240" w:lineRule="auto"/>
              <w:ind w:firstLine="0" w:firstLineChars="0"/>
              <w:jc w:val="center"/>
              <w:rPr>
                <w:rFonts w:cs="仿宋"/>
              </w:rPr>
            </w:pPr>
          </w:p>
        </w:tc>
      </w:tr>
      <w:tr w14:paraId="6809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14888DBA">
            <w:pPr>
              <w:widowControl/>
              <w:spacing w:line="240" w:lineRule="auto"/>
              <w:ind w:firstLine="0" w:firstLineChars="0"/>
              <w:jc w:val="center"/>
              <w:rPr>
                <w:rFonts w:cs="仿宋"/>
              </w:rPr>
            </w:pPr>
          </w:p>
        </w:tc>
        <w:tc>
          <w:tcPr>
            <w:tcW w:w="1940" w:type="dxa"/>
            <w:vAlign w:val="center"/>
          </w:tcPr>
          <w:p w14:paraId="55B1C4C7">
            <w:pPr>
              <w:widowControl/>
              <w:spacing w:line="240" w:lineRule="auto"/>
              <w:ind w:firstLine="0" w:firstLineChars="0"/>
              <w:jc w:val="center"/>
              <w:rPr>
                <w:rFonts w:cs="仿宋"/>
              </w:rPr>
            </w:pPr>
            <w:r>
              <w:rPr>
                <w:rFonts w:hint="eastAsia" w:cs="仿宋"/>
              </w:rPr>
              <w:t>密码产品</w:t>
            </w:r>
          </w:p>
        </w:tc>
        <w:tc>
          <w:tcPr>
            <w:tcW w:w="4819" w:type="dxa"/>
            <w:vAlign w:val="center"/>
          </w:tcPr>
          <w:p w14:paraId="1FD6E694">
            <w:pPr>
              <w:widowControl/>
              <w:spacing w:line="240" w:lineRule="auto"/>
              <w:ind w:firstLine="0" w:firstLineChars="0"/>
              <w:jc w:val="center"/>
              <w:rPr>
                <w:rFonts w:cs="仿宋"/>
              </w:rPr>
            </w:pPr>
            <w:r>
              <w:rPr>
                <w:rFonts w:hint="eastAsia" w:cs="仿宋"/>
              </w:rPr>
              <w:t>采用的密码产品应达到</w:t>
            </w:r>
            <w:r>
              <w:rPr>
                <w:rFonts w:cs="仿宋"/>
              </w:rPr>
              <w:t>GB/T 37092</w:t>
            </w:r>
            <w:r>
              <w:rPr>
                <w:rFonts w:hint="eastAsia" w:cs="仿宋"/>
              </w:rPr>
              <w:t>-2018二级及以上安全要求。</w:t>
            </w:r>
          </w:p>
        </w:tc>
        <w:tc>
          <w:tcPr>
            <w:tcW w:w="794" w:type="dxa"/>
            <w:vAlign w:val="center"/>
          </w:tcPr>
          <w:p w14:paraId="12587EE8">
            <w:pPr>
              <w:widowControl/>
              <w:spacing w:line="240" w:lineRule="auto"/>
              <w:ind w:firstLine="0" w:firstLineChars="0"/>
              <w:jc w:val="center"/>
              <w:rPr>
                <w:rFonts w:cs="仿宋"/>
              </w:rPr>
            </w:pPr>
            <w:r>
              <w:rPr>
                <w:rFonts w:hint="eastAsia" w:cs="仿宋"/>
              </w:rPr>
              <w:t>无</w:t>
            </w:r>
          </w:p>
        </w:tc>
      </w:tr>
      <w:tr w14:paraId="7FFF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vAlign w:val="center"/>
          </w:tcPr>
          <w:p w14:paraId="44231DB4">
            <w:pPr>
              <w:widowControl/>
              <w:spacing w:line="240" w:lineRule="auto"/>
              <w:ind w:firstLine="0" w:firstLineChars="0"/>
              <w:jc w:val="center"/>
              <w:rPr>
                <w:rFonts w:cs="仿宋"/>
              </w:rPr>
            </w:pPr>
            <w:r>
              <w:rPr>
                <w:rFonts w:hint="eastAsia" w:cs="仿宋"/>
              </w:rPr>
              <w:t>网络和通信安全</w:t>
            </w:r>
          </w:p>
        </w:tc>
        <w:tc>
          <w:tcPr>
            <w:tcW w:w="1940" w:type="dxa"/>
            <w:vAlign w:val="center"/>
          </w:tcPr>
          <w:p w14:paraId="12375231">
            <w:pPr>
              <w:widowControl/>
              <w:spacing w:line="240" w:lineRule="auto"/>
              <w:ind w:firstLine="0" w:firstLineChars="0"/>
              <w:jc w:val="center"/>
              <w:rPr>
                <w:rFonts w:cs="仿宋"/>
              </w:rPr>
            </w:pPr>
            <w:r>
              <w:rPr>
                <w:rFonts w:hint="eastAsia" w:cs="仿宋"/>
              </w:rPr>
              <w:t>身份鉴别</w:t>
            </w:r>
          </w:p>
        </w:tc>
        <w:tc>
          <w:tcPr>
            <w:tcW w:w="4819" w:type="dxa"/>
            <w:vAlign w:val="center"/>
          </w:tcPr>
          <w:p w14:paraId="6F58E66F">
            <w:pPr>
              <w:widowControl/>
              <w:spacing w:line="240" w:lineRule="auto"/>
              <w:ind w:firstLine="0" w:firstLineChars="0"/>
              <w:jc w:val="center"/>
              <w:rPr>
                <w:rFonts w:cs="仿宋"/>
              </w:rPr>
            </w:pPr>
            <w:r>
              <w:rPr>
                <w:rFonts w:hint="eastAsia" w:cs="仿宋"/>
              </w:rPr>
              <w:t>确保互联网和政务外网用户访问网络接入区、运维人员访问统一管理区、业务服务区和数据灾备区交互时通信实体身份的真实性，防止与假冒实体进行通信。</w:t>
            </w:r>
          </w:p>
        </w:tc>
        <w:tc>
          <w:tcPr>
            <w:tcW w:w="794" w:type="dxa"/>
            <w:vAlign w:val="center"/>
          </w:tcPr>
          <w:p w14:paraId="408D18D9">
            <w:pPr>
              <w:widowControl/>
              <w:spacing w:line="240" w:lineRule="auto"/>
              <w:ind w:firstLine="0" w:firstLineChars="0"/>
              <w:jc w:val="center"/>
              <w:rPr>
                <w:rFonts w:cs="仿宋"/>
              </w:rPr>
            </w:pPr>
            <w:r>
              <w:rPr>
                <w:rFonts w:hint="eastAsia" w:cs="仿宋"/>
              </w:rPr>
              <w:t>无</w:t>
            </w:r>
          </w:p>
        </w:tc>
      </w:tr>
      <w:tr w14:paraId="4AD5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7A547C4A">
            <w:pPr>
              <w:widowControl/>
              <w:spacing w:line="240" w:lineRule="auto"/>
              <w:ind w:firstLine="0" w:firstLineChars="0"/>
              <w:jc w:val="center"/>
              <w:rPr>
                <w:rFonts w:cs="仿宋"/>
              </w:rPr>
            </w:pPr>
          </w:p>
        </w:tc>
        <w:tc>
          <w:tcPr>
            <w:tcW w:w="1940" w:type="dxa"/>
            <w:vAlign w:val="center"/>
          </w:tcPr>
          <w:p w14:paraId="16311035">
            <w:pPr>
              <w:widowControl/>
              <w:spacing w:line="240" w:lineRule="auto"/>
              <w:ind w:firstLine="0" w:firstLineChars="0"/>
              <w:jc w:val="center"/>
              <w:rPr>
                <w:rFonts w:cs="仿宋"/>
              </w:rPr>
            </w:pPr>
            <w:r>
              <w:rPr>
                <w:rFonts w:hint="eastAsia" w:cs="仿宋"/>
              </w:rPr>
              <w:t>通信数据完整性</w:t>
            </w:r>
          </w:p>
        </w:tc>
        <w:tc>
          <w:tcPr>
            <w:tcW w:w="4819" w:type="dxa"/>
            <w:vMerge w:val="restart"/>
            <w:vAlign w:val="center"/>
          </w:tcPr>
          <w:p w14:paraId="73477554">
            <w:pPr>
              <w:widowControl/>
              <w:spacing w:line="240" w:lineRule="auto"/>
              <w:ind w:firstLine="0" w:firstLineChars="0"/>
              <w:jc w:val="center"/>
              <w:rPr>
                <w:rFonts w:cs="仿宋"/>
              </w:rPr>
            </w:pPr>
            <w:r>
              <w:rPr>
                <w:rFonts w:hint="eastAsia" w:cs="仿宋"/>
              </w:rPr>
              <w:t>保护通信过程中业务数据、运维数据、灾备数据的完整性和机密性，防止数据被非授权篡改，防止重要数据泄露。</w:t>
            </w:r>
          </w:p>
        </w:tc>
        <w:tc>
          <w:tcPr>
            <w:tcW w:w="794" w:type="dxa"/>
            <w:vAlign w:val="center"/>
          </w:tcPr>
          <w:p w14:paraId="176CFA93">
            <w:pPr>
              <w:widowControl/>
              <w:spacing w:line="240" w:lineRule="auto"/>
              <w:ind w:firstLine="0" w:firstLineChars="0"/>
              <w:jc w:val="center"/>
              <w:rPr>
                <w:rFonts w:cs="仿宋"/>
              </w:rPr>
            </w:pPr>
            <w:r>
              <w:rPr>
                <w:rFonts w:hint="eastAsia" w:cs="仿宋"/>
              </w:rPr>
              <w:t>无</w:t>
            </w:r>
          </w:p>
        </w:tc>
      </w:tr>
      <w:tr w14:paraId="03E2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9" w:type="dxa"/>
            <w:vMerge w:val="continue"/>
            <w:vAlign w:val="center"/>
          </w:tcPr>
          <w:p w14:paraId="7E4DDC9D">
            <w:pPr>
              <w:widowControl/>
              <w:spacing w:line="240" w:lineRule="auto"/>
              <w:ind w:firstLine="0" w:firstLineChars="0"/>
              <w:jc w:val="center"/>
              <w:rPr>
                <w:rFonts w:cs="仿宋"/>
              </w:rPr>
            </w:pPr>
          </w:p>
        </w:tc>
        <w:tc>
          <w:tcPr>
            <w:tcW w:w="1940" w:type="dxa"/>
            <w:vAlign w:val="center"/>
          </w:tcPr>
          <w:p w14:paraId="0C15671A">
            <w:pPr>
              <w:widowControl/>
              <w:spacing w:line="240" w:lineRule="auto"/>
              <w:ind w:firstLine="0" w:firstLineChars="0"/>
              <w:jc w:val="center"/>
              <w:rPr>
                <w:rFonts w:cs="仿宋"/>
              </w:rPr>
            </w:pPr>
            <w:r>
              <w:rPr>
                <w:rFonts w:hint="eastAsia" w:cs="仿宋"/>
              </w:rPr>
              <w:t>通信过程中重要数据的机密性</w:t>
            </w:r>
          </w:p>
        </w:tc>
        <w:tc>
          <w:tcPr>
            <w:tcW w:w="4819" w:type="dxa"/>
            <w:vMerge w:val="continue"/>
            <w:vAlign w:val="center"/>
          </w:tcPr>
          <w:p w14:paraId="2C2111DC">
            <w:pPr>
              <w:widowControl/>
              <w:spacing w:line="240" w:lineRule="auto"/>
              <w:ind w:firstLine="0" w:firstLineChars="0"/>
              <w:jc w:val="center"/>
              <w:rPr>
                <w:rFonts w:cs="仿宋"/>
              </w:rPr>
            </w:pPr>
          </w:p>
        </w:tc>
        <w:tc>
          <w:tcPr>
            <w:tcW w:w="794" w:type="dxa"/>
            <w:vAlign w:val="center"/>
          </w:tcPr>
          <w:p w14:paraId="0BB6EE5B">
            <w:pPr>
              <w:widowControl/>
              <w:spacing w:line="240" w:lineRule="auto"/>
              <w:ind w:firstLine="0" w:firstLineChars="0"/>
              <w:jc w:val="center"/>
              <w:rPr>
                <w:rFonts w:cs="仿宋"/>
              </w:rPr>
            </w:pPr>
            <w:r>
              <w:rPr>
                <w:rFonts w:hint="eastAsia" w:cs="仿宋"/>
              </w:rPr>
              <w:t>无</w:t>
            </w:r>
          </w:p>
        </w:tc>
      </w:tr>
      <w:tr w14:paraId="743E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2ED8F4ED">
            <w:pPr>
              <w:widowControl/>
              <w:spacing w:line="240" w:lineRule="auto"/>
              <w:ind w:firstLine="0" w:firstLineChars="0"/>
              <w:jc w:val="center"/>
              <w:rPr>
                <w:rFonts w:cs="仿宋"/>
              </w:rPr>
            </w:pPr>
          </w:p>
        </w:tc>
        <w:tc>
          <w:tcPr>
            <w:tcW w:w="1940" w:type="dxa"/>
            <w:vAlign w:val="center"/>
          </w:tcPr>
          <w:p w14:paraId="5438F101">
            <w:pPr>
              <w:widowControl/>
              <w:spacing w:line="240" w:lineRule="auto"/>
              <w:ind w:firstLine="0" w:firstLineChars="0"/>
              <w:jc w:val="center"/>
              <w:rPr>
                <w:rFonts w:cs="仿宋"/>
              </w:rPr>
            </w:pPr>
            <w:r>
              <w:rPr>
                <w:rFonts w:hint="eastAsia" w:cs="仿宋"/>
              </w:rPr>
              <w:t>网络边界访问控制信息的完整性</w:t>
            </w:r>
          </w:p>
        </w:tc>
        <w:tc>
          <w:tcPr>
            <w:tcW w:w="4819" w:type="dxa"/>
            <w:vAlign w:val="center"/>
          </w:tcPr>
          <w:p w14:paraId="27828317">
            <w:pPr>
              <w:widowControl/>
              <w:spacing w:line="240" w:lineRule="auto"/>
              <w:ind w:firstLine="0" w:firstLineChars="0"/>
              <w:jc w:val="center"/>
              <w:rPr>
                <w:rFonts w:cs="仿宋"/>
              </w:rPr>
            </w:pPr>
            <w:r>
              <w:rPr>
                <w:rFonts w:hint="eastAsia" w:cs="仿宋"/>
              </w:rPr>
              <w:t>保护互联网和政务外网用户访问网络接入区、管理员访问统一管理区、业务服务区和数据灾备区交互的网络边界设备中访问控制信息的完整性，防止被非授权篡改。</w:t>
            </w:r>
          </w:p>
        </w:tc>
        <w:tc>
          <w:tcPr>
            <w:tcW w:w="794" w:type="dxa"/>
            <w:vAlign w:val="center"/>
          </w:tcPr>
          <w:p w14:paraId="54EBC705">
            <w:pPr>
              <w:widowControl/>
              <w:spacing w:line="240" w:lineRule="auto"/>
              <w:ind w:firstLine="0" w:firstLineChars="0"/>
              <w:jc w:val="center"/>
              <w:rPr>
                <w:rFonts w:cs="仿宋"/>
              </w:rPr>
            </w:pPr>
            <w:r>
              <w:rPr>
                <w:rFonts w:hint="eastAsia" w:cs="仿宋"/>
              </w:rPr>
              <w:t>无</w:t>
            </w:r>
          </w:p>
        </w:tc>
      </w:tr>
      <w:tr w14:paraId="3D40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2EA8523E">
            <w:pPr>
              <w:widowControl/>
              <w:spacing w:line="240" w:lineRule="auto"/>
              <w:ind w:firstLine="0" w:firstLineChars="0"/>
              <w:jc w:val="center"/>
              <w:rPr>
                <w:rFonts w:cs="仿宋"/>
              </w:rPr>
            </w:pPr>
          </w:p>
        </w:tc>
        <w:tc>
          <w:tcPr>
            <w:tcW w:w="1940" w:type="dxa"/>
            <w:vAlign w:val="center"/>
          </w:tcPr>
          <w:p w14:paraId="0A67EF6A">
            <w:pPr>
              <w:widowControl/>
              <w:spacing w:line="240" w:lineRule="auto"/>
              <w:ind w:firstLine="0" w:firstLineChars="0"/>
              <w:jc w:val="center"/>
              <w:rPr>
                <w:rFonts w:cs="仿宋"/>
              </w:rPr>
            </w:pPr>
            <w:r>
              <w:rPr>
                <w:rFonts w:hint="eastAsia" w:cs="仿宋"/>
              </w:rPr>
              <w:t>密码服务</w:t>
            </w:r>
          </w:p>
        </w:tc>
        <w:tc>
          <w:tcPr>
            <w:tcW w:w="4819" w:type="dxa"/>
            <w:vAlign w:val="center"/>
          </w:tcPr>
          <w:p w14:paraId="505875A5">
            <w:pPr>
              <w:widowControl/>
              <w:spacing w:line="240" w:lineRule="auto"/>
              <w:ind w:firstLine="0" w:firstLineChars="0"/>
              <w:jc w:val="center"/>
              <w:rPr>
                <w:rFonts w:cs="仿宋"/>
              </w:rPr>
            </w:pPr>
            <w:r>
              <w:rPr>
                <w:rFonts w:hint="eastAsia" w:cs="仿宋"/>
              </w:rPr>
              <w:t>采用的数字证书由具备资质的电子认证服务机构签发。</w:t>
            </w:r>
          </w:p>
        </w:tc>
        <w:tc>
          <w:tcPr>
            <w:tcW w:w="794" w:type="dxa"/>
            <w:vAlign w:val="center"/>
          </w:tcPr>
          <w:p w14:paraId="6CA6275C">
            <w:pPr>
              <w:widowControl/>
              <w:spacing w:line="240" w:lineRule="auto"/>
              <w:ind w:firstLine="0" w:firstLineChars="0"/>
              <w:jc w:val="center"/>
              <w:rPr>
                <w:rFonts w:cs="仿宋"/>
              </w:rPr>
            </w:pPr>
            <w:r>
              <w:rPr>
                <w:rFonts w:hint="eastAsia" w:cs="仿宋"/>
              </w:rPr>
              <w:t>无</w:t>
            </w:r>
          </w:p>
        </w:tc>
      </w:tr>
      <w:tr w14:paraId="0ABE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7F011AF0">
            <w:pPr>
              <w:widowControl/>
              <w:spacing w:line="240" w:lineRule="auto"/>
              <w:ind w:firstLine="0" w:firstLineChars="0"/>
              <w:jc w:val="center"/>
              <w:rPr>
                <w:rFonts w:cs="仿宋"/>
              </w:rPr>
            </w:pPr>
          </w:p>
        </w:tc>
        <w:tc>
          <w:tcPr>
            <w:tcW w:w="1940" w:type="dxa"/>
            <w:vAlign w:val="center"/>
          </w:tcPr>
          <w:p w14:paraId="68735588">
            <w:pPr>
              <w:widowControl/>
              <w:spacing w:line="240" w:lineRule="auto"/>
              <w:ind w:firstLine="0" w:firstLineChars="0"/>
              <w:jc w:val="center"/>
              <w:rPr>
                <w:rFonts w:cs="仿宋"/>
              </w:rPr>
            </w:pPr>
            <w:r>
              <w:rPr>
                <w:rFonts w:hint="eastAsia" w:cs="仿宋"/>
              </w:rPr>
              <w:t>密码产品</w:t>
            </w:r>
          </w:p>
        </w:tc>
        <w:tc>
          <w:tcPr>
            <w:tcW w:w="4819" w:type="dxa"/>
            <w:vAlign w:val="center"/>
          </w:tcPr>
          <w:p w14:paraId="2BA5356C">
            <w:pPr>
              <w:widowControl/>
              <w:spacing w:line="240" w:lineRule="auto"/>
              <w:ind w:firstLine="0" w:firstLineChars="0"/>
              <w:jc w:val="center"/>
              <w:rPr>
                <w:rFonts w:cs="仿宋"/>
              </w:rPr>
            </w:pPr>
            <w:r>
              <w:rPr>
                <w:rFonts w:hint="eastAsia" w:cs="仿宋"/>
              </w:rPr>
              <w:t>采用的密码产品应达到</w:t>
            </w:r>
            <w:r>
              <w:rPr>
                <w:rFonts w:cs="仿宋"/>
              </w:rPr>
              <w:t>GB/T 37092</w:t>
            </w:r>
            <w:r>
              <w:rPr>
                <w:rFonts w:hint="eastAsia" w:cs="仿宋"/>
              </w:rPr>
              <w:t>-2018二级及以上安全要求。</w:t>
            </w:r>
          </w:p>
        </w:tc>
        <w:tc>
          <w:tcPr>
            <w:tcW w:w="794" w:type="dxa"/>
            <w:vAlign w:val="center"/>
          </w:tcPr>
          <w:p w14:paraId="7BFF431A">
            <w:pPr>
              <w:widowControl/>
              <w:spacing w:line="240" w:lineRule="auto"/>
              <w:ind w:firstLine="0" w:firstLineChars="0"/>
              <w:jc w:val="center"/>
              <w:rPr>
                <w:rFonts w:cs="仿宋"/>
              </w:rPr>
            </w:pPr>
            <w:r>
              <w:rPr>
                <w:rFonts w:hint="eastAsia" w:cs="仿宋"/>
              </w:rPr>
              <w:t>无</w:t>
            </w:r>
          </w:p>
        </w:tc>
      </w:tr>
      <w:tr w14:paraId="23E9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9" w:type="dxa"/>
            <w:vMerge w:val="restart"/>
            <w:vAlign w:val="center"/>
          </w:tcPr>
          <w:p w14:paraId="3E8E4509">
            <w:pPr>
              <w:widowControl/>
              <w:spacing w:line="240" w:lineRule="auto"/>
              <w:ind w:firstLine="0" w:firstLineChars="0"/>
              <w:jc w:val="center"/>
              <w:rPr>
                <w:rFonts w:cs="仿宋"/>
              </w:rPr>
            </w:pPr>
            <w:r>
              <w:rPr>
                <w:rFonts w:hint="eastAsia" w:cs="仿宋"/>
              </w:rPr>
              <w:t>设备和计算安全</w:t>
            </w:r>
          </w:p>
        </w:tc>
        <w:tc>
          <w:tcPr>
            <w:tcW w:w="1940" w:type="dxa"/>
            <w:vAlign w:val="center"/>
          </w:tcPr>
          <w:p w14:paraId="72FB42FB">
            <w:pPr>
              <w:widowControl/>
              <w:spacing w:line="240" w:lineRule="auto"/>
              <w:ind w:firstLine="0" w:firstLineChars="0"/>
              <w:jc w:val="center"/>
              <w:rPr>
                <w:rFonts w:cs="仿宋"/>
              </w:rPr>
            </w:pPr>
            <w:r>
              <w:rPr>
                <w:rFonts w:hint="eastAsia" w:cs="仿宋"/>
              </w:rPr>
              <w:t>身份鉴别</w:t>
            </w:r>
          </w:p>
        </w:tc>
        <w:tc>
          <w:tcPr>
            <w:tcW w:w="4819" w:type="dxa"/>
            <w:vAlign w:val="center"/>
          </w:tcPr>
          <w:p w14:paraId="2C4599C9">
            <w:pPr>
              <w:widowControl/>
              <w:spacing w:line="240" w:lineRule="auto"/>
              <w:ind w:firstLine="0" w:firstLineChars="0"/>
              <w:jc w:val="center"/>
              <w:rPr>
                <w:rFonts w:cs="仿宋"/>
              </w:rPr>
            </w:pPr>
            <w:r>
              <w:rPr>
                <w:rFonts w:hint="eastAsia" w:cs="仿宋"/>
              </w:rPr>
              <w:t>管理员通过远程运维管理终端访问堡垒机时，对其</w:t>
            </w:r>
            <w:r>
              <w:rPr>
                <w:rFonts w:cs="仿宋"/>
              </w:rPr>
              <w:t>身份真实性进行识别和确认，防止假冒人员登录</w:t>
            </w:r>
            <w:r>
              <w:rPr>
                <w:rFonts w:hint="eastAsia" w:cs="仿宋"/>
              </w:rPr>
              <w:t>。</w:t>
            </w:r>
          </w:p>
        </w:tc>
        <w:tc>
          <w:tcPr>
            <w:tcW w:w="794" w:type="dxa"/>
            <w:vAlign w:val="center"/>
          </w:tcPr>
          <w:p w14:paraId="05297E94">
            <w:pPr>
              <w:widowControl/>
              <w:spacing w:line="240" w:lineRule="auto"/>
              <w:ind w:firstLine="0" w:firstLineChars="0"/>
              <w:jc w:val="center"/>
              <w:rPr>
                <w:rFonts w:cs="仿宋"/>
              </w:rPr>
            </w:pPr>
            <w:r>
              <w:rPr>
                <w:rFonts w:cs="仿宋"/>
              </w:rPr>
              <w:t>无</w:t>
            </w:r>
          </w:p>
        </w:tc>
      </w:tr>
      <w:tr w14:paraId="5EE7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5437F8E9">
            <w:pPr>
              <w:widowControl/>
              <w:spacing w:line="240" w:lineRule="auto"/>
              <w:ind w:firstLine="0" w:firstLineChars="0"/>
              <w:jc w:val="center"/>
              <w:rPr>
                <w:rFonts w:cs="仿宋"/>
              </w:rPr>
            </w:pPr>
          </w:p>
        </w:tc>
        <w:tc>
          <w:tcPr>
            <w:tcW w:w="1940" w:type="dxa"/>
            <w:vAlign w:val="center"/>
          </w:tcPr>
          <w:p w14:paraId="0254F789">
            <w:pPr>
              <w:widowControl/>
              <w:spacing w:line="240" w:lineRule="auto"/>
              <w:ind w:firstLine="0" w:firstLineChars="0"/>
              <w:jc w:val="center"/>
              <w:rPr>
                <w:rFonts w:cs="仿宋"/>
              </w:rPr>
            </w:pPr>
            <w:r>
              <w:rPr>
                <w:rFonts w:hint="eastAsia" w:cs="仿宋"/>
              </w:rPr>
              <w:t>远程管理通道安全</w:t>
            </w:r>
          </w:p>
        </w:tc>
        <w:tc>
          <w:tcPr>
            <w:tcW w:w="4819" w:type="dxa"/>
            <w:vAlign w:val="center"/>
          </w:tcPr>
          <w:p w14:paraId="10A90409">
            <w:pPr>
              <w:widowControl/>
              <w:spacing w:line="240" w:lineRule="auto"/>
              <w:ind w:firstLine="0" w:firstLineChars="0"/>
              <w:jc w:val="center"/>
              <w:rPr>
                <w:rFonts w:cs="仿宋"/>
              </w:rPr>
            </w:pPr>
            <w:r>
              <w:rPr>
                <w:rFonts w:cs="仿宋"/>
              </w:rPr>
              <w:t>在远程</w:t>
            </w:r>
            <w:r>
              <w:rPr>
                <w:rFonts w:hint="eastAsia" w:cs="仿宋"/>
              </w:rPr>
              <w:t>运维</w:t>
            </w:r>
            <w:r>
              <w:rPr>
                <w:rFonts w:cs="仿宋"/>
              </w:rPr>
              <w:t>管理时，对</w:t>
            </w:r>
            <w:r>
              <w:rPr>
                <w:rFonts w:hint="eastAsia" w:cs="仿宋"/>
              </w:rPr>
              <w:t>运维</w:t>
            </w:r>
            <w:r>
              <w:rPr>
                <w:rFonts w:cs="仿宋"/>
              </w:rPr>
              <w:t>管理</w:t>
            </w:r>
            <w:r>
              <w:rPr>
                <w:rFonts w:hint="eastAsia" w:cs="仿宋"/>
              </w:rPr>
              <w:t>通道进行</w:t>
            </w:r>
            <w:r>
              <w:rPr>
                <w:rFonts w:cs="仿宋"/>
              </w:rPr>
              <w:t>保护，防止鉴别信息泄漏</w:t>
            </w:r>
            <w:r>
              <w:rPr>
                <w:rFonts w:hint="eastAsia" w:cs="仿宋"/>
              </w:rPr>
              <w:t>。</w:t>
            </w:r>
          </w:p>
        </w:tc>
        <w:tc>
          <w:tcPr>
            <w:tcW w:w="794" w:type="dxa"/>
            <w:vAlign w:val="center"/>
          </w:tcPr>
          <w:p w14:paraId="3F0C88C4">
            <w:pPr>
              <w:widowControl/>
              <w:spacing w:line="240" w:lineRule="auto"/>
              <w:ind w:firstLine="0" w:firstLineChars="0"/>
              <w:jc w:val="center"/>
              <w:rPr>
                <w:rFonts w:cs="仿宋"/>
              </w:rPr>
            </w:pPr>
            <w:r>
              <w:rPr>
                <w:rFonts w:cs="仿宋"/>
              </w:rPr>
              <w:t>无</w:t>
            </w:r>
          </w:p>
        </w:tc>
      </w:tr>
      <w:tr w14:paraId="34BD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7614606F">
            <w:pPr>
              <w:widowControl/>
              <w:spacing w:line="240" w:lineRule="auto"/>
              <w:ind w:firstLine="0" w:firstLineChars="0"/>
              <w:jc w:val="center"/>
              <w:rPr>
                <w:rFonts w:cs="仿宋"/>
              </w:rPr>
            </w:pPr>
          </w:p>
        </w:tc>
        <w:tc>
          <w:tcPr>
            <w:tcW w:w="1940" w:type="dxa"/>
            <w:vAlign w:val="center"/>
          </w:tcPr>
          <w:p w14:paraId="06C47977">
            <w:pPr>
              <w:widowControl/>
              <w:spacing w:line="240" w:lineRule="auto"/>
              <w:ind w:firstLine="0" w:firstLineChars="0"/>
              <w:jc w:val="center"/>
              <w:rPr>
                <w:rFonts w:cs="仿宋"/>
              </w:rPr>
            </w:pPr>
            <w:r>
              <w:rPr>
                <w:rFonts w:hint="eastAsia" w:cs="仿宋"/>
              </w:rPr>
              <w:t>系统资源访问控制信息完整性</w:t>
            </w:r>
          </w:p>
        </w:tc>
        <w:tc>
          <w:tcPr>
            <w:tcW w:w="4819" w:type="dxa"/>
            <w:vAlign w:val="center"/>
          </w:tcPr>
          <w:p w14:paraId="3A747684">
            <w:pPr>
              <w:widowControl/>
              <w:spacing w:line="240" w:lineRule="auto"/>
              <w:ind w:firstLine="0" w:firstLineChars="0"/>
              <w:jc w:val="center"/>
              <w:rPr>
                <w:rFonts w:cs="仿宋"/>
              </w:rPr>
            </w:pPr>
            <w:r>
              <w:rPr>
                <w:rFonts w:cs="仿宋"/>
              </w:rPr>
              <w:t>保护系统中服务器</w:t>
            </w:r>
            <w:r>
              <w:rPr>
                <w:rFonts w:hint="eastAsia" w:cs="仿宋"/>
              </w:rPr>
              <w:t>、数据库、密码产品</w:t>
            </w:r>
            <w:r>
              <w:rPr>
                <w:rFonts w:cs="仿宋"/>
              </w:rPr>
              <w:t>等设备访问控制信息的完整性，防止被非授权篡改</w:t>
            </w:r>
            <w:r>
              <w:rPr>
                <w:rFonts w:hint="eastAsia" w:cs="仿宋"/>
              </w:rPr>
              <w:t>。</w:t>
            </w:r>
          </w:p>
        </w:tc>
        <w:tc>
          <w:tcPr>
            <w:tcW w:w="794" w:type="dxa"/>
            <w:vAlign w:val="center"/>
          </w:tcPr>
          <w:p w14:paraId="20F366D8">
            <w:pPr>
              <w:widowControl/>
              <w:spacing w:line="240" w:lineRule="auto"/>
              <w:ind w:firstLine="0" w:firstLineChars="0"/>
              <w:jc w:val="center"/>
              <w:rPr>
                <w:rFonts w:cs="仿宋"/>
              </w:rPr>
            </w:pPr>
            <w:r>
              <w:rPr>
                <w:rFonts w:cs="仿宋"/>
              </w:rPr>
              <w:t>无</w:t>
            </w:r>
          </w:p>
        </w:tc>
      </w:tr>
      <w:tr w14:paraId="49E8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583A04AB">
            <w:pPr>
              <w:widowControl/>
              <w:spacing w:line="240" w:lineRule="auto"/>
              <w:ind w:firstLine="0" w:firstLineChars="0"/>
              <w:jc w:val="center"/>
              <w:rPr>
                <w:rFonts w:cs="仿宋"/>
              </w:rPr>
            </w:pPr>
          </w:p>
        </w:tc>
        <w:tc>
          <w:tcPr>
            <w:tcW w:w="1940" w:type="dxa"/>
            <w:vAlign w:val="center"/>
          </w:tcPr>
          <w:p w14:paraId="44D1FF0B">
            <w:pPr>
              <w:widowControl/>
              <w:spacing w:line="240" w:lineRule="auto"/>
              <w:ind w:firstLine="0" w:firstLineChars="0"/>
              <w:jc w:val="center"/>
              <w:rPr>
                <w:rFonts w:cs="仿宋"/>
              </w:rPr>
            </w:pPr>
            <w:r>
              <w:rPr>
                <w:rFonts w:hint="eastAsia" w:cs="仿宋"/>
              </w:rPr>
              <w:t>日志记录完整性</w:t>
            </w:r>
          </w:p>
        </w:tc>
        <w:tc>
          <w:tcPr>
            <w:tcW w:w="4819" w:type="dxa"/>
            <w:vAlign w:val="center"/>
          </w:tcPr>
          <w:p w14:paraId="47322A8D">
            <w:pPr>
              <w:widowControl/>
              <w:spacing w:line="240" w:lineRule="auto"/>
              <w:ind w:firstLine="0" w:firstLineChars="0"/>
              <w:jc w:val="center"/>
              <w:rPr>
                <w:rFonts w:cs="仿宋"/>
              </w:rPr>
            </w:pPr>
            <w:r>
              <w:rPr>
                <w:rFonts w:cs="仿宋"/>
              </w:rPr>
              <w:t>保护系统中服务器</w:t>
            </w:r>
            <w:r>
              <w:rPr>
                <w:rFonts w:hint="eastAsia" w:cs="仿宋"/>
              </w:rPr>
              <w:t>、数据库、密码产品</w:t>
            </w:r>
            <w:r>
              <w:rPr>
                <w:rFonts w:cs="仿宋"/>
              </w:rPr>
              <w:t>等设备日志记录的完整性，防止被非授权篡改</w:t>
            </w:r>
            <w:r>
              <w:rPr>
                <w:rFonts w:hint="eastAsia" w:cs="仿宋"/>
              </w:rPr>
              <w:t>。</w:t>
            </w:r>
          </w:p>
        </w:tc>
        <w:tc>
          <w:tcPr>
            <w:tcW w:w="794" w:type="dxa"/>
            <w:vAlign w:val="center"/>
          </w:tcPr>
          <w:p w14:paraId="6A975017">
            <w:pPr>
              <w:widowControl/>
              <w:spacing w:line="240" w:lineRule="auto"/>
              <w:ind w:firstLine="0" w:firstLineChars="0"/>
              <w:jc w:val="center"/>
              <w:rPr>
                <w:rFonts w:cs="仿宋"/>
              </w:rPr>
            </w:pPr>
            <w:r>
              <w:rPr>
                <w:rFonts w:cs="仿宋"/>
              </w:rPr>
              <w:t>无</w:t>
            </w:r>
          </w:p>
        </w:tc>
      </w:tr>
      <w:tr w14:paraId="4A9C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9" w:type="dxa"/>
            <w:vMerge w:val="continue"/>
            <w:vAlign w:val="center"/>
          </w:tcPr>
          <w:p w14:paraId="77755EA9">
            <w:pPr>
              <w:widowControl/>
              <w:spacing w:line="240" w:lineRule="auto"/>
              <w:ind w:firstLine="0" w:firstLineChars="0"/>
              <w:jc w:val="center"/>
              <w:rPr>
                <w:rFonts w:cs="仿宋"/>
              </w:rPr>
            </w:pPr>
          </w:p>
        </w:tc>
        <w:tc>
          <w:tcPr>
            <w:tcW w:w="1940" w:type="dxa"/>
            <w:vAlign w:val="center"/>
          </w:tcPr>
          <w:p w14:paraId="6CBD806A">
            <w:pPr>
              <w:pStyle w:val="135"/>
              <w:widowControl/>
              <w:jc w:val="center"/>
              <w:rPr>
                <w:rFonts w:ascii="宋体" w:hAnsi="宋体" w:eastAsia="宋体" w:cs="仿宋"/>
                <w:sz w:val="24"/>
              </w:rPr>
            </w:pPr>
            <w:r>
              <w:rPr>
                <w:rFonts w:hint="eastAsia" w:ascii="宋体" w:hAnsi="宋体" w:eastAsia="宋体" w:cs="仿宋"/>
                <w:sz w:val="24"/>
              </w:rPr>
              <w:t>重要可执行程序完整性、</w:t>
            </w:r>
          </w:p>
          <w:p w14:paraId="3CF448A3">
            <w:pPr>
              <w:widowControl/>
              <w:spacing w:line="240" w:lineRule="auto"/>
              <w:ind w:firstLine="0" w:firstLineChars="0"/>
              <w:jc w:val="center"/>
              <w:rPr>
                <w:rFonts w:cs="仿宋"/>
              </w:rPr>
            </w:pPr>
            <w:r>
              <w:rPr>
                <w:rFonts w:hint="eastAsia" w:cs="仿宋"/>
              </w:rPr>
              <w:t>来源真实性</w:t>
            </w:r>
          </w:p>
        </w:tc>
        <w:tc>
          <w:tcPr>
            <w:tcW w:w="4819" w:type="dxa"/>
            <w:vAlign w:val="center"/>
          </w:tcPr>
          <w:p w14:paraId="02935EE0">
            <w:pPr>
              <w:widowControl/>
              <w:spacing w:line="240" w:lineRule="auto"/>
              <w:ind w:firstLine="0" w:firstLineChars="0"/>
              <w:jc w:val="center"/>
              <w:rPr>
                <w:rFonts w:cs="仿宋"/>
              </w:rPr>
            </w:pPr>
            <w:r>
              <w:rPr>
                <w:rFonts w:cs="仿宋"/>
              </w:rPr>
              <w:t>保护</w:t>
            </w:r>
            <w:r>
              <w:rPr>
                <w:rFonts w:hint="eastAsia" w:cs="仿宋"/>
              </w:rPr>
              <w:t>应用</w:t>
            </w:r>
            <w:r>
              <w:rPr>
                <w:rFonts w:cs="仿宋"/>
              </w:rPr>
              <w:t>服务器等设备中重要可执行程序的完整性</w:t>
            </w:r>
            <w:r>
              <w:rPr>
                <w:rFonts w:hint="eastAsia" w:cs="仿宋"/>
              </w:rPr>
              <w:t>和来源真实性</w:t>
            </w:r>
            <w:r>
              <w:rPr>
                <w:rFonts w:cs="仿宋"/>
              </w:rPr>
              <w:t>，防止被非授权篡改</w:t>
            </w:r>
            <w:r>
              <w:rPr>
                <w:rFonts w:hint="eastAsia" w:cs="仿宋"/>
              </w:rPr>
              <w:t>。</w:t>
            </w:r>
          </w:p>
        </w:tc>
        <w:tc>
          <w:tcPr>
            <w:tcW w:w="794" w:type="dxa"/>
            <w:vAlign w:val="center"/>
          </w:tcPr>
          <w:p w14:paraId="6AAB59B1">
            <w:pPr>
              <w:widowControl/>
              <w:spacing w:line="240" w:lineRule="auto"/>
              <w:ind w:firstLine="0" w:firstLineChars="0"/>
              <w:jc w:val="center"/>
              <w:rPr>
                <w:rFonts w:cs="仿宋"/>
              </w:rPr>
            </w:pPr>
            <w:r>
              <w:rPr>
                <w:rFonts w:cs="仿宋"/>
              </w:rPr>
              <w:t>无</w:t>
            </w:r>
          </w:p>
        </w:tc>
      </w:tr>
      <w:tr w14:paraId="4E82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79F7C213">
            <w:pPr>
              <w:widowControl/>
              <w:spacing w:line="240" w:lineRule="auto"/>
              <w:ind w:firstLine="0" w:firstLineChars="0"/>
              <w:jc w:val="center"/>
              <w:rPr>
                <w:rFonts w:cs="仿宋"/>
              </w:rPr>
            </w:pPr>
          </w:p>
        </w:tc>
        <w:tc>
          <w:tcPr>
            <w:tcW w:w="1940" w:type="dxa"/>
            <w:vAlign w:val="center"/>
          </w:tcPr>
          <w:p w14:paraId="30DD5BB9">
            <w:pPr>
              <w:widowControl/>
              <w:spacing w:line="240" w:lineRule="auto"/>
              <w:ind w:firstLine="0" w:firstLineChars="0"/>
              <w:jc w:val="center"/>
              <w:rPr>
                <w:rFonts w:cs="仿宋"/>
              </w:rPr>
            </w:pPr>
            <w:r>
              <w:rPr>
                <w:rFonts w:hint="eastAsia" w:cs="仿宋"/>
              </w:rPr>
              <w:t>密码产品</w:t>
            </w:r>
          </w:p>
        </w:tc>
        <w:tc>
          <w:tcPr>
            <w:tcW w:w="4819" w:type="dxa"/>
            <w:vAlign w:val="center"/>
          </w:tcPr>
          <w:p w14:paraId="371495C2">
            <w:pPr>
              <w:widowControl/>
              <w:spacing w:line="240" w:lineRule="auto"/>
              <w:ind w:firstLine="0" w:firstLineChars="0"/>
              <w:jc w:val="center"/>
              <w:rPr>
                <w:rFonts w:cs="仿宋"/>
              </w:rPr>
            </w:pPr>
            <w:r>
              <w:rPr>
                <w:rFonts w:hint="eastAsia" w:cs="仿宋"/>
              </w:rPr>
              <w:t>采用的密码产品应达到</w:t>
            </w:r>
            <w:r>
              <w:rPr>
                <w:rFonts w:cs="仿宋"/>
              </w:rPr>
              <w:t>GB/T 37092</w:t>
            </w:r>
            <w:r>
              <w:rPr>
                <w:rFonts w:hint="eastAsia" w:cs="仿宋"/>
              </w:rPr>
              <w:t>-2018二级及以上安全要求。</w:t>
            </w:r>
          </w:p>
        </w:tc>
        <w:tc>
          <w:tcPr>
            <w:tcW w:w="794" w:type="dxa"/>
            <w:vAlign w:val="center"/>
          </w:tcPr>
          <w:p w14:paraId="2BC20D3E">
            <w:pPr>
              <w:widowControl/>
              <w:spacing w:line="240" w:lineRule="auto"/>
              <w:ind w:firstLine="0" w:firstLineChars="0"/>
              <w:jc w:val="center"/>
              <w:rPr>
                <w:rFonts w:cs="仿宋"/>
              </w:rPr>
            </w:pPr>
            <w:r>
              <w:rPr>
                <w:rFonts w:hint="eastAsia" w:cs="仿宋"/>
              </w:rPr>
              <w:t>无</w:t>
            </w:r>
          </w:p>
        </w:tc>
      </w:tr>
      <w:tr w14:paraId="1898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vAlign w:val="center"/>
          </w:tcPr>
          <w:p w14:paraId="0B2E6496">
            <w:pPr>
              <w:widowControl/>
              <w:spacing w:line="240" w:lineRule="auto"/>
              <w:ind w:firstLine="0" w:firstLineChars="0"/>
              <w:jc w:val="center"/>
              <w:rPr>
                <w:rFonts w:cs="仿宋"/>
              </w:rPr>
            </w:pPr>
            <w:r>
              <w:rPr>
                <w:rFonts w:hint="eastAsia" w:cs="仿宋"/>
              </w:rPr>
              <w:t>应用和数据安全</w:t>
            </w:r>
          </w:p>
        </w:tc>
        <w:tc>
          <w:tcPr>
            <w:tcW w:w="1940" w:type="dxa"/>
            <w:vAlign w:val="center"/>
          </w:tcPr>
          <w:p w14:paraId="0DD575FC">
            <w:pPr>
              <w:widowControl/>
              <w:spacing w:line="240" w:lineRule="auto"/>
              <w:ind w:firstLine="0" w:firstLineChars="0"/>
              <w:jc w:val="center"/>
              <w:rPr>
                <w:rFonts w:cs="仿宋"/>
              </w:rPr>
            </w:pPr>
            <w:r>
              <w:rPr>
                <w:rFonts w:hint="eastAsia" w:cs="仿宋"/>
              </w:rPr>
              <w:t>身份鉴别</w:t>
            </w:r>
          </w:p>
        </w:tc>
        <w:tc>
          <w:tcPr>
            <w:tcW w:w="4819" w:type="dxa"/>
            <w:vAlign w:val="center"/>
          </w:tcPr>
          <w:p w14:paraId="511BED75">
            <w:pPr>
              <w:widowControl/>
              <w:spacing w:line="240" w:lineRule="auto"/>
              <w:ind w:firstLine="0" w:firstLineChars="0"/>
              <w:jc w:val="center"/>
              <w:rPr>
                <w:rFonts w:cs="仿宋"/>
              </w:rPr>
            </w:pPr>
            <w:r>
              <w:rPr>
                <w:rFonts w:cs="仿宋"/>
              </w:rPr>
              <w:t>确认</w:t>
            </w:r>
            <w:r>
              <w:rPr>
                <w:rFonts w:hint="eastAsia" w:cs="仿宋"/>
              </w:rPr>
              <w:t>应用系统</w:t>
            </w:r>
            <w:r>
              <w:rPr>
                <w:rFonts w:cs="仿宋"/>
              </w:rPr>
              <w:t>用户身份的真实性，防止假冒人员登录</w:t>
            </w:r>
            <w:r>
              <w:rPr>
                <w:rFonts w:hint="eastAsia" w:cs="仿宋"/>
              </w:rPr>
              <w:t>。</w:t>
            </w:r>
          </w:p>
        </w:tc>
        <w:tc>
          <w:tcPr>
            <w:tcW w:w="794" w:type="dxa"/>
            <w:vAlign w:val="center"/>
          </w:tcPr>
          <w:p w14:paraId="37718216">
            <w:pPr>
              <w:widowControl/>
              <w:spacing w:line="240" w:lineRule="auto"/>
              <w:ind w:firstLine="0" w:firstLineChars="0"/>
              <w:jc w:val="center"/>
              <w:rPr>
                <w:rFonts w:cs="仿宋"/>
              </w:rPr>
            </w:pPr>
            <w:r>
              <w:rPr>
                <w:rFonts w:cs="仿宋"/>
              </w:rPr>
              <w:t>无</w:t>
            </w:r>
          </w:p>
        </w:tc>
      </w:tr>
      <w:tr w14:paraId="4423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29679721">
            <w:pPr>
              <w:widowControl/>
              <w:spacing w:line="240" w:lineRule="auto"/>
              <w:ind w:firstLine="0" w:firstLineChars="0"/>
              <w:jc w:val="center"/>
              <w:rPr>
                <w:rFonts w:cs="仿宋"/>
              </w:rPr>
            </w:pPr>
          </w:p>
        </w:tc>
        <w:tc>
          <w:tcPr>
            <w:tcW w:w="1940" w:type="dxa"/>
            <w:vAlign w:val="center"/>
          </w:tcPr>
          <w:p w14:paraId="061D9692">
            <w:pPr>
              <w:widowControl/>
              <w:spacing w:line="240" w:lineRule="auto"/>
              <w:ind w:firstLine="0" w:firstLineChars="0"/>
              <w:jc w:val="center"/>
              <w:rPr>
                <w:rFonts w:cs="仿宋"/>
              </w:rPr>
            </w:pPr>
            <w:r>
              <w:rPr>
                <w:rFonts w:hint="eastAsia" w:cs="仿宋"/>
              </w:rPr>
              <w:t>访问控制信息完整性</w:t>
            </w:r>
          </w:p>
        </w:tc>
        <w:tc>
          <w:tcPr>
            <w:tcW w:w="4819" w:type="dxa"/>
            <w:vAlign w:val="center"/>
          </w:tcPr>
          <w:p w14:paraId="382620C1">
            <w:pPr>
              <w:widowControl/>
              <w:spacing w:line="240" w:lineRule="auto"/>
              <w:ind w:firstLine="0" w:firstLineChars="0"/>
              <w:jc w:val="center"/>
              <w:rPr>
                <w:rFonts w:cs="仿宋"/>
              </w:rPr>
            </w:pPr>
            <w:r>
              <w:rPr>
                <w:rFonts w:cs="仿宋"/>
              </w:rPr>
              <w:t>对</w:t>
            </w:r>
            <w:r>
              <w:rPr>
                <w:rFonts w:hint="eastAsia" w:cs="仿宋"/>
              </w:rPr>
              <w:t>应用系统</w:t>
            </w:r>
            <w:r>
              <w:rPr>
                <w:rFonts w:cs="仿宋"/>
              </w:rPr>
              <w:t>的访问权限控制列表进行完整性保护，防止被非授权篡改</w:t>
            </w:r>
            <w:r>
              <w:rPr>
                <w:rFonts w:hint="eastAsia" w:cs="仿宋"/>
              </w:rPr>
              <w:t>。</w:t>
            </w:r>
          </w:p>
        </w:tc>
        <w:tc>
          <w:tcPr>
            <w:tcW w:w="794" w:type="dxa"/>
            <w:vAlign w:val="center"/>
          </w:tcPr>
          <w:p w14:paraId="29C34B0E">
            <w:pPr>
              <w:widowControl/>
              <w:spacing w:line="240" w:lineRule="auto"/>
              <w:ind w:firstLine="0" w:firstLineChars="0"/>
              <w:jc w:val="center"/>
              <w:rPr>
                <w:rFonts w:cs="仿宋"/>
              </w:rPr>
            </w:pPr>
            <w:r>
              <w:rPr>
                <w:rFonts w:cs="仿宋"/>
              </w:rPr>
              <w:t>无</w:t>
            </w:r>
          </w:p>
        </w:tc>
      </w:tr>
      <w:tr w14:paraId="5068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749" w:type="dxa"/>
            <w:vMerge w:val="continue"/>
            <w:vAlign w:val="center"/>
          </w:tcPr>
          <w:p w14:paraId="12D23EB5">
            <w:pPr>
              <w:widowControl/>
              <w:spacing w:line="240" w:lineRule="auto"/>
              <w:ind w:firstLine="0" w:firstLineChars="0"/>
              <w:jc w:val="center"/>
              <w:rPr>
                <w:rFonts w:cs="仿宋"/>
              </w:rPr>
            </w:pPr>
          </w:p>
        </w:tc>
        <w:tc>
          <w:tcPr>
            <w:tcW w:w="1940" w:type="dxa"/>
            <w:vAlign w:val="center"/>
          </w:tcPr>
          <w:p w14:paraId="26BC6093">
            <w:pPr>
              <w:widowControl/>
              <w:spacing w:line="240" w:lineRule="auto"/>
              <w:ind w:firstLine="0" w:firstLineChars="0"/>
              <w:jc w:val="center"/>
              <w:rPr>
                <w:rFonts w:cs="仿宋"/>
              </w:rPr>
            </w:pPr>
            <w:r>
              <w:rPr>
                <w:rFonts w:hint="eastAsia" w:cs="仿宋"/>
              </w:rPr>
              <w:t>数据传输机密性</w:t>
            </w:r>
          </w:p>
        </w:tc>
        <w:tc>
          <w:tcPr>
            <w:tcW w:w="4819" w:type="dxa"/>
            <w:vMerge w:val="restart"/>
            <w:vAlign w:val="center"/>
          </w:tcPr>
          <w:p w14:paraId="23D1B16F">
            <w:pPr>
              <w:widowControl/>
              <w:spacing w:line="240" w:lineRule="auto"/>
              <w:ind w:firstLine="0" w:firstLineChars="0"/>
              <w:jc w:val="center"/>
              <w:rPr>
                <w:rFonts w:cs="仿宋"/>
              </w:rPr>
            </w:pPr>
            <w:r>
              <w:rPr>
                <w:rFonts w:hint="eastAsia" w:cs="仿宋"/>
              </w:rPr>
              <w:t>保护政务外网、互联网客户端与服务端之间传输和存储的用户登录身份鉴别信息、业务数据等重要数据的机密性和完整性，防止数据泄露给非授权的个人、进程等。保护系统业务日志数据的完整性，防止该数据被非授权篡改。</w:t>
            </w:r>
          </w:p>
        </w:tc>
        <w:tc>
          <w:tcPr>
            <w:tcW w:w="794" w:type="dxa"/>
            <w:vMerge w:val="restart"/>
            <w:vAlign w:val="center"/>
          </w:tcPr>
          <w:p w14:paraId="3E90B47C">
            <w:pPr>
              <w:widowControl/>
              <w:spacing w:line="240" w:lineRule="auto"/>
              <w:ind w:firstLine="0" w:firstLineChars="0"/>
              <w:jc w:val="center"/>
              <w:rPr>
                <w:rFonts w:cs="仿宋"/>
              </w:rPr>
            </w:pPr>
            <w:r>
              <w:rPr>
                <w:rFonts w:hint="eastAsia" w:cs="仿宋"/>
              </w:rPr>
              <w:t>无</w:t>
            </w:r>
          </w:p>
        </w:tc>
      </w:tr>
      <w:tr w14:paraId="33DB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49" w:type="dxa"/>
            <w:vMerge w:val="continue"/>
            <w:vAlign w:val="center"/>
          </w:tcPr>
          <w:p w14:paraId="5E725707">
            <w:pPr>
              <w:widowControl/>
              <w:spacing w:line="240" w:lineRule="auto"/>
              <w:ind w:firstLine="0" w:firstLineChars="0"/>
              <w:jc w:val="center"/>
              <w:rPr>
                <w:rFonts w:cs="仿宋"/>
              </w:rPr>
            </w:pPr>
          </w:p>
        </w:tc>
        <w:tc>
          <w:tcPr>
            <w:tcW w:w="1940" w:type="dxa"/>
            <w:vAlign w:val="center"/>
          </w:tcPr>
          <w:p w14:paraId="63818174">
            <w:pPr>
              <w:widowControl/>
              <w:spacing w:line="240" w:lineRule="auto"/>
              <w:ind w:firstLine="0" w:firstLineChars="0"/>
              <w:jc w:val="center"/>
              <w:rPr>
                <w:rFonts w:cs="仿宋"/>
              </w:rPr>
            </w:pPr>
            <w:r>
              <w:rPr>
                <w:rFonts w:hint="eastAsia" w:cs="仿宋"/>
              </w:rPr>
              <w:t>数据存储机密性</w:t>
            </w:r>
          </w:p>
        </w:tc>
        <w:tc>
          <w:tcPr>
            <w:tcW w:w="4819" w:type="dxa"/>
            <w:vMerge w:val="continue"/>
            <w:vAlign w:val="center"/>
          </w:tcPr>
          <w:p w14:paraId="7A503E24">
            <w:pPr>
              <w:widowControl/>
              <w:spacing w:line="240" w:lineRule="auto"/>
              <w:ind w:firstLine="0" w:firstLineChars="0"/>
              <w:jc w:val="center"/>
              <w:rPr>
                <w:rFonts w:cs="仿宋"/>
              </w:rPr>
            </w:pPr>
          </w:p>
        </w:tc>
        <w:tc>
          <w:tcPr>
            <w:tcW w:w="794" w:type="dxa"/>
            <w:vMerge w:val="continue"/>
            <w:vAlign w:val="center"/>
          </w:tcPr>
          <w:p w14:paraId="736CE6B5">
            <w:pPr>
              <w:widowControl/>
              <w:spacing w:line="240" w:lineRule="auto"/>
              <w:ind w:firstLine="0" w:firstLineChars="0"/>
              <w:jc w:val="center"/>
              <w:rPr>
                <w:rFonts w:cs="仿宋"/>
              </w:rPr>
            </w:pPr>
          </w:p>
        </w:tc>
      </w:tr>
      <w:tr w14:paraId="5084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49" w:type="dxa"/>
            <w:vMerge w:val="continue"/>
            <w:vAlign w:val="center"/>
          </w:tcPr>
          <w:p w14:paraId="0C03F4E5">
            <w:pPr>
              <w:widowControl/>
              <w:spacing w:line="240" w:lineRule="auto"/>
              <w:ind w:firstLine="0" w:firstLineChars="0"/>
              <w:jc w:val="center"/>
              <w:rPr>
                <w:rFonts w:cs="仿宋"/>
              </w:rPr>
            </w:pPr>
          </w:p>
        </w:tc>
        <w:tc>
          <w:tcPr>
            <w:tcW w:w="1940" w:type="dxa"/>
            <w:vAlign w:val="center"/>
          </w:tcPr>
          <w:p w14:paraId="0ED6AB4B">
            <w:pPr>
              <w:widowControl/>
              <w:spacing w:line="240" w:lineRule="auto"/>
              <w:ind w:firstLine="0" w:firstLineChars="0"/>
              <w:jc w:val="center"/>
              <w:rPr>
                <w:rFonts w:cs="仿宋"/>
              </w:rPr>
            </w:pPr>
            <w:r>
              <w:rPr>
                <w:rFonts w:hint="eastAsia" w:cs="仿宋"/>
              </w:rPr>
              <w:t>数据传输完整性</w:t>
            </w:r>
          </w:p>
        </w:tc>
        <w:tc>
          <w:tcPr>
            <w:tcW w:w="4819" w:type="dxa"/>
            <w:vMerge w:val="continue"/>
            <w:vAlign w:val="center"/>
          </w:tcPr>
          <w:p w14:paraId="5C761544">
            <w:pPr>
              <w:widowControl/>
              <w:spacing w:line="240" w:lineRule="auto"/>
              <w:ind w:firstLine="0" w:firstLineChars="0"/>
              <w:jc w:val="center"/>
              <w:rPr>
                <w:rFonts w:cs="仿宋"/>
              </w:rPr>
            </w:pPr>
          </w:p>
        </w:tc>
        <w:tc>
          <w:tcPr>
            <w:tcW w:w="794" w:type="dxa"/>
            <w:vMerge w:val="continue"/>
            <w:vAlign w:val="center"/>
          </w:tcPr>
          <w:p w14:paraId="391AB44F">
            <w:pPr>
              <w:widowControl/>
              <w:spacing w:line="240" w:lineRule="auto"/>
              <w:ind w:firstLine="0" w:firstLineChars="0"/>
              <w:jc w:val="center"/>
              <w:rPr>
                <w:rFonts w:cs="仿宋"/>
              </w:rPr>
            </w:pPr>
          </w:p>
        </w:tc>
      </w:tr>
      <w:tr w14:paraId="7CC7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749" w:type="dxa"/>
            <w:vMerge w:val="continue"/>
            <w:vAlign w:val="center"/>
          </w:tcPr>
          <w:p w14:paraId="764E4137">
            <w:pPr>
              <w:widowControl/>
              <w:spacing w:line="240" w:lineRule="auto"/>
              <w:ind w:firstLine="0" w:firstLineChars="0"/>
              <w:jc w:val="center"/>
              <w:rPr>
                <w:rFonts w:cs="仿宋"/>
              </w:rPr>
            </w:pPr>
          </w:p>
        </w:tc>
        <w:tc>
          <w:tcPr>
            <w:tcW w:w="1940" w:type="dxa"/>
            <w:vAlign w:val="center"/>
          </w:tcPr>
          <w:p w14:paraId="3328D50A">
            <w:pPr>
              <w:widowControl/>
              <w:spacing w:line="240" w:lineRule="auto"/>
              <w:ind w:firstLine="0" w:firstLineChars="0"/>
              <w:jc w:val="center"/>
              <w:rPr>
                <w:rFonts w:cs="仿宋"/>
              </w:rPr>
            </w:pPr>
            <w:r>
              <w:rPr>
                <w:rFonts w:hint="eastAsia" w:cs="仿宋"/>
              </w:rPr>
              <w:t>数据存储完整性</w:t>
            </w:r>
          </w:p>
        </w:tc>
        <w:tc>
          <w:tcPr>
            <w:tcW w:w="4819" w:type="dxa"/>
            <w:vMerge w:val="continue"/>
            <w:vAlign w:val="center"/>
          </w:tcPr>
          <w:p w14:paraId="4081B66D">
            <w:pPr>
              <w:widowControl/>
              <w:spacing w:line="240" w:lineRule="auto"/>
              <w:ind w:firstLine="0" w:firstLineChars="0"/>
              <w:jc w:val="center"/>
              <w:rPr>
                <w:rFonts w:cs="仿宋"/>
              </w:rPr>
            </w:pPr>
          </w:p>
        </w:tc>
        <w:tc>
          <w:tcPr>
            <w:tcW w:w="794" w:type="dxa"/>
            <w:vMerge w:val="continue"/>
            <w:vAlign w:val="center"/>
          </w:tcPr>
          <w:p w14:paraId="4B404C9D">
            <w:pPr>
              <w:widowControl/>
              <w:spacing w:line="240" w:lineRule="auto"/>
              <w:ind w:firstLine="0" w:firstLineChars="0"/>
              <w:jc w:val="center"/>
              <w:rPr>
                <w:rFonts w:cs="仿宋"/>
              </w:rPr>
            </w:pPr>
          </w:p>
        </w:tc>
      </w:tr>
      <w:tr w14:paraId="7BEF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9" w:type="dxa"/>
            <w:vMerge w:val="continue"/>
            <w:vAlign w:val="center"/>
          </w:tcPr>
          <w:p w14:paraId="1E067D04">
            <w:pPr>
              <w:widowControl/>
              <w:spacing w:line="240" w:lineRule="auto"/>
              <w:ind w:firstLine="0" w:firstLineChars="0"/>
              <w:jc w:val="center"/>
              <w:rPr>
                <w:rFonts w:cs="仿宋"/>
              </w:rPr>
            </w:pPr>
          </w:p>
        </w:tc>
        <w:tc>
          <w:tcPr>
            <w:tcW w:w="1940" w:type="dxa"/>
            <w:vAlign w:val="center"/>
          </w:tcPr>
          <w:p w14:paraId="79F6CCB4">
            <w:pPr>
              <w:widowControl/>
              <w:spacing w:line="240" w:lineRule="auto"/>
              <w:ind w:firstLine="0" w:firstLineChars="0"/>
              <w:jc w:val="center"/>
              <w:rPr>
                <w:rFonts w:cs="仿宋"/>
              </w:rPr>
            </w:pPr>
            <w:r>
              <w:rPr>
                <w:rFonts w:hint="eastAsia" w:cs="仿宋"/>
              </w:rPr>
              <w:t>不可否认性</w:t>
            </w:r>
          </w:p>
        </w:tc>
        <w:tc>
          <w:tcPr>
            <w:tcW w:w="4819" w:type="dxa"/>
            <w:vAlign w:val="center"/>
          </w:tcPr>
          <w:p w14:paraId="0C1815D2">
            <w:pPr>
              <w:widowControl/>
              <w:spacing w:line="240" w:lineRule="auto"/>
              <w:ind w:firstLine="0" w:firstLineChars="0"/>
              <w:jc w:val="center"/>
              <w:rPr>
                <w:rFonts w:cs="仿宋"/>
              </w:rPr>
            </w:pPr>
            <w:r>
              <w:rPr>
                <w:rFonts w:cs="仿宋"/>
              </w:rPr>
              <w:t>保护</w:t>
            </w:r>
            <w:r>
              <w:rPr>
                <w:rFonts w:hint="eastAsia" w:cs="仿宋"/>
              </w:rPr>
              <w:t>系统中业务</w:t>
            </w:r>
            <w:r>
              <w:rPr>
                <w:rFonts w:cs="仿宋"/>
              </w:rPr>
              <w:t>数据发送和接收操作的不可否认性，确保发送方和接收方对已经发生的操作行为无法否认</w:t>
            </w:r>
            <w:r>
              <w:rPr>
                <w:rFonts w:hint="eastAsia" w:cs="仿宋"/>
              </w:rPr>
              <w:t>。</w:t>
            </w:r>
          </w:p>
        </w:tc>
        <w:tc>
          <w:tcPr>
            <w:tcW w:w="794" w:type="dxa"/>
            <w:vAlign w:val="center"/>
          </w:tcPr>
          <w:p w14:paraId="1309D9A8">
            <w:pPr>
              <w:widowControl/>
              <w:spacing w:line="240" w:lineRule="auto"/>
              <w:ind w:firstLine="0" w:firstLineChars="0"/>
              <w:jc w:val="center"/>
              <w:rPr>
                <w:rFonts w:cs="仿宋"/>
              </w:rPr>
            </w:pPr>
            <w:r>
              <w:rPr>
                <w:rFonts w:hint="eastAsia" w:cs="仿宋"/>
              </w:rPr>
              <w:t>无</w:t>
            </w:r>
          </w:p>
        </w:tc>
      </w:tr>
      <w:tr w14:paraId="4538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363E2BF6">
            <w:pPr>
              <w:widowControl/>
              <w:spacing w:line="240" w:lineRule="auto"/>
              <w:ind w:firstLine="0" w:firstLineChars="0"/>
              <w:jc w:val="center"/>
              <w:rPr>
                <w:rFonts w:cs="仿宋"/>
              </w:rPr>
            </w:pPr>
          </w:p>
        </w:tc>
        <w:tc>
          <w:tcPr>
            <w:tcW w:w="1940" w:type="dxa"/>
            <w:vAlign w:val="center"/>
          </w:tcPr>
          <w:p w14:paraId="0A293E62">
            <w:pPr>
              <w:widowControl/>
              <w:spacing w:line="240" w:lineRule="auto"/>
              <w:ind w:firstLine="0" w:firstLineChars="0"/>
              <w:jc w:val="center"/>
              <w:rPr>
                <w:rFonts w:cs="仿宋"/>
              </w:rPr>
            </w:pPr>
            <w:r>
              <w:rPr>
                <w:rFonts w:hint="eastAsia" w:cs="仿宋"/>
              </w:rPr>
              <w:t>密码服务</w:t>
            </w:r>
          </w:p>
        </w:tc>
        <w:tc>
          <w:tcPr>
            <w:tcW w:w="4819" w:type="dxa"/>
            <w:vAlign w:val="center"/>
          </w:tcPr>
          <w:p w14:paraId="6B4AEA0D">
            <w:pPr>
              <w:widowControl/>
              <w:spacing w:line="240" w:lineRule="auto"/>
              <w:ind w:firstLine="0" w:firstLineChars="0"/>
              <w:jc w:val="center"/>
              <w:rPr>
                <w:rFonts w:cs="仿宋"/>
              </w:rPr>
            </w:pPr>
            <w:r>
              <w:rPr>
                <w:rFonts w:hint="eastAsia" w:cs="仿宋"/>
              </w:rPr>
              <w:t>采用的数字证书由具备资质的电子认证服务机构签发。</w:t>
            </w:r>
          </w:p>
        </w:tc>
        <w:tc>
          <w:tcPr>
            <w:tcW w:w="794" w:type="dxa"/>
            <w:vAlign w:val="center"/>
          </w:tcPr>
          <w:p w14:paraId="3401D442">
            <w:pPr>
              <w:widowControl/>
              <w:spacing w:line="240" w:lineRule="auto"/>
              <w:ind w:firstLine="0" w:firstLineChars="0"/>
              <w:jc w:val="center"/>
              <w:rPr>
                <w:rFonts w:cs="仿宋"/>
              </w:rPr>
            </w:pPr>
            <w:r>
              <w:rPr>
                <w:rFonts w:hint="eastAsia" w:cs="仿宋"/>
              </w:rPr>
              <w:t>无</w:t>
            </w:r>
          </w:p>
        </w:tc>
      </w:tr>
      <w:tr w14:paraId="1B34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2B1A5B80">
            <w:pPr>
              <w:widowControl/>
              <w:spacing w:line="240" w:lineRule="auto"/>
              <w:ind w:firstLine="0" w:firstLineChars="0"/>
              <w:jc w:val="center"/>
              <w:rPr>
                <w:rFonts w:cs="仿宋"/>
              </w:rPr>
            </w:pPr>
          </w:p>
        </w:tc>
        <w:tc>
          <w:tcPr>
            <w:tcW w:w="1940" w:type="dxa"/>
            <w:vAlign w:val="center"/>
          </w:tcPr>
          <w:p w14:paraId="2D34FDB7">
            <w:pPr>
              <w:widowControl/>
              <w:spacing w:line="240" w:lineRule="auto"/>
              <w:ind w:firstLine="0" w:firstLineChars="0"/>
              <w:jc w:val="center"/>
              <w:rPr>
                <w:rFonts w:cs="仿宋"/>
              </w:rPr>
            </w:pPr>
            <w:r>
              <w:rPr>
                <w:rFonts w:hint="eastAsia" w:cs="仿宋"/>
              </w:rPr>
              <w:t>密码产品</w:t>
            </w:r>
          </w:p>
        </w:tc>
        <w:tc>
          <w:tcPr>
            <w:tcW w:w="4819" w:type="dxa"/>
            <w:vAlign w:val="center"/>
          </w:tcPr>
          <w:p w14:paraId="64F62281">
            <w:pPr>
              <w:widowControl/>
              <w:spacing w:line="240" w:lineRule="auto"/>
              <w:ind w:firstLine="0" w:firstLineChars="0"/>
              <w:jc w:val="center"/>
              <w:rPr>
                <w:rFonts w:cs="仿宋"/>
              </w:rPr>
            </w:pPr>
            <w:r>
              <w:rPr>
                <w:rFonts w:hint="eastAsia" w:cs="仿宋"/>
              </w:rPr>
              <w:t>采用的密码产品，应达到</w:t>
            </w:r>
            <w:r>
              <w:rPr>
                <w:rFonts w:cs="仿宋"/>
              </w:rPr>
              <w:t>GB/T 37092</w:t>
            </w:r>
            <w:r>
              <w:rPr>
                <w:rFonts w:hint="eastAsia" w:cs="仿宋"/>
              </w:rPr>
              <w:t>-2018二级及以上安全要求。</w:t>
            </w:r>
          </w:p>
        </w:tc>
        <w:tc>
          <w:tcPr>
            <w:tcW w:w="794" w:type="dxa"/>
            <w:vAlign w:val="center"/>
          </w:tcPr>
          <w:p w14:paraId="5196A493">
            <w:pPr>
              <w:widowControl/>
              <w:spacing w:line="240" w:lineRule="auto"/>
              <w:ind w:firstLine="0" w:firstLineChars="0"/>
              <w:jc w:val="center"/>
              <w:rPr>
                <w:rFonts w:cs="仿宋"/>
              </w:rPr>
            </w:pPr>
            <w:r>
              <w:rPr>
                <w:rFonts w:hint="eastAsia" w:cs="仿宋"/>
              </w:rPr>
              <w:t>无</w:t>
            </w:r>
          </w:p>
        </w:tc>
      </w:tr>
    </w:tbl>
    <w:p w14:paraId="4890A587">
      <w:pPr>
        <w:pStyle w:val="3"/>
        <w:numPr>
          <w:ilvl w:val="1"/>
          <w:numId w:val="3"/>
        </w:numPr>
      </w:pPr>
      <w:bookmarkStart w:id="36" w:name="_Toc63785512"/>
      <w:r>
        <w:rPr>
          <w:rFonts w:hint="eastAsia"/>
        </w:rPr>
        <w:t>技术文件要求</w:t>
      </w:r>
    </w:p>
    <w:p w14:paraId="702B128B">
      <w:r>
        <w:rPr>
          <w:rFonts w:hint="eastAsia"/>
          <w:lang w:eastAsia="zh-CN"/>
        </w:rPr>
        <w:t>供应商</w:t>
      </w:r>
      <w:r>
        <w:rPr>
          <w:rFonts w:hint="eastAsia"/>
        </w:rPr>
        <w:t>提供的书面技术资料应能确保系统正常运行所需的管理、运营及维护有关的全套文件。技术文件应该全面、完整、详细。</w:t>
      </w:r>
      <w:r>
        <w:rPr>
          <w:rFonts w:hint="eastAsia"/>
          <w:lang w:eastAsia="zh-CN"/>
        </w:rPr>
        <w:t>供应商</w:t>
      </w:r>
      <w:r>
        <w:rPr>
          <w:rFonts w:hint="eastAsia"/>
        </w:rPr>
        <w:t>提供的技术文件至少应包括：</w:t>
      </w:r>
    </w:p>
    <w:p w14:paraId="3F734AEB">
      <w:r>
        <w:rPr>
          <w:rFonts w:hint="eastAsia"/>
        </w:rPr>
        <w:t>－</w:t>
      </w:r>
      <w:r>
        <w:t xml:space="preserve"> 系统说明文件； </w:t>
      </w:r>
    </w:p>
    <w:p w14:paraId="450DECEB">
      <w:r>
        <w:rPr>
          <w:rFonts w:hint="eastAsia"/>
        </w:rPr>
        <w:t>－</w:t>
      </w:r>
      <w:r>
        <w:t xml:space="preserve"> 技术手册(安装、测试、操作、维护、故障排除等)； </w:t>
      </w:r>
    </w:p>
    <w:p w14:paraId="4246BB27">
      <w:r>
        <w:rPr>
          <w:rFonts w:hint="eastAsia"/>
        </w:rPr>
        <w:t>－</w:t>
      </w:r>
      <w:r>
        <w:t xml:space="preserve"> 项目文档，应该包括：</w:t>
      </w:r>
    </w:p>
    <w:p w14:paraId="2E86A175">
      <w:r>
        <w:t>(1)软件需求说明书</w:t>
      </w:r>
    </w:p>
    <w:p w14:paraId="7DECDA9E">
      <w:r>
        <w:t>(2)系统总体设计说明书</w:t>
      </w:r>
    </w:p>
    <w:p w14:paraId="028BECCB">
      <w:r>
        <w:t>(3)应用软件功能清单</w:t>
      </w:r>
    </w:p>
    <w:p w14:paraId="4D07D1EE">
      <w:r>
        <w:rPr>
          <w:rFonts w:hint="eastAsia"/>
        </w:rPr>
        <w:t>提供全套技术文件纸介质</w:t>
      </w:r>
      <w:r>
        <w:t>3套以及电子文件1套。</w:t>
      </w:r>
    </w:p>
    <w:p w14:paraId="0D53C777">
      <w:pPr>
        <w:pStyle w:val="2"/>
        <w:numPr>
          <w:ilvl w:val="0"/>
          <w:numId w:val="3"/>
        </w:numPr>
      </w:pPr>
      <w:r>
        <w:rPr>
          <w:rFonts w:hint="eastAsia"/>
        </w:rPr>
        <w:t>供应商管理要求</w:t>
      </w:r>
      <w:bookmarkEnd w:id="36"/>
    </w:p>
    <w:p w14:paraId="6217E011">
      <w:r>
        <w:t>(1)</w:t>
      </w:r>
      <w:r>
        <w:rPr>
          <w:rFonts w:hint="eastAsia"/>
        </w:rPr>
        <w:t>在项目实施期间，</w:t>
      </w:r>
      <w:r>
        <w:rPr>
          <w:rFonts w:hint="eastAsia"/>
          <w:lang w:eastAsia="zh-CN"/>
        </w:rPr>
        <w:t>供应商</w:t>
      </w:r>
      <w:r>
        <w:rPr>
          <w:rFonts w:hint="eastAsia"/>
        </w:rPr>
        <w:t>应严格执行国家、地方、行业有关本项目业务管理和安全作业的法律、法规和制度并按规定承担相应的费用。</w:t>
      </w:r>
      <w:r>
        <w:rPr>
          <w:rFonts w:hint="eastAsia"/>
          <w:lang w:eastAsia="zh-CN"/>
        </w:rPr>
        <w:t>供应商</w:t>
      </w:r>
      <w:r>
        <w:rPr>
          <w:rFonts w:hint="eastAsia"/>
        </w:rPr>
        <w:t>因违反规定等原因造成的一切损失和责任由</w:t>
      </w:r>
      <w:r>
        <w:rPr>
          <w:rFonts w:hint="eastAsia"/>
          <w:lang w:eastAsia="zh-CN"/>
        </w:rPr>
        <w:t>供应商</w:t>
      </w:r>
      <w:r>
        <w:rPr>
          <w:rFonts w:hint="eastAsia"/>
        </w:rPr>
        <w:t>自行承担。</w:t>
      </w:r>
    </w:p>
    <w:p w14:paraId="48FBE316">
      <w:r>
        <w:t>(2)</w:t>
      </w:r>
      <w:r>
        <w:rPr>
          <w:rFonts w:hint="eastAsia"/>
          <w:lang w:eastAsia="zh-CN"/>
        </w:rPr>
        <w:t>供应商</w:t>
      </w:r>
      <w:r>
        <w:rPr>
          <w:rFonts w:hint="eastAsia"/>
        </w:rPr>
        <w:t>在投标书中承诺并经</w:t>
      </w:r>
      <w:r>
        <w:rPr>
          <w:rFonts w:hint="eastAsia"/>
          <w:lang w:eastAsia="zh-CN"/>
        </w:rPr>
        <w:t>采购人</w:t>
      </w:r>
      <w:r>
        <w:rPr>
          <w:rFonts w:hint="eastAsia"/>
        </w:rPr>
        <w:t>认定的项目负责人及专业技术人员必须是本单位职工（在本单位缴纳社会保障金）和该项目实施现场的实际操作者，应具有类似本项目的实施经验，并应在软件应用调研、安装、试运行等期间常驻项目现场。未经采购人同意，</w:t>
      </w:r>
      <w:r>
        <w:rPr>
          <w:rFonts w:hint="eastAsia"/>
          <w:lang w:eastAsia="zh-CN"/>
        </w:rPr>
        <w:t>供应商</w:t>
      </w:r>
      <w:r>
        <w:rPr>
          <w:rFonts w:hint="eastAsia"/>
        </w:rPr>
        <w:t>不得调换或撤离上述人员。如采购人认为有必要，可要求</w:t>
      </w:r>
      <w:r>
        <w:rPr>
          <w:rFonts w:hint="eastAsia"/>
          <w:lang w:eastAsia="zh-CN"/>
        </w:rPr>
        <w:t>供应商</w:t>
      </w:r>
      <w:r>
        <w:rPr>
          <w:rFonts w:hint="eastAsia"/>
        </w:rPr>
        <w:t>对上述人员中的部分人员作出更好的调整。</w:t>
      </w:r>
    </w:p>
    <w:p w14:paraId="0243A6F3">
      <w:r>
        <w:t>(3)</w:t>
      </w:r>
      <w:r>
        <w:rPr>
          <w:rFonts w:hint="eastAsia"/>
          <w:lang w:eastAsia="zh-CN"/>
        </w:rPr>
        <w:t>供应商</w:t>
      </w:r>
      <w:r>
        <w:rPr>
          <w:rFonts w:hint="eastAsia"/>
        </w:rPr>
        <w:t>在项目实施期间，应按项目实际进度与环节落实所对应项目整体及各环节管理工作，按照规范做好项目实施期间相关管理与实施记录。</w:t>
      </w:r>
    </w:p>
    <w:p w14:paraId="78687797">
      <w:r>
        <w:t>(4)</w:t>
      </w:r>
      <w:r>
        <w:rPr>
          <w:rFonts w:hint="eastAsia"/>
        </w:rPr>
        <w:t>参与本项目的工作人员应严格遵循采购人的安全制度，保障采购人资料和设备的安全。</w:t>
      </w:r>
      <w:r>
        <w:rPr>
          <w:rFonts w:hint="eastAsia"/>
          <w:lang w:eastAsia="zh-CN"/>
        </w:rPr>
        <w:t>供应商</w:t>
      </w:r>
      <w:r>
        <w:rPr>
          <w:rFonts w:hint="eastAsia"/>
        </w:rPr>
        <w:t>如需进入采购人机房工作，只能在采购人规定</w:t>
      </w:r>
      <w:bookmarkStart w:id="38" w:name="_GoBack"/>
      <w:bookmarkEnd w:id="38"/>
      <w:r>
        <w:rPr>
          <w:rFonts w:hint="eastAsia"/>
        </w:rPr>
        <w:t>的工作区域内对项目涉及的设备进行操作，严禁触动与项目无关的任何设备（包括任何操作行为），如需跨区操作必须得到采购人项目联系人确认。</w:t>
      </w:r>
    </w:p>
    <w:p w14:paraId="5AC0C85A">
      <w:r>
        <w:t>(5)</w:t>
      </w:r>
      <w:r>
        <w:rPr>
          <w:rFonts w:hint="eastAsia"/>
          <w:lang w:eastAsia="zh-CN"/>
        </w:rPr>
        <w:t>供应商</w:t>
      </w:r>
      <w:r>
        <w:rPr>
          <w:rFonts w:hint="eastAsia"/>
        </w:rPr>
        <w:t>在项目实施期间必须遵守采购人的规章制度并提供实施人员名单。</w:t>
      </w:r>
    </w:p>
    <w:p w14:paraId="30D31637">
      <w:r>
        <w:t>(6)</w:t>
      </w:r>
      <w:r>
        <w:rPr>
          <w:rFonts w:hint="eastAsia"/>
        </w:rPr>
        <w:t>各</w:t>
      </w:r>
      <w:r>
        <w:rPr>
          <w:rFonts w:hint="eastAsia"/>
          <w:lang w:eastAsia="zh-CN"/>
        </w:rPr>
        <w:t>供应商</w:t>
      </w:r>
      <w:r>
        <w:rPr>
          <w:rFonts w:hint="eastAsia"/>
        </w:rPr>
        <w:t>在投标文件中要结合本项目的特点和采购人上述的具体要求制定相应的管理措施，并在报价中列支相应的费用清单，</w:t>
      </w:r>
      <w:r>
        <w:rPr>
          <w:rFonts w:hint="eastAsia"/>
          <w:lang w:eastAsia="zh-CN"/>
        </w:rPr>
        <w:t>供应商</w:t>
      </w:r>
      <w:r>
        <w:rPr>
          <w:rFonts w:hint="eastAsia"/>
        </w:rPr>
        <w:t>报价中未列支上述费用清单的，上述费用视为已包含在</w:t>
      </w:r>
      <w:r>
        <w:rPr>
          <w:rFonts w:hint="eastAsia"/>
          <w:lang w:eastAsia="zh-CN"/>
        </w:rPr>
        <w:t>供应商</w:t>
      </w:r>
      <w:r>
        <w:rPr>
          <w:rFonts w:hint="eastAsia"/>
        </w:rPr>
        <w:t>的投标总报价中。</w:t>
      </w:r>
    </w:p>
    <w:p w14:paraId="2D07F693">
      <w:r>
        <w:t>(7)</w:t>
      </w:r>
      <w:r>
        <w:rPr>
          <w:rFonts w:hint="eastAsia"/>
        </w:rPr>
        <w:t>本项目软件开发及调试将纳入采购人的管理范围，</w:t>
      </w:r>
      <w:r>
        <w:rPr>
          <w:rFonts w:hint="eastAsia"/>
          <w:lang w:eastAsia="zh-CN"/>
        </w:rPr>
        <w:t>供应商</w:t>
      </w:r>
      <w:r>
        <w:rPr>
          <w:rFonts w:hint="eastAsia"/>
        </w:rPr>
        <w:t>在此过程中须服从上述单位的管理协调。</w:t>
      </w:r>
    </w:p>
    <w:p w14:paraId="5161E2A5">
      <w:pPr>
        <w:pStyle w:val="2"/>
        <w:numPr>
          <w:ilvl w:val="0"/>
          <w:numId w:val="3"/>
        </w:numPr>
      </w:pPr>
      <w:bookmarkStart w:id="37" w:name="_Toc68798863"/>
      <w:r>
        <w:rPr>
          <w:rFonts w:hint="eastAsia"/>
        </w:rPr>
        <w:t>附录</w:t>
      </w:r>
      <w:bookmarkEnd w:id="37"/>
    </w:p>
    <w:p w14:paraId="3340AE3B">
      <w:pPr>
        <w:ind w:firstLine="0" w:firstLineChars="0"/>
      </w:pPr>
      <w:r>
        <w:rPr>
          <w:rFonts w:hint="eastAsia"/>
        </w:rPr>
        <w:t>(1)</w:t>
      </w:r>
      <w:r>
        <w:t>《政务网络安全监测平台总体技术要求》</w:t>
      </w:r>
    </w:p>
    <w:p w14:paraId="5368E28D">
      <w:pPr>
        <w:ind w:firstLine="0" w:firstLineChars="0"/>
      </w:pPr>
      <w:r>
        <w:object>
          <v:shape id="_x0000_i1025" o:spt="75" type="#_x0000_t75" style="height:57.75pt;width:72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14:paraId="79C8223F">
      <w:pPr>
        <w:ind w:firstLine="0" w:firstLineChars="0"/>
        <w:jc w:val="left"/>
      </w:pPr>
      <w:r>
        <w:rPr>
          <w:rFonts w:hint="eastAsia"/>
        </w:rPr>
        <w:t>(2)《上海市电子政务外网建设和运行管理指南（试行）》</w:t>
      </w:r>
    </w:p>
    <w:p w14:paraId="0DD6C1BA">
      <w:pPr>
        <w:ind w:firstLine="0" w:firstLineChars="0"/>
        <w:jc w:val="left"/>
      </w:pPr>
      <w:r>
        <w:object>
          <v:shape id="_x0000_i1026" o:spt="75" type="#_x0000_t75" style="height:57.75pt;width:72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仿宋">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Arial Unicode MS">
    <w:altName w:val="DejaVu Sans"/>
    <w:panose1 w:val="020B0604020202020204"/>
    <w:charset w:val="86"/>
    <w:family w:val="swiss"/>
    <w:pitch w:val="default"/>
    <w:sig w:usb0="00000000" w:usb1="00000000" w:usb2="0000003F" w:usb3="00000000" w:csb0="003F01FF" w:csb1="0000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Liberation Sans"/>
    <w:panose1 w:val="020B0604020202020204"/>
    <w:charset w:val="00"/>
    <w:family w:val="swiss"/>
    <w:pitch w:val="default"/>
    <w:sig w:usb0="00000000" w:usb1="00000000" w:usb2="00000029" w:usb3="00000000" w:csb0="000101FF" w:csb1="0000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Tahoma">
    <w:altName w:val="DejaVu Sans"/>
    <w:panose1 w:val="020B0604030504040204"/>
    <w:charset w:val="00"/>
    <w:family w:val="swiss"/>
    <w:pitch w:val="default"/>
    <w:sig w:usb0="00000000" w:usb1="00000000"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885E6">
    <w:pPr>
      <w:ind w:firstLine="0" w:firstLineChars="0"/>
      <w:jc w:val="center"/>
    </w:pPr>
    <w:r>
      <w:fldChar w:fldCharType="begin"/>
    </w:r>
    <w:r>
      <w:instrText xml:space="preserve">PAGE   \* MERGEFORMAT</w:instrText>
    </w:r>
    <w:r>
      <w:fldChar w:fldCharType="separate"/>
    </w:r>
    <w:r>
      <w:rPr>
        <w:lang w:val="zh-CN"/>
      </w:rPr>
      <w:t>7</w:t>
    </w:r>
    <w:r>
      <w:rPr>
        <w:lang w:val="zh-CN"/>
      </w:rPr>
      <w:fldChar w:fldCharType="end"/>
    </w:r>
  </w:p>
  <w:p w14:paraId="2CC5929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3BA84"/>
  <w:p w14:paraId="56B749F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3034C">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09386">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04D823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9F9D0">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83789"/>
  <w:p w14:paraId="2EB761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7583F">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6724193E"/>
    <w:multiLevelType w:val="multilevel"/>
    <w:tmpl w:val="6724193E"/>
    <w:lvl w:ilvl="0" w:tentative="0">
      <w:start w:val="1"/>
      <w:numFmt w:val="chineseCountingThousand"/>
      <w:lvlText w:val="%1、"/>
      <w:lvlJc w:val="left"/>
      <w:pPr>
        <w:ind w:left="425" w:hanging="425"/>
      </w:pPr>
      <w:rPr>
        <w:rFonts w:hint="eastAsia"/>
        <w:sz w:val="32"/>
        <w:szCs w:val="32"/>
      </w:rPr>
    </w:lvl>
    <w:lvl w:ilvl="1" w:tentative="0">
      <w:start w:val="1"/>
      <w:numFmt w:val="decimal"/>
      <w:isLgl/>
      <w:suff w:val="nothing"/>
      <w:lvlText w:val="%1.%2、"/>
      <w:lvlJc w:val="left"/>
      <w:pPr>
        <w:ind w:left="1135" w:hanging="567"/>
      </w:pPr>
    </w:lvl>
    <w:lvl w:ilvl="2" w:tentative="0">
      <w:start w:val="1"/>
      <w:numFmt w:val="decimal"/>
      <w:isLgl/>
      <w:suff w:val="nothing"/>
      <w:lvlText w:val="%1.%2.%3、"/>
      <w:lvlJc w:val="left"/>
      <w:pPr>
        <w:ind w:left="1636" w:hanging="1069"/>
      </w:pPr>
      <w:rPr>
        <w:rFonts w:hint="default" w:ascii="宋体" w:hAnsi="宋体" w:eastAsia="宋体" w:cs="Arial"/>
      </w:rPr>
    </w:lvl>
    <w:lvl w:ilvl="3" w:tentative="0">
      <w:start w:val="1"/>
      <w:numFmt w:val="decimal"/>
      <w:isLgl/>
      <w:suff w:val="nothing"/>
      <w:lvlText w:val="%1.%2.%3.%4、"/>
      <w:lvlJc w:val="left"/>
      <w:pPr>
        <w:ind w:left="3403" w:hanging="851"/>
      </w:pPr>
    </w:lvl>
    <w:lvl w:ilvl="4" w:tentative="0">
      <w:start w:val="1"/>
      <w:numFmt w:val="decimal"/>
      <w:isLgl/>
      <w:suff w:val="nothing"/>
      <w:lvlText w:val="%1.%2.%3.%4.%5、"/>
      <w:lvlJc w:val="left"/>
      <w:pPr>
        <w:ind w:left="3544"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2">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RhZmI4MDVmMTQ2MjVkZjFlZGQ5NmFkYTRlMjc0MmEifQ=="/>
  </w:docVars>
  <w:rsids>
    <w:rsidRoot w:val="006910C0"/>
    <w:rsid w:val="0000005A"/>
    <w:rsid w:val="00000AED"/>
    <w:rsid w:val="00002DBA"/>
    <w:rsid w:val="00003516"/>
    <w:rsid w:val="0000380E"/>
    <w:rsid w:val="00005AFD"/>
    <w:rsid w:val="00006563"/>
    <w:rsid w:val="000074F1"/>
    <w:rsid w:val="00007A41"/>
    <w:rsid w:val="00007DA7"/>
    <w:rsid w:val="00012EF0"/>
    <w:rsid w:val="000156DE"/>
    <w:rsid w:val="000165AD"/>
    <w:rsid w:val="000179E9"/>
    <w:rsid w:val="00020C18"/>
    <w:rsid w:val="0002188C"/>
    <w:rsid w:val="00021EE6"/>
    <w:rsid w:val="0002280E"/>
    <w:rsid w:val="00022C74"/>
    <w:rsid w:val="00025122"/>
    <w:rsid w:val="000252D5"/>
    <w:rsid w:val="00026997"/>
    <w:rsid w:val="00027A64"/>
    <w:rsid w:val="00031D87"/>
    <w:rsid w:val="00032D27"/>
    <w:rsid w:val="00035325"/>
    <w:rsid w:val="00035D5B"/>
    <w:rsid w:val="000378D0"/>
    <w:rsid w:val="00037F2C"/>
    <w:rsid w:val="00041A74"/>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1AF5"/>
    <w:rsid w:val="00083950"/>
    <w:rsid w:val="0008452F"/>
    <w:rsid w:val="00084E8E"/>
    <w:rsid w:val="00085A68"/>
    <w:rsid w:val="00090625"/>
    <w:rsid w:val="00090948"/>
    <w:rsid w:val="00091CD1"/>
    <w:rsid w:val="0009460E"/>
    <w:rsid w:val="000951D4"/>
    <w:rsid w:val="00095845"/>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E9"/>
    <w:rsid w:val="000C75F7"/>
    <w:rsid w:val="000D0AB2"/>
    <w:rsid w:val="000D0E0C"/>
    <w:rsid w:val="000D225C"/>
    <w:rsid w:val="000D36F2"/>
    <w:rsid w:val="000D4B26"/>
    <w:rsid w:val="000D74DB"/>
    <w:rsid w:val="000E24D6"/>
    <w:rsid w:val="000E423B"/>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1B5D"/>
    <w:rsid w:val="0016429B"/>
    <w:rsid w:val="00164525"/>
    <w:rsid w:val="00164C50"/>
    <w:rsid w:val="00165CB2"/>
    <w:rsid w:val="00166203"/>
    <w:rsid w:val="00166767"/>
    <w:rsid w:val="001707CB"/>
    <w:rsid w:val="00170C54"/>
    <w:rsid w:val="00171477"/>
    <w:rsid w:val="00172A1A"/>
    <w:rsid w:val="00173251"/>
    <w:rsid w:val="00176BED"/>
    <w:rsid w:val="0017759D"/>
    <w:rsid w:val="001804A5"/>
    <w:rsid w:val="00181C94"/>
    <w:rsid w:val="00182C84"/>
    <w:rsid w:val="00187031"/>
    <w:rsid w:val="00191EA4"/>
    <w:rsid w:val="00192B6C"/>
    <w:rsid w:val="00192C30"/>
    <w:rsid w:val="0019381E"/>
    <w:rsid w:val="00193EA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B6A9A"/>
    <w:rsid w:val="001C2180"/>
    <w:rsid w:val="001C29CC"/>
    <w:rsid w:val="001C3217"/>
    <w:rsid w:val="001C3B98"/>
    <w:rsid w:val="001C3E64"/>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A6DC1"/>
    <w:rsid w:val="002B3606"/>
    <w:rsid w:val="002B3D80"/>
    <w:rsid w:val="002B4402"/>
    <w:rsid w:val="002B4946"/>
    <w:rsid w:val="002B4C41"/>
    <w:rsid w:val="002B588D"/>
    <w:rsid w:val="002B6A02"/>
    <w:rsid w:val="002C1839"/>
    <w:rsid w:val="002C214A"/>
    <w:rsid w:val="002C28E8"/>
    <w:rsid w:val="002C3027"/>
    <w:rsid w:val="002C674D"/>
    <w:rsid w:val="002C7648"/>
    <w:rsid w:val="002C7DC4"/>
    <w:rsid w:val="002D0821"/>
    <w:rsid w:val="002D1929"/>
    <w:rsid w:val="002D1B73"/>
    <w:rsid w:val="002D3CB0"/>
    <w:rsid w:val="002D40A5"/>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0CDE"/>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4E8"/>
    <w:rsid w:val="004017DC"/>
    <w:rsid w:val="00401B53"/>
    <w:rsid w:val="00402668"/>
    <w:rsid w:val="00404FEC"/>
    <w:rsid w:val="0040534D"/>
    <w:rsid w:val="00405FAD"/>
    <w:rsid w:val="004117AB"/>
    <w:rsid w:val="00412B2F"/>
    <w:rsid w:val="00415281"/>
    <w:rsid w:val="00415716"/>
    <w:rsid w:val="0041604D"/>
    <w:rsid w:val="00417842"/>
    <w:rsid w:val="00417A6E"/>
    <w:rsid w:val="00420CDF"/>
    <w:rsid w:val="0042285D"/>
    <w:rsid w:val="00427D2B"/>
    <w:rsid w:val="00430B13"/>
    <w:rsid w:val="00430CE5"/>
    <w:rsid w:val="0043153C"/>
    <w:rsid w:val="00431CC6"/>
    <w:rsid w:val="00431D0F"/>
    <w:rsid w:val="0043481C"/>
    <w:rsid w:val="004423F1"/>
    <w:rsid w:val="00444307"/>
    <w:rsid w:val="0044436F"/>
    <w:rsid w:val="004443EB"/>
    <w:rsid w:val="00444432"/>
    <w:rsid w:val="00444673"/>
    <w:rsid w:val="0044621E"/>
    <w:rsid w:val="00447BF1"/>
    <w:rsid w:val="00450BA4"/>
    <w:rsid w:val="004511FC"/>
    <w:rsid w:val="00456784"/>
    <w:rsid w:val="00456DCA"/>
    <w:rsid w:val="004577CC"/>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0AA0"/>
    <w:rsid w:val="005220DE"/>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4D48"/>
    <w:rsid w:val="00565694"/>
    <w:rsid w:val="00566DD6"/>
    <w:rsid w:val="005714EF"/>
    <w:rsid w:val="005717D9"/>
    <w:rsid w:val="00571CEC"/>
    <w:rsid w:val="00572FCE"/>
    <w:rsid w:val="005750DB"/>
    <w:rsid w:val="005759FC"/>
    <w:rsid w:val="00575B85"/>
    <w:rsid w:val="00576DB9"/>
    <w:rsid w:val="0057738F"/>
    <w:rsid w:val="005805E4"/>
    <w:rsid w:val="0058202F"/>
    <w:rsid w:val="00584221"/>
    <w:rsid w:val="00584575"/>
    <w:rsid w:val="00584EB6"/>
    <w:rsid w:val="00586B68"/>
    <w:rsid w:val="0058774E"/>
    <w:rsid w:val="005878CF"/>
    <w:rsid w:val="00590CA0"/>
    <w:rsid w:val="00595B01"/>
    <w:rsid w:val="0059683F"/>
    <w:rsid w:val="00596D98"/>
    <w:rsid w:val="005979A5"/>
    <w:rsid w:val="005A0021"/>
    <w:rsid w:val="005A017B"/>
    <w:rsid w:val="005A2AEC"/>
    <w:rsid w:val="005A412D"/>
    <w:rsid w:val="005A5212"/>
    <w:rsid w:val="005A5FCF"/>
    <w:rsid w:val="005B002D"/>
    <w:rsid w:val="005B0FFF"/>
    <w:rsid w:val="005B19AF"/>
    <w:rsid w:val="005B258C"/>
    <w:rsid w:val="005B61DD"/>
    <w:rsid w:val="005B6735"/>
    <w:rsid w:val="005B7831"/>
    <w:rsid w:val="005C0CD6"/>
    <w:rsid w:val="005C12D9"/>
    <w:rsid w:val="005C1B87"/>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0C4A"/>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5861"/>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6BE1"/>
    <w:rsid w:val="00677749"/>
    <w:rsid w:val="00680E07"/>
    <w:rsid w:val="00682B9D"/>
    <w:rsid w:val="00683806"/>
    <w:rsid w:val="00686AF9"/>
    <w:rsid w:val="006910C0"/>
    <w:rsid w:val="00691954"/>
    <w:rsid w:val="0069320E"/>
    <w:rsid w:val="00693D13"/>
    <w:rsid w:val="00694F58"/>
    <w:rsid w:val="006955BC"/>
    <w:rsid w:val="006959E2"/>
    <w:rsid w:val="00696920"/>
    <w:rsid w:val="00697BC5"/>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49A8"/>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5BCF"/>
    <w:rsid w:val="00777A58"/>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0681"/>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696F"/>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666EA"/>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4979"/>
    <w:rsid w:val="008A7DBF"/>
    <w:rsid w:val="008B136C"/>
    <w:rsid w:val="008B55EF"/>
    <w:rsid w:val="008B6910"/>
    <w:rsid w:val="008B6D8A"/>
    <w:rsid w:val="008C0B5C"/>
    <w:rsid w:val="008C1343"/>
    <w:rsid w:val="008C3912"/>
    <w:rsid w:val="008C5598"/>
    <w:rsid w:val="008C59A9"/>
    <w:rsid w:val="008C69EA"/>
    <w:rsid w:val="008C6F8B"/>
    <w:rsid w:val="008C7AB7"/>
    <w:rsid w:val="008C7FB4"/>
    <w:rsid w:val="008D2C8C"/>
    <w:rsid w:val="008D3040"/>
    <w:rsid w:val="008D3E97"/>
    <w:rsid w:val="008D3ECD"/>
    <w:rsid w:val="008D5C03"/>
    <w:rsid w:val="008D7580"/>
    <w:rsid w:val="008D7C35"/>
    <w:rsid w:val="008E4AAF"/>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8A7"/>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1D84"/>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6767"/>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2E70"/>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166A"/>
    <w:rsid w:val="00AB5AC0"/>
    <w:rsid w:val="00AB6327"/>
    <w:rsid w:val="00AB6B8F"/>
    <w:rsid w:val="00AC0C65"/>
    <w:rsid w:val="00AC0FB2"/>
    <w:rsid w:val="00AC3721"/>
    <w:rsid w:val="00AC41C6"/>
    <w:rsid w:val="00AC5137"/>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E6B52"/>
    <w:rsid w:val="00AF1345"/>
    <w:rsid w:val="00AF38A8"/>
    <w:rsid w:val="00AF63EB"/>
    <w:rsid w:val="00B016D2"/>
    <w:rsid w:val="00B018EC"/>
    <w:rsid w:val="00B060C7"/>
    <w:rsid w:val="00B11AB7"/>
    <w:rsid w:val="00B12213"/>
    <w:rsid w:val="00B1247B"/>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0FAB"/>
    <w:rsid w:val="00B51C67"/>
    <w:rsid w:val="00B53F86"/>
    <w:rsid w:val="00B53FDC"/>
    <w:rsid w:val="00B55431"/>
    <w:rsid w:val="00B55CAE"/>
    <w:rsid w:val="00B576C6"/>
    <w:rsid w:val="00B577CB"/>
    <w:rsid w:val="00B615F2"/>
    <w:rsid w:val="00B61A28"/>
    <w:rsid w:val="00B63ECB"/>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B75A6"/>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BF77BA"/>
    <w:rsid w:val="00BF7C9A"/>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5A"/>
    <w:rsid w:val="00C53471"/>
    <w:rsid w:val="00C55143"/>
    <w:rsid w:val="00C5611B"/>
    <w:rsid w:val="00C5695E"/>
    <w:rsid w:val="00C61528"/>
    <w:rsid w:val="00C6221D"/>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9718B"/>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0D0C"/>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66AFF"/>
    <w:rsid w:val="00D676C5"/>
    <w:rsid w:val="00D70F55"/>
    <w:rsid w:val="00D70FA5"/>
    <w:rsid w:val="00D74171"/>
    <w:rsid w:val="00D7474C"/>
    <w:rsid w:val="00D8032C"/>
    <w:rsid w:val="00D80CE2"/>
    <w:rsid w:val="00D83080"/>
    <w:rsid w:val="00D83E66"/>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B7D45"/>
    <w:rsid w:val="00DC0176"/>
    <w:rsid w:val="00DC043F"/>
    <w:rsid w:val="00DC093E"/>
    <w:rsid w:val="00DC0E29"/>
    <w:rsid w:val="00DC0E7A"/>
    <w:rsid w:val="00DC2A65"/>
    <w:rsid w:val="00DC2A86"/>
    <w:rsid w:val="00DC3631"/>
    <w:rsid w:val="00DC37F7"/>
    <w:rsid w:val="00DC61DE"/>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090"/>
    <w:rsid w:val="00E47521"/>
    <w:rsid w:val="00E4760C"/>
    <w:rsid w:val="00E507A6"/>
    <w:rsid w:val="00E5375C"/>
    <w:rsid w:val="00E53937"/>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D7DE8"/>
    <w:rsid w:val="00EE742D"/>
    <w:rsid w:val="00EF0A22"/>
    <w:rsid w:val="00EF1267"/>
    <w:rsid w:val="00EF180C"/>
    <w:rsid w:val="00EF3B6B"/>
    <w:rsid w:val="00EF4B43"/>
    <w:rsid w:val="00EF6750"/>
    <w:rsid w:val="00EF770B"/>
    <w:rsid w:val="00F006C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345"/>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A26"/>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3F1"/>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4901"/>
    <w:rsid w:val="00FE5469"/>
    <w:rsid w:val="00FE66C2"/>
    <w:rsid w:val="00FE684A"/>
    <w:rsid w:val="00FE6F23"/>
    <w:rsid w:val="00FF0F8C"/>
    <w:rsid w:val="00FF408B"/>
    <w:rsid w:val="00FF43E1"/>
    <w:rsid w:val="03430854"/>
    <w:rsid w:val="039F5FA6"/>
    <w:rsid w:val="09305ADA"/>
    <w:rsid w:val="0E8013B7"/>
    <w:rsid w:val="10D604C6"/>
    <w:rsid w:val="11B515E0"/>
    <w:rsid w:val="13A53267"/>
    <w:rsid w:val="13F970D2"/>
    <w:rsid w:val="14AA4136"/>
    <w:rsid w:val="1572463D"/>
    <w:rsid w:val="163A420B"/>
    <w:rsid w:val="19413B26"/>
    <w:rsid w:val="1C6D3688"/>
    <w:rsid w:val="1C974DF7"/>
    <w:rsid w:val="1CC63D0A"/>
    <w:rsid w:val="1DC2081A"/>
    <w:rsid w:val="1DD94266"/>
    <w:rsid w:val="1F9D0947"/>
    <w:rsid w:val="1FFB29C6"/>
    <w:rsid w:val="20970BD1"/>
    <w:rsid w:val="22AF3620"/>
    <w:rsid w:val="22E70AD4"/>
    <w:rsid w:val="24F1508D"/>
    <w:rsid w:val="266F634F"/>
    <w:rsid w:val="291059EA"/>
    <w:rsid w:val="2BBF12EC"/>
    <w:rsid w:val="2BC649D9"/>
    <w:rsid w:val="3515160D"/>
    <w:rsid w:val="3B7807FE"/>
    <w:rsid w:val="3C7D00D8"/>
    <w:rsid w:val="3CA06C0C"/>
    <w:rsid w:val="3EA25851"/>
    <w:rsid w:val="3F6C3757"/>
    <w:rsid w:val="405D6A10"/>
    <w:rsid w:val="41DA6594"/>
    <w:rsid w:val="444C1A75"/>
    <w:rsid w:val="44A3526F"/>
    <w:rsid w:val="44B032F4"/>
    <w:rsid w:val="457D25F7"/>
    <w:rsid w:val="468341CD"/>
    <w:rsid w:val="472C2589"/>
    <w:rsid w:val="4A760AEB"/>
    <w:rsid w:val="4F3162CA"/>
    <w:rsid w:val="50D95873"/>
    <w:rsid w:val="526102AF"/>
    <w:rsid w:val="528444DA"/>
    <w:rsid w:val="537745D5"/>
    <w:rsid w:val="552306F6"/>
    <w:rsid w:val="56E352D5"/>
    <w:rsid w:val="57E435FE"/>
    <w:rsid w:val="582D0655"/>
    <w:rsid w:val="5951205C"/>
    <w:rsid w:val="59D079E8"/>
    <w:rsid w:val="59D40847"/>
    <w:rsid w:val="5AE37F25"/>
    <w:rsid w:val="5CB23D47"/>
    <w:rsid w:val="5DFD93CC"/>
    <w:rsid w:val="5E9CC3ED"/>
    <w:rsid w:val="5FAF09C4"/>
    <w:rsid w:val="5FD99DB1"/>
    <w:rsid w:val="608C4642"/>
    <w:rsid w:val="62795572"/>
    <w:rsid w:val="64DD6417"/>
    <w:rsid w:val="66004745"/>
    <w:rsid w:val="67FFBFF5"/>
    <w:rsid w:val="6A567F20"/>
    <w:rsid w:val="6CD97953"/>
    <w:rsid w:val="6ED30FD7"/>
    <w:rsid w:val="6FFF7BD7"/>
    <w:rsid w:val="727D78FD"/>
    <w:rsid w:val="73CC655F"/>
    <w:rsid w:val="73FA8648"/>
    <w:rsid w:val="75957445"/>
    <w:rsid w:val="75D01AE1"/>
    <w:rsid w:val="77524363"/>
    <w:rsid w:val="77B917B5"/>
    <w:rsid w:val="77F75380"/>
    <w:rsid w:val="78703975"/>
    <w:rsid w:val="7A971C1F"/>
    <w:rsid w:val="7BDC08A0"/>
    <w:rsid w:val="7BE01F8F"/>
    <w:rsid w:val="7BE420FD"/>
    <w:rsid w:val="7D0D296B"/>
    <w:rsid w:val="7D4E0B54"/>
    <w:rsid w:val="7D503E78"/>
    <w:rsid w:val="7DF7DF25"/>
    <w:rsid w:val="7E0160D4"/>
    <w:rsid w:val="B79A69B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表段落 字符1"/>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列出段落1"/>
    <w:basedOn w:val="1"/>
    <w:qFormat/>
    <w:uiPriority w:val="34"/>
    <w:pPr>
      <w:spacing w:line="240" w:lineRule="auto"/>
      <w:ind w:firstLine="420"/>
    </w:pPr>
    <w:rPr>
      <w:rFonts w:ascii="Calibri" w:hAnsi="Calibri"/>
      <w:sz w:val="21"/>
      <w:szCs w:val="22"/>
    </w:rPr>
  </w:style>
  <w:style w:type="paragraph" w:customStyle="1" w:styleId="135">
    <w:name w:val="表正文"/>
    <w:qFormat/>
    <w:uiPriority w:val="0"/>
    <w:rPr>
      <w:rFonts w:ascii="Times New Roman" w:hAnsi="Times New Roman" w:eastAsia="仿宋" w:cstheme="minorBidi"/>
      <w:kern w:val="2"/>
      <w:sz w:val="21"/>
      <w:szCs w:val="24"/>
      <w:lang w:val="en-US" w:eastAsia="zh-CN" w:bidi="ar-SA"/>
    </w:rPr>
  </w:style>
  <w:style w:type="paragraph" w:customStyle="1" w:styleId="136">
    <w:name w:val="样式 正文缩进1 + 宋体 小四 首行缩进:  2 字符 行距: 1.5 倍行距"/>
    <w:basedOn w:val="1"/>
    <w:qFormat/>
    <w:uiPriority w:val="0"/>
    <w:rPr>
      <w:rFonts w:eastAsia="仿宋" w:cs="宋体"/>
      <w:szCs w:val="20"/>
    </w:rPr>
  </w:style>
  <w:style w:type="paragraph" w:customStyle="1" w:styleId="137">
    <w:name w:val="样式 正文缩进1 + 宋体 小四 行距: 1.5 倍行距"/>
    <w:basedOn w:val="1"/>
    <w:qFormat/>
    <w:uiPriority w:val="0"/>
    <w:pPr>
      <w:ind w:firstLine="420"/>
    </w:pPr>
    <w:rPr>
      <w:rFonts w:eastAsia="仿宋" w:cs="宋体"/>
      <w:szCs w:val="20"/>
    </w:rPr>
  </w:style>
  <w:style w:type="paragraph" w:customStyle="1" w:styleId="138">
    <w:name w:val="修订2"/>
    <w:hidden/>
    <w:semiHidden/>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CBFAB4C6-EDE9-40A6-B576-5A5B3ED42B6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25</Pages>
  <Words>3115</Words>
  <Characters>17757</Characters>
  <Lines>147</Lines>
  <Paragraphs>41</Paragraphs>
  <TotalTime>30</TotalTime>
  <ScaleCrop>false</ScaleCrop>
  <LinksUpToDate>false</LinksUpToDate>
  <CharactersWithSpaces>20831</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2026-03-14T17:22:00Z</dcterms:created>
  <dc:creator>gtig_tzb</dc:creator>
  <cp:lastModifiedBy>user</cp:lastModifiedBy>
  <cp:lastPrinted>2020-08-08T20:08:00Z</cp:lastPrinted>
  <dcterms:modified xsi:type="dcterms:W3CDTF">2026-03-16T14:33:36Z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490DEF824D3F4E4B8F871526C953003E_13</vt:lpwstr>
  </property>
  <property fmtid="{D5CDD505-2E9C-101B-9397-08002B2CF9AE}" pid="4" name="KSOTemplateDocerSaveRecord">
    <vt:lpwstr>eyJoZGlkIjoiZjU3YjFhMTllZDYyOTYzN2E2M2MzZTJiNTViZmZmMzIiLCJ1c2VySWQiOiI0MzU0MTYwNjcifQ==</vt:lpwstr>
  </property>
</Properties>
</file>