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_GBK" w:hAnsi="方正小标宋_GBK" w:eastAsia="方正小标宋_GBK" w:cs="方正小标宋_GBK"/>
          <w:b w:val="0"/>
          <w:bCs w:val="0"/>
          <w:sz w:val="40"/>
          <w:szCs w:val="40"/>
        </w:rPr>
      </w:pPr>
      <w:bookmarkStart w:id="0" w:name="_GoBack"/>
      <w:bookmarkEnd w:id="0"/>
      <w:r>
        <w:rPr>
          <w:rFonts w:hint="eastAsia" w:ascii="方正小标宋_GBK" w:hAnsi="方正小标宋_GBK" w:eastAsia="方正小标宋_GBK" w:cs="方正小标宋_GBK"/>
          <w:b w:val="0"/>
          <w:bCs w:val="0"/>
          <w:sz w:val="40"/>
          <w:szCs w:val="40"/>
        </w:rPr>
        <w:t>书院万祥重点产业区域市政综合规划</w:t>
      </w:r>
    </w:p>
    <w:p>
      <w:pPr>
        <w:jc w:val="center"/>
        <w:rPr>
          <w:rFonts w:hint="eastAsia" w:ascii="方正小标宋_GBK" w:hAnsi="方正小标宋_GBK" w:eastAsia="方正小标宋_GBK" w:cs="方正小标宋_GBK"/>
          <w:b w:val="0"/>
          <w:bCs w:val="0"/>
          <w:sz w:val="40"/>
          <w:szCs w:val="40"/>
        </w:rPr>
      </w:pPr>
      <w:r>
        <w:rPr>
          <w:rFonts w:hint="eastAsia" w:ascii="方正小标宋_GBK" w:hAnsi="方正小标宋_GBK" w:eastAsia="方正小标宋_GBK" w:cs="方正小标宋_GBK"/>
          <w:b w:val="0"/>
          <w:bCs w:val="0"/>
          <w:sz w:val="40"/>
          <w:szCs w:val="40"/>
          <w:lang w:eastAsia="zh-CN"/>
        </w:rPr>
        <w:t>采购</w:t>
      </w:r>
      <w:r>
        <w:rPr>
          <w:rFonts w:hint="eastAsia" w:ascii="方正小标宋_GBK" w:hAnsi="方正小标宋_GBK" w:eastAsia="方正小标宋_GBK" w:cs="方正小标宋_GBK"/>
          <w:b w:val="0"/>
          <w:bCs w:val="0"/>
          <w:sz w:val="40"/>
          <w:szCs w:val="40"/>
        </w:rPr>
        <w:t>需求</w:t>
      </w:r>
    </w:p>
    <w:p>
      <w:pPr>
        <w:numPr>
          <w:ilvl w:val="0"/>
          <w:numId w:val="1"/>
        </w:numP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工作背景</w:t>
      </w:r>
    </w:p>
    <w:p>
      <w:pPr>
        <w:keepNext w:val="0"/>
        <w:keepLines w:val="0"/>
        <w:widowControl/>
        <w:suppressLineNumbers w:val="0"/>
        <w:ind w:firstLine="640" w:firstLineChars="2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val="en-US" w:eastAsia="zh-CN"/>
        </w:rPr>
        <w:t>随着书院万祥重点产业区域内企业入驻，区域内用地性质、开发强度、水系、路网等规划条件发生重大变化，原单元规划中的市政系统方案已无法匹配当前发展需求，亟需开展电力（配电网）、燃气、通信（信息基础设施）等上位市政专业规划编制。本次工作将结合近产业发展需求，完善区域管线综合规划，指导后续管线实施。</w:t>
      </w:r>
    </w:p>
    <w:p>
      <w:pPr>
        <w:numPr>
          <w:ilvl w:val="0"/>
          <w:numId w:val="1"/>
        </w:numP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规划范围</w:t>
      </w:r>
    </w:p>
    <w:p>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规划范围东至卓秀路-东大公路-Y</w:t>
      </w:r>
      <w:r>
        <w:rPr>
          <w:rFonts w:hint="default" w:ascii="Times New Roman" w:hAnsi="Times New Roman" w:eastAsia="方正仿宋_GBK" w:cs="Times New Roman"/>
          <w:sz w:val="32"/>
          <w:szCs w:val="32"/>
        </w:rPr>
        <w:t>4</w:t>
      </w:r>
      <w:r>
        <w:rPr>
          <w:rFonts w:hint="eastAsia" w:ascii="方正仿宋_GBK" w:hAnsi="方正仿宋_GBK" w:eastAsia="方正仿宋_GBK" w:cs="方正仿宋_GBK"/>
          <w:sz w:val="32"/>
          <w:szCs w:val="32"/>
        </w:rPr>
        <w:t>路-五尺沟-四灶港-黄沙港，西至祥凯路-东大公路-Y</w:t>
      </w:r>
      <w:r>
        <w:rPr>
          <w:rFonts w:hint="default" w:ascii="Times New Roman" w:hAnsi="Times New Roman" w:eastAsia="方正仿宋_GBK" w:cs="Times New Roman"/>
          <w:sz w:val="32"/>
          <w:szCs w:val="32"/>
        </w:rPr>
        <w:t>8</w:t>
      </w:r>
      <w:r>
        <w:rPr>
          <w:rFonts w:hint="eastAsia" w:ascii="方正仿宋_GBK" w:hAnsi="方正仿宋_GBK" w:eastAsia="方正仿宋_GBK" w:cs="方正仿宋_GBK"/>
          <w:sz w:val="32"/>
          <w:szCs w:val="32"/>
        </w:rPr>
        <w:t>路，南至临港大道，北至X</w:t>
      </w:r>
      <w:r>
        <w:rPr>
          <w:rFonts w:hint="default" w:ascii="Times New Roman" w:hAnsi="Times New Roman" w:eastAsia="方正仿宋_GBK" w:cs="Times New Roman"/>
          <w:sz w:val="32"/>
          <w:szCs w:val="32"/>
        </w:rPr>
        <w:t>8</w:t>
      </w:r>
      <w:r>
        <w:rPr>
          <w:rFonts w:hint="eastAsia" w:ascii="方正仿宋_GBK" w:hAnsi="方正仿宋_GBK" w:eastAsia="方正仿宋_GBK" w:cs="方正仿宋_GBK"/>
          <w:sz w:val="32"/>
          <w:szCs w:val="32"/>
        </w:rPr>
        <w:t>路，总面积约</w:t>
      </w:r>
      <w:r>
        <w:rPr>
          <w:rFonts w:hint="default" w:ascii="Times New Roman" w:hAnsi="Times New Roman" w:eastAsia="方正仿宋_GBK" w:cs="Times New Roman"/>
          <w:sz w:val="32"/>
          <w:szCs w:val="32"/>
        </w:rPr>
        <w:t>7</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74</w:t>
      </w:r>
      <w:r>
        <w:rPr>
          <w:rFonts w:hint="eastAsia" w:ascii="方正仿宋_GBK" w:hAnsi="方正仿宋_GBK" w:eastAsia="方正仿宋_GBK" w:cs="方正仿宋_GBK"/>
          <w:sz w:val="32"/>
          <w:szCs w:val="32"/>
        </w:rPr>
        <w:t>平方公里。</w:t>
      </w:r>
    </w:p>
    <w:p>
      <w:pPr>
        <w:numPr>
          <w:ilvl w:val="0"/>
          <w:numId w:val="1"/>
        </w:numP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工作内容</w:t>
      </w:r>
    </w:p>
    <w:p>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本项目工作内容分为三部分：</w:t>
      </w:r>
    </w:p>
    <w:p>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（一）市政综合规划</w:t>
      </w:r>
    </w:p>
    <w:p>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本次市政综合规划对象主要包括电力</w:t>
      </w:r>
      <w:r>
        <w:rPr>
          <w:rFonts w:hint="eastAsia" w:ascii="方正仿宋_GBK" w:hAnsi="方正仿宋_GBK" w:eastAsia="方正仿宋_GBK" w:cs="方正仿宋_GBK"/>
          <w:sz w:val="32"/>
          <w:szCs w:val="32"/>
          <w:lang w:val="en-US" w:eastAsia="zh-CN"/>
        </w:rPr>
        <w:t>（配电网）</w:t>
      </w:r>
      <w:r>
        <w:rPr>
          <w:rFonts w:hint="eastAsia" w:ascii="方正仿宋_GBK" w:hAnsi="方正仿宋_GBK" w:eastAsia="方正仿宋_GBK" w:cs="方正仿宋_GBK"/>
          <w:sz w:val="32"/>
          <w:szCs w:val="32"/>
        </w:rPr>
        <w:t>、燃气、通信</w:t>
      </w:r>
      <w:r>
        <w:rPr>
          <w:rFonts w:hint="eastAsia" w:ascii="方正仿宋_GBK" w:hAnsi="方正仿宋_GBK" w:eastAsia="方正仿宋_GBK" w:cs="方正仿宋_GBK"/>
          <w:sz w:val="32"/>
          <w:szCs w:val="32"/>
          <w:lang w:val="en-US" w:eastAsia="zh-CN"/>
        </w:rPr>
        <w:t>（信息基础设施）</w:t>
      </w:r>
      <w:r>
        <w:rPr>
          <w:rFonts w:hint="eastAsia" w:ascii="方正仿宋_GBK" w:hAnsi="方正仿宋_GBK" w:eastAsia="方正仿宋_GBK" w:cs="方正仿宋_GBK"/>
          <w:sz w:val="32"/>
          <w:szCs w:val="32"/>
        </w:rPr>
        <w:t>等专业，主要工作内容：确定指标；进行需求预测；明确上下级关系；确定各类管线等级、布局、管径和管孔需求；确定近期建设内容；进行投资估算。</w:t>
      </w:r>
    </w:p>
    <w:p>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（二）万祥东扩区路网研究</w:t>
      </w:r>
    </w:p>
    <w:p>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配合万祥东扩区控详规划调整研究区域内路网，调整原有道路线型，交通影响分析，交通组织方案等。</w:t>
      </w:r>
    </w:p>
    <w:p>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（三）长电科技地块废路交评</w:t>
      </w:r>
    </w:p>
    <w:p>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重点论证长电科技地块范围内南北向支路取消对区域交通的影响。</w:t>
      </w:r>
    </w:p>
    <w:p>
      <w:pPr>
        <w:numPr>
          <w:ilvl w:val="0"/>
          <w:numId w:val="1"/>
        </w:numPr>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时间节点</w:t>
      </w:r>
    </w:p>
    <w:p>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合同签订后</w:t>
      </w:r>
      <w:r>
        <w:rPr>
          <w:rFonts w:hint="default" w:ascii="Times New Roman" w:hAnsi="Times New Roman" w:eastAsia="方正仿宋_GBK" w:cs="Times New Roman"/>
          <w:sz w:val="32"/>
          <w:szCs w:val="32"/>
        </w:rPr>
        <w:t>1</w:t>
      </w:r>
      <w:r>
        <w:rPr>
          <w:rFonts w:hint="eastAsia" w:ascii="方正仿宋_GBK" w:hAnsi="方正仿宋_GBK" w:eastAsia="方正仿宋_GBK" w:cs="方正仿宋_GBK"/>
          <w:sz w:val="32"/>
          <w:szCs w:val="32"/>
        </w:rPr>
        <w:t>个月（启动阶段）：收集梳理相关城市规划、专业系统现状及规划资料，明确各系统工作内容、工作重点；</w:t>
      </w:r>
    </w:p>
    <w:p>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合同签订后</w:t>
      </w:r>
      <w:r>
        <w:rPr>
          <w:rFonts w:hint="default" w:ascii="Times New Roman" w:hAnsi="Times New Roman" w:eastAsia="方正仿宋_GBK" w:cs="Times New Roman"/>
          <w:sz w:val="32"/>
          <w:szCs w:val="32"/>
        </w:rPr>
        <w:t>2</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3</w:t>
      </w:r>
      <w:r>
        <w:rPr>
          <w:rFonts w:hint="eastAsia" w:ascii="方正仿宋_GBK" w:hAnsi="方正仿宋_GBK" w:eastAsia="方正仿宋_GBK" w:cs="方正仿宋_GBK"/>
          <w:sz w:val="32"/>
          <w:szCs w:val="32"/>
        </w:rPr>
        <w:t>个月（编制阶段）：对规划编制地区及周边区域的基础设施现状和规划发展情况进行评估及研究；编制各系统初步方案；各系统规划初步方案与相关行业主管部门沟通，征询行业意见。根据行业意见，对规划方案进行修改，编制规划评审稿。</w:t>
      </w:r>
    </w:p>
    <w:p>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合同签订后</w:t>
      </w:r>
      <w:r>
        <w:rPr>
          <w:rFonts w:hint="default" w:ascii="Times New Roman" w:hAnsi="Times New Roman" w:eastAsia="方正仿宋_GBK" w:cs="Times New Roman"/>
          <w:sz w:val="32"/>
          <w:szCs w:val="32"/>
        </w:rPr>
        <w:t>4</w:t>
      </w:r>
      <w:r>
        <w:rPr>
          <w:rFonts w:hint="eastAsia" w:ascii="方正仿宋_GBK" w:hAnsi="方正仿宋_GBK" w:eastAsia="方正仿宋_GBK" w:cs="方正仿宋_GBK"/>
          <w:sz w:val="32"/>
          <w:szCs w:val="32"/>
        </w:rPr>
        <w:t>-</w:t>
      </w:r>
      <w:r>
        <w:rPr>
          <w:rFonts w:hint="default" w:ascii="Times New Roman" w:hAnsi="Times New Roman" w:eastAsia="方正仿宋_GBK" w:cs="Times New Roman"/>
          <w:sz w:val="32"/>
          <w:szCs w:val="32"/>
        </w:rPr>
        <w:t>5</w:t>
      </w:r>
      <w:r>
        <w:rPr>
          <w:rFonts w:hint="eastAsia" w:ascii="方正仿宋_GBK" w:hAnsi="方正仿宋_GBK" w:eastAsia="方正仿宋_GBK" w:cs="方正仿宋_GBK"/>
          <w:sz w:val="32"/>
          <w:szCs w:val="32"/>
        </w:rPr>
        <w:t>个月（评审、汇总）：征询各方意见，通过专家评审，提供终稿。</w:t>
      </w:r>
    </w:p>
    <w:p>
      <w:pPr>
        <w:spacing w:line="360" w:lineRule="auto"/>
        <w:ind w:firstLine="640" w:firstLineChars="200"/>
        <w:rPr>
          <w:rFonts w:hint="eastAsia" w:ascii="方正黑体_GBK" w:hAnsi="方正黑体_GBK" w:eastAsia="方正黑体_GBK" w:cs="方正黑体_GBK"/>
          <w:sz w:val="32"/>
          <w:szCs w:val="32"/>
        </w:rPr>
      </w:pPr>
      <w:r>
        <w:rPr>
          <w:rFonts w:hint="eastAsia" w:ascii="方正仿宋_GBK" w:hAnsi="方正仿宋_GBK" w:eastAsia="方正仿宋_GBK" w:cs="方正仿宋_GBK"/>
          <w:sz w:val="32"/>
          <w:szCs w:val="32"/>
        </w:rPr>
        <w:t>具体时间进度视项目审批部门进度要求而定。</w:t>
      </w:r>
    </w:p>
    <w:p>
      <w:pPr>
        <w:numPr>
          <w:ilvl w:val="0"/>
          <w:numId w:val="1"/>
        </w:numPr>
        <w:spacing w:line="240" w:lineRule="auto"/>
        <w:ind w:firstLine="0" w:firstLineChars="0"/>
        <w:rPr>
          <w:rFonts w:hint="eastAsia" w:ascii="方正仿宋_GBK" w:hAnsi="方正仿宋_GBK" w:eastAsia="方正仿宋_GBK" w:cs="方正仿宋_GBK"/>
          <w:sz w:val="32"/>
          <w:szCs w:val="32"/>
        </w:rPr>
      </w:pPr>
      <w:r>
        <w:rPr>
          <w:rFonts w:hint="eastAsia" w:ascii="方正黑体_GBK" w:hAnsi="方正黑体_GBK" w:eastAsia="方正黑体_GBK" w:cs="方正黑体_GBK"/>
          <w:sz w:val="32"/>
          <w:szCs w:val="32"/>
        </w:rPr>
        <w:t>项目团队及人员要求</w:t>
      </w:r>
    </w:p>
    <w:p>
      <w:pPr>
        <w:numPr>
          <w:ilvl w:val="-1"/>
          <w:numId w:val="0"/>
        </w:numPr>
        <w:spacing w:line="240" w:lineRule="auto"/>
        <w:ind w:firstLine="0" w:firstLineChars="0"/>
        <w:rPr>
          <w:rFonts w:hint="default" w:ascii="方正仿宋_GBK" w:hAnsi="方正仿宋_GBK" w:eastAsia="方正仿宋_GBK" w:cs="方正仿宋_GBK"/>
          <w:sz w:val="32"/>
          <w:szCs w:val="32"/>
          <w:lang w:val="en-US" w:eastAsia="zh-CN"/>
        </w:rPr>
      </w:pPr>
      <w:r>
        <w:rPr>
          <w:rFonts w:hint="eastAsia"/>
          <w:lang w:val="en-US" w:eastAsia="zh-CN"/>
        </w:rPr>
        <w:tab/>
      </w:r>
      <w:r>
        <w:rPr>
          <w:rFonts w:hint="eastAsia" w:ascii="方正仿宋_GBK" w:hAnsi="方正仿宋_GBK" w:eastAsia="方正仿宋_GBK" w:cs="方正仿宋_GBK"/>
          <w:sz w:val="32"/>
          <w:szCs w:val="32"/>
        </w:rPr>
        <w:t>人员要求：项目负责人具有</w:t>
      </w:r>
      <w:r>
        <w:rPr>
          <w:rFonts w:hint="eastAsia" w:ascii="方正仿宋_GBK" w:hAnsi="方正仿宋_GBK" w:eastAsia="方正仿宋_GBK" w:cs="方正仿宋_GBK"/>
          <w:sz w:val="32"/>
          <w:szCs w:val="32"/>
          <w:lang w:eastAsia="zh-CN"/>
        </w:rPr>
        <w:t>项目相关</w:t>
      </w:r>
      <w:r>
        <w:rPr>
          <w:rFonts w:hint="eastAsia" w:ascii="方正仿宋_GBK" w:hAnsi="方正仿宋_GBK" w:eastAsia="方正仿宋_GBK" w:cs="方正仿宋_GBK"/>
          <w:sz w:val="32"/>
          <w:szCs w:val="32"/>
        </w:rPr>
        <w:t>中级及以上技术职称</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具有规划设计研究相关技术工作</w:t>
      </w: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年工作经验。</w:t>
      </w:r>
      <w:r>
        <w:rPr>
          <w:rFonts w:hint="eastAsia" w:ascii="方正仿宋_GBK" w:hAnsi="方正仿宋_GBK" w:eastAsia="方正仿宋_GBK" w:cs="方正仿宋_GBK"/>
          <w:sz w:val="32"/>
          <w:szCs w:val="32"/>
          <w:lang w:eastAsia="zh-CN"/>
        </w:rPr>
        <w:t>项目团队不得少于</w:t>
      </w:r>
      <w:r>
        <w:rPr>
          <w:rFonts w:hint="eastAsia" w:ascii="方正仿宋_GBK" w:hAnsi="方正仿宋_GBK" w:eastAsia="方正仿宋_GBK" w:cs="方正仿宋_GBK"/>
          <w:sz w:val="32"/>
          <w:szCs w:val="32"/>
          <w:lang w:val="en-US" w:eastAsia="zh-CN"/>
        </w:rPr>
        <w:t>3人。</w:t>
      </w:r>
    </w:p>
    <w:p>
      <w:pPr>
        <w:spacing w:line="360" w:lineRule="auto"/>
        <w:ind w:firstLine="420"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类似业绩要求：需具备近五年同类市政综合规划项目经验</w:t>
      </w:r>
      <w:r>
        <w:rPr>
          <w:rFonts w:hint="eastAsia" w:ascii="方正仿宋_GBK" w:hAnsi="方正仿宋_GBK" w:eastAsia="方正仿宋_GBK" w:cs="方正仿宋_GBK"/>
          <w:sz w:val="32"/>
          <w:szCs w:val="32"/>
          <w:lang w:eastAsia="zh-CN"/>
        </w:rPr>
        <w:t>。</w:t>
      </w:r>
    </w:p>
    <w:p>
      <w:pPr>
        <w:numPr>
          <w:ilvl w:val="0"/>
          <w:numId w:val="1"/>
        </w:numPr>
        <w:spacing w:line="360" w:lineRule="auto"/>
        <w:ind w:firstLine="0" w:firstLineChars="0"/>
        <w:rPr>
          <w:rFonts w:hint="eastAsia"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分包</w:t>
      </w:r>
    </w:p>
    <w:p>
      <w:pPr>
        <w:numPr>
          <w:ilvl w:val="-1"/>
          <w:numId w:val="0"/>
        </w:numPr>
        <w:spacing w:line="360" w:lineRule="auto"/>
        <w:ind w:firstLine="420" w:firstLineChars="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lang w:eastAsia="zh-CN"/>
        </w:rPr>
        <w:t>以下内容可分包。</w:t>
      </w:r>
    </w:p>
    <w:tbl>
      <w:tblPr>
        <w:tblStyle w:val="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2"/>
        <w:gridCol w:w="5655"/>
        <w:gridCol w:w="21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Pr>
          <w:p>
            <w:pPr>
              <w:numPr>
                <w:ilvl w:val="-1"/>
                <w:numId w:val="0"/>
              </w:numPr>
              <w:spacing w:line="360" w:lineRule="auto"/>
              <w:rPr>
                <w:rFonts w:hint="eastAsia" w:ascii="方正仿宋_GBK" w:hAnsi="方正仿宋_GBK" w:eastAsia="方正仿宋_GBK" w:cs="方正仿宋_GBK"/>
                <w:sz w:val="32"/>
                <w:szCs w:val="32"/>
                <w:vertAlign w:val="baseline"/>
              </w:rPr>
            </w:pPr>
          </w:p>
        </w:tc>
        <w:tc>
          <w:tcPr>
            <w:tcW w:w="3318" w:type="pct"/>
          </w:tcPr>
          <w:p>
            <w:pPr>
              <w:numPr>
                <w:ilvl w:val="-1"/>
                <w:numId w:val="0"/>
              </w:numPr>
              <w:spacing w:line="360" w:lineRule="auto"/>
              <w:jc w:val="center"/>
              <w:rPr>
                <w:rFonts w:hint="eastAsia" w:ascii="方正仿宋_GBK" w:hAnsi="方正仿宋_GBK" w:eastAsia="方正仿宋_GBK" w:cs="方正仿宋_GBK"/>
                <w:sz w:val="32"/>
                <w:szCs w:val="32"/>
                <w:vertAlign w:val="baseline"/>
                <w:lang w:eastAsia="zh-CN"/>
              </w:rPr>
            </w:pPr>
            <w:r>
              <w:rPr>
                <w:rFonts w:hint="eastAsia" w:ascii="方正仿宋_GBK" w:hAnsi="方正仿宋_GBK" w:eastAsia="方正仿宋_GBK" w:cs="方正仿宋_GBK"/>
                <w:sz w:val="32"/>
                <w:szCs w:val="32"/>
                <w:vertAlign w:val="baseline"/>
                <w:lang w:eastAsia="zh-CN"/>
              </w:rPr>
              <w:t>分包内容</w:t>
            </w:r>
          </w:p>
        </w:tc>
        <w:tc>
          <w:tcPr>
            <w:tcW w:w="1245" w:type="pct"/>
          </w:tcPr>
          <w:p>
            <w:pPr>
              <w:numPr>
                <w:ilvl w:val="-1"/>
                <w:numId w:val="0"/>
              </w:numPr>
              <w:spacing w:line="360" w:lineRule="auto"/>
              <w:jc w:val="center"/>
              <w:rPr>
                <w:rFonts w:hint="eastAsia" w:ascii="方正仿宋_GBK" w:hAnsi="方正仿宋_GBK" w:eastAsia="方正仿宋_GBK" w:cs="方正仿宋_GBK"/>
                <w:sz w:val="32"/>
                <w:szCs w:val="32"/>
                <w:vertAlign w:val="baseline"/>
                <w:lang w:eastAsia="zh-CN"/>
              </w:rPr>
            </w:pPr>
            <w:r>
              <w:rPr>
                <w:rFonts w:hint="eastAsia" w:ascii="方正仿宋_GBK" w:hAnsi="方正仿宋_GBK" w:eastAsia="方正仿宋_GBK" w:cs="方正仿宋_GBK"/>
                <w:sz w:val="32"/>
                <w:szCs w:val="32"/>
                <w:vertAlign w:val="baseline"/>
                <w:lang w:eastAsia="zh-CN"/>
              </w:rPr>
              <w:t>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Pr>
          <w:p>
            <w:pPr>
              <w:numPr>
                <w:ilvl w:val="-1"/>
                <w:numId w:val="0"/>
              </w:numPr>
              <w:spacing w:line="360" w:lineRule="auto"/>
              <w:jc w:val="center"/>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1</w:t>
            </w:r>
          </w:p>
        </w:tc>
        <w:tc>
          <w:tcPr>
            <w:tcW w:w="3318" w:type="pct"/>
          </w:tcPr>
          <w:p>
            <w:pPr>
              <w:numPr>
                <w:ilvl w:val="-1"/>
                <w:numId w:val="0"/>
              </w:numPr>
              <w:spacing w:line="360" w:lineRule="auto"/>
              <w:jc w:val="center"/>
              <w:rPr>
                <w:rFonts w:hint="eastAsia" w:ascii="方正仿宋_GBK" w:hAnsi="方正仿宋_GBK" w:eastAsia="方正仿宋_GBK" w:cs="方正仿宋_GBK"/>
                <w:sz w:val="32"/>
                <w:szCs w:val="32"/>
                <w:vertAlign w:val="baseline"/>
              </w:rPr>
            </w:pPr>
            <w:r>
              <w:rPr>
                <w:rFonts w:hint="eastAsia" w:ascii="方正仿宋_GBK" w:hAnsi="方正仿宋_GBK" w:eastAsia="方正仿宋_GBK" w:cs="方正仿宋_GBK"/>
                <w:sz w:val="32"/>
                <w:szCs w:val="32"/>
              </w:rPr>
              <w:t>燃气专业规划</w:t>
            </w:r>
          </w:p>
        </w:tc>
        <w:tc>
          <w:tcPr>
            <w:tcW w:w="1245" w:type="pct"/>
          </w:tcPr>
          <w:p>
            <w:pPr>
              <w:numPr>
                <w:ilvl w:val="-1"/>
                <w:numId w:val="0"/>
              </w:numPr>
              <w:spacing w:line="360" w:lineRule="auto"/>
              <w:jc w:val="center"/>
              <w:rPr>
                <w:rFonts w:hint="default"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20</w:t>
            </w:r>
            <w:r>
              <w:rPr>
                <w:rFonts w:hint="eastAsia" w:ascii="方正仿宋_GBK" w:hAnsi="方正仿宋_GBK" w:eastAsia="方正仿宋_GBK" w:cs="方正仿宋_GBK"/>
                <w:sz w:val="32"/>
                <w:szCs w:val="32"/>
                <w:vertAlign w:val="baseline"/>
                <w:lang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Pr>
          <w:p>
            <w:pPr>
              <w:numPr>
                <w:ilvl w:val="-1"/>
                <w:numId w:val="0"/>
              </w:numPr>
              <w:spacing w:line="360" w:lineRule="auto"/>
              <w:jc w:val="center"/>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2</w:t>
            </w:r>
          </w:p>
        </w:tc>
        <w:tc>
          <w:tcPr>
            <w:tcW w:w="3318" w:type="pct"/>
          </w:tcPr>
          <w:p>
            <w:pPr>
              <w:numPr>
                <w:ilvl w:val="-1"/>
                <w:numId w:val="0"/>
              </w:numPr>
              <w:spacing w:line="360" w:lineRule="auto"/>
              <w:jc w:val="center"/>
              <w:rPr>
                <w:rFonts w:hint="eastAsia" w:ascii="方正仿宋_GBK" w:hAnsi="方正仿宋_GBK" w:eastAsia="方正仿宋_GBK" w:cs="方正仿宋_GBK"/>
                <w:sz w:val="32"/>
                <w:szCs w:val="32"/>
                <w:vertAlign w:val="baseline"/>
              </w:rPr>
            </w:pPr>
            <w:r>
              <w:rPr>
                <w:rFonts w:hint="eastAsia" w:ascii="方正仿宋_GBK" w:hAnsi="方正仿宋_GBK" w:eastAsia="方正仿宋_GBK" w:cs="方正仿宋_GBK"/>
                <w:sz w:val="32"/>
                <w:szCs w:val="32"/>
              </w:rPr>
              <w:t>电力</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配电网</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专业规划</w:t>
            </w:r>
          </w:p>
        </w:tc>
        <w:tc>
          <w:tcPr>
            <w:tcW w:w="1245" w:type="pct"/>
          </w:tcPr>
          <w:p>
            <w:pPr>
              <w:numPr>
                <w:ilvl w:val="-1"/>
                <w:numId w:val="0"/>
              </w:numPr>
              <w:spacing w:line="360" w:lineRule="auto"/>
              <w:jc w:val="center"/>
              <w:rPr>
                <w:rFonts w:hint="default"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30</w:t>
            </w:r>
            <w:r>
              <w:rPr>
                <w:rFonts w:hint="eastAsia" w:ascii="方正仿宋_GBK" w:hAnsi="方正仿宋_GBK" w:eastAsia="方正仿宋_GBK" w:cs="方正仿宋_GBK"/>
                <w:sz w:val="32"/>
                <w:szCs w:val="32"/>
                <w:vertAlign w:val="baseline"/>
                <w:lang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 w:type="pct"/>
          </w:tcPr>
          <w:p>
            <w:pPr>
              <w:numPr>
                <w:ilvl w:val="-1"/>
                <w:numId w:val="0"/>
              </w:numPr>
              <w:spacing w:line="360" w:lineRule="auto"/>
              <w:jc w:val="center"/>
              <w:rPr>
                <w:rFonts w:hint="eastAsia"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3</w:t>
            </w:r>
          </w:p>
        </w:tc>
        <w:tc>
          <w:tcPr>
            <w:tcW w:w="3318" w:type="pct"/>
          </w:tcPr>
          <w:p>
            <w:pPr>
              <w:numPr>
                <w:ilvl w:val="-1"/>
                <w:numId w:val="0"/>
              </w:numPr>
              <w:spacing w:line="360" w:lineRule="auto"/>
              <w:jc w:val="center"/>
              <w:rPr>
                <w:rFonts w:hint="eastAsia" w:ascii="方正仿宋_GBK" w:hAnsi="方正仿宋_GBK" w:eastAsia="方正仿宋_GBK" w:cs="方正仿宋_GBK"/>
                <w:sz w:val="32"/>
                <w:szCs w:val="32"/>
                <w:vertAlign w:val="baseline"/>
              </w:rPr>
            </w:pPr>
            <w:r>
              <w:rPr>
                <w:rFonts w:hint="eastAsia" w:ascii="方正仿宋_GBK" w:hAnsi="方正仿宋_GBK" w:eastAsia="方正仿宋_GBK" w:cs="方正仿宋_GBK"/>
                <w:sz w:val="32"/>
                <w:szCs w:val="32"/>
              </w:rPr>
              <w:t>通信</w:t>
            </w:r>
            <w:r>
              <w:rPr>
                <w:rFonts w:hint="eastAsia" w:ascii="方正仿宋_GBK" w:hAnsi="方正仿宋_GBK" w:eastAsia="方正仿宋_GBK" w:cs="方正仿宋_GBK"/>
                <w:sz w:val="32"/>
                <w:szCs w:val="32"/>
                <w:lang w:val="en-US" w:eastAsia="zh-CN"/>
              </w:rPr>
              <w:t>（信息基础设施）</w:t>
            </w:r>
            <w:r>
              <w:rPr>
                <w:rFonts w:hint="eastAsia" w:ascii="方正仿宋_GBK" w:hAnsi="方正仿宋_GBK" w:eastAsia="方正仿宋_GBK" w:cs="方正仿宋_GBK"/>
                <w:sz w:val="32"/>
                <w:szCs w:val="32"/>
              </w:rPr>
              <w:t>专业规划</w:t>
            </w:r>
          </w:p>
        </w:tc>
        <w:tc>
          <w:tcPr>
            <w:tcW w:w="1245" w:type="pct"/>
          </w:tcPr>
          <w:p>
            <w:pPr>
              <w:numPr>
                <w:ilvl w:val="-1"/>
                <w:numId w:val="0"/>
              </w:numPr>
              <w:spacing w:line="360" w:lineRule="auto"/>
              <w:jc w:val="center"/>
              <w:rPr>
                <w:rFonts w:hint="default" w:ascii="方正仿宋_GBK" w:hAnsi="方正仿宋_GBK" w:eastAsia="方正仿宋_GBK" w:cs="方正仿宋_GBK"/>
                <w:sz w:val="32"/>
                <w:szCs w:val="32"/>
                <w:vertAlign w:val="baseline"/>
                <w:lang w:val="en-US" w:eastAsia="zh-CN"/>
              </w:rPr>
            </w:pPr>
            <w:r>
              <w:rPr>
                <w:rFonts w:hint="eastAsia" w:ascii="方正仿宋_GBK" w:hAnsi="方正仿宋_GBK" w:eastAsia="方正仿宋_GBK" w:cs="方正仿宋_GBK"/>
                <w:sz w:val="32"/>
                <w:szCs w:val="32"/>
                <w:vertAlign w:val="baseline"/>
                <w:lang w:val="en-US" w:eastAsia="zh-CN"/>
              </w:rPr>
              <w:t>15</w:t>
            </w:r>
            <w:r>
              <w:rPr>
                <w:rFonts w:hint="eastAsia" w:ascii="方正仿宋_GBK" w:hAnsi="方正仿宋_GBK" w:eastAsia="方正仿宋_GBK" w:cs="方正仿宋_GBK"/>
                <w:sz w:val="32"/>
                <w:szCs w:val="32"/>
                <w:vertAlign w:val="baseline"/>
                <w:lang w:eastAsia="zh-CN"/>
              </w:rPr>
              <w:t>万元</w:t>
            </w:r>
          </w:p>
        </w:tc>
      </w:tr>
    </w:tbl>
    <w:p>
      <w:pPr>
        <w:spacing w:line="360" w:lineRule="auto"/>
        <w:ind w:firstLine="420" w:firstLineChars="0"/>
        <w:rPr>
          <w:rFonts w:hint="eastAsia" w:ascii="方正仿宋_GBK" w:hAnsi="方正仿宋_GBK" w:eastAsia="方正仿宋_GBK" w:cs="方正仿宋_GBK"/>
          <w:sz w:val="32"/>
          <w:szCs w:val="32"/>
        </w:rPr>
      </w:pPr>
    </w:p>
    <w:p>
      <w:pPr>
        <w:spacing w:line="360" w:lineRule="auto"/>
        <w:ind w:firstLine="0" w:firstLineChars="0"/>
        <w:rPr>
          <w:rFonts w:hint="eastAsia" w:ascii="方正仿宋_GBK" w:hAnsi="方正仿宋_GBK" w:eastAsia="方正仿宋_GBK" w:cs="方正仿宋_GBK"/>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870D72"/>
    <w:multiLevelType w:val="singleLevel"/>
    <w:tmpl w:val="CF870D72"/>
    <w:lvl w:ilvl="0" w:tentative="0">
      <w:start w:val="1"/>
      <w:numFmt w:val="chineseCounting"/>
      <w:suff w:val="nothing"/>
      <w:lvlText w:val="%1、"/>
      <w:lvlJc w:val="left"/>
      <w:rPr>
        <w:rFonts w:hint="eastAsia"/>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xMzdmMzNlMjNhZDc0Nzk4MTYzMTRjMWQ4Y2I2ODgifQ=="/>
  </w:docVars>
  <w:rsids>
    <w:rsidRoot w:val="76670BAE"/>
    <w:rsid w:val="00195C29"/>
    <w:rsid w:val="001C736E"/>
    <w:rsid w:val="002C387B"/>
    <w:rsid w:val="002C587A"/>
    <w:rsid w:val="00423F7E"/>
    <w:rsid w:val="005712E2"/>
    <w:rsid w:val="00583907"/>
    <w:rsid w:val="00AE4C8E"/>
    <w:rsid w:val="00C040C7"/>
    <w:rsid w:val="00C27FE3"/>
    <w:rsid w:val="00C444E9"/>
    <w:rsid w:val="00CB7951"/>
    <w:rsid w:val="00D2159B"/>
    <w:rsid w:val="0C1B7650"/>
    <w:rsid w:val="3F473EF8"/>
    <w:rsid w:val="44A42F37"/>
    <w:rsid w:val="4FEAF372"/>
    <w:rsid w:val="514F4FE3"/>
    <w:rsid w:val="5675AFAC"/>
    <w:rsid w:val="5D9B3A04"/>
    <w:rsid w:val="5F974D5E"/>
    <w:rsid w:val="6395408F"/>
    <w:rsid w:val="69101135"/>
    <w:rsid w:val="6FCDBF84"/>
    <w:rsid w:val="72EB066E"/>
    <w:rsid w:val="76670BAE"/>
    <w:rsid w:val="77E6A6B3"/>
    <w:rsid w:val="7F7A8B3C"/>
    <w:rsid w:val="7FBFC043"/>
    <w:rsid w:val="7FDA60B5"/>
    <w:rsid w:val="7FFBCD96"/>
    <w:rsid w:val="9BFFA6A2"/>
    <w:rsid w:val="9CEBA6C9"/>
    <w:rsid w:val="ADFFF8B3"/>
    <w:rsid w:val="AFAD577D"/>
    <w:rsid w:val="AFFECECF"/>
    <w:rsid w:val="D2F7319F"/>
    <w:rsid w:val="DFD47C01"/>
    <w:rsid w:val="E6738201"/>
    <w:rsid w:val="EBF9EE2C"/>
    <w:rsid w:val="EBFFC015"/>
    <w:rsid w:val="EFEE6333"/>
    <w:rsid w:val="FAB7D4A1"/>
    <w:rsid w:val="FEBE5450"/>
    <w:rsid w:val="FF7858E6"/>
    <w:rsid w:val="FF8FB476"/>
    <w:rsid w:val="FF9EDA0F"/>
    <w:rsid w:val="FFE326AA"/>
    <w:rsid w:val="FFE5FE55"/>
    <w:rsid w:val="FFFA163C"/>
    <w:rsid w:val="FFFF8F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9"/>
    <w:qFormat/>
    <w:uiPriority w:val="0"/>
    <w:pPr>
      <w:keepNext/>
      <w:keepLines/>
      <w:spacing w:before="340" w:after="330" w:line="360" w:lineRule="auto"/>
      <w:jc w:val="center"/>
      <w:outlineLvl w:val="0"/>
    </w:pPr>
    <w:rPr>
      <w:rFonts w:ascii="Times New Roman" w:hAnsi="Times New Roman" w:eastAsia="宋体"/>
      <w:bCs/>
      <w:kern w:val="44"/>
      <w:sz w:val="28"/>
      <w:szCs w:val="4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字符"/>
    <w:link w:val="2"/>
    <w:qFormat/>
    <w:uiPriority w:val="0"/>
    <w:rPr>
      <w:rFonts w:ascii="Times New Roman" w:hAnsi="Times New Roman" w:eastAsia="宋体"/>
      <w:bCs/>
      <w:kern w:val="44"/>
      <w:sz w:val="28"/>
      <w:szCs w:val="44"/>
    </w:rPr>
  </w:style>
  <w:style w:type="character" w:customStyle="1" w:styleId="10">
    <w:name w:val="页眉 字符"/>
    <w:basedOn w:val="8"/>
    <w:link w:val="5"/>
    <w:qFormat/>
    <w:uiPriority w:val="0"/>
    <w:rPr>
      <w:kern w:val="2"/>
      <w:sz w:val="18"/>
      <w:szCs w:val="18"/>
    </w:rPr>
  </w:style>
  <w:style w:type="character" w:customStyle="1" w:styleId="11">
    <w:name w:val="页脚 字符"/>
    <w:basedOn w:val="8"/>
    <w:link w:val="4"/>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129</Words>
  <Characters>737</Characters>
  <Lines>6</Lines>
  <Paragraphs>1</Paragraphs>
  <TotalTime>4</TotalTime>
  <ScaleCrop>false</ScaleCrop>
  <LinksUpToDate>false</LinksUpToDate>
  <CharactersWithSpaces>865</CharactersWithSpaces>
  <Application>WPS Office_12.8.2.17008_F1E327BC-269C-435d-A152-05C5408002CA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2026-01-22T14:36:00Z</dcterms:created>
  <dc:creator>刘芳怡</dc:creator>
  <cp:lastModifiedBy>lxy</cp:lastModifiedBy>
  <dcterms:modified xsi:type="dcterms:W3CDTF">2026-08-05T13:45:33Z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2052-12.8.2.17008</vt:lpwstr>
  </property>
  <property fmtid="{D5CDD505-2E9C-101B-9397-08002B2CF9AE}" pid="3" name="ICV">
    <vt:lpwstr>9E49CBF47D7F7A24FACD726AFCCABA49_43</vt:lpwstr>
  </property>
</Properties>
</file>