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cs="宋体"/>
          <w:b/>
          <w:color w:val="auto"/>
          <w:sz w:val="28"/>
          <w:szCs w:val="28"/>
          <w:lang w:eastAsia="zh-CN"/>
        </w:rPr>
      </w:pPr>
    </w:p>
    <w:p>
      <w:pPr>
        <w:widowControl w:val="0"/>
        <w:topLinePunct/>
        <w:autoSpaceDE w:val="0"/>
        <w:autoSpaceDN w:val="0"/>
        <w:spacing w:line="360" w:lineRule="auto"/>
        <w:jc w:val="center"/>
        <w:rPr>
          <w:rFonts w:ascii="宋体" w:hAnsi="宋体" w:cs="宋体"/>
          <w:b/>
          <w:color w:val="auto"/>
          <w:sz w:val="28"/>
          <w:szCs w:val="28"/>
          <w:lang w:eastAsia="zh-CN"/>
        </w:rPr>
      </w:pPr>
      <w:r>
        <w:rPr>
          <w:rFonts w:hint="eastAsia" w:ascii="宋体" w:hAnsi="宋体" w:cs="宋体"/>
          <w:b/>
          <w:color w:val="auto"/>
          <w:sz w:val="28"/>
          <w:szCs w:val="28"/>
          <w:lang w:eastAsia="zh-CN"/>
        </w:rPr>
        <w:t>采 购 需 求</w:t>
      </w:r>
    </w:p>
    <w:p>
      <w:pPr>
        <w:widowControl w:val="0"/>
        <w:topLinePunct/>
        <w:autoSpaceDE w:val="0"/>
        <w:autoSpaceDN w:val="0"/>
        <w:spacing w:line="360" w:lineRule="auto"/>
        <w:jc w:val="center"/>
        <w:rPr>
          <w:rFonts w:ascii="宋体" w:hAnsi="宋体" w:cs="宋体"/>
          <w:b/>
          <w:color w:val="auto"/>
          <w:sz w:val="28"/>
          <w:szCs w:val="28"/>
          <w:lang w:eastAsia="zh-CN"/>
        </w:rPr>
      </w:pPr>
    </w:p>
    <w:p>
      <w:pPr>
        <w:widowControl w:val="0"/>
        <w:topLinePunct/>
        <w:autoSpaceDE w:val="0"/>
        <w:autoSpaceDN w:val="0"/>
        <w:spacing w:line="360" w:lineRule="auto"/>
        <w:jc w:val="center"/>
        <w:rPr>
          <w:rFonts w:ascii="宋体" w:hAnsi="宋体" w:cs="宋体"/>
          <w:b/>
          <w:color w:val="auto"/>
          <w:sz w:val="28"/>
          <w:szCs w:val="28"/>
          <w:lang w:eastAsia="zh-CN"/>
        </w:rPr>
      </w:pPr>
    </w:p>
    <w:p>
      <w:pPr>
        <w:widowControl w:val="0"/>
        <w:topLinePunct/>
        <w:autoSpaceDE w:val="0"/>
        <w:autoSpaceDN w:val="0"/>
        <w:spacing w:line="360" w:lineRule="auto"/>
        <w:jc w:val="center"/>
        <w:rPr>
          <w:rFonts w:ascii="宋体" w:hAnsi="宋体" w:cs="宋体"/>
          <w:b/>
          <w:color w:val="auto"/>
          <w:sz w:val="28"/>
          <w:szCs w:val="28"/>
          <w:lang w:eastAsia="zh-CN"/>
        </w:rPr>
      </w:pPr>
    </w:p>
    <w:p>
      <w:pPr>
        <w:widowControl w:val="0"/>
        <w:topLinePunct/>
        <w:autoSpaceDE w:val="0"/>
        <w:autoSpaceDN w:val="0"/>
        <w:spacing w:line="360" w:lineRule="auto"/>
        <w:jc w:val="center"/>
        <w:rPr>
          <w:rFonts w:ascii="宋体" w:hAnsi="宋体" w:cs="宋体"/>
          <w:b/>
          <w:color w:val="auto"/>
          <w:sz w:val="28"/>
          <w:szCs w:val="28"/>
          <w:lang w:eastAsia="zh-CN"/>
        </w:rPr>
      </w:pPr>
      <w:r>
        <w:rPr>
          <w:rFonts w:hint="eastAsia" w:ascii="宋体" w:hAnsi="宋体" w:cs="宋体"/>
          <w:b/>
          <w:color w:val="auto"/>
          <w:sz w:val="28"/>
          <w:szCs w:val="28"/>
          <w:lang w:eastAsia="zh-CN"/>
        </w:rPr>
        <w:t>项目名称：</w:t>
      </w:r>
      <w:r>
        <w:rPr>
          <w:rFonts w:hint="eastAsia" w:ascii="宋体" w:hAnsi="宋体" w:cs="宋体"/>
          <w:b/>
          <w:color w:val="auto"/>
          <w:sz w:val="28"/>
          <w:szCs w:val="28"/>
          <w:highlight w:val="none"/>
          <w:lang w:eastAsia="zh-CN"/>
        </w:rPr>
        <w:t>国家税务总局上海市普陀区税务局物业管理服务</w:t>
      </w:r>
    </w:p>
    <w:p>
      <w:pPr>
        <w:widowControl w:val="0"/>
        <w:spacing w:line="360" w:lineRule="auto"/>
        <w:jc w:val="both"/>
        <w:rPr>
          <w:rFonts w:ascii="宋体" w:hAnsi="宋体" w:cs="宋体"/>
          <w:color w:val="auto"/>
          <w:kern w:val="2"/>
          <w:sz w:val="28"/>
          <w:szCs w:val="28"/>
          <w:lang w:eastAsia="zh-CN"/>
        </w:rPr>
      </w:pPr>
    </w:p>
    <w:p>
      <w:pPr>
        <w:widowControl w:val="0"/>
        <w:spacing w:line="360" w:lineRule="auto"/>
        <w:jc w:val="both"/>
        <w:rPr>
          <w:rFonts w:ascii="宋体" w:hAnsi="宋体" w:cs="宋体"/>
          <w:color w:val="auto"/>
          <w:kern w:val="2"/>
          <w:sz w:val="28"/>
          <w:szCs w:val="28"/>
          <w:lang w:eastAsia="zh-CN"/>
        </w:rPr>
      </w:pPr>
    </w:p>
    <w:p>
      <w:pPr>
        <w:widowControl w:val="0"/>
        <w:spacing w:line="360" w:lineRule="auto"/>
        <w:jc w:val="both"/>
        <w:rPr>
          <w:rFonts w:ascii="宋体" w:hAnsi="宋体" w:cs="宋体"/>
          <w:color w:val="auto"/>
          <w:kern w:val="2"/>
          <w:sz w:val="28"/>
          <w:szCs w:val="28"/>
          <w:lang w:eastAsia="zh-CN"/>
        </w:rPr>
      </w:pPr>
    </w:p>
    <w:p>
      <w:pPr>
        <w:widowControl w:val="0"/>
        <w:topLinePunct/>
        <w:autoSpaceDE w:val="0"/>
        <w:autoSpaceDN w:val="0"/>
        <w:spacing w:line="360" w:lineRule="auto"/>
        <w:jc w:val="both"/>
        <w:rPr>
          <w:rFonts w:ascii="宋体" w:hAnsi="宋体" w:cs="宋体"/>
          <w:color w:val="auto"/>
          <w:sz w:val="28"/>
          <w:szCs w:val="28"/>
          <w:lang w:eastAsia="zh-CN"/>
        </w:rPr>
      </w:pPr>
    </w:p>
    <w:p>
      <w:pPr>
        <w:spacing w:line="360" w:lineRule="auto"/>
        <w:jc w:val="center"/>
        <w:rPr>
          <w:rFonts w:ascii="宋体" w:hAnsi="宋体"/>
          <w:color w:val="auto"/>
          <w:sz w:val="28"/>
          <w:szCs w:val="28"/>
          <w:lang w:eastAsia="zh-CN"/>
        </w:rPr>
      </w:pPr>
    </w:p>
    <w:p>
      <w:pPr>
        <w:spacing w:line="300" w:lineRule="auto"/>
        <w:jc w:val="center"/>
        <w:rPr>
          <w:rFonts w:ascii="宋体" w:hAnsi="宋体" w:cs="宋体"/>
          <w:color w:val="auto"/>
          <w:sz w:val="28"/>
          <w:szCs w:val="28"/>
          <w:lang w:eastAsia="zh-CN"/>
        </w:rPr>
      </w:pPr>
      <w:r>
        <w:rPr>
          <w:rFonts w:ascii="宋体" w:hAnsi="宋体"/>
          <w:color w:val="auto"/>
          <w:sz w:val="21"/>
          <w:szCs w:val="21"/>
          <w:lang w:eastAsia="zh-CN"/>
        </w:rPr>
        <w:br w:type="page"/>
      </w:r>
      <w:r>
        <w:rPr>
          <w:rFonts w:hint="eastAsia" w:ascii="宋体" w:hAnsi="宋体" w:cs="宋体"/>
          <w:color w:val="auto"/>
          <w:sz w:val="28"/>
          <w:szCs w:val="28"/>
          <w:lang w:eastAsia="zh-CN"/>
        </w:rPr>
        <w:t>目录</w:t>
      </w:r>
    </w:p>
    <w:p>
      <w:pPr>
        <w:pStyle w:val="13"/>
        <w:tabs>
          <w:tab w:val="right" w:leader="dot" w:pos="9016"/>
        </w:tabs>
        <w:rPr>
          <w:rFonts w:ascii="Calibri" w:hAnsi="Calibri"/>
          <w:color w:val="auto"/>
          <w:kern w:val="2"/>
          <w:sz w:val="21"/>
          <w:szCs w:val="22"/>
          <w:lang w:eastAsia="zh-CN"/>
        </w:rPr>
      </w:pPr>
      <w:r>
        <w:rPr>
          <w:rFonts w:ascii="宋体" w:hAnsi="宋体" w:cs="宋体"/>
          <w:color w:val="auto"/>
          <w:sz w:val="21"/>
          <w:szCs w:val="21"/>
        </w:rPr>
        <w:fldChar w:fldCharType="begin"/>
      </w:r>
      <w:r>
        <w:rPr>
          <w:rFonts w:ascii="宋体" w:hAnsi="宋体" w:cs="宋体"/>
          <w:color w:val="auto"/>
          <w:sz w:val="21"/>
          <w:szCs w:val="21"/>
        </w:rPr>
        <w:instrText xml:space="preserve">TOC \o "1-3" \h \z \u</w:instrText>
      </w:r>
      <w:r>
        <w:rPr>
          <w:rFonts w:ascii="宋体" w:hAnsi="宋体" w:cs="宋体"/>
          <w:color w:val="auto"/>
          <w:sz w:val="21"/>
          <w:szCs w:val="21"/>
        </w:rPr>
        <w:fldChar w:fldCharType="separate"/>
      </w:r>
      <w:r>
        <w:rPr>
          <w:color w:val="auto"/>
        </w:rPr>
        <w:fldChar w:fldCharType="begin"/>
      </w:r>
      <w:r>
        <w:rPr>
          <w:color w:val="auto"/>
        </w:rPr>
        <w:instrText xml:space="preserve"> HYPERLINK \l "_Toc202710750" </w:instrText>
      </w:r>
      <w:r>
        <w:rPr>
          <w:color w:val="auto"/>
        </w:rPr>
        <w:fldChar w:fldCharType="separate"/>
      </w:r>
      <w:r>
        <w:rPr>
          <w:rStyle w:val="20"/>
          <w:rFonts w:ascii="宋体" w:hAnsi="宋体" w:cs="仿宋_GB2312"/>
          <w:color w:val="auto"/>
          <w:kern w:val="36"/>
          <w:lang w:eastAsia="zh-CN"/>
        </w:rPr>
        <w:t>1</w:t>
      </w:r>
      <w:r>
        <w:rPr>
          <w:rStyle w:val="20"/>
          <w:rFonts w:hint="eastAsia" w:ascii="宋体" w:hAnsi="宋体" w:cs="仿宋_GB2312"/>
          <w:color w:val="auto"/>
          <w:kern w:val="36"/>
          <w:lang w:eastAsia="zh-CN"/>
        </w:rPr>
        <w:t>项目概述</w:t>
      </w:r>
      <w:r>
        <w:rPr>
          <w:color w:val="auto"/>
        </w:rPr>
        <w:tab/>
      </w:r>
      <w:r>
        <w:rPr>
          <w:color w:val="auto"/>
        </w:rPr>
        <w:fldChar w:fldCharType="begin"/>
      </w:r>
      <w:r>
        <w:rPr>
          <w:color w:val="auto"/>
        </w:rPr>
        <w:instrText xml:space="preserve"> PAGEREF _Toc202710750 \h </w:instrText>
      </w:r>
      <w:r>
        <w:rPr>
          <w:color w:val="auto"/>
        </w:rPr>
        <w:fldChar w:fldCharType="separate"/>
      </w:r>
      <w:r>
        <w:rPr>
          <w:color w:val="auto"/>
        </w:rPr>
        <w:t>3</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"_Toc202710751" </w:instrText>
      </w:r>
      <w:r>
        <w:rPr>
          <w:color w:val="auto"/>
        </w:rPr>
        <w:fldChar w:fldCharType="separate"/>
      </w:r>
      <w:r>
        <w:rPr>
          <w:rStyle w:val="20"/>
          <w:rFonts w:ascii="宋体" w:hAnsi="宋体" w:cs="仿宋_GB2312"/>
          <w:color w:val="auto"/>
          <w:lang w:eastAsia="zh-CN"/>
        </w:rPr>
        <w:t>1.1</w:t>
      </w:r>
      <w:r>
        <w:rPr>
          <w:rStyle w:val="20"/>
          <w:rFonts w:hint="eastAsia" w:ascii="宋体" w:hAnsi="宋体" w:cs="仿宋_GB2312"/>
          <w:color w:val="auto"/>
          <w:lang w:eastAsia="zh-CN"/>
        </w:rPr>
        <w:t>项目背景</w:t>
      </w:r>
      <w:r>
        <w:rPr>
          <w:color w:val="auto"/>
        </w:rPr>
        <w:tab/>
      </w:r>
      <w:r>
        <w:rPr>
          <w:color w:val="auto"/>
        </w:rPr>
        <w:fldChar w:fldCharType="begin"/>
      </w:r>
      <w:r>
        <w:rPr>
          <w:color w:val="auto"/>
        </w:rPr>
        <w:instrText xml:space="preserve"> PAGEREF _Toc202710751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"_Toc202710752" </w:instrText>
      </w:r>
      <w:r>
        <w:rPr>
          <w:color w:val="auto"/>
        </w:rPr>
        <w:fldChar w:fldCharType="separate"/>
      </w:r>
      <w:r>
        <w:rPr>
          <w:rStyle w:val="20"/>
          <w:rFonts w:ascii="宋体" w:hAnsi="宋体" w:cs="仿宋_GB2312"/>
          <w:color w:val="auto"/>
          <w:lang w:eastAsia="zh-CN"/>
        </w:rPr>
        <w:t>1.1.1</w:t>
      </w:r>
      <w:r>
        <w:rPr>
          <w:rStyle w:val="20"/>
          <w:rFonts w:hint="eastAsia" w:ascii="宋体" w:hAnsi="宋体" w:cs="仿宋_GB2312"/>
          <w:color w:val="auto"/>
          <w:lang w:eastAsia="zh-CN"/>
        </w:rPr>
        <w:t>项目基本情况</w:t>
      </w:r>
      <w:r>
        <w:rPr>
          <w:color w:val="auto"/>
        </w:rPr>
        <w:tab/>
      </w:r>
      <w:r>
        <w:rPr>
          <w:color w:val="auto"/>
        </w:rPr>
        <w:fldChar w:fldCharType="begin"/>
      </w:r>
      <w:r>
        <w:rPr>
          <w:color w:val="auto"/>
        </w:rPr>
        <w:instrText xml:space="preserve"> PAGEREF _Toc202710752 \h </w:instrText>
      </w:r>
      <w:r>
        <w:rPr>
          <w:color w:val="auto"/>
        </w:rPr>
        <w:fldChar w:fldCharType="separate"/>
      </w:r>
      <w:r>
        <w:rPr>
          <w:color w:val="auto"/>
        </w:rPr>
        <w:t>3</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"_Toc202710753" </w:instrText>
      </w:r>
      <w:r>
        <w:rPr>
          <w:color w:val="auto"/>
        </w:rPr>
        <w:fldChar w:fldCharType="separate"/>
      </w:r>
      <w:r>
        <w:rPr>
          <w:rStyle w:val="20"/>
          <w:rFonts w:ascii="宋体" w:hAnsi="宋体" w:cs="仿宋_GB2312"/>
          <w:color w:val="auto"/>
          <w:lang w:eastAsia="zh-CN"/>
        </w:rPr>
        <w:t>1.2</w:t>
      </w:r>
      <w:r>
        <w:rPr>
          <w:rStyle w:val="20"/>
          <w:rFonts w:hint="eastAsia" w:ascii="宋体" w:hAnsi="宋体" w:cs="仿宋_GB2312"/>
          <w:color w:val="auto"/>
          <w:lang w:eastAsia="zh-CN"/>
        </w:rPr>
        <w:t>项目内容</w:t>
      </w:r>
      <w:r>
        <w:rPr>
          <w:color w:val="auto"/>
        </w:rPr>
        <w:tab/>
      </w:r>
      <w:r>
        <w:rPr>
          <w:color w:val="auto"/>
        </w:rPr>
        <w:fldChar w:fldCharType="begin"/>
      </w:r>
      <w:r>
        <w:rPr>
          <w:color w:val="auto"/>
        </w:rPr>
        <w:instrText xml:space="preserve"> PAGEREF _Toc202710753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"_Toc202710754" </w:instrText>
      </w:r>
      <w:r>
        <w:rPr>
          <w:color w:val="auto"/>
        </w:rPr>
        <w:fldChar w:fldCharType="separate"/>
      </w:r>
      <w:r>
        <w:rPr>
          <w:rStyle w:val="20"/>
          <w:rFonts w:ascii="宋体" w:hAnsi="宋体" w:cs="仿宋_GB2312"/>
          <w:color w:val="auto"/>
          <w:lang w:eastAsia="zh-CN"/>
        </w:rPr>
        <w:t>1.2.1</w:t>
      </w:r>
      <w:r>
        <w:rPr>
          <w:rStyle w:val="20"/>
          <w:rFonts w:hint="eastAsia" w:ascii="宋体" w:hAnsi="宋体" w:cs="仿宋_GB2312"/>
          <w:color w:val="auto"/>
          <w:lang w:eastAsia="zh-CN"/>
        </w:rPr>
        <w:t>采购内容</w:t>
      </w:r>
      <w:r>
        <w:rPr>
          <w:color w:val="auto"/>
        </w:rPr>
        <w:tab/>
      </w:r>
      <w:r>
        <w:rPr>
          <w:color w:val="auto"/>
        </w:rPr>
        <w:fldChar w:fldCharType="begin"/>
      </w:r>
      <w:r>
        <w:rPr>
          <w:color w:val="auto"/>
        </w:rPr>
        <w:instrText xml:space="preserve"> PAGEREF _Toc202710754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"_Toc202710755" </w:instrText>
      </w:r>
      <w:r>
        <w:rPr>
          <w:color w:val="auto"/>
        </w:rPr>
        <w:fldChar w:fldCharType="separate"/>
      </w:r>
      <w:r>
        <w:rPr>
          <w:rStyle w:val="20"/>
          <w:rFonts w:ascii="宋体" w:hAnsi="宋体" w:cs="仿宋_GB2312"/>
          <w:color w:val="auto"/>
          <w:lang w:eastAsia="zh-CN"/>
        </w:rPr>
        <w:t>1.2.2</w:t>
      </w:r>
      <w:r>
        <w:rPr>
          <w:rStyle w:val="20"/>
          <w:rFonts w:hint="eastAsia" w:ascii="宋体" w:hAnsi="宋体" w:cs="仿宋_GB2312"/>
          <w:color w:val="auto"/>
          <w:lang w:eastAsia="zh-CN"/>
        </w:rPr>
        <w:t>项目实施要求</w:t>
      </w:r>
      <w:r>
        <w:rPr>
          <w:color w:val="auto"/>
        </w:rPr>
        <w:tab/>
      </w:r>
      <w:r>
        <w:rPr>
          <w:color w:val="auto"/>
        </w:rPr>
        <w:fldChar w:fldCharType="begin"/>
      </w:r>
      <w:r>
        <w:rPr>
          <w:color w:val="auto"/>
        </w:rPr>
        <w:instrText xml:space="preserve"> PAGEREF _Toc202710755 \h </w:instrText>
      </w:r>
      <w:r>
        <w:rPr>
          <w:color w:val="auto"/>
        </w:rPr>
        <w:fldChar w:fldCharType="separate"/>
      </w:r>
      <w:r>
        <w:rPr>
          <w:color w:val="auto"/>
        </w:rPr>
        <w:t>4</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"_Toc202710756" </w:instrText>
      </w:r>
      <w:r>
        <w:rPr>
          <w:color w:val="auto"/>
        </w:rPr>
        <w:fldChar w:fldCharType="separate"/>
      </w:r>
      <w:r>
        <w:rPr>
          <w:rStyle w:val="20"/>
          <w:rFonts w:ascii="宋体" w:hAnsi="宋体" w:cs="仿宋_GB2312"/>
          <w:color w:val="auto"/>
          <w:kern w:val="36"/>
          <w:lang w:eastAsia="zh-CN"/>
        </w:rPr>
        <w:t>2</w:t>
      </w:r>
      <w:r>
        <w:rPr>
          <w:rStyle w:val="20"/>
          <w:rFonts w:hint="eastAsia" w:ascii="宋体" w:hAnsi="宋体" w:cs="仿宋_GB2312"/>
          <w:color w:val="auto"/>
          <w:kern w:val="36"/>
          <w:lang w:eastAsia="zh-CN"/>
        </w:rPr>
        <w:t>投标</w:t>
      </w:r>
      <w:r>
        <w:rPr>
          <w:rStyle w:val="20"/>
          <w:rFonts w:ascii="宋体" w:hAnsi="宋体" w:cs="仿宋_GB2312"/>
          <w:color w:val="auto"/>
          <w:kern w:val="36"/>
          <w:lang w:eastAsia="zh-CN"/>
        </w:rPr>
        <w:t>/</w:t>
      </w:r>
      <w:r>
        <w:rPr>
          <w:rStyle w:val="20"/>
          <w:rFonts w:hint="eastAsia" w:ascii="宋体" w:hAnsi="宋体" w:cs="仿宋_GB2312"/>
          <w:color w:val="auto"/>
          <w:kern w:val="36"/>
          <w:lang w:eastAsia="zh-CN"/>
        </w:rPr>
        <w:t>响应要求</w:t>
      </w:r>
      <w:r>
        <w:rPr>
          <w:color w:val="auto"/>
        </w:rPr>
        <w:tab/>
      </w:r>
      <w:r>
        <w:rPr>
          <w:color w:val="auto"/>
        </w:rPr>
        <w:fldChar w:fldCharType="begin"/>
      </w:r>
      <w:r>
        <w:rPr>
          <w:color w:val="auto"/>
        </w:rPr>
        <w:instrText xml:space="preserve"> PAGEREF _Toc202710756 \h </w:instrText>
      </w:r>
      <w:r>
        <w:rPr>
          <w:color w:val="auto"/>
        </w:rPr>
        <w:fldChar w:fldCharType="separate"/>
      </w:r>
      <w:r>
        <w:rPr>
          <w:color w:val="auto"/>
        </w:rPr>
        <w:t>11</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"_Toc202710757" </w:instrText>
      </w:r>
      <w:r>
        <w:rPr>
          <w:color w:val="auto"/>
        </w:rPr>
        <w:fldChar w:fldCharType="separate"/>
      </w:r>
      <w:r>
        <w:rPr>
          <w:rStyle w:val="20"/>
          <w:rFonts w:ascii="宋体" w:hAnsi="宋体" w:cs="仿宋_GB2312"/>
          <w:color w:val="auto"/>
          <w:lang w:eastAsia="zh-CN"/>
        </w:rPr>
        <w:t>2.1</w:t>
      </w:r>
      <w:r>
        <w:rPr>
          <w:rStyle w:val="20"/>
          <w:rFonts w:hint="eastAsia" w:ascii="宋体" w:hAnsi="宋体" w:cs="仿宋_GB2312"/>
          <w:color w:val="auto"/>
          <w:lang w:eastAsia="zh-CN"/>
        </w:rPr>
        <w:t>对供应商的要求</w:t>
      </w:r>
      <w:r>
        <w:rPr>
          <w:color w:val="auto"/>
        </w:rPr>
        <w:tab/>
      </w:r>
      <w:r>
        <w:rPr>
          <w:color w:val="auto"/>
        </w:rPr>
        <w:fldChar w:fldCharType="begin"/>
      </w:r>
      <w:r>
        <w:rPr>
          <w:color w:val="auto"/>
        </w:rPr>
        <w:instrText xml:space="preserve"> PAGEREF _Toc202710757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"_Toc202710758" </w:instrText>
      </w:r>
      <w:r>
        <w:rPr>
          <w:color w:val="auto"/>
        </w:rPr>
        <w:fldChar w:fldCharType="separate"/>
      </w:r>
      <w:r>
        <w:rPr>
          <w:rStyle w:val="20"/>
          <w:rFonts w:ascii="宋体" w:hAnsi="宋体" w:cs="仿宋_GB2312"/>
          <w:color w:val="auto"/>
          <w:lang w:eastAsia="zh-CN"/>
        </w:rPr>
        <w:t>2.1.1</w:t>
      </w:r>
      <w:r>
        <w:rPr>
          <w:rStyle w:val="20"/>
          <w:rFonts w:hint="eastAsia" w:ascii="宋体" w:hAnsi="宋体" w:cs="仿宋_GB2312"/>
          <w:color w:val="auto"/>
          <w:lang w:eastAsia="zh-CN"/>
        </w:rPr>
        <w:t>必备资质</w:t>
      </w:r>
      <w:r>
        <w:rPr>
          <w:color w:val="auto"/>
        </w:rPr>
        <w:tab/>
      </w:r>
      <w:r>
        <w:rPr>
          <w:color w:val="auto"/>
        </w:rPr>
        <w:fldChar w:fldCharType="begin"/>
      </w:r>
      <w:r>
        <w:rPr>
          <w:color w:val="auto"/>
        </w:rPr>
        <w:instrText xml:space="preserve"> PAGEREF _Toc202710758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"_Toc202710759" </w:instrText>
      </w:r>
      <w:r>
        <w:rPr>
          <w:color w:val="auto"/>
        </w:rPr>
        <w:fldChar w:fldCharType="separate"/>
      </w:r>
      <w:r>
        <w:rPr>
          <w:rStyle w:val="20"/>
          <w:rFonts w:ascii="宋体" w:hAnsi="宋体" w:cs="仿宋_GB2312"/>
          <w:color w:val="auto"/>
          <w:lang w:eastAsia="zh-CN"/>
        </w:rPr>
        <w:t>2.1.2</w:t>
      </w:r>
      <w:r>
        <w:rPr>
          <w:rStyle w:val="20"/>
          <w:rFonts w:hint="eastAsia" w:ascii="宋体" w:hAnsi="宋体" w:cs="仿宋_GB2312"/>
          <w:color w:val="auto"/>
          <w:lang w:eastAsia="zh-CN"/>
        </w:rPr>
        <w:t>优选资质</w:t>
      </w:r>
      <w:r>
        <w:rPr>
          <w:rStyle w:val="20"/>
          <w:rFonts w:ascii="宋体" w:hAnsi="宋体" w:cs="仿宋_GB2312"/>
          <w:color w:val="auto"/>
          <w:lang w:eastAsia="zh-CN"/>
        </w:rPr>
        <w:t>/</w:t>
      </w:r>
      <w:r>
        <w:rPr>
          <w:rStyle w:val="20"/>
          <w:rFonts w:hint="eastAsia" w:ascii="宋体" w:hAnsi="宋体" w:cs="仿宋_GB2312"/>
          <w:color w:val="auto"/>
          <w:lang w:eastAsia="zh-CN"/>
        </w:rPr>
        <w:t>优选指标</w:t>
      </w:r>
      <w:r>
        <w:rPr>
          <w:color w:val="auto"/>
        </w:rPr>
        <w:tab/>
      </w:r>
      <w:r>
        <w:rPr>
          <w:color w:val="auto"/>
        </w:rPr>
        <w:fldChar w:fldCharType="begin"/>
      </w:r>
      <w:r>
        <w:rPr>
          <w:color w:val="auto"/>
        </w:rPr>
        <w:instrText xml:space="preserve"> PAGEREF _Toc202710759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"_Toc202710760" </w:instrText>
      </w:r>
      <w:r>
        <w:rPr>
          <w:color w:val="auto"/>
        </w:rPr>
        <w:fldChar w:fldCharType="separate"/>
      </w:r>
      <w:r>
        <w:rPr>
          <w:rStyle w:val="20"/>
          <w:rFonts w:ascii="宋体" w:hAnsi="宋体" w:cs="仿宋_GB2312"/>
          <w:color w:val="auto"/>
          <w:lang w:eastAsia="zh-CN"/>
        </w:rPr>
        <w:t>2.1.3</w:t>
      </w:r>
      <w:r>
        <w:rPr>
          <w:rStyle w:val="20"/>
          <w:rFonts w:hint="eastAsia" w:ascii="宋体" w:hAnsi="宋体" w:cs="仿宋_GB2312"/>
          <w:color w:val="auto"/>
          <w:lang w:eastAsia="zh-CN"/>
        </w:rPr>
        <w:t>是否允许联合体</w:t>
      </w:r>
      <w:r>
        <w:rPr>
          <w:color w:val="auto"/>
        </w:rPr>
        <w:tab/>
      </w:r>
      <w:r>
        <w:rPr>
          <w:color w:val="auto"/>
        </w:rPr>
        <w:fldChar w:fldCharType="begin"/>
      </w:r>
      <w:r>
        <w:rPr>
          <w:color w:val="auto"/>
        </w:rPr>
        <w:instrText xml:space="preserve"> PAGEREF _Toc202710760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"_Toc202710761" </w:instrText>
      </w:r>
      <w:r>
        <w:rPr>
          <w:color w:val="auto"/>
        </w:rPr>
        <w:fldChar w:fldCharType="separate"/>
      </w:r>
      <w:r>
        <w:rPr>
          <w:rStyle w:val="20"/>
          <w:rFonts w:ascii="宋体" w:hAnsi="宋体" w:cs="仿宋_GB2312"/>
          <w:color w:val="auto"/>
          <w:lang w:eastAsia="zh-CN"/>
        </w:rPr>
        <w:t>2.1.4</w:t>
      </w:r>
      <w:r>
        <w:rPr>
          <w:rStyle w:val="20"/>
          <w:rFonts w:hint="eastAsia" w:ascii="宋体" w:hAnsi="宋体" w:cs="仿宋_GB2312"/>
          <w:color w:val="auto"/>
          <w:lang w:eastAsia="zh-CN"/>
        </w:rPr>
        <w:t>是否专门面向中小企业</w:t>
      </w:r>
      <w:r>
        <w:rPr>
          <w:color w:val="auto"/>
        </w:rPr>
        <w:tab/>
      </w:r>
      <w:r>
        <w:rPr>
          <w:color w:val="auto"/>
        </w:rPr>
        <w:fldChar w:fldCharType="begin"/>
      </w:r>
      <w:r>
        <w:rPr>
          <w:color w:val="auto"/>
        </w:rPr>
        <w:instrText xml:space="preserve"> PAGEREF _Toc202710761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"_Toc202710762" </w:instrText>
      </w:r>
      <w:r>
        <w:rPr>
          <w:color w:val="auto"/>
        </w:rPr>
        <w:fldChar w:fldCharType="separate"/>
      </w:r>
      <w:r>
        <w:rPr>
          <w:rStyle w:val="20"/>
          <w:rFonts w:ascii="宋体" w:hAnsi="宋体" w:cs="仿宋_GB2312"/>
          <w:color w:val="auto"/>
          <w:lang w:eastAsia="zh-CN"/>
        </w:rPr>
        <w:t>2.1.5</w:t>
      </w:r>
      <w:r>
        <w:rPr>
          <w:rStyle w:val="20"/>
          <w:rFonts w:hint="eastAsia" w:ascii="宋体" w:hAnsi="宋体" w:cs="仿宋_GB2312"/>
          <w:color w:val="auto"/>
          <w:lang w:eastAsia="zh-CN"/>
        </w:rPr>
        <w:t>专项服务分包要求</w:t>
      </w:r>
      <w:r>
        <w:rPr>
          <w:color w:val="auto"/>
        </w:rPr>
        <w:tab/>
      </w:r>
      <w:r>
        <w:rPr>
          <w:color w:val="auto"/>
        </w:rPr>
        <w:fldChar w:fldCharType="begin"/>
      </w:r>
      <w:r>
        <w:rPr>
          <w:color w:val="auto"/>
        </w:rPr>
        <w:instrText xml:space="preserve"> PAGEREF _Toc202710762 \h </w:instrText>
      </w:r>
      <w:r>
        <w:rPr>
          <w:color w:val="auto"/>
        </w:rPr>
        <w:fldChar w:fldCharType="separate"/>
      </w:r>
      <w:r>
        <w:rPr>
          <w:color w:val="auto"/>
        </w:rPr>
        <w:t>11</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"_Toc202710763" </w:instrText>
      </w:r>
      <w:r>
        <w:rPr>
          <w:color w:val="auto"/>
        </w:rPr>
        <w:fldChar w:fldCharType="separate"/>
      </w:r>
      <w:r>
        <w:rPr>
          <w:rStyle w:val="20"/>
          <w:rFonts w:ascii="宋体" w:hAnsi="宋体" w:cs="仿宋_GB2312"/>
          <w:color w:val="auto"/>
          <w:lang w:eastAsia="zh-CN"/>
        </w:rPr>
        <w:t>2.2</w:t>
      </w:r>
      <w:r>
        <w:rPr>
          <w:rStyle w:val="20"/>
          <w:rFonts w:hint="eastAsia" w:ascii="宋体" w:hAnsi="宋体" w:cs="仿宋_GB2312"/>
          <w:color w:val="auto"/>
          <w:lang w:eastAsia="zh-CN"/>
        </w:rPr>
        <w:t>技术部分投标</w:t>
      </w:r>
      <w:r>
        <w:rPr>
          <w:rStyle w:val="20"/>
          <w:rFonts w:ascii="宋体" w:hAnsi="宋体" w:cs="仿宋_GB2312"/>
          <w:color w:val="auto"/>
          <w:lang w:eastAsia="zh-CN"/>
        </w:rPr>
        <w:t>/</w:t>
      </w:r>
      <w:r>
        <w:rPr>
          <w:rStyle w:val="20"/>
          <w:rFonts w:hint="eastAsia" w:ascii="宋体" w:hAnsi="宋体" w:cs="仿宋_GB2312"/>
          <w:color w:val="auto"/>
          <w:lang w:eastAsia="zh-CN"/>
        </w:rPr>
        <w:t>响应内容</w:t>
      </w:r>
      <w:r>
        <w:rPr>
          <w:color w:val="auto"/>
        </w:rPr>
        <w:tab/>
      </w:r>
      <w:r>
        <w:rPr>
          <w:color w:val="auto"/>
        </w:rPr>
        <w:fldChar w:fldCharType="begin"/>
      </w:r>
      <w:r>
        <w:rPr>
          <w:color w:val="auto"/>
        </w:rPr>
        <w:instrText xml:space="preserve"> PAGEREF _Toc202710763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"_Toc202710764" </w:instrText>
      </w:r>
      <w:r>
        <w:rPr>
          <w:color w:val="auto"/>
        </w:rPr>
        <w:fldChar w:fldCharType="separate"/>
      </w:r>
      <w:r>
        <w:rPr>
          <w:rStyle w:val="20"/>
          <w:rFonts w:ascii="宋体" w:hAnsi="宋体" w:cs="仿宋_GB2312"/>
          <w:color w:val="auto"/>
          <w:lang w:eastAsia="zh-CN"/>
        </w:rPr>
        <w:t>2.2.1</w:t>
      </w:r>
      <w:r>
        <w:rPr>
          <w:rStyle w:val="20"/>
          <w:rFonts w:hint="eastAsia" w:ascii="宋体" w:hAnsi="宋体" w:cs="仿宋_GB2312"/>
          <w:color w:val="auto"/>
          <w:lang w:eastAsia="zh-CN"/>
        </w:rPr>
        <w:t>投标</w:t>
      </w:r>
      <w:r>
        <w:rPr>
          <w:rStyle w:val="20"/>
          <w:rFonts w:ascii="宋体" w:hAnsi="宋体" w:cs="仿宋_GB2312"/>
          <w:color w:val="auto"/>
          <w:lang w:eastAsia="zh-CN"/>
        </w:rPr>
        <w:t>/</w:t>
      </w:r>
      <w:r>
        <w:rPr>
          <w:rStyle w:val="20"/>
          <w:rFonts w:hint="eastAsia" w:ascii="宋体" w:hAnsi="宋体" w:cs="仿宋_GB2312"/>
          <w:color w:val="auto"/>
          <w:lang w:eastAsia="zh-CN"/>
        </w:rPr>
        <w:t>响应方案要求</w:t>
      </w:r>
      <w:r>
        <w:rPr>
          <w:color w:val="auto"/>
        </w:rPr>
        <w:tab/>
      </w:r>
      <w:r>
        <w:rPr>
          <w:color w:val="auto"/>
        </w:rPr>
        <w:fldChar w:fldCharType="begin"/>
      </w:r>
      <w:r>
        <w:rPr>
          <w:color w:val="auto"/>
        </w:rPr>
        <w:instrText xml:space="preserve"> PAGEREF _Toc202710764 \h </w:instrText>
      </w:r>
      <w:r>
        <w:rPr>
          <w:color w:val="auto"/>
        </w:rPr>
        <w:fldChar w:fldCharType="separate"/>
      </w:r>
      <w:r>
        <w:rPr>
          <w:color w:val="auto"/>
        </w:rPr>
        <w:t>11</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"_Toc202710765" </w:instrText>
      </w:r>
      <w:r>
        <w:rPr>
          <w:color w:val="auto"/>
        </w:rPr>
        <w:fldChar w:fldCharType="separate"/>
      </w:r>
      <w:r>
        <w:rPr>
          <w:rStyle w:val="20"/>
          <w:rFonts w:ascii="宋体" w:hAnsi="宋体" w:cs="仿宋_GB2312"/>
          <w:color w:val="auto"/>
          <w:kern w:val="36"/>
          <w:lang w:eastAsia="zh-CN"/>
        </w:rPr>
        <w:t>3</w:t>
      </w:r>
      <w:r>
        <w:rPr>
          <w:rStyle w:val="20"/>
          <w:rFonts w:hint="eastAsia" w:ascii="宋体" w:hAnsi="宋体" w:cs="仿宋_GB2312"/>
          <w:color w:val="auto"/>
          <w:kern w:val="36"/>
          <w:lang w:eastAsia="zh-CN"/>
        </w:rPr>
        <w:t>项目需求</w:t>
      </w:r>
      <w:r>
        <w:rPr>
          <w:color w:val="auto"/>
        </w:rPr>
        <w:tab/>
      </w:r>
      <w:r>
        <w:rPr>
          <w:color w:val="auto"/>
        </w:rPr>
        <w:fldChar w:fldCharType="begin"/>
      </w:r>
      <w:r>
        <w:rPr>
          <w:color w:val="auto"/>
        </w:rPr>
        <w:instrText xml:space="preserve"> PAGEREF _Toc202710765 \h </w:instrText>
      </w:r>
      <w:r>
        <w:rPr>
          <w:color w:val="auto"/>
        </w:rPr>
        <w:fldChar w:fldCharType="separate"/>
      </w:r>
      <w:r>
        <w:rPr>
          <w:color w:val="auto"/>
        </w:rPr>
        <w:t>11</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"_Toc202710766" </w:instrText>
      </w:r>
      <w:r>
        <w:rPr>
          <w:color w:val="auto"/>
        </w:rPr>
        <w:fldChar w:fldCharType="separate"/>
      </w:r>
      <w:r>
        <w:rPr>
          <w:rStyle w:val="20"/>
          <w:rFonts w:ascii="宋体" w:hAnsi="宋体" w:cs="仿宋_GB2312"/>
          <w:color w:val="auto"/>
          <w:lang w:eastAsia="zh-CN"/>
        </w:rPr>
        <w:t>3.1</w:t>
      </w:r>
      <w:r>
        <w:rPr>
          <w:rStyle w:val="20"/>
          <w:rFonts w:hint="eastAsia" w:ascii="宋体" w:hAnsi="宋体" w:cs="仿宋_GB2312"/>
          <w:color w:val="auto"/>
          <w:lang w:eastAsia="zh-CN"/>
        </w:rPr>
        <w:t>总体要求</w:t>
      </w:r>
      <w:r>
        <w:rPr>
          <w:color w:val="auto"/>
        </w:rPr>
        <w:tab/>
      </w:r>
      <w:r>
        <w:rPr>
          <w:color w:val="auto"/>
        </w:rPr>
        <w:fldChar w:fldCharType="begin"/>
      </w:r>
      <w:r>
        <w:rPr>
          <w:color w:val="auto"/>
        </w:rPr>
        <w:instrText xml:space="preserve"> PAGEREF _Toc202710766 \h </w:instrText>
      </w:r>
      <w:r>
        <w:rPr>
          <w:color w:val="auto"/>
        </w:rPr>
        <w:fldChar w:fldCharType="separate"/>
      </w:r>
      <w:r>
        <w:rPr>
          <w:color w:val="auto"/>
        </w:rPr>
        <w:t>12</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"_Toc202710767" </w:instrText>
      </w:r>
      <w:r>
        <w:rPr>
          <w:color w:val="auto"/>
        </w:rPr>
        <w:fldChar w:fldCharType="separate"/>
      </w:r>
      <w:r>
        <w:rPr>
          <w:rStyle w:val="20"/>
          <w:rFonts w:ascii="宋体" w:hAnsi="宋体" w:cs="仿宋_GB2312"/>
          <w:color w:val="auto"/>
          <w:lang w:eastAsia="zh-CN"/>
        </w:rPr>
        <w:t>3.2</w:t>
      </w:r>
      <w:r>
        <w:rPr>
          <w:rStyle w:val="20"/>
          <w:rFonts w:hint="eastAsia" w:ascii="宋体" w:hAnsi="宋体" w:cs="仿宋_GB2312"/>
          <w:color w:val="auto"/>
          <w:lang w:eastAsia="zh-CN"/>
        </w:rPr>
        <w:t>具体要求</w:t>
      </w:r>
      <w:r>
        <w:rPr>
          <w:color w:val="auto"/>
        </w:rPr>
        <w:tab/>
      </w:r>
      <w:r>
        <w:rPr>
          <w:color w:val="auto"/>
        </w:rPr>
        <w:fldChar w:fldCharType="begin"/>
      </w:r>
      <w:r>
        <w:rPr>
          <w:color w:val="auto"/>
        </w:rPr>
        <w:instrText xml:space="preserve"> PAGEREF _Toc202710767 \h </w:instrText>
      </w:r>
      <w:r>
        <w:rPr>
          <w:color w:val="auto"/>
        </w:rPr>
        <w:fldChar w:fldCharType="separate"/>
      </w:r>
      <w:r>
        <w:rPr>
          <w:color w:val="auto"/>
        </w:rPr>
        <w:t>12</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"_Toc202710768" </w:instrText>
      </w:r>
      <w:r>
        <w:rPr>
          <w:color w:val="auto"/>
        </w:rPr>
        <w:fldChar w:fldCharType="separate"/>
      </w:r>
      <w:r>
        <w:rPr>
          <w:rStyle w:val="20"/>
          <w:rFonts w:ascii="宋体" w:hAnsi="宋体" w:cs="仿宋_GB2312"/>
          <w:color w:val="auto"/>
          <w:kern w:val="36"/>
          <w:lang w:eastAsia="zh-CN"/>
        </w:rPr>
        <w:t>4</w:t>
      </w:r>
      <w:r>
        <w:rPr>
          <w:rStyle w:val="20"/>
          <w:rFonts w:hint="eastAsia" w:ascii="宋体" w:hAnsi="宋体" w:cs="仿宋_GB2312"/>
          <w:color w:val="auto"/>
          <w:kern w:val="36"/>
          <w:lang w:eastAsia="zh-CN"/>
        </w:rPr>
        <w:t>人员要求</w:t>
      </w:r>
      <w:r>
        <w:rPr>
          <w:color w:val="auto"/>
        </w:rPr>
        <w:tab/>
      </w:r>
      <w:r>
        <w:rPr>
          <w:color w:val="auto"/>
        </w:rPr>
        <w:fldChar w:fldCharType="begin"/>
      </w:r>
      <w:r>
        <w:rPr>
          <w:color w:val="auto"/>
        </w:rPr>
        <w:instrText xml:space="preserve"> PAGEREF _Toc202710768 \h </w:instrText>
      </w:r>
      <w:r>
        <w:rPr>
          <w:color w:val="auto"/>
        </w:rPr>
        <w:fldChar w:fldCharType="separate"/>
      </w:r>
      <w:r>
        <w:rPr>
          <w:color w:val="auto"/>
        </w:rPr>
        <w:t>23</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"_Toc202710769" </w:instrText>
      </w:r>
      <w:r>
        <w:rPr>
          <w:color w:val="auto"/>
        </w:rPr>
        <w:fldChar w:fldCharType="separate"/>
      </w:r>
      <w:r>
        <w:rPr>
          <w:rStyle w:val="20"/>
          <w:rFonts w:ascii="宋体" w:hAnsi="宋体" w:cs="仿宋_GB2312"/>
          <w:color w:val="auto"/>
          <w:lang w:eastAsia="zh-CN"/>
        </w:rPr>
        <w:t>4.1</w:t>
      </w:r>
      <w:r>
        <w:rPr>
          <w:rStyle w:val="20"/>
          <w:rFonts w:hint="eastAsia" w:ascii="宋体" w:hAnsi="宋体" w:cs="仿宋_GB2312"/>
          <w:color w:val="auto"/>
          <w:lang w:eastAsia="zh-CN"/>
        </w:rPr>
        <w:t>团队要求</w:t>
      </w:r>
      <w:r>
        <w:rPr>
          <w:color w:val="auto"/>
        </w:rPr>
        <w:tab/>
      </w:r>
      <w:r>
        <w:rPr>
          <w:color w:val="auto"/>
        </w:rPr>
        <w:fldChar w:fldCharType="begin"/>
      </w:r>
      <w:r>
        <w:rPr>
          <w:color w:val="auto"/>
        </w:rPr>
        <w:instrText xml:space="preserve"> PAGEREF _Toc202710769 \h </w:instrText>
      </w:r>
      <w:r>
        <w:rPr>
          <w:color w:val="auto"/>
        </w:rPr>
        <w:fldChar w:fldCharType="separate"/>
      </w:r>
      <w:r>
        <w:rPr>
          <w:color w:val="auto"/>
        </w:rPr>
        <w:t>23</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"_Toc202710770" </w:instrText>
      </w:r>
      <w:r>
        <w:rPr>
          <w:color w:val="auto"/>
        </w:rPr>
        <w:fldChar w:fldCharType="separate"/>
      </w:r>
      <w:r>
        <w:rPr>
          <w:rStyle w:val="20"/>
          <w:rFonts w:ascii="宋体" w:hAnsi="宋体" w:cs="仿宋_GB2312"/>
          <w:color w:val="auto"/>
          <w:lang w:eastAsia="zh-CN"/>
        </w:rPr>
        <w:t>4.1.1</w:t>
      </w:r>
      <w:r>
        <w:rPr>
          <w:rStyle w:val="20"/>
          <w:rFonts w:hint="eastAsia" w:ascii="宋体" w:hAnsi="宋体" w:cs="仿宋_GB2312"/>
          <w:color w:val="auto"/>
          <w:lang w:eastAsia="zh-CN"/>
        </w:rPr>
        <w:t>物业管理服务人员需求</w:t>
      </w:r>
      <w:r>
        <w:rPr>
          <w:color w:val="auto"/>
        </w:rPr>
        <w:tab/>
      </w:r>
      <w:r>
        <w:rPr>
          <w:color w:val="auto"/>
        </w:rPr>
        <w:fldChar w:fldCharType="begin"/>
      </w:r>
      <w:r>
        <w:rPr>
          <w:color w:val="auto"/>
        </w:rPr>
        <w:instrText xml:space="preserve"> PAGEREF _Toc202710770 \h </w:instrText>
      </w:r>
      <w:r>
        <w:rPr>
          <w:color w:val="auto"/>
        </w:rPr>
        <w:fldChar w:fldCharType="separate"/>
      </w:r>
      <w:r>
        <w:rPr>
          <w:color w:val="auto"/>
        </w:rPr>
        <w:t>23</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"_Toc202710771" </w:instrText>
      </w:r>
      <w:r>
        <w:rPr>
          <w:color w:val="auto"/>
        </w:rPr>
        <w:fldChar w:fldCharType="separate"/>
      </w:r>
      <w:r>
        <w:rPr>
          <w:rStyle w:val="20"/>
          <w:rFonts w:ascii="宋体" w:hAnsi="宋体" w:cs="仿宋_GB2312"/>
          <w:color w:val="auto"/>
          <w:kern w:val="36"/>
          <w:lang w:eastAsia="zh-CN"/>
        </w:rPr>
        <w:t>5</w:t>
      </w:r>
      <w:r>
        <w:rPr>
          <w:rStyle w:val="20"/>
          <w:rFonts w:hint="eastAsia" w:ascii="宋体" w:hAnsi="宋体" w:cs="仿宋_GB2312"/>
          <w:color w:val="auto"/>
          <w:kern w:val="36"/>
          <w:lang w:eastAsia="zh-CN"/>
        </w:rPr>
        <w:t>管理实施要求</w:t>
      </w:r>
      <w:r>
        <w:rPr>
          <w:color w:val="auto"/>
        </w:rPr>
        <w:tab/>
      </w:r>
      <w:r>
        <w:rPr>
          <w:color w:val="auto"/>
        </w:rPr>
        <w:fldChar w:fldCharType="begin"/>
      </w:r>
      <w:r>
        <w:rPr>
          <w:color w:val="auto"/>
        </w:rPr>
        <w:instrText xml:space="preserve"> PAGEREF _Toc202710771 \h </w:instrText>
      </w:r>
      <w:r>
        <w:rPr>
          <w:color w:val="auto"/>
        </w:rPr>
        <w:fldChar w:fldCharType="separate"/>
      </w:r>
      <w:r>
        <w:rPr>
          <w:color w:val="auto"/>
        </w:rPr>
        <w:t>24</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"_Toc202710772" </w:instrText>
      </w:r>
      <w:r>
        <w:rPr>
          <w:color w:val="auto"/>
        </w:rPr>
        <w:fldChar w:fldCharType="separate"/>
      </w:r>
      <w:r>
        <w:rPr>
          <w:rStyle w:val="20"/>
          <w:rFonts w:ascii="宋体" w:hAnsi="宋体" w:cs="仿宋_GB2312"/>
          <w:color w:val="auto"/>
          <w:kern w:val="36"/>
          <w:lang w:eastAsia="zh-CN"/>
        </w:rPr>
        <w:t>6</w:t>
      </w:r>
      <w:r>
        <w:rPr>
          <w:rStyle w:val="20"/>
          <w:rFonts w:hint="eastAsia" w:ascii="宋体" w:hAnsi="宋体" w:cs="仿宋_GB2312"/>
          <w:color w:val="auto"/>
          <w:kern w:val="36"/>
          <w:lang w:eastAsia="zh-CN"/>
        </w:rPr>
        <w:t>风险管控要求</w:t>
      </w:r>
      <w:r>
        <w:rPr>
          <w:color w:val="auto"/>
        </w:rPr>
        <w:tab/>
      </w:r>
      <w:r>
        <w:rPr>
          <w:color w:val="auto"/>
        </w:rPr>
        <w:fldChar w:fldCharType="begin"/>
      </w:r>
      <w:r>
        <w:rPr>
          <w:color w:val="auto"/>
        </w:rPr>
        <w:instrText xml:space="preserve"> PAGEREF _Toc202710772 \h </w:instrText>
      </w:r>
      <w:r>
        <w:rPr>
          <w:color w:val="auto"/>
        </w:rPr>
        <w:fldChar w:fldCharType="separate"/>
      </w:r>
      <w:r>
        <w:rPr>
          <w:color w:val="auto"/>
        </w:rPr>
        <w:t>25</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"_Toc202710773" </w:instrText>
      </w:r>
      <w:r>
        <w:rPr>
          <w:color w:val="auto"/>
        </w:rPr>
        <w:fldChar w:fldCharType="separate"/>
      </w:r>
      <w:r>
        <w:rPr>
          <w:rStyle w:val="20"/>
          <w:rFonts w:ascii="宋体" w:hAnsi="宋体" w:cs="仿宋_GB2312"/>
          <w:color w:val="auto"/>
          <w:kern w:val="36"/>
          <w:lang w:eastAsia="zh-CN"/>
        </w:rPr>
        <w:t>7</w:t>
      </w:r>
      <w:r>
        <w:rPr>
          <w:rStyle w:val="20"/>
          <w:rFonts w:hint="eastAsia" w:ascii="宋体" w:hAnsi="宋体" w:cs="仿宋_GB2312"/>
          <w:color w:val="auto"/>
          <w:kern w:val="36"/>
          <w:lang w:eastAsia="zh-CN"/>
        </w:rPr>
        <w:t>履约验收要求</w:t>
      </w:r>
      <w:r>
        <w:rPr>
          <w:color w:val="auto"/>
        </w:rPr>
        <w:tab/>
      </w:r>
      <w:r>
        <w:rPr>
          <w:color w:val="auto"/>
        </w:rPr>
        <w:fldChar w:fldCharType="begin"/>
      </w:r>
      <w:r>
        <w:rPr>
          <w:color w:val="auto"/>
        </w:rPr>
        <w:instrText xml:space="preserve"> PAGEREF _Toc202710773 \h </w:instrText>
      </w:r>
      <w:r>
        <w:rPr>
          <w:color w:val="auto"/>
        </w:rPr>
        <w:fldChar w:fldCharType="separate"/>
      </w:r>
      <w:r>
        <w:rPr>
          <w:color w:val="auto"/>
        </w:rPr>
        <w:t>25</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"_Toc202710774" </w:instrText>
      </w:r>
      <w:r>
        <w:rPr>
          <w:color w:val="auto"/>
        </w:rPr>
        <w:fldChar w:fldCharType="separate"/>
      </w:r>
      <w:r>
        <w:rPr>
          <w:rStyle w:val="20"/>
          <w:rFonts w:ascii="宋体" w:hAnsi="宋体" w:cs="仿宋_GB2312"/>
          <w:color w:val="auto"/>
          <w:lang w:eastAsia="zh-CN"/>
        </w:rPr>
        <w:t>7.1</w:t>
      </w:r>
      <w:r>
        <w:rPr>
          <w:rStyle w:val="20"/>
          <w:rFonts w:hint="eastAsia" w:ascii="宋体" w:hAnsi="宋体" w:cs="仿宋_GB2312"/>
          <w:color w:val="auto"/>
          <w:lang w:eastAsia="zh-CN"/>
        </w:rPr>
        <w:t>总体要求</w:t>
      </w:r>
      <w:r>
        <w:rPr>
          <w:color w:val="auto"/>
        </w:rPr>
        <w:tab/>
      </w:r>
      <w:r>
        <w:rPr>
          <w:color w:val="auto"/>
        </w:rPr>
        <w:fldChar w:fldCharType="begin"/>
      </w:r>
      <w:r>
        <w:rPr>
          <w:color w:val="auto"/>
        </w:rPr>
        <w:instrText xml:space="preserve"> PAGEREF _Toc202710774 \h </w:instrText>
      </w:r>
      <w:r>
        <w:rPr>
          <w:color w:val="auto"/>
        </w:rPr>
        <w:fldChar w:fldCharType="separate"/>
      </w:r>
      <w:r>
        <w:rPr>
          <w:color w:val="auto"/>
        </w:rPr>
        <w:t>25</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"_Toc202710775" </w:instrText>
      </w:r>
      <w:r>
        <w:rPr>
          <w:color w:val="auto"/>
        </w:rPr>
        <w:fldChar w:fldCharType="separate"/>
      </w:r>
      <w:r>
        <w:rPr>
          <w:rStyle w:val="20"/>
          <w:rFonts w:ascii="宋体" w:hAnsi="宋体" w:cs="仿宋_GB2312"/>
          <w:color w:val="auto"/>
          <w:lang w:eastAsia="zh-CN"/>
        </w:rPr>
        <w:t>7.2</w:t>
      </w:r>
      <w:r>
        <w:rPr>
          <w:rStyle w:val="20"/>
          <w:rFonts w:hint="eastAsia" w:ascii="宋体" w:hAnsi="宋体" w:cs="仿宋_GB2312"/>
          <w:color w:val="auto"/>
          <w:lang w:eastAsia="zh-CN"/>
        </w:rPr>
        <w:t>验收考核标准与要求</w:t>
      </w:r>
      <w:r>
        <w:rPr>
          <w:color w:val="auto"/>
        </w:rPr>
        <w:tab/>
      </w:r>
      <w:r>
        <w:rPr>
          <w:color w:val="auto"/>
        </w:rPr>
        <w:fldChar w:fldCharType="begin"/>
      </w:r>
      <w:r>
        <w:rPr>
          <w:color w:val="auto"/>
        </w:rPr>
        <w:instrText xml:space="preserve"> PAGEREF _Toc202710775 \h </w:instrText>
      </w:r>
      <w:r>
        <w:rPr>
          <w:color w:val="auto"/>
        </w:rPr>
        <w:fldChar w:fldCharType="separate"/>
      </w:r>
      <w:r>
        <w:rPr>
          <w:color w:val="auto"/>
        </w:rPr>
        <w:t>25</w:t>
      </w:r>
      <w:r>
        <w:rPr>
          <w:color w:val="auto"/>
        </w:rPr>
        <w:fldChar w:fldCharType="end"/>
      </w:r>
      <w:r>
        <w:rPr>
          <w:color w:val="auto"/>
        </w:rPr>
        <w:fldChar w:fldCharType="end"/>
      </w:r>
    </w:p>
    <w:p>
      <w:pPr>
        <w:pStyle w:val="13"/>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"_Toc202710776" </w:instrText>
      </w:r>
      <w:r>
        <w:rPr>
          <w:color w:val="auto"/>
        </w:rPr>
        <w:fldChar w:fldCharType="separate"/>
      </w:r>
      <w:r>
        <w:rPr>
          <w:rStyle w:val="20"/>
          <w:rFonts w:ascii="宋体" w:hAnsi="宋体" w:cs="仿宋_GB2312"/>
          <w:color w:val="auto"/>
          <w:kern w:val="36"/>
          <w:lang w:eastAsia="zh-CN"/>
        </w:rPr>
        <w:t>8</w:t>
      </w:r>
      <w:r>
        <w:rPr>
          <w:rStyle w:val="20"/>
          <w:rFonts w:hint="eastAsia" w:ascii="宋体" w:hAnsi="宋体" w:cs="仿宋_GB2312"/>
          <w:color w:val="auto"/>
          <w:kern w:val="36"/>
          <w:lang w:eastAsia="zh-CN"/>
        </w:rPr>
        <w:t>其他要求</w:t>
      </w:r>
      <w:r>
        <w:rPr>
          <w:color w:val="auto"/>
        </w:rPr>
        <w:tab/>
      </w:r>
      <w:r>
        <w:rPr>
          <w:color w:val="auto"/>
        </w:rPr>
        <w:fldChar w:fldCharType="begin"/>
      </w:r>
      <w:r>
        <w:rPr>
          <w:color w:val="auto"/>
        </w:rPr>
        <w:instrText xml:space="preserve"> PAGEREF _Toc202710776 \h </w:instrText>
      </w:r>
      <w:r>
        <w:rPr>
          <w:color w:val="auto"/>
        </w:rPr>
        <w:fldChar w:fldCharType="separate"/>
      </w:r>
      <w:r>
        <w:rPr>
          <w:color w:val="auto"/>
        </w:rPr>
        <w:t>27</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"_Toc202710777" </w:instrText>
      </w:r>
      <w:r>
        <w:rPr>
          <w:color w:val="auto"/>
        </w:rPr>
        <w:fldChar w:fldCharType="separate"/>
      </w:r>
      <w:r>
        <w:rPr>
          <w:rStyle w:val="20"/>
          <w:rFonts w:ascii="宋体" w:hAnsi="宋体" w:cs="仿宋_GB2312"/>
          <w:color w:val="auto"/>
          <w:lang w:eastAsia="zh-CN"/>
        </w:rPr>
        <w:t>8.1</w:t>
      </w:r>
      <w:r>
        <w:rPr>
          <w:rStyle w:val="20"/>
          <w:rFonts w:hint="eastAsia" w:ascii="宋体" w:hAnsi="宋体" w:cs="仿宋_GB2312"/>
          <w:color w:val="auto"/>
          <w:lang w:eastAsia="zh-CN"/>
        </w:rPr>
        <w:t>付款安排</w:t>
      </w:r>
      <w:r>
        <w:rPr>
          <w:color w:val="auto"/>
        </w:rPr>
        <w:tab/>
      </w:r>
      <w:r>
        <w:rPr>
          <w:color w:val="auto"/>
        </w:rPr>
        <w:fldChar w:fldCharType="begin"/>
      </w:r>
      <w:r>
        <w:rPr>
          <w:color w:val="auto"/>
        </w:rPr>
        <w:instrText xml:space="preserve"> PAGEREF _Toc202710777 \h </w:instrText>
      </w:r>
      <w:r>
        <w:rPr>
          <w:color w:val="auto"/>
        </w:rPr>
        <w:fldChar w:fldCharType="separate"/>
      </w:r>
      <w:r>
        <w:rPr>
          <w:color w:val="auto"/>
        </w:rPr>
        <w:t>27</w:t>
      </w:r>
      <w:r>
        <w:rPr>
          <w:color w:val="auto"/>
        </w:rPr>
        <w:fldChar w:fldCharType="end"/>
      </w:r>
      <w:r>
        <w:rPr>
          <w:color w:val="auto"/>
        </w:rPr>
        <w:fldChar w:fldCharType="end"/>
      </w:r>
    </w:p>
    <w:p>
      <w:pPr>
        <w:pStyle w:val="14"/>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"_Toc202710778" </w:instrText>
      </w:r>
      <w:r>
        <w:rPr>
          <w:color w:val="auto"/>
        </w:rPr>
        <w:fldChar w:fldCharType="separate"/>
      </w:r>
      <w:r>
        <w:rPr>
          <w:rStyle w:val="20"/>
          <w:rFonts w:ascii="宋体" w:hAnsi="宋体" w:cs="仿宋_GB2312"/>
          <w:color w:val="auto"/>
          <w:lang w:eastAsia="zh-CN"/>
        </w:rPr>
        <w:t>8.2</w:t>
      </w:r>
      <w:r>
        <w:rPr>
          <w:rStyle w:val="20"/>
          <w:rFonts w:hint="eastAsia" w:ascii="宋体" w:hAnsi="宋体" w:cs="仿宋_GB2312"/>
          <w:color w:val="auto"/>
          <w:lang w:eastAsia="zh-CN"/>
        </w:rPr>
        <w:t>其他要求</w:t>
      </w:r>
      <w:r>
        <w:rPr>
          <w:color w:val="auto"/>
        </w:rPr>
        <w:tab/>
      </w:r>
      <w:r>
        <w:rPr>
          <w:color w:val="auto"/>
        </w:rPr>
        <w:fldChar w:fldCharType="begin"/>
      </w:r>
      <w:r>
        <w:rPr>
          <w:color w:val="auto"/>
        </w:rPr>
        <w:instrText xml:space="preserve"> PAGEREF _Toc202710778 \h </w:instrText>
      </w:r>
      <w:r>
        <w:rPr>
          <w:color w:val="auto"/>
        </w:rPr>
        <w:fldChar w:fldCharType="separate"/>
      </w:r>
      <w:r>
        <w:rPr>
          <w:color w:val="auto"/>
        </w:rPr>
        <w:t>27</w:t>
      </w:r>
      <w:r>
        <w:rPr>
          <w:color w:val="auto"/>
        </w:rPr>
        <w:fldChar w:fldCharType="end"/>
      </w:r>
      <w:r>
        <w:rPr>
          <w:color w:val="auto"/>
        </w:rPr>
        <w:fldChar w:fldCharType="end"/>
      </w:r>
    </w:p>
    <w:p>
      <w:pPr>
        <w:pStyle w:val="9"/>
        <w:tabs>
          <w:tab w:val="right" w:leader="dot" w:pos="9016"/>
        </w:tabs>
        <w:rPr>
          <w:rFonts w:ascii="Calibri" w:hAnsi="Calibri"/>
          <w:color w:val="auto"/>
          <w:kern w:val="2"/>
          <w:sz w:val="21"/>
          <w:szCs w:val="22"/>
          <w:lang w:eastAsia="zh-CN"/>
        </w:rPr>
      </w:pPr>
      <w:r>
        <w:rPr>
          <w:color w:val="auto"/>
        </w:rPr>
        <w:fldChar w:fldCharType="begin"/>
      </w:r>
      <w:r>
        <w:rPr>
          <w:color w:val="auto"/>
        </w:rPr>
        <w:instrText xml:space="preserve"> HYPERLINK \l "_Toc202710779" </w:instrText>
      </w:r>
      <w:r>
        <w:rPr>
          <w:color w:val="auto"/>
        </w:rPr>
        <w:fldChar w:fldCharType="separate"/>
      </w:r>
      <w:r>
        <w:rPr>
          <w:rStyle w:val="20"/>
          <w:rFonts w:ascii="宋体" w:hAnsi="宋体" w:cs="仿宋_GB2312"/>
          <w:color w:val="auto"/>
          <w:lang w:eastAsia="zh-CN"/>
        </w:rPr>
        <w:t>8.2.1</w:t>
      </w:r>
      <w:r>
        <w:rPr>
          <w:rStyle w:val="20"/>
          <w:rFonts w:hint="eastAsia" w:ascii="宋体" w:hAnsi="宋体" w:cs="仿宋_GB2312"/>
          <w:color w:val="auto"/>
          <w:lang w:eastAsia="zh-CN"/>
        </w:rPr>
        <w:t>需要说明的其他事项</w:t>
      </w:r>
      <w:r>
        <w:rPr>
          <w:color w:val="auto"/>
        </w:rPr>
        <w:tab/>
      </w:r>
      <w:r>
        <w:rPr>
          <w:color w:val="auto"/>
        </w:rPr>
        <w:fldChar w:fldCharType="begin"/>
      </w:r>
      <w:r>
        <w:rPr>
          <w:color w:val="auto"/>
        </w:rPr>
        <w:instrText xml:space="preserve"> PAGEREF _Toc202710779 \h </w:instrText>
      </w:r>
      <w:r>
        <w:rPr>
          <w:color w:val="auto"/>
        </w:rPr>
        <w:fldChar w:fldCharType="separate"/>
      </w:r>
      <w:r>
        <w:rPr>
          <w:color w:val="auto"/>
        </w:rPr>
        <w:t>27</w:t>
      </w:r>
      <w:r>
        <w:rPr>
          <w:color w:val="auto"/>
        </w:rPr>
        <w:fldChar w:fldCharType="end"/>
      </w:r>
      <w:r>
        <w:rPr>
          <w:color w:val="auto"/>
        </w:rPr>
        <w:fldChar w:fldCharType="end"/>
      </w:r>
    </w:p>
    <w:p>
      <w:pPr>
        <w:pStyle w:val="3"/>
        <w:keepNext w:val="0"/>
        <w:spacing w:before="0" w:after="0" w:line="300" w:lineRule="auto"/>
        <w:jc w:val="center"/>
        <w:rPr>
          <w:rFonts w:ascii="宋体" w:hAnsi="宋体" w:cs="仿宋_GB2312"/>
          <w:color w:val="auto"/>
          <w:kern w:val="36"/>
          <w:sz w:val="28"/>
          <w:szCs w:val="28"/>
          <w:lang w:eastAsia="zh-CN"/>
        </w:rPr>
      </w:pPr>
      <w:r>
        <w:rPr>
          <w:rFonts w:ascii="宋体" w:hAnsi="宋体" w:cs="宋体"/>
          <w:color w:val="auto"/>
          <w:sz w:val="21"/>
          <w:szCs w:val="21"/>
        </w:rPr>
        <w:fldChar w:fldCharType="end"/>
      </w:r>
      <w:r>
        <w:rPr>
          <w:rFonts w:ascii="宋体" w:hAnsi="宋体"/>
          <w:color w:val="auto"/>
          <w:sz w:val="21"/>
          <w:szCs w:val="21"/>
          <w:lang w:eastAsia="zh-CN"/>
        </w:rPr>
        <w:br w:type="page"/>
      </w:r>
      <w:bookmarkStart w:id="0" w:name="_Toc202710750"/>
      <w:r>
        <w:rPr>
          <w:rFonts w:ascii="宋体" w:hAnsi="宋体" w:cs="仿宋_GB2312"/>
          <w:color w:val="auto"/>
          <w:kern w:val="36"/>
          <w:sz w:val="28"/>
          <w:szCs w:val="28"/>
          <w:lang w:eastAsia="zh-CN"/>
        </w:rPr>
        <w:t>1项目概述</w:t>
      </w:r>
      <w:bookmarkEnd w:id="0"/>
    </w:p>
    <w:p>
      <w:pPr>
        <w:pStyle w:val="4"/>
        <w:keepNext w:val="0"/>
        <w:spacing w:before="0" w:after="0" w:line="300" w:lineRule="auto"/>
        <w:rPr>
          <w:rFonts w:ascii="宋体" w:hAnsi="宋体" w:cs="仿宋_GB2312"/>
          <w:color w:val="auto"/>
          <w:sz w:val="21"/>
          <w:szCs w:val="21"/>
          <w:lang w:eastAsia="zh-CN"/>
        </w:rPr>
      </w:pPr>
      <w:bookmarkStart w:id="1" w:name="_Toc202710751"/>
      <w:r>
        <w:rPr>
          <w:rFonts w:ascii="宋体" w:hAnsi="宋体" w:cs="仿宋_GB2312"/>
          <w:i w:val="0"/>
          <w:iCs w:val="0"/>
          <w:color w:val="auto"/>
          <w:sz w:val="21"/>
          <w:szCs w:val="21"/>
          <w:lang w:eastAsia="zh-CN"/>
        </w:rPr>
        <w:t>1.1项目背景</w:t>
      </w:r>
      <w:bookmarkEnd w:id="1"/>
    </w:p>
    <w:p>
      <w:pPr>
        <w:pStyle w:val="5"/>
        <w:keepNext w:val="0"/>
        <w:spacing w:before="0" w:after="0" w:line="300" w:lineRule="auto"/>
        <w:rPr>
          <w:rFonts w:ascii="宋体" w:hAnsi="宋体" w:cs="仿宋_GB2312"/>
          <w:color w:val="auto"/>
          <w:sz w:val="21"/>
          <w:szCs w:val="21"/>
          <w:lang w:eastAsia="zh-CN"/>
        </w:rPr>
      </w:pPr>
      <w:bookmarkStart w:id="2" w:name="_Toc202710752"/>
      <w:r>
        <w:rPr>
          <w:rFonts w:ascii="宋体" w:hAnsi="宋体" w:cs="仿宋_GB2312"/>
          <w:color w:val="auto"/>
          <w:sz w:val="21"/>
          <w:szCs w:val="21"/>
          <w:lang w:eastAsia="zh-CN"/>
        </w:rPr>
        <w:t>1.1.1项目基本情况</w:t>
      </w:r>
      <w:bookmarkEnd w:id="2"/>
    </w:p>
    <w:p>
      <w:pPr>
        <w:widowControl w:val="0"/>
        <w:spacing w:line="300" w:lineRule="auto"/>
        <w:jc w:val="both"/>
        <w:rPr>
          <w:rFonts w:ascii="宋体" w:hAnsi="宋体" w:cs="Calibri"/>
          <w:b/>
          <w:bCs/>
          <w:color w:val="auto"/>
          <w:sz w:val="21"/>
          <w:szCs w:val="21"/>
          <w:lang w:eastAsia="zh-CN"/>
        </w:rPr>
      </w:pPr>
      <w:r>
        <w:rPr>
          <w:rFonts w:hint="eastAsia" w:ascii="宋体" w:hAnsi="宋体" w:cs="Calibri"/>
          <w:b/>
          <w:bCs/>
          <w:color w:val="auto"/>
          <w:sz w:val="21"/>
          <w:szCs w:val="21"/>
          <w:lang w:eastAsia="zh-CN"/>
        </w:rPr>
        <w:t>1.1.1.1</w:t>
      </w:r>
      <w:r>
        <w:rPr>
          <w:rFonts w:ascii="宋体" w:hAnsi="宋体" w:cs="Calibri"/>
          <w:b/>
          <w:bCs/>
          <w:color w:val="auto"/>
          <w:sz w:val="21"/>
          <w:szCs w:val="21"/>
          <w:lang w:eastAsia="zh-CN"/>
        </w:rPr>
        <w:t>物业情况</w:t>
      </w:r>
    </w:p>
    <w:tbl>
      <w:tblPr>
        <w:tblStyle w:val="17"/>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88"/>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序号</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宋体"/>
                <w:color w:val="auto"/>
                <w:kern w:val="2"/>
                <w:sz w:val="21"/>
                <w:szCs w:val="21"/>
              </w:rPr>
              <w:t>物业名称</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宋体"/>
                <w:color w:val="auto"/>
                <w:kern w:val="2"/>
                <w:sz w:val="21"/>
                <w:szCs w:val="21"/>
              </w:rPr>
              <w:t>目前物业地址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局本部</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北石路579号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2</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七、十一、十二所办公点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北石路631号13楼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3</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一所办公点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同普路602号2楼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4</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十七所办公点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真南路2125号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5</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十八所办公点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真光路798弄49号3-5楼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6</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三所办公点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碌曲路100、124号2楼（部分）、4楼（部分）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7</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云岭西路仓库</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云岭西路356弄7号3楼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8</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桃浦西路仓库</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桃浦西路2号仓库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9</w:t>
            </w:r>
          </w:p>
        </w:tc>
        <w:tc>
          <w:tcPr>
            <w:tcW w:w="32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十四、十九所办公点</w:t>
            </w:r>
          </w:p>
        </w:tc>
        <w:tc>
          <w:tcPr>
            <w:tcW w:w="51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bCs/>
                <w:color w:val="auto"/>
                <w:kern w:val="2"/>
                <w:sz w:val="22"/>
                <w:szCs w:val="22"/>
                <w:lang w:eastAsia="zh-CN"/>
              </w:rPr>
              <w:t>同普路1220号（千阳路220号）1-2楼</w:t>
            </w:r>
          </w:p>
        </w:tc>
      </w:tr>
    </w:tbl>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本项目首年采购预算为566.</w:t>
      </w:r>
      <w:r>
        <w:rPr>
          <w:rFonts w:hint="eastAsia" w:ascii="宋体" w:hAnsi="宋体" w:cs="Calibri"/>
          <w:color w:val="auto"/>
          <w:sz w:val="21"/>
          <w:szCs w:val="21"/>
          <w:lang w:val="en-US" w:eastAsia="zh-CN"/>
        </w:rPr>
        <w:t>3045</w:t>
      </w:r>
      <w:r>
        <w:rPr>
          <w:rFonts w:hint="eastAsia" w:ascii="宋体" w:hAnsi="宋体" w:cs="Calibri"/>
          <w:color w:val="auto"/>
          <w:sz w:val="21"/>
          <w:szCs w:val="21"/>
          <w:lang w:eastAsia="zh-CN"/>
        </w:rPr>
        <w:t>万元人民币。</w:t>
      </w:r>
    </w:p>
    <w:p>
      <w:pPr>
        <w:widowControl w:val="0"/>
        <w:spacing w:line="300" w:lineRule="auto"/>
        <w:jc w:val="both"/>
        <w:rPr>
          <w:rFonts w:ascii="宋体" w:hAnsi="宋体" w:cs="Calibri"/>
          <w:b/>
          <w:bCs/>
          <w:color w:val="auto"/>
          <w:sz w:val="21"/>
          <w:szCs w:val="21"/>
          <w:lang w:eastAsia="zh-CN"/>
        </w:rPr>
      </w:pPr>
      <w:r>
        <w:rPr>
          <w:rFonts w:hint="eastAsia" w:ascii="宋体" w:hAnsi="宋体" w:cs="Calibri"/>
          <w:b/>
          <w:bCs/>
          <w:color w:val="auto"/>
          <w:sz w:val="21"/>
          <w:szCs w:val="21"/>
          <w:lang w:eastAsia="zh-CN"/>
        </w:rPr>
        <w:t>1.1.1.2采购人提供供应商使用的场地、设施、设备、材料等</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（1）</w:t>
      </w:r>
      <w:r>
        <w:rPr>
          <w:rFonts w:hint="eastAsia" w:ascii="宋体" w:hAnsi="宋体"/>
          <w:color w:val="auto"/>
          <w:sz w:val="21"/>
          <w:szCs w:val="21"/>
          <w:lang w:eastAsia="zh-CN"/>
        </w:rPr>
        <w:t>采购人提供普陀区税务局物业管理用房面积230平方米，其中办公房2间、门卫室5间、监控室1间、休息室6间、仓库3间，可用设施设备包括办公桌椅、空调等基本办公家具，所需其他设备由供应商自行解决；</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（2）供应商服务人员就餐自行解决；</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（3）采购人不提供住宿；</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（4）采购人可提供的零星维修材料、低值易耗品、苗木、客耗品见“</w:t>
      </w:r>
      <w:r>
        <w:rPr>
          <w:rFonts w:ascii="宋体" w:hAnsi="宋体" w:cs="Calibri"/>
          <w:color w:val="auto"/>
          <w:sz w:val="21"/>
          <w:szCs w:val="21"/>
          <w:lang w:eastAsia="zh-CN"/>
        </w:rPr>
        <w:t>8.2.1</w:t>
      </w:r>
      <w:r>
        <w:rPr>
          <w:rFonts w:hint="eastAsia" w:ascii="宋体" w:hAnsi="宋体" w:cs="Calibri"/>
          <w:color w:val="auto"/>
          <w:sz w:val="21"/>
          <w:szCs w:val="21"/>
          <w:lang w:eastAsia="zh-CN"/>
        </w:rPr>
        <w:t>需要说明的其他事项”。</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供应商应当承担除以上所列场地、设施、设备、材料外，与物业管理服务有关的其他设施、设备、材料等。</w:t>
      </w:r>
    </w:p>
    <w:p>
      <w:pPr>
        <w:pStyle w:val="4"/>
        <w:keepNext w:val="0"/>
        <w:spacing w:before="0" w:after="0" w:line="300" w:lineRule="auto"/>
        <w:rPr>
          <w:rFonts w:ascii="宋体" w:hAnsi="宋体" w:cs="仿宋_GB2312"/>
          <w:color w:val="auto"/>
          <w:sz w:val="21"/>
          <w:szCs w:val="21"/>
          <w:lang w:eastAsia="zh-CN"/>
        </w:rPr>
      </w:pPr>
      <w:bookmarkStart w:id="3" w:name="_Toc202710753"/>
      <w:r>
        <w:rPr>
          <w:rFonts w:ascii="宋体" w:hAnsi="宋体" w:cs="仿宋_GB2312"/>
          <w:i w:val="0"/>
          <w:iCs w:val="0"/>
          <w:color w:val="auto"/>
          <w:sz w:val="21"/>
          <w:szCs w:val="21"/>
          <w:lang w:eastAsia="zh-CN"/>
        </w:rPr>
        <w:t>1.2项目内容</w:t>
      </w:r>
      <w:bookmarkEnd w:id="3"/>
    </w:p>
    <w:p>
      <w:pPr>
        <w:pStyle w:val="5"/>
        <w:keepNext w:val="0"/>
        <w:spacing w:before="0" w:after="0" w:line="300" w:lineRule="auto"/>
        <w:rPr>
          <w:rFonts w:ascii="宋体" w:hAnsi="宋体" w:cs="仿宋_GB2312"/>
          <w:color w:val="auto"/>
          <w:sz w:val="21"/>
          <w:szCs w:val="21"/>
          <w:lang w:eastAsia="zh-CN"/>
        </w:rPr>
      </w:pPr>
      <w:bookmarkStart w:id="4" w:name="_Toc202710754"/>
      <w:r>
        <w:rPr>
          <w:rFonts w:ascii="宋体" w:hAnsi="宋体" w:cs="仿宋_GB2312"/>
          <w:color w:val="auto"/>
          <w:sz w:val="21"/>
          <w:szCs w:val="21"/>
          <w:lang w:eastAsia="zh-CN"/>
        </w:rPr>
        <w:t>1.2.1采购内容</w:t>
      </w:r>
      <w:bookmarkEnd w:id="4"/>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物业管理服务包括基本服务、房屋维护服务、公用设施设备维护服务、保洁服务、绿化服务、保安服务、会议服务</w:t>
      </w:r>
      <w:r>
        <w:rPr>
          <w:rFonts w:hint="eastAsia" w:ascii="宋体" w:hAnsi="宋体"/>
          <w:color w:val="auto"/>
          <w:sz w:val="21"/>
          <w:szCs w:val="21"/>
          <w:lang w:eastAsia="zh-CN"/>
        </w:rPr>
        <w:t>、文印服务</w:t>
      </w:r>
      <w:r>
        <w:rPr>
          <w:rFonts w:ascii="宋体" w:hAnsi="宋体"/>
          <w:color w:val="auto"/>
          <w:sz w:val="21"/>
          <w:szCs w:val="21"/>
          <w:lang w:eastAsia="zh-CN"/>
        </w:rPr>
        <w:t>等。</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其中局本部办公点需提供全部物业管理服务。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七</w:t>
      </w:r>
      <w:r>
        <w:rPr>
          <w:rFonts w:hint="eastAsia" w:ascii="宋体" w:hAnsi="宋体"/>
          <w:color w:val="auto"/>
          <w:sz w:val="21"/>
          <w:szCs w:val="21"/>
          <w:lang w:eastAsia="zh-CN"/>
        </w:rPr>
        <w:t>、</w:t>
      </w:r>
      <w:r>
        <w:rPr>
          <w:rFonts w:ascii="宋体" w:hAnsi="宋体"/>
          <w:color w:val="auto"/>
          <w:sz w:val="21"/>
          <w:szCs w:val="21"/>
          <w:lang w:eastAsia="zh-CN"/>
        </w:rPr>
        <w:t>十一</w:t>
      </w:r>
      <w:r>
        <w:rPr>
          <w:rFonts w:hint="eastAsia" w:ascii="宋体" w:hAnsi="宋体"/>
          <w:color w:val="auto"/>
          <w:sz w:val="21"/>
          <w:szCs w:val="21"/>
          <w:lang w:eastAsia="zh-CN"/>
        </w:rPr>
        <w:t>、</w:t>
      </w:r>
      <w:r>
        <w:rPr>
          <w:rFonts w:ascii="宋体" w:hAnsi="宋体"/>
          <w:color w:val="auto"/>
          <w:sz w:val="21"/>
          <w:szCs w:val="21"/>
          <w:lang w:eastAsia="zh-CN"/>
        </w:rPr>
        <w:t>十二所办公点仅需提供基本服务、房屋维修服务、公用设施设备维护服务、绿化服务。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一所办公点仅需提供基本服务、房屋维修服务、公用设施设备维护服务、保安服务。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十七所办公点仅需提供基本服务、房屋维修服务、公用设施设备维护服务、保洁服务、绿化服务、保安服务。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十八所办公点仅需提供基本服务、公用设施设备维护服务。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三所办公点仅需提供基本服务、保安服务。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云岭西路仓库办公点仅需提供基本服务公用设施设备维护服务、保安服务。</w:t>
      </w:r>
    </w:p>
    <w:p>
      <w:pPr>
        <w:widowControl w:val="0"/>
        <w:spacing w:line="300" w:lineRule="auto"/>
        <w:ind w:firstLine="420" w:firstLineChars="200"/>
        <w:jc w:val="both"/>
        <w:rPr>
          <w:rFonts w:ascii="宋体" w:hAnsi="宋体"/>
          <w:color w:val="auto"/>
          <w:sz w:val="21"/>
          <w:szCs w:val="21"/>
          <w:lang w:eastAsia="zh-CN"/>
        </w:rPr>
      </w:pPr>
      <w:r>
        <w:rPr>
          <w:rFonts w:ascii="宋体" w:hAnsi="宋体"/>
          <w:color w:val="auto"/>
          <w:sz w:val="21"/>
          <w:szCs w:val="21"/>
          <w:lang w:eastAsia="zh-CN"/>
        </w:rPr>
        <w:t>桃浦西路仓库办公点仅需提供基本服务公用设施设备维护服务、保安服务。</w:t>
      </w:r>
    </w:p>
    <w:p>
      <w:pPr>
        <w:widowControl w:val="0"/>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十四、</w:t>
      </w:r>
      <w:r>
        <w:rPr>
          <w:rFonts w:ascii="宋体" w:hAnsi="宋体"/>
          <w:color w:val="auto"/>
          <w:sz w:val="21"/>
          <w:szCs w:val="21"/>
          <w:lang w:eastAsia="zh-CN"/>
        </w:rPr>
        <w:t>十九所办公点仅需提供基本服务、房屋维修服务、公用设施设备维护服务、保洁服务、绿化服务、保安服务。</w:t>
      </w:r>
    </w:p>
    <w:p>
      <w:pPr>
        <w:pStyle w:val="5"/>
        <w:keepNext w:val="0"/>
        <w:spacing w:before="0" w:after="0" w:line="300" w:lineRule="auto"/>
        <w:rPr>
          <w:rFonts w:ascii="宋体" w:hAnsi="宋体" w:cs="仿宋_GB2312"/>
          <w:color w:val="auto"/>
          <w:sz w:val="21"/>
          <w:szCs w:val="21"/>
          <w:lang w:eastAsia="zh-CN"/>
        </w:rPr>
      </w:pPr>
      <w:bookmarkStart w:id="5" w:name="_Toc202710755"/>
      <w:r>
        <w:rPr>
          <w:rFonts w:ascii="宋体" w:hAnsi="宋体" w:cs="仿宋_GB2312"/>
          <w:color w:val="auto"/>
          <w:sz w:val="21"/>
          <w:szCs w:val="21"/>
          <w:lang w:eastAsia="zh-CN"/>
        </w:rPr>
        <w:t>1.2.2项目实施要求</w:t>
      </w:r>
      <w:bookmarkEnd w:id="5"/>
    </w:p>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1.2.2.1实施范围要求</w:t>
      </w:r>
    </w:p>
    <w:p>
      <w:pPr>
        <w:widowControl w:val="0"/>
        <w:spacing w:line="300" w:lineRule="auto"/>
        <w:jc w:val="both"/>
        <w:rPr>
          <w:rFonts w:ascii="宋体" w:hAnsi="宋体" w:cs="Calibri"/>
          <w:b/>
          <w:bCs/>
          <w:color w:val="auto"/>
          <w:sz w:val="21"/>
          <w:szCs w:val="21"/>
          <w:lang w:eastAsia="zh-CN"/>
        </w:rPr>
      </w:pPr>
      <w:bookmarkStart w:id="6" w:name="_Toc5112"/>
      <w:bookmarkStart w:id="7" w:name="_Toc2486"/>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1【局本部】</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407"/>
        <w:gridCol w:w="3412"/>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49"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49"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普陀区税务局本部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办公楼，共五层</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总面积</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建筑面积</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9250平方米</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需保洁面积</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9250平方米</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瓷砖、石材、水磨石、地板</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乳胶漆、墙纸、木饰面、石材、金属板</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r>
              <w:rPr>
                <w:rFonts w:ascii="宋体" w:hAnsi="宋体" w:cs="Calibri"/>
                <w:color w:val="auto"/>
                <w:kern w:val="2"/>
                <w:sz w:val="21"/>
                <w:szCs w:val="21"/>
              </w:rPr>
              <w:t>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乳胶漆、格栅、石膏板</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外墙</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外墙材质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普通涂料、干挂石材</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玻璃幕墙</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外墙</w:t>
            </w:r>
            <w:r>
              <w:rPr>
                <w:rFonts w:ascii="宋体" w:hAnsi="宋体" w:cs="Calibri"/>
                <w:color w:val="auto"/>
                <w:kern w:val="2"/>
                <w:sz w:val="21"/>
                <w:szCs w:val="21"/>
              </w:rPr>
              <w:t>需</w:t>
            </w:r>
            <w:r>
              <w:rPr>
                <w:rFonts w:hint="eastAsia" w:ascii="宋体" w:hAnsi="宋体" w:cs="Calibri"/>
                <w:color w:val="auto"/>
                <w:kern w:val="2"/>
                <w:sz w:val="21"/>
                <w:szCs w:val="21"/>
              </w:rPr>
              <w:t>清洗面积</w:t>
            </w:r>
          </w:p>
        </w:tc>
        <w:tc>
          <w:tcPr>
            <w:tcW w:w="3412"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无</w:t>
            </w:r>
          </w:p>
        </w:tc>
        <w:tc>
          <w:tcPr>
            <w:tcW w:w="3281"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会议室</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室内设施说明</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color w:val="auto"/>
                <w:kern w:val="2"/>
                <w:sz w:val="21"/>
                <w:szCs w:val="21"/>
                <w:lang w:eastAsia="zh-CN"/>
              </w:rPr>
            </w:pPr>
            <w:r>
              <w:rPr>
                <w:rFonts w:hint="eastAsia" w:ascii="宋体" w:hAnsi="宋体" w:cs="Calibri"/>
                <w:color w:val="auto"/>
                <w:kern w:val="2"/>
                <w:sz w:val="21"/>
                <w:szCs w:val="21"/>
                <w:lang w:eastAsia="zh-CN"/>
              </w:rPr>
              <w:t>（1）523会议室：大会议桌1张，小桌约6张</w:t>
            </w:r>
            <w:r>
              <w:rPr>
                <w:rFonts w:hint="eastAsia"/>
                <w:color w:val="auto"/>
                <w:kern w:val="2"/>
                <w:sz w:val="21"/>
                <w:szCs w:val="21"/>
                <w:lang w:eastAsia="zh-CN"/>
              </w:rPr>
              <w:t>，会议椅</w:t>
            </w:r>
            <w:r>
              <w:rPr>
                <w:rFonts w:hint="eastAsia" w:ascii="宋体" w:hAnsi="宋体" w:cs="Calibri"/>
                <w:color w:val="auto"/>
                <w:kern w:val="2"/>
                <w:sz w:val="21"/>
                <w:szCs w:val="21"/>
                <w:lang w:eastAsia="zh-CN"/>
              </w:rPr>
              <w:t>30</w:t>
            </w:r>
            <w:r>
              <w:rPr>
                <w:rFonts w:hint="eastAsia"/>
                <w:color w:val="auto"/>
                <w:kern w:val="2"/>
                <w:sz w:val="21"/>
                <w:szCs w:val="21"/>
                <w:lang w:eastAsia="zh-CN"/>
              </w:rPr>
              <w:t>把；</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（2）520会议室：大会议桌1张，会议椅15把；</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（3）429会议室：大会议桌1张，会议椅20把；</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（4）301会议室：小会议室桌约34张，会议椅80把；</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（5）227会议：大会议室桌1张，会议椅30把。</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会议室数量及总面积</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会议室数量5个，总面积510平方米。</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见“3.2.4保洁服务”“3.2.7会议服务”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卫生间数量</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男女卫生间各9个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垃圾存放点</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各垃圾存放点</w:t>
            </w:r>
            <w:r>
              <w:rPr>
                <w:rFonts w:hint="eastAsia" w:ascii="宋体" w:hAnsi="宋体" w:cs="Calibri"/>
                <w:color w:val="auto"/>
                <w:kern w:val="2"/>
                <w:sz w:val="21"/>
                <w:szCs w:val="21"/>
                <w:lang w:eastAsia="zh-CN"/>
              </w:rPr>
              <w:t>数量</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color w:val="auto"/>
                <w:kern w:val="2"/>
                <w:lang w:eastAsia="zh-CN"/>
              </w:rPr>
            </w:pPr>
            <w:r>
              <w:rPr>
                <w:rFonts w:hint="eastAsia" w:ascii="宋体" w:hAnsi="宋体" w:cs="Calibri"/>
                <w:color w:val="auto"/>
                <w:kern w:val="2"/>
                <w:sz w:val="21"/>
                <w:szCs w:val="21"/>
                <w:lang w:eastAsia="zh-CN"/>
              </w:rPr>
              <w:t>14处</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（1）1-5楼走廊两端；</w:t>
            </w:r>
          </w:p>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（2）1-5楼消防通道电梯口</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车位</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地面车位数</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28个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车行/人行口</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车行</w:t>
            </w:r>
            <w:r>
              <w:rPr>
                <w:rFonts w:hint="eastAsia" w:ascii="宋体" w:hAnsi="宋体" w:cs="Calibri"/>
                <w:color w:val="auto"/>
                <w:kern w:val="2"/>
                <w:sz w:val="21"/>
                <w:szCs w:val="21"/>
              </w:rPr>
              <w:t>口</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人行口</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设施设备</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电梯</w:t>
            </w:r>
            <w:r>
              <w:rPr>
                <w:rFonts w:hint="eastAsia" w:ascii="宋体" w:hAnsi="宋体" w:cs="Calibri"/>
                <w:color w:val="auto"/>
                <w:kern w:val="2"/>
                <w:sz w:val="21"/>
                <w:szCs w:val="21"/>
              </w:rPr>
              <w:t>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客梯3台，功率均为7.9KW</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消防</w:t>
            </w:r>
            <w:r>
              <w:rPr>
                <w:rFonts w:hint="eastAsia" w:ascii="宋体" w:hAnsi="宋体" w:cs="Calibri"/>
                <w:color w:val="auto"/>
                <w:kern w:val="2"/>
                <w:sz w:val="21"/>
                <w:szCs w:val="21"/>
              </w:rPr>
              <w:t>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10附表（1）</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给排水系统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雨水井4个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供配电系统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低压柜10个，总功率600KW</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监控系统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监控室1间，共93路监控</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照明系统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筒灯、灯管</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bl>
    <w:p>
      <w:pPr>
        <w:widowControl w:val="0"/>
        <w:spacing w:line="300" w:lineRule="auto"/>
        <w:ind w:firstLine="420" w:firstLineChars="200"/>
        <w:jc w:val="both"/>
        <w:rPr>
          <w:rFonts w:ascii="宋体" w:hAnsi="宋体" w:cs="Calibri"/>
          <w:color w:val="auto"/>
          <w:sz w:val="21"/>
          <w:szCs w:val="21"/>
          <w:lang w:eastAsia="zh-CN"/>
        </w:rPr>
      </w:pPr>
    </w:p>
    <w:p>
      <w:pPr>
        <w:widowControl w:val="0"/>
        <w:spacing w:line="300" w:lineRule="auto"/>
        <w:jc w:val="both"/>
        <w:rPr>
          <w:rFonts w:ascii="宋体" w:hAnsi="宋体" w:cs="Calibri"/>
          <w:color w:val="auto"/>
          <w:sz w:val="21"/>
          <w:szCs w:val="21"/>
          <w:lang w:eastAsia="zh-CN"/>
        </w:rPr>
      </w:pPr>
      <w:bookmarkStart w:id="8" w:name="OLE_LINK1"/>
      <w:bookmarkStart w:id="9" w:name="OLE_LINK2"/>
      <w:r>
        <w:rPr>
          <w:rFonts w:hint="eastAsia" w:ascii="宋体" w:hAnsi="宋体" w:cs="Calibri"/>
          <w:color w:val="auto"/>
          <w:sz w:val="21"/>
          <w:szCs w:val="21"/>
          <w:lang w:eastAsia="zh-CN"/>
        </w:rPr>
        <w:t>（2）物业管理（室外）</w:t>
      </w:r>
    </w:p>
    <w:bookmarkEnd w:id="8"/>
    <w:bookmarkEnd w:id="9"/>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03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038"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449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室外面积</w:t>
            </w:r>
          </w:p>
        </w:tc>
        <w:tc>
          <w:tcPr>
            <w:tcW w:w="303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1000平方米</w:t>
            </w:r>
          </w:p>
        </w:tc>
        <w:tc>
          <w:tcPr>
            <w:tcW w:w="449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见“3.2.4保洁服务”“3.2.6保安服务”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绿化</w:t>
            </w:r>
          </w:p>
        </w:tc>
        <w:tc>
          <w:tcPr>
            <w:tcW w:w="303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500平方米</w:t>
            </w:r>
          </w:p>
        </w:tc>
        <w:tc>
          <w:tcPr>
            <w:tcW w:w="449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见“3.2.4保洁服务”“3.2.5绿化服务”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71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露台</w:t>
            </w:r>
          </w:p>
        </w:tc>
        <w:tc>
          <w:tcPr>
            <w:tcW w:w="303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1800平方米</w:t>
            </w:r>
          </w:p>
        </w:tc>
        <w:tc>
          <w:tcPr>
            <w:tcW w:w="449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bl>
    <w:p>
      <w:pPr>
        <w:pStyle w:val="2"/>
        <w:spacing w:line="300" w:lineRule="auto"/>
        <w:jc w:val="both"/>
        <w:rPr>
          <w:rFonts w:hAnsi="宋体" w:cs="Calibri"/>
          <w:b/>
          <w:color w:val="auto"/>
        </w:rPr>
      </w:pP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2【</w:t>
      </w:r>
      <w:r>
        <w:rPr>
          <w:rFonts w:hint="eastAsia" w:ascii="宋体" w:hAnsi="宋体" w:cs="宋体"/>
          <w:b/>
          <w:bCs/>
          <w:color w:val="auto"/>
          <w:sz w:val="21"/>
          <w:szCs w:val="21"/>
          <w:lang w:eastAsia="zh-CN"/>
        </w:rPr>
        <w:t>七、十一、十二所办公点</w:t>
      </w:r>
      <w:r>
        <w:rPr>
          <w:rFonts w:hint="eastAsia" w:ascii="宋体" w:hAnsi="宋体" w:cs="Calibri"/>
          <w:b/>
          <w:bCs/>
          <w:color w:val="auto"/>
          <w:sz w:val="21"/>
          <w:szCs w:val="21"/>
          <w:lang w:eastAsia="zh-CN"/>
        </w:rPr>
        <w:t>】</w:t>
      </w:r>
    </w:p>
    <w:p>
      <w:pPr>
        <w:widowControl w:val="0"/>
        <w:spacing w:line="300" w:lineRule="auto"/>
        <w:ind w:firstLine="420" w:firstLineChars="200"/>
        <w:jc w:val="both"/>
        <w:rPr>
          <w:rFonts w:ascii="宋体" w:hAnsi="宋体" w:cs="Calibri"/>
          <w:color w:val="auto"/>
          <w:sz w:val="21"/>
          <w:szCs w:val="21"/>
          <w:lang w:eastAsia="zh-CN"/>
        </w:rPr>
      </w:pPr>
      <w:r>
        <w:rPr>
          <w:rFonts w:hint="eastAsia" w:ascii="宋体" w:hAnsi="宋体" w:cs="Calibri"/>
          <w:color w:val="auto"/>
          <w:sz w:val="21"/>
          <w:szCs w:val="21"/>
          <w:lang w:eastAsia="zh-CN"/>
        </w:rPr>
        <w:t>（1）物业管理（建筑物）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687"/>
        <w:gridCol w:w="3388"/>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七、十一、十二所办公点</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办公楼，一层</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总面积</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建筑面积</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1000平方米</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瓷砖、地板</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内墙饰面材质</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r>
              <w:rPr>
                <w:rFonts w:ascii="宋体" w:hAnsi="宋体" w:cs="Calibri"/>
                <w:color w:val="auto"/>
                <w:kern w:val="2"/>
                <w:sz w:val="21"/>
                <w:szCs w:val="21"/>
              </w:rPr>
              <w:t>材质</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乳胶漆、石膏板</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照明系统</w:t>
            </w:r>
          </w:p>
        </w:tc>
        <w:tc>
          <w:tcPr>
            <w:tcW w:w="33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筒灯、灯管</w:t>
            </w:r>
          </w:p>
        </w:tc>
        <w:tc>
          <w:tcPr>
            <w:tcW w:w="264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（2）物业管理（室外）</w:t>
      </w:r>
    </w:p>
    <w:p>
      <w:pPr>
        <w:widowControl w:val="0"/>
        <w:spacing w:line="300" w:lineRule="auto"/>
        <w:ind w:firstLine="420" w:firstLineChars="200"/>
        <w:jc w:val="both"/>
        <w:rPr>
          <w:rFonts w:ascii="宋体" w:hAnsi="宋体" w:cs="Times New Roman"/>
          <w:b w:val="0"/>
          <w:bCs w:val="0"/>
          <w:color w:val="auto"/>
          <w:sz w:val="21"/>
          <w:szCs w:val="21"/>
          <w:lang w:eastAsia="zh-CN"/>
        </w:rPr>
      </w:pPr>
      <w:r>
        <w:rPr>
          <w:rFonts w:hint="eastAsia" w:ascii="宋体" w:hAnsi="宋体" w:cs="Times New Roman"/>
          <w:b w:val="0"/>
          <w:bCs w:val="0"/>
          <w:color w:val="auto"/>
          <w:sz w:val="21"/>
          <w:szCs w:val="21"/>
          <w:lang w:eastAsia="zh-CN"/>
        </w:rPr>
        <w:t>无。</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3【</w:t>
      </w:r>
      <w:r>
        <w:rPr>
          <w:rFonts w:hint="eastAsia" w:ascii="宋体" w:hAnsi="宋体" w:cs="宋体"/>
          <w:b/>
          <w:bCs/>
          <w:color w:val="auto"/>
          <w:sz w:val="21"/>
          <w:szCs w:val="21"/>
          <w:lang w:eastAsia="zh-CN"/>
        </w:rPr>
        <w:t>一所办公点</w:t>
      </w:r>
      <w:r>
        <w:rPr>
          <w:rFonts w:hint="eastAsia" w:ascii="宋体" w:hAnsi="宋体" w:cs="Calibri"/>
          <w:b/>
          <w:bCs/>
          <w:color w:val="auto"/>
          <w:sz w:val="21"/>
          <w:szCs w:val="21"/>
          <w:lang w:eastAsia="zh-CN"/>
        </w:rPr>
        <w:t>】</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781"/>
        <w:gridCol w:w="259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一所办公点</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办公楼，一层</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总面积</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建筑面积</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3300平方米</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瓷砖、耐磨漆</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内墙饰面材质</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乳胶漆、墙纸、木饰面</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r>
              <w:rPr>
                <w:rFonts w:ascii="宋体" w:hAnsi="宋体" w:cs="Calibri"/>
                <w:color w:val="auto"/>
                <w:kern w:val="2"/>
                <w:sz w:val="21"/>
                <w:szCs w:val="21"/>
              </w:rPr>
              <w:t>材质</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乳胶漆、格栅、石膏板</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7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消防系统</w:t>
            </w:r>
          </w:p>
        </w:tc>
        <w:tc>
          <w:tcPr>
            <w:tcW w:w="259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10附表（2）</w:t>
            </w:r>
          </w:p>
        </w:tc>
        <w:tc>
          <w:tcPr>
            <w:tcW w:w="343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bl>
    <w:p>
      <w:pPr>
        <w:widowControl w:val="0"/>
        <w:spacing w:line="300" w:lineRule="auto"/>
        <w:ind w:firstLine="0" w:firstLineChars="0"/>
        <w:jc w:val="both"/>
        <w:rPr>
          <w:rFonts w:ascii="宋体" w:hAnsi="宋体" w:cs="Calibri"/>
          <w:color w:val="auto"/>
          <w:sz w:val="21"/>
          <w:szCs w:val="21"/>
          <w:lang w:eastAsia="zh-CN"/>
        </w:rPr>
      </w:pPr>
      <w:r>
        <w:rPr>
          <w:rFonts w:hint="eastAsia" w:ascii="宋体" w:hAnsi="宋体" w:cs="Calibri"/>
          <w:color w:val="auto"/>
          <w:sz w:val="21"/>
          <w:szCs w:val="21"/>
          <w:lang w:eastAsia="zh-CN"/>
        </w:rPr>
        <w:t>（2）物业管理（室外）</w:t>
      </w:r>
    </w:p>
    <w:p>
      <w:pPr>
        <w:widowControl w:val="0"/>
        <w:spacing w:line="300" w:lineRule="auto"/>
        <w:ind w:firstLine="420" w:firstLineChars="200"/>
        <w:jc w:val="both"/>
        <w:rPr>
          <w:rFonts w:ascii="宋体" w:hAnsi="宋体" w:cs="Times New Roman"/>
          <w:b w:val="0"/>
          <w:bCs w:val="0"/>
          <w:color w:val="auto"/>
          <w:sz w:val="21"/>
          <w:szCs w:val="21"/>
          <w:lang w:eastAsia="zh-CN"/>
        </w:rPr>
      </w:pPr>
      <w:r>
        <w:rPr>
          <w:rFonts w:hint="eastAsia" w:ascii="宋体" w:hAnsi="宋体" w:cs="Times New Roman"/>
          <w:b w:val="0"/>
          <w:bCs w:val="0"/>
          <w:color w:val="auto"/>
          <w:sz w:val="21"/>
          <w:szCs w:val="21"/>
          <w:lang w:eastAsia="zh-CN"/>
        </w:rPr>
        <w:t>无。</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4【十七所办公点】</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407"/>
        <w:gridCol w:w="3412"/>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49"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49"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十七所办公点</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办公楼，共三层</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总面积</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建筑面积</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972平方米</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需保洁面积</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972平方米</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瓷砖、地板</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r>
              <w:rPr>
                <w:rFonts w:ascii="宋体" w:hAnsi="宋体" w:cs="Calibri"/>
                <w:color w:val="auto"/>
                <w:kern w:val="2"/>
                <w:sz w:val="21"/>
                <w:szCs w:val="21"/>
              </w:rPr>
              <w:t>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乳胶漆、石膏板</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外墙</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外墙材质</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普通涂料</w:t>
            </w:r>
          </w:p>
        </w:tc>
        <w:tc>
          <w:tcPr>
            <w:tcW w:w="3281" w:type="dxa"/>
            <w:noWrap/>
            <w:vAlign w:val="center"/>
          </w:tcPr>
          <w:p>
            <w:pPr>
              <w:keepNext w:val="0"/>
              <w:keepLines w:val="0"/>
              <w:widowControl w:val="0"/>
              <w:suppressLineNumbers w:val="0"/>
              <w:spacing w:before="0" w:beforeAutospacing="0" w:after="0" w:afterAutospacing="0" w:line="300" w:lineRule="auto"/>
              <w:ind w:left="0" w:right="0" w:firstLine="210" w:firstLineChars="10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外墙</w:t>
            </w:r>
            <w:r>
              <w:rPr>
                <w:rFonts w:ascii="宋体" w:hAnsi="宋体" w:cs="Calibri"/>
                <w:color w:val="auto"/>
                <w:kern w:val="2"/>
                <w:sz w:val="21"/>
                <w:szCs w:val="21"/>
              </w:rPr>
              <w:t>需</w:t>
            </w:r>
            <w:r>
              <w:rPr>
                <w:rFonts w:hint="eastAsia" w:ascii="宋体" w:hAnsi="宋体" w:cs="Calibri"/>
                <w:color w:val="auto"/>
                <w:kern w:val="2"/>
                <w:sz w:val="21"/>
                <w:szCs w:val="21"/>
              </w:rPr>
              <w:t>清洗面积</w:t>
            </w:r>
          </w:p>
        </w:tc>
        <w:tc>
          <w:tcPr>
            <w:tcW w:w="3412"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无</w:t>
            </w:r>
          </w:p>
        </w:tc>
        <w:tc>
          <w:tcPr>
            <w:tcW w:w="3281" w:type="dxa"/>
            <w:shd w:val="clear" w:color="auto" w:fill="auto"/>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卫生间数量</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男女卫生间各3个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垃圾存放点</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各垃圾存放点</w:t>
            </w:r>
            <w:r>
              <w:rPr>
                <w:rFonts w:hint="eastAsia" w:ascii="宋体" w:hAnsi="宋体" w:cs="Calibri"/>
                <w:color w:val="auto"/>
                <w:kern w:val="2"/>
                <w:sz w:val="21"/>
                <w:szCs w:val="21"/>
                <w:lang w:eastAsia="zh-CN"/>
              </w:rPr>
              <w:t>数量</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1处</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车位</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地面车位数</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44个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车行/人行口</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车行</w:t>
            </w:r>
            <w:r>
              <w:rPr>
                <w:rFonts w:hint="eastAsia" w:ascii="宋体" w:hAnsi="宋体" w:cs="Calibri"/>
                <w:color w:val="auto"/>
                <w:kern w:val="2"/>
                <w:sz w:val="21"/>
                <w:szCs w:val="21"/>
              </w:rPr>
              <w:t>口</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人行口</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1个</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设施设备</w:t>
            </w: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消防</w:t>
            </w:r>
            <w:r>
              <w:rPr>
                <w:rFonts w:hint="eastAsia" w:ascii="宋体" w:hAnsi="宋体" w:cs="Calibri"/>
                <w:color w:val="auto"/>
                <w:kern w:val="2"/>
                <w:sz w:val="21"/>
                <w:szCs w:val="21"/>
              </w:rPr>
              <w:t>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10附表（3）</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40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照明系统</w:t>
            </w:r>
          </w:p>
        </w:tc>
        <w:tc>
          <w:tcPr>
            <w:tcW w:w="34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筒灯、灯管</w:t>
            </w:r>
          </w:p>
        </w:tc>
        <w:tc>
          <w:tcPr>
            <w:tcW w:w="32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（2）物业管理（室外）</w:t>
      </w:r>
    </w:p>
    <w:p>
      <w:pPr>
        <w:widowControl w:val="0"/>
        <w:spacing w:line="300" w:lineRule="auto"/>
        <w:ind w:firstLine="420" w:firstLineChars="200"/>
        <w:jc w:val="both"/>
        <w:rPr>
          <w:rFonts w:ascii="宋体" w:hAnsi="宋体"/>
          <w:color w:val="auto"/>
          <w:szCs w:val="21"/>
        </w:rPr>
      </w:pPr>
      <w:r>
        <w:rPr>
          <w:rFonts w:hint="eastAsia" w:ascii="宋体" w:hAnsi="宋体" w:cs="宋体"/>
          <w:color w:val="auto"/>
          <w:sz w:val="21"/>
          <w:szCs w:val="21"/>
          <w:lang w:eastAsia="zh-CN"/>
        </w:rPr>
        <w:t>无</w:t>
      </w:r>
      <w:r>
        <w:rPr>
          <w:rFonts w:hint="eastAsia" w:ascii="宋体" w:hAnsi="宋体"/>
          <w:color w:val="auto"/>
          <w:sz w:val="21"/>
          <w:szCs w:val="21"/>
          <w:lang w:eastAsia="zh-CN"/>
        </w:rPr>
        <w:t>。</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5【十八所办公点】</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81"/>
        <w:gridCol w:w="3534"/>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53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3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十八所办公点</w:t>
            </w:r>
          </w:p>
        </w:tc>
        <w:tc>
          <w:tcPr>
            <w:tcW w:w="353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办公楼，共三层</w:t>
            </w:r>
          </w:p>
        </w:tc>
        <w:tc>
          <w:tcPr>
            <w:tcW w:w="33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7" w:type="dxa"/>
            <w:noWrap/>
            <w:vAlign w:val="center"/>
          </w:tcPr>
          <w:p>
            <w:pPr>
              <w:keepNext w:val="0"/>
              <w:keepLines w:val="0"/>
              <w:widowControl w:val="0"/>
              <w:suppressLineNumbers w:val="0"/>
              <w:spacing w:before="0" w:beforeAutospacing="0" w:after="0" w:afterAutospacing="0" w:line="300" w:lineRule="auto"/>
              <w:ind w:left="0" w:right="0"/>
              <w:rPr>
                <w:rFonts w:hint="eastAsia" w:ascii="宋体" w:hAnsi="宋体" w:eastAsia="宋体" w:cs="Calibri"/>
                <w:color w:val="auto"/>
                <w:kern w:val="2"/>
                <w:sz w:val="21"/>
                <w:szCs w:val="21"/>
                <w:lang w:val="en-US" w:eastAsia="zh-CN" w:bidi="ar-SA"/>
              </w:rPr>
            </w:pPr>
            <w:r>
              <w:rPr>
                <w:rFonts w:hint="eastAsia" w:ascii="宋体" w:hAnsi="宋体" w:eastAsia="宋体" w:cs="Calibri"/>
                <w:color w:val="auto"/>
                <w:kern w:val="2"/>
                <w:sz w:val="21"/>
                <w:szCs w:val="21"/>
                <w:lang w:eastAsia="zh-CN"/>
              </w:rPr>
              <w:t>总面积</w:t>
            </w:r>
          </w:p>
        </w:tc>
        <w:tc>
          <w:tcPr>
            <w:tcW w:w="1181"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lang w:val="en-US" w:eastAsia="zh-CN" w:bidi="ar-SA"/>
              </w:rPr>
            </w:pPr>
            <w:r>
              <w:rPr>
                <w:rFonts w:hint="eastAsia" w:ascii="宋体" w:hAnsi="宋体" w:eastAsia="宋体" w:cs="Calibri"/>
                <w:color w:val="auto"/>
                <w:kern w:val="2"/>
                <w:sz w:val="21"/>
                <w:szCs w:val="21"/>
                <w:lang w:eastAsia="zh-CN"/>
              </w:rPr>
              <w:t>建筑面积</w:t>
            </w:r>
          </w:p>
        </w:tc>
        <w:tc>
          <w:tcPr>
            <w:tcW w:w="3534"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Calibri"/>
                <w:color w:val="auto"/>
                <w:kern w:val="2"/>
                <w:sz w:val="21"/>
                <w:szCs w:val="21"/>
                <w:lang w:val="en-US" w:eastAsia="zh-CN" w:bidi="ar-SA"/>
              </w:rPr>
            </w:pPr>
            <w:r>
              <w:rPr>
                <w:rFonts w:hint="eastAsia" w:ascii="宋体" w:hAnsi="宋体" w:cs="Calibri"/>
                <w:color w:val="auto"/>
                <w:kern w:val="2"/>
                <w:sz w:val="21"/>
                <w:szCs w:val="21"/>
                <w:lang w:val="en-US" w:eastAsia="zh-CN"/>
              </w:rPr>
              <w:t>1672</w:t>
            </w:r>
            <w:r>
              <w:rPr>
                <w:rFonts w:hint="eastAsia" w:ascii="宋体" w:hAnsi="宋体" w:eastAsia="宋体" w:cs="Calibri"/>
                <w:color w:val="auto"/>
                <w:kern w:val="2"/>
                <w:sz w:val="21"/>
                <w:szCs w:val="21"/>
                <w:lang w:eastAsia="zh-CN"/>
              </w:rPr>
              <w:t>平方米</w:t>
            </w:r>
          </w:p>
        </w:tc>
        <w:tc>
          <w:tcPr>
            <w:tcW w:w="3300" w:type="dxa"/>
            <w:noWrap/>
            <w:vAlign w:val="center"/>
          </w:tcPr>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楷体"/>
                <w:color w:val="auto"/>
                <w:kern w:val="2"/>
                <w:sz w:val="21"/>
                <w:szCs w:val="21"/>
                <w:lang w:val="en-US" w:eastAsia="zh-CN" w:bidi="ar-SA"/>
              </w:rPr>
            </w:pPr>
            <w:r>
              <w:rPr>
                <w:rFonts w:hint="eastAsia" w:ascii="宋体" w:hAnsi="宋体" w:eastAsia="宋体" w:cs="Calibri"/>
                <w:color w:val="auto"/>
                <w:kern w:val="2"/>
                <w:sz w:val="21"/>
                <w:szCs w:val="21"/>
                <w:lang w:eastAsia="zh-CN"/>
              </w:rPr>
              <w:t>见“3.2.6保安服务”（仅日班）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1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消防系统</w:t>
            </w:r>
          </w:p>
        </w:tc>
        <w:tc>
          <w:tcPr>
            <w:tcW w:w="353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10附表（4）</w:t>
            </w:r>
          </w:p>
        </w:tc>
        <w:tc>
          <w:tcPr>
            <w:tcW w:w="33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（2）物业管理（室外）</w:t>
      </w:r>
    </w:p>
    <w:p>
      <w:pPr>
        <w:widowControl w:val="0"/>
        <w:spacing w:line="300" w:lineRule="auto"/>
        <w:ind w:firstLine="420" w:firstLineChars="200"/>
        <w:jc w:val="both"/>
        <w:rPr>
          <w:rFonts w:ascii="宋体" w:hAnsi="宋体"/>
          <w:color w:val="auto"/>
          <w:szCs w:val="21"/>
        </w:rPr>
      </w:pPr>
      <w:r>
        <w:rPr>
          <w:rFonts w:hint="eastAsia" w:ascii="宋体" w:hAnsi="宋体" w:cs="宋体"/>
          <w:color w:val="auto"/>
          <w:sz w:val="21"/>
          <w:szCs w:val="21"/>
          <w:lang w:eastAsia="zh-CN"/>
        </w:rPr>
        <w:t>无</w:t>
      </w:r>
      <w:r>
        <w:rPr>
          <w:rFonts w:hint="eastAsia" w:ascii="宋体" w:hAnsi="宋体"/>
          <w:color w:val="auto"/>
          <w:sz w:val="21"/>
          <w:szCs w:val="21"/>
          <w:lang w:eastAsia="zh-CN"/>
        </w:rPr>
        <w:t>。</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6【</w:t>
      </w:r>
      <w:r>
        <w:rPr>
          <w:rFonts w:hint="eastAsia" w:ascii="宋体" w:hAnsi="宋体" w:cs="宋体"/>
          <w:b/>
          <w:bCs/>
          <w:color w:val="auto"/>
          <w:sz w:val="21"/>
          <w:szCs w:val="21"/>
          <w:lang w:eastAsia="zh-CN"/>
        </w:rPr>
        <w:t>三所办公点</w:t>
      </w:r>
      <w:r>
        <w:rPr>
          <w:rFonts w:hint="eastAsia" w:ascii="宋体" w:hAnsi="宋体" w:cs="Calibri"/>
          <w:b/>
          <w:bCs/>
          <w:color w:val="auto"/>
          <w:sz w:val="21"/>
          <w:szCs w:val="21"/>
          <w:lang w:eastAsia="zh-CN"/>
        </w:rPr>
        <w:t>】</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 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687"/>
        <w:gridCol w:w="3000"/>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30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028"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三所办公点</w:t>
            </w:r>
          </w:p>
        </w:tc>
        <w:tc>
          <w:tcPr>
            <w:tcW w:w="30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办公楼，共二层（部分）</w:t>
            </w:r>
          </w:p>
        </w:tc>
        <w:tc>
          <w:tcPr>
            <w:tcW w:w="302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总面积</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建筑面积</w:t>
            </w:r>
          </w:p>
        </w:tc>
        <w:tc>
          <w:tcPr>
            <w:tcW w:w="30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538.5平方米</w:t>
            </w:r>
          </w:p>
        </w:tc>
        <w:tc>
          <w:tcPr>
            <w:tcW w:w="302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见“3.2.6保安服务”（仅日班）</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（2）物业管理（室外）</w:t>
      </w:r>
    </w:p>
    <w:p>
      <w:pPr>
        <w:widowControl w:val="0"/>
        <w:spacing w:line="300" w:lineRule="auto"/>
        <w:ind w:firstLine="420" w:firstLineChars="200"/>
        <w:jc w:val="both"/>
        <w:rPr>
          <w:rFonts w:ascii="宋体" w:hAnsi="宋体"/>
          <w:color w:val="auto"/>
          <w:szCs w:val="21"/>
        </w:rPr>
      </w:pPr>
      <w:r>
        <w:rPr>
          <w:rFonts w:hint="eastAsia" w:ascii="宋体" w:hAnsi="宋体" w:cs="宋体"/>
          <w:color w:val="auto"/>
          <w:sz w:val="21"/>
          <w:szCs w:val="21"/>
          <w:lang w:eastAsia="zh-CN"/>
        </w:rPr>
        <w:t>无</w:t>
      </w:r>
      <w:r>
        <w:rPr>
          <w:rFonts w:hint="eastAsia" w:ascii="宋体" w:hAnsi="宋体"/>
          <w:color w:val="auto"/>
          <w:sz w:val="21"/>
          <w:szCs w:val="21"/>
          <w:lang w:eastAsia="zh-CN"/>
        </w:rPr>
        <w:t>。</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7【</w:t>
      </w:r>
      <w:r>
        <w:rPr>
          <w:rFonts w:hint="eastAsia" w:ascii="宋体" w:hAnsi="宋体" w:cs="宋体"/>
          <w:b/>
          <w:bCs/>
          <w:color w:val="auto"/>
          <w:sz w:val="21"/>
          <w:szCs w:val="21"/>
          <w:lang w:eastAsia="zh-CN"/>
        </w:rPr>
        <w:t>云岭西路仓库</w:t>
      </w:r>
      <w:r>
        <w:rPr>
          <w:rFonts w:hint="eastAsia" w:ascii="宋体" w:hAnsi="宋体" w:cs="Calibri"/>
          <w:b/>
          <w:bCs/>
          <w:color w:val="auto"/>
          <w:sz w:val="21"/>
          <w:szCs w:val="21"/>
          <w:lang w:eastAsia="zh-CN"/>
        </w:rPr>
        <w:t>】</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687"/>
        <w:gridCol w:w="2981"/>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云岭西路仓库</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仓库，一间</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总面积</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建筑面积</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831平方米</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水泥</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2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消防系统</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10附表（5）</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照明系统</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灯泡、灯管</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（2）物业管理（室外）</w:t>
      </w:r>
    </w:p>
    <w:p>
      <w:pPr>
        <w:widowControl w:val="0"/>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无。</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8【桃浦</w:t>
      </w:r>
      <w:r>
        <w:rPr>
          <w:rFonts w:hint="eastAsia" w:ascii="宋体" w:hAnsi="宋体" w:cs="宋体"/>
          <w:b/>
          <w:bCs/>
          <w:color w:val="auto"/>
          <w:sz w:val="21"/>
          <w:szCs w:val="21"/>
          <w:lang w:eastAsia="zh-CN"/>
        </w:rPr>
        <w:t>西路仓库</w:t>
      </w:r>
      <w:r>
        <w:rPr>
          <w:rFonts w:hint="eastAsia" w:ascii="宋体" w:hAnsi="宋体" w:cs="Calibri"/>
          <w:b/>
          <w:bCs/>
          <w:color w:val="auto"/>
          <w:sz w:val="21"/>
          <w:szCs w:val="21"/>
          <w:lang w:eastAsia="zh-CN"/>
        </w:rPr>
        <w:t>】</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687"/>
        <w:gridCol w:w="2981"/>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桃浦西路仓库</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仓库，共三层</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总面积</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建筑面积</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1153平方米</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水泥</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2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电梯系统</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货梯1台，11KW</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2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消防系统</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10附表（6）</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68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照明系统</w:t>
            </w:r>
          </w:p>
        </w:tc>
        <w:tc>
          <w:tcPr>
            <w:tcW w:w="2981"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灯泡、灯管</w:t>
            </w:r>
          </w:p>
        </w:tc>
        <w:tc>
          <w:tcPr>
            <w:tcW w:w="304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（2）物业管理（室外）</w:t>
      </w:r>
    </w:p>
    <w:p>
      <w:pPr>
        <w:widowControl w:val="0"/>
        <w:spacing w:line="300" w:lineRule="auto"/>
        <w:ind w:firstLine="420" w:firstLineChars="200"/>
        <w:jc w:val="both"/>
        <w:rPr>
          <w:rFonts w:ascii="宋体" w:hAnsi="宋体" w:cs="Times New Roman"/>
          <w:b w:val="0"/>
          <w:bCs w:val="0"/>
          <w:color w:val="auto"/>
          <w:sz w:val="21"/>
          <w:szCs w:val="21"/>
          <w:lang w:eastAsia="zh-CN"/>
        </w:rPr>
      </w:pPr>
      <w:r>
        <w:rPr>
          <w:rFonts w:hint="eastAsia" w:ascii="宋体" w:hAnsi="宋体" w:cs="Times New Roman"/>
          <w:b w:val="0"/>
          <w:bCs w:val="0"/>
          <w:color w:val="auto"/>
          <w:sz w:val="21"/>
          <w:szCs w:val="21"/>
          <w:lang w:eastAsia="zh-CN"/>
        </w:rPr>
        <w:t>无</w:t>
      </w:r>
      <w:r>
        <w:rPr>
          <w:rFonts w:hint="eastAsia" w:ascii="宋体" w:hAnsi="宋体"/>
          <w:color w:val="auto"/>
          <w:sz w:val="21"/>
          <w:szCs w:val="21"/>
          <w:lang w:eastAsia="zh-CN"/>
        </w:rPr>
        <w:t>。</w:t>
      </w:r>
    </w:p>
    <w:p>
      <w:pPr>
        <w:widowControl w:val="0"/>
        <w:spacing w:line="300" w:lineRule="auto"/>
        <w:jc w:val="both"/>
        <w:rPr>
          <w:rFonts w:ascii="宋体" w:hAnsi="宋体" w:cs="Calibri"/>
          <w:b/>
          <w:bCs/>
          <w:color w:val="auto"/>
          <w:sz w:val="21"/>
          <w:szCs w:val="21"/>
          <w:lang w:eastAsia="zh-CN"/>
        </w:rPr>
      </w:pPr>
      <w:r>
        <w:rPr>
          <w:rFonts w:ascii="宋体" w:hAnsi="宋体" w:cs="Calibri"/>
          <w:b/>
          <w:bCs/>
          <w:color w:val="auto"/>
          <w:sz w:val="21"/>
          <w:szCs w:val="21"/>
          <w:lang w:eastAsia="zh-CN"/>
        </w:rPr>
        <w:t>1.2.2.1.</w:t>
      </w:r>
      <w:r>
        <w:rPr>
          <w:rFonts w:hint="eastAsia" w:ascii="宋体" w:hAnsi="宋体" w:cs="Calibri"/>
          <w:b/>
          <w:bCs/>
          <w:color w:val="auto"/>
          <w:sz w:val="21"/>
          <w:szCs w:val="21"/>
          <w:lang w:eastAsia="zh-CN"/>
        </w:rPr>
        <w:t>9【</w:t>
      </w:r>
      <w:r>
        <w:rPr>
          <w:rFonts w:hint="eastAsia" w:ascii="宋体" w:hAnsi="宋体" w:cs="宋体"/>
          <w:b/>
          <w:bCs/>
          <w:color w:val="auto"/>
          <w:sz w:val="21"/>
          <w:szCs w:val="21"/>
          <w:lang w:eastAsia="zh-CN"/>
        </w:rPr>
        <w:t>十四、十九所办公点</w:t>
      </w:r>
      <w:r>
        <w:rPr>
          <w:rFonts w:hint="eastAsia" w:ascii="宋体" w:hAnsi="宋体" w:cs="Calibri"/>
          <w:b/>
          <w:bCs/>
          <w:color w:val="auto"/>
          <w:sz w:val="21"/>
          <w:szCs w:val="21"/>
          <w:lang w:eastAsia="zh-CN"/>
        </w:rPr>
        <w:t>】</w:t>
      </w:r>
    </w:p>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（1）物业管理（建筑物）</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865"/>
        <w:gridCol w:w="2916"/>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名称</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明细</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4" w:type="dxa"/>
            <w:gridSpan w:val="2"/>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十四、十九所办公点</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办公楼，共二层（部分）</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9" w:type="dxa"/>
            <w:vMerge w:val="restart"/>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总面积</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建筑面积</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eastAsia="zh-CN"/>
              </w:rPr>
              <w:t>3100平方米</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49" w:type="dxa"/>
            <w:vMerge w:val="continue"/>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需保洁面积</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2015平方米</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门窗</w:t>
            </w:r>
            <w:r>
              <w:rPr>
                <w:rFonts w:ascii="宋体" w:hAnsi="宋体" w:cs="Calibri"/>
                <w:color w:val="auto"/>
                <w:kern w:val="2"/>
                <w:sz w:val="21"/>
                <w:szCs w:val="21"/>
              </w:rPr>
              <w:t>材质</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玻璃、铝合金、木质</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楷体"/>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49"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地面材质</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瓷砖、地板</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内墙饰面材质</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乳胶漆、木饰板、玻璃</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49"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顶面</w:t>
            </w:r>
            <w:r>
              <w:rPr>
                <w:rFonts w:ascii="宋体" w:hAnsi="宋体" w:cs="Calibri"/>
                <w:color w:val="auto"/>
                <w:kern w:val="2"/>
                <w:sz w:val="21"/>
                <w:szCs w:val="21"/>
              </w:rPr>
              <w:t>材质</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乳胶漆、石膏板</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见“3.2.2房屋维护服务”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卫生间数量</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男女卫生间各3个</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rPr>
              <w:t>见“3.2.4保洁服务”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49"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设施设备</w:t>
            </w: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消防系统</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w:t>
            </w:r>
            <w:r>
              <w:rPr>
                <w:rFonts w:ascii="宋体" w:hAnsi="宋体" w:cs="Calibri"/>
                <w:color w:val="auto"/>
                <w:kern w:val="2"/>
                <w:sz w:val="21"/>
                <w:szCs w:val="21"/>
                <w:lang w:eastAsia="zh-CN"/>
              </w:rPr>
              <w:t>1.2.2.1.</w:t>
            </w:r>
            <w:r>
              <w:rPr>
                <w:rFonts w:hint="eastAsia" w:ascii="宋体" w:hAnsi="宋体" w:cs="Calibri"/>
                <w:color w:val="auto"/>
                <w:kern w:val="2"/>
                <w:sz w:val="21"/>
                <w:szCs w:val="21"/>
                <w:lang w:eastAsia="zh-CN"/>
              </w:rPr>
              <w:t>10附表（7）</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见“3.2.6保安服务”“3.2.3公用设施设备维护服务”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86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照明系统</w:t>
            </w:r>
          </w:p>
        </w:tc>
        <w:tc>
          <w:tcPr>
            <w:tcW w:w="2916"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筒灯、灯管</w:t>
            </w:r>
          </w:p>
        </w:tc>
        <w:tc>
          <w:tcPr>
            <w:tcW w:w="3112"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见“3.2.3公用设施设备维护服务”</w:t>
            </w:r>
          </w:p>
        </w:tc>
      </w:tr>
    </w:tbl>
    <w:p>
      <w:pPr>
        <w:widowControl w:val="0"/>
        <w:spacing w:line="300" w:lineRule="auto"/>
        <w:jc w:val="both"/>
        <w:rPr>
          <w:rFonts w:ascii="宋体" w:hAnsi="宋体" w:cs="Calibri"/>
          <w:color w:val="auto"/>
          <w:sz w:val="21"/>
          <w:szCs w:val="21"/>
          <w:lang w:eastAsia="zh-CN"/>
        </w:rPr>
      </w:pPr>
      <w:r>
        <w:rPr>
          <w:rFonts w:hint="eastAsia" w:ascii="宋体" w:hAnsi="宋体" w:cs="Calibri"/>
          <w:color w:val="auto"/>
          <w:sz w:val="21"/>
          <w:szCs w:val="21"/>
          <w:lang w:eastAsia="zh-CN"/>
        </w:rPr>
        <w:t xml:space="preserve">   （2）物业管理（室外）</w:t>
      </w:r>
    </w:p>
    <w:p>
      <w:pPr>
        <w:widowControl w:val="0"/>
        <w:spacing w:line="300" w:lineRule="auto"/>
        <w:ind w:firstLine="420" w:firstLineChars="200"/>
        <w:jc w:val="both"/>
        <w:rPr>
          <w:rFonts w:ascii="宋体" w:hAnsi="宋体" w:cs="Times New Roman"/>
          <w:b w:val="0"/>
          <w:bCs w:val="0"/>
          <w:color w:val="auto"/>
          <w:sz w:val="21"/>
          <w:szCs w:val="21"/>
          <w:lang w:eastAsia="zh-CN"/>
        </w:rPr>
      </w:pPr>
      <w:r>
        <w:rPr>
          <w:rFonts w:hint="eastAsia" w:ascii="宋体" w:hAnsi="宋体" w:cs="Times New Roman"/>
          <w:b w:val="0"/>
          <w:bCs w:val="0"/>
          <w:color w:val="auto"/>
          <w:sz w:val="21"/>
          <w:szCs w:val="21"/>
          <w:lang w:eastAsia="zh-CN"/>
        </w:rPr>
        <w:t>无</w:t>
      </w:r>
      <w:r>
        <w:rPr>
          <w:rFonts w:hint="eastAsia" w:ascii="宋体" w:hAnsi="宋体"/>
          <w:color w:val="auto"/>
          <w:sz w:val="21"/>
          <w:szCs w:val="21"/>
          <w:lang w:eastAsia="zh-CN"/>
        </w:rPr>
        <w:t>。</w:t>
      </w:r>
    </w:p>
    <w:p>
      <w:pPr>
        <w:widowControl w:val="0"/>
        <w:spacing w:line="300" w:lineRule="auto"/>
        <w:ind w:firstLine="0" w:firstLineChars="0"/>
        <w:jc w:val="both"/>
        <w:rPr>
          <w:rFonts w:ascii="宋体" w:hAnsi="宋体" w:cs="宋体"/>
          <w:b/>
          <w:bCs/>
          <w:color w:val="auto"/>
          <w:sz w:val="21"/>
          <w:szCs w:val="21"/>
        </w:rPr>
      </w:pPr>
      <w:r>
        <w:rPr>
          <w:rFonts w:ascii="宋体" w:hAnsi="宋体" w:cs="宋体"/>
          <w:b/>
          <w:bCs/>
          <w:color w:val="auto"/>
          <w:sz w:val="21"/>
          <w:szCs w:val="21"/>
          <w:lang w:eastAsia="zh-CN"/>
        </w:rPr>
        <w:t xml:space="preserve">1.2.2.1.10 </w:t>
      </w:r>
      <w:r>
        <w:rPr>
          <w:rFonts w:hint="eastAsia" w:ascii="宋体" w:hAnsi="宋体" w:cs="宋体"/>
          <w:b/>
          <w:bCs/>
          <w:color w:val="auto"/>
          <w:sz w:val="21"/>
          <w:szCs w:val="21"/>
          <w:lang w:eastAsia="zh-CN"/>
        </w:rPr>
        <w:t>附表：区局（含驻外、仓库）目前消防系统设备配置情况</w:t>
      </w:r>
    </w:p>
    <w:p>
      <w:pPr>
        <w:spacing w:line="300" w:lineRule="auto"/>
        <w:ind w:firstLine="420" w:firstLineChars="200"/>
        <w:rPr>
          <w:rFonts w:ascii="宋体" w:hAnsi="宋体" w:eastAsia="宋体" w:cs="宋体"/>
          <w:b w:val="0"/>
          <w:color w:val="auto"/>
          <w:spacing w:val="0"/>
          <w:sz w:val="21"/>
          <w:szCs w:val="21"/>
          <w:lang w:eastAsia="zh-CN"/>
        </w:rPr>
      </w:pPr>
      <w:r>
        <w:rPr>
          <w:rFonts w:hint="eastAsia" w:ascii="宋体" w:hAnsi="宋体" w:cs="宋体"/>
          <w:color w:val="auto"/>
          <w:sz w:val="21"/>
          <w:szCs w:val="21"/>
          <w:lang w:eastAsia="zh-CN"/>
        </w:rPr>
        <w:t>（1）</w:t>
      </w:r>
      <w:r>
        <w:rPr>
          <w:rFonts w:hint="eastAsia" w:ascii="宋体" w:hAnsi="宋体" w:eastAsia="宋体" w:cs="宋体"/>
          <w:color w:val="auto"/>
          <w:sz w:val="21"/>
          <w:szCs w:val="21"/>
          <w:lang w:eastAsia="zh-CN"/>
        </w:rPr>
        <w:t>局本部大楼火灾报警、消防广播、喷淋、消火栓系统、机房</w:t>
      </w:r>
      <w:r>
        <w:rPr>
          <w:rFonts w:ascii="宋体" w:hAnsi="宋体" w:eastAsia="宋体" w:cs="宋体"/>
          <w:color w:val="auto"/>
          <w:spacing w:val="0"/>
          <w:sz w:val="21"/>
          <w:szCs w:val="21"/>
          <w:lang w:eastAsia="zh-CN"/>
        </w:rPr>
        <w:t>FM200气体灭火系统</w:t>
      </w:r>
      <w:r>
        <w:rPr>
          <w:rFonts w:hint="eastAsia" w:ascii="宋体" w:hAnsi="宋体" w:eastAsia="宋体" w:cs="宋体"/>
          <w:color w:val="auto"/>
          <w:sz w:val="21"/>
          <w:szCs w:val="21"/>
          <w:lang w:eastAsia="zh-CN"/>
        </w:rPr>
        <w:t>所有设施设备。</w:t>
      </w:r>
    </w:p>
    <w:tbl>
      <w:tblPr>
        <w:tblStyle w:val="17"/>
        <w:tblW w:w="86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700"/>
        <w:gridCol w:w="937"/>
        <w:gridCol w:w="750"/>
        <w:gridCol w:w="21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序号</w:t>
            </w:r>
          </w:p>
        </w:tc>
        <w:tc>
          <w:tcPr>
            <w:tcW w:w="27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设备名称</w:t>
            </w:r>
          </w:p>
        </w:tc>
        <w:tc>
          <w:tcPr>
            <w:tcW w:w="937"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数量</w:t>
            </w:r>
          </w:p>
        </w:tc>
        <w:tc>
          <w:tcPr>
            <w:tcW w:w="75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序号</w:t>
            </w:r>
          </w:p>
        </w:tc>
        <w:tc>
          <w:tcPr>
            <w:tcW w:w="219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设备名称</w:t>
            </w:r>
          </w:p>
        </w:tc>
        <w:tc>
          <w:tcPr>
            <w:tcW w:w="129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kern w:val="2"/>
              </w:rPr>
            </w:pPr>
            <w:r>
              <w:rPr>
                <w:rFonts w:hint="eastAsia" w:ascii="华文仿宋" w:hAnsi="华文仿宋" w:eastAsia="华文仿宋" w:cs="宋体"/>
                <w:b/>
                <w:color w:val="auto"/>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火灾报警主机（3个回路）</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1台</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15</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广播</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368套</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16</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警铃（楼道）</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手动报警按钮</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41套</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17</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水流指示器</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输入模块HJ-1750N</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15只</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18</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楼层信号阀</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多线模块HJ-1807</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2只</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19</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火灾报警主机（联动型）</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控制模块HJ-1825</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20只</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20</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消防警铃（气体灭火器）</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楼层显示盘JB-TX-64</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5只</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21</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七氟丙烷气体</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双出水消火栓箱</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20套</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22</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紧急启停按钮</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试验消火栓</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2只</w:t>
            </w:r>
          </w:p>
        </w:tc>
        <w:tc>
          <w:tcPr>
            <w:tcW w:w="75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23</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火灾报警系统管线</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楼层喷淋末端放水装置</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5套</w:t>
            </w:r>
          </w:p>
        </w:tc>
        <w:tc>
          <w:tcPr>
            <w:tcW w:w="750"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24</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喷洒指示灯</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11</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湿式报警阀装置</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c>
          <w:tcPr>
            <w:tcW w:w="750"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25</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感烟探测器（气体灭火器）</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12</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消防及喷淋泵</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c>
          <w:tcPr>
            <w:tcW w:w="750"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26</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声光报警器</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13</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消防及喷淋泵控制柜</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2台</w:t>
            </w:r>
          </w:p>
        </w:tc>
        <w:tc>
          <w:tcPr>
            <w:tcW w:w="750"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27</w:t>
            </w:r>
          </w:p>
        </w:tc>
        <w:tc>
          <w:tcPr>
            <w:tcW w:w="21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钢瓶</w:t>
            </w:r>
          </w:p>
        </w:tc>
        <w:tc>
          <w:tcPr>
            <w:tcW w:w="1294"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14</w:t>
            </w:r>
          </w:p>
        </w:tc>
        <w:tc>
          <w:tcPr>
            <w:tcW w:w="2700"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消防广播主机</w:t>
            </w:r>
          </w:p>
        </w:tc>
        <w:tc>
          <w:tcPr>
            <w:tcW w:w="9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1套</w:t>
            </w:r>
          </w:p>
        </w:tc>
        <w:tc>
          <w:tcPr>
            <w:tcW w:w="750"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94" w:type="dxa"/>
            <w:noWrap/>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1294" w:type="dxa"/>
            <w:noWrap/>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r>
    </w:tbl>
    <w:p>
      <w:pPr>
        <w:spacing w:line="300" w:lineRule="auto"/>
        <w:ind w:firstLine="420" w:firstLineChars="200"/>
        <w:rPr>
          <w:rFonts w:ascii="宋体" w:hAnsi="宋体" w:eastAsia="宋体" w:cs="宋体"/>
          <w:color w:val="auto"/>
          <w:spacing w:val="0"/>
          <w:sz w:val="21"/>
          <w:szCs w:val="21"/>
          <w:lang w:eastAsia="zh-CN"/>
        </w:rPr>
      </w:pPr>
      <w:r>
        <w:rPr>
          <w:rFonts w:hint="eastAsia" w:ascii="宋体" w:hAnsi="宋体" w:cs="宋体"/>
          <w:color w:val="auto"/>
          <w:sz w:val="21"/>
          <w:szCs w:val="21"/>
          <w:lang w:eastAsia="zh-CN"/>
        </w:rPr>
        <w:t>（2）</w:t>
      </w:r>
      <w:r>
        <w:rPr>
          <w:rFonts w:hint="eastAsia" w:ascii="宋体" w:hAnsi="宋体" w:eastAsia="宋体" w:cs="宋体"/>
          <w:color w:val="auto"/>
          <w:spacing w:val="0"/>
          <w:sz w:val="21"/>
          <w:szCs w:val="21"/>
          <w:lang w:eastAsia="zh-CN"/>
        </w:rPr>
        <w:t>第一税务所发票仓库、档案仓库</w:t>
      </w:r>
      <w:r>
        <w:rPr>
          <w:rFonts w:ascii="宋体" w:hAnsi="宋体" w:eastAsia="宋体" w:cs="宋体"/>
          <w:color w:val="auto"/>
          <w:spacing w:val="0"/>
          <w:sz w:val="21"/>
          <w:szCs w:val="21"/>
          <w:lang w:eastAsia="zh-CN"/>
        </w:rPr>
        <w:t>FM200气体灭火系统所有设施设备。</w:t>
      </w:r>
    </w:p>
    <w:tbl>
      <w:tblPr>
        <w:tblStyle w:val="17"/>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09"/>
        <w:gridCol w:w="883"/>
        <w:gridCol w:w="783"/>
        <w:gridCol w:w="220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60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883"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83"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2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12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right w:val="single" w:color="auto" w:sz="12" w:space="0"/>
            </w:tcBorders>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609" w:type="dxa"/>
            <w:tcBorders>
              <w:left w:val="single" w:color="auto" w:sz="12" w:space="0"/>
            </w:tcBorders>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火灾报警主机（联动型）</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5台</w:t>
            </w:r>
          </w:p>
        </w:tc>
        <w:tc>
          <w:tcPr>
            <w:tcW w:w="7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20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喷洒指示灯</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外控电源</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c>
          <w:tcPr>
            <w:tcW w:w="7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20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七氟丙烷气体</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1038L</w:t>
            </w:r>
          </w:p>
        </w:tc>
        <w:tc>
          <w:tcPr>
            <w:tcW w:w="7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20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感温探测器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紧急启停按钮</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9套</w:t>
            </w:r>
          </w:p>
        </w:tc>
        <w:tc>
          <w:tcPr>
            <w:tcW w:w="7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w:t>
            </w:r>
          </w:p>
        </w:tc>
        <w:tc>
          <w:tcPr>
            <w:tcW w:w="220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声光报警器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火灾报警系统管线</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c>
          <w:tcPr>
            <w:tcW w:w="7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w:t>
            </w:r>
          </w:p>
        </w:tc>
        <w:tc>
          <w:tcPr>
            <w:tcW w:w="220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钢瓶</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11套</w:t>
            </w:r>
          </w:p>
        </w:tc>
      </w:tr>
    </w:tbl>
    <w:p>
      <w:pPr>
        <w:spacing w:line="300" w:lineRule="auto"/>
        <w:ind w:firstLine="420" w:firstLineChars="200"/>
        <w:rPr>
          <w:rFonts w:ascii="宋体" w:hAnsi="宋体" w:eastAsia="宋体" w:cs="宋体"/>
          <w:color w:val="auto"/>
          <w:spacing w:val="0"/>
          <w:sz w:val="21"/>
          <w:szCs w:val="21"/>
          <w:lang w:eastAsia="zh-CN"/>
        </w:rPr>
      </w:pPr>
      <w:r>
        <w:rPr>
          <w:rFonts w:hint="eastAsia" w:ascii="宋体" w:hAnsi="宋体" w:cs="宋体"/>
          <w:color w:val="auto"/>
          <w:sz w:val="21"/>
          <w:szCs w:val="21"/>
          <w:lang w:eastAsia="zh-CN"/>
        </w:rPr>
        <w:t>（3）</w:t>
      </w:r>
      <w:r>
        <w:rPr>
          <w:rFonts w:hint="eastAsia" w:ascii="宋体" w:hAnsi="宋体" w:eastAsia="宋体" w:cs="宋体"/>
          <w:color w:val="auto"/>
          <w:spacing w:val="0"/>
          <w:sz w:val="21"/>
          <w:szCs w:val="21"/>
          <w:lang w:eastAsia="zh-CN"/>
        </w:rPr>
        <w:t>第十七税务所火灾报警系统所有设施设备。</w:t>
      </w:r>
    </w:p>
    <w:tbl>
      <w:tblPr>
        <w:tblStyle w:val="17"/>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25"/>
        <w:gridCol w:w="900"/>
        <w:gridCol w:w="762"/>
        <w:gridCol w:w="2188"/>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725"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9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62"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188"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12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72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火灾报警主机（联动型）</w:t>
            </w:r>
          </w:p>
        </w:tc>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1台</w:t>
            </w:r>
          </w:p>
        </w:tc>
        <w:tc>
          <w:tcPr>
            <w:tcW w:w="76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火灾报警系统管线</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72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声光报警器</w:t>
            </w:r>
          </w:p>
        </w:tc>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7只</w:t>
            </w:r>
          </w:p>
        </w:tc>
        <w:tc>
          <w:tcPr>
            <w:tcW w:w="76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1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控制模块</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72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w:t>
            </w:r>
          </w:p>
        </w:tc>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73只</w:t>
            </w:r>
          </w:p>
        </w:tc>
        <w:tc>
          <w:tcPr>
            <w:tcW w:w="76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1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火灾层显</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725"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手动报警按钮</w:t>
            </w:r>
          </w:p>
        </w:tc>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7套</w:t>
            </w:r>
          </w:p>
        </w:tc>
        <w:tc>
          <w:tcPr>
            <w:tcW w:w="762"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188"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消防广播</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7个</w:t>
            </w:r>
          </w:p>
        </w:tc>
      </w:tr>
    </w:tbl>
    <w:p>
      <w:pPr>
        <w:spacing w:line="300" w:lineRule="auto"/>
        <w:ind w:firstLine="420" w:firstLineChars="200"/>
        <w:rPr>
          <w:rFonts w:ascii="宋体" w:hAnsi="宋体" w:eastAsia="宋体" w:cs="宋体"/>
          <w:color w:val="auto"/>
          <w:spacing w:val="0"/>
          <w:sz w:val="21"/>
          <w:szCs w:val="21"/>
          <w:lang w:eastAsia="zh-CN"/>
        </w:rPr>
      </w:pPr>
      <w:r>
        <w:rPr>
          <w:rFonts w:hint="eastAsia" w:ascii="宋体" w:hAnsi="宋体" w:cs="宋体"/>
          <w:color w:val="auto"/>
          <w:sz w:val="21"/>
          <w:szCs w:val="21"/>
          <w:lang w:eastAsia="zh-CN"/>
        </w:rPr>
        <w:t>（4）</w:t>
      </w:r>
      <w:r>
        <w:rPr>
          <w:rFonts w:hint="eastAsia" w:ascii="宋体" w:hAnsi="宋体" w:eastAsia="宋体" w:cs="宋体"/>
          <w:color w:val="auto"/>
          <w:spacing w:val="0"/>
          <w:sz w:val="21"/>
          <w:szCs w:val="21"/>
          <w:lang w:eastAsia="zh-CN"/>
        </w:rPr>
        <w:t>第十八税务所火灾报警系统所有设施设备。</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09"/>
        <w:gridCol w:w="916"/>
        <w:gridCol w:w="784"/>
        <w:gridCol w:w="218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60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916"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183"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1267"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火灾报警主机（联动型）</w:t>
            </w:r>
          </w:p>
        </w:tc>
        <w:tc>
          <w:tcPr>
            <w:tcW w:w="91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1台</w:t>
            </w:r>
          </w:p>
        </w:tc>
        <w:tc>
          <w:tcPr>
            <w:tcW w:w="7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18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手动报警按钮</w:t>
            </w:r>
          </w:p>
        </w:tc>
        <w:tc>
          <w:tcPr>
            <w:tcW w:w="126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w:t>
            </w:r>
          </w:p>
        </w:tc>
        <w:tc>
          <w:tcPr>
            <w:tcW w:w="91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71套</w:t>
            </w:r>
          </w:p>
        </w:tc>
        <w:tc>
          <w:tcPr>
            <w:tcW w:w="7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8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控制模块</w:t>
            </w:r>
          </w:p>
        </w:tc>
        <w:tc>
          <w:tcPr>
            <w:tcW w:w="126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60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声光报警器</w:t>
            </w:r>
          </w:p>
        </w:tc>
        <w:tc>
          <w:tcPr>
            <w:tcW w:w="91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6套</w:t>
            </w:r>
          </w:p>
        </w:tc>
        <w:tc>
          <w:tcPr>
            <w:tcW w:w="7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18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火灾报警系统管线</w:t>
            </w:r>
          </w:p>
        </w:tc>
        <w:tc>
          <w:tcPr>
            <w:tcW w:w="126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r>
    </w:tbl>
    <w:p>
      <w:pPr>
        <w:spacing w:line="300" w:lineRule="auto"/>
        <w:ind w:firstLine="420" w:firstLineChars="200"/>
        <w:rPr>
          <w:rFonts w:ascii="宋体" w:hAnsi="宋体" w:cs="宋体"/>
          <w:color w:val="auto"/>
          <w:sz w:val="21"/>
          <w:szCs w:val="21"/>
          <w:lang w:eastAsia="zh-CN"/>
        </w:rPr>
      </w:pPr>
      <w:r>
        <w:rPr>
          <w:rFonts w:hint="eastAsia" w:ascii="宋体" w:hAnsi="宋体" w:cs="宋体"/>
          <w:color w:val="auto"/>
          <w:sz w:val="21"/>
          <w:szCs w:val="21"/>
          <w:lang w:eastAsia="zh-CN"/>
        </w:rPr>
        <w:t>（5）云岭西路仓库喷淋、消火栓系统所有设施设备。</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723"/>
        <w:gridCol w:w="883"/>
        <w:gridCol w:w="781"/>
        <w:gridCol w:w="216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723"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883"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81"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16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12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72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阀门</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喷淋</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72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喷淋管道</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消防栓箱</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723"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消防栓管道</w:t>
            </w:r>
          </w:p>
        </w:tc>
        <w:tc>
          <w:tcPr>
            <w:tcW w:w="883"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水枪、水带</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6套</w:t>
            </w:r>
          </w:p>
        </w:tc>
      </w:tr>
    </w:tbl>
    <w:p>
      <w:pPr>
        <w:spacing w:line="300" w:lineRule="auto"/>
        <w:ind w:firstLine="420" w:firstLineChars="200"/>
        <w:rPr>
          <w:rFonts w:ascii="宋体" w:hAnsi="宋体" w:eastAsia="宋体" w:cs="宋体"/>
          <w:color w:val="auto"/>
          <w:spacing w:val="0"/>
          <w:sz w:val="21"/>
          <w:szCs w:val="21"/>
          <w:lang w:eastAsia="zh-CN"/>
        </w:rPr>
      </w:pPr>
      <w:r>
        <w:rPr>
          <w:rFonts w:hint="eastAsia" w:ascii="宋体" w:hAnsi="宋体" w:cs="宋体"/>
          <w:color w:val="auto"/>
          <w:sz w:val="21"/>
          <w:szCs w:val="21"/>
          <w:lang w:eastAsia="zh-CN"/>
        </w:rPr>
        <w:t>（6）</w:t>
      </w:r>
      <w:r>
        <w:rPr>
          <w:rFonts w:hint="eastAsia" w:ascii="宋体" w:hAnsi="宋体" w:eastAsia="宋体" w:cs="宋体"/>
          <w:color w:val="auto"/>
          <w:spacing w:val="0"/>
          <w:sz w:val="21"/>
          <w:szCs w:val="21"/>
          <w:lang w:eastAsia="zh-CN"/>
        </w:rPr>
        <w:t>桃浦西路仓库消火栓系统所有设施设备。</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740"/>
        <w:gridCol w:w="866"/>
        <w:gridCol w:w="781"/>
        <w:gridCol w:w="216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74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866"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81"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16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名称</w:t>
            </w:r>
          </w:p>
        </w:tc>
        <w:tc>
          <w:tcPr>
            <w:tcW w:w="12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74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双出水消火栓箱</w:t>
            </w:r>
          </w:p>
        </w:tc>
        <w:tc>
          <w:tcPr>
            <w:tcW w:w="86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4套</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消防水带</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74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阀门</w:t>
            </w:r>
          </w:p>
        </w:tc>
        <w:tc>
          <w:tcPr>
            <w:tcW w:w="86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4套</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消防管道</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740"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消火栓钮</w:t>
            </w:r>
          </w:p>
        </w:tc>
        <w:tc>
          <w:tcPr>
            <w:tcW w:w="866"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4套</w:t>
            </w:r>
          </w:p>
        </w:tc>
        <w:tc>
          <w:tcPr>
            <w:tcW w:w="781"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r>
    </w:tbl>
    <w:p>
      <w:pPr>
        <w:spacing w:line="300" w:lineRule="auto"/>
        <w:ind w:firstLine="420" w:firstLineChars="200"/>
        <w:rPr>
          <w:rFonts w:ascii="宋体" w:hAnsi="宋体" w:cs="宋体"/>
          <w:color w:val="auto"/>
          <w:sz w:val="21"/>
          <w:szCs w:val="21"/>
          <w:lang w:eastAsia="zh-CN"/>
        </w:rPr>
      </w:pPr>
      <w:r>
        <w:rPr>
          <w:rFonts w:hint="eastAsia" w:ascii="宋体" w:hAnsi="宋体" w:cs="宋体"/>
          <w:color w:val="auto"/>
          <w:sz w:val="21"/>
          <w:szCs w:val="21"/>
          <w:lang w:eastAsia="zh-CN"/>
        </w:rPr>
        <w:t>（7）第十四、第十九税务所火灾报警、消防广播、喷淋、消火栓、防排烟系统、信息机房</w:t>
      </w:r>
      <w:r>
        <w:rPr>
          <w:rFonts w:ascii="宋体" w:hAnsi="宋体" w:cs="宋体"/>
          <w:color w:val="auto"/>
          <w:sz w:val="21"/>
          <w:szCs w:val="21"/>
          <w:lang w:eastAsia="zh-CN"/>
        </w:rPr>
        <w:t>FM200气体灭火系统所有设施设备。</w:t>
      </w:r>
    </w:p>
    <w:tbl>
      <w:tblPr>
        <w:tblStyle w:val="17"/>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25"/>
        <w:gridCol w:w="884"/>
        <w:gridCol w:w="797"/>
        <w:gridCol w:w="216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725"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设备名称</w:t>
            </w:r>
          </w:p>
        </w:tc>
        <w:tc>
          <w:tcPr>
            <w:tcW w:w="8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c>
          <w:tcPr>
            <w:tcW w:w="797"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序号</w:t>
            </w:r>
          </w:p>
        </w:tc>
        <w:tc>
          <w:tcPr>
            <w:tcW w:w="2169"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设备名称</w:t>
            </w:r>
          </w:p>
        </w:tc>
        <w:tc>
          <w:tcPr>
            <w:tcW w:w="1284" w:type="dxa"/>
            <w:noWrap/>
            <w:vAlign w:val="center"/>
          </w:tcPr>
          <w:p>
            <w:pPr>
              <w:keepNext w:val="0"/>
              <w:keepLines w:val="0"/>
              <w:widowControl/>
              <w:suppressLineNumbers w:val="0"/>
              <w:spacing w:before="0" w:beforeAutospacing="0" w:after="0" w:afterAutospacing="0" w:line="360" w:lineRule="exact"/>
              <w:ind w:left="0" w:right="0"/>
              <w:jc w:val="center"/>
              <w:rPr>
                <w:rFonts w:ascii="华文仿宋" w:hAnsi="华文仿宋" w:eastAsia="华文仿宋" w:cs="宋体"/>
                <w:b/>
                <w:color w:val="auto"/>
                <w:spacing w:val="10"/>
                <w:kern w:val="2"/>
              </w:rPr>
            </w:pPr>
            <w:r>
              <w:rPr>
                <w:rFonts w:hint="eastAsia" w:ascii="华文仿宋" w:hAnsi="华文仿宋" w:eastAsia="华文仿宋" w:cs="宋体"/>
                <w:b/>
                <w:color w:val="auto"/>
                <w:spacing w:val="10"/>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光电感烟探测器</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106套</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16</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排烟风机控制箱</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感温探测器（防火卷帘）</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1套</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17</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排烟阀</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手动报警按钮</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8套</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18</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送风阀</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输入模块HJ-1750N</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12只</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19</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防火阀</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多线模块HJ-1807</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2只</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20</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火灾报警主机（联动型）</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控制模块HJ-1825</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16只</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21</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消防警铃（气体灭火器</w:t>
            </w:r>
            <w:r>
              <w:rPr>
                <w:rFonts w:hint="eastAsia"/>
                <w:color w:val="auto"/>
                <w:kern w:val="2"/>
                <w:lang w:eastAsia="zh-CN"/>
              </w:rPr>
              <w:t>）</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楼层液晶显示盘JB -96X</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2只</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22</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七氟丙烷气体</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120L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双出水消火栓箱</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11套</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23</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紧急启停按钮</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楼层喷淋末端放水装置</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c>
          <w:tcPr>
            <w:tcW w:w="79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24</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火灾报警系统管线</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广播</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26只</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25</w:t>
            </w:r>
          </w:p>
        </w:tc>
        <w:tc>
          <w:tcPr>
            <w:tcW w:w="2169"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喷洒指示灯</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11</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警铃</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8个</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26</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感烟探测器（气体灭火器）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12</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水流指示器</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3只</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27</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感温探测器（气体灭火器）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13</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楼层信号阀</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3只</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28</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声光报警器</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14</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防火卷帘门</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5扇</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29</w:t>
            </w:r>
          </w:p>
        </w:tc>
        <w:tc>
          <w:tcPr>
            <w:tcW w:w="2169"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钢瓶</w:t>
            </w:r>
          </w:p>
        </w:tc>
        <w:tc>
          <w:tcPr>
            <w:tcW w:w="12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15</w:t>
            </w:r>
          </w:p>
        </w:tc>
        <w:tc>
          <w:tcPr>
            <w:tcW w:w="2725" w:type="dxa"/>
            <w:noWrap/>
            <w:vAlign w:val="center"/>
          </w:tcPr>
          <w:p>
            <w:pPr>
              <w:keepNext w:val="0"/>
              <w:keepLines w:val="0"/>
              <w:widowControl w:val="0"/>
              <w:suppressLineNumbers w:val="0"/>
              <w:spacing w:before="0" w:beforeAutospacing="0" w:after="0" w:afterAutospacing="0" w:line="300" w:lineRule="auto"/>
              <w:ind w:left="0" w:right="0"/>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排烟风机</w:t>
            </w:r>
          </w:p>
        </w:tc>
        <w:tc>
          <w:tcPr>
            <w:tcW w:w="884"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2台</w:t>
            </w:r>
          </w:p>
        </w:tc>
        <w:tc>
          <w:tcPr>
            <w:tcW w:w="797"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9"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1284" w:type="dxa"/>
            <w:noWrap/>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r>
    </w:tbl>
    <w:p>
      <w:pPr>
        <w:widowControl w:val="0"/>
        <w:spacing w:line="300" w:lineRule="auto"/>
        <w:jc w:val="both"/>
        <w:rPr>
          <w:rFonts w:ascii="宋体" w:hAnsi="宋体" w:cs="宋体"/>
          <w:color w:val="auto"/>
          <w:sz w:val="21"/>
          <w:szCs w:val="21"/>
          <w:lang w:eastAsia="zh-CN"/>
        </w:rPr>
      </w:pPr>
    </w:p>
    <w:bookmarkEnd w:id="6"/>
    <w:bookmarkEnd w:id="7"/>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1.2.2.2实施时间要求</w:t>
      </w:r>
    </w:p>
    <w:p>
      <w:pPr>
        <w:spacing w:line="300" w:lineRule="auto"/>
        <w:ind w:firstLine="420" w:firstLineChars="200"/>
        <w:rPr>
          <w:rFonts w:ascii="宋体" w:hAnsi="宋体" w:cs="宋体"/>
          <w:color w:val="auto"/>
          <w:sz w:val="21"/>
          <w:szCs w:val="21"/>
          <w:lang w:eastAsia="zh-CN"/>
        </w:rPr>
      </w:pPr>
      <w:r>
        <w:rPr>
          <w:rFonts w:hint="eastAsia" w:ascii="宋体" w:hAnsi="宋体" w:cs="宋体"/>
          <w:color w:val="auto"/>
          <w:sz w:val="21"/>
          <w:szCs w:val="21"/>
          <w:lang w:eastAsia="zh-CN"/>
        </w:rPr>
        <w:t>本项目服务期限为3年，</w:t>
      </w:r>
      <w:r>
        <w:rPr>
          <w:rFonts w:ascii="宋体" w:hAnsi="宋体" w:cs="宋体"/>
          <w:color w:val="auto"/>
          <w:sz w:val="21"/>
          <w:szCs w:val="21"/>
          <w:lang w:eastAsia="zh-CN"/>
        </w:rPr>
        <w:t>自2026年1月1日起至2028年12月31日止，采取一次招标三年沿用、分三个年度分别签订合同的方式实施。本项目中标通知书发出后，采购人与中标人按照项目招投标结果签订第一年度合同，中标人在该年服务期末经采购人考核合格（</w:t>
      </w:r>
      <w:r>
        <w:rPr>
          <w:rFonts w:ascii="宋体" w:hAnsi="宋体" w:eastAsia="宋体" w:cs="宋体"/>
          <w:sz w:val="21"/>
          <w:szCs w:val="21"/>
          <w:lang w:eastAsia="zh-CN"/>
        </w:rPr>
        <w:t>该年</w:t>
      </w:r>
      <w:r>
        <w:rPr>
          <w:rFonts w:hint="eastAsia" w:ascii="宋体" w:hAnsi="宋体" w:eastAsia="宋体" w:cs="宋体"/>
          <w:sz w:val="21"/>
          <w:szCs w:val="21"/>
          <w:lang w:eastAsia="zh-CN"/>
        </w:rPr>
        <w:t>前3</w:t>
      </w:r>
      <w:r>
        <w:rPr>
          <w:rFonts w:ascii="宋体" w:hAnsi="宋体" w:eastAsia="宋体" w:cs="宋体"/>
          <w:sz w:val="21"/>
          <w:szCs w:val="21"/>
          <w:lang w:eastAsia="zh-CN"/>
        </w:rPr>
        <w:t>次</w:t>
      </w:r>
      <w:r>
        <w:rPr>
          <w:rFonts w:hint="eastAsia" w:ascii="宋体" w:hAnsi="宋体" w:eastAsia="宋体"/>
          <w:sz w:val="21"/>
          <w:szCs w:val="21"/>
          <w:lang w:eastAsia="zh-CN"/>
        </w:rPr>
        <w:t>履约验收考核结果均为合格</w:t>
      </w:r>
      <w:r>
        <w:rPr>
          <w:rFonts w:hint="eastAsia" w:ascii="宋体" w:hAnsi="宋体" w:cs="宋体"/>
          <w:color w:val="auto"/>
          <w:sz w:val="21"/>
          <w:szCs w:val="21"/>
          <w:lang w:eastAsia="zh-CN"/>
        </w:rPr>
        <w:t>）的，双方续签下一年度合同，以此类推。</w:t>
      </w:r>
      <w:r>
        <w:rPr>
          <w:rFonts w:ascii="宋体" w:hAnsi="宋体" w:cs="宋体"/>
          <w:color w:val="auto"/>
          <w:sz w:val="21"/>
          <w:szCs w:val="21"/>
          <w:lang w:eastAsia="zh-CN"/>
        </w:rPr>
        <w:t>除增加服务内容外，</w:t>
      </w:r>
      <w:r>
        <w:rPr>
          <w:rFonts w:hint="eastAsia" w:ascii="宋体" w:hAnsi="宋体" w:cs="宋体"/>
          <w:color w:val="auto"/>
          <w:sz w:val="21"/>
          <w:szCs w:val="21"/>
          <w:lang w:eastAsia="zh-CN"/>
        </w:rPr>
        <w:t>第二年和第三年签订的采购合同价原则上不得高于招标时所确定的第一年度合同价格。如中标人年度考核未通过，或者第二和第三年度因服务内容变化导致合同价格变动幅度超过招标时所确定的第一年度合同金额</w:t>
      </w:r>
      <w:r>
        <w:rPr>
          <w:rFonts w:ascii="宋体" w:hAnsi="宋体" w:cs="宋体"/>
          <w:color w:val="auto"/>
          <w:sz w:val="21"/>
          <w:szCs w:val="21"/>
          <w:lang w:eastAsia="zh-CN"/>
        </w:rPr>
        <w:t>10%的，则上一年度合同到期后，双方不再续签下一年度合同，本项目招标结果也不再有效。</w:t>
      </w:r>
    </w:p>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1.2.2.3实施地点要求</w:t>
      </w:r>
    </w:p>
    <w:p>
      <w:pPr>
        <w:spacing w:line="300" w:lineRule="auto"/>
        <w:ind w:firstLine="420" w:firstLineChars="200"/>
        <w:rPr>
          <w:rFonts w:ascii="宋体" w:hAnsi="宋体" w:cs="仿宋_GB2312"/>
          <w:color w:val="auto"/>
          <w:sz w:val="21"/>
          <w:szCs w:val="21"/>
          <w:lang w:eastAsia="zh-CN"/>
        </w:rPr>
      </w:pPr>
      <w:r>
        <w:rPr>
          <w:rFonts w:ascii="宋体" w:hAnsi="宋体" w:cs="仿宋_GB2312"/>
          <w:color w:val="auto"/>
          <w:sz w:val="21"/>
          <w:szCs w:val="21"/>
          <w:lang w:eastAsia="zh-CN"/>
        </w:rPr>
        <w:t>采购人指定地点</w:t>
      </w:r>
    </w:p>
    <w:p>
      <w:pPr>
        <w:spacing w:line="300" w:lineRule="auto"/>
        <w:jc w:val="both"/>
        <w:rPr>
          <w:rFonts w:ascii="宋体" w:hAnsi="宋体" w:cs="仿宋_GB2312"/>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10" w:name="_Toc202710756"/>
      <w:r>
        <w:rPr>
          <w:rFonts w:ascii="宋体" w:hAnsi="宋体" w:cs="仿宋_GB2312"/>
          <w:color w:val="auto"/>
          <w:kern w:val="36"/>
          <w:sz w:val="28"/>
          <w:szCs w:val="28"/>
          <w:lang w:eastAsia="zh-CN"/>
        </w:rPr>
        <w:t>2投标/响应要求</w:t>
      </w:r>
      <w:bookmarkEnd w:id="10"/>
    </w:p>
    <w:p>
      <w:pPr>
        <w:pStyle w:val="4"/>
        <w:keepNext w:val="0"/>
        <w:spacing w:before="0" w:after="0" w:line="300" w:lineRule="auto"/>
        <w:rPr>
          <w:rFonts w:ascii="宋体" w:hAnsi="宋体" w:cs="仿宋_GB2312"/>
          <w:color w:val="auto"/>
          <w:sz w:val="21"/>
          <w:szCs w:val="21"/>
          <w:lang w:eastAsia="zh-CN"/>
        </w:rPr>
      </w:pPr>
      <w:bookmarkStart w:id="11" w:name="_Toc202710757"/>
      <w:r>
        <w:rPr>
          <w:rFonts w:ascii="宋体" w:hAnsi="宋体" w:cs="仿宋_GB2312"/>
          <w:i w:val="0"/>
          <w:iCs w:val="0"/>
          <w:color w:val="auto"/>
          <w:sz w:val="21"/>
          <w:szCs w:val="21"/>
          <w:lang w:eastAsia="zh-CN"/>
        </w:rPr>
        <w:t>2.1对供应商的要求</w:t>
      </w:r>
      <w:bookmarkEnd w:id="11"/>
    </w:p>
    <w:p>
      <w:pPr>
        <w:pStyle w:val="5"/>
        <w:keepNext w:val="0"/>
        <w:spacing w:before="0" w:after="0" w:line="300" w:lineRule="auto"/>
        <w:rPr>
          <w:rFonts w:ascii="宋体" w:hAnsi="宋体" w:cs="仿宋_GB2312"/>
          <w:color w:val="auto"/>
          <w:sz w:val="21"/>
          <w:szCs w:val="21"/>
          <w:lang w:eastAsia="zh-CN"/>
        </w:rPr>
      </w:pPr>
      <w:bookmarkStart w:id="12" w:name="_Toc202710758"/>
      <w:r>
        <w:rPr>
          <w:rFonts w:ascii="宋体" w:hAnsi="宋体" w:cs="仿宋_GB2312"/>
          <w:color w:val="auto"/>
          <w:sz w:val="21"/>
          <w:szCs w:val="21"/>
          <w:lang w:eastAsia="zh-CN"/>
        </w:rPr>
        <w:t>2.1.1必备资质</w:t>
      </w:r>
      <w:bookmarkEnd w:id="12"/>
    </w:p>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2.1.1.1投标人应遵守有关国家法律、法规和条例,具备《中华人民共和国政府采购法》第二十二条的规定和本文件中规定的条件。</w:t>
      </w:r>
    </w:p>
    <w:p>
      <w:pPr>
        <w:pStyle w:val="5"/>
        <w:keepNext w:val="0"/>
        <w:spacing w:before="0" w:after="0" w:line="300" w:lineRule="auto"/>
        <w:rPr>
          <w:rFonts w:ascii="宋体" w:hAnsi="宋体" w:cs="仿宋_GB2312"/>
          <w:color w:val="auto"/>
          <w:sz w:val="21"/>
          <w:szCs w:val="21"/>
          <w:lang w:eastAsia="zh-CN"/>
        </w:rPr>
      </w:pPr>
      <w:bookmarkStart w:id="13" w:name="_Toc202710759"/>
      <w:r>
        <w:rPr>
          <w:rFonts w:ascii="宋体" w:hAnsi="宋体" w:cs="仿宋_GB2312"/>
          <w:color w:val="auto"/>
          <w:sz w:val="21"/>
          <w:szCs w:val="21"/>
          <w:lang w:eastAsia="zh-CN"/>
        </w:rPr>
        <w:t>2.1.2优选资质/优选指标</w:t>
      </w:r>
      <w:bookmarkEnd w:id="13"/>
    </w:p>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2.1.2.1相关证书</w:t>
      </w:r>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供应商具有质量管理体系认证（GB/T 19001认证）、职业健康安全管理体系认证（GB/T 45001认证）、环境管理体系认证（GB/T 24001认证），并在认证有效期内的优先考虑。</w:t>
      </w:r>
    </w:p>
    <w:p>
      <w:pPr>
        <w:pStyle w:val="6"/>
        <w:keepNext w:val="0"/>
        <w:spacing w:before="0" w:after="0" w:line="300" w:lineRule="auto"/>
        <w:rPr>
          <w:rFonts w:ascii="宋体" w:hAnsi="宋体" w:cs="仿宋_GB2312"/>
          <w:color w:val="auto"/>
          <w:sz w:val="21"/>
          <w:szCs w:val="21"/>
          <w:lang w:eastAsia="zh-CN"/>
        </w:rPr>
      </w:pPr>
      <w:r>
        <w:rPr>
          <w:rFonts w:ascii="宋体" w:hAnsi="宋体" w:cs="仿宋_GB2312"/>
          <w:color w:val="auto"/>
          <w:sz w:val="21"/>
          <w:szCs w:val="21"/>
          <w:lang w:eastAsia="zh-CN"/>
        </w:rPr>
        <w:t>2.1.2.2成功案例</w:t>
      </w:r>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供应商具有近三年非住宅类物业项目业绩的优先考虑。</w:t>
      </w:r>
    </w:p>
    <w:p>
      <w:pPr>
        <w:pStyle w:val="5"/>
        <w:keepNext w:val="0"/>
        <w:spacing w:before="0" w:after="0" w:line="300" w:lineRule="auto"/>
        <w:rPr>
          <w:rFonts w:ascii="宋体" w:hAnsi="宋体" w:cs="仿宋_GB2312"/>
          <w:color w:val="auto"/>
          <w:sz w:val="21"/>
          <w:szCs w:val="21"/>
          <w:lang w:eastAsia="zh-CN"/>
        </w:rPr>
      </w:pPr>
      <w:bookmarkStart w:id="14" w:name="_Toc202710760"/>
      <w:r>
        <w:rPr>
          <w:rFonts w:ascii="宋体" w:hAnsi="宋体" w:cs="仿宋_GB2312"/>
          <w:color w:val="auto"/>
          <w:sz w:val="21"/>
          <w:szCs w:val="21"/>
          <w:lang w:eastAsia="zh-CN"/>
        </w:rPr>
        <w:t>2.1.3是否允许联合体</w:t>
      </w:r>
      <w:bookmarkEnd w:id="14"/>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否</w:t>
      </w:r>
    </w:p>
    <w:p>
      <w:pPr>
        <w:pStyle w:val="5"/>
        <w:keepNext w:val="0"/>
        <w:spacing w:before="0" w:after="0" w:line="300" w:lineRule="auto"/>
        <w:rPr>
          <w:rFonts w:ascii="宋体" w:hAnsi="宋体" w:cs="仿宋_GB2312"/>
          <w:color w:val="auto"/>
          <w:sz w:val="21"/>
          <w:szCs w:val="21"/>
          <w:lang w:eastAsia="zh-CN"/>
        </w:rPr>
      </w:pPr>
      <w:bookmarkStart w:id="15" w:name="_Toc202710761"/>
      <w:r>
        <w:rPr>
          <w:rFonts w:ascii="宋体" w:hAnsi="宋体" w:cs="仿宋_GB2312"/>
          <w:color w:val="auto"/>
          <w:sz w:val="21"/>
          <w:szCs w:val="21"/>
          <w:lang w:eastAsia="zh-CN"/>
        </w:rPr>
        <w:t>2.1.4是否专门面向中小企业</w:t>
      </w:r>
      <w:bookmarkEnd w:id="15"/>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本项目专门面向中小企业采购。</w:t>
      </w:r>
    </w:p>
    <w:p>
      <w:pPr>
        <w:pStyle w:val="5"/>
        <w:keepNext w:val="0"/>
        <w:spacing w:before="0" w:after="0" w:line="300" w:lineRule="auto"/>
        <w:rPr>
          <w:rFonts w:ascii="宋体" w:hAnsi="宋体" w:cs="仿宋_GB2312"/>
          <w:color w:val="auto"/>
          <w:sz w:val="21"/>
          <w:szCs w:val="21"/>
          <w:lang w:eastAsia="zh-CN"/>
        </w:rPr>
      </w:pPr>
      <w:bookmarkStart w:id="16" w:name="_Toc202710762"/>
      <w:r>
        <w:rPr>
          <w:rFonts w:ascii="宋体" w:hAnsi="宋体" w:cs="仿宋_GB2312"/>
          <w:color w:val="auto"/>
          <w:sz w:val="21"/>
          <w:szCs w:val="21"/>
          <w:lang w:eastAsia="zh-CN"/>
        </w:rPr>
        <w:t>2.1.5专项服务分包要求</w:t>
      </w:r>
      <w:bookmarkEnd w:id="16"/>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本项目允许分包的专项服务内容：电梯系统维保、消防系统维保</w:t>
      </w:r>
      <w:r>
        <w:rPr>
          <w:rFonts w:ascii="宋体" w:hAnsi="宋体" w:cs="仿宋_GB2312"/>
          <w:color w:val="auto"/>
          <w:sz w:val="21"/>
          <w:szCs w:val="21"/>
          <w:lang w:eastAsia="zh-CN"/>
        </w:rPr>
        <w:t>。</w:t>
      </w:r>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供应商拟将上述专项服务分包的，应当在投标文件中提供《对外分包专项服务情况表》，载明接受分包的企业、分包合同金额，接受分包的企业应当具备相应资质条件且不得再次分包。除上述情形外，中标后一律不得对外分包。</w:t>
      </w:r>
    </w:p>
    <w:p>
      <w:pPr>
        <w:pStyle w:val="4"/>
        <w:keepNext w:val="0"/>
        <w:spacing w:before="0" w:after="0" w:line="300" w:lineRule="auto"/>
        <w:rPr>
          <w:rFonts w:ascii="宋体" w:hAnsi="宋体" w:cs="仿宋_GB2312"/>
          <w:color w:val="auto"/>
          <w:sz w:val="21"/>
          <w:szCs w:val="21"/>
          <w:lang w:eastAsia="zh-CN"/>
        </w:rPr>
      </w:pPr>
      <w:bookmarkStart w:id="17" w:name="_Toc202710763"/>
      <w:r>
        <w:rPr>
          <w:rFonts w:ascii="宋体" w:hAnsi="宋体" w:cs="仿宋_GB2312"/>
          <w:i w:val="0"/>
          <w:iCs w:val="0"/>
          <w:color w:val="auto"/>
          <w:sz w:val="21"/>
          <w:szCs w:val="21"/>
          <w:lang w:eastAsia="zh-CN"/>
        </w:rPr>
        <w:t>2.2技术部分投标/响应内容</w:t>
      </w:r>
      <w:bookmarkEnd w:id="17"/>
    </w:p>
    <w:p>
      <w:pPr>
        <w:pStyle w:val="5"/>
        <w:keepNext w:val="0"/>
        <w:spacing w:before="0" w:after="0" w:line="300" w:lineRule="auto"/>
        <w:rPr>
          <w:rFonts w:ascii="宋体" w:hAnsi="宋体" w:cs="仿宋_GB2312"/>
          <w:color w:val="auto"/>
          <w:sz w:val="21"/>
          <w:szCs w:val="21"/>
          <w:lang w:eastAsia="zh-CN"/>
        </w:rPr>
      </w:pPr>
      <w:bookmarkStart w:id="18" w:name="_Toc202710764"/>
      <w:r>
        <w:rPr>
          <w:rFonts w:ascii="宋体" w:hAnsi="宋体" w:cs="仿宋_GB2312"/>
          <w:color w:val="auto"/>
          <w:sz w:val="21"/>
          <w:szCs w:val="21"/>
          <w:lang w:eastAsia="zh-CN"/>
        </w:rPr>
        <w:t>2.2.1投标/响应方案要求</w:t>
      </w:r>
      <w:bookmarkEnd w:id="18"/>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投标人对本项目总体需求的理解。</w:t>
      </w:r>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投标人针对本项目的服务方案，至少包含下列内容：</w:t>
      </w:r>
      <w:r>
        <w:rPr>
          <w:rFonts w:ascii="宋体" w:hAnsi="宋体" w:cs="仿宋_GB2312"/>
          <w:color w:val="auto"/>
          <w:sz w:val="21"/>
          <w:szCs w:val="21"/>
          <w:lang w:eastAsia="zh-CN"/>
        </w:rPr>
        <w:t>基本服务、房屋维护服务、公用设施设备维护服务、保洁服务、绿化服务、保安服务、会议服务</w:t>
      </w:r>
      <w:r>
        <w:rPr>
          <w:rFonts w:hint="eastAsia" w:ascii="宋体" w:hAnsi="宋体" w:cs="仿宋_GB2312"/>
          <w:color w:val="auto"/>
          <w:sz w:val="21"/>
          <w:szCs w:val="21"/>
          <w:lang w:eastAsia="zh-CN"/>
        </w:rPr>
        <w:t>、文印服务</w:t>
      </w:r>
      <w:r>
        <w:rPr>
          <w:rFonts w:ascii="宋体" w:hAnsi="宋体" w:cs="仿宋_GB2312"/>
          <w:color w:val="auto"/>
          <w:sz w:val="21"/>
          <w:szCs w:val="21"/>
          <w:lang w:eastAsia="zh-CN"/>
        </w:rPr>
        <w:t>等。</w:t>
      </w:r>
    </w:p>
    <w:p>
      <w:pPr>
        <w:spacing w:line="300" w:lineRule="auto"/>
        <w:ind w:firstLine="420" w:firstLineChars="200"/>
        <w:rPr>
          <w:rFonts w:ascii="宋体" w:hAnsi="宋体" w:cs="仿宋_GB2312"/>
          <w:color w:val="auto"/>
          <w:sz w:val="21"/>
          <w:szCs w:val="21"/>
          <w:lang w:eastAsia="zh-CN"/>
        </w:rPr>
      </w:pPr>
      <w:r>
        <w:rPr>
          <w:rFonts w:hint="eastAsia" w:ascii="宋体" w:hAnsi="宋体" w:cs="仿宋_GB2312"/>
          <w:color w:val="auto"/>
          <w:sz w:val="21"/>
          <w:szCs w:val="21"/>
          <w:lang w:eastAsia="zh-CN"/>
        </w:rPr>
        <w:t>投标人针对本项目的项目经理和主管人员配置情况、服务人员配置承诺。</w:t>
      </w:r>
    </w:p>
    <w:p>
      <w:pPr>
        <w:spacing w:line="300" w:lineRule="auto"/>
        <w:ind w:firstLine="420" w:firstLineChars="200"/>
        <w:rPr>
          <w:rFonts w:ascii="宋体" w:hAnsi="宋体" w:cs="仿宋_GB2312"/>
          <w:color w:val="auto"/>
          <w:sz w:val="21"/>
          <w:szCs w:val="21"/>
          <w:lang w:eastAsia="zh-CN"/>
        </w:rPr>
      </w:pPr>
    </w:p>
    <w:p>
      <w:pPr>
        <w:spacing w:line="300" w:lineRule="auto"/>
        <w:jc w:val="both"/>
        <w:rPr>
          <w:rFonts w:ascii="宋体" w:hAnsi="宋体" w:cs="仿宋_GB2312"/>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19" w:name="_Toc202710765"/>
      <w:r>
        <w:rPr>
          <w:rFonts w:ascii="宋体" w:hAnsi="宋体" w:cs="仿宋_GB2312"/>
          <w:color w:val="auto"/>
          <w:kern w:val="36"/>
          <w:sz w:val="28"/>
          <w:szCs w:val="28"/>
          <w:lang w:eastAsia="zh-CN"/>
        </w:rPr>
        <w:t>3项目需求</w:t>
      </w:r>
      <w:bookmarkEnd w:id="19"/>
    </w:p>
    <w:p>
      <w:pPr>
        <w:pStyle w:val="4"/>
        <w:keepNext w:val="0"/>
        <w:spacing w:before="0" w:after="0" w:line="300" w:lineRule="auto"/>
        <w:rPr>
          <w:rFonts w:ascii="宋体" w:hAnsi="宋体" w:cs="仿宋_GB2312"/>
          <w:color w:val="auto"/>
          <w:sz w:val="21"/>
          <w:szCs w:val="21"/>
          <w:lang w:eastAsia="zh-CN"/>
        </w:rPr>
      </w:pPr>
      <w:bookmarkStart w:id="20" w:name="_Toc202710766"/>
      <w:r>
        <w:rPr>
          <w:rFonts w:ascii="宋体" w:hAnsi="宋体" w:cs="仿宋_GB2312"/>
          <w:i w:val="0"/>
          <w:iCs w:val="0"/>
          <w:color w:val="auto"/>
          <w:sz w:val="21"/>
          <w:szCs w:val="21"/>
          <w:lang w:eastAsia="zh-CN"/>
        </w:rPr>
        <w:t>3.1总体要求</w:t>
      </w:r>
      <w:bookmarkEnd w:id="20"/>
    </w:p>
    <w:p>
      <w:pPr>
        <w:spacing w:line="300" w:lineRule="auto"/>
        <w:ind w:firstLine="420" w:firstLineChars="200"/>
        <w:rPr>
          <w:rFonts w:ascii="宋体" w:hAnsi="宋体" w:cs="仿宋_GB2312"/>
          <w:color w:val="auto"/>
          <w:sz w:val="21"/>
          <w:szCs w:val="21"/>
          <w:lang w:eastAsia="zh-CN"/>
        </w:rPr>
      </w:pPr>
      <w:r>
        <w:rPr>
          <w:rFonts w:ascii="宋体" w:hAnsi="宋体" w:cs="仿宋_GB2312"/>
          <w:color w:val="auto"/>
          <w:sz w:val="21"/>
          <w:szCs w:val="21"/>
          <w:lang w:eastAsia="zh-CN"/>
        </w:rPr>
        <w:t>物业管理服务包括基本服务、房屋维护服务、公用设施设备维护服务、保洁服务、绿化服务、保安服务、会议服务</w:t>
      </w:r>
      <w:r>
        <w:rPr>
          <w:rFonts w:hint="eastAsia" w:ascii="宋体" w:hAnsi="宋体" w:cs="仿宋_GB2312"/>
          <w:color w:val="auto"/>
          <w:sz w:val="21"/>
          <w:szCs w:val="21"/>
          <w:lang w:eastAsia="zh-CN"/>
        </w:rPr>
        <w:t>、文印服务等</w:t>
      </w:r>
      <w:r>
        <w:rPr>
          <w:rFonts w:ascii="宋体" w:hAnsi="宋体" w:cs="仿宋_GB2312"/>
          <w:color w:val="auto"/>
          <w:sz w:val="21"/>
          <w:szCs w:val="21"/>
          <w:lang w:eastAsia="zh-CN"/>
        </w:rPr>
        <w:t>。</w:t>
      </w:r>
    </w:p>
    <w:p>
      <w:pPr>
        <w:pStyle w:val="4"/>
        <w:keepNext w:val="0"/>
        <w:spacing w:before="0" w:after="0" w:line="300" w:lineRule="auto"/>
        <w:rPr>
          <w:rFonts w:ascii="宋体" w:hAnsi="宋体" w:cs="仿宋_GB2312"/>
          <w:color w:val="auto"/>
          <w:sz w:val="21"/>
          <w:szCs w:val="21"/>
          <w:lang w:eastAsia="zh-CN"/>
        </w:rPr>
      </w:pPr>
      <w:bookmarkStart w:id="21" w:name="_Toc202710767"/>
      <w:r>
        <w:rPr>
          <w:rFonts w:ascii="宋体" w:hAnsi="宋体" w:cs="仿宋_GB2312"/>
          <w:i w:val="0"/>
          <w:iCs w:val="0"/>
          <w:color w:val="auto"/>
          <w:sz w:val="21"/>
          <w:szCs w:val="21"/>
          <w:lang w:eastAsia="zh-CN"/>
        </w:rPr>
        <w:t>3.2具体要求</w:t>
      </w:r>
      <w:bookmarkEnd w:id="21"/>
    </w:p>
    <w:p>
      <w:pPr>
        <w:widowControl w:val="0"/>
        <w:spacing w:line="300" w:lineRule="auto"/>
        <w:ind w:firstLine="422" w:firstLineChars="200"/>
        <w:jc w:val="both"/>
        <w:rPr>
          <w:rFonts w:ascii="宋体" w:hAnsi="宋体" w:cs="Calibri"/>
          <w:b/>
          <w:bCs/>
          <w:color w:val="auto"/>
          <w:sz w:val="21"/>
          <w:szCs w:val="21"/>
        </w:rPr>
      </w:pPr>
      <w:bookmarkStart w:id="22" w:name="_Toc26156"/>
      <w:bookmarkStart w:id="23" w:name="_Toc10498"/>
      <w:bookmarkStart w:id="24" w:name="_Toc26485"/>
      <w:r>
        <w:rPr>
          <w:rFonts w:hint="eastAsia" w:ascii="宋体" w:hAnsi="宋体" w:cs="Calibri"/>
          <w:b/>
          <w:bCs/>
          <w:color w:val="auto"/>
          <w:sz w:val="21"/>
          <w:szCs w:val="21"/>
        </w:rPr>
        <w:t>3.</w:t>
      </w:r>
      <w:bookmarkEnd w:id="22"/>
      <w:bookmarkEnd w:id="23"/>
      <w:bookmarkEnd w:id="24"/>
      <w:r>
        <w:rPr>
          <w:rFonts w:hint="eastAsia" w:ascii="宋体" w:hAnsi="宋体" w:cs="Calibri"/>
          <w:b/>
          <w:bCs/>
          <w:color w:val="auto"/>
          <w:sz w:val="21"/>
          <w:szCs w:val="21"/>
          <w:lang w:eastAsia="zh-CN"/>
        </w:rPr>
        <w:t>2.</w:t>
      </w:r>
      <w:r>
        <w:rPr>
          <w:rFonts w:hint="eastAsia" w:ascii="宋体" w:hAnsi="宋体" w:cs="Calibri"/>
          <w:b/>
          <w:bCs/>
          <w:color w:val="auto"/>
          <w:sz w:val="21"/>
          <w:szCs w:val="21"/>
        </w:rPr>
        <w:t>1基本服务</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序号</w:t>
            </w:r>
          </w:p>
        </w:tc>
        <w:tc>
          <w:tcPr>
            <w:tcW w:w="213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服务内容</w:t>
            </w:r>
          </w:p>
        </w:tc>
        <w:tc>
          <w:tcPr>
            <w:tcW w:w="623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1</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目标与责任</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（2）代表采购人与物业管理所涉及的各有关方面交涉，维护采购人的合法利益，并提醒采购人遵守与物业管理有关的法规政策，履行应尽的责任和义务。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（3）执行重大事项报告制度，遇到险情和重大事故，或对违规行为劝阻无效时，立即向上级和当地行政主管部门报告，并及时通知采购人。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（4）对外与各相关部门建立良好联系，在有事情况下能够获得及时支持与帮助。对内定期了解和满足采购人需求，提高服务管理水准。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2</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服务人员要求</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宋体" w:hAnsi="宋体" w:cs="宋体"/>
                <w:color w:val="auto"/>
                <w:kern w:val="2"/>
                <w:sz w:val="21"/>
                <w:szCs w:val="21"/>
              </w:rPr>
              <w:t>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保密和思想政治教育</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（1）建立保密管理制度。制度内容应当包括但不限于：①明确重点要害岗位保密职责。②对涉密工作岗位的保密要求。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档案管理</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档案和记录齐全，包括但不限于：①教育培训和考核记录。保密、思想政治教育培训记录。②房屋维护服务：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等。⑥绿化服务：绿化总平面图、清洁整改记录、消杀记录等。⑦其他：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（4）履约结束后，相关资料交还采购人，采购人按相关规定存档。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分包供应商管理</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（1）合理控制外包服务人员数量和流动率。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（2）根据采购人要求明确对分包供应商的要求，确定工作流程。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（5）根据工作反馈意见与建议，持续提升服务品质。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（6）查验登记相关资质和证明或批准文件；有关作业计划、方案和图纸等存档备案。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rPr>
                <w:rFonts w:ascii="宋体" w:hAnsi="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rPr>
                <w:rFonts w:ascii="宋体" w:hAnsi="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（7）巡视或监督及配合作业过程，及时向采购人和有关部门报告异常情况、劝阻违规作业并取证、发生事故时保护现场；作业结束参与验收，并做好记录。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keepNext w:val="0"/>
              <w:keepLines w:val="0"/>
              <w:widowControl/>
              <w:suppressLineNumbers w:val="0"/>
              <w:spacing w:before="0" w:beforeAutospacing="0" w:after="0" w:afterAutospacing="0" w:line="300" w:lineRule="auto"/>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rPr>
              <w:t>6</w:t>
            </w:r>
          </w:p>
        </w:tc>
        <w:tc>
          <w:tcPr>
            <w:tcW w:w="2131" w:type="dxa"/>
            <w:noWrap/>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办公楼能耗管理</w:t>
            </w:r>
          </w:p>
        </w:tc>
        <w:tc>
          <w:tcPr>
            <w:tcW w:w="6231" w:type="dxa"/>
            <w:noWrap/>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根据办公楼实际运行情况，制定能耗管理方案（包括能耗管理范围、管理手段、考核指标、激励方法等），帮助采购人实现节能减排目标。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7</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服务改进</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8</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重大活动后勤保障</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9</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应急保障预案</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10</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服务方案及工作制度</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（1）制定工作制度，主要包括：人员录用制度、档案管理制度、物业服务管理制度、公用设施设备相关管理制度等。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（2）制定项目实施方案，主要包括：交接方案、人员培训方案、人员稳定性方案、保密方案等。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（3）制定物业服务方案，主要包括：房屋维护服务方案、公用设施设备维护服务方案、绿化服务方案、保洁服务方案、保安服务方案、会议服务、文印服务方案等。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（4）迅速熟悉管理区域情况，一旦入驻即能立刻提供业主所要求的管理与服务，处理各类日常事务和应急事务。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r>
              <w:rPr>
                <w:rFonts w:hint="eastAsia" w:ascii="宋体" w:hAnsi="宋体" w:cs="宋体"/>
                <w:color w:val="auto"/>
                <w:kern w:val="2"/>
                <w:sz w:val="21"/>
                <w:szCs w:val="21"/>
                <w:lang w:val="en-US" w:eastAsia="zh-CN"/>
              </w:rPr>
              <w:t>1</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信报服务</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（4）报刊、杂志、信件派发及相关服务及时、准确、有记录。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eastAsia="zh-CN"/>
              </w:rPr>
              <w:t>5</w:t>
            </w:r>
            <w:r>
              <w:rPr>
                <w:rFonts w:hint="eastAsia" w:ascii="宋体" w:hAnsi="宋体" w:cs="宋体"/>
                <w:color w:val="auto"/>
                <w:kern w:val="2"/>
                <w:sz w:val="21"/>
                <w:szCs w:val="21"/>
                <w:lang w:eastAsia="zh-CN"/>
              </w:rPr>
              <w:t>）严格遵守保密制度及相关要求。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r>
              <w:rPr>
                <w:rFonts w:hint="eastAsia" w:ascii="宋体" w:hAnsi="宋体" w:cs="宋体"/>
                <w:color w:val="auto"/>
                <w:kern w:val="2"/>
                <w:sz w:val="21"/>
                <w:szCs w:val="21"/>
                <w:lang w:val="en-US" w:eastAsia="zh-CN"/>
              </w:rPr>
              <w:t>2</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服务热线及紧急维修</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c>
          <w:tcPr>
            <w:tcW w:w="2131"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（2）紧急维修应当15分钟内到达现场。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r>
              <w:rPr>
                <w:rFonts w:hint="eastAsia" w:ascii="宋体" w:hAnsi="宋体" w:cs="宋体"/>
                <w:color w:val="auto"/>
                <w:kern w:val="2"/>
                <w:sz w:val="21"/>
                <w:szCs w:val="21"/>
                <w:lang w:val="en-US" w:eastAsia="zh-CN"/>
              </w:rPr>
              <w:t>3</w:t>
            </w:r>
          </w:p>
        </w:tc>
        <w:tc>
          <w:tcPr>
            <w:tcW w:w="2131"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楼内搬运服务</w:t>
            </w: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（1）提供饮用水搬运等服务。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9" w:type="dxa"/>
            <w:vMerge w:val="continue"/>
            <w:noWrap/>
            <w:vAlign w:val="center"/>
          </w:tcPr>
          <w:p>
            <w:pPr>
              <w:keepNext w:val="0"/>
              <w:keepLines w:val="0"/>
              <w:widowControl/>
              <w:suppressLineNumbers w:val="0"/>
              <w:spacing w:before="0" w:beforeAutospacing="0" w:after="0" w:afterAutospacing="0" w:line="300" w:lineRule="auto"/>
              <w:ind w:left="0" w:right="0"/>
              <w:jc w:val="both"/>
              <w:outlineLvl w:val="9"/>
              <w:rPr>
                <w:rFonts w:ascii="宋体" w:hAnsi="宋体" w:cs="宋体"/>
                <w:b w:val="0"/>
                <w:bCs w:val="0"/>
                <w:color w:val="auto"/>
                <w:kern w:val="2"/>
                <w:sz w:val="21"/>
                <w:szCs w:val="21"/>
                <w:highlight w:val="none"/>
                <w:lang w:eastAsia="zh-CN"/>
              </w:rPr>
            </w:pPr>
          </w:p>
        </w:tc>
        <w:tc>
          <w:tcPr>
            <w:tcW w:w="2131" w:type="dxa"/>
            <w:vMerge w:val="continue"/>
            <w:noWrap/>
            <w:vAlign w:val="center"/>
          </w:tcPr>
          <w:p>
            <w:pPr>
              <w:keepNext/>
              <w:keepLines w:val="0"/>
              <w:widowControl/>
              <w:suppressLineNumbers w:val="0"/>
              <w:spacing w:before="240" w:beforeAutospacing="0" w:after="60" w:afterAutospacing="0" w:line="300" w:lineRule="auto"/>
              <w:ind w:left="0" w:right="0"/>
              <w:jc w:val="both"/>
              <w:outlineLvl w:val="2"/>
              <w:rPr>
                <w:rFonts w:ascii="宋体" w:hAnsi="宋体" w:cs="宋体"/>
                <w:b w:val="0"/>
                <w:bCs w:val="0"/>
                <w:color w:val="auto"/>
                <w:kern w:val="2"/>
                <w:sz w:val="21"/>
                <w:szCs w:val="21"/>
                <w:highlight w:val="none"/>
                <w:lang w:eastAsia="zh-CN"/>
              </w:rPr>
            </w:pPr>
          </w:p>
        </w:tc>
        <w:tc>
          <w:tcPr>
            <w:tcW w:w="623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w:t>
            </w:r>
            <w:r>
              <w:rPr>
                <w:rFonts w:ascii="宋体" w:hAnsi="宋体" w:cs="宋体"/>
                <w:color w:val="auto"/>
                <w:kern w:val="2"/>
                <w:sz w:val="21"/>
                <w:szCs w:val="21"/>
                <w:highlight w:val="none"/>
                <w:lang w:eastAsia="zh-CN"/>
              </w:rPr>
              <w:t>2）提供办公室内桌、椅等小件、少量家具调整移位服务。</w:t>
            </w:r>
          </w:p>
        </w:tc>
      </w:tr>
    </w:tbl>
    <w:p>
      <w:pPr>
        <w:pStyle w:val="2"/>
        <w:spacing w:line="300" w:lineRule="auto"/>
        <w:jc w:val="both"/>
        <w:rPr>
          <w:rFonts w:hAnsi="宋体"/>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2</w:t>
      </w:r>
      <w:r>
        <w:rPr>
          <w:rFonts w:ascii="宋体" w:hAnsi="宋体" w:cs="Calibri"/>
          <w:b/>
          <w:bCs/>
          <w:color w:val="auto"/>
          <w:sz w:val="21"/>
          <w:szCs w:val="21"/>
        </w:rPr>
        <w:t>房屋维护服务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42"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6229"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主体结构、围护结构、部品部件</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r>
              <w:rPr>
                <w:rFonts w:ascii="宋体" w:hAnsi="宋体" w:cs="Calibri"/>
                <w:color w:val="auto"/>
                <w:kern w:val="2"/>
                <w:sz w:val="21"/>
                <w:szCs w:val="21"/>
                <w:lang w:eastAsia="zh-CN"/>
              </w:rPr>
              <w:t>每季度至少</w:t>
            </w:r>
            <w:r>
              <w:rPr>
                <w:rFonts w:hint="eastAsia" w:ascii="宋体" w:hAnsi="宋体" w:cs="Calibri"/>
                <w:color w:val="auto"/>
                <w:kern w:val="2"/>
                <w:sz w:val="21"/>
                <w:szCs w:val="21"/>
                <w:lang w:eastAsia="zh-CN"/>
              </w:rPr>
              <w:t>开展</w:t>
            </w:r>
            <w:r>
              <w:rPr>
                <w:rFonts w:ascii="宋体" w:hAnsi="宋体" w:cs="Calibri"/>
                <w:color w:val="auto"/>
                <w:kern w:val="2"/>
                <w:sz w:val="21"/>
                <w:szCs w:val="21"/>
                <w:lang w:eastAsia="zh-CN"/>
              </w:rPr>
              <w:t>1次</w:t>
            </w:r>
            <w:r>
              <w:rPr>
                <w:rFonts w:hint="eastAsia" w:ascii="宋体" w:hAnsi="宋体" w:cs="Calibri"/>
                <w:color w:val="auto"/>
                <w:kern w:val="2"/>
                <w:sz w:val="21"/>
                <w:szCs w:val="21"/>
                <w:lang w:eastAsia="zh-CN"/>
              </w:rPr>
              <w:t>房屋结构安全</w:t>
            </w:r>
            <w:r>
              <w:rPr>
                <w:rFonts w:ascii="宋体" w:hAnsi="宋体" w:cs="Calibri"/>
                <w:color w:val="auto"/>
                <w:kern w:val="2"/>
                <w:sz w:val="21"/>
                <w:szCs w:val="21"/>
                <w:lang w:eastAsia="zh-CN"/>
              </w:rPr>
              <w:t>巡视</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发现外观有变形、开裂等现象</w:t>
            </w:r>
            <w:r>
              <w:rPr>
                <w:rFonts w:hint="eastAsia" w:ascii="宋体" w:hAnsi="宋体" w:cs="Calibri"/>
                <w:color w:val="auto"/>
                <w:kern w:val="2"/>
                <w:sz w:val="21"/>
                <w:szCs w:val="21"/>
                <w:lang w:eastAsia="zh-CN"/>
              </w:rPr>
              <w:t>，及时</w:t>
            </w:r>
            <w:r>
              <w:rPr>
                <w:rFonts w:ascii="宋体" w:hAnsi="宋体" w:cs="Calibri"/>
                <w:color w:val="auto"/>
                <w:kern w:val="2"/>
                <w:sz w:val="21"/>
                <w:szCs w:val="21"/>
                <w:lang w:eastAsia="zh-CN"/>
              </w:rPr>
              <w:t>建议</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w:t>
            </w:r>
            <w:r>
              <w:rPr>
                <w:rFonts w:ascii="宋体" w:hAnsi="宋体" w:cs="Calibri"/>
                <w:color w:val="auto"/>
                <w:kern w:val="2"/>
                <w:sz w:val="21"/>
                <w:szCs w:val="21"/>
                <w:lang w:eastAsia="zh-CN"/>
              </w:rPr>
              <w:t>申请房屋安全鉴定</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并采取必要的避险和防护措施</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（2）每季度至少开展1</w:t>
            </w:r>
            <w:r>
              <w:rPr>
                <w:rFonts w:ascii="宋体" w:hAnsi="宋体" w:cs="Calibri"/>
                <w:color w:val="auto"/>
                <w:kern w:val="2"/>
                <w:sz w:val="21"/>
                <w:szCs w:val="21"/>
                <w:lang w:eastAsia="zh-CN"/>
              </w:rPr>
              <w:t>次外墙贴饰面、幕墙玻璃、雨篷、散水、空调室外机支撑构件等</w:t>
            </w:r>
            <w:r>
              <w:rPr>
                <w:rFonts w:hint="eastAsia" w:ascii="宋体" w:hAnsi="宋体" w:cs="Calibri"/>
                <w:color w:val="auto"/>
                <w:kern w:val="2"/>
                <w:sz w:val="21"/>
                <w:szCs w:val="21"/>
                <w:lang w:eastAsia="zh-CN"/>
              </w:rPr>
              <w:t>检查，发现破损，及时向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人报告，按</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人要求出具维修方案，待</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人同意后按维修方案实施维修，相关维修费用向采购人按实结算。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r>
              <w:rPr>
                <w:rFonts w:ascii="宋体" w:hAnsi="宋体" w:cs="Calibri"/>
                <w:color w:val="auto"/>
                <w:kern w:val="2"/>
                <w:sz w:val="21"/>
                <w:szCs w:val="21"/>
                <w:lang w:eastAsia="zh-CN"/>
              </w:rPr>
              <w:t>每半月至少</w:t>
            </w:r>
            <w:r>
              <w:rPr>
                <w:rFonts w:hint="eastAsia" w:ascii="宋体" w:hAnsi="宋体" w:cs="Calibri"/>
                <w:color w:val="auto"/>
                <w:kern w:val="2"/>
                <w:sz w:val="21"/>
                <w:szCs w:val="21"/>
                <w:lang w:eastAsia="zh-CN"/>
              </w:rPr>
              <w:t>开展</w:t>
            </w:r>
            <w:r>
              <w:rPr>
                <w:rFonts w:ascii="宋体" w:hAnsi="宋体" w:cs="Calibri"/>
                <w:color w:val="auto"/>
                <w:kern w:val="2"/>
                <w:sz w:val="21"/>
                <w:szCs w:val="21"/>
                <w:lang w:eastAsia="zh-CN"/>
              </w:rPr>
              <w:t>1次公用部位的门、窗、楼梯、通风道</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室内地面、墙面、吊顶和室外屋面等巡查</w:t>
            </w:r>
            <w:r>
              <w:rPr>
                <w:rFonts w:hint="eastAsia" w:ascii="宋体" w:hAnsi="宋体" w:cs="Calibri"/>
                <w:color w:val="auto"/>
                <w:kern w:val="2"/>
                <w:sz w:val="21"/>
                <w:szCs w:val="21"/>
                <w:lang w:eastAsia="zh-CN"/>
              </w:rPr>
              <w:t>，发现破损，及时向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人报告，按</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人要求出具维修方案，待</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人同意后按维修方案实施维修，相关维修费用向采购人按实结算。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r>
              <w:rPr>
                <w:rFonts w:ascii="宋体" w:hAnsi="宋体" w:cs="Calibri"/>
                <w:color w:val="auto"/>
                <w:kern w:val="2"/>
                <w:sz w:val="21"/>
                <w:szCs w:val="21"/>
                <w:lang w:eastAsia="zh-CN"/>
              </w:rPr>
              <w:t>每年强降雨天气前后、雨雪季节检查屋面防水和雨落管等</w:t>
            </w:r>
            <w:r>
              <w:rPr>
                <w:rFonts w:hint="eastAsia" w:ascii="宋体" w:hAnsi="宋体" w:cs="Calibri"/>
                <w:color w:val="auto"/>
                <w:kern w:val="2"/>
                <w:sz w:val="21"/>
                <w:szCs w:val="21"/>
                <w:lang w:eastAsia="zh-CN"/>
              </w:rPr>
              <w:t>，发现破损，及时向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人报告，按</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人要求出具维修方案，待</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人同意后按维修方案实施维修，相关维修费用向采购人按实结算。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（5）遇紧急情况，应结合实际采取必要措施。及时完成各项零星维修任务。相关维修耗材向采购人按实结算。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r>
              <w:rPr>
                <w:rFonts w:ascii="宋体" w:hAnsi="宋体" w:cs="Calibri"/>
                <w:color w:val="auto"/>
                <w:kern w:val="2"/>
                <w:sz w:val="21"/>
                <w:szCs w:val="21"/>
                <w:lang w:eastAsia="zh-CN"/>
              </w:rPr>
              <w:t>办公楼外观完好，</w:t>
            </w:r>
            <w:r>
              <w:rPr>
                <w:rFonts w:hint="eastAsia" w:ascii="宋体" w:hAnsi="宋体" w:cs="Calibri"/>
                <w:color w:val="auto"/>
                <w:kern w:val="2"/>
                <w:sz w:val="21"/>
                <w:szCs w:val="21"/>
                <w:lang w:eastAsia="zh-CN"/>
              </w:rPr>
              <w:t>建筑装饰面</w:t>
            </w:r>
            <w:r>
              <w:rPr>
                <w:rFonts w:ascii="宋体" w:hAnsi="宋体" w:cs="Calibri"/>
                <w:color w:val="auto"/>
                <w:kern w:val="2"/>
                <w:sz w:val="21"/>
                <w:szCs w:val="21"/>
                <w:lang w:eastAsia="zh-CN"/>
              </w:rPr>
              <w:t>无脱落</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无破损</w:t>
            </w:r>
            <w:r>
              <w:rPr>
                <w:rFonts w:hint="eastAsia" w:ascii="宋体" w:hAnsi="宋体" w:cs="Calibri"/>
                <w:color w:val="auto"/>
                <w:kern w:val="2"/>
                <w:sz w:val="21"/>
                <w:szCs w:val="21"/>
                <w:lang w:eastAsia="zh-CN"/>
              </w:rPr>
              <w:t>，通道、楼梯、</w:t>
            </w:r>
            <w:r>
              <w:rPr>
                <w:rFonts w:ascii="宋体" w:hAnsi="宋体" w:cs="Calibri"/>
                <w:color w:val="auto"/>
                <w:kern w:val="2"/>
                <w:sz w:val="21"/>
                <w:szCs w:val="21"/>
                <w:lang w:eastAsia="zh-CN"/>
              </w:rPr>
              <w:t>门窗等设施的完好和正常使用</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其他设施</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（1）每半月至少开展1次大门、围墙、道路、场地、管井、沟渠等巡查，每半月至少检查1次雨污水管井等巡查，发现破损，及时向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人报告，按</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人要求出具维修方案，待</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人同意后按维修方案实施维修，相关维修费用向采购人按实结算。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（2）每年至少开展1次防雷装置检测，发现失效，及时向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人报告，按</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人要求出具维修方案，待</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人同意后按维修方案实施维修，相关维修费用向采购人按实结算。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r>
              <w:rPr>
                <w:rFonts w:ascii="宋体" w:hAnsi="宋体" w:cs="Calibri"/>
                <w:color w:val="auto"/>
                <w:kern w:val="2"/>
                <w:sz w:val="21"/>
                <w:szCs w:val="21"/>
                <w:lang w:eastAsia="zh-CN"/>
              </w:rPr>
              <w:t>路面状态良好，地漏通畅不堵塞</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（4）接到</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人非信息化设备及办公家具报修服务后，及时查看并根据采购人要求联系供应商进行维修，相关维修费用向采购人按实结算。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装饰装修</w:t>
            </w:r>
            <w:r>
              <w:rPr>
                <w:rFonts w:hint="eastAsia" w:ascii="宋体" w:hAnsi="宋体" w:cs="Calibri"/>
                <w:color w:val="auto"/>
                <w:kern w:val="2"/>
                <w:sz w:val="21"/>
                <w:szCs w:val="21"/>
              </w:rPr>
              <w:t>监督</w:t>
            </w:r>
            <w:r>
              <w:rPr>
                <w:rFonts w:ascii="宋体" w:hAnsi="宋体" w:cs="Calibri"/>
                <w:color w:val="auto"/>
                <w:kern w:val="2"/>
                <w:sz w:val="21"/>
                <w:szCs w:val="21"/>
              </w:rPr>
              <w:t>管理</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（1）受</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人委托</w:t>
            </w:r>
            <w:r>
              <w:rPr>
                <w:rFonts w:ascii="宋体" w:hAnsi="宋体" w:cs="Calibri"/>
                <w:color w:val="auto"/>
                <w:kern w:val="2"/>
                <w:sz w:val="21"/>
                <w:szCs w:val="21"/>
                <w:lang w:eastAsia="zh-CN"/>
              </w:rPr>
              <w:t>对房屋内装修进行严格的监督管理</w:t>
            </w:r>
            <w:r>
              <w:rPr>
                <w:rFonts w:hint="eastAsia" w:ascii="宋体" w:hAnsi="宋体" w:cs="Calibri"/>
                <w:color w:val="auto"/>
                <w:kern w:val="2"/>
                <w:sz w:val="21"/>
                <w:szCs w:val="21"/>
                <w:lang w:eastAsia="zh-CN"/>
              </w:rPr>
              <w:t>，发现问题及时上报，</w:t>
            </w:r>
            <w:r>
              <w:rPr>
                <w:rFonts w:ascii="宋体" w:hAnsi="宋体" w:cs="Calibri"/>
                <w:color w:val="auto"/>
                <w:kern w:val="2"/>
                <w:sz w:val="21"/>
                <w:szCs w:val="21"/>
                <w:lang w:eastAsia="zh-CN"/>
              </w:rPr>
              <w:t>确保不因装修而危及大楼结构安全、人身安全和影响正常办公秩序</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（2）大修、装修的施工管理配合与相应水电使用管理与安全管理。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71"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4</w:t>
            </w:r>
          </w:p>
        </w:tc>
        <w:tc>
          <w:tcPr>
            <w:tcW w:w="214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标识标牌</w:t>
            </w: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（1）标识标牌符合《公共信息图形符号 第1部分：通用符号》（GB/T 10001.1）的相关要求，消防与安全标识符合《安全标志及其使用导则》（GB2894）、《消防安全标志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871"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4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2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（2）每月至少检查1次标识标牌和消防与安全标识。应当规范清晰、路线指引正确、安装稳固。</w:t>
            </w:r>
          </w:p>
        </w:tc>
      </w:tr>
    </w:tbl>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lang w:eastAsia="zh-CN"/>
        </w:rPr>
      </w:pPr>
      <w:r>
        <w:rPr>
          <w:rFonts w:hint="eastAsia" w:ascii="宋体" w:hAnsi="宋体" w:cs="Calibri"/>
          <w:b/>
          <w:bCs/>
          <w:color w:val="auto"/>
          <w:sz w:val="21"/>
          <w:szCs w:val="21"/>
          <w:lang w:eastAsia="zh-CN"/>
        </w:rPr>
        <w:t>3.2.3公用设施设备维护服务</w:t>
      </w:r>
    </w:p>
    <w:tbl>
      <w:tblPr>
        <w:tblStyle w:val="17"/>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62"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6234"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基本要求</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（3）有专业或资质要求的工作岗位，其从业人员必须符合国家与上海市相关要求。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cs="Calibri"/>
                <w:color w:val="auto"/>
                <w:kern w:val="2"/>
                <w:sz w:val="21"/>
                <w:szCs w:val="21"/>
                <w:lang w:eastAsia="zh-CN"/>
              </w:rPr>
            </w:pPr>
            <w:r>
              <w:rPr>
                <w:rFonts w:hint="eastAsia" w:ascii="宋体" w:hAnsi="宋体" w:cs="Calibri"/>
                <w:color w:val="auto"/>
                <w:kern w:val="2"/>
                <w:sz w:val="21"/>
                <w:szCs w:val="21"/>
                <w:lang w:eastAsia="zh-CN"/>
              </w:rPr>
              <w:t>（</w:t>
            </w:r>
            <w:r>
              <w:rPr>
                <w:rFonts w:hint="eastAsia" w:ascii="宋体" w:hAnsi="宋体" w:cs="Calibri"/>
                <w:color w:val="auto"/>
                <w:kern w:val="2"/>
                <w:sz w:val="21"/>
                <w:szCs w:val="21"/>
                <w:lang w:val="en-US" w:eastAsia="zh-CN"/>
              </w:rPr>
              <w:t>4</w:t>
            </w:r>
            <w:r>
              <w:rPr>
                <w:rFonts w:hint="eastAsia" w:ascii="宋体" w:hAnsi="宋体" w:cs="Calibri"/>
                <w:color w:val="auto"/>
                <w:kern w:val="2"/>
                <w:sz w:val="21"/>
                <w:szCs w:val="21"/>
                <w:lang w:eastAsia="zh-CN"/>
              </w:rPr>
              <w:t>）</w:t>
            </w:r>
            <w:r>
              <w:rPr>
                <w:rFonts w:hint="eastAsia" w:asciiTheme="minorEastAsia" w:hAnsiTheme="minorEastAsia" w:cstheme="minorEastAsia"/>
                <w:color w:val="auto"/>
                <w:kern w:val="2"/>
                <w:sz w:val="21"/>
                <w:szCs w:val="21"/>
                <w:highlight w:val="none"/>
                <w:lang w:val="en-US" w:eastAsia="zh-CN"/>
              </w:rPr>
              <w:t>积极配合采购人落实《党政机关厉行节约反对浪费条例》相关要求，在公用设施设备维护及更新服务中，优先</w:t>
            </w:r>
            <w:r>
              <w:rPr>
                <w:rFonts w:hint="eastAsia" w:asciiTheme="minorEastAsia" w:hAnsiTheme="minorEastAsia" w:cstheme="minorEastAsia"/>
                <w:color w:val="auto"/>
                <w:kern w:val="2"/>
                <w:sz w:val="21"/>
                <w:szCs w:val="21"/>
                <w:highlight w:val="none"/>
                <w:lang w:eastAsia="zh-CN"/>
              </w:rPr>
              <w:t>应用节能技术产品，</w:t>
            </w:r>
            <w:r>
              <w:rPr>
                <w:rFonts w:hint="eastAsia" w:asciiTheme="minorEastAsia" w:hAnsiTheme="minorEastAsia" w:cstheme="minorEastAsia"/>
                <w:color w:val="auto"/>
                <w:kern w:val="2"/>
                <w:sz w:val="21"/>
                <w:szCs w:val="21"/>
                <w:highlight w:val="none"/>
                <w:lang w:val="en-US" w:eastAsia="zh-CN"/>
              </w:rPr>
              <w:t>逐步</w:t>
            </w:r>
            <w:r>
              <w:rPr>
                <w:rFonts w:hint="eastAsia" w:asciiTheme="minorEastAsia" w:hAnsiTheme="minorEastAsia" w:cstheme="minorEastAsia"/>
                <w:color w:val="auto"/>
                <w:kern w:val="2"/>
                <w:sz w:val="21"/>
                <w:szCs w:val="21"/>
                <w:highlight w:val="none"/>
                <w:lang w:eastAsia="zh-CN"/>
              </w:rPr>
              <w:t>淘汰高耗能设施设备，积极使用节水型器具。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设备机房</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（1）设备机房应设置规范标识，门窗、锁具应当完好、有效。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（3）按各设备机房国家标准规范规定维护/保管消防、通风、应急照明，防止小动物进入。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（5）应急设施设备用品应当齐全、完备，可随时启用。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给排水系统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（1）设施设备、阀门、管道定期巡视，确保运行正常，无跑、冒、滴、漏现象。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r>
              <w:rPr>
                <w:rFonts w:hint="eastAsia" w:ascii="宋体" w:hAnsi="宋体"/>
                <w:color w:val="auto"/>
                <w:kern w:val="2"/>
                <w:sz w:val="21"/>
                <w:szCs w:val="21"/>
                <w:lang w:eastAsia="zh-CN"/>
              </w:rPr>
              <w:t>每季度至少开展1次对排水管沟进行疏通、清污，保证室内外排水系统通畅。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4</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电梯系统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（1）电梯运行平稳、无异响、平层、开关正常。每月至少开展2次电梯的安全状况检查。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宋体"/>
                <w:color w:val="auto"/>
                <w:kern w:val="2"/>
                <w:sz w:val="21"/>
                <w:szCs w:val="21"/>
                <w:lang w:eastAsia="zh-CN"/>
              </w:rPr>
              <w:t>（3）每年至少开展1次对电梯的全面检测，并联系专业机构核发电梯使用标志。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（4）电梯维保应当符合《电梯维护保养规则》（TSG T5002）的有关要求。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（5）电梯使用应当符合《特种设备使用管理规则》（TSG 08）的有关要求。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（6）有电梯突发事件或事故的应急措施与救援预案，每年至少开展演练1次。电梯出现故障，物业服务人员10分钟内到场应急处理，维保专业人员30分钟内到场应急处理。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（7）到场进行救助和排除故障。电梯紧急电话保持畅通。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（8）电梯维修、保养时在现场设置提示标识和防护围栏。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（9）根据</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消防系统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（1）消防设施的维护管理符合《建筑消防设施的维护管理》（GB25201）的相关要求。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（2）消防设备检测符合《建筑消防设施检测技术规程》（GA503或XF503）的相关要求。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（3）安全出口、疏散指示灯火灾时应在维持足够照明时间，引路标志完好，紧急疏散通道畅通。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（4）定期检查保养消防设备，维保质量达到消防要求，确保消防系统整体通过消防部门的消防年检。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（5）火灾自动报警系统、自动喷淋系统、室内灭火栓、排防烟系统、安全疏散、应急系统、防火门系统、二氧化碳等灭火系统运行正常。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pStyle w:val="2"/>
              <w:keepNext w:val="0"/>
              <w:keepLines w:val="0"/>
              <w:widowControl/>
              <w:suppressLineNumbers w:val="0"/>
              <w:spacing w:before="0" w:beforeAutospacing="0" w:after="0" w:afterAutospacing="0" w:line="360" w:lineRule="auto"/>
              <w:ind w:left="0" w:right="0"/>
              <w:rPr>
                <w:rFonts w:hAnsi="宋体" w:cs="Calibri"/>
                <w:color w:val="auto"/>
              </w:rPr>
            </w:pPr>
            <w:r>
              <w:rPr>
                <w:rFonts w:hint="eastAsia" w:hAnsi="宋体" w:cs="Calibri"/>
                <w:color w:val="auto"/>
                <w:kern w:val="0"/>
              </w:rPr>
              <w:t>（6）严格执行消防法规，建立消防安全管理制度和突发火灾应急方案，每年组织一次消防演练。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（7）每月对消防设备定期检查一次，重大节日增加检查次数，有故障时，维修人员应及时到场。</w:t>
            </w:r>
            <w:r>
              <w:rPr>
                <w:rFonts w:hint="eastAsia" w:ascii="宋体" w:hAnsi="宋体" w:cs="宋体"/>
                <w:color w:val="auto"/>
                <w:kern w:val="2"/>
                <w:sz w:val="21"/>
                <w:szCs w:val="21"/>
                <w:lang w:eastAsia="zh-CN"/>
              </w:rPr>
              <w:t>每年至少开展1次对消防系统的全面检测，并联系专业机构出具检测报告。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cs="Calibri"/>
                <w:color w:val="auto"/>
                <w:kern w:val="2"/>
                <w:sz w:val="21"/>
                <w:szCs w:val="21"/>
                <w:lang w:eastAsia="zh-CN"/>
              </w:rPr>
            </w:pPr>
            <w:r>
              <w:rPr>
                <w:rFonts w:hint="eastAsia" w:ascii="宋体" w:hAnsi="宋体" w:cs="Calibri"/>
                <w:color w:val="auto"/>
                <w:kern w:val="2"/>
                <w:sz w:val="21"/>
                <w:szCs w:val="21"/>
                <w:lang w:eastAsia="zh-CN"/>
              </w:rPr>
              <w:t>（</w:t>
            </w:r>
            <w:r>
              <w:rPr>
                <w:rFonts w:hint="eastAsia" w:ascii="宋体" w:hAnsi="宋体" w:cs="Calibri"/>
                <w:color w:val="auto"/>
                <w:kern w:val="2"/>
                <w:sz w:val="21"/>
                <w:szCs w:val="21"/>
                <w:lang w:val="en-US" w:eastAsia="zh-CN"/>
              </w:rPr>
              <w:t>8）</w:t>
            </w:r>
            <w:r>
              <w:rPr>
                <w:rFonts w:hint="eastAsia" w:ascii="宋体" w:hAnsi="宋体" w:cs="Calibri"/>
                <w:color w:val="auto"/>
                <w:kern w:val="2"/>
                <w:sz w:val="21"/>
                <w:szCs w:val="21"/>
                <w:lang w:eastAsia="zh-CN"/>
              </w:rPr>
              <w:t>消防系统出现故障，物业服务人员10分钟内到场应急处理；</w:t>
            </w:r>
            <w:r>
              <w:rPr>
                <w:rFonts w:hint="eastAsia" w:ascii="宋体" w:hAnsi="宋体" w:cs="宋体"/>
                <w:color w:val="auto"/>
                <w:kern w:val="2"/>
                <w:sz w:val="21"/>
                <w:szCs w:val="21"/>
                <w:lang w:eastAsia="zh-CN"/>
              </w:rPr>
              <w:t>紧急情况下，</w:t>
            </w:r>
            <w:r>
              <w:rPr>
                <w:rFonts w:hint="eastAsia" w:ascii="宋体" w:hAnsi="宋体" w:cs="Calibri"/>
                <w:color w:val="auto"/>
                <w:kern w:val="2"/>
                <w:sz w:val="21"/>
                <w:szCs w:val="21"/>
                <w:lang w:eastAsia="zh-CN"/>
              </w:rPr>
              <w:t>维保专业人员</w:t>
            </w:r>
            <w:r>
              <w:rPr>
                <w:rFonts w:hint="eastAsia" w:ascii="宋体" w:hAnsi="宋体" w:cs="Calibri"/>
                <w:color w:val="auto"/>
                <w:kern w:val="2"/>
                <w:sz w:val="21"/>
                <w:szCs w:val="21"/>
                <w:lang w:val="en-US" w:eastAsia="zh-CN"/>
              </w:rPr>
              <w:t>2</w:t>
            </w:r>
            <w:r>
              <w:rPr>
                <w:rFonts w:hint="eastAsia" w:ascii="宋体" w:hAnsi="宋体" w:cs="Calibri"/>
                <w:color w:val="auto"/>
                <w:kern w:val="2"/>
                <w:sz w:val="21"/>
                <w:szCs w:val="21"/>
                <w:lang w:eastAsia="zh-CN"/>
              </w:rPr>
              <w:t>小时内到场应急处理，一般情况下，维保专业人员</w:t>
            </w:r>
            <w:r>
              <w:rPr>
                <w:rFonts w:hint="eastAsia" w:ascii="宋体" w:hAnsi="宋体" w:cs="Calibri"/>
                <w:color w:val="auto"/>
                <w:kern w:val="2"/>
                <w:sz w:val="21"/>
                <w:szCs w:val="21"/>
                <w:lang w:val="en-US" w:eastAsia="zh-CN"/>
              </w:rPr>
              <w:t>8小时</w:t>
            </w:r>
            <w:r>
              <w:rPr>
                <w:rFonts w:hint="eastAsia" w:ascii="宋体" w:hAnsi="宋体" w:cs="Calibri"/>
                <w:color w:val="auto"/>
                <w:kern w:val="2"/>
                <w:sz w:val="21"/>
                <w:szCs w:val="21"/>
                <w:lang w:eastAsia="zh-CN"/>
              </w:rPr>
              <w:t>内到场应急处理。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供配电系统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（2）对供电范围内的电气设备定期巡视维护，加强配电柜、配电箱、控制柜及线路等重点部位监测。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（4）发生非计划性停电的，应当在事件发生后及时通知</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（5）复杂故障涉及供电部门维修处置的及时与供电部门联系，并向</w:t>
            </w:r>
            <w:r>
              <w:rPr>
                <w:rFonts w:hint="eastAsia" w:ascii="宋体" w:hAnsi="宋体" w:cs="宋体"/>
                <w:color w:val="auto"/>
                <w:kern w:val="2"/>
                <w:sz w:val="21"/>
                <w:szCs w:val="21"/>
                <w:lang w:eastAsia="zh-CN"/>
              </w:rPr>
              <w:t>采购</w:t>
            </w:r>
            <w:r>
              <w:rPr>
                <w:rFonts w:hint="eastAsia" w:ascii="宋体" w:hAnsi="宋体" w:cs="Calibri"/>
                <w:color w:val="auto"/>
                <w:kern w:val="2"/>
                <w:sz w:val="21"/>
                <w:szCs w:val="21"/>
                <w:lang w:eastAsia="zh-CN"/>
              </w:rPr>
              <w:t>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rPr>
              <w:t>弱电系统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（1）安全防范系统维护保养符合《安全防范系统维护保养规范》（GA/T 1081）的相关要求。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（2）保持监控系统、门禁系统、安全防范系统等运行正常，有故障及时排除，相关维保费用由采购人按实结算。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162" w:type="dxa"/>
            <w:vMerge w:val="restart"/>
            <w:noWrap/>
            <w:vAlign w:val="center"/>
          </w:tcPr>
          <w:p>
            <w:pPr>
              <w:keepNext w:val="0"/>
              <w:keepLines w:val="0"/>
              <w:widowControl/>
              <w:suppressLineNumbers w:val="0"/>
              <w:spacing w:before="0" w:beforeAutospacing="0" w:after="0" w:afterAutospacing="0" w:line="300" w:lineRule="auto"/>
              <w:ind w:left="0" w:right="0"/>
              <w:jc w:val="both"/>
              <w:rPr>
                <w:color w:val="auto"/>
                <w:kern w:val="2"/>
              </w:rPr>
            </w:pPr>
            <w:r>
              <w:rPr>
                <w:rFonts w:ascii="宋体" w:hAnsi="宋体" w:cs="Calibri"/>
                <w:color w:val="auto"/>
                <w:kern w:val="2"/>
                <w:sz w:val="21"/>
                <w:szCs w:val="21"/>
              </w:rPr>
              <w:t>照明系统</w:t>
            </w: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b/>
                <w:color w:val="auto"/>
                <w:kern w:val="2"/>
                <w:sz w:val="28"/>
                <w:szCs w:val="28"/>
                <w:lang w:eastAsia="zh-CN"/>
              </w:rPr>
            </w:pPr>
            <w:r>
              <w:rPr>
                <w:rFonts w:hint="eastAsia" w:ascii="宋体" w:hAnsi="宋体" w:cs="Calibri"/>
                <w:color w:val="auto"/>
                <w:kern w:val="2"/>
                <w:sz w:val="21"/>
                <w:szCs w:val="21"/>
                <w:lang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（2）更换的照明灯具应当选用节能环保产品，亮度与更换前保持一致，相关维保费用由采购人按实结算。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2"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3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（3）每周至少开展1次公共区域照明设备巡视。</w:t>
            </w:r>
          </w:p>
        </w:tc>
      </w:tr>
    </w:tbl>
    <w:p>
      <w:pPr>
        <w:spacing w:line="300" w:lineRule="auto"/>
        <w:ind w:firstLine="420" w:firstLineChars="200"/>
        <w:jc w:val="both"/>
        <w:rPr>
          <w:rFonts w:ascii="宋体" w:hAnsi="宋体" w:cs="楷体"/>
          <w:color w:val="auto"/>
          <w:sz w:val="21"/>
          <w:szCs w:val="21"/>
          <w:lang w:eastAsia="zh-CN"/>
        </w:rPr>
      </w:pPr>
      <w:r>
        <w:rPr>
          <w:rFonts w:hint="eastAsia" w:ascii="宋体" w:hAnsi="宋体" w:cs="楷体"/>
          <w:color w:val="auto"/>
          <w:sz w:val="21"/>
          <w:szCs w:val="21"/>
          <w:lang w:eastAsia="zh-CN"/>
        </w:rPr>
        <w:t>注：服务标准涉及的国家标准有更新的，执行国家最新标准。</w:t>
      </w:r>
    </w:p>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4</w:t>
      </w:r>
      <w:r>
        <w:rPr>
          <w:rFonts w:ascii="宋体" w:hAnsi="宋体" w:cs="Calibri"/>
          <w:b/>
          <w:bCs/>
          <w:color w:val="auto"/>
          <w:sz w:val="21"/>
          <w:szCs w:val="21"/>
        </w:rPr>
        <w:t>保洁服务</w:t>
      </w:r>
    </w:p>
    <w:tbl>
      <w:tblPr>
        <w:tblStyle w:val="17"/>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621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基本要求</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办公用房区域保洁</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（1）大厅、楼内公共通道：</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①公共通道保持干净，无异味、无杂物、无积水，每日至少开展1次清洁作业。</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②门窗玻璃干净无尘，透光性好，每周至少开展1次清洁作业。</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（2）电器等设施设备：</w:t>
            </w:r>
          </w:p>
          <w:p>
            <w:pPr>
              <w:pStyle w:val="2"/>
              <w:keepNext w:val="0"/>
              <w:keepLines w:val="0"/>
              <w:widowControl/>
              <w:suppressLineNumbers w:val="0"/>
              <w:spacing w:before="0" w:beforeAutospacing="0" w:after="0" w:afterAutospacing="0" w:line="360" w:lineRule="auto"/>
              <w:ind w:left="0" w:right="0"/>
              <w:rPr>
                <w:rFonts w:hAnsi="宋体" w:cs="Calibri"/>
                <w:color w:val="auto"/>
              </w:rPr>
            </w:pPr>
            <w:r>
              <w:rPr>
                <w:rFonts w:hint="eastAsia" w:hAnsi="宋体" w:cs="Calibri"/>
                <w:color w:val="auto"/>
                <w:kern w:val="0"/>
              </w:rPr>
              <w:t>对各类电器等设备设施的表面进行清洁、抹净处理，保持洁净。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（5）作业工具间：</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①保持干净，无异味、无杂物、无积水，每日至少开展1次清洁作业。</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（6）公共卫生间：</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①保持干净，无异味，垃圾无溢出，每日至少开展</w:t>
            </w:r>
            <w:r>
              <w:rPr>
                <w:rFonts w:hint="eastAsia" w:ascii="宋体" w:hAnsi="宋体" w:cs="Calibri"/>
                <w:color w:val="auto"/>
                <w:kern w:val="2"/>
                <w:sz w:val="21"/>
                <w:szCs w:val="21"/>
                <w:lang w:val="en-US" w:eastAsia="zh-CN"/>
              </w:rPr>
              <w:t>2</w:t>
            </w:r>
            <w:r>
              <w:rPr>
                <w:rFonts w:hint="eastAsia" w:ascii="宋体" w:hAnsi="宋体" w:cs="Calibri"/>
                <w:color w:val="auto"/>
                <w:kern w:val="2"/>
                <w:sz w:val="21"/>
                <w:szCs w:val="21"/>
                <w:lang w:eastAsia="zh-CN"/>
              </w:rPr>
              <w:t>次清洁作业。</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②及时补充卫生纸、洗手液等必要用品，相关保洁物耗由采购人按实结算。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（7）电梯轿厢：</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①保持干净，无污渍、无粘贴物、无异味，每日至少开展1次清洁作业。</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②灯具、操作指示板明亮。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（8）平台、屋顶、天沟保持干净，有杂物及时清扫，每月至少开展1次清洁作业。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（9）各楼层内会议室、接待室、图书馆、活动室等区域内地面、桌、椅台面、文件柜保持清洁，根据各类活动情况及时开展清洁作业。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（10）每周对在用办公室地面进行一次清洁作业。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公共场地区域保洁</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（1）每日清扫道路地面、停车场等公共区域1次，保持干净、无杂物、无积水。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（2）雪、冰冻等恶劣天气时及时清扫积水、积雪，并采取安全防护措施。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4</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ascii="宋体" w:hAnsi="宋体" w:cs="Calibri"/>
                <w:color w:val="auto"/>
                <w:kern w:val="2"/>
                <w:sz w:val="21"/>
                <w:szCs w:val="21"/>
              </w:rPr>
              <w:t>垃圾处理</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（1）在指定位置摆放分类垃圾桶，并在显著处张贴垃圾分类标识。分类垃圾桶和垃圾分类标识根据上海市要求设置。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（3）每个工作日内要对楼层产生的垃圾，进行清理分类并建立垃圾清运台账；垃圾装袋，并运至区政府垃圾集中堆放点。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r>
              <w:rPr>
                <w:rFonts w:ascii="宋体" w:hAnsi="宋体" w:cs="Calibri"/>
                <w:color w:val="auto"/>
                <w:kern w:val="2"/>
                <w:sz w:val="21"/>
                <w:szCs w:val="21"/>
                <w:lang w:eastAsia="zh-CN"/>
              </w:rPr>
              <w:t>做好垃圾分类管理的宣传工作，督促并引导全员参与垃圾分类投放</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（5）垃圾分类投放管理工作的执行标准，按上海市要求执行。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85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5</w:t>
            </w:r>
          </w:p>
        </w:tc>
        <w:tc>
          <w:tcPr>
            <w:tcW w:w="2175"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有害生物防治</w:t>
            </w: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w:t>
            </w:r>
            <w:r>
              <w:rPr>
                <w:rFonts w:ascii="宋体" w:hAnsi="宋体" w:cs="宋体"/>
                <w:color w:val="auto"/>
                <w:kern w:val="2"/>
                <w:sz w:val="21"/>
                <w:szCs w:val="21"/>
                <w:lang w:eastAsia="zh-CN"/>
              </w:rPr>
              <w:t>1）</w:t>
            </w:r>
            <w:r>
              <w:rPr>
                <w:rFonts w:hint="eastAsia" w:ascii="宋体" w:hAnsi="宋体" w:cs="宋体"/>
                <w:color w:val="auto"/>
                <w:kern w:val="2"/>
                <w:sz w:val="21"/>
                <w:szCs w:val="21"/>
                <w:lang w:eastAsia="zh-CN"/>
              </w:rPr>
              <w:t>采取综合措施消灭老鼠、蟑螂，控制室内外蚊蝇孳生，达到基本无蝇，每季度至少开展</w:t>
            </w:r>
            <w:r>
              <w:rPr>
                <w:rFonts w:ascii="宋体" w:hAnsi="宋体" w:cs="宋体"/>
                <w:color w:val="auto"/>
                <w:kern w:val="2"/>
                <w:sz w:val="21"/>
                <w:szCs w:val="21"/>
                <w:lang w:eastAsia="zh-CN"/>
              </w:rPr>
              <w:t>1次作业</w:t>
            </w:r>
            <w:r>
              <w:rPr>
                <w:rFonts w:hint="eastAsia" w:ascii="宋体" w:hAnsi="宋体" w:cs="宋体"/>
                <w:color w:val="auto"/>
                <w:kern w:val="2"/>
                <w:sz w:val="21"/>
                <w:szCs w:val="21"/>
                <w:lang w:eastAsia="zh-CN"/>
              </w:rPr>
              <w:t>（包括物业点位</w:t>
            </w:r>
            <w:r>
              <w:rPr>
                <w:rFonts w:ascii="宋体" w:hAnsi="宋体" w:cs="宋体"/>
                <w:color w:val="auto"/>
                <w:kern w:val="2"/>
                <w:sz w:val="21"/>
                <w:szCs w:val="21"/>
                <w:lang w:eastAsia="zh-CN"/>
              </w:rPr>
              <w:t>1、4、6、7、8、9）。</w:t>
            </w:r>
            <w:r>
              <w:rPr>
                <w:rFonts w:hint="eastAsia" w:ascii="宋体" w:hAnsi="宋体" w:cs="宋体"/>
                <w:color w:val="auto"/>
                <w:kern w:val="2"/>
                <w:sz w:val="21"/>
                <w:szCs w:val="21"/>
                <w:highlight w:val="none"/>
                <w:lang w:eastAsia="zh-CN"/>
              </w:rPr>
              <w:t>灭鼠、灭蚊、灭苍蝇、灭蟑螂等达到全国爱国卫生运动委员会及上海市爱国卫生运动委员会规定的标准。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5"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215"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（2）在化学防治中注重科学合理用药，不使用国家禁用药品。</w:t>
            </w:r>
          </w:p>
        </w:tc>
      </w:tr>
    </w:tbl>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4.1具体清洁要求</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167"/>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材质</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瓷砖地面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（2）深度清洁：使用洗洁精或肥皂水清理。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石材地面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r>
              <w:rPr>
                <w:rFonts w:ascii="宋体" w:hAnsi="宋体" w:cs="Calibri"/>
                <w:color w:val="auto"/>
                <w:kern w:val="2"/>
                <w:sz w:val="21"/>
                <w:szCs w:val="21"/>
                <w:lang w:eastAsia="zh-CN"/>
              </w:rPr>
              <w:t>根据各区域的人流量及大理石的实际磨损程度制定大理石的晶面保养计划</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r>
              <w:rPr>
                <w:rFonts w:ascii="宋体" w:hAnsi="宋体" w:cs="Calibri"/>
                <w:color w:val="auto"/>
                <w:kern w:val="2"/>
                <w:sz w:val="21"/>
                <w:szCs w:val="21"/>
                <w:lang w:eastAsia="zh-CN"/>
              </w:rPr>
              <w:t>启动晶面机，使用中性清洁剂清洁，避免使用强酸或强碱清洁剂，定期进行基础维护</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水磨石地面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（2）深度清洁：使用洗洁精或肥皂水清理。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w:t>
            </w:r>
          </w:p>
        </w:tc>
        <w:tc>
          <w:tcPr>
            <w:tcW w:w="2167" w:type="dxa"/>
            <w:vMerge w:val="restart"/>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地板地面</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w:t>
            </w:r>
            <w:r>
              <w:rPr>
                <w:rFonts w:ascii="宋体" w:hAnsi="宋体" w:cs="Calibri"/>
                <w:color w:val="auto"/>
                <w:kern w:val="2"/>
                <w:sz w:val="21"/>
                <w:szCs w:val="21"/>
                <w:lang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67" w:type="dxa"/>
            <w:vMerge w:val="continue"/>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r>
              <w:rPr>
                <w:rFonts w:ascii="宋体" w:hAnsi="宋体" w:cs="Calibri"/>
                <w:color w:val="auto"/>
                <w:kern w:val="2"/>
                <w:sz w:val="21"/>
                <w:szCs w:val="21"/>
                <w:lang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乳胶漆内墙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墙纸内墙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木饰面内墙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8</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石材内墙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keepNext w:val="0"/>
              <w:keepLines w:val="0"/>
              <w:widowControl w:val="0"/>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9</w:t>
            </w:r>
          </w:p>
        </w:tc>
        <w:tc>
          <w:tcPr>
            <w:tcW w:w="216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金属板内墙</w:t>
            </w:r>
          </w:p>
        </w:tc>
        <w:tc>
          <w:tcPr>
            <w:tcW w:w="6137" w:type="dxa"/>
            <w:noWrap/>
            <w:vAlign w:val="center"/>
          </w:tcPr>
          <w:p>
            <w:pPr>
              <w:keepNext w:val="0"/>
              <w:keepLines w:val="0"/>
              <w:widowControl w:val="0"/>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有污渍时用半干布擦拭。</w:t>
            </w:r>
          </w:p>
        </w:tc>
      </w:tr>
    </w:tbl>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5</w:t>
      </w:r>
      <w:r>
        <w:rPr>
          <w:rFonts w:ascii="宋体" w:hAnsi="宋体" w:cs="Calibri"/>
          <w:b/>
          <w:bCs/>
          <w:color w:val="auto"/>
          <w:sz w:val="21"/>
          <w:szCs w:val="21"/>
        </w:rPr>
        <w:t>绿化服务</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74"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61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2174"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基本要求</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2174"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宋体"/>
                <w:color w:val="auto"/>
                <w:kern w:val="2"/>
                <w:sz w:val="21"/>
                <w:szCs w:val="21"/>
                <w:lang w:eastAsia="zh-CN"/>
              </w:rPr>
              <w:t>室外绿化养护</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（3）定期修剪树木、花卉等，</w:t>
            </w:r>
            <w:r>
              <w:rPr>
                <w:rFonts w:ascii="宋体" w:hAnsi="宋体" w:cs="Calibri"/>
                <w:color w:val="auto"/>
                <w:kern w:val="2"/>
                <w:sz w:val="21"/>
                <w:szCs w:val="21"/>
                <w:lang w:eastAsia="zh-CN"/>
              </w:rPr>
              <w:t>灌乔木生长正常、造型美观自然、花枝新鲜，无枯叶、无病虫、无死树缺株</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（4）清除草坪的杂草、垃圾，定期修剪、施肥，做好病虫害防治。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4"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876"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2174"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室内绿化租摆</w:t>
            </w:r>
          </w:p>
        </w:tc>
        <w:tc>
          <w:tcPr>
            <w:tcW w:w="6181"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提供物业点位1、2、4、6、9的室内绿化租摆服务。</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（1）绿化数量要求：</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办公室153个，每个办公室摆放应季常见盆栽不少于2盆；</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大堂2个，每个大堂摆放应季常见小盆栽不少于6盆，大型绿植不少于4盆；</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电梯厅8个，每个电梯厅摆放应季常见大型绿植不少于</w:t>
            </w:r>
            <w:r>
              <w:rPr>
                <w:rFonts w:hint="eastAsia" w:ascii="宋体" w:hAnsi="宋体" w:cs="Calibri"/>
                <w:color w:val="auto"/>
                <w:kern w:val="2"/>
                <w:sz w:val="21"/>
                <w:szCs w:val="21"/>
                <w:lang w:val="en-US" w:eastAsia="zh-CN"/>
              </w:rPr>
              <w:t>1</w:t>
            </w:r>
            <w:r>
              <w:rPr>
                <w:rFonts w:hint="eastAsia" w:ascii="宋体" w:hAnsi="宋体" w:cs="Calibri"/>
                <w:color w:val="auto"/>
                <w:kern w:val="2"/>
                <w:sz w:val="21"/>
                <w:szCs w:val="21"/>
                <w:lang w:eastAsia="zh-CN"/>
              </w:rPr>
              <w:t>盆。</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走廊5个，每个走廊应摆放常见盆栽不少于10盆。</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（2）绿化外观要求：叶片光泽、花朵鲜艳，叶子健壮，叶色正常，在正常的条件下不黄叶、不焦叶、不落叶，土壤表层无杂物、无枯叶。</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（3）绿化摆放要求：布局合理、均匀、疏密有度，盆栽植物的色彩、形态和气质应与空间大小、装饰氛围及功能相协调。</w:t>
            </w:r>
          </w:p>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（4）每周全面巡察1次，生长不良获遭受病虫害的植株及时予以更换。</w:t>
            </w:r>
          </w:p>
        </w:tc>
      </w:tr>
    </w:tbl>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6保安服务</w:t>
      </w:r>
    </w:p>
    <w:tbl>
      <w:tblPr>
        <w:tblStyle w:val="17"/>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2173"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6149"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基本要求</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出入管理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（1）办公区主出入口应当实行24小时值班制。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（4）大件物品搬出应与相关部门联系核实后放行。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（6）配合相关部门积极疏导外来人员，有效疏导如出入口人群集聚、车辆拥堵、货物堵塞道路等情况。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（7）严守保密制度。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值班巡查</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（1）建立24小时值班巡查制度（三所办公点除外）。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（2）制定巡查路线，按照指定时间和路线执行，加强重点区域、重点部位及施工区域的巡查。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（4）极端天气情况下，根据采购人要求做好各办公、仓库点位的巡逻值守，保障物业管理区域内人员、财产安全。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4</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监控值守</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（4）值班期间遵守操作规程和保密制度，做好监控记录的保存工作，监控</w:t>
            </w:r>
            <w:r>
              <w:rPr>
                <w:rFonts w:hint="eastAsia" w:ascii="宋体" w:hAnsi="宋体" w:cs="Calibri"/>
                <w:color w:val="auto"/>
                <w:kern w:val="2"/>
                <w:sz w:val="21"/>
                <w:szCs w:val="21"/>
                <w:lang w:val="en-US" w:eastAsia="zh-CN"/>
              </w:rPr>
              <w:t>保存时间应符合相关规定</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（5）无关人员进入监控室或查阅监控记录，需经采购人对口管理部门批准并做好相关记录。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（6）监控室收到各类异常情况信号后，及时安排安保人员前往现场进行处理，重大情况需及时上报。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5</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车辆停放</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（1）合理规划车辆停放区域，对车辆及停放区域实行规范管理。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（2）机动车及非机动停放点按巡检计划定时巡检。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（5）发现车辆异常情况及时通知车主，并做好登记；发生交通事故、自然灾害等意外事故时及时赶赴现场疏导和协助处理。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6</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消防安全管理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（4）定期组织消防安全培训，每半年至少开展1次消防演练。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7</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突发事件处理</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（1）制定突发事件安全责任书，明确突发事件责任人及应承担的安全责任。建立预见性突发事件处置体系，应对可能发生的各类突发事件。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8</w:t>
            </w:r>
          </w:p>
        </w:tc>
        <w:tc>
          <w:tcPr>
            <w:tcW w:w="2173" w:type="dxa"/>
            <w:vMerge w:val="restar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大型活动秩序</w:t>
            </w: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（3）活动举办过程中，做好现场秩序的维护和突发事故的处置工作，确保活动正常进行。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p>
        </w:tc>
        <w:tc>
          <w:tcPr>
            <w:tcW w:w="2173" w:type="dxa"/>
            <w:vMerge w:val="continue"/>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p>
        </w:tc>
        <w:tc>
          <w:tcPr>
            <w:tcW w:w="614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（4）活动举办结束后，对活动进行区域内临时管控的通道、门、摆设等及时复位。</w:t>
            </w:r>
          </w:p>
        </w:tc>
      </w:tr>
    </w:tbl>
    <w:p>
      <w:pPr>
        <w:pStyle w:val="2"/>
        <w:spacing w:line="300" w:lineRule="auto"/>
        <w:jc w:val="both"/>
        <w:rPr>
          <w:rFonts w:hAnsi="宋体" w:cs="Calibri"/>
          <w:b/>
          <w:bCs/>
          <w:color w:val="auto"/>
        </w:rPr>
      </w:pPr>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w:t>
      </w:r>
      <w:r>
        <w:rPr>
          <w:rFonts w:hint="eastAsia" w:ascii="宋体" w:hAnsi="宋体" w:cs="Calibri"/>
          <w:b/>
          <w:bCs/>
          <w:color w:val="auto"/>
          <w:sz w:val="21"/>
          <w:szCs w:val="21"/>
        </w:rPr>
        <w:t>7会议服务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697"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3859"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697"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会议受理</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接受会议</w:t>
            </w:r>
            <w:r>
              <w:rPr>
                <w:rFonts w:hint="eastAsia" w:ascii="宋体" w:hAnsi="宋体" w:cs="Calibri"/>
                <w:color w:val="auto"/>
                <w:kern w:val="2"/>
                <w:sz w:val="21"/>
                <w:szCs w:val="21"/>
                <w:lang w:eastAsia="zh-CN"/>
              </w:rPr>
              <w:t>预订</w:t>
            </w:r>
            <w:r>
              <w:rPr>
                <w:rFonts w:ascii="宋体" w:hAnsi="宋体" w:cs="Calibri"/>
                <w:color w:val="auto"/>
                <w:kern w:val="2"/>
                <w:sz w:val="21"/>
                <w:szCs w:val="21"/>
                <w:lang w:eastAsia="zh-CN"/>
              </w:rPr>
              <w:t>，记录会议需求</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2</w:t>
            </w:r>
          </w:p>
        </w:tc>
        <w:tc>
          <w:tcPr>
            <w:tcW w:w="697"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会前准备</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根据会议需求、场地大小、用途，明确</w:t>
            </w:r>
            <w:r>
              <w:rPr>
                <w:rFonts w:hint="eastAsia" w:ascii="宋体" w:hAnsi="宋体" w:cs="Calibri"/>
                <w:color w:val="auto"/>
                <w:kern w:val="2"/>
                <w:sz w:val="21"/>
                <w:szCs w:val="21"/>
                <w:lang w:eastAsia="zh-CN"/>
              </w:rPr>
              <w:t>会议桌椅、物品、设备、文具等</w:t>
            </w:r>
            <w:r>
              <w:rPr>
                <w:rFonts w:ascii="宋体" w:hAnsi="宋体" w:cs="Calibri"/>
                <w:color w:val="auto"/>
                <w:kern w:val="2"/>
                <w:sz w:val="21"/>
                <w:szCs w:val="21"/>
                <w:lang w:eastAsia="zh-CN"/>
              </w:rPr>
              <w:t>摆放规定</w:t>
            </w:r>
            <w:r>
              <w:rPr>
                <w:rFonts w:hint="eastAsia" w:ascii="宋体" w:hAnsi="宋体" w:cs="Calibri"/>
                <w:color w:val="auto"/>
                <w:kern w:val="2"/>
                <w:sz w:val="21"/>
                <w:szCs w:val="21"/>
                <w:lang w:eastAsia="zh-CN"/>
              </w:rPr>
              <w:t>。会前15分钟（重要会议提前30分钟）完成会议准备工作，包括但不限于按照要求完成会场保洁、会场布置、用具摆放、会场内温度、湿度、空气清新度的调节调试。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3</w:t>
            </w:r>
          </w:p>
        </w:tc>
        <w:tc>
          <w:tcPr>
            <w:tcW w:w="697"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引导服务</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做好引导牌并放置在指定位置</w:t>
            </w:r>
            <w:r>
              <w:rPr>
                <w:rFonts w:hint="eastAsia" w:ascii="宋体" w:hAnsi="宋体" w:cs="Calibri"/>
                <w:color w:val="auto"/>
                <w:kern w:val="2"/>
                <w:sz w:val="21"/>
                <w:szCs w:val="21"/>
                <w:lang w:eastAsia="zh-CN"/>
              </w:rPr>
              <w:t>，</w:t>
            </w:r>
            <w:r>
              <w:rPr>
                <w:rFonts w:ascii="宋体" w:hAnsi="宋体" w:cs="Calibri"/>
                <w:color w:val="auto"/>
                <w:kern w:val="2"/>
                <w:sz w:val="21"/>
                <w:szCs w:val="21"/>
                <w:lang w:eastAsia="zh-CN"/>
              </w:rPr>
              <w:t>引导人员引导手势规范，语言标准</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4</w:t>
            </w:r>
          </w:p>
        </w:tc>
        <w:tc>
          <w:tcPr>
            <w:tcW w:w="697"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会中服务</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会议</w:t>
            </w:r>
            <w:r>
              <w:rPr>
                <w:rFonts w:hint="eastAsia" w:ascii="宋体" w:hAnsi="宋体" w:cs="Calibri"/>
                <w:color w:val="auto"/>
                <w:kern w:val="2"/>
                <w:sz w:val="21"/>
                <w:szCs w:val="21"/>
                <w:lang w:eastAsia="zh-CN"/>
              </w:rPr>
              <w:t>期间</w:t>
            </w:r>
            <w:r>
              <w:rPr>
                <w:rFonts w:ascii="宋体" w:hAnsi="宋体" w:cs="Calibri"/>
                <w:color w:val="auto"/>
                <w:kern w:val="2"/>
                <w:sz w:val="21"/>
                <w:szCs w:val="21"/>
                <w:lang w:eastAsia="zh-CN"/>
              </w:rPr>
              <w:t>按要求加水</w:t>
            </w:r>
            <w:r>
              <w:rPr>
                <w:rFonts w:hint="eastAsia" w:ascii="宋体" w:hAnsi="宋体" w:cs="Calibr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5</w:t>
            </w:r>
          </w:p>
        </w:tc>
        <w:tc>
          <w:tcPr>
            <w:tcW w:w="697"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ascii="宋体" w:hAnsi="宋体" w:cs="Calibri"/>
                <w:color w:val="auto"/>
                <w:kern w:val="2"/>
                <w:sz w:val="21"/>
                <w:szCs w:val="21"/>
              </w:rPr>
              <w:t>会后</w:t>
            </w:r>
            <w:r>
              <w:rPr>
                <w:rFonts w:hint="eastAsia" w:ascii="宋体" w:hAnsi="宋体" w:cs="Calibri"/>
                <w:color w:val="auto"/>
                <w:kern w:val="2"/>
                <w:sz w:val="21"/>
                <w:szCs w:val="21"/>
              </w:rPr>
              <w:t>整理</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ascii="宋体" w:hAnsi="宋体" w:cs="Calibri"/>
                <w:color w:val="auto"/>
                <w:kern w:val="2"/>
                <w:sz w:val="21"/>
                <w:szCs w:val="21"/>
                <w:lang w:eastAsia="zh-CN"/>
              </w:rPr>
              <w:t>对会议现场进行检查，做好会场清扫工作。</w:t>
            </w:r>
          </w:p>
        </w:tc>
      </w:tr>
    </w:tbl>
    <w:p>
      <w:pPr>
        <w:pStyle w:val="3"/>
        <w:keepNext w:val="0"/>
        <w:spacing w:before="0" w:after="0" w:line="300" w:lineRule="auto"/>
        <w:jc w:val="both"/>
        <w:rPr>
          <w:rFonts w:ascii="宋体" w:hAnsi="宋体" w:cs="仿宋_GB2312"/>
          <w:color w:val="auto"/>
          <w:kern w:val="36"/>
          <w:sz w:val="28"/>
          <w:szCs w:val="28"/>
          <w:lang w:eastAsia="zh-CN"/>
        </w:rPr>
      </w:pPr>
      <w:bookmarkStart w:id="25" w:name="_Toc202710768"/>
    </w:p>
    <w:p>
      <w:pPr>
        <w:widowControl w:val="0"/>
        <w:spacing w:line="300" w:lineRule="auto"/>
        <w:ind w:firstLine="422" w:firstLineChars="200"/>
        <w:jc w:val="both"/>
        <w:rPr>
          <w:rFonts w:ascii="宋体" w:hAnsi="宋体" w:cs="Calibri"/>
          <w:b/>
          <w:bCs/>
          <w:color w:val="auto"/>
          <w:sz w:val="21"/>
          <w:szCs w:val="21"/>
        </w:rPr>
      </w:pPr>
      <w:r>
        <w:rPr>
          <w:rFonts w:hint="eastAsia" w:ascii="宋体" w:hAnsi="宋体" w:cs="Calibri"/>
          <w:b/>
          <w:bCs/>
          <w:color w:val="auto"/>
          <w:sz w:val="21"/>
          <w:szCs w:val="21"/>
        </w:rPr>
        <w:t>3.</w:t>
      </w:r>
      <w:r>
        <w:rPr>
          <w:rFonts w:hint="eastAsia" w:ascii="宋体" w:hAnsi="宋体" w:cs="Calibri"/>
          <w:b/>
          <w:bCs/>
          <w:color w:val="auto"/>
          <w:sz w:val="21"/>
          <w:szCs w:val="21"/>
          <w:lang w:eastAsia="zh-CN"/>
        </w:rPr>
        <w:t>2.8文印</w:t>
      </w:r>
      <w:r>
        <w:rPr>
          <w:rFonts w:hint="eastAsia" w:ascii="宋体" w:hAnsi="宋体" w:cs="Calibri"/>
          <w:b/>
          <w:bCs/>
          <w:color w:val="auto"/>
          <w:sz w:val="21"/>
          <w:szCs w:val="21"/>
        </w:rPr>
        <w:t>服务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6"/>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序号</w:t>
            </w:r>
          </w:p>
        </w:tc>
        <w:tc>
          <w:tcPr>
            <w:tcW w:w="696"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ascii="宋体" w:hAnsi="宋体" w:cs="Calibri"/>
                <w:b/>
                <w:bCs/>
                <w:color w:val="auto"/>
                <w:kern w:val="2"/>
                <w:sz w:val="21"/>
                <w:szCs w:val="21"/>
              </w:rPr>
              <w:t>服务内容</w:t>
            </w:r>
          </w:p>
        </w:tc>
        <w:tc>
          <w:tcPr>
            <w:tcW w:w="3859"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b/>
                <w:bCs/>
                <w:color w:val="auto"/>
                <w:kern w:val="2"/>
                <w:sz w:val="21"/>
                <w:szCs w:val="21"/>
              </w:rPr>
            </w:pPr>
            <w:r>
              <w:rPr>
                <w:rFonts w:hint="eastAsia" w:ascii="宋体" w:hAnsi="宋体" w:cs="Calibri"/>
                <w:b/>
                <w:bCs/>
                <w:color w:val="auto"/>
                <w:kern w:val="2"/>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rPr>
            </w:pPr>
            <w:r>
              <w:rPr>
                <w:rFonts w:hint="eastAsia" w:ascii="宋体" w:hAnsi="宋体" w:cs="Calibri"/>
                <w:color w:val="auto"/>
                <w:kern w:val="2"/>
                <w:sz w:val="21"/>
                <w:szCs w:val="21"/>
              </w:rPr>
              <w:t>1</w:t>
            </w:r>
          </w:p>
        </w:tc>
        <w:tc>
          <w:tcPr>
            <w:tcW w:w="696"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文印服务</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熟悉文印设备使用，根据采购人需要提供材料复印、打印辅助服务。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2</w:t>
            </w:r>
          </w:p>
        </w:tc>
        <w:tc>
          <w:tcPr>
            <w:tcW w:w="696"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rPr>
            </w:pPr>
            <w:r>
              <w:rPr>
                <w:rFonts w:hint="eastAsia" w:ascii="宋体" w:hAnsi="宋体" w:cs="Calibri"/>
                <w:color w:val="auto"/>
                <w:kern w:val="2"/>
                <w:sz w:val="21"/>
                <w:szCs w:val="21"/>
                <w:lang w:val="en-US" w:eastAsia="zh-CN"/>
              </w:rPr>
              <w:t>文印设备管理</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做好文印设备的日常管理。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444" w:type="pct"/>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Calibri"/>
                <w:color w:val="auto"/>
                <w:kern w:val="2"/>
                <w:sz w:val="21"/>
                <w:szCs w:val="21"/>
                <w:lang w:eastAsia="zh-CN"/>
              </w:rPr>
            </w:pPr>
            <w:r>
              <w:rPr>
                <w:rFonts w:hint="eastAsia" w:ascii="宋体" w:hAnsi="宋体" w:cs="Calibri"/>
                <w:color w:val="auto"/>
                <w:kern w:val="2"/>
                <w:sz w:val="21"/>
                <w:szCs w:val="21"/>
                <w:lang w:eastAsia="zh-CN"/>
              </w:rPr>
              <w:t>3</w:t>
            </w:r>
          </w:p>
        </w:tc>
        <w:tc>
          <w:tcPr>
            <w:tcW w:w="696"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eastAsia="zh-CN"/>
              </w:rPr>
              <w:t>保密要求</w:t>
            </w:r>
          </w:p>
        </w:tc>
        <w:tc>
          <w:tcPr>
            <w:tcW w:w="3859" w:type="pct"/>
            <w:noWrap/>
            <w:vAlign w:val="center"/>
          </w:tcPr>
          <w:p>
            <w:pPr>
              <w:keepNext w:val="0"/>
              <w:keepLines w:val="0"/>
              <w:widowControl/>
              <w:suppressLineNumbers w:val="0"/>
              <w:spacing w:before="0" w:beforeAutospacing="0" w:after="0" w:afterAutospacing="0" w:line="300" w:lineRule="auto"/>
              <w:ind w:left="0" w:right="0"/>
              <w:jc w:val="both"/>
              <w:rPr>
                <w:rFonts w:ascii="宋体" w:hAnsi="宋体" w:cs="Calibri"/>
                <w:color w:val="auto"/>
                <w:kern w:val="2"/>
                <w:sz w:val="21"/>
                <w:szCs w:val="21"/>
                <w:lang w:eastAsia="zh-CN"/>
              </w:rPr>
            </w:pPr>
            <w:r>
              <w:rPr>
                <w:rFonts w:hint="eastAsia" w:ascii="宋体" w:hAnsi="宋体" w:cs="Calibri"/>
                <w:color w:val="auto"/>
                <w:kern w:val="2"/>
                <w:sz w:val="21"/>
                <w:szCs w:val="21"/>
                <w:lang w:val="en-US" w:eastAsia="zh-CN"/>
              </w:rPr>
              <w:t>严格遵守保密制度及相关要求。</w:t>
            </w:r>
          </w:p>
        </w:tc>
      </w:tr>
    </w:tbl>
    <w:p>
      <w:pPr>
        <w:pStyle w:val="3"/>
        <w:keepNext w:val="0"/>
        <w:spacing w:before="0" w:after="0" w:line="300" w:lineRule="auto"/>
        <w:jc w:val="both"/>
        <w:rPr>
          <w:rFonts w:ascii="宋体" w:hAnsi="宋体" w:cs="仿宋_GB2312"/>
          <w:color w:val="auto"/>
          <w:kern w:val="36"/>
          <w:sz w:val="28"/>
          <w:szCs w:val="28"/>
          <w:lang w:eastAsia="zh-CN"/>
        </w:rPr>
      </w:pPr>
    </w:p>
    <w:p>
      <w:pPr>
        <w:pStyle w:val="3"/>
        <w:keepNext w:val="0"/>
        <w:spacing w:before="0" w:after="0" w:line="300" w:lineRule="auto"/>
        <w:jc w:val="center"/>
        <w:rPr>
          <w:rFonts w:ascii="宋体" w:hAnsi="宋体" w:cs="仿宋_GB2312"/>
          <w:color w:val="auto"/>
          <w:sz w:val="28"/>
          <w:szCs w:val="28"/>
          <w:lang w:eastAsia="zh-CN"/>
        </w:rPr>
      </w:pPr>
      <w:r>
        <w:rPr>
          <w:rFonts w:ascii="宋体" w:hAnsi="宋体" w:cs="仿宋_GB2312"/>
          <w:color w:val="auto"/>
          <w:kern w:val="36"/>
          <w:sz w:val="28"/>
          <w:szCs w:val="28"/>
          <w:lang w:eastAsia="zh-CN"/>
        </w:rPr>
        <w:t>4人员要求</w:t>
      </w:r>
      <w:bookmarkEnd w:id="25"/>
    </w:p>
    <w:p>
      <w:pPr>
        <w:pStyle w:val="4"/>
        <w:keepNext w:val="0"/>
        <w:spacing w:before="0" w:after="0" w:line="300" w:lineRule="auto"/>
        <w:rPr>
          <w:rFonts w:ascii="宋体" w:hAnsi="宋体" w:cs="仿宋_GB2312"/>
          <w:color w:val="auto"/>
          <w:sz w:val="21"/>
          <w:szCs w:val="21"/>
          <w:lang w:eastAsia="zh-CN"/>
        </w:rPr>
      </w:pPr>
      <w:bookmarkStart w:id="26" w:name="_Toc202710769"/>
      <w:r>
        <w:rPr>
          <w:rFonts w:ascii="宋体" w:hAnsi="宋体" w:cs="仿宋_GB2312"/>
          <w:i w:val="0"/>
          <w:iCs w:val="0"/>
          <w:color w:val="auto"/>
          <w:sz w:val="21"/>
          <w:szCs w:val="21"/>
          <w:lang w:eastAsia="zh-CN"/>
        </w:rPr>
        <w:t>4.1团队要求</w:t>
      </w:r>
      <w:bookmarkEnd w:id="26"/>
      <w:bookmarkStart w:id="37" w:name="_GoBack"/>
      <w:bookmarkEnd w:id="37"/>
    </w:p>
    <w:p>
      <w:pPr>
        <w:pStyle w:val="5"/>
        <w:keepNext w:val="0"/>
        <w:spacing w:before="0" w:after="0" w:line="300" w:lineRule="auto"/>
        <w:rPr>
          <w:rFonts w:ascii="宋体" w:hAnsi="宋体" w:cs="仿宋_GB2312"/>
          <w:color w:val="auto"/>
          <w:sz w:val="21"/>
          <w:szCs w:val="21"/>
          <w:lang w:eastAsia="zh-CN"/>
        </w:rPr>
      </w:pPr>
      <w:bookmarkStart w:id="27" w:name="_Toc202710770"/>
      <w:r>
        <w:rPr>
          <w:rFonts w:ascii="宋体" w:hAnsi="宋体" w:cs="仿宋_GB2312"/>
          <w:color w:val="auto"/>
          <w:sz w:val="21"/>
          <w:szCs w:val="21"/>
          <w:lang w:eastAsia="zh-CN"/>
        </w:rPr>
        <w:t>4.1.1物业管理服务人员需求</w:t>
      </w:r>
      <w:bookmarkEnd w:id="27"/>
    </w:p>
    <w:p>
      <w:pPr>
        <w:spacing w:line="300" w:lineRule="auto"/>
        <w:ind w:firstLine="420" w:firstLineChars="200"/>
        <w:jc w:val="both"/>
        <w:rPr>
          <w:rFonts w:hint="eastAsia" w:ascii="宋体" w:hAnsi="宋体" w:cs="Calibri"/>
          <w:color w:val="auto"/>
          <w:sz w:val="21"/>
          <w:szCs w:val="21"/>
          <w:lang w:eastAsia="zh-CN"/>
        </w:rPr>
      </w:pPr>
      <w:r>
        <w:rPr>
          <w:rFonts w:hint="eastAsia" w:ascii="宋体" w:hAnsi="宋体"/>
          <w:color w:val="auto"/>
          <w:sz w:val="21"/>
          <w:szCs w:val="21"/>
          <w:lang w:eastAsia="zh-CN"/>
        </w:rPr>
        <w:t>★本项目物业管理服务人员总数不得少</w:t>
      </w:r>
      <w:r>
        <w:rPr>
          <w:rFonts w:hint="eastAsia" w:ascii="宋体" w:hAnsi="宋体" w:cs="Calibri"/>
          <w:color w:val="auto"/>
          <w:sz w:val="21"/>
          <w:szCs w:val="21"/>
          <w:lang w:eastAsia="zh-CN"/>
        </w:rPr>
        <w:t>于</w:t>
      </w:r>
      <w:r>
        <w:rPr>
          <w:rFonts w:ascii="宋体" w:hAnsi="宋体" w:cs="Calibri"/>
          <w:color w:val="auto"/>
          <w:sz w:val="21"/>
          <w:szCs w:val="21"/>
          <w:highlight w:val="none"/>
          <w:lang w:eastAsia="zh-CN"/>
        </w:rPr>
        <w:t>6</w:t>
      </w:r>
      <w:r>
        <w:rPr>
          <w:rFonts w:hint="eastAsia" w:ascii="宋体" w:hAnsi="宋体" w:cs="Calibri"/>
          <w:color w:val="auto"/>
          <w:sz w:val="21"/>
          <w:szCs w:val="21"/>
          <w:lang w:eastAsia="zh-CN"/>
        </w:rPr>
        <w:t>6</w:t>
      </w:r>
      <w:r>
        <w:rPr>
          <w:rFonts w:ascii="宋体" w:hAnsi="宋体" w:cs="Calibri"/>
          <w:color w:val="auto"/>
          <w:sz w:val="21"/>
          <w:szCs w:val="21"/>
          <w:highlight w:val="none"/>
          <w:lang w:eastAsia="zh-CN"/>
        </w:rPr>
        <w:t>人</w:t>
      </w:r>
      <w:r>
        <w:rPr>
          <w:rFonts w:hint="eastAsia" w:ascii="宋体" w:hAnsi="宋体" w:cs="Calibri"/>
          <w:color w:val="auto"/>
          <w:sz w:val="21"/>
          <w:szCs w:val="21"/>
          <w:lang w:eastAsia="zh-CN"/>
        </w:rPr>
        <w:t>。</w:t>
      </w:r>
    </w:p>
    <w:p>
      <w:pPr>
        <w:spacing w:line="300" w:lineRule="auto"/>
        <w:ind w:firstLine="420" w:firstLineChars="200"/>
        <w:jc w:val="both"/>
        <w:rPr>
          <w:rFonts w:hint="eastAsia" w:ascii="宋体" w:hAnsi="宋体" w:cs="Calibri"/>
          <w:color w:val="auto"/>
          <w:sz w:val="21"/>
          <w:szCs w:val="21"/>
          <w:lang w:eastAsia="zh-CN"/>
        </w:rPr>
      </w:pPr>
      <w:r>
        <w:rPr>
          <w:rFonts w:hint="eastAsia" w:ascii="宋体" w:hAnsi="宋体"/>
          <w:color w:val="auto"/>
          <w:sz w:val="21"/>
          <w:szCs w:val="21"/>
          <w:lang w:eastAsia="zh-CN"/>
        </w:rPr>
        <w:t>★承诺保安岗均具有保安员证，需提供加盖投标人公章的承诺函，否则视为无效响应。</w:t>
      </w:r>
    </w:p>
    <w:tbl>
      <w:tblPr>
        <w:tblStyle w:val="17"/>
        <w:tblW w:w="9242" w:type="dxa"/>
        <w:jc w:val="center"/>
        <w:tblLayout w:type="autofit"/>
        <w:tblCellMar>
          <w:top w:w="0" w:type="dxa"/>
          <w:left w:w="108" w:type="dxa"/>
          <w:bottom w:w="0" w:type="dxa"/>
          <w:right w:w="108" w:type="dxa"/>
        </w:tblCellMar>
      </w:tblPr>
      <w:tblGrid>
        <w:gridCol w:w="1300"/>
        <w:gridCol w:w="1171"/>
        <w:gridCol w:w="767"/>
        <w:gridCol w:w="851"/>
        <w:gridCol w:w="5153"/>
      </w:tblGrid>
      <w:tr>
        <w:tblPrEx>
          <w:tblCellMar>
            <w:top w:w="0" w:type="dxa"/>
            <w:left w:w="108" w:type="dxa"/>
            <w:bottom w:w="0" w:type="dxa"/>
            <w:right w:w="108" w:type="dxa"/>
          </w:tblCellMar>
        </w:tblPrEx>
        <w:trPr>
          <w:trHeight w:val="54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bCs/>
                <w:color w:val="auto"/>
                <w:kern w:val="2"/>
                <w:sz w:val="21"/>
                <w:szCs w:val="21"/>
              </w:rPr>
            </w:pPr>
            <w:r>
              <w:rPr>
                <w:rFonts w:hint="eastAsia" w:ascii="宋体" w:hAnsi="宋体" w:cs="宋体"/>
                <w:b/>
                <w:bCs/>
                <w:color w:val="auto"/>
                <w:kern w:val="2"/>
                <w:sz w:val="21"/>
                <w:szCs w:val="21"/>
              </w:rPr>
              <w:t>部门职能</w:t>
            </w:r>
          </w:p>
        </w:tc>
        <w:tc>
          <w:tcPr>
            <w:tcW w:w="117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bCs/>
                <w:color w:val="auto"/>
                <w:kern w:val="2"/>
                <w:sz w:val="21"/>
                <w:szCs w:val="21"/>
              </w:rPr>
            </w:pPr>
            <w:r>
              <w:rPr>
                <w:rFonts w:hint="eastAsia" w:ascii="宋体" w:hAnsi="宋体" w:cs="宋体"/>
                <w:b/>
                <w:bCs/>
                <w:color w:val="auto"/>
                <w:kern w:val="2"/>
                <w:sz w:val="21"/>
                <w:szCs w:val="21"/>
              </w:rPr>
              <w:t>岗位</w:t>
            </w:r>
          </w:p>
        </w:tc>
        <w:tc>
          <w:tcPr>
            <w:tcW w:w="767"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bCs/>
                <w:color w:val="auto"/>
                <w:kern w:val="2"/>
                <w:sz w:val="21"/>
                <w:szCs w:val="21"/>
              </w:rPr>
            </w:pPr>
            <w:r>
              <w:rPr>
                <w:rFonts w:hint="eastAsia" w:ascii="宋体" w:hAnsi="宋体" w:cs="宋体"/>
                <w:b/>
                <w:bCs/>
                <w:color w:val="auto"/>
                <w:kern w:val="2"/>
                <w:sz w:val="21"/>
                <w:szCs w:val="21"/>
              </w:rPr>
              <w:t>同时在岗人数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bCs/>
                <w:color w:val="auto"/>
                <w:kern w:val="2"/>
                <w:sz w:val="21"/>
                <w:szCs w:val="21"/>
              </w:rPr>
            </w:pPr>
            <w:r>
              <w:rPr>
                <w:rFonts w:hint="eastAsia" w:ascii="宋体" w:hAnsi="宋体" w:cs="宋体"/>
                <w:b/>
                <w:bCs/>
                <w:color w:val="auto"/>
                <w:kern w:val="2"/>
                <w:sz w:val="21"/>
                <w:szCs w:val="21"/>
              </w:rPr>
              <w:t>岗位所需总人数</w:t>
            </w:r>
          </w:p>
        </w:tc>
        <w:tc>
          <w:tcPr>
            <w:tcW w:w="515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bCs/>
                <w:color w:val="auto"/>
                <w:kern w:val="2"/>
                <w:sz w:val="21"/>
                <w:szCs w:val="21"/>
                <w:lang w:eastAsia="zh-CN"/>
              </w:rPr>
            </w:pPr>
            <w:r>
              <w:rPr>
                <w:rFonts w:hint="eastAsia" w:ascii="宋体" w:hAnsi="宋体" w:cs="宋体"/>
                <w:b/>
                <w:bCs/>
                <w:color w:val="auto"/>
                <w:kern w:val="2"/>
                <w:sz w:val="21"/>
                <w:szCs w:val="21"/>
                <w:lang w:eastAsia="zh-CN"/>
              </w:rPr>
              <w:t>备注（岗位所需服务时长或时段、需具备的上岗资格证、人员学历、工作经验等要求）</w:t>
            </w:r>
          </w:p>
        </w:tc>
      </w:tr>
      <w:tr>
        <w:tblPrEx>
          <w:tblCellMar>
            <w:top w:w="0" w:type="dxa"/>
            <w:left w:w="108" w:type="dxa"/>
            <w:bottom w:w="0" w:type="dxa"/>
            <w:right w:w="108" w:type="dxa"/>
          </w:tblCellMar>
        </w:tblPrEx>
        <w:trPr>
          <w:trHeight w:val="810" w:hRule="atLeast"/>
          <w:jc w:val="center"/>
        </w:trPr>
        <w:tc>
          <w:tcPr>
            <w:tcW w:w="130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ascii="宋体" w:hAnsi="宋体" w:cs="宋体"/>
                <w:color w:val="auto"/>
                <w:kern w:val="2"/>
                <w:sz w:val="21"/>
                <w:szCs w:val="21"/>
              </w:rPr>
              <w:t>服务中心</w:t>
            </w: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项目经理</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工作日内8小时为主。具有大学专科及以上学历、5年及以上非住宅类物业项目经理经验的优先考虑。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房屋、公用设施设备维护服务</w:t>
            </w: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工程主管</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工作日内8小时为主。具有3年及以上非住宅类物业项目工程管理经验的优先考虑。</w:t>
            </w:r>
          </w:p>
        </w:tc>
      </w:tr>
      <w:tr>
        <w:tblPrEx>
          <w:tblCellMar>
            <w:top w:w="0" w:type="dxa"/>
            <w:left w:w="108" w:type="dxa"/>
            <w:bottom w:w="0" w:type="dxa"/>
            <w:right w:w="108" w:type="dxa"/>
          </w:tblCellMar>
        </w:tblPrEx>
        <w:trPr>
          <w:trHeight w:val="817" w:hRule="atLeast"/>
          <w:jc w:val="center"/>
        </w:trPr>
        <w:tc>
          <w:tcPr>
            <w:tcW w:w="1300" w:type="dxa"/>
            <w:vMerge w:val="continue"/>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维修工</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2</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2</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工作日内8小时为主。供应商承诺维修工均具有3年及以上非住宅类物业项目维修工工作经验的优先考虑。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保洁服务</w:t>
            </w: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保洁主管</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工作日内8小时为主。具有3年及以上非住宅类物业项目保洁服务管理经验的优先考虑。</w:t>
            </w:r>
          </w:p>
        </w:tc>
      </w:tr>
      <w:tr>
        <w:tblPrEx>
          <w:tblCellMar>
            <w:top w:w="0" w:type="dxa"/>
            <w:left w:w="108" w:type="dxa"/>
            <w:bottom w:w="0" w:type="dxa"/>
            <w:right w:w="108" w:type="dxa"/>
          </w:tblCellMar>
        </w:tblPrEx>
        <w:trPr>
          <w:trHeight w:val="973" w:hRule="atLeast"/>
          <w:jc w:val="center"/>
        </w:trPr>
        <w:tc>
          <w:tcPr>
            <w:tcW w:w="1300" w:type="dxa"/>
            <w:vMerge w:val="continue"/>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ascii="宋体" w:hAnsi="宋体" w:cs="宋体"/>
                <w:color w:val="auto"/>
                <w:kern w:val="2"/>
                <w:sz w:val="21"/>
                <w:szCs w:val="21"/>
              </w:rPr>
              <w:t>保洁员</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14</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14</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工作日内8小时为主。供应商承诺保洁员均具有健康证、1年及以上非住宅类物业项目保洁工作经验的优先考虑。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保安服务</w:t>
            </w: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保安主管</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工作日内8小时为主。具有3年及以上非住宅类物业项目保安服务管理经验的优先考虑。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保安主管助理</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w:t>
            </w:r>
            <w:r>
              <w:rPr>
                <w:rFonts w:hint="eastAsia" w:ascii="宋体" w:hAnsi="宋体" w:cs="宋体"/>
                <w:color w:val="auto"/>
                <w:kern w:val="2"/>
                <w:sz w:val="21"/>
                <w:szCs w:val="21"/>
                <w:lang w:val="en-US" w:eastAsia="zh-CN"/>
              </w:rPr>
              <w:t>供应商承诺保安主管助理</w:t>
            </w:r>
            <w:r>
              <w:rPr>
                <w:rFonts w:hint="eastAsia" w:ascii="宋体" w:hAnsi="宋体" w:cs="宋体"/>
                <w:color w:val="auto"/>
                <w:kern w:val="2"/>
                <w:sz w:val="21"/>
                <w:szCs w:val="21"/>
                <w:lang w:eastAsia="zh-CN"/>
              </w:rPr>
              <w:t>具有3年及以上</w:t>
            </w:r>
            <w:r>
              <w:rPr>
                <w:rFonts w:hint="eastAsia" w:ascii="宋体" w:hAnsi="宋体" w:cs="宋体"/>
                <w:color w:val="auto"/>
                <w:kern w:val="2"/>
                <w:sz w:val="21"/>
                <w:szCs w:val="21"/>
                <w:lang w:val="en-US" w:eastAsia="zh-CN"/>
              </w:rPr>
              <w:t>保安主管助理</w:t>
            </w:r>
            <w:r>
              <w:rPr>
                <w:rFonts w:hint="eastAsia" w:ascii="宋体" w:hAnsi="宋体" w:cs="宋体"/>
                <w:color w:val="auto"/>
                <w:kern w:val="2"/>
                <w:sz w:val="21"/>
                <w:szCs w:val="21"/>
                <w:lang w:eastAsia="zh-CN"/>
              </w:rPr>
              <w:t>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一般保安岗（日、夜班）</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tabs>
                <w:tab w:val="left" w:pos="421"/>
              </w:tabs>
              <w:spacing w:before="0" w:beforeAutospacing="0" w:after="0" w:afterAutospacing="0" w:line="300" w:lineRule="auto"/>
              <w:ind w:left="0" w:right="0"/>
              <w:jc w:val="center"/>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25</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40</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24小时两班制为主，日班25人，夜班15人。供应商承诺一般保安岗人员均具有1年及以上非住宅类物业项目保安工作经验的优先考虑。</w:t>
            </w:r>
          </w:p>
        </w:tc>
      </w:tr>
      <w:tr>
        <w:tblPrEx>
          <w:tblCellMar>
            <w:top w:w="0" w:type="dxa"/>
            <w:left w:w="108" w:type="dxa"/>
            <w:bottom w:w="0" w:type="dxa"/>
            <w:right w:w="108" w:type="dxa"/>
          </w:tblCellMar>
        </w:tblPrEx>
        <w:trPr>
          <w:trHeight w:val="810" w:hRule="atLeast"/>
          <w:jc w:val="center"/>
        </w:trPr>
        <w:tc>
          <w:tcPr>
            <w:tcW w:w="130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会议服务</w:t>
            </w: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会务主管</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1</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工作日内8小时为主。具有3年及以上非住宅类物业项目会务服务管理经验的优先考虑。</w:t>
            </w:r>
          </w:p>
        </w:tc>
      </w:tr>
      <w:tr>
        <w:tblPrEx>
          <w:tblCellMar>
            <w:top w:w="0" w:type="dxa"/>
            <w:left w:w="108" w:type="dxa"/>
            <w:bottom w:w="0" w:type="dxa"/>
            <w:right w:w="108" w:type="dxa"/>
          </w:tblCellMar>
        </w:tblPrEx>
        <w:trPr>
          <w:trHeight w:val="810"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lang w:eastAsia="zh-CN"/>
              </w:rPr>
            </w:pPr>
          </w:p>
        </w:tc>
        <w:tc>
          <w:tcPr>
            <w:tcW w:w="117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rPr>
            </w:pPr>
            <w:r>
              <w:rPr>
                <w:rFonts w:hint="eastAsia" w:ascii="宋体" w:hAnsi="宋体" w:cs="宋体"/>
                <w:color w:val="auto"/>
                <w:kern w:val="2"/>
                <w:sz w:val="21"/>
                <w:szCs w:val="21"/>
              </w:rPr>
              <w:t>会务接待员</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4</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4</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工作日内8小时为主，其中一人同时负责文印服务。供应商承诺会务接待员均具有健康证、1年及以上会务接待工作经验的优先考虑。</w:t>
            </w:r>
          </w:p>
        </w:tc>
      </w:tr>
      <w:tr>
        <w:tblPrEx>
          <w:tblCellMar>
            <w:top w:w="0" w:type="dxa"/>
            <w:left w:w="108" w:type="dxa"/>
            <w:bottom w:w="0" w:type="dxa"/>
            <w:right w:w="108" w:type="dxa"/>
          </w:tblCellMar>
        </w:tblPrEx>
        <w:trPr>
          <w:trHeight w:val="280" w:hRule="atLeast"/>
          <w:jc w:val="center"/>
        </w:trPr>
        <w:tc>
          <w:tcPr>
            <w:tcW w:w="24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合计</w:t>
            </w:r>
          </w:p>
        </w:tc>
        <w:tc>
          <w:tcPr>
            <w:tcW w:w="7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51</w:t>
            </w: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66</w:t>
            </w:r>
          </w:p>
        </w:tc>
        <w:tc>
          <w:tcPr>
            <w:tcW w:w="515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lang w:eastAsia="zh-CN"/>
              </w:rPr>
            </w:pPr>
          </w:p>
        </w:tc>
      </w:tr>
    </w:tbl>
    <w:p>
      <w:pPr>
        <w:spacing w:line="300" w:lineRule="auto"/>
        <w:ind w:firstLine="420" w:firstLineChars="200"/>
        <w:jc w:val="both"/>
        <w:rPr>
          <w:rFonts w:ascii="宋体" w:hAnsi="宋体" w:cs="楷体"/>
          <w:bCs/>
          <w:color w:val="auto"/>
          <w:sz w:val="21"/>
          <w:szCs w:val="21"/>
          <w:lang w:eastAsia="zh-CN"/>
        </w:rPr>
      </w:pPr>
      <w:r>
        <w:rPr>
          <w:rFonts w:hint="eastAsia" w:ascii="宋体" w:hAnsi="宋体" w:cs="楷体"/>
          <w:color w:val="auto"/>
          <w:sz w:val="21"/>
          <w:szCs w:val="21"/>
          <w:lang w:eastAsia="zh-CN"/>
        </w:rPr>
        <w:t>注：</w:t>
      </w:r>
      <w:r>
        <w:rPr>
          <w:rFonts w:hint="eastAsia" w:ascii="宋体" w:hAnsi="宋体" w:cs="楷体"/>
          <w:bCs/>
          <w:color w:val="auto"/>
          <w:sz w:val="21"/>
          <w:szCs w:val="21"/>
          <w:lang w:eastAsia="zh-CN"/>
        </w:rPr>
        <w:t>供应商应当按国家相关法律法规，合理确定服务人员工资标准、工作时间等。</w:t>
      </w:r>
    </w:p>
    <w:p>
      <w:pPr>
        <w:spacing w:line="300" w:lineRule="auto"/>
        <w:ind w:firstLine="420" w:firstLineChars="200"/>
        <w:jc w:val="both"/>
        <w:rPr>
          <w:rFonts w:ascii="宋体" w:hAnsi="宋体" w:cs="楷体"/>
          <w:bCs/>
          <w:color w:val="auto"/>
          <w:sz w:val="21"/>
          <w:szCs w:val="21"/>
          <w:lang w:eastAsia="zh-CN"/>
        </w:rPr>
      </w:pPr>
      <w:r>
        <w:rPr>
          <w:rFonts w:hint="eastAsia" w:ascii="宋体" w:hAnsi="宋体" w:cs="楷体"/>
          <w:bCs/>
          <w:color w:val="auto"/>
          <w:sz w:val="21"/>
          <w:szCs w:val="21"/>
          <w:lang w:eastAsia="zh-CN"/>
        </w:rPr>
        <w:t>供应商应当自行为服务人员办理必需的保险，有关人员伤亡及第三者责任险均应当考虑在报价因素中。</w:t>
      </w:r>
    </w:p>
    <w:p>
      <w:pPr>
        <w:spacing w:line="300" w:lineRule="auto"/>
        <w:ind w:firstLine="420" w:firstLineChars="200"/>
        <w:jc w:val="both"/>
        <w:rPr>
          <w:rFonts w:ascii="宋体" w:hAnsi="宋体" w:cs="楷体"/>
          <w:bCs/>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28" w:name="_Toc202710771"/>
      <w:r>
        <w:rPr>
          <w:rFonts w:ascii="宋体" w:hAnsi="宋体" w:cs="仿宋_GB2312"/>
          <w:color w:val="auto"/>
          <w:kern w:val="36"/>
          <w:sz w:val="28"/>
          <w:szCs w:val="28"/>
          <w:lang w:eastAsia="zh-CN"/>
        </w:rPr>
        <w:t>5管理实施要求</w:t>
      </w:r>
      <w:bookmarkEnd w:id="28"/>
    </w:p>
    <w:p>
      <w:pPr>
        <w:widowControl w:val="0"/>
        <w:spacing w:line="300" w:lineRule="auto"/>
        <w:ind w:firstLine="422" w:firstLineChars="200"/>
        <w:jc w:val="both"/>
        <w:rPr>
          <w:rFonts w:ascii="宋体" w:hAnsi="宋体" w:cs="Calibri"/>
          <w:b/>
          <w:bCs/>
          <w:color w:val="auto"/>
          <w:sz w:val="21"/>
          <w:szCs w:val="21"/>
          <w:lang w:eastAsia="zh-CN"/>
        </w:rPr>
      </w:pPr>
      <w:r>
        <w:rPr>
          <w:rFonts w:hint="eastAsia" w:ascii="宋体" w:hAnsi="宋体" w:cs="Calibri"/>
          <w:b/>
          <w:bCs/>
          <w:color w:val="auto"/>
          <w:sz w:val="21"/>
          <w:szCs w:val="21"/>
          <w:lang w:eastAsia="zh-CN"/>
        </w:rPr>
        <w:t>5.1供应商履行合同所需的设备</w:t>
      </w:r>
    </w:p>
    <w:tbl>
      <w:tblPr>
        <w:tblStyle w:val="17"/>
        <w:tblW w:w="4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00"/>
        <w:gridCol w:w="3479"/>
        <w:gridCol w:w="981"/>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b/>
                <w:bCs/>
                <w:color w:val="auto"/>
                <w:kern w:val="2"/>
                <w:sz w:val="21"/>
                <w:szCs w:val="21"/>
              </w:rPr>
            </w:pPr>
            <w:r>
              <w:rPr>
                <w:rFonts w:ascii="宋体" w:hAnsi="宋体"/>
                <w:b/>
                <w:bCs/>
                <w:color w:val="auto"/>
                <w:kern w:val="2"/>
                <w:sz w:val="21"/>
                <w:szCs w:val="21"/>
              </w:rPr>
              <w:t>序号</w:t>
            </w:r>
          </w:p>
        </w:tc>
        <w:tc>
          <w:tcPr>
            <w:tcW w:w="2800"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b/>
                <w:bCs/>
                <w:color w:val="auto"/>
                <w:kern w:val="2"/>
                <w:sz w:val="21"/>
                <w:szCs w:val="21"/>
              </w:rPr>
            </w:pPr>
            <w:r>
              <w:rPr>
                <w:rFonts w:hint="eastAsia" w:ascii="宋体" w:hAnsi="宋体"/>
                <w:b/>
                <w:bCs/>
                <w:color w:val="auto"/>
                <w:kern w:val="2"/>
                <w:sz w:val="21"/>
                <w:szCs w:val="21"/>
              </w:rPr>
              <w:t>用途</w:t>
            </w:r>
          </w:p>
        </w:tc>
        <w:tc>
          <w:tcPr>
            <w:tcW w:w="3479"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b/>
                <w:bCs/>
                <w:color w:val="auto"/>
                <w:kern w:val="2"/>
                <w:sz w:val="21"/>
                <w:szCs w:val="21"/>
              </w:rPr>
            </w:pPr>
            <w:r>
              <w:rPr>
                <w:rFonts w:hint="eastAsia" w:ascii="宋体" w:hAnsi="宋体"/>
                <w:b/>
                <w:bCs/>
                <w:color w:val="auto"/>
                <w:kern w:val="2"/>
                <w:sz w:val="21"/>
                <w:szCs w:val="21"/>
              </w:rPr>
              <w:t>作业设备</w:t>
            </w:r>
            <w:r>
              <w:rPr>
                <w:rFonts w:ascii="宋体" w:hAnsi="宋体"/>
                <w:b/>
                <w:bCs/>
                <w:color w:val="auto"/>
                <w:kern w:val="2"/>
                <w:sz w:val="21"/>
                <w:szCs w:val="21"/>
              </w:rPr>
              <w:t>名称</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b/>
                <w:bCs/>
                <w:color w:val="auto"/>
                <w:kern w:val="2"/>
                <w:sz w:val="21"/>
                <w:szCs w:val="21"/>
              </w:rPr>
            </w:pPr>
            <w:r>
              <w:rPr>
                <w:rFonts w:hint="eastAsia" w:ascii="宋体" w:hAnsi="宋体"/>
                <w:b/>
                <w:bCs/>
                <w:color w:val="auto"/>
                <w:kern w:val="2"/>
                <w:sz w:val="21"/>
                <w:szCs w:val="21"/>
              </w:rPr>
              <w:t>数量</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b/>
                <w:bCs/>
                <w:color w:val="auto"/>
                <w:kern w:val="2"/>
                <w:sz w:val="21"/>
                <w:szCs w:val="21"/>
              </w:rPr>
            </w:pPr>
            <w:r>
              <w:rPr>
                <w:rFonts w:hint="eastAsia" w:ascii="宋体" w:hAnsi="宋体"/>
                <w:b/>
                <w:bCs/>
                <w:color w:val="auto"/>
                <w:kern w:val="2"/>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1</w:t>
            </w:r>
          </w:p>
        </w:tc>
        <w:tc>
          <w:tcPr>
            <w:tcW w:w="2800"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hint="eastAsia" w:ascii="宋体" w:hAnsi="宋体"/>
                <w:color w:val="auto"/>
                <w:kern w:val="2"/>
                <w:sz w:val="21"/>
                <w:szCs w:val="21"/>
              </w:rPr>
              <w:t>基本服务</w:t>
            </w:r>
          </w:p>
        </w:tc>
        <w:tc>
          <w:tcPr>
            <w:tcW w:w="347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电脑</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val="en-US" w:eastAsia="zh-CN"/>
              </w:rPr>
              <w:t>2</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2</w:t>
            </w:r>
          </w:p>
        </w:tc>
        <w:tc>
          <w:tcPr>
            <w:tcW w:w="2800"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hint="eastAsia" w:ascii="宋体" w:hAnsi="宋体"/>
                <w:color w:val="auto"/>
                <w:kern w:val="2"/>
                <w:sz w:val="21"/>
                <w:szCs w:val="21"/>
              </w:rPr>
              <w:t>房屋维护服务</w:t>
            </w:r>
          </w:p>
        </w:tc>
        <w:tc>
          <w:tcPr>
            <w:tcW w:w="347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hint="eastAsia" w:ascii="宋体" w:hAnsi="宋体"/>
                <w:color w:val="auto"/>
                <w:kern w:val="2"/>
                <w:sz w:val="21"/>
                <w:szCs w:val="21"/>
                <w:lang w:eastAsia="zh-CN"/>
              </w:rPr>
              <w:t>冲击钻</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val="en-US" w:eastAsia="zh-CN"/>
              </w:rPr>
              <w:t>2</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3</w:t>
            </w:r>
          </w:p>
        </w:tc>
        <w:tc>
          <w:tcPr>
            <w:tcW w:w="2800"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公用设施设备维护服务</w:t>
            </w:r>
          </w:p>
        </w:tc>
        <w:tc>
          <w:tcPr>
            <w:tcW w:w="347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梯子</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5</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4</w:t>
            </w:r>
          </w:p>
        </w:tc>
        <w:tc>
          <w:tcPr>
            <w:tcW w:w="2800"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hint="eastAsia" w:ascii="宋体" w:hAnsi="宋体"/>
                <w:color w:val="auto"/>
                <w:kern w:val="2"/>
                <w:sz w:val="21"/>
                <w:szCs w:val="21"/>
              </w:rPr>
              <w:t>保安服务</w:t>
            </w:r>
          </w:p>
        </w:tc>
        <w:tc>
          <w:tcPr>
            <w:tcW w:w="347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防护装备（头盔、盾牌、警棍等）</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若干</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5</w:t>
            </w:r>
          </w:p>
        </w:tc>
        <w:tc>
          <w:tcPr>
            <w:tcW w:w="2800"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rPr>
            </w:pPr>
            <w:r>
              <w:rPr>
                <w:rFonts w:hint="eastAsia" w:ascii="宋体" w:hAnsi="宋体"/>
                <w:color w:val="auto"/>
                <w:kern w:val="2"/>
                <w:sz w:val="21"/>
                <w:szCs w:val="21"/>
              </w:rPr>
              <w:t>会议服务</w:t>
            </w:r>
          </w:p>
        </w:tc>
        <w:tc>
          <w:tcPr>
            <w:tcW w:w="3479" w:type="dxa"/>
            <w:noWrap/>
            <w:vAlign w:val="center"/>
          </w:tcPr>
          <w:p>
            <w:pPr>
              <w:keepNext w:val="0"/>
              <w:keepLines w:val="0"/>
              <w:widowControl/>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电脑</w:t>
            </w:r>
          </w:p>
        </w:tc>
        <w:tc>
          <w:tcPr>
            <w:tcW w:w="981"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lang w:eastAsia="zh-CN"/>
              </w:rPr>
            </w:pPr>
            <w:r>
              <w:rPr>
                <w:rFonts w:hint="eastAsia" w:ascii="宋体" w:hAnsi="宋体"/>
                <w:color w:val="auto"/>
                <w:kern w:val="2"/>
                <w:sz w:val="21"/>
                <w:szCs w:val="21"/>
                <w:lang w:eastAsia="zh-CN"/>
              </w:rPr>
              <w:t>1</w:t>
            </w:r>
          </w:p>
        </w:tc>
        <w:tc>
          <w:tcPr>
            <w:tcW w:w="957" w:type="dxa"/>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olor w:val="auto"/>
                <w:kern w:val="2"/>
                <w:sz w:val="21"/>
                <w:szCs w:val="21"/>
              </w:rPr>
            </w:pPr>
            <w:r>
              <w:rPr>
                <w:rFonts w:hint="eastAsia" w:ascii="宋体" w:hAnsi="宋体"/>
                <w:color w:val="auto"/>
                <w:kern w:val="2"/>
                <w:sz w:val="21"/>
                <w:szCs w:val="21"/>
              </w:rPr>
              <w:t>台</w:t>
            </w:r>
          </w:p>
        </w:tc>
      </w:tr>
    </w:tbl>
    <w:p>
      <w:pPr>
        <w:spacing w:line="300" w:lineRule="auto"/>
        <w:jc w:val="both"/>
        <w:rPr>
          <w:rFonts w:ascii="宋体" w:hAnsi="宋体" w:cs="仿宋_GB2312"/>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29" w:name="_Toc202710772"/>
      <w:r>
        <w:rPr>
          <w:rFonts w:ascii="宋体" w:hAnsi="宋体" w:cs="仿宋_GB2312"/>
          <w:color w:val="auto"/>
          <w:kern w:val="36"/>
          <w:sz w:val="28"/>
          <w:szCs w:val="28"/>
          <w:lang w:eastAsia="zh-CN"/>
        </w:rPr>
        <w:t>6风险管控要求</w:t>
      </w:r>
      <w:bookmarkEnd w:id="29"/>
    </w:p>
    <w:p>
      <w:pPr>
        <w:spacing w:line="300" w:lineRule="auto"/>
        <w:ind w:firstLine="420" w:firstLineChars="200"/>
        <w:jc w:val="both"/>
        <w:rPr>
          <w:rFonts w:ascii="宋体" w:hAnsi="宋体" w:cs="仿宋_GB2312"/>
          <w:color w:val="auto"/>
          <w:sz w:val="21"/>
          <w:szCs w:val="21"/>
          <w:lang w:eastAsia="zh-CN"/>
        </w:rPr>
      </w:pPr>
      <w:r>
        <w:rPr>
          <w:rFonts w:hint="eastAsia" w:ascii="宋体" w:hAnsi="宋体" w:cs="仿宋_GB2312"/>
          <w:color w:val="auto"/>
          <w:sz w:val="21"/>
          <w:szCs w:val="21"/>
          <w:lang w:eastAsia="zh-CN"/>
        </w:rPr>
        <w:t>物业管理服务项目实施期间，供应商</w:t>
      </w:r>
      <w:r>
        <w:rPr>
          <w:rFonts w:ascii="宋体" w:hAnsi="宋体" w:cs="仿宋_GB2312"/>
          <w:color w:val="auto"/>
          <w:sz w:val="21"/>
          <w:szCs w:val="21"/>
          <w:lang w:eastAsia="zh-CN"/>
        </w:rPr>
        <w:t>识别、分析各种潜在风险，针对不同风险类型制定相应解决方案</w:t>
      </w:r>
      <w:r>
        <w:rPr>
          <w:rFonts w:hint="eastAsia" w:ascii="宋体" w:hAnsi="宋体" w:cs="仿宋_GB2312"/>
          <w:color w:val="auto"/>
          <w:sz w:val="21"/>
          <w:szCs w:val="21"/>
          <w:lang w:eastAsia="zh-CN"/>
        </w:rPr>
        <w:t>。</w:t>
      </w:r>
    </w:p>
    <w:p>
      <w:pPr>
        <w:spacing w:line="300" w:lineRule="auto"/>
        <w:jc w:val="both"/>
        <w:rPr>
          <w:rFonts w:ascii="宋体" w:hAnsi="宋体" w:cs="仿宋_GB2312"/>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30" w:name="_Toc202710773"/>
      <w:r>
        <w:rPr>
          <w:rFonts w:ascii="宋体" w:hAnsi="宋体" w:cs="仿宋_GB2312"/>
          <w:color w:val="auto"/>
          <w:kern w:val="36"/>
          <w:sz w:val="28"/>
          <w:szCs w:val="28"/>
          <w:lang w:eastAsia="zh-CN"/>
        </w:rPr>
        <w:t>7履约验收要求</w:t>
      </w:r>
      <w:bookmarkEnd w:id="30"/>
    </w:p>
    <w:p>
      <w:pPr>
        <w:pStyle w:val="4"/>
        <w:keepNext w:val="0"/>
        <w:spacing w:before="0" w:after="0" w:line="300" w:lineRule="auto"/>
        <w:rPr>
          <w:rFonts w:ascii="宋体" w:hAnsi="宋体" w:cs="仿宋_GB2312"/>
          <w:color w:val="auto"/>
          <w:sz w:val="21"/>
          <w:szCs w:val="21"/>
          <w:lang w:eastAsia="zh-CN"/>
        </w:rPr>
      </w:pPr>
      <w:bookmarkStart w:id="31" w:name="_Toc202710774"/>
      <w:r>
        <w:rPr>
          <w:rFonts w:ascii="宋体" w:hAnsi="宋体" w:cs="仿宋_GB2312"/>
          <w:i w:val="0"/>
          <w:iCs w:val="0"/>
          <w:color w:val="auto"/>
          <w:sz w:val="21"/>
          <w:szCs w:val="21"/>
          <w:lang w:eastAsia="zh-CN"/>
        </w:rPr>
        <w:t>7.1总体要求</w:t>
      </w:r>
      <w:bookmarkEnd w:id="31"/>
    </w:p>
    <w:tbl>
      <w:tblPr>
        <w:tblStyle w:val="17"/>
        <w:tblW w:w="4800" w:type="pct"/>
        <w:tblInd w:w="30" w:type="dxa"/>
        <w:tblLayout w:type="fixed"/>
        <w:tblCellMar>
          <w:top w:w="0" w:type="dxa"/>
          <w:left w:w="108" w:type="dxa"/>
          <w:bottom w:w="0" w:type="dxa"/>
          <w:right w:w="108" w:type="dxa"/>
        </w:tblCellMar>
      </w:tblPr>
      <w:tblGrid>
        <w:gridCol w:w="1993"/>
        <w:gridCol w:w="6714"/>
      </w:tblGrid>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b/>
                <w:bCs/>
                <w:color w:val="auto"/>
                <w:kern w:val="2"/>
                <w:sz w:val="21"/>
                <w:szCs w:val="21"/>
              </w:rPr>
            </w:pPr>
            <w:r>
              <w:rPr>
                <w:rFonts w:hint="eastAsia" w:ascii="宋体" w:hAnsi="宋体" w:cs="仿宋_GB2312"/>
                <w:b/>
                <w:bCs/>
                <w:color w:val="auto"/>
                <w:kern w:val="2"/>
                <w:sz w:val="21"/>
                <w:szCs w:val="21"/>
              </w:rPr>
              <w:t>验收名称</w:t>
            </w:r>
          </w:p>
        </w:tc>
        <w:tc>
          <w:tcPr>
            <w:tcW w:w="6714" w:type="dxa"/>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b/>
                <w:bCs/>
                <w:color w:val="auto"/>
                <w:kern w:val="2"/>
                <w:sz w:val="21"/>
                <w:szCs w:val="21"/>
              </w:rPr>
            </w:pPr>
            <w:r>
              <w:rPr>
                <w:rFonts w:hint="eastAsia" w:ascii="宋体" w:hAnsi="宋体" w:cs="仿宋_GB2312"/>
                <w:b/>
                <w:bCs/>
                <w:color w:val="auto"/>
                <w:kern w:val="2"/>
                <w:sz w:val="21"/>
                <w:szCs w:val="21"/>
              </w:rPr>
              <w:t>验收要求</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第1次验收</w:t>
            </w:r>
          </w:p>
        </w:tc>
        <w:tc>
          <w:tcPr>
            <w:tcW w:w="67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both"/>
              <w:rPr>
                <w:rFonts w:ascii="宋体" w:hAnsi="宋体" w:cs="仿宋_GB2312"/>
                <w:color w:val="auto"/>
                <w:kern w:val="2"/>
                <w:sz w:val="21"/>
                <w:szCs w:val="21"/>
                <w:lang w:eastAsia="zh-CN"/>
              </w:rPr>
            </w:pPr>
            <w:r>
              <w:rPr>
                <w:rFonts w:hint="eastAsia" w:ascii="宋体" w:hAnsi="宋体"/>
                <w:color w:val="auto"/>
                <w:kern w:val="2"/>
                <w:sz w:val="21"/>
                <w:szCs w:val="21"/>
                <w:lang w:eastAsia="zh-CN"/>
              </w:rPr>
              <w:t>采购人每年6月底前对中标人1</w:t>
            </w:r>
            <w:r>
              <w:rPr>
                <w:rFonts w:hint="eastAsia" w:ascii="宋体" w:hAnsi="宋体"/>
                <w:color w:val="auto"/>
                <w:kern w:val="2"/>
                <w:sz w:val="21"/>
                <w:szCs w:val="21"/>
                <w:lang w:val="en-US" w:eastAsia="zh-CN"/>
              </w:rPr>
              <w:t>-</w:t>
            </w:r>
            <w:r>
              <w:rPr>
                <w:rFonts w:hint="eastAsia" w:ascii="宋体" w:hAnsi="宋体"/>
                <w:color w:val="auto"/>
                <w:kern w:val="2"/>
                <w:sz w:val="21"/>
                <w:szCs w:val="21"/>
                <w:lang w:eastAsia="zh-CN"/>
              </w:rPr>
              <w:t>5月</w:t>
            </w:r>
            <w:r>
              <w:rPr>
                <w:rFonts w:hint="eastAsia" w:ascii="宋体" w:hAnsi="宋体" w:cs="仿宋_GB2312"/>
                <w:color w:val="auto"/>
                <w:kern w:val="2"/>
                <w:sz w:val="21"/>
                <w:szCs w:val="21"/>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第2次验收</w:t>
            </w:r>
          </w:p>
        </w:tc>
        <w:tc>
          <w:tcPr>
            <w:tcW w:w="67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both"/>
              <w:rPr>
                <w:rFonts w:ascii="宋体" w:hAnsi="宋体" w:cs="仿宋_GB2312"/>
                <w:color w:val="auto"/>
                <w:kern w:val="2"/>
                <w:sz w:val="21"/>
                <w:szCs w:val="21"/>
                <w:lang w:eastAsia="zh-CN"/>
              </w:rPr>
            </w:pPr>
            <w:r>
              <w:rPr>
                <w:rFonts w:hint="eastAsia" w:ascii="宋体" w:hAnsi="宋体"/>
                <w:color w:val="auto"/>
                <w:kern w:val="2"/>
                <w:sz w:val="21"/>
                <w:szCs w:val="21"/>
                <w:lang w:eastAsia="zh-CN"/>
              </w:rPr>
              <w:t>采购人每年9月底前对中标人6</w:t>
            </w:r>
            <w:r>
              <w:rPr>
                <w:rFonts w:hint="eastAsia" w:ascii="宋体" w:hAnsi="宋体"/>
                <w:color w:val="auto"/>
                <w:kern w:val="2"/>
                <w:sz w:val="21"/>
                <w:szCs w:val="21"/>
                <w:lang w:val="en-US" w:eastAsia="zh-CN"/>
              </w:rPr>
              <w:t>-</w:t>
            </w:r>
            <w:r>
              <w:rPr>
                <w:rFonts w:hint="eastAsia" w:ascii="宋体" w:hAnsi="宋体"/>
                <w:color w:val="auto"/>
                <w:kern w:val="2"/>
                <w:sz w:val="21"/>
                <w:szCs w:val="21"/>
                <w:lang w:eastAsia="zh-CN"/>
              </w:rPr>
              <w:t>8月</w:t>
            </w:r>
            <w:r>
              <w:rPr>
                <w:rFonts w:hint="eastAsia" w:ascii="宋体" w:hAnsi="宋体" w:cs="仿宋_GB2312"/>
                <w:color w:val="auto"/>
                <w:kern w:val="2"/>
                <w:sz w:val="21"/>
                <w:szCs w:val="21"/>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第3次验收</w:t>
            </w:r>
          </w:p>
        </w:tc>
        <w:tc>
          <w:tcPr>
            <w:tcW w:w="67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both"/>
              <w:rPr>
                <w:rFonts w:ascii="宋体" w:hAnsi="宋体" w:cs="仿宋_GB2312"/>
                <w:color w:val="auto"/>
                <w:kern w:val="2"/>
                <w:sz w:val="21"/>
                <w:szCs w:val="21"/>
                <w:lang w:eastAsia="zh-CN"/>
              </w:rPr>
            </w:pPr>
            <w:r>
              <w:rPr>
                <w:rFonts w:hint="eastAsia" w:ascii="宋体" w:hAnsi="宋体"/>
                <w:color w:val="auto"/>
                <w:kern w:val="2"/>
                <w:sz w:val="21"/>
                <w:szCs w:val="21"/>
                <w:lang w:eastAsia="zh-CN"/>
              </w:rPr>
              <w:t>采购人每年12月底前对中标人9</w:t>
            </w:r>
            <w:r>
              <w:rPr>
                <w:rFonts w:hint="eastAsia" w:ascii="宋体" w:hAnsi="宋体"/>
                <w:color w:val="auto"/>
                <w:kern w:val="2"/>
                <w:sz w:val="21"/>
                <w:szCs w:val="21"/>
                <w:lang w:val="en-US" w:eastAsia="zh-CN"/>
              </w:rPr>
              <w:t>-</w:t>
            </w:r>
            <w:r>
              <w:rPr>
                <w:rFonts w:hint="eastAsia" w:ascii="宋体" w:hAnsi="宋体"/>
                <w:color w:val="auto"/>
                <w:kern w:val="2"/>
                <w:sz w:val="21"/>
                <w:szCs w:val="21"/>
                <w:lang w:eastAsia="zh-CN"/>
              </w:rPr>
              <w:t>11月</w:t>
            </w:r>
            <w:r>
              <w:rPr>
                <w:rFonts w:hint="eastAsia" w:ascii="宋体" w:hAnsi="宋体" w:cs="仿宋_GB2312"/>
                <w:color w:val="auto"/>
                <w:kern w:val="2"/>
                <w:sz w:val="21"/>
                <w:szCs w:val="21"/>
                <w:lang w:eastAsia="zh-CN"/>
              </w:rPr>
              <w:t>服务情况进行履约验收考核。</w:t>
            </w:r>
          </w:p>
        </w:tc>
      </w:tr>
      <w:tr>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lang w:eastAsia="zh-CN"/>
              </w:rPr>
            </w:pPr>
            <w:r>
              <w:rPr>
                <w:rFonts w:hint="eastAsia" w:ascii="宋体" w:hAnsi="宋体" w:cs="仿宋_GB2312"/>
                <w:color w:val="auto"/>
                <w:kern w:val="2"/>
                <w:sz w:val="21"/>
                <w:szCs w:val="21"/>
                <w:lang w:eastAsia="zh-CN"/>
              </w:rPr>
              <w:t>第4次验收</w:t>
            </w:r>
          </w:p>
        </w:tc>
        <w:tc>
          <w:tcPr>
            <w:tcW w:w="67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both"/>
              <w:rPr>
                <w:rFonts w:ascii="宋体" w:hAnsi="宋体"/>
                <w:color w:val="auto"/>
                <w:kern w:val="2"/>
                <w:sz w:val="21"/>
                <w:szCs w:val="21"/>
                <w:lang w:eastAsia="zh-CN"/>
              </w:rPr>
            </w:pPr>
            <w:r>
              <w:rPr>
                <w:rFonts w:hint="eastAsia" w:ascii="宋体" w:hAnsi="宋体"/>
                <w:color w:val="auto"/>
                <w:kern w:val="2"/>
                <w:sz w:val="21"/>
                <w:szCs w:val="21"/>
                <w:lang w:eastAsia="zh-CN"/>
              </w:rPr>
              <w:t>采购人次年1月底前对中标人12月</w:t>
            </w:r>
            <w:r>
              <w:rPr>
                <w:rFonts w:hint="eastAsia" w:ascii="宋体" w:hAnsi="宋体" w:cs="仿宋_GB2312"/>
                <w:color w:val="auto"/>
                <w:kern w:val="2"/>
                <w:sz w:val="21"/>
                <w:szCs w:val="21"/>
                <w:lang w:eastAsia="zh-CN"/>
              </w:rPr>
              <w:t>服务情况进行履约验收考核。</w:t>
            </w:r>
          </w:p>
        </w:tc>
      </w:tr>
    </w:tbl>
    <w:p>
      <w:pPr>
        <w:pStyle w:val="4"/>
        <w:keepNext w:val="0"/>
        <w:spacing w:before="0" w:after="0" w:line="300" w:lineRule="auto"/>
        <w:rPr>
          <w:rFonts w:ascii="宋体" w:hAnsi="宋体" w:cs="仿宋_GB2312"/>
          <w:color w:val="auto"/>
          <w:sz w:val="21"/>
          <w:szCs w:val="21"/>
          <w:lang w:eastAsia="zh-CN"/>
        </w:rPr>
      </w:pPr>
      <w:bookmarkStart w:id="32" w:name="_Toc202710775"/>
      <w:r>
        <w:rPr>
          <w:rFonts w:ascii="宋体" w:hAnsi="宋体" w:cs="仿宋_GB2312"/>
          <w:i w:val="0"/>
          <w:iCs w:val="0"/>
          <w:color w:val="auto"/>
          <w:sz w:val="21"/>
          <w:szCs w:val="21"/>
          <w:lang w:eastAsia="zh-CN"/>
        </w:rPr>
        <w:t>7.2验收考核标准与要求</w:t>
      </w:r>
      <w:bookmarkEnd w:id="32"/>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本项目每年进行4次验收考核，验收考核内容及标准见《服务满意度测评表》，第1次至第3次验收考核结果作为付款的依据，第4次验收考核结果作为退回履约保证金的依据。每次验收考核由采购人进行服务满意度测评，以《服务满意度测评表》的最终得分达到80分为基准，第1次至第3次验收考核每低1分在对应付款时扣除1000元，第4次验收考核每低1分在退回履约保证金时扣除1000元；低于70分则本次考核为不合格，否则视作本次考核合格；4次验收考核中有</w:t>
      </w:r>
      <w:r>
        <w:rPr>
          <w:rFonts w:hint="eastAsia" w:ascii="宋体" w:hAnsi="宋体"/>
          <w:color w:val="auto"/>
          <w:sz w:val="21"/>
          <w:szCs w:val="21"/>
          <w:lang w:val="en-US" w:eastAsia="zh-CN"/>
        </w:rPr>
        <w:t>2</w:t>
      </w:r>
      <w:r>
        <w:rPr>
          <w:rFonts w:hint="eastAsia" w:ascii="宋体" w:hAnsi="宋体"/>
          <w:color w:val="auto"/>
          <w:sz w:val="21"/>
          <w:szCs w:val="21"/>
          <w:lang w:eastAsia="zh-CN"/>
        </w:rPr>
        <w:t>次及以上考核为不合格的，履约保证金不予退回。</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涉及重大安全问题或造成不良影响的，每次从对应期间的《服务满意度测评表》总得分中扣除5分（扣完为止）。</w:t>
      </w:r>
    </w:p>
    <w:tbl>
      <w:tblPr>
        <w:tblStyle w:val="17"/>
        <w:tblW w:w="9242" w:type="dxa"/>
        <w:jc w:val="center"/>
        <w:tblLayout w:type="autofit"/>
        <w:tblCellMar>
          <w:top w:w="0" w:type="dxa"/>
          <w:left w:w="108" w:type="dxa"/>
          <w:bottom w:w="0" w:type="dxa"/>
          <w:right w:w="108" w:type="dxa"/>
        </w:tblCellMar>
      </w:tblPr>
      <w:tblGrid>
        <w:gridCol w:w="1474"/>
        <w:gridCol w:w="1636"/>
        <w:gridCol w:w="2993"/>
        <w:gridCol w:w="823"/>
        <w:gridCol w:w="824"/>
        <w:gridCol w:w="815"/>
        <w:gridCol w:w="677"/>
      </w:tblGrid>
      <w:tr>
        <w:tblPrEx>
          <w:tblCellMar>
            <w:top w:w="0" w:type="dxa"/>
            <w:left w:w="108" w:type="dxa"/>
            <w:bottom w:w="0" w:type="dxa"/>
            <w:right w:w="108" w:type="dxa"/>
          </w:tblCellMar>
        </w:tblPrEx>
        <w:trPr>
          <w:trHeight w:val="454" w:hRule="atLeast"/>
          <w:jc w:val="center"/>
        </w:trPr>
        <w:tc>
          <w:tcPr>
            <w:tcW w:w="924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服务满意度测评表</w:t>
            </w:r>
          </w:p>
        </w:tc>
      </w:tr>
      <w:tr>
        <w:tblPrEx>
          <w:tblCellMar>
            <w:top w:w="0" w:type="dxa"/>
            <w:left w:w="108" w:type="dxa"/>
            <w:bottom w:w="0" w:type="dxa"/>
            <w:right w:w="108" w:type="dxa"/>
          </w:tblCellMar>
        </w:tblPrEx>
        <w:trPr>
          <w:trHeight w:val="454" w:hRule="atLeast"/>
          <w:jc w:val="center"/>
        </w:trPr>
        <w:tc>
          <w:tcPr>
            <w:tcW w:w="143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分类</w:t>
            </w:r>
          </w:p>
        </w:tc>
        <w:tc>
          <w:tcPr>
            <w:tcW w:w="164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评价项目</w:t>
            </w:r>
          </w:p>
        </w:tc>
        <w:tc>
          <w:tcPr>
            <w:tcW w:w="301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评价标准</w:t>
            </w:r>
          </w:p>
        </w:tc>
        <w:tc>
          <w:tcPr>
            <w:tcW w:w="82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满意</w:t>
            </w:r>
          </w:p>
        </w:tc>
        <w:tc>
          <w:tcPr>
            <w:tcW w:w="82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基本满意</w:t>
            </w:r>
          </w:p>
        </w:tc>
        <w:tc>
          <w:tcPr>
            <w:tcW w:w="819"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不满意</w:t>
            </w:r>
          </w:p>
        </w:tc>
        <w:tc>
          <w:tcPr>
            <w:tcW w:w="6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b/>
                <w:color w:val="auto"/>
                <w:kern w:val="2"/>
                <w:sz w:val="21"/>
                <w:szCs w:val="21"/>
              </w:rPr>
            </w:pPr>
            <w:r>
              <w:rPr>
                <w:rFonts w:hint="eastAsia" w:ascii="宋体" w:hAnsi="宋体" w:cs="宋体"/>
                <w:b/>
                <w:color w:val="auto"/>
                <w:kern w:val="2"/>
                <w:sz w:val="21"/>
                <w:szCs w:val="21"/>
              </w:rPr>
              <w:t>得分</w:t>
            </w:r>
          </w:p>
        </w:tc>
      </w:tr>
      <w:tr>
        <w:tblPrEx>
          <w:tblCellMar>
            <w:top w:w="0" w:type="dxa"/>
            <w:left w:w="108" w:type="dxa"/>
            <w:bottom w:w="0" w:type="dxa"/>
            <w:right w:w="108" w:type="dxa"/>
          </w:tblCellMar>
        </w:tblPrEx>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基本服务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20分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服务人员配备</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服务人员总数到达6</w:t>
            </w:r>
            <w:r>
              <w:rPr>
                <w:rFonts w:hint="eastAsia" w:ascii="宋体" w:hAnsi="宋体" w:cs="宋体"/>
                <w:color w:val="auto"/>
                <w:kern w:val="2"/>
                <w:sz w:val="21"/>
                <w:szCs w:val="21"/>
                <w:lang w:val="en-US" w:eastAsia="zh-CN"/>
              </w:rPr>
              <w:t>6</w:t>
            </w:r>
            <w:r>
              <w:rPr>
                <w:rFonts w:hint="eastAsia" w:ascii="宋体" w:hAnsi="宋体" w:cs="宋体"/>
                <w:color w:val="auto"/>
                <w:kern w:val="2"/>
                <w:sz w:val="21"/>
                <w:szCs w:val="21"/>
                <w:lang w:eastAsia="zh-CN"/>
              </w:rPr>
              <w:t>人，满足各岗位所需服务时长或时段，考勤记录完整、准确</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仪容仪表规范</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着装分类统一，仪容整洁、姿态端正、举止文明</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管理制度</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建立健全各项管理制度，各岗位工作标准、工作流程及考核办法</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信报服务</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邮件、报刊、杂志收发及时准确无差错</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房屋和公用设施设备维护服务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20分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维</w:t>
            </w:r>
            <w:r>
              <w:rPr>
                <w:rFonts w:hint="eastAsia" w:ascii="宋体" w:hAnsi="宋体" w:cs="宋体"/>
                <w:color w:val="auto"/>
                <w:kern w:val="2"/>
                <w:sz w:val="21"/>
                <w:szCs w:val="21"/>
                <w:lang w:eastAsia="zh-CN"/>
              </w:rPr>
              <w:t>护</w:t>
            </w:r>
            <w:r>
              <w:rPr>
                <w:rFonts w:hint="eastAsia" w:ascii="宋体" w:hAnsi="宋体" w:cs="宋体"/>
                <w:color w:val="auto"/>
                <w:kern w:val="2"/>
                <w:sz w:val="21"/>
                <w:szCs w:val="21"/>
              </w:rPr>
              <w:t>服务态度</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服务及时热情周到，主动服务，事事有反馈</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维</w:t>
            </w:r>
            <w:r>
              <w:rPr>
                <w:rFonts w:hint="eastAsia" w:ascii="宋体" w:hAnsi="宋体" w:cs="宋体"/>
                <w:color w:val="auto"/>
                <w:kern w:val="2"/>
                <w:sz w:val="21"/>
                <w:szCs w:val="21"/>
                <w:lang w:eastAsia="zh-CN"/>
              </w:rPr>
              <w:t>护</w:t>
            </w:r>
            <w:r>
              <w:rPr>
                <w:rFonts w:hint="eastAsia" w:ascii="宋体" w:hAnsi="宋体" w:cs="宋体"/>
                <w:color w:val="auto"/>
                <w:kern w:val="2"/>
                <w:sz w:val="21"/>
                <w:szCs w:val="21"/>
              </w:rPr>
              <w:t>及时性</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接到报修后及时到场查看，并采取相应的措施</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维护服务质量</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保证房屋完好，公用设施设备完好有效，维修合格率达到100%</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维</w:t>
            </w:r>
            <w:r>
              <w:rPr>
                <w:rFonts w:hint="eastAsia" w:ascii="宋体" w:hAnsi="宋体" w:cs="宋体"/>
                <w:color w:val="auto"/>
                <w:kern w:val="2"/>
                <w:sz w:val="21"/>
                <w:szCs w:val="21"/>
                <w:lang w:eastAsia="zh-CN"/>
              </w:rPr>
              <w:t>护</w:t>
            </w:r>
            <w:r>
              <w:rPr>
                <w:rFonts w:hint="eastAsia" w:ascii="宋体" w:hAnsi="宋体" w:cs="宋体"/>
                <w:color w:val="auto"/>
                <w:kern w:val="2"/>
                <w:sz w:val="21"/>
                <w:szCs w:val="21"/>
              </w:rPr>
              <w:t>应急处理</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应急处理及时，处置得当</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保洁服务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20分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公共区域卫生</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道路地面无杂物、积尘、污迹、积水</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卫生间卫生</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台面地面无尘无污，客用品充足</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保洁服务态度</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按规定时间完成清洁工作，达到规定清扫频率和质量</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保洁工具</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保洁工具摆放规范有序，能定期更换保证清洁使用</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绿化服务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lang w:val="en-US" w:eastAsia="zh-CN"/>
              </w:rPr>
              <w:t>6</w:t>
            </w:r>
            <w:r>
              <w:rPr>
                <w:rFonts w:hint="eastAsia" w:ascii="宋体" w:hAnsi="宋体" w:cs="宋体"/>
                <w:color w:val="auto"/>
                <w:kern w:val="2"/>
                <w:sz w:val="21"/>
                <w:szCs w:val="21"/>
              </w:rPr>
              <w:t>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室内绿化租摆</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盆栽美观长势良好，花盆干净，更换应季</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3</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1</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室外绿化养护</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定期修剪树木、花卉等，灌乔木生长正常花枝新鲜</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lang w:val="en-US" w:eastAsia="zh-CN"/>
              </w:rPr>
              <w:t>3</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lang w:val="en-US" w:eastAsia="zh-CN"/>
              </w:rPr>
              <w:t>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lang w:val="en-US" w:eastAsia="zh-CN"/>
              </w:rPr>
              <w:t>1</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保安服务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20分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出入管理、车辆停放</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接待规范、处置合理，相关记录填写规范、保存完好，车辆停放规范有序</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值班巡查、监控值守</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执行24小时值班巡查，监控室实行专人24小时值班</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消防安全管理</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确保设备完好有效、无故障，发现问题及时报修处理</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突发事件处理</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保安人员熟知突发事件处置流程</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会议服务</w:t>
            </w:r>
          </w:p>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10分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会议服务质量</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按照要求完成会场保洁、会场布置、用具摆放、会场内温度和灯光音响投影等的调节调试</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rPr>
                <w:rFonts w:ascii="宋体" w:hAnsi="宋体" w:cs="宋体"/>
                <w:color w:val="auto"/>
                <w:kern w:val="2"/>
                <w:sz w:val="21"/>
                <w:szCs w:val="21"/>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会议服务态度</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ascii="宋体" w:hAnsi="宋体" w:cs="宋体"/>
                <w:color w:val="auto"/>
                <w:kern w:val="2"/>
                <w:sz w:val="21"/>
                <w:szCs w:val="21"/>
                <w:lang w:eastAsia="zh-CN"/>
              </w:rPr>
            </w:pPr>
            <w:r>
              <w:rPr>
                <w:rFonts w:hint="eastAsia" w:ascii="宋体" w:hAnsi="宋体" w:cs="宋体"/>
                <w:color w:val="auto"/>
                <w:kern w:val="2"/>
                <w:sz w:val="21"/>
                <w:szCs w:val="21"/>
                <w:lang w:eastAsia="zh-CN"/>
              </w:rPr>
              <w:t>服务及时热情周到，充分了解会议需求高效完成会议服务</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3</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80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color w:val="auto"/>
                <w:kern w:val="2"/>
              </w:rPr>
            </w:pPr>
            <w:r>
              <w:rPr>
                <w:rFonts w:hint="eastAsia" w:ascii="宋体" w:hAnsi="宋体" w:cs="宋体"/>
                <w:color w:val="auto"/>
                <w:kern w:val="2"/>
                <w:sz w:val="21"/>
                <w:szCs w:val="21"/>
                <w:lang w:eastAsia="zh-CN"/>
              </w:rPr>
              <w:t>文印服务</w:t>
            </w:r>
          </w:p>
          <w:p>
            <w:pPr>
              <w:keepNext w:val="0"/>
              <w:keepLines w:val="0"/>
              <w:widowControl/>
              <w:suppressLineNumbers w:val="0"/>
              <w:spacing w:before="0" w:beforeAutospacing="0" w:after="0" w:afterAutospacing="0" w:line="300" w:lineRule="auto"/>
              <w:ind w:left="0" w:right="0"/>
              <w:jc w:val="center"/>
              <w:rPr>
                <w:rFonts w:hint="eastAsia" w:ascii="宋体" w:hAnsi="宋体" w:cs="宋体"/>
                <w:color w:val="auto"/>
                <w:kern w:val="2"/>
                <w:sz w:val="21"/>
                <w:szCs w:val="21"/>
                <w:lang w:eastAsia="zh-CN"/>
              </w:rPr>
            </w:pPr>
            <w:r>
              <w:rPr>
                <w:rFonts w:hint="eastAsia" w:ascii="宋体" w:hAnsi="宋体" w:cs="宋体"/>
                <w:color w:val="auto"/>
                <w:kern w:val="2"/>
                <w:sz w:val="21"/>
                <w:szCs w:val="21"/>
                <w:lang w:val="en-US" w:eastAsia="zh-CN"/>
              </w:rPr>
              <w:t>4分</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cs="宋体"/>
                <w:color w:val="auto"/>
                <w:kern w:val="2"/>
                <w:sz w:val="21"/>
                <w:szCs w:val="21"/>
              </w:rPr>
            </w:pPr>
            <w:r>
              <w:rPr>
                <w:rFonts w:hint="eastAsia" w:ascii="宋体" w:hAnsi="宋体" w:cs="宋体"/>
                <w:color w:val="auto"/>
                <w:kern w:val="2"/>
                <w:sz w:val="21"/>
                <w:szCs w:val="21"/>
                <w:lang w:eastAsia="zh-CN"/>
              </w:rPr>
              <w:t>文印服务质量</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both"/>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按照要求完成文印服务</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4</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3</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2</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rPr>
          <w:trHeight w:val="454" w:hRule="atLeast"/>
          <w:jc w:val="center"/>
        </w:trPr>
        <w:tc>
          <w:tcPr>
            <w:tcW w:w="608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合计</w:t>
            </w:r>
          </w:p>
        </w:tc>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100</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r>
        <w:tblPrEx>
          <w:tblCellMar>
            <w:top w:w="0" w:type="dxa"/>
            <w:left w:w="108" w:type="dxa"/>
            <w:bottom w:w="0" w:type="dxa"/>
            <w:right w:w="108" w:type="dxa"/>
          </w:tblCellMar>
        </w:tblPrEx>
        <w:trPr>
          <w:trHeight w:val="454" w:hRule="atLeast"/>
          <w:jc w:val="center"/>
        </w:trPr>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扣除项</w:t>
            </w:r>
          </w:p>
        </w:tc>
        <w:tc>
          <w:tcPr>
            <w:tcW w:w="460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涉及重大安全问题或造成不良影响的</w:t>
            </w:r>
          </w:p>
        </w:tc>
        <w:tc>
          <w:tcPr>
            <w:tcW w:w="24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每次扣5分（扣完为止）</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lang w:eastAsia="zh-CN"/>
              </w:rPr>
            </w:pPr>
          </w:p>
        </w:tc>
      </w:tr>
      <w:tr>
        <w:tblPrEx>
          <w:tblCellMar>
            <w:top w:w="0" w:type="dxa"/>
            <w:left w:w="108" w:type="dxa"/>
            <w:bottom w:w="0" w:type="dxa"/>
            <w:right w:w="108" w:type="dxa"/>
          </w:tblCellMar>
        </w:tblPrEx>
        <w:trPr>
          <w:trHeight w:val="454" w:hRule="atLeast"/>
          <w:jc w:val="center"/>
        </w:trPr>
        <w:tc>
          <w:tcPr>
            <w:tcW w:w="8562"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r>
              <w:rPr>
                <w:rFonts w:hint="eastAsia" w:ascii="宋体" w:hAnsi="宋体" w:cs="宋体"/>
                <w:color w:val="auto"/>
                <w:kern w:val="2"/>
                <w:sz w:val="21"/>
                <w:szCs w:val="21"/>
              </w:rPr>
              <w:t>最终得分</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auto"/>
              <w:ind w:left="0" w:right="0"/>
              <w:jc w:val="center"/>
              <w:rPr>
                <w:rFonts w:ascii="宋体" w:hAnsi="宋体" w:cs="宋体"/>
                <w:color w:val="auto"/>
                <w:kern w:val="2"/>
                <w:sz w:val="21"/>
                <w:szCs w:val="21"/>
              </w:rPr>
            </w:pPr>
          </w:p>
        </w:tc>
      </w:tr>
    </w:tbl>
    <w:p>
      <w:pPr>
        <w:spacing w:line="300" w:lineRule="auto"/>
        <w:jc w:val="both"/>
        <w:rPr>
          <w:rFonts w:ascii="宋体" w:hAnsi="宋体" w:cs="仿宋_GB2312"/>
          <w:color w:val="auto"/>
          <w:sz w:val="21"/>
          <w:szCs w:val="21"/>
          <w:lang w:eastAsia="zh-CN"/>
        </w:rPr>
      </w:pPr>
    </w:p>
    <w:p>
      <w:pPr>
        <w:pStyle w:val="3"/>
        <w:keepNext w:val="0"/>
        <w:spacing w:before="0" w:after="0" w:line="300" w:lineRule="auto"/>
        <w:jc w:val="center"/>
        <w:rPr>
          <w:rFonts w:ascii="宋体" w:hAnsi="宋体" w:cs="仿宋_GB2312"/>
          <w:color w:val="auto"/>
          <w:sz w:val="28"/>
          <w:szCs w:val="28"/>
          <w:lang w:eastAsia="zh-CN"/>
        </w:rPr>
      </w:pPr>
      <w:bookmarkStart w:id="33" w:name="_Toc202710776"/>
      <w:r>
        <w:rPr>
          <w:rFonts w:ascii="宋体" w:hAnsi="宋体" w:cs="仿宋_GB2312"/>
          <w:color w:val="auto"/>
          <w:kern w:val="36"/>
          <w:sz w:val="28"/>
          <w:szCs w:val="28"/>
          <w:lang w:eastAsia="zh-CN"/>
        </w:rPr>
        <w:t>8其他要求</w:t>
      </w:r>
      <w:bookmarkEnd w:id="33"/>
    </w:p>
    <w:p>
      <w:pPr>
        <w:pStyle w:val="4"/>
        <w:keepNext w:val="0"/>
        <w:spacing w:before="0" w:after="0" w:line="300" w:lineRule="auto"/>
        <w:rPr>
          <w:rFonts w:ascii="宋体" w:hAnsi="宋体" w:cs="仿宋_GB2312"/>
          <w:color w:val="auto"/>
          <w:sz w:val="21"/>
          <w:szCs w:val="21"/>
          <w:lang w:eastAsia="zh-CN"/>
        </w:rPr>
      </w:pPr>
      <w:bookmarkStart w:id="34" w:name="_Toc202710777"/>
      <w:r>
        <w:rPr>
          <w:rFonts w:ascii="宋体" w:hAnsi="宋体" w:cs="仿宋_GB2312"/>
          <w:i w:val="0"/>
          <w:iCs w:val="0"/>
          <w:color w:val="auto"/>
          <w:sz w:val="21"/>
          <w:szCs w:val="21"/>
          <w:lang w:eastAsia="zh-CN"/>
        </w:rPr>
        <w:t>8.1付款安排</w:t>
      </w:r>
      <w:bookmarkEnd w:id="34"/>
    </w:p>
    <w:tbl>
      <w:tblPr>
        <w:tblStyle w:val="17"/>
        <w:tblW w:w="4981" w:type="pct"/>
        <w:tblInd w:w="30" w:type="dxa"/>
        <w:tblLayout w:type="fixed"/>
        <w:tblCellMar>
          <w:top w:w="0" w:type="dxa"/>
          <w:left w:w="108" w:type="dxa"/>
          <w:bottom w:w="0" w:type="dxa"/>
          <w:right w:w="108" w:type="dxa"/>
        </w:tblCellMar>
      </w:tblPr>
      <w:tblGrid>
        <w:gridCol w:w="1531"/>
        <w:gridCol w:w="6005"/>
        <w:gridCol w:w="1500"/>
      </w:tblGrid>
      <w:tr>
        <w:tblPrEx>
          <w:tblCellMar>
            <w:top w:w="0" w:type="dxa"/>
            <w:left w:w="108" w:type="dxa"/>
            <w:bottom w:w="0" w:type="dxa"/>
            <w:right w:w="108" w:type="dxa"/>
          </w:tblCellMar>
        </w:tblPrEx>
        <w:tc>
          <w:tcPr>
            <w:tcW w:w="847"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b/>
                <w:bCs/>
                <w:color w:val="auto"/>
                <w:kern w:val="2"/>
                <w:sz w:val="21"/>
                <w:szCs w:val="21"/>
              </w:rPr>
            </w:pPr>
            <w:r>
              <w:rPr>
                <w:rFonts w:hint="eastAsia" w:ascii="宋体" w:hAnsi="宋体" w:cs="仿宋_GB2312"/>
                <w:b/>
                <w:bCs/>
                <w:color w:val="auto"/>
                <w:kern w:val="2"/>
                <w:sz w:val="21"/>
                <w:szCs w:val="21"/>
              </w:rPr>
              <w:t>付款名称</w:t>
            </w:r>
          </w:p>
        </w:tc>
        <w:tc>
          <w:tcPr>
            <w:tcW w:w="3322"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b/>
                <w:bCs/>
                <w:color w:val="auto"/>
                <w:kern w:val="2"/>
                <w:sz w:val="21"/>
                <w:szCs w:val="21"/>
              </w:rPr>
            </w:pPr>
            <w:r>
              <w:rPr>
                <w:rFonts w:hint="eastAsia" w:ascii="宋体" w:hAnsi="宋体" w:cs="仿宋_GB2312"/>
                <w:b/>
                <w:bCs/>
                <w:color w:val="auto"/>
                <w:kern w:val="2"/>
                <w:sz w:val="21"/>
                <w:szCs w:val="21"/>
              </w:rPr>
              <w:t>付款要求</w:t>
            </w:r>
          </w:p>
        </w:tc>
        <w:tc>
          <w:tcPr>
            <w:tcW w:w="830"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b/>
                <w:bCs/>
                <w:color w:val="auto"/>
                <w:kern w:val="2"/>
                <w:sz w:val="21"/>
                <w:szCs w:val="21"/>
              </w:rPr>
            </w:pPr>
            <w:r>
              <w:rPr>
                <w:rFonts w:hint="eastAsia" w:ascii="宋体" w:hAnsi="宋体" w:cs="仿宋_GB2312"/>
                <w:b/>
                <w:bCs/>
                <w:color w:val="auto"/>
                <w:kern w:val="2"/>
                <w:sz w:val="21"/>
                <w:szCs w:val="21"/>
              </w:rPr>
              <w:t>付款比例(%)</w:t>
            </w:r>
          </w:p>
        </w:tc>
      </w:tr>
      <w:tr>
        <w:tblPrEx>
          <w:tblCellMar>
            <w:top w:w="0" w:type="dxa"/>
            <w:left w:w="108" w:type="dxa"/>
            <w:bottom w:w="0" w:type="dxa"/>
            <w:right w:w="108" w:type="dxa"/>
          </w:tblCellMar>
        </w:tblPrEx>
        <w:tc>
          <w:tcPr>
            <w:tcW w:w="847"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第1次付款</w:t>
            </w:r>
          </w:p>
        </w:tc>
        <w:tc>
          <w:tcPr>
            <w:tcW w:w="3322"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ascii="宋体" w:hAnsi="宋体" w:cs="仿宋_GB2312"/>
                <w:color w:val="auto"/>
                <w:kern w:val="2"/>
                <w:sz w:val="21"/>
                <w:szCs w:val="21"/>
                <w:lang w:eastAsia="zh-CN"/>
              </w:rPr>
            </w:pPr>
            <w:r>
              <w:rPr>
                <w:rFonts w:hint="eastAsia" w:ascii="宋体" w:hAnsi="宋体"/>
                <w:color w:val="auto"/>
                <w:kern w:val="2"/>
                <w:sz w:val="21"/>
                <w:szCs w:val="21"/>
                <w:lang w:eastAsia="zh-CN"/>
              </w:rPr>
              <w:t>采购人在对中标人</w:t>
            </w:r>
            <w:r>
              <w:rPr>
                <w:rFonts w:hint="eastAsia" w:ascii="宋体" w:hAnsi="宋体"/>
                <w:color w:val="auto"/>
                <w:kern w:val="2"/>
                <w:sz w:val="21"/>
                <w:szCs w:val="21"/>
                <w:lang w:val="en-US" w:eastAsia="zh-CN"/>
              </w:rPr>
              <w:t>1-5月服务情况进行履约验收考核后，根据履约验收考核结果在</w:t>
            </w:r>
            <w:r>
              <w:rPr>
                <w:rFonts w:hint="eastAsia" w:ascii="宋体" w:hAnsi="宋体"/>
                <w:color w:val="auto"/>
                <w:kern w:val="2"/>
                <w:sz w:val="21"/>
                <w:szCs w:val="21"/>
                <w:lang w:eastAsia="zh-CN"/>
              </w:rPr>
              <w:t>收到发票后10个工作日内支付当年合同金额的</w:t>
            </w:r>
            <w:r>
              <w:rPr>
                <w:rFonts w:hint="eastAsia" w:ascii="宋体" w:hAnsi="宋体"/>
                <w:color w:val="auto"/>
                <w:kern w:val="2"/>
                <w:sz w:val="21"/>
                <w:szCs w:val="21"/>
                <w:lang w:val="en-US" w:eastAsia="zh-CN"/>
              </w:rPr>
              <w:t>50％</w:t>
            </w:r>
            <w:r>
              <w:rPr>
                <w:rFonts w:hint="eastAsia" w:ascii="宋体" w:hAnsi="宋体" w:cs="仿宋_GB2312"/>
                <w:color w:val="auto"/>
                <w:kern w:val="2"/>
                <w:sz w:val="21"/>
                <w:szCs w:val="21"/>
                <w:lang w:eastAsia="zh-CN"/>
              </w:rPr>
              <w:t>；</w:t>
            </w:r>
          </w:p>
        </w:tc>
        <w:tc>
          <w:tcPr>
            <w:tcW w:w="830"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lang w:eastAsia="zh-CN"/>
              </w:rPr>
            </w:pPr>
            <w:r>
              <w:rPr>
                <w:rFonts w:hint="eastAsia" w:ascii="宋体" w:hAnsi="宋体" w:cs="仿宋_GB2312"/>
                <w:color w:val="auto"/>
                <w:kern w:val="2"/>
                <w:sz w:val="21"/>
                <w:szCs w:val="21"/>
                <w:lang w:val="en-US" w:eastAsia="zh-CN"/>
              </w:rPr>
              <w:t>5</w:t>
            </w:r>
            <w:r>
              <w:rPr>
                <w:rFonts w:hint="eastAsia" w:ascii="宋体" w:hAnsi="宋体" w:cs="仿宋_GB2312"/>
                <w:color w:val="auto"/>
                <w:kern w:val="2"/>
                <w:sz w:val="21"/>
                <w:szCs w:val="21"/>
                <w:lang w:eastAsia="zh-CN"/>
              </w:rPr>
              <w:t>0</w:t>
            </w:r>
            <w:r>
              <w:rPr>
                <w:rFonts w:hint="eastAsia" w:ascii="宋体" w:hAnsi="宋体" w:cs="仿宋_GB2312"/>
                <w:color w:val="auto"/>
                <w:kern w:val="2"/>
                <w:sz w:val="21"/>
                <w:szCs w:val="21"/>
              </w:rPr>
              <w:t>.0</w:t>
            </w:r>
          </w:p>
        </w:tc>
      </w:tr>
      <w:tr>
        <w:tblPrEx>
          <w:tblCellMar>
            <w:top w:w="0" w:type="dxa"/>
            <w:left w:w="108" w:type="dxa"/>
            <w:bottom w:w="0" w:type="dxa"/>
            <w:right w:w="108" w:type="dxa"/>
          </w:tblCellMar>
        </w:tblPrEx>
        <w:tc>
          <w:tcPr>
            <w:tcW w:w="847"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第2次付款</w:t>
            </w:r>
          </w:p>
        </w:tc>
        <w:tc>
          <w:tcPr>
            <w:tcW w:w="3322"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left"/>
              <w:rPr>
                <w:rFonts w:ascii="宋体" w:hAnsi="宋体" w:cs="仿宋_GB2312"/>
                <w:color w:val="auto"/>
                <w:kern w:val="2"/>
                <w:sz w:val="21"/>
                <w:szCs w:val="21"/>
                <w:lang w:eastAsia="zh-CN"/>
              </w:rPr>
            </w:pPr>
            <w:r>
              <w:rPr>
                <w:rFonts w:hint="eastAsia" w:ascii="宋体" w:hAnsi="宋体"/>
                <w:color w:val="auto"/>
                <w:kern w:val="2"/>
                <w:sz w:val="21"/>
                <w:szCs w:val="21"/>
                <w:lang w:eastAsia="zh-CN"/>
              </w:rPr>
              <w:t>采购人在对中标人</w:t>
            </w:r>
            <w:r>
              <w:rPr>
                <w:rFonts w:hint="eastAsia" w:ascii="宋体" w:hAnsi="宋体"/>
                <w:color w:val="auto"/>
                <w:kern w:val="2"/>
                <w:sz w:val="21"/>
                <w:szCs w:val="21"/>
                <w:lang w:val="en-US" w:eastAsia="zh-CN"/>
              </w:rPr>
              <w:t>6-8月服务情况进行履约验收考核后，根据履约验收考核结果在</w:t>
            </w:r>
            <w:r>
              <w:rPr>
                <w:rFonts w:hint="eastAsia" w:ascii="宋体" w:hAnsi="宋体"/>
                <w:color w:val="auto"/>
                <w:kern w:val="2"/>
                <w:sz w:val="21"/>
                <w:szCs w:val="21"/>
                <w:lang w:eastAsia="zh-CN"/>
              </w:rPr>
              <w:t>收到发票后10个工作日内支付当年合同金额的</w:t>
            </w:r>
            <w:r>
              <w:rPr>
                <w:rFonts w:hint="eastAsia" w:ascii="宋体" w:hAnsi="宋体"/>
                <w:color w:val="auto"/>
                <w:kern w:val="2"/>
                <w:sz w:val="21"/>
                <w:szCs w:val="21"/>
                <w:lang w:val="en-US" w:eastAsia="zh-CN"/>
              </w:rPr>
              <w:t>30％</w:t>
            </w:r>
            <w:r>
              <w:rPr>
                <w:rFonts w:hint="eastAsia" w:ascii="宋体" w:hAnsi="宋体" w:cs="仿宋_GB2312"/>
                <w:color w:val="auto"/>
                <w:kern w:val="2"/>
                <w:sz w:val="21"/>
                <w:szCs w:val="21"/>
                <w:lang w:eastAsia="zh-CN"/>
              </w:rPr>
              <w:t>；</w:t>
            </w:r>
          </w:p>
        </w:tc>
        <w:tc>
          <w:tcPr>
            <w:tcW w:w="830"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lang w:eastAsia="zh-CN"/>
              </w:rPr>
            </w:pPr>
            <w:r>
              <w:rPr>
                <w:rFonts w:hint="eastAsia" w:ascii="宋体" w:hAnsi="宋体" w:cs="仿宋_GB2312"/>
                <w:color w:val="auto"/>
                <w:kern w:val="2"/>
                <w:sz w:val="21"/>
                <w:szCs w:val="21"/>
                <w:lang w:val="en-US" w:eastAsia="zh-CN"/>
              </w:rPr>
              <w:t>3</w:t>
            </w:r>
            <w:r>
              <w:rPr>
                <w:rFonts w:hint="eastAsia" w:ascii="宋体" w:hAnsi="宋体" w:cs="仿宋_GB2312"/>
                <w:color w:val="auto"/>
                <w:kern w:val="2"/>
                <w:sz w:val="21"/>
                <w:szCs w:val="21"/>
                <w:lang w:eastAsia="zh-CN"/>
              </w:rPr>
              <w:t>0</w:t>
            </w:r>
            <w:r>
              <w:rPr>
                <w:rFonts w:hint="eastAsia" w:ascii="宋体" w:hAnsi="宋体" w:cs="仿宋_GB2312"/>
                <w:color w:val="auto"/>
                <w:kern w:val="2"/>
                <w:sz w:val="21"/>
                <w:szCs w:val="21"/>
              </w:rPr>
              <w:t>.0</w:t>
            </w:r>
          </w:p>
        </w:tc>
      </w:tr>
      <w:tr>
        <w:tblPrEx>
          <w:tblCellMar>
            <w:top w:w="0" w:type="dxa"/>
            <w:left w:w="108" w:type="dxa"/>
            <w:bottom w:w="0" w:type="dxa"/>
            <w:right w:w="108" w:type="dxa"/>
          </w:tblCellMar>
        </w:tblPrEx>
        <w:trPr>
          <w:trHeight w:val="1289" w:hRule="atLeast"/>
        </w:trPr>
        <w:tc>
          <w:tcPr>
            <w:tcW w:w="847"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rPr>
            </w:pPr>
            <w:r>
              <w:rPr>
                <w:rFonts w:hint="eastAsia" w:ascii="宋体" w:hAnsi="宋体" w:cs="仿宋_GB2312"/>
                <w:color w:val="auto"/>
                <w:kern w:val="2"/>
                <w:sz w:val="21"/>
                <w:szCs w:val="21"/>
              </w:rPr>
              <w:t>第3次付款</w:t>
            </w:r>
          </w:p>
        </w:tc>
        <w:tc>
          <w:tcPr>
            <w:tcW w:w="3322"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pStyle w:val="4"/>
              <w:keepLines w:val="0"/>
              <w:widowControl/>
              <w:suppressLineNumbers w:val="0"/>
              <w:spacing w:beforeAutospacing="0" w:afterAutospacing="0"/>
              <w:ind w:left="0" w:right="0"/>
              <w:rPr>
                <w:rFonts w:hint="eastAsia" w:ascii="宋体" w:hAnsi="宋体" w:cs="Times New Roman"/>
                <w:b w:val="0"/>
                <w:bCs w:val="0"/>
                <w:i w:val="0"/>
                <w:iCs w:val="0"/>
                <w:color w:val="auto"/>
                <w:kern w:val="2"/>
                <w:sz w:val="21"/>
                <w:szCs w:val="21"/>
                <w:lang w:eastAsia="zh-CN"/>
              </w:rPr>
            </w:pPr>
            <w:r>
              <w:rPr>
                <w:rFonts w:hint="eastAsia" w:ascii="宋体" w:hAnsi="宋体" w:cs="Times New Roman"/>
                <w:b w:val="0"/>
                <w:bCs w:val="0"/>
                <w:i w:val="0"/>
                <w:iCs w:val="0"/>
                <w:color w:val="auto"/>
                <w:kern w:val="2"/>
                <w:sz w:val="21"/>
                <w:szCs w:val="21"/>
                <w:lang w:eastAsia="zh-CN"/>
              </w:rPr>
              <w:t>采购人在对中标人</w:t>
            </w:r>
            <w:r>
              <w:rPr>
                <w:rFonts w:hint="eastAsia" w:ascii="宋体" w:hAnsi="宋体" w:cs="Times New Roman"/>
                <w:b w:val="0"/>
                <w:bCs w:val="0"/>
                <w:i w:val="0"/>
                <w:iCs w:val="0"/>
                <w:color w:val="auto"/>
                <w:kern w:val="2"/>
                <w:sz w:val="21"/>
                <w:szCs w:val="21"/>
                <w:lang w:val="en-US" w:eastAsia="zh-CN"/>
              </w:rPr>
              <w:t>9-11月服务情况进行履约验收考核后，根据履约验收考核结果在</w:t>
            </w:r>
            <w:r>
              <w:rPr>
                <w:rFonts w:hint="eastAsia" w:ascii="宋体" w:hAnsi="宋体" w:cs="Times New Roman"/>
                <w:b w:val="0"/>
                <w:bCs w:val="0"/>
                <w:i w:val="0"/>
                <w:iCs w:val="0"/>
                <w:color w:val="auto"/>
                <w:kern w:val="2"/>
                <w:sz w:val="21"/>
                <w:szCs w:val="21"/>
                <w:lang w:eastAsia="zh-CN"/>
              </w:rPr>
              <w:t>收到发票后10个工作日内支付当年合同金额的</w:t>
            </w:r>
            <w:r>
              <w:rPr>
                <w:rFonts w:hint="eastAsia" w:ascii="宋体" w:hAnsi="宋体" w:cs="Times New Roman"/>
                <w:b w:val="0"/>
                <w:bCs w:val="0"/>
                <w:i w:val="0"/>
                <w:iCs w:val="0"/>
                <w:color w:val="auto"/>
                <w:kern w:val="2"/>
                <w:sz w:val="21"/>
                <w:szCs w:val="21"/>
                <w:lang w:val="en-US" w:eastAsia="zh-CN"/>
              </w:rPr>
              <w:t>20％的尾款</w:t>
            </w:r>
            <w:r>
              <w:rPr>
                <w:rFonts w:hint="eastAsia" w:ascii="宋体" w:hAnsi="宋体" w:cs="Times New Roman"/>
                <w:b w:val="0"/>
                <w:bCs w:val="0"/>
                <w:i w:val="0"/>
                <w:iCs w:val="0"/>
                <w:color w:val="auto"/>
                <w:kern w:val="2"/>
                <w:sz w:val="21"/>
                <w:szCs w:val="21"/>
                <w:lang w:eastAsia="zh-CN"/>
              </w:rPr>
              <w:t>。</w:t>
            </w:r>
          </w:p>
          <w:p>
            <w:pPr>
              <w:pStyle w:val="4"/>
              <w:keepLines w:val="0"/>
              <w:widowControl/>
              <w:suppressLineNumbers w:val="0"/>
              <w:spacing w:beforeAutospacing="0" w:afterAutospacing="0"/>
              <w:ind w:left="0" w:right="0"/>
              <w:rPr>
                <w:rFonts w:hint="eastAsia" w:ascii="宋体" w:hAnsi="宋体" w:cs="仿宋_GB2312"/>
                <w:color w:val="auto"/>
                <w:kern w:val="2"/>
                <w:sz w:val="21"/>
                <w:szCs w:val="21"/>
                <w:lang w:eastAsia="zh-CN"/>
              </w:rPr>
            </w:pPr>
            <w:r>
              <w:rPr>
                <w:rFonts w:hint="eastAsia" w:ascii="宋体" w:hAnsi="宋体" w:cs="Times New Roman"/>
                <w:b w:val="0"/>
                <w:bCs w:val="0"/>
                <w:i w:val="0"/>
                <w:iCs w:val="0"/>
                <w:color w:val="auto"/>
                <w:kern w:val="2"/>
                <w:sz w:val="21"/>
                <w:szCs w:val="21"/>
                <w:lang w:eastAsia="zh-CN"/>
              </w:rPr>
              <w:t>备注：采购人次年1月底前考核完成后退回履约保证金。</w:t>
            </w:r>
          </w:p>
        </w:tc>
        <w:tc>
          <w:tcPr>
            <w:tcW w:w="830" w:type="pct"/>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val="0"/>
              <w:suppressLineNumbers w:val="0"/>
              <w:spacing w:before="0" w:beforeAutospacing="0" w:after="0" w:afterAutospacing="0" w:line="300" w:lineRule="auto"/>
              <w:ind w:left="0" w:right="0"/>
              <w:jc w:val="center"/>
              <w:rPr>
                <w:rFonts w:ascii="宋体" w:hAnsi="宋体" w:cs="仿宋_GB2312"/>
                <w:color w:val="auto"/>
                <w:kern w:val="2"/>
                <w:sz w:val="21"/>
                <w:szCs w:val="21"/>
                <w:lang w:eastAsia="zh-CN"/>
              </w:rPr>
            </w:pPr>
            <w:r>
              <w:rPr>
                <w:rFonts w:hint="eastAsia" w:ascii="宋体" w:hAnsi="宋体" w:cs="仿宋_GB2312"/>
                <w:color w:val="auto"/>
                <w:kern w:val="2"/>
                <w:sz w:val="21"/>
                <w:szCs w:val="21"/>
                <w:lang w:val="en-US" w:eastAsia="zh-CN"/>
              </w:rPr>
              <w:t>2</w:t>
            </w:r>
            <w:r>
              <w:rPr>
                <w:rFonts w:hint="eastAsia" w:ascii="宋体" w:hAnsi="宋体" w:cs="仿宋_GB2312"/>
                <w:color w:val="auto"/>
                <w:kern w:val="2"/>
                <w:sz w:val="21"/>
                <w:szCs w:val="21"/>
                <w:lang w:eastAsia="zh-CN"/>
              </w:rPr>
              <w:t>0</w:t>
            </w:r>
            <w:r>
              <w:rPr>
                <w:rFonts w:hint="eastAsia" w:ascii="宋体" w:hAnsi="宋体" w:cs="仿宋_GB2312"/>
                <w:color w:val="auto"/>
                <w:kern w:val="2"/>
                <w:sz w:val="21"/>
                <w:szCs w:val="21"/>
              </w:rPr>
              <w:t>.0</w:t>
            </w:r>
          </w:p>
        </w:tc>
      </w:tr>
    </w:tbl>
    <w:p>
      <w:pPr>
        <w:pStyle w:val="4"/>
        <w:keepNext w:val="0"/>
        <w:spacing w:before="0" w:after="0" w:line="300" w:lineRule="auto"/>
        <w:rPr>
          <w:rFonts w:ascii="宋体" w:hAnsi="宋体" w:cs="仿宋_GB2312"/>
          <w:color w:val="auto"/>
          <w:sz w:val="21"/>
          <w:szCs w:val="21"/>
          <w:lang w:eastAsia="zh-CN"/>
        </w:rPr>
      </w:pPr>
      <w:bookmarkStart w:id="35" w:name="_Toc202710778"/>
      <w:r>
        <w:rPr>
          <w:rFonts w:ascii="宋体" w:hAnsi="宋体" w:cs="仿宋_GB2312"/>
          <w:i w:val="0"/>
          <w:iCs w:val="0"/>
          <w:color w:val="auto"/>
          <w:sz w:val="21"/>
          <w:szCs w:val="21"/>
          <w:lang w:eastAsia="zh-CN"/>
        </w:rPr>
        <w:t>8.2其他要求</w:t>
      </w:r>
      <w:bookmarkEnd w:id="35"/>
    </w:p>
    <w:p>
      <w:pPr>
        <w:pStyle w:val="5"/>
        <w:keepNext w:val="0"/>
        <w:spacing w:before="0" w:after="0" w:line="300" w:lineRule="auto"/>
        <w:rPr>
          <w:rFonts w:ascii="宋体" w:hAnsi="宋体" w:cs="仿宋_GB2312"/>
          <w:color w:val="auto"/>
          <w:sz w:val="21"/>
          <w:szCs w:val="21"/>
          <w:lang w:eastAsia="zh-CN"/>
        </w:rPr>
      </w:pPr>
      <w:bookmarkStart w:id="36" w:name="_Toc202710779"/>
      <w:r>
        <w:rPr>
          <w:rFonts w:ascii="宋体" w:hAnsi="宋体" w:cs="仿宋_GB2312"/>
          <w:color w:val="auto"/>
          <w:sz w:val="21"/>
          <w:szCs w:val="21"/>
          <w:lang w:eastAsia="zh-CN"/>
        </w:rPr>
        <w:t>8.2.1需要说明的其他事项</w:t>
      </w:r>
      <w:bookmarkEnd w:id="36"/>
    </w:p>
    <w:p>
      <w:pPr>
        <w:spacing w:line="300" w:lineRule="auto"/>
        <w:ind w:firstLine="422" w:firstLineChars="200"/>
        <w:jc w:val="both"/>
        <w:rPr>
          <w:rFonts w:ascii="宋体" w:hAnsi="宋体" w:cs="Calibri"/>
          <w:b/>
          <w:bCs/>
          <w:color w:val="auto"/>
          <w:sz w:val="21"/>
          <w:szCs w:val="21"/>
          <w:lang w:eastAsia="zh-CN"/>
        </w:rPr>
      </w:pPr>
      <w:r>
        <w:rPr>
          <w:rFonts w:ascii="宋体" w:hAnsi="宋体"/>
          <w:b/>
          <w:bCs/>
          <w:color w:val="auto"/>
          <w:sz w:val="21"/>
          <w:szCs w:val="21"/>
          <w:lang w:eastAsia="zh-CN"/>
        </w:rPr>
        <w:t>8.2.1</w:t>
      </w:r>
      <w:r>
        <w:rPr>
          <w:rFonts w:hint="eastAsia" w:ascii="宋体" w:hAnsi="宋体"/>
          <w:b/>
          <w:bCs/>
          <w:color w:val="auto"/>
          <w:sz w:val="21"/>
          <w:szCs w:val="21"/>
          <w:lang w:eastAsia="zh-CN"/>
        </w:rPr>
        <w:t>.1零星维修材料费用</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与提供物业服务相关的零星维修材料费用均由采购人承担。</w:t>
      </w:r>
    </w:p>
    <w:p>
      <w:pPr>
        <w:spacing w:line="300" w:lineRule="auto"/>
        <w:ind w:firstLine="422" w:firstLineChars="200"/>
        <w:jc w:val="both"/>
        <w:rPr>
          <w:rFonts w:ascii="宋体" w:hAnsi="宋体"/>
          <w:b/>
          <w:bCs/>
          <w:color w:val="auto"/>
          <w:sz w:val="21"/>
          <w:szCs w:val="21"/>
          <w:lang w:eastAsia="zh-CN"/>
        </w:rPr>
      </w:pPr>
      <w:r>
        <w:rPr>
          <w:rFonts w:ascii="宋体" w:hAnsi="宋体"/>
          <w:b/>
          <w:bCs/>
          <w:color w:val="auto"/>
          <w:sz w:val="21"/>
          <w:szCs w:val="21"/>
          <w:lang w:eastAsia="zh-CN"/>
        </w:rPr>
        <w:t>8.2.1</w:t>
      </w:r>
      <w:r>
        <w:rPr>
          <w:rFonts w:hint="eastAsia" w:ascii="宋体" w:hAnsi="宋体"/>
          <w:b/>
          <w:bCs/>
          <w:color w:val="auto"/>
          <w:sz w:val="21"/>
          <w:szCs w:val="21"/>
          <w:lang w:eastAsia="zh-CN"/>
        </w:rPr>
        <w:t>.2低值易耗品费用</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与提供物业服务相关的低值易耗品费用均由采购人承担。</w:t>
      </w:r>
    </w:p>
    <w:p>
      <w:pPr>
        <w:spacing w:line="300" w:lineRule="auto"/>
        <w:ind w:firstLine="422" w:firstLineChars="200"/>
        <w:jc w:val="both"/>
        <w:rPr>
          <w:rFonts w:ascii="宋体" w:hAnsi="宋体"/>
          <w:b/>
          <w:bCs/>
          <w:color w:val="auto"/>
          <w:sz w:val="21"/>
          <w:szCs w:val="21"/>
          <w:lang w:eastAsia="zh-CN"/>
        </w:rPr>
      </w:pPr>
      <w:r>
        <w:rPr>
          <w:rFonts w:ascii="宋体" w:hAnsi="宋体"/>
          <w:b/>
          <w:bCs/>
          <w:color w:val="auto"/>
          <w:sz w:val="21"/>
          <w:szCs w:val="21"/>
          <w:lang w:eastAsia="zh-CN"/>
        </w:rPr>
        <w:t>8.2.1</w:t>
      </w:r>
      <w:r>
        <w:rPr>
          <w:rFonts w:hint="eastAsia" w:ascii="宋体" w:hAnsi="宋体"/>
          <w:b/>
          <w:bCs/>
          <w:color w:val="auto"/>
          <w:sz w:val="21"/>
          <w:szCs w:val="21"/>
          <w:lang w:eastAsia="zh-CN"/>
        </w:rPr>
        <w:t>.3苗木费用</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涉及以下情形的，相关费用包含在物业管理服务采购合同金额之内，由供应商承担：室外绿化养护与室内绿化摆租相关费用。</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涉及以下情形的，由采购人承担：室外大型苗木补种。</w:t>
      </w:r>
    </w:p>
    <w:p>
      <w:pPr>
        <w:spacing w:line="300" w:lineRule="auto"/>
        <w:ind w:firstLine="422" w:firstLineChars="200"/>
        <w:jc w:val="both"/>
        <w:rPr>
          <w:rFonts w:ascii="宋体" w:hAnsi="宋体"/>
          <w:b/>
          <w:bCs/>
          <w:color w:val="auto"/>
          <w:sz w:val="21"/>
          <w:szCs w:val="21"/>
          <w:lang w:eastAsia="zh-CN"/>
        </w:rPr>
      </w:pPr>
      <w:r>
        <w:rPr>
          <w:rFonts w:ascii="宋体" w:hAnsi="宋体"/>
          <w:b/>
          <w:bCs/>
          <w:color w:val="auto"/>
          <w:sz w:val="21"/>
          <w:szCs w:val="21"/>
          <w:lang w:eastAsia="zh-CN"/>
        </w:rPr>
        <w:t>8.2.1</w:t>
      </w:r>
      <w:r>
        <w:rPr>
          <w:rFonts w:hint="eastAsia" w:ascii="宋体" w:hAnsi="宋体"/>
          <w:b/>
          <w:bCs/>
          <w:color w:val="auto"/>
          <w:sz w:val="21"/>
          <w:szCs w:val="21"/>
          <w:lang w:eastAsia="zh-CN"/>
        </w:rPr>
        <w:t>.4客耗品费用</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与提供物业服务相关的客耗品费用均由采购人承担。</w:t>
      </w:r>
    </w:p>
    <w:p>
      <w:pPr>
        <w:spacing w:line="300" w:lineRule="auto"/>
        <w:ind w:firstLine="420" w:firstLineChars="200"/>
        <w:jc w:val="both"/>
        <w:rPr>
          <w:rFonts w:ascii="宋体" w:hAnsi="宋体"/>
          <w:color w:val="auto"/>
          <w:sz w:val="21"/>
          <w:szCs w:val="21"/>
          <w:lang w:eastAsia="zh-CN"/>
        </w:rPr>
      </w:pPr>
      <w:r>
        <w:rPr>
          <w:rFonts w:hint="eastAsia" w:ascii="宋体" w:hAnsi="宋体"/>
          <w:color w:val="auto"/>
          <w:sz w:val="21"/>
          <w:szCs w:val="21"/>
          <w:lang w:eastAsia="zh-CN"/>
        </w:rPr>
        <w:t>注：本款涉及的零星维修材料、低值易耗品、苗木、客耗品等费用，不论是由供应商，还是采购人承担，涉及的相关服务由供应商承担，服务费用包含在物业服务项目合同金额之内。</w:t>
      </w:r>
    </w:p>
    <w:p>
      <w:pPr>
        <w:spacing w:line="300" w:lineRule="auto"/>
        <w:jc w:val="both"/>
        <w:rPr>
          <w:rFonts w:ascii="宋体" w:hAnsi="宋体"/>
          <w:color w:val="auto"/>
          <w:sz w:val="21"/>
          <w:szCs w:val="21"/>
          <w:lang w:eastAsia="zh-CN"/>
        </w:rPr>
      </w:pP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720"/>
  <w:displayHorizontalDrawingGridEvery w:val="0"/>
  <w:displayVerticalDrawingGridEvery w:val="2"/>
  <w:characterSpacingControl w:val="doNotCompress"/>
  <w:hdrShapeDefaults>
    <o:shapelayout v:ext="edit">
      <o:idmap v:ext="edit" data="3,4"/>
    </o:shapelayout>
  </w:hdrShapeDefaults>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GQ2NWIyNmMyNDQ2MWE1NGQ0YmNkM2IyZjljZmUifQ=="/>
  </w:docVars>
  <w:rsids>
    <w:rsidRoot w:val="00A77B3E"/>
    <w:rsid w:val="00011C1D"/>
    <w:rsid w:val="00021B74"/>
    <w:rsid w:val="00024582"/>
    <w:rsid w:val="00031F12"/>
    <w:rsid w:val="00040A88"/>
    <w:rsid w:val="00042C7A"/>
    <w:rsid w:val="0005003E"/>
    <w:rsid w:val="00052F30"/>
    <w:rsid w:val="00053765"/>
    <w:rsid w:val="00056558"/>
    <w:rsid w:val="00064F19"/>
    <w:rsid w:val="00073C9A"/>
    <w:rsid w:val="0007640E"/>
    <w:rsid w:val="00093C93"/>
    <w:rsid w:val="000A22E7"/>
    <w:rsid w:val="000A4376"/>
    <w:rsid w:val="000D2E45"/>
    <w:rsid w:val="000F18BD"/>
    <w:rsid w:val="000F5530"/>
    <w:rsid w:val="0010057E"/>
    <w:rsid w:val="00110A77"/>
    <w:rsid w:val="00122858"/>
    <w:rsid w:val="00133593"/>
    <w:rsid w:val="00152EA9"/>
    <w:rsid w:val="00160AAE"/>
    <w:rsid w:val="00162F7F"/>
    <w:rsid w:val="001646BC"/>
    <w:rsid w:val="00177D4C"/>
    <w:rsid w:val="00181ED2"/>
    <w:rsid w:val="00186A0E"/>
    <w:rsid w:val="00190ECA"/>
    <w:rsid w:val="001B1B01"/>
    <w:rsid w:val="001D0479"/>
    <w:rsid w:val="001D44A4"/>
    <w:rsid w:val="001D7D31"/>
    <w:rsid w:val="001E07F2"/>
    <w:rsid w:val="001E26F3"/>
    <w:rsid w:val="0020468E"/>
    <w:rsid w:val="002107A8"/>
    <w:rsid w:val="0021119B"/>
    <w:rsid w:val="00213EF3"/>
    <w:rsid w:val="0025257E"/>
    <w:rsid w:val="002536DA"/>
    <w:rsid w:val="002578B3"/>
    <w:rsid w:val="002722FA"/>
    <w:rsid w:val="0027464E"/>
    <w:rsid w:val="00281721"/>
    <w:rsid w:val="0028707E"/>
    <w:rsid w:val="00292D08"/>
    <w:rsid w:val="002A244C"/>
    <w:rsid w:val="002B169A"/>
    <w:rsid w:val="002B6CAA"/>
    <w:rsid w:val="002E39AF"/>
    <w:rsid w:val="002E6172"/>
    <w:rsid w:val="002F3B79"/>
    <w:rsid w:val="003022AD"/>
    <w:rsid w:val="00311B3C"/>
    <w:rsid w:val="003126BC"/>
    <w:rsid w:val="00313A9A"/>
    <w:rsid w:val="00316DF0"/>
    <w:rsid w:val="00322121"/>
    <w:rsid w:val="00334B68"/>
    <w:rsid w:val="00334F36"/>
    <w:rsid w:val="003429A7"/>
    <w:rsid w:val="0034424C"/>
    <w:rsid w:val="003459AB"/>
    <w:rsid w:val="00351FC2"/>
    <w:rsid w:val="00380A81"/>
    <w:rsid w:val="00382E4D"/>
    <w:rsid w:val="00393B12"/>
    <w:rsid w:val="003A086B"/>
    <w:rsid w:val="003A6CA8"/>
    <w:rsid w:val="003C52F5"/>
    <w:rsid w:val="003D161F"/>
    <w:rsid w:val="003F762C"/>
    <w:rsid w:val="00400984"/>
    <w:rsid w:val="00412832"/>
    <w:rsid w:val="00421F91"/>
    <w:rsid w:val="00423C05"/>
    <w:rsid w:val="00431C8D"/>
    <w:rsid w:val="00460889"/>
    <w:rsid w:val="00462CB3"/>
    <w:rsid w:val="004709E8"/>
    <w:rsid w:val="00474C43"/>
    <w:rsid w:val="0047710D"/>
    <w:rsid w:val="004809DA"/>
    <w:rsid w:val="00482B42"/>
    <w:rsid w:val="004925AC"/>
    <w:rsid w:val="004A2C0E"/>
    <w:rsid w:val="004D48CE"/>
    <w:rsid w:val="004D531E"/>
    <w:rsid w:val="004E57F8"/>
    <w:rsid w:val="004F157A"/>
    <w:rsid w:val="004F4EC0"/>
    <w:rsid w:val="00502423"/>
    <w:rsid w:val="00502F2E"/>
    <w:rsid w:val="00521D2D"/>
    <w:rsid w:val="00522330"/>
    <w:rsid w:val="0053477A"/>
    <w:rsid w:val="00555872"/>
    <w:rsid w:val="00566A33"/>
    <w:rsid w:val="005705C7"/>
    <w:rsid w:val="00576294"/>
    <w:rsid w:val="00576918"/>
    <w:rsid w:val="0058174F"/>
    <w:rsid w:val="00586046"/>
    <w:rsid w:val="005B1B11"/>
    <w:rsid w:val="005C1894"/>
    <w:rsid w:val="005C3EAD"/>
    <w:rsid w:val="005E05C2"/>
    <w:rsid w:val="005E36A0"/>
    <w:rsid w:val="005E4E25"/>
    <w:rsid w:val="005F7F57"/>
    <w:rsid w:val="00605AB4"/>
    <w:rsid w:val="006113B9"/>
    <w:rsid w:val="006116D0"/>
    <w:rsid w:val="00612E75"/>
    <w:rsid w:val="006159F9"/>
    <w:rsid w:val="00622087"/>
    <w:rsid w:val="00635763"/>
    <w:rsid w:val="006466F1"/>
    <w:rsid w:val="00654EBA"/>
    <w:rsid w:val="00657B7F"/>
    <w:rsid w:val="006711FF"/>
    <w:rsid w:val="00681BEA"/>
    <w:rsid w:val="00693765"/>
    <w:rsid w:val="00695FC6"/>
    <w:rsid w:val="006A06AF"/>
    <w:rsid w:val="006A3986"/>
    <w:rsid w:val="006C040E"/>
    <w:rsid w:val="006C2619"/>
    <w:rsid w:val="006C4C3A"/>
    <w:rsid w:val="006D1CEE"/>
    <w:rsid w:val="006F3261"/>
    <w:rsid w:val="007047F5"/>
    <w:rsid w:val="00710A95"/>
    <w:rsid w:val="00714EE7"/>
    <w:rsid w:val="0073323F"/>
    <w:rsid w:val="00737C4B"/>
    <w:rsid w:val="007431A1"/>
    <w:rsid w:val="00754BB3"/>
    <w:rsid w:val="007561BF"/>
    <w:rsid w:val="00756553"/>
    <w:rsid w:val="0076624D"/>
    <w:rsid w:val="00774299"/>
    <w:rsid w:val="00775046"/>
    <w:rsid w:val="00775FA3"/>
    <w:rsid w:val="007821EE"/>
    <w:rsid w:val="00782D81"/>
    <w:rsid w:val="00784F81"/>
    <w:rsid w:val="00797C8C"/>
    <w:rsid w:val="007A0C99"/>
    <w:rsid w:val="007A1506"/>
    <w:rsid w:val="007B5012"/>
    <w:rsid w:val="007C602F"/>
    <w:rsid w:val="007C7768"/>
    <w:rsid w:val="007D3127"/>
    <w:rsid w:val="007E2A12"/>
    <w:rsid w:val="007E6487"/>
    <w:rsid w:val="007E68A3"/>
    <w:rsid w:val="007F5698"/>
    <w:rsid w:val="00816C22"/>
    <w:rsid w:val="00831BF5"/>
    <w:rsid w:val="00853F46"/>
    <w:rsid w:val="0087012C"/>
    <w:rsid w:val="00870C00"/>
    <w:rsid w:val="0087234B"/>
    <w:rsid w:val="00883A2B"/>
    <w:rsid w:val="008A6567"/>
    <w:rsid w:val="008B00CA"/>
    <w:rsid w:val="008B0E07"/>
    <w:rsid w:val="008B62A8"/>
    <w:rsid w:val="008B71CC"/>
    <w:rsid w:val="008C3CC3"/>
    <w:rsid w:val="008C4AF9"/>
    <w:rsid w:val="008D08AC"/>
    <w:rsid w:val="008F3BAE"/>
    <w:rsid w:val="00917A8C"/>
    <w:rsid w:val="0092020D"/>
    <w:rsid w:val="0094433C"/>
    <w:rsid w:val="0095783E"/>
    <w:rsid w:val="00965838"/>
    <w:rsid w:val="00965F39"/>
    <w:rsid w:val="009962AD"/>
    <w:rsid w:val="009B53D5"/>
    <w:rsid w:val="009C3A07"/>
    <w:rsid w:val="009C66CB"/>
    <w:rsid w:val="009C6F9A"/>
    <w:rsid w:val="009D08AB"/>
    <w:rsid w:val="009E3DA2"/>
    <w:rsid w:val="009F45E5"/>
    <w:rsid w:val="00A01530"/>
    <w:rsid w:val="00A03191"/>
    <w:rsid w:val="00A04E3F"/>
    <w:rsid w:val="00A05107"/>
    <w:rsid w:val="00A1037D"/>
    <w:rsid w:val="00A53D2E"/>
    <w:rsid w:val="00A54BCC"/>
    <w:rsid w:val="00A6459B"/>
    <w:rsid w:val="00A74049"/>
    <w:rsid w:val="00A77B3E"/>
    <w:rsid w:val="00AA0B94"/>
    <w:rsid w:val="00AA35C2"/>
    <w:rsid w:val="00AA366C"/>
    <w:rsid w:val="00AA4861"/>
    <w:rsid w:val="00AA5ABD"/>
    <w:rsid w:val="00AB102B"/>
    <w:rsid w:val="00AB2B1F"/>
    <w:rsid w:val="00AB5347"/>
    <w:rsid w:val="00AC5A71"/>
    <w:rsid w:val="00AC5FC9"/>
    <w:rsid w:val="00AF24E7"/>
    <w:rsid w:val="00AF713E"/>
    <w:rsid w:val="00B058D8"/>
    <w:rsid w:val="00B54BF9"/>
    <w:rsid w:val="00B5574A"/>
    <w:rsid w:val="00B64F7E"/>
    <w:rsid w:val="00B71974"/>
    <w:rsid w:val="00B74789"/>
    <w:rsid w:val="00B83725"/>
    <w:rsid w:val="00BA0349"/>
    <w:rsid w:val="00BA0603"/>
    <w:rsid w:val="00BB0DE5"/>
    <w:rsid w:val="00BB7F7B"/>
    <w:rsid w:val="00BC141B"/>
    <w:rsid w:val="00BE0D7F"/>
    <w:rsid w:val="00BE2245"/>
    <w:rsid w:val="00BE226B"/>
    <w:rsid w:val="00BF45EC"/>
    <w:rsid w:val="00C247BA"/>
    <w:rsid w:val="00C254AD"/>
    <w:rsid w:val="00C27BC8"/>
    <w:rsid w:val="00C36CE5"/>
    <w:rsid w:val="00C6421F"/>
    <w:rsid w:val="00C713E8"/>
    <w:rsid w:val="00C82CAE"/>
    <w:rsid w:val="00C86CA8"/>
    <w:rsid w:val="00C933C6"/>
    <w:rsid w:val="00C95A54"/>
    <w:rsid w:val="00CA2A55"/>
    <w:rsid w:val="00CB141C"/>
    <w:rsid w:val="00CB22A8"/>
    <w:rsid w:val="00CB527B"/>
    <w:rsid w:val="00CC01DF"/>
    <w:rsid w:val="00CC60C2"/>
    <w:rsid w:val="00CC6896"/>
    <w:rsid w:val="00CE0C0E"/>
    <w:rsid w:val="00CF7F1A"/>
    <w:rsid w:val="00D01AA2"/>
    <w:rsid w:val="00D135E6"/>
    <w:rsid w:val="00D21331"/>
    <w:rsid w:val="00D222CE"/>
    <w:rsid w:val="00D27913"/>
    <w:rsid w:val="00D405EF"/>
    <w:rsid w:val="00D56F91"/>
    <w:rsid w:val="00D82C41"/>
    <w:rsid w:val="00D87A89"/>
    <w:rsid w:val="00D90CA2"/>
    <w:rsid w:val="00D93390"/>
    <w:rsid w:val="00D95B25"/>
    <w:rsid w:val="00DA2808"/>
    <w:rsid w:val="00DA68CC"/>
    <w:rsid w:val="00DA69C4"/>
    <w:rsid w:val="00DB1609"/>
    <w:rsid w:val="00DC631C"/>
    <w:rsid w:val="00E278E0"/>
    <w:rsid w:val="00E27DEF"/>
    <w:rsid w:val="00E27F38"/>
    <w:rsid w:val="00E33E4B"/>
    <w:rsid w:val="00E34818"/>
    <w:rsid w:val="00E3550B"/>
    <w:rsid w:val="00E4638B"/>
    <w:rsid w:val="00E61717"/>
    <w:rsid w:val="00E6210E"/>
    <w:rsid w:val="00E651DF"/>
    <w:rsid w:val="00E67368"/>
    <w:rsid w:val="00E72800"/>
    <w:rsid w:val="00E8083F"/>
    <w:rsid w:val="00E862E7"/>
    <w:rsid w:val="00E9505A"/>
    <w:rsid w:val="00E97F64"/>
    <w:rsid w:val="00EA1D44"/>
    <w:rsid w:val="00ED6491"/>
    <w:rsid w:val="00F059D2"/>
    <w:rsid w:val="00F12660"/>
    <w:rsid w:val="00F1693A"/>
    <w:rsid w:val="00F3482B"/>
    <w:rsid w:val="00F41D82"/>
    <w:rsid w:val="00F43652"/>
    <w:rsid w:val="00F469DF"/>
    <w:rsid w:val="00F5213B"/>
    <w:rsid w:val="00F559A5"/>
    <w:rsid w:val="00F61104"/>
    <w:rsid w:val="00F81A7D"/>
    <w:rsid w:val="00F87DBE"/>
    <w:rsid w:val="00F97D39"/>
    <w:rsid w:val="00FA6DB1"/>
    <w:rsid w:val="00FA7B93"/>
    <w:rsid w:val="00FB15C2"/>
    <w:rsid w:val="00FB1DFF"/>
    <w:rsid w:val="00FB6012"/>
    <w:rsid w:val="00FC0015"/>
    <w:rsid w:val="00FC730E"/>
    <w:rsid w:val="00FD2851"/>
    <w:rsid w:val="00FD59C9"/>
    <w:rsid w:val="00FF104F"/>
    <w:rsid w:val="00FF1121"/>
    <w:rsid w:val="00FF1DDB"/>
    <w:rsid w:val="01355E6D"/>
    <w:rsid w:val="01AA1E7A"/>
    <w:rsid w:val="029435D4"/>
    <w:rsid w:val="03FB4E16"/>
    <w:rsid w:val="076E1ED5"/>
    <w:rsid w:val="08264354"/>
    <w:rsid w:val="095B47B9"/>
    <w:rsid w:val="098D1A6D"/>
    <w:rsid w:val="09F25254"/>
    <w:rsid w:val="0A391192"/>
    <w:rsid w:val="0AB83415"/>
    <w:rsid w:val="0B027BE2"/>
    <w:rsid w:val="0B9F4E89"/>
    <w:rsid w:val="0BD174B3"/>
    <w:rsid w:val="0C1A009A"/>
    <w:rsid w:val="0D201162"/>
    <w:rsid w:val="0DC5365A"/>
    <w:rsid w:val="0DF8E9F4"/>
    <w:rsid w:val="0DFEAB30"/>
    <w:rsid w:val="0E29439E"/>
    <w:rsid w:val="0ECE22A2"/>
    <w:rsid w:val="0F124980"/>
    <w:rsid w:val="0F5F57F3"/>
    <w:rsid w:val="101F68A6"/>
    <w:rsid w:val="102B68F0"/>
    <w:rsid w:val="106232BA"/>
    <w:rsid w:val="109D286B"/>
    <w:rsid w:val="10D25BCD"/>
    <w:rsid w:val="11034D41"/>
    <w:rsid w:val="113D0C68"/>
    <w:rsid w:val="116D5AB4"/>
    <w:rsid w:val="12441FC8"/>
    <w:rsid w:val="1297C395"/>
    <w:rsid w:val="131B7A2D"/>
    <w:rsid w:val="13C10F47"/>
    <w:rsid w:val="13C33EFC"/>
    <w:rsid w:val="13DB7AF8"/>
    <w:rsid w:val="1435568A"/>
    <w:rsid w:val="15014B22"/>
    <w:rsid w:val="15332A04"/>
    <w:rsid w:val="1599565F"/>
    <w:rsid w:val="15FF168F"/>
    <w:rsid w:val="17CF02B6"/>
    <w:rsid w:val="18524B0E"/>
    <w:rsid w:val="187B5303"/>
    <w:rsid w:val="18DE2CF3"/>
    <w:rsid w:val="18FA2461"/>
    <w:rsid w:val="19160022"/>
    <w:rsid w:val="19192DEF"/>
    <w:rsid w:val="1A5930F1"/>
    <w:rsid w:val="1A6C445A"/>
    <w:rsid w:val="1ACC1CF2"/>
    <w:rsid w:val="1AFC3CE4"/>
    <w:rsid w:val="1B751E7E"/>
    <w:rsid w:val="1C9516C5"/>
    <w:rsid w:val="1CEFA19D"/>
    <w:rsid w:val="1D560A91"/>
    <w:rsid w:val="1DB24D92"/>
    <w:rsid w:val="1DDB5CE2"/>
    <w:rsid w:val="1E24712F"/>
    <w:rsid w:val="1EBB1D69"/>
    <w:rsid w:val="1EFE593B"/>
    <w:rsid w:val="1F977C76"/>
    <w:rsid w:val="1FC856A4"/>
    <w:rsid w:val="216D272F"/>
    <w:rsid w:val="21F22538"/>
    <w:rsid w:val="22365A99"/>
    <w:rsid w:val="23FF3D87"/>
    <w:rsid w:val="249C1D2C"/>
    <w:rsid w:val="24AB36D0"/>
    <w:rsid w:val="258B090E"/>
    <w:rsid w:val="25901711"/>
    <w:rsid w:val="266F75D0"/>
    <w:rsid w:val="278F40C5"/>
    <w:rsid w:val="27A50802"/>
    <w:rsid w:val="28A70AC5"/>
    <w:rsid w:val="29076F07"/>
    <w:rsid w:val="29333D77"/>
    <w:rsid w:val="29513B49"/>
    <w:rsid w:val="296E4F73"/>
    <w:rsid w:val="2BC65C6C"/>
    <w:rsid w:val="2BD05685"/>
    <w:rsid w:val="2BDB49A0"/>
    <w:rsid w:val="2C4B0281"/>
    <w:rsid w:val="2CD8784E"/>
    <w:rsid w:val="2D7C1CB6"/>
    <w:rsid w:val="2E272C3A"/>
    <w:rsid w:val="2EDC16FE"/>
    <w:rsid w:val="2F1F3B82"/>
    <w:rsid w:val="2FA93E73"/>
    <w:rsid w:val="300036D5"/>
    <w:rsid w:val="305934ED"/>
    <w:rsid w:val="30DA7CE1"/>
    <w:rsid w:val="312F2DA5"/>
    <w:rsid w:val="31B56F4C"/>
    <w:rsid w:val="31E602B9"/>
    <w:rsid w:val="320543A3"/>
    <w:rsid w:val="33084808"/>
    <w:rsid w:val="33BF15CC"/>
    <w:rsid w:val="33EBF4F2"/>
    <w:rsid w:val="33FE9C6F"/>
    <w:rsid w:val="34E41C4F"/>
    <w:rsid w:val="35507B12"/>
    <w:rsid w:val="363527CE"/>
    <w:rsid w:val="36DFE2FF"/>
    <w:rsid w:val="37DD2175"/>
    <w:rsid w:val="38607401"/>
    <w:rsid w:val="38A911C3"/>
    <w:rsid w:val="38C07C78"/>
    <w:rsid w:val="39CB059B"/>
    <w:rsid w:val="39D354CE"/>
    <w:rsid w:val="3AE7366A"/>
    <w:rsid w:val="3AEB4186"/>
    <w:rsid w:val="3AFB302A"/>
    <w:rsid w:val="3AFD9263"/>
    <w:rsid w:val="3B6E506C"/>
    <w:rsid w:val="3BBBF0FF"/>
    <w:rsid w:val="3BBD5393"/>
    <w:rsid w:val="3BFFD5E0"/>
    <w:rsid w:val="3C2B1B34"/>
    <w:rsid w:val="3CDC1E40"/>
    <w:rsid w:val="3D150197"/>
    <w:rsid w:val="3D6602AC"/>
    <w:rsid w:val="3DC42726"/>
    <w:rsid w:val="3E315235"/>
    <w:rsid w:val="3E5701D5"/>
    <w:rsid w:val="3E7F739C"/>
    <w:rsid w:val="3E86000C"/>
    <w:rsid w:val="3F0D651A"/>
    <w:rsid w:val="3F6BF371"/>
    <w:rsid w:val="3F7F6AD9"/>
    <w:rsid w:val="3F89ED02"/>
    <w:rsid w:val="3FB7A40D"/>
    <w:rsid w:val="3FEFF1CA"/>
    <w:rsid w:val="3FF37259"/>
    <w:rsid w:val="3FFA15C8"/>
    <w:rsid w:val="3FFF0683"/>
    <w:rsid w:val="406A2EB1"/>
    <w:rsid w:val="4097753D"/>
    <w:rsid w:val="40EC600B"/>
    <w:rsid w:val="41713699"/>
    <w:rsid w:val="425D3209"/>
    <w:rsid w:val="434D38E1"/>
    <w:rsid w:val="43FA159F"/>
    <w:rsid w:val="43FC4A81"/>
    <w:rsid w:val="444E2CC2"/>
    <w:rsid w:val="44F47A60"/>
    <w:rsid w:val="45B152BD"/>
    <w:rsid w:val="46260FB6"/>
    <w:rsid w:val="47100EEE"/>
    <w:rsid w:val="471F7C38"/>
    <w:rsid w:val="479B04D1"/>
    <w:rsid w:val="47B4703F"/>
    <w:rsid w:val="47C43108"/>
    <w:rsid w:val="47E75AB8"/>
    <w:rsid w:val="482510D7"/>
    <w:rsid w:val="48401365"/>
    <w:rsid w:val="487500FA"/>
    <w:rsid w:val="493518F4"/>
    <w:rsid w:val="4AF56C88"/>
    <w:rsid w:val="4B0A1886"/>
    <w:rsid w:val="4B7DA006"/>
    <w:rsid w:val="4BBD1C03"/>
    <w:rsid w:val="4BCF702C"/>
    <w:rsid w:val="4BCF7E2B"/>
    <w:rsid w:val="4BFD78CC"/>
    <w:rsid w:val="4CB86D6E"/>
    <w:rsid w:val="4E383618"/>
    <w:rsid w:val="4E4F795D"/>
    <w:rsid w:val="4EBF66BB"/>
    <w:rsid w:val="4EDD5910"/>
    <w:rsid w:val="4EFB60D1"/>
    <w:rsid w:val="4FBF9C19"/>
    <w:rsid w:val="50D97865"/>
    <w:rsid w:val="51491CE9"/>
    <w:rsid w:val="52100F4D"/>
    <w:rsid w:val="52435CDD"/>
    <w:rsid w:val="52BD7A6A"/>
    <w:rsid w:val="53A413DA"/>
    <w:rsid w:val="53E355D5"/>
    <w:rsid w:val="54AF369A"/>
    <w:rsid w:val="54EF9C77"/>
    <w:rsid w:val="55F6A27E"/>
    <w:rsid w:val="561DFF51"/>
    <w:rsid w:val="56D71515"/>
    <w:rsid w:val="56DE507B"/>
    <w:rsid w:val="57380A3F"/>
    <w:rsid w:val="57FB266E"/>
    <w:rsid w:val="57FD93C3"/>
    <w:rsid w:val="581C76FD"/>
    <w:rsid w:val="587A5902"/>
    <w:rsid w:val="58C547DB"/>
    <w:rsid w:val="58FB4FA4"/>
    <w:rsid w:val="59393E3D"/>
    <w:rsid w:val="597951A3"/>
    <w:rsid w:val="5AFF71DF"/>
    <w:rsid w:val="5B7E682C"/>
    <w:rsid w:val="5BCA82DE"/>
    <w:rsid w:val="5BEF6731"/>
    <w:rsid w:val="5BFE9730"/>
    <w:rsid w:val="5BFFB0C7"/>
    <w:rsid w:val="5C714F31"/>
    <w:rsid w:val="5CBF7D4F"/>
    <w:rsid w:val="5CF678E6"/>
    <w:rsid w:val="5D142BF7"/>
    <w:rsid w:val="5D847AAF"/>
    <w:rsid w:val="5DB39799"/>
    <w:rsid w:val="5DD66435"/>
    <w:rsid w:val="5DFC2EBB"/>
    <w:rsid w:val="5E6FAAB6"/>
    <w:rsid w:val="5EEB06A4"/>
    <w:rsid w:val="5EFB51AC"/>
    <w:rsid w:val="5EFF529E"/>
    <w:rsid w:val="5F2B6164"/>
    <w:rsid w:val="5F657C89"/>
    <w:rsid w:val="5F7E5CE2"/>
    <w:rsid w:val="5FB026B4"/>
    <w:rsid w:val="5FB7D1DD"/>
    <w:rsid w:val="5FBF7F87"/>
    <w:rsid w:val="5FEF6CA7"/>
    <w:rsid w:val="5FEFCC83"/>
    <w:rsid w:val="5FF578D9"/>
    <w:rsid w:val="5FF79AEE"/>
    <w:rsid w:val="61323F1C"/>
    <w:rsid w:val="613F475A"/>
    <w:rsid w:val="618A7590"/>
    <w:rsid w:val="623C66DA"/>
    <w:rsid w:val="62ED4C74"/>
    <w:rsid w:val="63126A4D"/>
    <w:rsid w:val="63441120"/>
    <w:rsid w:val="647A55D4"/>
    <w:rsid w:val="64FF6659"/>
    <w:rsid w:val="653C7785"/>
    <w:rsid w:val="65832D83"/>
    <w:rsid w:val="6584190C"/>
    <w:rsid w:val="65844446"/>
    <w:rsid w:val="66EF0CF7"/>
    <w:rsid w:val="674B573C"/>
    <w:rsid w:val="679B80B8"/>
    <w:rsid w:val="67BB03F4"/>
    <w:rsid w:val="67D27C65"/>
    <w:rsid w:val="67D96BD0"/>
    <w:rsid w:val="68010CF9"/>
    <w:rsid w:val="68D90E06"/>
    <w:rsid w:val="692135C0"/>
    <w:rsid w:val="69A62652"/>
    <w:rsid w:val="69F17E55"/>
    <w:rsid w:val="6A8248B9"/>
    <w:rsid w:val="6AD20916"/>
    <w:rsid w:val="6AED604C"/>
    <w:rsid w:val="6B3B7D2D"/>
    <w:rsid w:val="6BAD2E4F"/>
    <w:rsid w:val="6BF89C0C"/>
    <w:rsid w:val="6DE8C19E"/>
    <w:rsid w:val="6DED0D44"/>
    <w:rsid w:val="6DFED274"/>
    <w:rsid w:val="6EF7DF45"/>
    <w:rsid w:val="6EFFCE31"/>
    <w:rsid w:val="6F51F6C4"/>
    <w:rsid w:val="6F5A4715"/>
    <w:rsid w:val="6FB5C832"/>
    <w:rsid w:val="6FBB26DF"/>
    <w:rsid w:val="6FFBFAA9"/>
    <w:rsid w:val="6FFE7CDF"/>
    <w:rsid w:val="6FFEE2C9"/>
    <w:rsid w:val="6FFF385E"/>
    <w:rsid w:val="70FEAC0B"/>
    <w:rsid w:val="71840EF8"/>
    <w:rsid w:val="72494035"/>
    <w:rsid w:val="73811CCB"/>
    <w:rsid w:val="73DBE1CD"/>
    <w:rsid w:val="73F3D1CC"/>
    <w:rsid w:val="755F6C70"/>
    <w:rsid w:val="75BD635D"/>
    <w:rsid w:val="75CEE819"/>
    <w:rsid w:val="75D53973"/>
    <w:rsid w:val="75FEA927"/>
    <w:rsid w:val="760B79D0"/>
    <w:rsid w:val="762F249B"/>
    <w:rsid w:val="76572FD8"/>
    <w:rsid w:val="767D53C4"/>
    <w:rsid w:val="76977BAD"/>
    <w:rsid w:val="76E63852"/>
    <w:rsid w:val="771B36E2"/>
    <w:rsid w:val="77790565"/>
    <w:rsid w:val="77BBB357"/>
    <w:rsid w:val="77BD9409"/>
    <w:rsid w:val="77EC6506"/>
    <w:rsid w:val="77F7D411"/>
    <w:rsid w:val="77FBE9FD"/>
    <w:rsid w:val="77FD8D1A"/>
    <w:rsid w:val="77FE1EA1"/>
    <w:rsid w:val="78891018"/>
    <w:rsid w:val="79BE545F"/>
    <w:rsid w:val="7A677B3B"/>
    <w:rsid w:val="7ADB3252"/>
    <w:rsid w:val="7AEA1A21"/>
    <w:rsid w:val="7AFE0439"/>
    <w:rsid w:val="7B0B3E87"/>
    <w:rsid w:val="7B1FED91"/>
    <w:rsid w:val="7B9450C4"/>
    <w:rsid w:val="7B945B23"/>
    <w:rsid w:val="7BBF43AE"/>
    <w:rsid w:val="7BEF25F7"/>
    <w:rsid w:val="7BEFA698"/>
    <w:rsid w:val="7BFEDFF8"/>
    <w:rsid w:val="7BFFC064"/>
    <w:rsid w:val="7BFFCA3D"/>
    <w:rsid w:val="7C1F6055"/>
    <w:rsid w:val="7CCC0A43"/>
    <w:rsid w:val="7CEBABF7"/>
    <w:rsid w:val="7CFF1C93"/>
    <w:rsid w:val="7D55FDDD"/>
    <w:rsid w:val="7DB9F303"/>
    <w:rsid w:val="7DBC7B50"/>
    <w:rsid w:val="7DDE2170"/>
    <w:rsid w:val="7DDF523C"/>
    <w:rsid w:val="7DF719B8"/>
    <w:rsid w:val="7DFDCD5A"/>
    <w:rsid w:val="7DFFBBDB"/>
    <w:rsid w:val="7DFFD3F7"/>
    <w:rsid w:val="7E5C17A4"/>
    <w:rsid w:val="7E615E86"/>
    <w:rsid w:val="7E7EE521"/>
    <w:rsid w:val="7EAD18C0"/>
    <w:rsid w:val="7EB5EA6F"/>
    <w:rsid w:val="7ECF4BEE"/>
    <w:rsid w:val="7EDDAF50"/>
    <w:rsid w:val="7EE1B9D6"/>
    <w:rsid w:val="7EEFF4B6"/>
    <w:rsid w:val="7EFBF572"/>
    <w:rsid w:val="7EFF0505"/>
    <w:rsid w:val="7EFFCC43"/>
    <w:rsid w:val="7F077458"/>
    <w:rsid w:val="7F167D19"/>
    <w:rsid w:val="7F539290"/>
    <w:rsid w:val="7F77C3D5"/>
    <w:rsid w:val="7F7A9F26"/>
    <w:rsid w:val="7F7AF38F"/>
    <w:rsid w:val="7F7B22A4"/>
    <w:rsid w:val="7F7C058E"/>
    <w:rsid w:val="7F7E5C95"/>
    <w:rsid w:val="7F9D1368"/>
    <w:rsid w:val="7FAF009B"/>
    <w:rsid w:val="7FBF9C22"/>
    <w:rsid w:val="7FE62976"/>
    <w:rsid w:val="7FE7FCDF"/>
    <w:rsid w:val="7FEF8493"/>
    <w:rsid w:val="7FFB0CB2"/>
    <w:rsid w:val="7FFF945D"/>
    <w:rsid w:val="7FFF9EB8"/>
    <w:rsid w:val="8CB62B95"/>
    <w:rsid w:val="92F27D5A"/>
    <w:rsid w:val="92F58780"/>
    <w:rsid w:val="95FB1865"/>
    <w:rsid w:val="9BEBF7C1"/>
    <w:rsid w:val="9DFF6E16"/>
    <w:rsid w:val="9EE368B7"/>
    <w:rsid w:val="9FDFD52A"/>
    <w:rsid w:val="9FFFB0FF"/>
    <w:rsid w:val="9FFFB1F4"/>
    <w:rsid w:val="A7FF7926"/>
    <w:rsid w:val="A9F77184"/>
    <w:rsid w:val="ABBF3351"/>
    <w:rsid w:val="B47323B4"/>
    <w:rsid w:val="B4AF66B2"/>
    <w:rsid w:val="B5BAE090"/>
    <w:rsid w:val="B626A0B1"/>
    <w:rsid w:val="B7B3950B"/>
    <w:rsid w:val="B7FDD0EA"/>
    <w:rsid w:val="BA7B23C6"/>
    <w:rsid w:val="BB365C32"/>
    <w:rsid w:val="BB39B92A"/>
    <w:rsid w:val="BB6FC52D"/>
    <w:rsid w:val="BBD1CB56"/>
    <w:rsid w:val="BBDE9C93"/>
    <w:rsid w:val="BBEFC940"/>
    <w:rsid w:val="BBFF9924"/>
    <w:rsid w:val="BC4B2145"/>
    <w:rsid w:val="BCFE878B"/>
    <w:rsid w:val="BEEB35D6"/>
    <w:rsid w:val="BF539ABF"/>
    <w:rsid w:val="BF5DF89A"/>
    <w:rsid w:val="BFE12BEE"/>
    <w:rsid w:val="BFF761C4"/>
    <w:rsid w:val="BFFBB5D4"/>
    <w:rsid w:val="C7FF722A"/>
    <w:rsid w:val="CCFE1677"/>
    <w:rsid w:val="CDFF5027"/>
    <w:rsid w:val="CF7FEC49"/>
    <w:rsid w:val="D59F562A"/>
    <w:rsid w:val="D5DF0644"/>
    <w:rsid w:val="D75F2B72"/>
    <w:rsid w:val="D78FBDE9"/>
    <w:rsid w:val="D96D3538"/>
    <w:rsid w:val="DAFDC786"/>
    <w:rsid w:val="DB5F59B1"/>
    <w:rsid w:val="DB7BFEE6"/>
    <w:rsid w:val="DBFDFCBF"/>
    <w:rsid w:val="DCE7C4C8"/>
    <w:rsid w:val="DD7EA303"/>
    <w:rsid w:val="DDEB81DA"/>
    <w:rsid w:val="DE3D6EEA"/>
    <w:rsid w:val="DEBF68D6"/>
    <w:rsid w:val="DEEEFE2B"/>
    <w:rsid w:val="DF734DF0"/>
    <w:rsid w:val="DF76A2ED"/>
    <w:rsid w:val="DFCF2208"/>
    <w:rsid w:val="E58BBB6C"/>
    <w:rsid w:val="EB4FDA47"/>
    <w:rsid w:val="EBFFB9F3"/>
    <w:rsid w:val="ED9BC331"/>
    <w:rsid w:val="EDBF2CB8"/>
    <w:rsid w:val="EE5FFFB5"/>
    <w:rsid w:val="EEAFBE18"/>
    <w:rsid w:val="EEBAFAF8"/>
    <w:rsid w:val="EF1B2498"/>
    <w:rsid w:val="EF393194"/>
    <w:rsid w:val="EF7D1C75"/>
    <w:rsid w:val="EFD6CB2F"/>
    <w:rsid w:val="EFEE77B9"/>
    <w:rsid w:val="EFFBCEF0"/>
    <w:rsid w:val="F2BC8A01"/>
    <w:rsid w:val="F37AEADB"/>
    <w:rsid w:val="F3BFB83E"/>
    <w:rsid w:val="F3ED7268"/>
    <w:rsid w:val="F4DB4A54"/>
    <w:rsid w:val="F5BE7BE3"/>
    <w:rsid w:val="F5FE2631"/>
    <w:rsid w:val="F63C35B2"/>
    <w:rsid w:val="F63F76F2"/>
    <w:rsid w:val="F69FCF2D"/>
    <w:rsid w:val="F6BFDB35"/>
    <w:rsid w:val="F6FF8C2A"/>
    <w:rsid w:val="F77F545E"/>
    <w:rsid w:val="F7AC6ACD"/>
    <w:rsid w:val="F7E78412"/>
    <w:rsid w:val="F7F21A35"/>
    <w:rsid w:val="F7FD2872"/>
    <w:rsid w:val="F7FE2D9F"/>
    <w:rsid w:val="F9BE8156"/>
    <w:rsid w:val="FB0FF8C1"/>
    <w:rsid w:val="FB1FB119"/>
    <w:rsid w:val="FB3DA587"/>
    <w:rsid w:val="FBB923D3"/>
    <w:rsid w:val="FBF50F46"/>
    <w:rsid w:val="FBFFBE16"/>
    <w:rsid w:val="FC3F6B8F"/>
    <w:rsid w:val="FCF3BF71"/>
    <w:rsid w:val="FCFE38E0"/>
    <w:rsid w:val="FCFE6B1A"/>
    <w:rsid w:val="FCFED2D7"/>
    <w:rsid w:val="FCFF758E"/>
    <w:rsid w:val="FDF6FD0B"/>
    <w:rsid w:val="FDFF0F25"/>
    <w:rsid w:val="FE1D28BB"/>
    <w:rsid w:val="FE6F930A"/>
    <w:rsid w:val="FE8A4887"/>
    <w:rsid w:val="FE8F16EF"/>
    <w:rsid w:val="FEDF4002"/>
    <w:rsid w:val="FEF9335D"/>
    <w:rsid w:val="FF332503"/>
    <w:rsid w:val="FFA68D9C"/>
    <w:rsid w:val="FFAD531A"/>
    <w:rsid w:val="FFB7771A"/>
    <w:rsid w:val="FFBB724F"/>
    <w:rsid w:val="FFBF576C"/>
    <w:rsid w:val="FFD680BB"/>
    <w:rsid w:val="FFDE8FF4"/>
    <w:rsid w:val="FFDFD3A5"/>
    <w:rsid w:val="FFF16612"/>
    <w:rsid w:val="FFF93E37"/>
    <w:rsid w:val="FFFB0510"/>
    <w:rsid w:val="FFFB2736"/>
    <w:rsid w:val="FFFB6371"/>
    <w:rsid w:val="FFFE0286"/>
    <w:rsid w:val="FFFE6350"/>
    <w:rsid w:val="FFFF2E7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link w:val="22"/>
    <w:qFormat/>
    <w:uiPriority w:val="0"/>
    <w:pPr>
      <w:keepNext/>
      <w:spacing w:before="240" w:after="60"/>
      <w:outlineLvl w:val="0"/>
    </w:pPr>
    <w:rPr>
      <w:rFonts w:ascii="Arial" w:hAnsi="Arial"/>
      <w:b/>
      <w:bCs/>
      <w:kern w:val="32"/>
      <w:sz w:val="32"/>
      <w:szCs w:val="32"/>
    </w:rPr>
  </w:style>
  <w:style w:type="paragraph" w:styleId="4">
    <w:name w:val="heading 2"/>
    <w:basedOn w:val="1"/>
    <w:next w:val="1"/>
    <w:link w:val="23"/>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link w:val="26"/>
    <w:unhideWhenUsed/>
    <w:qFormat/>
    <w:uiPriority w:val="99"/>
    <w:pPr>
      <w:snapToGrid w:val="0"/>
      <w:textAlignment w:val="center"/>
    </w:pPr>
    <w:rPr>
      <w:rFonts w:ascii="宋体" w:hAnsi="Courier New"/>
      <w:kern w:val="2"/>
      <w:sz w:val="21"/>
      <w:szCs w:val="21"/>
      <w:lang w:eastAsia="zh-CN"/>
    </w:rPr>
  </w:style>
  <w:style w:type="paragraph" w:styleId="7">
    <w:name w:val="annotation text"/>
    <w:basedOn w:val="1"/>
    <w:link w:val="24"/>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Body Text"/>
    <w:basedOn w:val="1"/>
    <w:link w:val="25"/>
    <w:unhideWhenUsed/>
    <w:qFormat/>
    <w:uiPriority w:val="99"/>
    <w:pPr>
      <w:widowControl w:val="0"/>
      <w:snapToGrid w:val="0"/>
      <w:spacing w:after="120" w:line="300" w:lineRule="auto"/>
      <w:jc w:val="both"/>
    </w:pPr>
    <w:rPr>
      <w:rFonts w:ascii="Calibri" w:hAnsi="Calibri" w:cs="Calibri"/>
      <w:kern w:val="2"/>
      <w:sz w:val="21"/>
      <w:szCs w:val="21"/>
      <w:lang w:eastAsia="zh-CN"/>
    </w:rPr>
  </w:style>
  <w:style w:type="paragraph" w:styleId="9">
    <w:name w:val="toc 3"/>
    <w:basedOn w:val="1"/>
    <w:next w:val="1"/>
    <w:qFormat/>
    <w:uiPriority w:val="39"/>
    <w:pPr>
      <w:ind w:left="480"/>
    </w:pPr>
  </w:style>
  <w:style w:type="paragraph" w:styleId="10">
    <w:name w:val="Balloon Text"/>
    <w:basedOn w:val="1"/>
    <w:link w:val="27"/>
    <w:qFormat/>
    <w:uiPriority w:val="0"/>
    <w:rPr>
      <w:sz w:val="18"/>
      <w:szCs w:val="18"/>
    </w:rPr>
  </w:style>
  <w:style w:type="paragraph" w:styleId="11">
    <w:name w:val="footer"/>
    <w:basedOn w:val="1"/>
    <w:link w:val="28"/>
    <w:qFormat/>
    <w:uiPriority w:val="0"/>
    <w:pPr>
      <w:tabs>
        <w:tab w:val="center" w:pos="4153"/>
        <w:tab w:val="right" w:pos="8306"/>
      </w:tabs>
      <w:snapToGrid w:val="0"/>
    </w:pPr>
    <w:rPr>
      <w:sz w:val="18"/>
      <w:szCs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Normal (Web)"/>
    <w:basedOn w:val="1"/>
    <w:qFormat/>
    <w:uiPriority w:val="0"/>
    <w:rPr>
      <w:sz w:val="24"/>
    </w:rPr>
  </w:style>
  <w:style w:type="paragraph" w:styleId="16">
    <w:name w:val="annotation subject"/>
    <w:basedOn w:val="7"/>
    <w:next w:val="7"/>
    <w:link w:val="30"/>
    <w:qFormat/>
    <w:uiPriority w:val="0"/>
    <w:rPr>
      <w:b/>
      <w:bCs/>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character" w:customStyle="1" w:styleId="22">
    <w:name w:val="标题 1 Char"/>
    <w:link w:val="3"/>
    <w:qFormat/>
    <w:uiPriority w:val="0"/>
    <w:rPr>
      <w:rFonts w:ascii="Arial" w:hAnsi="Arial" w:cs="Arial"/>
      <w:b/>
      <w:bCs/>
      <w:kern w:val="32"/>
      <w:sz w:val="32"/>
      <w:szCs w:val="32"/>
    </w:rPr>
  </w:style>
  <w:style w:type="character" w:customStyle="1" w:styleId="23">
    <w:name w:val="标题 2 Char"/>
    <w:basedOn w:val="19"/>
    <w:link w:val="4"/>
    <w:qFormat/>
    <w:uiPriority w:val="0"/>
    <w:rPr>
      <w:rFonts w:ascii="Arial" w:hAnsi="Arial" w:cs="Arial"/>
      <w:b/>
      <w:bCs/>
      <w:i/>
      <w:iCs/>
      <w:sz w:val="28"/>
      <w:szCs w:val="28"/>
    </w:rPr>
  </w:style>
  <w:style w:type="character" w:customStyle="1" w:styleId="24">
    <w:name w:val="批注文字 Char"/>
    <w:basedOn w:val="19"/>
    <w:link w:val="7"/>
    <w:qFormat/>
    <w:uiPriority w:val="0"/>
    <w:rPr>
      <w:sz w:val="24"/>
      <w:szCs w:val="24"/>
    </w:rPr>
  </w:style>
  <w:style w:type="character" w:customStyle="1" w:styleId="25">
    <w:name w:val="正文文本 Char"/>
    <w:basedOn w:val="19"/>
    <w:link w:val="8"/>
    <w:qFormat/>
    <w:uiPriority w:val="99"/>
    <w:rPr>
      <w:rFonts w:ascii="Calibri" w:hAnsi="Calibri" w:eastAsia="宋体" w:cs="Calibri"/>
      <w:kern w:val="2"/>
      <w:sz w:val="21"/>
      <w:szCs w:val="21"/>
      <w:lang w:eastAsia="zh-CN"/>
    </w:rPr>
  </w:style>
  <w:style w:type="character" w:customStyle="1" w:styleId="26">
    <w:name w:val="纯文本 Char"/>
    <w:basedOn w:val="19"/>
    <w:link w:val="2"/>
    <w:qFormat/>
    <w:uiPriority w:val="99"/>
    <w:rPr>
      <w:rFonts w:ascii="宋体" w:hAnsi="Courier New" w:eastAsia="宋体"/>
      <w:kern w:val="2"/>
      <w:sz w:val="21"/>
      <w:szCs w:val="21"/>
      <w:lang w:eastAsia="zh-CN"/>
    </w:rPr>
  </w:style>
  <w:style w:type="character" w:customStyle="1" w:styleId="27">
    <w:name w:val="批注框文本 Char"/>
    <w:basedOn w:val="19"/>
    <w:link w:val="10"/>
    <w:qFormat/>
    <w:uiPriority w:val="0"/>
    <w:rPr>
      <w:sz w:val="18"/>
      <w:szCs w:val="18"/>
    </w:rPr>
  </w:style>
  <w:style w:type="character" w:customStyle="1" w:styleId="28">
    <w:name w:val="页脚 Char"/>
    <w:basedOn w:val="19"/>
    <w:link w:val="11"/>
    <w:qFormat/>
    <w:uiPriority w:val="0"/>
    <w:rPr>
      <w:sz w:val="18"/>
      <w:szCs w:val="18"/>
    </w:rPr>
  </w:style>
  <w:style w:type="character" w:customStyle="1" w:styleId="29">
    <w:name w:val="页眉 Char"/>
    <w:basedOn w:val="19"/>
    <w:link w:val="12"/>
    <w:qFormat/>
    <w:uiPriority w:val="0"/>
    <w:rPr>
      <w:sz w:val="18"/>
      <w:szCs w:val="18"/>
    </w:rPr>
  </w:style>
  <w:style w:type="character" w:customStyle="1" w:styleId="30">
    <w:name w:val="批注主题 Char"/>
    <w:basedOn w:val="24"/>
    <w:link w:val="16"/>
    <w:qFormat/>
    <w:uiPriority w:val="0"/>
    <w:rPr>
      <w:b/>
      <w:bCs/>
    </w:rPr>
  </w:style>
  <w:style w:type="paragraph" w:customStyle="1" w:styleId="31">
    <w:name w:val="MsoNormal"/>
    <w:basedOn w:val="1"/>
    <w:qFormat/>
    <w:uiPriority w:val="0"/>
  </w:style>
  <w:style w:type="character" w:customStyle="1" w:styleId="32">
    <w:name w:val="font21"/>
    <w:basedOn w:val="19"/>
    <w:qFormat/>
    <w:uiPriority w:val="0"/>
    <w:rPr>
      <w:rFonts w:hint="eastAsia" w:ascii="仿宋_GB2312" w:hAnsi="仿宋_GB2312" w:eastAsia="仿宋_GB2312"/>
      <w:color w:val="000000"/>
      <w:sz w:val="20"/>
      <w:szCs w:val="20"/>
      <w:u w:val="none"/>
    </w:rPr>
  </w:style>
  <w:style w:type="character" w:customStyle="1" w:styleId="33">
    <w:name w:val="font11"/>
    <w:basedOn w:val="19"/>
    <w:qFormat/>
    <w:uiPriority w:val="0"/>
    <w:rPr>
      <w:rFonts w:hint="eastAsia" w:ascii="仿宋_GB2312" w:hAnsi="仿宋_GB2312" w:eastAsia="仿宋_GB2312"/>
      <w:color w:val="000000"/>
      <w:sz w:val="20"/>
      <w:szCs w:val="20"/>
      <w:u w:val="none"/>
    </w:rPr>
  </w:style>
  <w:style w:type="paragraph" w:customStyle="1" w:styleId="34">
    <w:name w:val="修订1"/>
    <w:unhideWhenUsed/>
    <w:qFormat/>
    <w:uiPriority w:val="99"/>
    <w:rPr>
      <w:rFonts w:ascii="Times New Roman" w:hAnsi="Times New Roman" w:eastAsia="宋体" w:cs="Times New Roman"/>
      <w:kern w:val="2"/>
      <w:sz w:val="21"/>
      <w:szCs w:val="22"/>
      <w:lang w:val="en-US" w:eastAsia="zh-CN" w:bidi="ar-SA"/>
    </w:rPr>
  </w:style>
  <w:style w:type="paragraph" w:styleId="35">
    <w:name w:val="List Paragraph"/>
    <w:basedOn w:val="1"/>
    <w:qFormat/>
    <w:uiPriority w:val="99"/>
    <w:pPr>
      <w:snapToGrid w:val="0"/>
      <w:ind w:firstLine="420" w:firstLineChars="200"/>
      <w:textAlignment w:val="center"/>
    </w:pPr>
    <w:rPr>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17746</Words>
  <Characters>18975</Characters>
  <Lines>162</Lines>
  <Paragraphs>45</Paragraphs>
  <TotalTime>19</TotalTime>
  <ScaleCrop>false</ScaleCrop>
  <LinksUpToDate>false</LinksUpToDate>
  <CharactersWithSpaces>19362</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2025-09-22T15:06:00Z</dcterms:created>
  <dc:creator>user</dc:creator>
  <cp:lastModifiedBy>lxy</cp:lastModifiedBy>
  <cp:lastPrinted>2025-11-20T16:38:00Z</cp:lastPrinted>
  <dcterms:modified xsi:type="dcterms:W3CDTF">2025-11-27T09:05:57Z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CCBB48B6C8FD0976FCB72669A0B09791_43</vt:lpwstr>
  </property>
  <property fmtid="{D5CDD505-2E9C-101B-9397-08002B2CF9AE}" pid="4" name="KSOTemplateDocerSaveRecord">
    <vt:lpwstr>eyJoZGlkIjoiN2VlMjA1MWIyOTMzZTllZWM2ZmNhN2UyMDk4YTFkNTUiLCJ1c2VySWQiOiI3NDU2MjY5NTEifQ==</vt:lpwstr>
  </property>
</Properties>
</file>