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06583FC">
      <w:pPr>
        <w:spacing w:line="560" w:lineRule="exact"/>
        <w:jc w:val="center"/>
        <w:rPr>
          <w:rFonts w:ascii="方正小标宋简体" w:hAnsi="方正小标宋简体" w:eastAsia="方正小标宋简体" w:cs="方正小标宋简体"/>
          <w:b/>
          <w:bCs/>
          <w:sz w:val="44"/>
          <w:szCs w:val="44"/>
        </w:rPr>
      </w:pPr>
      <w:r>
        <w:rPr>
          <w:rFonts w:ascii="方正小标宋简体" w:hAnsi="方正小标宋简体" w:eastAsia="方正小标宋简体" w:cs="方正小标宋简体"/>
          <w:b/>
          <w:bCs/>
          <w:sz w:val="44"/>
          <w:szCs w:val="44"/>
        </w:rPr>
        <w:t>上海市档案局（馆）档案密集架购置技术需求</w:t>
      </w:r>
    </w:p>
    <w:p w14:paraId="376B3964">
      <w:pPr>
        <w:spacing w:line="560" w:lineRule="exact"/>
        <w:jc w:val="center"/>
        <w:rPr>
          <w:rFonts w:ascii="方正小标宋简体" w:hAnsi="方正小标宋简体" w:eastAsia="方正小标宋简体" w:cs="方正小标宋简体"/>
          <w:b/>
          <w:bCs/>
          <w:sz w:val="32"/>
          <w:szCs w:val="32"/>
        </w:rPr>
      </w:pPr>
    </w:p>
    <w:p w14:paraId="3F2C6887">
      <w:pPr>
        <w:widowControl/>
        <w:spacing w:line="560" w:lineRule="exact"/>
        <w:jc w:val="left"/>
        <w:rPr>
          <w:rFonts w:ascii="黑体" w:hAnsi="黑体" w:eastAsia="黑体" w:cs="黑体"/>
          <w:bCs/>
          <w:sz w:val="32"/>
          <w:szCs w:val="32"/>
        </w:rPr>
      </w:pPr>
      <w:r>
        <w:rPr>
          <w:rFonts w:hint="eastAsia" w:ascii="黑体" w:hAnsi="黑体" w:eastAsia="黑体" w:cs="黑体"/>
          <w:bCs/>
          <w:sz w:val="32"/>
          <w:szCs w:val="32"/>
        </w:rPr>
        <w:t>1.</w:t>
      </w:r>
      <w:r>
        <w:rPr>
          <w:rFonts w:ascii="黑体" w:hAnsi="黑体" w:eastAsia="黑体" w:cs="黑体"/>
          <w:bCs/>
          <w:sz w:val="32"/>
          <w:szCs w:val="32"/>
        </w:rPr>
        <w:t>项目背景</w:t>
      </w:r>
    </w:p>
    <w:p w14:paraId="4F4CCF02">
      <w:pPr>
        <w:spacing w:line="560" w:lineRule="exact"/>
        <w:ind w:firstLine="640" w:firstLineChars="200"/>
        <w:jc w:val="left"/>
        <w:rPr>
          <w:rFonts w:ascii="黑体" w:hAnsi="黑体" w:eastAsia="黑体" w:cs="黑体"/>
          <w:bCs/>
          <w:sz w:val="32"/>
          <w:szCs w:val="32"/>
        </w:rPr>
      </w:pPr>
      <w:r>
        <w:rPr>
          <w:rFonts w:ascii="仿宋_GB2312" w:hAnsi="仿宋_GB2312" w:eastAsia="仿宋_GB2312" w:cs="仿宋_GB2312"/>
          <w:sz w:val="32"/>
          <w:szCs w:val="32"/>
        </w:rPr>
        <w:t>上海市市级机关档案文件保管中心</w:t>
      </w:r>
      <w:r>
        <w:rPr>
          <w:rFonts w:hint="eastAsia" w:ascii="仿宋_GB2312" w:hAnsi="仿宋_GB2312" w:eastAsia="仿宋_GB2312" w:cs="仿宋_GB2312"/>
          <w:sz w:val="32"/>
          <w:szCs w:val="32"/>
        </w:rPr>
        <w:t>（下称“保管中心”）</w:t>
      </w:r>
      <w:r>
        <w:rPr>
          <w:rFonts w:ascii="仿宋_GB2312" w:hAnsi="仿宋_GB2312" w:eastAsia="仿宋_GB2312" w:cs="仿宋_GB2312"/>
          <w:sz w:val="32"/>
          <w:szCs w:val="32"/>
        </w:rPr>
        <w:t>位于上海市长宁区仙霞路326号，主要</w:t>
      </w:r>
      <w:r>
        <w:rPr>
          <w:rFonts w:hint="eastAsia" w:ascii="仿宋_GB2312" w:hAnsi="仿宋_GB2312" w:eastAsia="仿宋_GB2312" w:cs="仿宋_GB2312"/>
          <w:sz w:val="32"/>
          <w:szCs w:val="32"/>
        </w:rPr>
        <w:t>为市级机关提供</w:t>
      </w:r>
      <w:r>
        <w:rPr>
          <w:rFonts w:ascii="仿宋_GB2312" w:hAnsi="仿宋_GB2312" w:eastAsia="仿宋_GB2312" w:cs="仿宋_GB2312"/>
          <w:sz w:val="32"/>
          <w:szCs w:val="32"/>
        </w:rPr>
        <w:t>档案</w:t>
      </w:r>
      <w:r>
        <w:rPr>
          <w:rFonts w:hint="eastAsia" w:ascii="仿宋_GB2312" w:hAnsi="仿宋_GB2312" w:eastAsia="仿宋_GB2312" w:cs="仿宋_GB2312"/>
          <w:sz w:val="32"/>
          <w:szCs w:val="32"/>
        </w:rPr>
        <w:t>文件</w:t>
      </w:r>
      <w:r>
        <w:rPr>
          <w:rFonts w:ascii="仿宋_GB2312" w:hAnsi="仿宋_GB2312" w:eastAsia="仿宋_GB2312" w:cs="仿宋_GB2312"/>
          <w:sz w:val="32"/>
          <w:szCs w:val="32"/>
        </w:rPr>
        <w:t>集中</w:t>
      </w:r>
      <w:r>
        <w:rPr>
          <w:rFonts w:hint="eastAsia" w:ascii="仿宋_GB2312" w:hAnsi="仿宋_GB2312" w:eastAsia="仿宋_GB2312" w:cs="仿宋_GB2312"/>
          <w:sz w:val="32"/>
          <w:szCs w:val="32"/>
        </w:rPr>
        <w:t>保管服务</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为进一步提高容纳能力，为更多市级机关提供高质量的文件保管服务，保管中心拟为</w:t>
      </w:r>
      <w:r>
        <w:rPr>
          <w:rFonts w:ascii="仿宋_GB2312" w:hAnsi="仿宋_GB2312" w:eastAsia="仿宋_GB2312" w:cs="仿宋_GB2312"/>
          <w:sz w:val="32"/>
          <w:szCs w:val="32"/>
        </w:rPr>
        <w:t>部分</w:t>
      </w:r>
      <w:r>
        <w:rPr>
          <w:rFonts w:hint="eastAsia" w:ascii="仿宋_GB2312" w:hAnsi="仿宋_GB2312" w:eastAsia="仿宋_GB2312" w:cs="仿宋_GB2312"/>
          <w:sz w:val="32"/>
          <w:szCs w:val="32"/>
        </w:rPr>
        <w:t>库房添置</w:t>
      </w:r>
      <w:r>
        <w:rPr>
          <w:rFonts w:hint="eastAsia" w:ascii="仿宋_GB2312" w:hAnsi="仿宋_GB2312" w:eastAsia="仿宋_GB2312" w:cs="仿宋_GB2312"/>
          <w:bCs/>
          <w:sz w:val="32"/>
          <w:szCs w:val="32"/>
        </w:rPr>
        <w:t>双面装门档案固定架</w:t>
      </w:r>
      <w:r>
        <w:rPr>
          <w:rFonts w:hint="eastAsia" w:ascii="仿宋_GB2312" w:hAnsi="仿宋_GB2312" w:eastAsia="仿宋_GB2312" w:cs="仿宋_GB2312"/>
          <w:sz w:val="32"/>
          <w:szCs w:val="32"/>
        </w:rPr>
        <w:t>。</w:t>
      </w:r>
    </w:p>
    <w:p w14:paraId="10F52408">
      <w:pPr>
        <w:spacing w:line="560" w:lineRule="exact"/>
        <w:rPr>
          <w:rFonts w:ascii="黑体" w:hAnsi="黑体" w:eastAsia="黑体" w:cs="黑体"/>
          <w:bCs/>
          <w:sz w:val="32"/>
          <w:szCs w:val="32"/>
        </w:rPr>
      </w:pPr>
      <w:r>
        <w:rPr>
          <w:rFonts w:hint="eastAsia" w:ascii="黑体" w:hAnsi="黑体" w:eastAsia="黑体" w:cs="黑体"/>
          <w:bCs/>
          <w:sz w:val="32"/>
          <w:szCs w:val="32"/>
        </w:rPr>
        <w:t>2.规格、数量</w:t>
      </w:r>
      <w:r>
        <w:rPr>
          <w:rFonts w:ascii="黑体" w:hAnsi="黑体" w:eastAsia="黑体" w:cs="黑体"/>
          <w:bCs/>
          <w:sz w:val="32"/>
          <w:szCs w:val="32"/>
        </w:rPr>
        <w:t>和经费预算</w:t>
      </w:r>
    </w:p>
    <w:p w14:paraId="7F6E32BE">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安装</w:t>
      </w:r>
      <w:r>
        <w:rPr>
          <w:rFonts w:hint="eastAsia" w:ascii="仿宋_GB2312" w:hAnsi="仿宋_GB2312" w:eastAsia="仿宋_GB2312" w:cs="仿宋_GB2312"/>
          <w:sz w:val="32"/>
          <w:szCs w:val="32"/>
        </w:rPr>
        <w:t>双面装门档案固定架每列框架外径</w:t>
      </w:r>
      <w:r>
        <w:rPr>
          <w:rFonts w:ascii="仿宋_GB2312" w:hAnsi="仿宋_GB2312" w:eastAsia="仿宋_GB2312" w:cs="仿宋_GB2312"/>
          <w:sz w:val="32"/>
          <w:szCs w:val="32"/>
        </w:rPr>
        <w:t>467</w:t>
      </w:r>
      <w:r>
        <w:rPr>
          <w:rFonts w:hint="eastAsia" w:ascii="仿宋_GB2312" w:hAnsi="仿宋_GB2312" w:eastAsia="仿宋_GB2312" w:cs="仿宋_GB2312"/>
          <w:sz w:val="32"/>
          <w:szCs w:val="32"/>
        </w:rPr>
        <w:t>0*</w:t>
      </w:r>
      <w:r>
        <w:rPr>
          <w:rFonts w:ascii="仿宋_GB2312" w:hAnsi="仿宋_GB2312" w:eastAsia="仿宋_GB2312" w:cs="仿宋_GB2312"/>
          <w:sz w:val="32"/>
          <w:szCs w:val="32"/>
        </w:rPr>
        <w:t>580</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2400mm</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节</w:t>
      </w:r>
      <w:r>
        <w:rPr>
          <w:rFonts w:ascii="仿宋_GB2312" w:hAnsi="仿宋_GB2312" w:eastAsia="仿宋_GB2312" w:cs="仿宋_GB2312"/>
          <w:sz w:val="32"/>
          <w:szCs w:val="32"/>
        </w:rPr>
        <w:t>6层</w:t>
      </w:r>
      <w:r>
        <w:rPr>
          <w:rFonts w:hint="eastAsia" w:ascii="仿宋_GB2312" w:hAnsi="仿宋_GB2312" w:eastAsia="仿宋_GB2312" w:cs="仿宋_GB2312"/>
          <w:sz w:val="32"/>
          <w:szCs w:val="32"/>
        </w:rPr>
        <w:t>/列）</w:t>
      </w:r>
      <w:r>
        <w:rPr>
          <w:rFonts w:ascii="仿宋_GB2312" w:hAnsi="仿宋_GB2312" w:eastAsia="仿宋_GB2312" w:cs="仿宋_GB2312"/>
          <w:sz w:val="32"/>
          <w:szCs w:val="32"/>
        </w:rPr>
        <w:t>，共721列。总立方数不小于4686.5立方米。预算费用785.78万元</w:t>
      </w:r>
    </w:p>
    <w:p w14:paraId="7C3B36A4">
      <w:pPr>
        <w:spacing w:line="560" w:lineRule="exact"/>
        <w:rPr>
          <w:rFonts w:ascii="黑体" w:hAnsi="黑体" w:eastAsia="黑体" w:cs="黑体"/>
          <w:bCs/>
          <w:sz w:val="32"/>
          <w:szCs w:val="32"/>
        </w:rPr>
      </w:pPr>
      <w:r>
        <w:rPr>
          <w:rFonts w:hint="eastAsia" w:ascii="黑体" w:hAnsi="黑体" w:eastAsia="黑体" w:cs="黑体"/>
          <w:bCs/>
          <w:sz w:val="32"/>
          <w:szCs w:val="32"/>
        </w:rPr>
        <w:t>3.标准和技术要求</w:t>
      </w:r>
    </w:p>
    <w:p w14:paraId="7A31306F">
      <w:pPr>
        <w:widowControl/>
        <w:spacing w:line="560" w:lineRule="exact"/>
        <w:ind w:firstLine="315" w:firstLineChars="98"/>
        <w:rPr>
          <w:rFonts w:ascii="楷体_GB2312" w:hAnsi="楷体_GB2312" w:eastAsia="楷体_GB2312" w:cs="楷体_GB2312"/>
          <w:b/>
          <w:sz w:val="32"/>
          <w:szCs w:val="32"/>
        </w:rPr>
      </w:pPr>
      <w:r>
        <w:rPr>
          <w:rFonts w:hint="eastAsia" w:ascii="楷体_GB2312" w:hAnsi="楷体_GB2312" w:eastAsia="楷体_GB2312" w:cs="楷体_GB2312"/>
          <w:b/>
          <w:sz w:val="32"/>
          <w:szCs w:val="32"/>
        </w:rPr>
        <w:t>3.1执行和引用标准</w:t>
      </w:r>
    </w:p>
    <w:p w14:paraId="0FA31391">
      <w:pPr>
        <w:pStyle w:val="3"/>
        <w:ind w:firstLine="320" w:firstLineChars="100"/>
        <w:rPr>
          <w:rFonts w:ascii="仿宋_GB2312" w:hAnsi="仿宋_GB2312" w:eastAsia="仿宋_GB2312" w:cs="仿宋_GB2312"/>
          <w:sz w:val="32"/>
          <w:szCs w:val="32"/>
        </w:rPr>
      </w:pPr>
      <w:r>
        <w:rPr>
          <w:rFonts w:hint="eastAsia" w:ascii="仿宋_GB2312" w:hAnsi="仿宋_GB2312" w:eastAsia="仿宋_GB2312" w:cs="仿宋_GB2312"/>
          <w:sz w:val="32"/>
          <w:szCs w:val="32"/>
        </w:rPr>
        <w:t>3.1.1  DA/T7-92《直列式档案密集架》</w:t>
      </w:r>
    </w:p>
    <w:p w14:paraId="15C3FF75">
      <w:pPr>
        <w:pStyle w:val="3"/>
        <w:ind w:firstLine="320" w:firstLineChars="100"/>
        <w:rPr>
          <w:rFonts w:ascii="仿宋_GB2312" w:hAnsi="仿宋_GB2312" w:eastAsia="仿宋_GB2312" w:cs="仿宋_GB2312"/>
          <w:sz w:val="32"/>
          <w:szCs w:val="32"/>
        </w:rPr>
      </w:pPr>
      <w:r>
        <w:rPr>
          <w:rFonts w:hint="eastAsia" w:ascii="仿宋_GB2312" w:hAnsi="仿宋_GB2312" w:eastAsia="仿宋_GB2312" w:cs="仿宋_GB2312"/>
          <w:sz w:val="32"/>
          <w:szCs w:val="32"/>
        </w:rPr>
        <w:t>3.1.2  GB/T13667.3-2013《钢制书架第3部分：手动密集书架》</w:t>
      </w:r>
    </w:p>
    <w:p w14:paraId="12F71574">
      <w:pPr>
        <w:pStyle w:val="3"/>
        <w:ind w:firstLine="320" w:firstLineChars="100"/>
        <w:rPr>
          <w:rFonts w:ascii="仿宋_GB2312" w:hAnsi="仿宋_GB2312" w:eastAsia="仿宋_GB2312" w:cs="仿宋_GB2312"/>
          <w:sz w:val="32"/>
          <w:szCs w:val="32"/>
        </w:rPr>
      </w:pPr>
      <w:r>
        <w:rPr>
          <w:rFonts w:hint="eastAsia" w:ascii="仿宋_GB2312" w:hAnsi="仿宋_GB2312" w:eastAsia="仿宋_GB2312" w:cs="仿宋_GB2312"/>
          <w:sz w:val="32"/>
          <w:szCs w:val="32"/>
        </w:rPr>
        <w:t>3.1.3  GB/T 6807-2001 《钢铁工件涂装前磷化处理技术条件》</w:t>
      </w:r>
    </w:p>
    <w:p w14:paraId="35B9588D">
      <w:pPr>
        <w:pStyle w:val="3"/>
        <w:ind w:firstLine="320" w:firstLineChars="100"/>
        <w:rPr>
          <w:rFonts w:ascii="仿宋_GB2312" w:hAnsi="仿宋_GB2312" w:eastAsia="仿宋_GB2312" w:cs="仿宋_GB2312"/>
          <w:sz w:val="32"/>
          <w:szCs w:val="32"/>
        </w:rPr>
      </w:pPr>
      <w:r>
        <w:rPr>
          <w:rFonts w:hint="eastAsia" w:ascii="仿宋_GB2312" w:hAnsi="仿宋_GB2312" w:eastAsia="仿宋_GB2312" w:cs="仿宋_GB2312"/>
          <w:sz w:val="32"/>
          <w:szCs w:val="32"/>
        </w:rPr>
        <w:t>3.1.4  GB/T 13667.1-2015《钢制书架 第1部分：单、复柱书架》</w:t>
      </w:r>
    </w:p>
    <w:p w14:paraId="6C0B7D40">
      <w:pPr>
        <w:pStyle w:val="3"/>
        <w:ind w:firstLine="320" w:firstLineChars="100"/>
        <w:rPr>
          <w:rFonts w:ascii="仿宋_GB2312" w:hAnsi="仿宋_GB2312" w:eastAsia="仿宋_GB2312" w:cs="仿宋_GB2312"/>
          <w:sz w:val="32"/>
          <w:szCs w:val="32"/>
        </w:rPr>
      </w:pPr>
      <w:r>
        <w:rPr>
          <w:rFonts w:hint="eastAsia" w:ascii="仿宋_GB2312" w:hAnsi="仿宋_GB2312" w:eastAsia="仿宋_GB2312" w:cs="仿宋_GB2312"/>
          <w:sz w:val="32"/>
          <w:szCs w:val="32"/>
        </w:rPr>
        <w:t>3.1.5  GB/T 3098.1-2010《紧固件机械性能 螺栓、螺钉和螺柱》</w:t>
      </w:r>
    </w:p>
    <w:p w14:paraId="403E18A2">
      <w:pPr>
        <w:pStyle w:val="3"/>
        <w:ind w:firstLine="320" w:firstLineChars="100"/>
        <w:rPr>
          <w:rFonts w:ascii="仿宋_GB2312" w:hAnsi="仿宋_GB2312" w:eastAsia="仿宋_GB2312" w:cs="仿宋_GB2312"/>
          <w:color w:val="000000"/>
          <w:sz w:val="32"/>
          <w:szCs w:val="32"/>
        </w:rPr>
      </w:pPr>
      <w:r>
        <w:rPr>
          <w:rFonts w:hint="eastAsia" w:ascii="仿宋_GB2312" w:hAnsi="仿宋_GB2312" w:eastAsia="仿宋_GB2312" w:cs="仿宋_GB2312"/>
          <w:sz w:val="32"/>
          <w:szCs w:val="32"/>
        </w:rPr>
        <w:t>3.1.6  GB/T19022-2003/ISO10012-2003《测量管理体系-测量过程</w:t>
      </w:r>
      <w:r>
        <w:rPr>
          <w:rFonts w:hint="eastAsia" w:ascii="仿宋_GB2312" w:hAnsi="仿宋_GB2312" w:eastAsia="仿宋_GB2312" w:cs="仿宋_GB2312"/>
          <w:color w:val="000000"/>
          <w:sz w:val="32"/>
          <w:szCs w:val="32"/>
        </w:rPr>
        <w:t>和测量设备的要求》</w:t>
      </w:r>
    </w:p>
    <w:p w14:paraId="7AC21F7C">
      <w:pPr>
        <w:pStyle w:val="3"/>
        <w:ind w:firstLine="320" w:firstLineChars="1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3.1.7  HJ2547-2016《环境标志产品技术要求家具》中对产品的限量要求</w:t>
      </w:r>
    </w:p>
    <w:p w14:paraId="53FD9CC3">
      <w:pPr>
        <w:pStyle w:val="3"/>
        <w:ind w:firstLine="320" w:firstLineChars="10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3.1.8  </w:t>
      </w:r>
      <w:r>
        <w:rPr>
          <w:rFonts w:ascii="仿宋_GB2312" w:hAnsi="仿宋_GB2312" w:eastAsia="仿宋_GB2312" w:cs="仿宋_GB2312"/>
          <w:sz w:val="32"/>
          <w:szCs w:val="32"/>
        </w:rPr>
        <w:t>GB/T 13237</w:t>
      </w:r>
      <w:r>
        <w:rPr>
          <w:rFonts w:hint="eastAsia" w:ascii="仿宋_GB2312" w:hAnsi="仿宋_GB2312" w:eastAsia="仿宋_GB2312" w:cs="仿宋_GB2312"/>
          <w:sz w:val="32"/>
          <w:szCs w:val="32"/>
        </w:rPr>
        <w:t>-2013《优质碳素结构钢冷轧钢板和钢带》</w:t>
      </w:r>
    </w:p>
    <w:p w14:paraId="7AB252B4">
      <w:pPr>
        <w:pStyle w:val="3"/>
        <w:ind w:firstLine="320" w:firstLineChars="10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3.1.9  </w:t>
      </w:r>
      <w:r>
        <w:rPr>
          <w:rFonts w:ascii="仿宋_GB2312" w:hAnsi="仿宋_GB2312" w:eastAsia="仿宋_GB2312" w:cs="仿宋_GB2312"/>
          <w:sz w:val="32"/>
          <w:szCs w:val="32"/>
        </w:rPr>
        <w:t>GB/T 711</w:t>
      </w:r>
      <w:r>
        <w:rPr>
          <w:rFonts w:hint="eastAsia" w:ascii="仿宋_GB2312" w:hAnsi="仿宋_GB2312" w:eastAsia="仿宋_GB2312" w:cs="仿宋_GB2312"/>
          <w:sz w:val="32"/>
          <w:szCs w:val="32"/>
        </w:rPr>
        <w:t>-2017《优质碳素结构钢热轧钢板和钢带》</w:t>
      </w:r>
    </w:p>
    <w:p w14:paraId="402B86AB">
      <w:pPr>
        <w:pStyle w:val="3"/>
        <w:ind w:firstLine="320" w:firstLineChars="10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3.1.10 </w:t>
      </w:r>
      <w:r>
        <w:rPr>
          <w:rFonts w:ascii="仿宋_GB2312" w:hAnsi="仿宋_GB2312" w:eastAsia="仿宋_GB2312" w:cs="仿宋_GB2312"/>
          <w:sz w:val="32"/>
          <w:szCs w:val="32"/>
        </w:rPr>
        <w:t>HG/T2006</w:t>
      </w:r>
      <w:r>
        <w:rPr>
          <w:rFonts w:hint="eastAsia" w:ascii="仿宋_GB2312" w:hAnsi="仿宋_GB2312" w:eastAsia="仿宋_GB2312" w:cs="仿宋_GB2312"/>
          <w:sz w:val="32"/>
          <w:szCs w:val="32"/>
        </w:rPr>
        <w:t>-2022《热固性和热塑性粉末涂料》</w:t>
      </w:r>
    </w:p>
    <w:p w14:paraId="63E76C7F">
      <w:pPr>
        <w:pStyle w:val="3"/>
        <w:ind w:firstLine="320" w:firstLineChars="100"/>
        <w:rPr>
          <w:rFonts w:ascii="仿宋_GB2312" w:hAnsi="仿宋_GB2312" w:eastAsia="仿宋_GB2312" w:cs="仿宋_GB2312"/>
          <w:sz w:val="32"/>
          <w:szCs w:val="32"/>
        </w:rPr>
      </w:pPr>
      <w:r>
        <w:rPr>
          <w:rFonts w:hint="eastAsia" w:ascii="仿宋_GB2312" w:hAnsi="仿宋_GB2312" w:eastAsia="仿宋_GB2312" w:cs="仿宋_GB2312"/>
          <w:sz w:val="32"/>
          <w:szCs w:val="32"/>
        </w:rPr>
        <w:t>3.1.11GB/T10357.4-2023《家具力学性能试验第4部分：柜类稳定性》</w:t>
      </w:r>
    </w:p>
    <w:p w14:paraId="07580E65">
      <w:pPr>
        <w:pStyle w:val="3"/>
        <w:ind w:firstLine="320" w:firstLineChars="100"/>
        <w:rPr>
          <w:rFonts w:ascii="仿宋_GB2312" w:hAnsi="仿宋_GB2312" w:eastAsia="仿宋_GB2312" w:cs="仿宋_GB2312"/>
          <w:sz w:val="32"/>
          <w:szCs w:val="32"/>
        </w:rPr>
      </w:pPr>
      <w:r>
        <w:rPr>
          <w:rFonts w:hint="eastAsia" w:ascii="仿宋_GB2312" w:hAnsi="仿宋_GB2312" w:eastAsia="仿宋_GB2312" w:cs="仿宋_GB2312"/>
          <w:sz w:val="32"/>
          <w:szCs w:val="32"/>
        </w:rPr>
        <w:t>注：以上标准如有最新版本，以最新版本为准。</w:t>
      </w:r>
    </w:p>
    <w:p w14:paraId="5B4BBD6E">
      <w:pPr>
        <w:widowControl/>
        <w:spacing w:line="560" w:lineRule="exact"/>
        <w:ind w:firstLine="315" w:firstLineChars="98"/>
        <w:rPr>
          <w:rFonts w:ascii="楷体_GB2312" w:hAnsi="楷体_GB2312" w:eastAsia="楷体_GB2312" w:cs="楷体_GB2312"/>
          <w:b/>
          <w:sz w:val="32"/>
          <w:szCs w:val="32"/>
        </w:rPr>
      </w:pPr>
      <w:r>
        <w:rPr>
          <w:rFonts w:hint="eastAsia" w:ascii="楷体_GB2312" w:hAnsi="楷体_GB2312" w:eastAsia="楷体_GB2312" w:cs="楷体_GB2312"/>
          <w:b/>
          <w:sz w:val="32"/>
          <w:szCs w:val="32"/>
        </w:rPr>
        <w:t>3.2外结构要求</w:t>
      </w:r>
    </w:p>
    <w:p w14:paraId="33D02145">
      <w:pPr>
        <w:spacing w:line="560" w:lineRule="exact"/>
        <w:ind w:left="4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3.2.1架体须为钢制防护三柱框架钢结构；架体须具备足够的稳定性、承载能力</w:t>
      </w:r>
      <w:r>
        <w:rPr>
          <w:rFonts w:ascii="仿宋_GB2312" w:hAnsi="仿宋_GB2312" w:eastAsia="仿宋_GB2312" w:cs="仿宋_GB2312"/>
          <w:color w:val="000000"/>
          <w:sz w:val="32"/>
          <w:szCs w:val="32"/>
        </w:rPr>
        <w:t>，架体满载时无晃动、倾倒风险，架门开闭顺畅。</w:t>
      </w:r>
    </w:p>
    <w:p w14:paraId="03207D25">
      <w:pPr>
        <w:spacing w:line="560" w:lineRule="exact"/>
        <w:ind w:left="400"/>
        <w:rPr>
          <w:rFonts w:ascii="仿宋_GB2312" w:hAnsi="仿宋_GB2312" w:eastAsia="仿宋_GB2312" w:cs="仿宋_GB2312"/>
          <w:sz w:val="32"/>
          <w:szCs w:val="32"/>
        </w:rPr>
      </w:pPr>
      <w:r>
        <w:rPr>
          <w:rFonts w:hint="eastAsia" w:ascii="仿宋_GB2312" w:hAnsi="仿宋_GB2312" w:eastAsia="仿宋_GB2312" w:cs="仿宋_GB2312"/>
          <w:sz w:val="32"/>
          <w:szCs w:val="32"/>
        </w:rPr>
        <w:t>3.2.2构架主要由架体（包括底盘、立柱、挂板、搁板、顶板、侧面板</w:t>
      </w:r>
      <w:r>
        <w:rPr>
          <w:rFonts w:ascii="仿宋_GB2312" w:hAnsi="仿宋_GB2312" w:eastAsia="仿宋_GB2312" w:cs="仿宋_GB2312"/>
          <w:sz w:val="32"/>
          <w:szCs w:val="32"/>
        </w:rPr>
        <w:t>、门板</w:t>
      </w:r>
      <w:r>
        <w:rPr>
          <w:rFonts w:hint="eastAsia" w:ascii="仿宋_GB2312" w:hAnsi="仿宋_GB2312" w:eastAsia="仿宋_GB2312" w:cs="仿宋_GB2312"/>
          <w:sz w:val="32"/>
          <w:szCs w:val="32"/>
        </w:rPr>
        <w:t>等）、锁具等部件组成。</w:t>
      </w:r>
    </w:p>
    <w:p w14:paraId="6FDF89A2">
      <w:pPr>
        <w:spacing w:line="560" w:lineRule="exact"/>
        <w:ind w:left="400"/>
        <w:rPr>
          <w:rFonts w:ascii="仿宋_GB2312" w:hAnsi="仿宋_GB2312" w:eastAsia="仿宋_GB2312" w:cs="仿宋_GB2312"/>
          <w:sz w:val="32"/>
          <w:szCs w:val="32"/>
        </w:rPr>
      </w:pPr>
      <w:r>
        <w:rPr>
          <w:rFonts w:hint="eastAsia" w:ascii="仿宋_GB2312" w:hAnsi="仿宋_GB2312" w:eastAsia="仿宋_GB2312" w:cs="仿宋_GB2312"/>
          <w:sz w:val="32"/>
          <w:szCs w:val="32"/>
        </w:rPr>
        <w:t>3.3.3</w:t>
      </w:r>
      <w:r>
        <w:rPr>
          <w:rFonts w:ascii="仿宋_GB2312" w:hAnsi="仿宋_GB2312" w:eastAsia="仿宋_GB2312" w:cs="仿宋_GB2312"/>
          <w:sz w:val="32"/>
          <w:szCs w:val="32"/>
        </w:rPr>
        <w:t>架体应设有防倾倒</w:t>
      </w:r>
      <w:r>
        <w:rPr>
          <w:rFonts w:hint="eastAsia" w:ascii="仿宋_GB2312" w:hAnsi="仿宋_GB2312" w:eastAsia="仿宋_GB2312" w:cs="仿宋_GB2312"/>
          <w:sz w:val="32"/>
          <w:szCs w:val="32"/>
        </w:rPr>
        <w:t>设</w:t>
      </w:r>
      <w:r>
        <w:rPr>
          <w:rFonts w:ascii="仿宋_GB2312" w:hAnsi="仿宋_GB2312" w:eastAsia="仿宋_GB2312" w:cs="仿宋_GB2312"/>
          <w:sz w:val="32"/>
          <w:szCs w:val="32"/>
        </w:rPr>
        <w:t>施</w:t>
      </w:r>
      <w:r>
        <w:rPr>
          <w:rFonts w:hint="eastAsia" w:ascii="仿宋_GB2312" w:hAnsi="仿宋_GB2312" w:eastAsia="仿宋_GB2312" w:cs="仿宋_GB2312"/>
          <w:sz w:val="32"/>
          <w:szCs w:val="32"/>
        </w:rPr>
        <w:t>。</w:t>
      </w:r>
    </w:p>
    <w:p w14:paraId="437993C0">
      <w:pPr>
        <w:widowControl/>
        <w:spacing w:line="560" w:lineRule="exact"/>
        <w:ind w:firstLine="315" w:firstLineChars="98"/>
        <w:rPr>
          <w:rFonts w:ascii="楷体_GB2312" w:hAnsi="楷体_GB2312" w:eastAsia="楷体_GB2312" w:cs="楷体_GB2312"/>
          <w:b/>
          <w:sz w:val="32"/>
          <w:szCs w:val="32"/>
        </w:rPr>
      </w:pPr>
      <w:r>
        <w:rPr>
          <w:rFonts w:hint="eastAsia" w:ascii="楷体_GB2312" w:hAnsi="楷体_GB2312" w:eastAsia="楷体_GB2312" w:cs="楷体_GB2312"/>
          <w:b/>
          <w:sz w:val="32"/>
          <w:szCs w:val="32"/>
        </w:rPr>
        <w:t>3.3外观质量要求</w:t>
      </w:r>
    </w:p>
    <w:p w14:paraId="22636512">
      <w:pPr>
        <w:spacing w:line="560" w:lineRule="exact"/>
        <w:ind w:left="4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3.3.1各零部件表面应光滑、平整、不应有尖角和突起。</w:t>
      </w:r>
    </w:p>
    <w:p w14:paraId="026C408C">
      <w:pPr>
        <w:spacing w:line="560" w:lineRule="exact"/>
        <w:ind w:left="4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3.3.2焊接件应焊接牢固，焊痕光滑平整，无夹渣、气孔、焊瘤、焊丝头、咬边、飞溅等缺陷。</w:t>
      </w:r>
    </w:p>
    <w:p w14:paraId="78C006F1">
      <w:pPr>
        <w:spacing w:line="560" w:lineRule="exact"/>
        <w:ind w:left="4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3.3.3外表除锈、防腐</w:t>
      </w:r>
      <w:r>
        <w:rPr>
          <w:rFonts w:ascii="仿宋_GB2312" w:hAnsi="仿宋_GB2312" w:eastAsia="仿宋_GB2312" w:cs="仿宋_GB2312"/>
          <w:color w:val="000000"/>
          <w:sz w:val="32"/>
          <w:szCs w:val="32"/>
        </w:rPr>
        <w:t>。</w:t>
      </w:r>
    </w:p>
    <w:p w14:paraId="4C3498C8">
      <w:pPr>
        <w:spacing w:line="560" w:lineRule="exact"/>
        <w:ind w:left="4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3.3.4涂层表面应平整光滑，色泽均匀一致,不应有流挂、起粒、皱皮、露底、剥落、伤痕等缺陷。</w:t>
      </w:r>
    </w:p>
    <w:p w14:paraId="404C4026">
      <w:pPr>
        <w:spacing w:line="560" w:lineRule="exact"/>
        <w:ind w:left="4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3.3.5电镀件镀层明亮，外露部位须无烧焦、起泡、针孔、裂纹、花斑、明显划痕和毛刺等缺陷。</w:t>
      </w:r>
    </w:p>
    <w:p w14:paraId="40033E91">
      <w:pPr>
        <w:spacing w:line="560" w:lineRule="exact"/>
        <w:ind w:left="400"/>
        <w:rPr>
          <w:rFonts w:ascii="仿宋_GB2312" w:hAnsi="仿宋_GB2312" w:eastAsia="仿宋_GB2312" w:cs="仿宋_GB2312"/>
          <w:sz w:val="32"/>
          <w:szCs w:val="32"/>
        </w:rPr>
      </w:pPr>
      <w:r>
        <w:rPr>
          <w:rFonts w:hint="eastAsia" w:ascii="仿宋_GB2312" w:hAnsi="仿宋_GB2312" w:eastAsia="仿宋_GB2312" w:cs="仿宋_GB2312"/>
          <w:sz w:val="32"/>
          <w:szCs w:val="32"/>
        </w:rPr>
        <w:t>3.3.6喷涂前须按照GB/T 6807-2001 《钢铁工件涂装前磷化处理技术条件》工序标准完成表面处理。</w:t>
      </w:r>
    </w:p>
    <w:p w14:paraId="1DC3F328">
      <w:pPr>
        <w:spacing w:line="560" w:lineRule="exact"/>
        <w:ind w:left="400"/>
        <w:rPr>
          <w:rFonts w:ascii="仿宋_GB2312" w:hAnsi="仿宋_GB2312" w:eastAsia="仿宋_GB2312" w:cs="仿宋_GB2312"/>
          <w:sz w:val="32"/>
          <w:szCs w:val="32"/>
        </w:rPr>
      </w:pPr>
      <w:r>
        <w:rPr>
          <w:rFonts w:hint="eastAsia" w:ascii="仿宋_GB2312" w:hAnsi="仿宋_GB2312" w:eastAsia="仿宋_GB2312" w:cs="仿宋_GB2312"/>
          <w:sz w:val="32"/>
          <w:szCs w:val="32"/>
        </w:rPr>
        <w:t>3.3.7涂料须为不含三酸异氰肝油脂(TGIC)的环氧树脂和聚脂树脂的混合型热固性粉沫涂料；涂料须采用优等品质涂料。</w:t>
      </w:r>
    </w:p>
    <w:p w14:paraId="01D8D3AA">
      <w:pPr>
        <w:spacing w:line="560" w:lineRule="exact"/>
        <w:ind w:left="400"/>
        <w:rPr>
          <w:rFonts w:ascii="仿宋_GB2312" w:hAnsi="仿宋_GB2312" w:eastAsia="仿宋_GB2312" w:cs="仿宋_GB2312"/>
          <w:color w:val="000000"/>
          <w:sz w:val="32"/>
          <w:szCs w:val="32"/>
        </w:rPr>
      </w:pPr>
      <w:r>
        <w:rPr>
          <w:rFonts w:hint="eastAsia" w:ascii="仿宋_GB2312" w:hAnsi="仿宋_GB2312" w:eastAsia="仿宋_GB2312" w:cs="仿宋_GB2312"/>
          <w:sz w:val="32"/>
          <w:szCs w:val="32"/>
        </w:rPr>
        <w:t>3.3.8投标方在投标文件中须提供涂料选型及详细的除锈、防腐、</w:t>
      </w:r>
      <w:r>
        <w:rPr>
          <w:rFonts w:hint="eastAsia" w:ascii="仿宋_GB2312" w:hAnsi="仿宋_GB2312" w:eastAsia="仿宋_GB2312" w:cs="仿宋_GB2312"/>
          <w:color w:val="000000"/>
          <w:sz w:val="32"/>
          <w:szCs w:val="32"/>
        </w:rPr>
        <w:t>喷涂（或电镀等）工艺、技术方案、执行标准等。</w:t>
      </w:r>
    </w:p>
    <w:p w14:paraId="5722F2CE">
      <w:pPr>
        <w:widowControl/>
        <w:spacing w:line="560" w:lineRule="exact"/>
        <w:ind w:firstLine="315" w:firstLineChars="98"/>
        <w:rPr>
          <w:rFonts w:ascii="楷体_GB2312" w:hAnsi="楷体_GB2312" w:eastAsia="楷体_GB2312" w:cs="楷体_GB2312"/>
          <w:b/>
          <w:sz w:val="32"/>
          <w:szCs w:val="32"/>
        </w:rPr>
      </w:pPr>
      <w:r>
        <w:rPr>
          <w:rFonts w:hint="eastAsia" w:ascii="楷体_GB2312" w:hAnsi="楷体_GB2312" w:eastAsia="楷体_GB2312" w:cs="楷体_GB2312"/>
          <w:b/>
          <w:sz w:val="32"/>
          <w:szCs w:val="32"/>
        </w:rPr>
        <w:t>3.4载重性能</w:t>
      </w:r>
      <w:r>
        <w:rPr>
          <w:rFonts w:ascii="楷体_GB2312" w:hAnsi="楷体_GB2312" w:eastAsia="楷体_GB2312" w:cs="楷体_GB2312"/>
          <w:b/>
          <w:sz w:val="32"/>
          <w:szCs w:val="32"/>
        </w:rPr>
        <w:t>和产品安装生产</w:t>
      </w:r>
      <w:r>
        <w:rPr>
          <w:rFonts w:hint="eastAsia" w:ascii="楷体_GB2312" w:hAnsi="楷体_GB2312" w:eastAsia="楷体_GB2312" w:cs="楷体_GB2312"/>
          <w:b/>
          <w:sz w:val="32"/>
          <w:szCs w:val="32"/>
        </w:rPr>
        <w:t>要求</w:t>
      </w:r>
    </w:p>
    <w:p w14:paraId="2E433EA4">
      <w:pPr>
        <w:spacing w:line="560" w:lineRule="exact"/>
        <w:ind w:left="4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3.4.1全静载荷应符合GB/T 13667.1-2015的规定。</w:t>
      </w:r>
    </w:p>
    <w:p w14:paraId="63670C21">
      <w:pPr>
        <w:spacing w:line="560" w:lineRule="exact"/>
        <w:ind w:left="4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3.4.2搁板静载荷应符合GB/T 13667.1-2015的规定。</w:t>
      </w:r>
    </w:p>
    <w:p w14:paraId="6FBCC22F">
      <w:pPr>
        <w:spacing w:line="560" w:lineRule="exact"/>
        <w:ind w:left="4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3.4.3标准架列在全静载荷的情况下，沿X、Y轴两个方向进行水平拉力，水平拉力为自重与全静载荷之和的1/15，经连续50次，架体不得发生倾倒现象，架体倾斜量不得大于架体总高的1%，各结构部件应无塑性变形和其他异常现象。</w:t>
      </w:r>
    </w:p>
    <w:p w14:paraId="601C0338">
      <w:pPr>
        <w:spacing w:line="560" w:lineRule="exact"/>
        <w:ind w:left="420" w:leftChars="200"/>
        <w:rPr>
          <w:rFonts w:ascii="仿宋_GB2312" w:hAnsi="仿宋_GB2312" w:eastAsia="仿宋_GB2312" w:cs="仿宋_GB2312"/>
          <w:sz w:val="32"/>
          <w:szCs w:val="32"/>
        </w:rPr>
      </w:pPr>
      <w:r>
        <w:rPr>
          <w:rFonts w:hint="eastAsia" w:ascii="仿宋_GB2312" w:hAnsi="仿宋_GB2312" w:eastAsia="仿宋_GB2312" w:cs="仿宋_GB2312"/>
          <w:sz w:val="32"/>
          <w:szCs w:val="32"/>
        </w:rPr>
        <w:t>3.4.4</w:t>
      </w:r>
      <w:r>
        <w:rPr>
          <w:rFonts w:ascii="仿宋_GB2312" w:hAnsi="仿宋_GB2312" w:eastAsia="仿宋_GB2312" w:cs="仿宋_GB2312"/>
          <w:sz w:val="32"/>
          <w:szCs w:val="32"/>
        </w:rPr>
        <w:t>产品必须符合DA/T 7-92</w:t>
      </w:r>
      <w:r>
        <w:rPr>
          <w:rFonts w:hint="eastAsia" w:ascii="仿宋_GB2312" w:hAnsi="仿宋_GB2312" w:eastAsia="仿宋_GB2312" w:cs="仿宋_GB2312"/>
          <w:sz w:val="32"/>
          <w:szCs w:val="32"/>
        </w:rPr>
        <w:t>《直列式档案密集架》和GB/T13667.3-2013《钢制书架 第3部分：手动密集书架》的规定，若两者不一致，则以要求更高者为准。</w:t>
      </w:r>
    </w:p>
    <w:p w14:paraId="4ABA38EF">
      <w:pPr>
        <w:widowControl/>
        <w:spacing w:line="560" w:lineRule="exact"/>
        <w:ind w:firstLine="315" w:firstLineChars="98"/>
        <w:rPr>
          <w:rFonts w:ascii="楷体_GB2312" w:hAnsi="楷体_GB2312" w:eastAsia="楷体_GB2312" w:cs="楷体_GB2312"/>
          <w:b/>
          <w:sz w:val="32"/>
          <w:szCs w:val="32"/>
        </w:rPr>
      </w:pPr>
      <w:r>
        <w:rPr>
          <w:rFonts w:hint="eastAsia" w:ascii="楷体_GB2312" w:hAnsi="楷体_GB2312" w:eastAsia="楷体_GB2312" w:cs="楷体_GB2312"/>
          <w:b/>
          <w:sz w:val="32"/>
          <w:szCs w:val="32"/>
        </w:rPr>
        <w:t>3.5防护及密封装置要求</w:t>
      </w:r>
    </w:p>
    <w:p w14:paraId="595B4B95">
      <w:pPr>
        <w:spacing w:line="560" w:lineRule="exact"/>
        <w:ind w:left="400"/>
        <w:rPr>
          <w:rFonts w:ascii="仿宋_GB2312" w:hAnsi="仿宋_GB2312" w:eastAsia="仿宋_GB2312" w:cs="仿宋_GB2312"/>
          <w:sz w:val="32"/>
          <w:szCs w:val="32"/>
        </w:rPr>
      </w:pPr>
      <w:r>
        <w:rPr>
          <w:rFonts w:hint="eastAsia" w:ascii="仿宋_GB2312" w:hAnsi="仿宋_GB2312" w:eastAsia="仿宋_GB2312" w:cs="仿宋_GB2312"/>
          <w:sz w:val="32"/>
          <w:szCs w:val="32"/>
        </w:rPr>
        <w:t>3.5.1门板可≥170度打开，方便存取。</w:t>
      </w:r>
    </w:p>
    <w:p w14:paraId="0C6E8601">
      <w:pPr>
        <w:spacing w:line="560" w:lineRule="exact"/>
        <w:ind w:left="400"/>
        <w:rPr>
          <w:rFonts w:ascii="仿宋_GB2312" w:hAnsi="仿宋_GB2312" w:eastAsia="仿宋_GB2312" w:cs="仿宋_GB2312"/>
          <w:sz w:val="32"/>
          <w:szCs w:val="32"/>
        </w:rPr>
      </w:pPr>
      <w:r>
        <w:rPr>
          <w:rFonts w:hint="eastAsia" w:ascii="仿宋_GB2312" w:hAnsi="仿宋_GB2312" w:eastAsia="仿宋_GB2312" w:cs="仿宋_GB2312"/>
          <w:sz w:val="32"/>
          <w:szCs w:val="32"/>
        </w:rPr>
        <w:t>3.5.2防尘门、搁板等稳定性必须符合GB/T10357.4-2023《家具力学性能试验 第4部分：柜类稳定性》的规定</w:t>
      </w:r>
      <w:r>
        <w:rPr>
          <w:rFonts w:ascii="仿宋_GB2312" w:hAnsi="仿宋_GB2312" w:eastAsia="仿宋_GB2312" w:cs="仿宋_GB2312"/>
          <w:sz w:val="32"/>
          <w:szCs w:val="32"/>
        </w:rPr>
        <w:t>。</w:t>
      </w:r>
    </w:p>
    <w:p w14:paraId="4AC5C453">
      <w:pPr>
        <w:widowControl/>
        <w:spacing w:line="560" w:lineRule="exact"/>
        <w:ind w:left="4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3.5.3每列架体底部设有防倾倒装置，确保人员安全。</w:t>
      </w:r>
    </w:p>
    <w:p w14:paraId="58BA236C">
      <w:pPr>
        <w:spacing w:line="560" w:lineRule="exact"/>
        <w:ind w:left="400"/>
        <w:rPr>
          <w:rFonts w:ascii="仿宋_GB2312" w:hAnsi="仿宋_GB2312" w:eastAsia="仿宋_GB2312" w:cs="仿宋_GB2312"/>
          <w:sz w:val="32"/>
          <w:szCs w:val="32"/>
        </w:rPr>
      </w:pPr>
      <w:r>
        <w:rPr>
          <w:rFonts w:hint="eastAsia" w:ascii="仿宋_GB2312" w:hAnsi="仿宋_GB2312" w:eastAsia="仿宋_GB2312" w:cs="仿宋_GB2312"/>
          <w:sz w:val="32"/>
          <w:szCs w:val="32"/>
        </w:rPr>
        <w:t>3.5.4</w:t>
      </w:r>
      <w:r>
        <w:rPr>
          <w:rFonts w:ascii="仿宋_GB2312" w:hAnsi="仿宋_GB2312" w:eastAsia="仿宋_GB2312" w:cs="仿宋_GB2312"/>
          <w:sz w:val="32"/>
          <w:szCs w:val="32"/>
        </w:rPr>
        <w:t>三至五层的原安装轨道不再使用，供应商应按照美观大方、方便使用的原则对其进行遮盖。</w:t>
      </w:r>
    </w:p>
    <w:p w14:paraId="17338611">
      <w:pPr>
        <w:widowControl/>
        <w:spacing w:line="560" w:lineRule="exact"/>
        <w:ind w:firstLine="315" w:firstLineChars="98"/>
        <w:rPr>
          <w:rFonts w:ascii="楷体_GB2312" w:hAnsi="楷体_GB2312" w:eastAsia="楷体_GB2312" w:cs="楷体_GB2312"/>
          <w:b/>
          <w:sz w:val="32"/>
          <w:szCs w:val="32"/>
        </w:rPr>
      </w:pPr>
      <w:r>
        <w:rPr>
          <w:rFonts w:hint="eastAsia" w:ascii="楷体_GB2312" w:hAnsi="楷体_GB2312" w:eastAsia="楷体_GB2312" w:cs="楷体_GB2312"/>
          <w:b/>
          <w:sz w:val="32"/>
          <w:szCs w:val="32"/>
        </w:rPr>
        <w:t>3.6</w:t>
      </w:r>
      <w:r>
        <w:rPr>
          <w:rFonts w:ascii="楷体_GB2312" w:hAnsi="楷体_GB2312" w:eastAsia="楷体_GB2312" w:cs="楷体_GB2312"/>
          <w:b/>
          <w:sz w:val="32"/>
          <w:szCs w:val="32"/>
        </w:rPr>
        <w:t>固定架</w:t>
      </w:r>
      <w:r>
        <w:rPr>
          <w:rFonts w:hint="eastAsia" w:ascii="楷体_GB2312" w:hAnsi="楷体_GB2312" w:eastAsia="楷体_GB2312" w:cs="楷体_GB2312"/>
          <w:b/>
          <w:sz w:val="32"/>
          <w:szCs w:val="32"/>
        </w:rPr>
        <w:t>架体核心部件功能及技术要求</w:t>
      </w:r>
    </w:p>
    <w:p w14:paraId="6FD686DA">
      <w:pPr>
        <w:spacing w:line="560" w:lineRule="exact"/>
        <w:ind w:left="4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3.6.1底盘：采用≥3.0mm</w:t>
      </w:r>
      <w:r>
        <w:rPr>
          <w:rFonts w:ascii="仿宋_GB2312" w:hAnsi="仿宋_GB2312" w:eastAsia="仿宋_GB2312" w:cs="仿宋_GB2312"/>
          <w:color w:val="000000"/>
          <w:sz w:val="32"/>
          <w:szCs w:val="32"/>
        </w:rPr>
        <w:t>(不包括油漆)</w:t>
      </w:r>
      <w:r>
        <w:rPr>
          <w:rFonts w:hint="eastAsia" w:ascii="仿宋_GB2312" w:hAnsi="仿宋_GB2312" w:eastAsia="仿宋_GB2312" w:cs="仿宋_GB2312"/>
          <w:color w:val="000000"/>
          <w:sz w:val="32"/>
          <w:szCs w:val="32"/>
        </w:rPr>
        <w:t>优质热轧钢板，分段焊接后整体组装式，成型高度≤150mm，保证整体刚性和精度，底部需安装防倾倒装置防止架体倾斜。</w:t>
      </w:r>
    </w:p>
    <w:p w14:paraId="4F621F61">
      <w:pPr>
        <w:spacing w:line="560" w:lineRule="exact"/>
        <w:ind w:left="4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3.6.2根据上海市抗震设防烈度为7度的标准，按照抗震防范烈度需提高1度的要求，需提供设防基本烈度8度对应的罕遇地震的设计标准，能够抵御8度罕遇地震的加速度。</w:t>
      </w:r>
    </w:p>
    <w:p w14:paraId="3C59E623">
      <w:pPr>
        <w:spacing w:line="560" w:lineRule="exact"/>
        <w:ind w:left="4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3.6.3立柱：采用≥1.5mm</w:t>
      </w:r>
      <w:r>
        <w:rPr>
          <w:rFonts w:ascii="仿宋_GB2312" w:hAnsi="仿宋_GB2312" w:eastAsia="仿宋_GB2312" w:cs="仿宋_GB2312"/>
          <w:color w:val="000000"/>
          <w:sz w:val="32"/>
          <w:szCs w:val="32"/>
        </w:rPr>
        <w:t>（不包括油漆）</w:t>
      </w:r>
      <w:r>
        <w:rPr>
          <w:rFonts w:hint="eastAsia" w:ascii="仿宋_GB2312" w:hAnsi="仿宋_GB2312" w:eastAsia="仿宋_GB2312" w:cs="仿宋_GB2312"/>
          <w:color w:val="000000"/>
          <w:sz w:val="32"/>
          <w:szCs w:val="32"/>
        </w:rPr>
        <w:t>优质冷轧钢板，辊压制作工艺折弯成型，成型立柱尺寸正面≥50mm，两侧面≥40mm。每拼立柱采用上、中、下三根连接横梁，焊疤表面波纹应均匀、高低之差应不大于1mm。每根立柱侧面均布双排调节孔。挂板、搁板可沿调节孔上、下调节，使层数和间距可按需要调整。每根立柱须插入底梁，和底梁连接牢固，长期使用架体不倾斜、不变形。</w:t>
      </w:r>
    </w:p>
    <w:p w14:paraId="7BA3DA94">
      <w:pPr>
        <w:spacing w:line="560" w:lineRule="exact"/>
        <w:ind w:left="4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3.6.4侧面板：采用≥1.0mm</w:t>
      </w:r>
      <w:r>
        <w:rPr>
          <w:rFonts w:ascii="仿宋_GB2312" w:hAnsi="仿宋_GB2312" w:eastAsia="仿宋_GB2312" w:cs="仿宋_GB2312"/>
          <w:color w:val="000000"/>
          <w:sz w:val="32"/>
          <w:szCs w:val="32"/>
        </w:rPr>
        <w:t>（不包括油漆）</w:t>
      </w:r>
      <w:r>
        <w:rPr>
          <w:rFonts w:hint="eastAsia" w:ascii="仿宋_GB2312" w:hAnsi="仿宋_GB2312" w:eastAsia="仿宋_GB2312" w:cs="仿宋_GB2312"/>
          <w:color w:val="000000"/>
          <w:sz w:val="32"/>
          <w:szCs w:val="32"/>
        </w:rPr>
        <w:t>优质冷轧钢板，侧面板采用上、中、下三节拼装结构，两边做圆弧处理，款式新颖、结构合理、造型美观，正面按压不变形。为了方便分类管理，每排前侧板适合位置需配置标签目录槽，并按照</w:t>
      </w:r>
      <w:r>
        <w:rPr>
          <w:rFonts w:hint="eastAsia" w:ascii="仿宋_GB2312" w:hAnsi="仿宋_GB2312" w:eastAsia="仿宋_GB2312" w:cs="仿宋_GB2312"/>
          <w:color w:val="000000"/>
          <w:sz w:val="32"/>
          <w:szCs w:val="32"/>
          <w:lang w:eastAsia="zh-CN"/>
        </w:rPr>
        <w:t>采购人</w:t>
      </w:r>
      <w:r>
        <w:rPr>
          <w:rFonts w:hint="eastAsia" w:ascii="仿宋_GB2312" w:hAnsi="仿宋_GB2312" w:eastAsia="仿宋_GB2312" w:cs="仿宋_GB2312"/>
          <w:color w:val="000000"/>
          <w:sz w:val="32"/>
          <w:szCs w:val="32"/>
        </w:rPr>
        <w:t>要求安装标牌和列牌。</w:t>
      </w:r>
    </w:p>
    <w:p w14:paraId="2D944390">
      <w:pPr>
        <w:spacing w:line="560" w:lineRule="exact"/>
        <w:ind w:left="400"/>
        <w:rPr>
          <w:rFonts w:ascii="仿宋_GB2312" w:hAnsi="仿宋_GB2312" w:eastAsia="仿宋_GB2312" w:cs="仿宋_GB2312"/>
          <w:sz w:val="32"/>
          <w:szCs w:val="32"/>
        </w:rPr>
      </w:pPr>
      <w:r>
        <w:rPr>
          <w:rFonts w:hint="eastAsia" w:ascii="仿宋_GB2312" w:hAnsi="仿宋_GB2312" w:eastAsia="仿宋_GB2312" w:cs="仿宋_GB2312"/>
          <w:sz w:val="32"/>
          <w:szCs w:val="32"/>
        </w:rPr>
        <w:t>标签目录槽：尺寸（宽*高）105*160mm，不锈钢材质，铆钉连接；</w:t>
      </w:r>
    </w:p>
    <w:p w14:paraId="6B9AA44F">
      <w:pPr>
        <w:spacing w:line="560" w:lineRule="exact"/>
        <w:ind w:left="400"/>
        <w:rPr>
          <w:rFonts w:ascii="仿宋_GB2312" w:hAnsi="仿宋_GB2312" w:eastAsia="仿宋_GB2312" w:cs="仿宋_GB2312"/>
          <w:sz w:val="32"/>
          <w:szCs w:val="32"/>
        </w:rPr>
      </w:pPr>
      <w:r>
        <w:rPr>
          <w:rFonts w:hint="eastAsia" w:ascii="仿宋_GB2312" w:hAnsi="仿宋_GB2312" w:eastAsia="仿宋_GB2312" w:cs="仿宋_GB2312"/>
          <w:sz w:val="32"/>
          <w:szCs w:val="32"/>
        </w:rPr>
        <w:t>标牌：直径150mm，不锈钢材质，铆钉连接；</w:t>
      </w:r>
    </w:p>
    <w:p w14:paraId="10501F14">
      <w:pPr>
        <w:spacing w:line="560" w:lineRule="exact"/>
        <w:ind w:left="400"/>
        <w:rPr>
          <w:rFonts w:ascii="仿宋_GB2312" w:hAnsi="仿宋_GB2312" w:eastAsia="仿宋_GB2312" w:cs="仿宋_GB2312"/>
          <w:sz w:val="32"/>
          <w:szCs w:val="32"/>
        </w:rPr>
      </w:pPr>
      <w:r>
        <w:rPr>
          <w:rFonts w:hint="eastAsia" w:ascii="仿宋_GB2312" w:hAnsi="仿宋_GB2312" w:eastAsia="仿宋_GB2312" w:cs="仿宋_GB2312"/>
          <w:sz w:val="32"/>
          <w:szCs w:val="32"/>
        </w:rPr>
        <w:t>列牌：尺寸（高*宽）60*280mm，不锈钢材质，铆钉连接；</w:t>
      </w:r>
    </w:p>
    <w:p w14:paraId="3A0AC643">
      <w:pPr>
        <w:spacing w:line="560" w:lineRule="exact"/>
        <w:ind w:left="400"/>
        <w:rPr>
          <w:rFonts w:ascii="仿宋_GB2312" w:hAnsi="仿宋_GB2312" w:eastAsia="仿宋_GB2312" w:cs="仿宋_GB2312"/>
          <w:sz w:val="32"/>
          <w:szCs w:val="32"/>
        </w:rPr>
      </w:pPr>
      <w:r>
        <w:rPr>
          <w:rFonts w:hint="eastAsia" w:ascii="仿宋_GB2312" w:hAnsi="仿宋_GB2312" w:eastAsia="仿宋_GB2312" w:cs="仿宋_GB2312"/>
          <w:sz w:val="32"/>
          <w:szCs w:val="32"/>
        </w:rPr>
        <w:t>标签目录槽、标牌、列牌参考样式如下：</w:t>
      </w:r>
    </w:p>
    <w:p w14:paraId="19CAA803">
      <w:pPr>
        <w:spacing w:line="560" w:lineRule="exact"/>
        <w:ind w:left="400"/>
        <w:rPr>
          <w:rFonts w:ascii="仿宋_GB2312" w:hAnsi="仿宋_GB2312" w:eastAsia="仿宋_GB2312" w:cs="仿宋_GB2312"/>
          <w:sz w:val="32"/>
          <w:szCs w:val="32"/>
        </w:rPr>
      </w:pPr>
      <w:r>
        <w:rPr>
          <w:sz w:val="32"/>
        </w:rPr>
        <w:pict>
          <v:shape id="_x0000_s2053" o:spid="_x0000_s2053" o:spt="3" type="#_x0000_t3" style="position:absolute;left:0pt;margin-left:183.15pt;margin-top:18.7pt;height:72pt;width:72pt;z-index:251661312;v-text-anchor:middle;mso-width-relative:page;mso-height-relative:page;" filled="f" stroked="t" coordsize="21600,21600" o:gfxdata="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">
            <v:path/>
            <v:fill on="f" focussize="0,0"/>
            <v:stroke weight="1pt" color="#000000" joinstyle="miter"/>
            <v:imagedata o:title=""/>
            <o:lock v:ext="edit"/>
          </v:shape>
        </w:pict>
      </w:r>
      <w:r>
        <w:rPr>
          <w:sz w:val="32"/>
        </w:rPr>
        <w:pict>
          <v:rect id="_x0000_s2052" o:spid="_x0000_s2052" o:spt="1" style="position:absolute;left:0pt;margin-left:47.35pt;margin-top:13pt;height:78.15pt;width:61.65pt;z-index:251660288;v-text-anchor:middle;mso-width-relative:page;mso-height-relative:page;" filled="f" stroked="t" coordsize="21600,21600" o:gfxdata="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">
            <v:path/>
            <v:fill on="f" focussize="0,0"/>
            <v:stroke weight="1pt" color="#000000"/>
            <v:imagedata o:title=""/>
            <o:lock v:ext="edit"/>
          </v:rect>
        </w:pict>
      </w:r>
      <w:r>
        <w:rPr>
          <w:sz w:val="32"/>
        </w:rPr>
        <w:pict>
          <v:rect id="_x0000_s2051" o:spid="_x0000_s2051" o:spt="1" style="position:absolute;left:0pt;margin-left:41.45pt;margin-top:9.9pt;height:84.3pt;width:73.4pt;z-index:251659264;v-text-anchor:middle;mso-width-relative:page;mso-height-relative:page;" filled="f" stroked="t" coordsize="21600,21600" o:gfxdata="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">
            <v:path/>
            <v:fill on="f" focussize="0,0"/>
            <v:stroke weight="1pt" color="#000000"/>
            <v:imagedata o:title=""/>
            <o:lock v:ext="edit"/>
          </v:rect>
        </w:pict>
      </w:r>
    </w:p>
    <w:p w14:paraId="1DC8BFB9">
      <w:pPr>
        <w:spacing w:line="560" w:lineRule="exact"/>
        <w:ind w:left="400"/>
        <w:rPr>
          <w:rFonts w:ascii="仿宋_GB2312" w:hAnsi="仿宋_GB2312" w:eastAsia="仿宋_GB2312" w:cs="仿宋_GB2312"/>
          <w:sz w:val="32"/>
          <w:szCs w:val="32"/>
        </w:rPr>
      </w:pPr>
      <w:r>
        <w:rPr>
          <w:sz w:val="32"/>
        </w:rPr>
        <w:pict>
          <v:shape id="_x0000_s2050" o:spid="_x0000_s2050" o:spt="117" type="#_x0000_t117" style="position:absolute;left:0pt;margin-left:305.35pt;margin-top:6.3pt;height:48.15pt;width:123pt;z-index:251662336;v-text-anchor:middle;mso-width-relative:page;mso-height-relative:page;" filled="f" stroked="t" coordsize="21600,21600" o:gfxdata="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">
            <v:path/>
            <v:fill on="f" focussize="0,0"/>
            <v:stroke weight="1pt" color="#000000" joinstyle="miter"/>
            <v:imagedata o:title=""/>
            <o:lock v:ext="edit"/>
          </v:shape>
        </w:pict>
      </w:r>
    </w:p>
    <w:p w14:paraId="74F20588">
      <w:pPr>
        <w:spacing w:line="560" w:lineRule="exact"/>
        <w:ind w:left="400"/>
        <w:rPr>
          <w:rFonts w:ascii="仿宋_GB2312" w:hAnsi="仿宋_GB2312" w:eastAsia="仿宋_GB2312" w:cs="仿宋_GB2312"/>
          <w:sz w:val="32"/>
          <w:szCs w:val="32"/>
        </w:rPr>
      </w:pPr>
    </w:p>
    <w:p w14:paraId="00E701B7">
      <w:pPr>
        <w:spacing w:line="560" w:lineRule="exact"/>
        <w:ind w:left="400"/>
        <w:rPr>
          <w:rFonts w:ascii="仿宋_GB2312" w:hAnsi="仿宋_GB2312" w:eastAsia="仿宋_GB2312" w:cs="仿宋_GB2312"/>
          <w:sz w:val="32"/>
          <w:szCs w:val="32"/>
        </w:rPr>
      </w:pPr>
    </w:p>
    <w:p w14:paraId="3E04B535">
      <w:pPr>
        <w:spacing w:line="560" w:lineRule="exact"/>
        <w:ind w:firstLine="838" w:firstLineChars="262"/>
        <w:rPr>
          <w:rFonts w:ascii="仿宋_GB2312" w:hAnsi="仿宋_GB2312" w:eastAsia="仿宋_GB2312" w:cs="仿宋_GB2312"/>
          <w:sz w:val="32"/>
          <w:szCs w:val="32"/>
        </w:rPr>
      </w:pPr>
      <w:r>
        <w:rPr>
          <w:rFonts w:hint="eastAsia" w:ascii="仿宋_GB2312" w:hAnsi="仿宋_GB2312" w:eastAsia="仿宋_GB2312" w:cs="仿宋_GB2312"/>
          <w:sz w:val="32"/>
          <w:szCs w:val="32"/>
        </w:rPr>
        <w:t>标签目录槽</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标牌</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列牌</w:t>
      </w:r>
    </w:p>
    <w:p w14:paraId="3D8E19ED">
      <w:pPr>
        <w:spacing w:line="560" w:lineRule="exact"/>
        <w:ind w:left="400"/>
        <w:rPr>
          <w:rFonts w:ascii="仿宋_GB2312" w:hAnsi="仿宋_GB2312" w:eastAsia="仿宋_GB2312" w:cs="仿宋_GB2312"/>
          <w:sz w:val="32"/>
          <w:szCs w:val="32"/>
        </w:rPr>
      </w:pPr>
      <w:r>
        <w:rPr>
          <w:rFonts w:hint="eastAsia" w:ascii="仿宋_GB2312" w:hAnsi="仿宋_GB2312" w:eastAsia="仿宋_GB2312" w:cs="仿宋_GB2312"/>
          <w:sz w:val="32"/>
          <w:szCs w:val="32"/>
        </w:rPr>
        <w:t>注：标签目录槽、标牌、列牌的实际款式要经</w:t>
      </w:r>
      <w:r>
        <w:rPr>
          <w:rFonts w:hint="eastAsia" w:ascii="仿宋_GB2312" w:hAnsi="仿宋_GB2312" w:eastAsia="仿宋_GB2312" w:cs="仿宋_GB2312"/>
          <w:sz w:val="32"/>
          <w:szCs w:val="32"/>
          <w:lang w:eastAsia="zh-CN"/>
        </w:rPr>
        <w:t>采购人</w:t>
      </w:r>
      <w:r>
        <w:rPr>
          <w:rFonts w:hint="eastAsia" w:ascii="仿宋_GB2312" w:hAnsi="仿宋_GB2312" w:eastAsia="仿宋_GB2312" w:cs="仿宋_GB2312"/>
          <w:sz w:val="32"/>
          <w:szCs w:val="32"/>
        </w:rPr>
        <w:t>确认同意后制作。</w:t>
      </w:r>
    </w:p>
    <w:p w14:paraId="69520EA7">
      <w:pPr>
        <w:spacing w:line="560" w:lineRule="exact"/>
        <w:ind w:left="4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3.6.5搁板：采用≥1.2mm</w:t>
      </w:r>
      <w:r>
        <w:rPr>
          <w:rFonts w:ascii="仿宋_GB2312" w:hAnsi="仿宋_GB2312" w:eastAsia="仿宋_GB2312" w:cs="仿宋_GB2312"/>
          <w:color w:val="000000"/>
          <w:sz w:val="32"/>
          <w:szCs w:val="32"/>
        </w:rPr>
        <w:t>（不包括油漆）</w:t>
      </w:r>
      <w:r>
        <w:rPr>
          <w:rFonts w:hint="eastAsia" w:ascii="仿宋_GB2312" w:hAnsi="仿宋_GB2312" w:eastAsia="仿宋_GB2312" w:cs="仿宋_GB2312"/>
          <w:color w:val="000000"/>
          <w:sz w:val="32"/>
          <w:szCs w:val="32"/>
        </w:rPr>
        <w:t>优质冷轧钢板，辊压成型制作工艺，搁板表面冲压二组凹槽筋，每组二条（间距＜30mm），每条冲压深度≥2mm，宽度≥7mm，冲压应无脱层、裂缝。搁板两边各压一条梯形槽加强筋，压印梯形槽成型长边尺寸≥10mm，短边尺寸≥8mm，深度≥2mm，增加承载能力。每块搁板能沿立柱的垂直方向独立自由调整高度。</w:t>
      </w:r>
    </w:p>
    <w:p w14:paraId="77220AEA">
      <w:pPr>
        <w:spacing w:line="560" w:lineRule="exact"/>
        <w:ind w:left="4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3.6.6挂板：采用≥1.2mm</w:t>
      </w:r>
      <w:r>
        <w:rPr>
          <w:rFonts w:ascii="仿宋_GB2312" w:hAnsi="仿宋_GB2312" w:eastAsia="仿宋_GB2312" w:cs="仿宋_GB2312"/>
          <w:color w:val="000000"/>
          <w:sz w:val="32"/>
          <w:szCs w:val="32"/>
        </w:rPr>
        <w:t>（不包括油漆）</w:t>
      </w:r>
      <w:r>
        <w:rPr>
          <w:rFonts w:hint="eastAsia" w:ascii="仿宋_GB2312" w:hAnsi="仿宋_GB2312" w:eastAsia="仿宋_GB2312" w:cs="仿宋_GB2312"/>
          <w:color w:val="000000"/>
          <w:sz w:val="32"/>
          <w:szCs w:val="32"/>
        </w:rPr>
        <w:t>优质冷轧钢板，模具冲裁</w:t>
      </w:r>
      <w:r>
        <w:rPr>
          <w:rFonts w:hint="eastAsia" w:ascii="仿宋_GB2312" w:hAnsi="仿宋_GB2312" w:eastAsia="仿宋_GB2312" w:cs="仿宋_GB2312"/>
          <w:sz w:val="32"/>
          <w:szCs w:val="32"/>
        </w:rPr>
        <w:t>折弯而</w:t>
      </w:r>
      <w:r>
        <w:rPr>
          <w:rFonts w:hint="eastAsia" w:ascii="仿宋_GB2312" w:hAnsi="仿宋_GB2312" w:eastAsia="仿宋_GB2312" w:cs="仿宋_GB2312"/>
          <w:color w:val="000000"/>
          <w:sz w:val="32"/>
          <w:szCs w:val="32"/>
        </w:rPr>
        <w:t>成，折弯成型高度≥120mm，中间腰形拉伸翻边模成形两个台阶加强工艺孔，上、下位置设有四条加强工艺筋。挂板上、下端直角折弯，下端冲有四个凸槽，使搁板嵌置于弯边凸肩上，使挂板与搁板连接牢固、不晃动，承载性能强，组装后平整、牢固、无噪声，挂板安装后挂板表面不超出立柱侧表面。</w:t>
      </w:r>
    </w:p>
    <w:p w14:paraId="6C8BC455">
      <w:pPr>
        <w:spacing w:line="560" w:lineRule="exact"/>
        <w:ind w:left="4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3.6.7顶板：采用≥1.0mm</w:t>
      </w:r>
      <w:r>
        <w:rPr>
          <w:rFonts w:ascii="仿宋_GB2312" w:hAnsi="仿宋_GB2312" w:eastAsia="仿宋_GB2312" w:cs="仿宋_GB2312"/>
          <w:color w:val="000000"/>
          <w:sz w:val="32"/>
          <w:szCs w:val="32"/>
        </w:rPr>
        <w:t>（不包括油漆）</w:t>
      </w:r>
      <w:r>
        <w:rPr>
          <w:rFonts w:hint="eastAsia" w:ascii="仿宋_GB2312" w:hAnsi="仿宋_GB2312" w:eastAsia="仿宋_GB2312" w:cs="仿宋_GB2312"/>
          <w:color w:val="000000"/>
          <w:sz w:val="32"/>
          <w:szCs w:val="32"/>
        </w:rPr>
        <w:t>优质冷轧钢板，四角对焊，使其成框架结构，加强顶板的钢性。顶板通过螺栓紧固于立柱上端既能加强架体的整体刚性又能起到防尘、防水的作用。</w:t>
      </w:r>
    </w:p>
    <w:p w14:paraId="5DDFB537">
      <w:pPr>
        <w:spacing w:line="560" w:lineRule="exact"/>
        <w:ind w:left="4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3.6.8</w:t>
      </w:r>
      <w:r>
        <w:rPr>
          <w:rFonts w:ascii="仿宋_GB2312" w:hAnsi="仿宋_GB2312" w:eastAsia="仿宋_GB2312" w:cs="仿宋_GB2312"/>
          <w:color w:val="000000"/>
          <w:sz w:val="32"/>
          <w:szCs w:val="32"/>
        </w:rPr>
        <w:t>分隔</w:t>
      </w:r>
      <w:r>
        <w:rPr>
          <w:rFonts w:hint="eastAsia" w:ascii="仿宋_GB2312" w:hAnsi="仿宋_GB2312" w:eastAsia="仿宋_GB2312" w:cs="仿宋_GB2312"/>
          <w:color w:val="000000"/>
          <w:sz w:val="32"/>
          <w:szCs w:val="32"/>
        </w:rPr>
        <w:t>棒：采用≥1.0mm</w:t>
      </w:r>
      <w:r>
        <w:rPr>
          <w:rFonts w:ascii="仿宋_GB2312" w:hAnsi="仿宋_GB2312" w:eastAsia="仿宋_GB2312" w:cs="仿宋_GB2312"/>
          <w:color w:val="000000"/>
          <w:sz w:val="32"/>
          <w:szCs w:val="32"/>
        </w:rPr>
        <w:t>（不包括油漆）</w:t>
      </w:r>
      <w:r>
        <w:rPr>
          <w:rFonts w:hint="eastAsia" w:ascii="仿宋_GB2312" w:hAnsi="仿宋_GB2312" w:eastAsia="仿宋_GB2312" w:cs="仿宋_GB2312"/>
          <w:color w:val="000000"/>
          <w:sz w:val="32"/>
          <w:szCs w:val="32"/>
        </w:rPr>
        <w:t>优质冷轧钢板，冲压折弯成形，用以防止资料窜动位置。</w:t>
      </w:r>
    </w:p>
    <w:p w14:paraId="1724D3F1">
      <w:pPr>
        <w:spacing w:line="560" w:lineRule="exact"/>
        <w:ind w:left="4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3.6.9防尘门：由门板、门框、门锁等部件组成，门板和门框采用≥1.0mm优质冷轧钢板，冲压折弯成形，线条优美、美观别致、安全可靠、使用方便。</w:t>
      </w:r>
    </w:p>
    <w:p w14:paraId="3396C05F">
      <w:pPr>
        <w:spacing w:line="560" w:lineRule="exact"/>
        <w:ind w:left="4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3.6.10</w:t>
      </w:r>
      <w:r>
        <w:rPr>
          <w:rFonts w:ascii="仿宋_GB2312" w:hAnsi="仿宋_GB2312" w:eastAsia="仿宋_GB2312" w:cs="仿宋_GB2312"/>
          <w:color w:val="000000"/>
          <w:sz w:val="32"/>
          <w:szCs w:val="32"/>
        </w:rPr>
        <w:t>固定架门锁根据</w:t>
      </w:r>
      <w:r>
        <w:rPr>
          <w:rFonts w:hint="eastAsia" w:ascii="仿宋_GB2312" w:hAnsi="仿宋_GB2312" w:eastAsia="仿宋_GB2312" w:cs="仿宋_GB2312"/>
          <w:color w:val="000000"/>
          <w:sz w:val="32"/>
          <w:szCs w:val="32"/>
          <w:lang w:eastAsia="zh-CN"/>
        </w:rPr>
        <w:t>采购人</w:t>
      </w:r>
      <w:r>
        <w:rPr>
          <w:rFonts w:ascii="仿宋_GB2312" w:hAnsi="仿宋_GB2312" w:eastAsia="仿宋_GB2312" w:cs="仿宋_GB2312"/>
          <w:color w:val="000000"/>
          <w:sz w:val="32"/>
          <w:szCs w:val="32"/>
        </w:rPr>
        <w:t>要求配备</w:t>
      </w:r>
      <w:r>
        <w:rPr>
          <w:rFonts w:hint="eastAsia" w:ascii="仿宋_GB2312" w:hAnsi="仿宋_GB2312" w:eastAsia="仿宋_GB2312" w:cs="仿宋_GB2312"/>
          <w:color w:val="000000"/>
          <w:sz w:val="32"/>
          <w:szCs w:val="32"/>
        </w:rPr>
        <w:t>，每对防尘门均安装锁具</w:t>
      </w:r>
      <w:r>
        <w:rPr>
          <w:rFonts w:ascii="仿宋_GB2312" w:hAnsi="仿宋_GB2312" w:eastAsia="仿宋_GB2312" w:cs="仿宋_GB2312"/>
          <w:color w:val="000000"/>
          <w:sz w:val="32"/>
          <w:szCs w:val="32"/>
        </w:rPr>
        <w:t>。同组固定架门锁通用；不同组门锁不通用。</w:t>
      </w:r>
    </w:p>
    <w:p w14:paraId="00C61B85">
      <w:pPr>
        <w:spacing w:line="560" w:lineRule="exact"/>
        <w:rPr>
          <w:rFonts w:ascii="黑体" w:hAnsi="黑体" w:eastAsia="黑体" w:cs="黑体"/>
          <w:bCs/>
          <w:sz w:val="32"/>
          <w:szCs w:val="32"/>
        </w:rPr>
      </w:pPr>
      <w:r>
        <w:rPr>
          <w:rFonts w:hint="eastAsia" w:ascii="黑体" w:hAnsi="黑体" w:eastAsia="黑体" w:cs="黑体"/>
          <w:bCs/>
          <w:sz w:val="32"/>
          <w:szCs w:val="32"/>
        </w:rPr>
        <w:t>4.</w:t>
      </w:r>
      <w:r>
        <w:rPr>
          <w:rFonts w:ascii="黑体" w:hAnsi="黑体" w:eastAsia="黑体" w:cs="黑体"/>
          <w:bCs/>
          <w:sz w:val="32"/>
          <w:szCs w:val="32"/>
        </w:rPr>
        <w:t>固定</w:t>
      </w:r>
      <w:r>
        <w:rPr>
          <w:rFonts w:hint="eastAsia" w:ascii="黑体" w:hAnsi="黑体" w:eastAsia="黑体" w:cs="黑体"/>
          <w:bCs/>
          <w:sz w:val="32"/>
          <w:szCs w:val="32"/>
        </w:rPr>
        <w:t>架基本材料配置</w:t>
      </w:r>
    </w:p>
    <w:p w14:paraId="61301A70">
      <w:pPr>
        <w:spacing w:line="560" w:lineRule="exact"/>
        <w:ind w:left="400"/>
        <w:rPr>
          <w:rFonts w:ascii="仿宋_GB2312" w:hAnsi="仿宋_GB2312" w:eastAsia="仿宋_GB2312" w:cs="仿宋_GB2312"/>
          <w:sz w:val="32"/>
          <w:szCs w:val="32"/>
          <w:shd w:val="pct10" w:color="auto" w:fill="FFFFFF"/>
        </w:rPr>
      </w:pPr>
      <w:r>
        <w:rPr>
          <w:rFonts w:hint="eastAsia" w:ascii="仿宋_GB2312" w:hAnsi="仿宋_GB2312" w:eastAsia="仿宋_GB2312" w:cs="仿宋_GB2312"/>
          <w:sz w:val="32"/>
          <w:szCs w:val="32"/>
        </w:rPr>
        <w:t>4.1基本材料须采用优等品质钢材。</w:t>
      </w:r>
    </w:p>
    <w:p w14:paraId="3181BA22">
      <w:pPr>
        <w:spacing w:line="560" w:lineRule="exact"/>
        <w:ind w:left="4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4.2材料要求汇总</w:t>
      </w:r>
    </w:p>
    <w:tbl>
      <w:tblPr>
        <w:tblStyle w:val="9"/>
        <w:tblW w:w="5000" w:type="pct"/>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0"/>
        <w:gridCol w:w="1567"/>
        <w:gridCol w:w="2864"/>
        <w:gridCol w:w="1619"/>
        <w:gridCol w:w="2975"/>
      </w:tblGrid>
      <w:tr w14:paraId="236819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1216" w:type="pct"/>
            <w:gridSpan w:val="2"/>
            <w:vMerge w:val="restart"/>
            <w:tcBorders>
              <w:top w:val="single" w:color="auto" w:sz="4" w:space="0"/>
              <w:left w:val="single" w:color="auto" w:sz="4" w:space="0"/>
              <w:bottom w:val="single" w:color="auto" w:sz="4" w:space="0"/>
              <w:right w:val="single" w:color="auto" w:sz="4" w:space="0"/>
            </w:tcBorders>
            <w:shd w:val="clear" w:color="auto" w:fill="E7E6E6"/>
            <w:vAlign w:val="center"/>
          </w:tcPr>
          <w:p w14:paraId="552D77C5">
            <w:pPr>
              <w:pStyle w:val="17"/>
              <w:spacing w:line="560" w:lineRule="exact"/>
              <w:ind w:firstLine="562"/>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设备名称</w:t>
            </w:r>
          </w:p>
        </w:tc>
        <w:tc>
          <w:tcPr>
            <w:tcW w:w="3783" w:type="pct"/>
            <w:gridSpan w:val="3"/>
            <w:tcBorders>
              <w:top w:val="single" w:color="auto" w:sz="4" w:space="0"/>
              <w:left w:val="single" w:color="auto" w:sz="4" w:space="0"/>
              <w:bottom w:val="single" w:color="auto" w:sz="4" w:space="0"/>
              <w:right w:val="single" w:color="auto" w:sz="4" w:space="0"/>
            </w:tcBorders>
            <w:shd w:val="clear" w:color="auto" w:fill="E7E6E6"/>
            <w:vAlign w:val="center"/>
          </w:tcPr>
          <w:p w14:paraId="0D919FC4">
            <w:pPr>
              <w:pStyle w:val="17"/>
              <w:spacing w:line="560" w:lineRule="exact"/>
              <w:ind w:firstLine="0" w:firstLineChars="0"/>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技术参数</w:t>
            </w:r>
          </w:p>
        </w:tc>
      </w:tr>
      <w:tr w14:paraId="6141FA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1216" w:type="pct"/>
            <w:gridSpan w:val="2"/>
            <w:vMerge w:val="continue"/>
            <w:tcBorders>
              <w:top w:val="single" w:color="auto" w:sz="4" w:space="0"/>
              <w:left w:val="single" w:color="auto" w:sz="4" w:space="0"/>
              <w:bottom w:val="single" w:color="auto" w:sz="4" w:space="0"/>
              <w:right w:val="single" w:color="auto" w:sz="4" w:space="0"/>
            </w:tcBorders>
            <w:shd w:val="clear" w:color="auto" w:fill="E7E6E6"/>
            <w:vAlign w:val="center"/>
          </w:tcPr>
          <w:p w14:paraId="33F0734A">
            <w:pPr>
              <w:pStyle w:val="17"/>
              <w:spacing w:line="560" w:lineRule="exact"/>
              <w:ind w:firstLine="562"/>
              <w:rPr>
                <w:rFonts w:ascii="仿宋_GB2312" w:hAnsi="仿宋_GB2312" w:eastAsia="仿宋_GB2312" w:cs="仿宋_GB2312"/>
                <w:b/>
                <w:bCs/>
                <w:sz w:val="28"/>
                <w:szCs w:val="28"/>
              </w:rPr>
            </w:pPr>
          </w:p>
        </w:tc>
        <w:tc>
          <w:tcPr>
            <w:tcW w:w="1453" w:type="pct"/>
            <w:tcBorders>
              <w:top w:val="single" w:color="auto" w:sz="4" w:space="0"/>
              <w:left w:val="single" w:color="auto" w:sz="4" w:space="0"/>
              <w:bottom w:val="single" w:color="auto" w:sz="4" w:space="0"/>
              <w:right w:val="single" w:color="auto" w:sz="4" w:space="0"/>
            </w:tcBorders>
            <w:shd w:val="clear" w:color="auto" w:fill="E7E6E6"/>
            <w:vAlign w:val="center"/>
          </w:tcPr>
          <w:p w14:paraId="7C71F8FD">
            <w:pPr>
              <w:pStyle w:val="17"/>
              <w:spacing w:line="560" w:lineRule="exact"/>
              <w:ind w:firstLine="562"/>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材料规格</w:t>
            </w:r>
          </w:p>
        </w:tc>
        <w:tc>
          <w:tcPr>
            <w:tcW w:w="821" w:type="pct"/>
            <w:tcBorders>
              <w:top w:val="single" w:color="auto" w:sz="4" w:space="0"/>
              <w:left w:val="single" w:color="auto" w:sz="4" w:space="0"/>
              <w:bottom w:val="single" w:color="auto" w:sz="4" w:space="0"/>
              <w:right w:val="single" w:color="auto" w:sz="4" w:space="0"/>
            </w:tcBorders>
            <w:shd w:val="clear" w:color="auto" w:fill="E7E6E6"/>
            <w:vAlign w:val="center"/>
          </w:tcPr>
          <w:p w14:paraId="2F7937BD">
            <w:pPr>
              <w:pStyle w:val="17"/>
              <w:spacing w:line="560" w:lineRule="exact"/>
              <w:ind w:firstLine="281" w:firstLineChars="100"/>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采用标准</w:t>
            </w:r>
          </w:p>
        </w:tc>
        <w:tc>
          <w:tcPr>
            <w:tcW w:w="1509" w:type="pct"/>
            <w:tcBorders>
              <w:top w:val="single" w:color="auto" w:sz="4" w:space="0"/>
              <w:left w:val="single" w:color="auto" w:sz="4" w:space="0"/>
              <w:bottom w:val="single" w:color="auto" w:sz="4" w:space="0"/>
              <w:right w:val="single" w:color="auto" w:sz="4" w:space="0"/>
            </w:tcBorders>
            <w:shd w:val="clear" w:color="auto" w:fill="E7E6E6"/>
            <w:vAlign w:val="center"/>
          </w:tcPr>
          <w:p w14:paraId="54C6F674">
            <w:pPr>
              <w:pStyle w:val="17"/>
              <w:spacing w:line="560" w:lineRule="exact"/>
              <w:ind w:firstLine="1124" w:firstLineChars="400"/>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性能</w:t>
            </w:r>
          </w:p>
        </w:tc>
      </w:tr>
      <w:tr w14:paraId="64349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95" w:hRule="atLeast"/>
        </w:trPr>
        <w:tc>
          <w:tcPr>
            <w:tcW w:w="421" w:type="pct"/>
            <w:vMerge w:val="restart"/>
            <w:tcBorders>
              <w:top w:val="single" w:color="auto" w:sz="4" w:space="0"/>
              <w:left w:val="single" w:color="auto" w:sz="4" w:space="0"/>
              <w:right w:val="single" w:color="auto" w:sz="4" w:space="0"/>
            </w:tcBorders>
            <w:vAlign w:val="center"/>
          </w:tcPr>
          <w:p w14:paraId="62E43774">
            <w:pPr>
              <w:pStyle w:val="17"/>
              <w:snapToGrid w:val="0"/>
              <w:spacing w:line="240" w:lineRule="atLeast"/>
              <w:ind w:left="4" w:leftChars="-7" w:hanging="19" w:hangingChars="7"/>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架体</w:t>
            </w:r>
          </w:p>
        </w:tc>
        <w:tc>
          <w:tcPr>
            <w:tcW w:w="795" w:type="pct"/>
            <w:tcBorders>
              <w:top w:val="single" w:color="auto" w:sz="4" w:space="0"/>
              <w:left w:val="single" w:color="auto" w:sz="4" w:space="0"/>
              <w:bottom w:val="single" w:color="auto" w:sz="4" w:space="0"/>
              <w:right w:val="single" w:color="auto" w:sz="4" w:space="0"/>
            </w:tcBorders>
            <w:shd w:val="clear" w:color="auto" w:fill="auto"/>
            <w:vAlign w:val="center"/>
          </w:tcPr>
          <w:p w14:paraId="4A173B37">
            <w:pPr>
              <w:pStyle w:val="17"/>
              <w:snapToGrid w:val="0"/>
              <w:spacing w:line="240" w:lineRule="atLeast"/>
              <w:ind w:firstLine="0" w:firstLineChars="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底盘</w:t>
            </w:r>
          </w:p>
        </w:tc>
        <w:tc>
          <w:tcPr>
            <w:tcW w:w="1453" w:type="pct"/>
            <w:tcBorders>
              <w:top w:val="single" w:color="auto" w:sz="4" w:space="0"/>
              <w:left w:val="single" w:color="auto" w:sz="4" w:space="0"/>
              <w:bottom w:val="single" w:color="auto" w:sz="4" w:space="0"/>
              <w:right w:val="single" w:color="auto" w:sz="4" w:space="0"/>
            </w:tcBorders>
            <w:shd w:val="clear" w:color="auto" w:fill="auto"/>
            <w:vAlign w:val="center"/>
          </w:tcPr>
          <w:p w14:paraId="23DB441D">
            <w:pPr>
              <w:pStyle w:val="17"/>
              <w:snapToGrid w:val="0"/>
              <w:spacing w:line="240" w:lineRule="atLeast"/>
              <w:ind w:firstLine="0" w:firstLineChars="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≥3.0mm热轧钢板</w:t>
            </w:r>
          </w:p>
        </w:tc>
        <w:tc>
          <w:tcPr>
            <w:tcW w:w="821" w:type="pct"/>
            <w:tcBorders>
              <w:top w:val="single" w:color="auto" w:sz="4" w:space="0"/>
              <w:left w:val="single" w:color="auto" w:sz="4" w:space="0"/>
              <w:bottom w:val="single" w:color="auto" w:sz="4" w:space="0"/>
              <w:right w:val="single" w:color="auto" w:sz="4" w:space="0"/>
            </w:tcBorders>
            <w:shd w:val="clear" w:color="auto" w:fill="auto"/>
            <w:vAlign w:val="center"/>
          </w:tcPr>
          <w:p w14:paraId="582C6376">
            <w:pPr>
              <w:pStyle w:val="17"/>
              <w:snapToGrid w:val="0"/>
              <w:spacing w:line="240" w:lineRule="atLeast"/>
              <w:ind w:firstLine="0" w:firstLineChars="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GB/T 711</w:t>
            </w:r>
          </w:p>
        </w:tc>
        <w:tc>
          <w:tcPr>
            <w:tcW w:w="1509" w:type="pct"/>
            <w:tcBorders>
              <w:top w:val="single" w:color="auto" w:sz="4" w:space="0"/>
              <w:left w:val="single" w:color="auto" w:sz="4" w:space="0"/>
              <w:bottom w:val="single" w:color="auto" w:sz="4" w:space="0"/>
              <w:right w:val="single" w:color="auto" w:sz="4" w:space="0"/>
            </w:tcBorders>
            <w:shd w:val="clear" w:color="auto" w:fill="auto"/>
            <w:vAlign w:val="center"/>
          </w:tcPr>
          <w:p w14:paraId="15DB3404">
            <w:pPr>
              <w:pStyle w:val="17"/>
              <w:snapToGrid w:val="0"/>
              <w:spacing w:line="240" w:lineRule="atLeast"/>
              <w:ind w:firstLine="560"/>
              <w:rPr>
                <w:rFonts w:ascii="仿宋_GB2312" w:hAnsi="仿宋_GB2312" w:eastAsia="仿宋_GB2312" w:cs="仿宋_GB2312"/>
                <w:sz w:val="28"/>
                <w:szCs w:val="28"/>
              </w:rPr>
            </w:pPr>
            <w:r>
              <w:rPr>
                <w:rFonts w:hint="eastAsia" w:ascii="仿宋_GB2312" w:hAnsi="仿宋_GB2312" w:eastAsia="仿宋_GB2312" w:cs="仿宋_GB2312"/>
                <w:sz w:val="28"/>
                <w:szCs w:val="28"/>
              </w:rPr>
              <w:t>安装能防止架体倾斜和倒塌的防倾倒装置</w:t>
            </w:r>
          </w:p>
        </w:tc>
      </w:tr>
      <w:tr w14:paraId="1F304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95" w:hRule="atLeast"/>
        </w:trPr>
        <w:tc>
          <w:tcPr>
            <w:tcW w:w="421" w:type="pct"/>
            <w:vMerge w:val="continue"/>
            <w:tcBorders>
              <w:left w:val="single" w:color="auto" w:sz="4" w:space="0"/>
              <w:bottom w:val="single" w:color="auto" w:sz="4" w:space="0"/>
              <w:right w:val="single" w:color="auto" w:sz="4" w:space="0"/>
            </w:tcBorders>
            <w:vAlign w:val="center"/>
          </w:tcPr>
          <w:p w14:paraId="37D3D9D2">
            <w:pPr>
              <w:pStyle w:val="17"/>
              <w:snapToGrid w:val="0"/>
              <w:spacing w:line="240" w:lineRule="atLeast"/>
            </w:pPr>
          </w:p>
        </w:tc>
        <w:tc>
          <w:tcPr>
            <w:tcW w:w="795" w:type="pct"/>
            <w:tcBorders>
              <w:top w:val="single" w:color="auto" w:sz="4" w:space="0"/>
              <w:left w:val="single" w:color="auto" w:sz="4" w:space="0"/>
              <w:bottom w:val="single" w:color="auto" w:sz="4" w:space="0"/>
              <w:right w:val="single" w:color="auto" w:sz="4" w:space="0"/>
            </w:tcBorders>
            <w:shd w:val="clear" w:color="auto" w:fill="auto"/>
            <w:vAlign w:val="center"/>
          </w:tcPr>
          <w:p w14:paraId="2DC5E0CC">
            <w:pPr>
              <w:pStyle w:val="17"/>
              <w:snapToGrid w:val="0"/>
              <w:spacing w:line="240" w:lineRule="atLeast"/>
              <w:ind w:firstLine="0" w:firstLineChars="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立柱</w:t>
            </w:r>
          </w:p>
        </w:tc>
        <w:tc>
          <w:tcPr>
            <w:tcW w:w="1453" w:type="pct"/>
            <w:tcBorders>
              <w:top w:val="single" w:color="auto" w:sz="4" w:space="0"/>
              <w:left w:val="single" w:color="auto" w:sz="4" w:space="0"/>
              <w:bottom w:val="single" w:color="auto" w:sz="4" w:space="0"/>
              <w:right w:val="single" w:color="auto" w:sz="4" w:space="0"/>
            </w:tcBorders>
            <w:shd w:val="clear" w:color="auto" w:fill="auto"/>
            <w:vAlign w:val="center"/>
          </w:tcPr>
          <w:p w14:paraId="76CE373F">
            <w:pPr>
              <w:pStyle w:val="17"/>
              <w:snapToGrid w:val="0"/>
              <w:spacing w:line="240" w:lineRule="atLeast"/>
              <w:ind w:firstLine="0" w:firstLineChars="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≥1.5mm冷轧钢板</w:t>
            </w:r>
          </w:p>
        </w:tc>
        <w:tc>
          <w:tcPr>
            <w:tcW w:w="821" w:type="pct"/>
            <w:tcBorders>
              <w:top w:val="single" w:color="auto" w:sz="4" w:space="0"/>
              <w:left w:val="single" w:color="auto" w:sz="4" w:space="0"/>
              <w:bottom w:val="single" w:color="auto" w:sz="4" w:space="0"/>
              <w:right w:val="single" w:color="auto" w:sz="4" w:space="0"/>
            </w:tcBorders>
            <w:shd w:val="clear" w:color="auto" w:fill="auto"/>
            <w:vAlign w:val="center"/>
          </w:tcPr>
          <w:p w14:paraId="211461D5">
            <w:pPr>
              <w:pStyle w:val="17"/>
              <w:snapToGrid w:val="0"/>
              <w:spacing w:line="240" w:lineRule="atLeast"/>
              <w:ind w:firstLine="0" w:firstLineChars="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GB/T 13237</w:t>
            </w:r>
          </w:p>
        </w:tc>
        <w:tc>
          <w:tcPr>
            <w:tcW w:w="1509" w:type="pct"/>
            <w:tcBorders>
              <w:top w:val="single" w:color="auto" w:sz="4" w:space="0"/>
              <w:left w:val="single" w:color="auto" w:sz="4" w:space="0"/>
              <w:bottom w:val="single" w:color="auto" w:sz="4" w:space="0"/>
              <w:right w:val="single" w:color="auto" w:sz="4" w:space="0"/>
            </w:tcBorders>
            <w:shd w:val="clear" w:color="auto" w:fill="auto"/>
            <w:vAlign w:val="center"/>
          </w:tcPr>
          <w:p w14:paraId="6E305A55">
            <w:pPr>
              <w:pStyle w:val="17"/>
              <w:snapToGrid w:val="0"/>
              <w:spacing w:line="240" w:lineRule="atLeast"/>
              <w:ind w:firstLine="560"/>
              <w:rPr>
                <w:rFonts w:ascii="仿宋_GB2312" w:hAnsi="仿宋_GB2312" w:eastAsia="仿宋_GB2312" w:cs="仿宋_GB2312"/>
                <w:sz w:val="28"/>
                <w:szCs w:val="28"/>
              </w:rPr>
            </w:pPr>
            <w:r>
              <w:rPr>
                <w:rFonts w:hint="eastAsia" w:ascii="仿宋_GB2312" w:hAnsi="仿宋_GB2312" w:eastAsia="仿宋_GB2312" w:cs="仿宋_GB2312"/>
                <w:sz w:val="28"/>
                <w:szCs w:val="28"/>
              </w:rPr>
              <w:t>结构结实、坚固，设计新颖，通用性强，层数和间距可按需要调整，表面喷塑。</w:t>
            </w:r>
          </w:p>
        </w:tc>
      </w:tr>
      <w:tr w14:paraId="61934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421" w:type="pct"/>
            <w:vMerge w:val="continue"/>
            <w:tcBorders>
              <w:top w:val="single" w:color="auto" w:sz="4" w:space="0"/>
              <w:left w:val="single" w:color="auto" w:sz="4" w:space="0"/>
              <w:bottom w:val="single" w:color="auto" w:sz="4" w:space="0"/>
              <w:right w:val="single" w:color="auto" w:sz="4" w:space="0"/>
            </w:tcBorders>
            <w:vAlign w:val="center"/>
          </w:tcPr>
          <w:p w14:paraId="267EE59F">
            <w:pPr>
              <w:pStyle w:val="17"/>
              <w:snapToGrid w:val="0"/>
              <w:spacing w:line="240" w:lineRule="atLeast"/>
              <w:ind w:left="5" w:leftChars="-7" w:hanging="20" w:hangingChars="7"/>
              <w:jc w:val="left"/>
              <w:rPr>
                <w:rFonts w:ascii="仿宋_GB2312" w:hAnsi="仿宋_GB2312" w:eastAsia="仿宋_GB2312" w:cs="仿宋_GB2312"/>
                <w:b/>
                <w:bCs/>
                <w:sz w:val="28"/>
                <w:szCs w:val="28"/>
              </w:rPr>
            </w:pPr>
          </w:p>
        </w:tc>
        <w:tc>
          <w:tcPr>
            <w:tcW w:w="795" w:type="pct"/>
            <w:tcBorders>
              <w:top w:val="single" w:color="auto" w:sz="4" w:space="0"/>
              <w:left w:val="single" w:color="auto" w:sz="4" w:space="0"/>
              <w:bottom w:val="single" w:color="auto" w:sz="4" w:space="0"/>
              <w:right w:val="single" w:color="auto" w:sz="4" w:space="0"/>
            </w:tcBorders>
            <w:vAlign w:val="center"/>
          </w:tcPr>
          <w:p w14:paraId="16D02A60">
            <w:pPr>
              <w:pStyle w:val="17"/>
              <w:snapToGrid w:val="0"/>
              <w:spacing w:line="240" w:lineRule="atLeast"/>
              <w:ind w:firstLine="0" w:firstLineChars="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搁板</w:t>
            </w:r>
          </w:p>
        </w:tc>
        <w:tc>
          <w:tcPr>
            <w:tcW w:w="1453" w:type="pct"/>
            <w:tcBorders>
              <w:top w:val="single" w:color="auto" w:sz="4" w:space="0"/>
              <w:left w:val="single" w:color="auto" w:sz="4" w:space="0"/>
              <w:bottom w:val="single" w:color="auto" w:sz="4" w:space="0"/>
              <w:right w:val="single" w:color="auto" w:sz="4" w:space="0"/>
            </w:tcBorders>
            <w:vAlign w:val="center"/>
          </w:tcPr>
          <w:p w14:paraId="2164392E">
            <w:pPr>
              <w:pStyle w:val="17"/>
              <w:snapToGrid w:val="0"/>
              <w:spacing w:line="240" w:lineRule="atLeast"/>
              <w:ind w:firstLine="0" w:firstLineChars="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≥1.2mm冷轧钢板</w:t>
            </w:r>
          </w:p>
        </w:tc>
        <w:tc>
          <w:tcPr>
            <w:tcW w:w="821" w:type="pct"/>
            <w:tcBorders>
              <w:top w:val="single" w:color="auto" w:sz="4" w:space="0"/>
              <w:left w:val="single" w:color="auto" w:sz="4" w:space="0"/>
              <w:bottom w:val="single" w:color="auto" w:sz="4" w:space="0"/>
              <w:right w:val="single" w:color="auto" w:sz="4" w:space="0"/>
            </w:tcBorders>
            <w:vAlign w:val="center"/>
          </w:tcPr>
          <w:p w14:paraId="17817B8B">
            <w:pPr>
              <w:pStyle w:val="17"/>
              <w:snapToGrid w:val="0"/>
              <w:spacing w:line="240" w:lineRule="atLeast"/>
              <w:ind w:firstLine="0" w:firstLineChars="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GB/T 13237</w:t>
            </w:r>
          </w:p>
        </w:tc>
        <w:tc>
          <w:tcPr>
            <w:tcW w:w="1509" w:type="pct"/>
            <w:tcBorders>
              <w:top w:val="single" w:color="auto" w:sz="4" w:space="0"/>
              <w:left w:val="single" w:color="auto" w:sz="4" w:space="0"/>
              <w:bottom w:val="single" w:color="auto" w:sz="4" w:space="0"/>
              <w:right w:val="single" w:color="auto" w:sz="4" w:space="0"/>
            </w:tcBorders>
            <w:vAlign w:val="center"/>
          </w:tcPr>
          <w:p w14:paraId="5EA58F3C">
            <w:pPr>
              <w:pStyle w:val="17"/>
              <w:snapToGrid w:val="0"/>
              <w:spacing w:line="240" w:lineRule="atLeast"/>
              <w:ind w:firstLine="560"/>
              <w:rPr>
                <w:rFonts w:ascii="仿宋_GB2312" w:hAnsi="仿宋_GB2312" w:eastAsia="仿宋_GB2312" w:cs="仿宋_GB2312"/>
                <w:sz w:val="28"/>
                <w:szCs w:val="28"/>
              </w:rPr>
            </w:pPr>
            <w:r>
              <w:rPr>
                <w:rFonts w:hint="eastAsia" w:ascii="仿宋_GB2312" w:hAnsi="仿宋_GB2312" w:eastAsia="仿宋_GB2312" w:cs="仿宋_GB2312"/>
                <w:sz w:val="28"/>
                <w:szCs w:val="28"/>
              </w:rPr>
              <w:t>层板均匀承重标准为80公斤。每块搁板都具有防惯性掉落结构，平面上压≥R4双筋加强。</w:t>
            </w:r>
          </w:p>
        </w:tc>
      </w:tr>
      <w:tr w14:paraId="5D75CF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421" w:type="pct"/>
            <w:vMerge w:val="continue"/>
            <w:tcBorders>
              <w:top w:val="single" w:color="auto" w:sz="4" w:space="0"/>
              <w:left w:val="single" w:color="auto" w:sz="4" w:space="0"/>
              <w:bottom w:val="single" w:color="auto" w:sz="4" w:space="0"/>
              <w:right w:val="single" w:color="auto" w:sz="4" w:space="0"/>
            </w:tcBorders>
            <w:vAlign w:val="center"/>
          </w:tcPr>
          <w:p w14:paraId="21B6378C">
            <w:pPr>
              <w:pStyle w:val="17"/>
              <w:snapToGrid w:val="0"/>
              <w:spacing w:line="240" w:lineRule="atLeast"/>
              <w:ind w:left="5" w:leftChars="-7" w:hanging="20" w:hangingChars="7"/>
              <w:jc w:val="left"/>
              <w:rPr>
                <w:rFonts w:ascii="仿宋_GB2312" w:hAnsi="仿宋_GB2312" w:eastAsia="仿宋_GB2312" w:cs="仿宋_GB2312"/>
                <w:b/>
                <w:bCs/>
                <w:sz w:val="28"/>
                <w:szCs w:val="28"/>
              </w:rPr>
            </w:pPr>
          </w:p>
        </w:tc>
        <w:tc>
          <w:tcPr>
            <w:tcW w:w="795" w:type="pct"/>
            <w:tcBorders>
              <w:top w:val="single" w:color="auto" w:sz="4" w:space="0"/>
              <w:left w:val="single" w:color="auto" w:sz="4" w:space="0"/>
              <w:bottom w:val="single" w:color="auto" w:sz="4" w:space="0"/>
              <w:right w:val="single" w:color="auto" w:sz="4" w:space="0"/>
            </w:tcBorders>
            <w:vAlign w:val="center"/>
          </w:tcPr>
          <w:p w14:paraId="42232317">
            <w:pPr>
              <w:pStyle w:val="17"/>
              <w:snapToGrid w:val="0"/>
              <w:spacing w:line="240" w:lineRule="atLeast"/>
              <w:ind w:firstLine="0" w:firstLineChars="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挂板</w:t>
            </w:r>
          </w:p>
        </w:tc>
        <w:tc>
          <w:tcPr>
            <w:tcW w:w="1453" w:type="pct"/>
            <w:tcBorders>
              <w:top w:val="single" w:color="auto" w:sz="4" w:space="0"/>
              <w:left w:val="single" w:color="auto" w:sz="4" w:space="0"/>
              <w:bottom w:val="single" w:color="auto" w:sz="4" w:space="0"/>
              <w:right w:val="single" w:color="auto" w:sz="4" w:space="0"/>
            </w:tcBorders>
            <w:vAlign w:val="center"/>
          </w:tcPr>
          <w:p w14:paraId="10167F0C">
            <w:pPr>
              <w:pStyle w:val="17"/>
              <w:snapToGrid w:val="0"/>
              <w:spacing w:line="240" w:lineRule="atLeast"/>
              <w:ind w:firstLine="0" w:firstLineChars="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≥1.2mm冷轧钢板</w:t>
            </w:r>
          </w:p>
        </w:tc>
        <w:tc>
          <w:tcPr>
            <w:tcW w:w="821" w:type="pct"/>
            <w:tcBorders>
              <w:top w:val="single" w:color="auto" w:sz="4" w:space="0"/>
              <w:left w:val="single" w:color="auto" w:sz="4" w:space="0"/>
              <w:bottom w:val="single" w:color="auto" w:sz="4" w:space="0"/>
              <w:right w:val="single" w:color="auto" w:sz="4" w:space="0"/>
            </w:tcBorders>
            <w:vAlign w:val="center"/>
          </w:tcPr>
          <w:p w14:paraId="27A09D5D">
            <w:pPr>
              <w:pStyle w:val="17"/>
              <w:snapToGrid w:val="0"/>
              <w:spacing w:line="240" w:lineRule="atLeast"/>
              <w:ind w:firstLine="0" w:firstLineChars="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GB/T 13237</w:t>
            </w:r>
          </w:p>
        </w:tc>
        <w:tc>
          <w:tcPr>
            <w:tcW w:w="1509" w:type="pct"/>
            <w:tcBorders>
              <w:top w:val="single" w:color="auto" w:sz="4" w:space="0"/>
              <w:left w:val="single" w:color="auto" w:sz="4" w:space="0"/>
              <w:bottom w:val="single" w:color="auto" w:sz="4" w:space="0"/>
              <w:right w:val="single" w:color="auto" w:sz="4" w:space="0"/>
            </w:tcBorders>
            <w:vAlign w:val="center"/>
          </w:tcPr>
          <w:p w14:paraId="642C50F1">
            <w:pPr>
              <w:pStyle w:val="17"/>
              <w:snapToGrid w:val="0"/>
              <w:spacing w:line="240" w:lineRule="atLeast"/>
              <w:ind w:firstLine="560"/>
              <w:rPr>
                <w:rFonts w:ascii="仿宋_GB2312" w:hAnsi="仿宋_GB2312" w:eastAsia="仿宋_GB2312" w:cs="仿宋_GB2312"/>
                <w:sz w:val="28"/>
                <w:szCs w:val="28"/>
              </w:rPr>
            </w:pPr>
            <w:r>
              <w:rPr>
                <w:rFonts w:hint="eastAsia" w:ascii="仿宋_GB2312" w:hAnsi="仿宋_GB2312" w:eastAsia="仿宋_GB2312" w:cs="仿宋_GB2312"/>
                <w:sz w:val="28"/>
                <w:szCs w:val="28"/>
              </w:rPr>
              <w:t>防止搁板前后窜动，通用性、互换性好，承重刚性好，表面喷塑。</w:t>
            </w:r>
          </w:p>
        </w:tc>
      </w:tr>
      <w:tr w14:paraId="1DB983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421" w:type="pct"/>
            <w:vMerge w:val="continue"/>
            <w:tcBorders>
              <w:top w:val="single" w:color="auto" w:sz="4" w:space="0"/>
              <w:left w:val="single" w:color="auto" w:sz="4" w:space="0"/>
              <w:bottom w:val="single" w:color="auto" w:sz="4" w:space="0"/>
              <w:right w:val="single" w:color="auto" w:sz="4" w:space="0"/>
            </w:tcBorders>
            <w:vAlign w:val="center"/>
          </w:tcPr>
          <w:p w14:paraId="08D6838F">
            <w:pPr>
              <w:pStyle w:val="17"/>
              <w:snapToGrid w:val="0"/>
              <w:spacing w:line="240" w:lineRule="atLeast"/>
              <w:ind w:left="5" w:leftChars="-7" w:hanging="20" w:hangingChars="7"/>
              <w:jc w:val="left"/>
              <w:rPr>
                <w:rFonts w:ascii="仿宋_GB2312" w:hAnsi="仿宋_GB2312" w:eastAsia="仿宋_GB2312" w:cs="仿宋_GB2312"/>
                <w:b/>
                <w:bCs/>
                <w:sz w:val="28"/>
                <w:szCs w:val="28"/>
              </w:rPr>
            </w:pPr>
          </w:p>
        </w:tc>
        <w:tc>
          <w:tcPr>
            <w:tcW w:w="795" w:type="pct"/>
            <w:tcBorders>
              <w:top w:val="single" w:color="auto" w:sz="4" w:space="0"/>
              <w:left w:val="single" w:color="auto" w:sz="4" w:space="0"/>
              <w:bottom w:val="single" w:color="auto" w:sz="4" w:space="0"/>
              <w:right w:val="single" w:color="auto" w:sz="4" w:space="0"/>
            </w:tcBorders>
            <w:vAlign w:val="center"/>
          </w:tcPr>
          <w:p w14:paraId="790D4C96">
            <w:pPr>
              <w:pStyle w:val="17"/>
              <w:snapToGrid w:val="0"/>
              <w:spacing w:line="240" w:lineRule="atLeast"/>
              <w:ind w:firstLine="0" w:firstLineChars="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分隔棒</w:t>
            </w:r>
          </w:p>
        </w:tc>
        <w:tc>
          <w:tcPr>
            <w:tcW w:w="1453" w:type="pct"/>
            <w:tcBorders>
              <w:top w:val="single" w:color="auto" w:sz="4" w:space="0"/>
              <w:left w:val="single" w:color="auto" w:sz="4" w:space="0"/>
              <w:bottom w:val="single" w:color="auto" w:sz="4" w:space="0"/>
              <w:right w:val="single" w:color="auto" w:sz="4" w:space="0"/>
            </w:tcBorders>
            <w:vAlign w:val="center"/>
          </w:tcPr>
          <w:p w14:paraId="6679C656">
            <w:pPr>
              <w:pStyle w:val="17"/>
              <w:snapToGrid w:val="0"/>
              <w:spacing w:line="240" w:lineRule="atLeast"/>
              <w:ind w:firstLine="0" w:firstLineChars="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≥1.0mm冷轧钢板</w:t>
            </w:r>
          </w:p>
        </w:tc>
        <w:tc>
          <w:tcPr>
            <w:tcW w:w="821" w:type="pct"/>
            <w:tcBorders>
              <w:top w:val="single" w:color="auto" w:sz="4" w:space="0"/>
              <w:left w:val="single" w:color="auto" w:sz="4" w:space="0"/>
              <w:bottom w:val="single" w:color="auto" w:sz="4" w:space="0"/>
              <w:right w:val="single" w:color="auto" w:sz="4" w:space="0"/>
            </w:tcBorders>
            <w:vAlign w:val="center"/>
          </w:tcPr>
          <w:p w14:paraId="76773B1D">
            <w:pPr>
              <w:pStyle w:val="17"/>
              <w:snapToGrid w:val="0"/>
              <w:spacing w:line="240" w:lineRule="atLeast"/>
              <w:ind w:firstLine="0" w:firstLineChars="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GB/T 13237</w:t>
            </w:r>
          </w:p>
        </w:tc>
        <w:tc>
          <w:tcPr>
            <w:tcW w:w="1509" w:type="pct"/>
            <w:tcBorders>
              <w:top w:val="single" w:color="auto" w:sz="4" w:space="0"/>
              <w:left w:val="single" w:color="auto" w:sz="4" w:space="0"/>
              <w:bottom w:val="single" w:color="auto" w:sz="4" w:space="0"/>
              <w:right w:val="single" w:color="auto" w:sz="4" w:space="0"/>
            </w:tcBorders>
            <w:vAlign w:val="center"/>
          </w:tcPr>
          <w:p w14:paraId="492C2409">
            <w:pPr>
              <w:pStyle w:val="17"/>
              <w:snapToGrid w:val="0"/>
              <w:spacing w:line="240" w:lineRule="atLeast"/>
              <w:ind w:firstLine="560"/>
              <w:rPr>
                <w:rFonts w:ascii="仿宋_GB2312" w:hAnsi="仿宋_GB2312" w:eastAsia="仿宋_GB2312" w:cs="仿宋_GB2312"/>
                <w:sz w:val="28"/>
                <w:szCs w:val="28"/>
              </w:rPr>
            </w:pPr>
            <w:r>
              <w:rPr>
                <w:rFonts w:hint="eastAsia" w:ascii="仿宋_GB2312" w:hAnsi="仿宋_GB2312" w:eastAsia="仿宋_GB2312" w:cs="仿宋_GB2312"/>
                <w:sz w:val="28"/>
                <w:szCs w:val="28"/>
              </w:rPr>
              <w:t>防止档案盒和文件、资料、档案窜动位置。</w:t>
            </w:r>
          </w:p>
        </w:tc>
      </w:tr>
      <w:tr w14:paraId="74355A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421" w:type="pct"/>
            <w:vMerge w:val="restart"/>
            <w:tcBorders>
              <w:top w:val="single" w:color="auto" w:sz="4" w:space="0"/>
              <w:left w:val="single" w:color="auto" w:sz="4" w:space="0"/>
              <w:bottom w:val="single" w:color="auto" w:sz="4" w:space="0"/>
              <w:right w:val="single" w:color="auto" w:sz="4" w:space="0"/>
            </w:tcBorders>
            <w:vAlign w:val="center"/>
          </w:tcPr>
          <w:p w14:paraId="4F3D7818">
            <w:pPr>
              <w:pStyle w:val="17"/>
              <w:snapToGrid w:val="0"/>
              <w:spacing w:line="240" w:lineRule="atLeast"/>
              <w:ind w:left="4" w:leftChars="-7" w:hanging="19" w:hangingChars="7"/>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门面</w:t>
            </w:r>
          </w:p>
        </w:tc>
        <w:tc>
          <w:tcPr>
            <w:tcW w:w="795" w:type="pct"/>
            <w:tcBorders>
              <w:top w:val="single" w:color="auto" w:sz="4" w:space="0"/>
              <w:left w:val="single" w:color="auto" w:sz="4" w:space="0"/>
              <w:bottom w:val="single" w:color="auto" w:sz="4" w:space="0"/>
              <w:right w:val="single" w:color="auto" w:sz="4" w:space="0"/>
            </w:tcBorders>
            <w:vAlign w:val="center"/>
          </w:tcPr>
          <w:p w14:paraId="122B039E">
            <w:pPr>
              <w:pStyle w:val="17"/>
              <w:snapToGrid w:val="0"/>
              <w:spacing w:line="240" w:lineRule="atLeast"/>
              <w:ind w:firstLine="0" w:firstLineChars="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门框</w:t>
            </w:r>
          </w:p>
        </w:tc>
        <w:tc>
          <w:tcPr>
            <w:tcW w:w="1453" w:type="pct"/>
            <w:tcBorders>
              <w:top w:val="single" w:color="auto" w:sz="4" w:space="0"/>
              <w:left w:val="single" w:color="auto" w:sz="4" w:space="0"/>
              <w:bottom w:val="single" w:color="auto" w:sz="4" w:space="0"/>
              <w:right w:val="single" w:color="auto" w:sz="4" w:space="0"/>
            </w:tcBorders>
            <w:vAlign w:val="center"/>
          </w:tcPr>
          <w:p w14:paraId="5B18A7B0">
            <w:pPr>
              <w:pStyle w:val="17"/>
              <w:snapToGrid w:val="0"/>
              <w:spacing w:line="240" w:lineRule="atLeast"/>
              <w:ind w:firstLine="0" w:firstLineChars="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≥1.0mm冷轧钢板</w:t>
            </w:r>
          </w:p>
        </w:tc>
        <w:tc>
          <w:tcPr>
            <w:tcW w:w="821" w:type="pct"/>
            <w:tcBorders>
              <w:top w:val="single" w:color="auto" w:sz="4" w:space="0"/>
              <w:left w:val="single" w:color="auto" w:sz="4" w:space="0"/>
              <w:bottom w:val="single" w:color="auto" w:sz="4" w:space="0"/>
              <w:right w:val="single" w:color="auto" w:sz="4" w:space="0"/>
            </w:tcBorders>
            <w:vAlign w:val="center"/>
          </w:tcPr>
          <w:p w14:paraId="24F542D8">
            <w:pPr>
              <w:pStyle w:val="17"/>
              <w:snapToGrid w:val="0"/>
              <w:spacing w:line="240" w:lineRule="atLeast"/>
              <w:ind w:firstLine="0" w:firstLineChars="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GB/T 13237</w:t>
            </w:r>
          </w:p>
        </w:tc>
        <w:tc>
          <w:tcPr>
            <w:tcW w:w="1509" w:type="pct"/>
            <w:tcBorders>
              <w:top w:val="single" w:color="auto" w:sz="4" w:space="0"/>
              <w:left w:val="single" w:color="auto" w:sz="4" w:space="0"/>
              <w:bottom w:val="single" w:color="auto" w:sz="4" w:space="0"/>
              <w:right w:val="single" w:color="auto" w:sz="4" w:space="0"/>
            </w:tcBorders>
            <w:vAlign w:val="center"/>
          </w:tcPr>
          <w:p w14:paraId="45D7AFDF">
            <w:pPr>
              <w:pStyle w:val="17"/>
              <w:snapToGrid w:val="0"/>
              <w:spacing w:line="240" w:lineRule="atLeast"/>
              <w:ind w:firstLine="560"/>
              <w:rPr>
                <w:rFonts w:ascii="仿宋_GB2312" w:hAnsi="仿宋_GB2312" w:eastAsia="仿宋_GB2312" w:cs="仿宋_GB2312"/>
                <w:sz w:val="28"/>
                <w:szCs w:val="28"/>
              </w:rPr>
            </w:pPr>
            <w:r>
              <w:rPr>
                <w:rFonts w:hint="eastAsia" w:ascii="仿宋_GB2312" w:hAnsi="仿宋_GB2312" w:eastAsia="仿宋_GB2312" w:cs="仿宋_GB2312"/>
                <w:sz w:val="28"/>
                <w:szCs w:val="28"/>
              </w:rPr>
              <w:t>用于门板的安装和分隔，并折边成门挡。</w:t>
            </w:r>
          </w:p>
        </w:tc>
      </w:tr>
      <w:tr w14:paraId="37370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421" w:type="pct"/>
            <w:vMerge w:val="continue"/>
            <w:tcBorders>
              <w:top w:val="single" w:color="auto" w:sz="4" w:space="0"/>
              <w:left w:val="single" w:color="auto" w:sz="4" w:space="0"/>
              <w:bottom w:val="single" w:color="auto" w:sz="4" w:space="0"/>
              <w:right w:val="single" w:color="auto" w:sz="4" w:space="0"/>
            </w:tcBorders>
            <w:vAlign w:val="center"/>
          </w:tcPr>
          <w:p w14:paraId="407EB174">
            <w:pPr>
              <w:pStyle w:val="17"/>
              <w:snapToGrid w:val="0"/>
              <w:spacing w:line="240" w:lineRule="atLeast"/>
              <w:ind w:left="5" w:leftChars="-7" w:hanging="20" w:hangingChars="7"/>
              <w:jc w:val="left"/>
              <w:rPr>
                <w:rFonts w:ascii="仿宋_GB2312" w:hAnsi="仿宋_GB2312" w:eastAsia="仿宋_GB2312" w:cs="仿宋_GB2312"/>
                <w:b/>
                <w:bCs/>
                <w:sz w:val="28"/>
                <w:szCs w:val="28"/>
              </w:rPr>
            </w:pPr>
          </w:p>
        </w:tc>
        <w:tc>
          <w:tcPr>
            <w:tcW w:w="795" w:type="pct"/>
            <w:tcBorders>
              <w:top w:val="single" w:color="auto" w:sz="4" w:space="0"/>
              <w:left w:val="single" w:color="auto" w:sz="4" w:space="0"/>
              <w:bottom w:val="single" w:color="auto" w:sz="4" w:space="0"/>
              <w:right w:val="single" w:color="auto" w:sz="4" w:space="0"/>
            </w:tcBorders>
            <w:vAlign w:val="center"/>
          </w:tcPr>
          <w:p w14:paraId="2403786B">
            <w:pPr>
              <w:pStyle w:val="17"/>
              <w:snapToGrid w:val="0"/>
              <w:spacing w:line="240" w:lineRule="atLeast"/>
              <w:ind w:firstLine="0" w:firstLineChars="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门板</w:t>
            </w:r>
          </w:p>
        </w:tc>
        <w:tc>
          <w:tcPr>
            <w:tcW w:w="1453" w:type="pct"/>
            <w:tcBorders>
              <w:top w:val="single" w:color="auto" w:sz="4" w:space="0"/>
              <w:left w:val="single" w:color="auto" w:sz="4" w:space="0"/>
              <w:bottom w:val="single" w:color="auto" w:sz="4" w:space="0"/>
              <w:right w:val="single" w:color="auto" w:sz="4" w:space="0"/>
            </w:tcBorders>
            <w:vAlign w:val="center"/>
          </w:tcPr>
          <w:p w14:paraId="0247D64A">
            <w:pPr>
              <w:pStyle w:val="17"/>
              <w:snapToGrid w:val="0"/>
              <w:spacing w:line="240" w:lineRule="atLeast"/>
              <w:ind w:firstLine="0" w:firstLineChars="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≥1.0mm冷轧钢板</w:t>
            </w:r>
          </w:p>
        </w:tc>
        <w:tc>
          <w:tcPr>
            <w:tcW w:w="821" w:type="pct"/>
            <w:tcBorders>
              <w:top w:val="single" w:color="auto" w:sz="4" w:space="0"/>
              <w:left w:val="single" w:color="auto" w:sz="4" w:space="0"/>
              <w:bottom w:val="single" w:color="auto" w:sz="4" w:space="0"/>
              <w:right w:val="single" w:color="auto" w:sz="4" w:space="0"/>
            </w:tcBorders>
            <w:vAlign w:val="center"/>
          </w:tcPr>
          <w:p w14:paraId="17299A65">
            <w:pPr>
              <w:pStyle w:val="17"/>
              <w:snapToGrid w:val="0"/>
              <w:spacing w:line="240" w:lineRule="atLeast"/>
              <w:ind w:firstLine="0" w:firstLineChars="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GB/T 13237</w:t>
            </w:r>
          </w:p>
        </w:tc>
        <w:tc>
          <w:tcPr>
            <w:tcW w:w="1509" w:type="pct"/>
            <w:tcBorders>
              <w:top w:val="single" w:color="auto" w:sz="4" w:space="0"/>
              <w:left w:val="single" w:color="auto" w:sz="4" w:space="0"/>
              <w:bottom w:val="single" w:color="auto" w:sz="4" w:space="0"/>
              <w:right w:val="single" w:color="auto" w:sz="4" w:space="0"/>
            </w:tcBorders>
            <w:vAlign w:val="center"/>
          </w:tcPr>
          <w:p w14:paraId="32C125F1">
            <w:pPr>
              <w:pStyle w:val="17"/>
              <w:snapToGrid w:val="0"/>
              <w:spacing w:line="240" w:lineRule="atLeast"/>
              <w:ind w:firstLine="560"/>
              <w:rPr>
                <w:rFonts w:ascii="仿宋_GB2312" w:hAnsi="仿宋_GB2312" w:eastAsia="仿宋_GB2312" w:cs="仿宋_GB2312"/>
                <w:sz w:val="28"/>
                <w:szCs w:val="28"/>
              </w:rPr>
            </w:pPr>
            <w:r>
              <w:rPr>
                <w:rFonts w:hint="eastAsia" w:ascii="仿宋_GB2312" w:hAnsi="仿宋_GB2312" w:eastAsia="仿宋_GB2312" w:cs="仿宋_GB2312"/>
                <w:sz w:val="28"/>
                <w:szCs w:val="28"/>
              </w:rPr>
              <w:t>门板平整，门把手/锁一体，开关方便，表面喷塑。</w:t>
            </w:r>
          </w:p>
        </w:tc>
      </w:tr>
      <w:tr w14:paraId="1624CF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421" w:type="pct"/>
            <w:tcBorders>
              <w:top w:val="single" w:color="auto" w:sz="4" w:space="0"/>
              <w:left w:val="single" w:color="auto" w:sz="4" w:space="0"/>
              <w:right w:val="single" w:color="auto" w:sz="4" w:space="0"/>
            </w:tcBorders>
            <w:vAlign w:val="center"/>
          </w:tcPr>
          <w:p w14:paraId="3F3A3BFE">
            <w:pPr>
              <w:pStyle w:val="17"/>
              <w:snapToGrid w:val="0"/>
              <w:spacing w:line="240" w:lineRule="atLeast"/>
              <w:ind w:left="4" w:leftChars="-7" w:hanging="19" w:hangingChars="7"/>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侧面板</w:t>
            </w:r>
          </w:p>
        </w:tc>
        <w:tc>
          <w:tcPr>
            <w:tcW w:w="795" w:type="pct"/>
            <w:tcBorders>
              <w:top w:val="single" w:color="auto" w:sz="4" w:space="0"/>
              <w:left w:val="single" w:color="auto" w:sz="4" w:space="0"/>
              <w:bottom w:val="single" w:color="auto" w:sz="4" w:space="0"/>
              <w:right w:val="single" w:color="auto" w:sz="4" w:space="0"/>
            </w:tcBorders>
            <w:vAlign w:val="center"/>
          </w:tcPr>
          <w:p w14:paraId="208A7D44">
            <w:pPr>
              <w:pStyle w:val="17"/>
              <w:snapToGrid w:val="0"/>
              <w:spacing w:line="240" w:lineRule="atLeast"/>
              <w:ind w:firstLine="0" w:firstLineChars="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侧面板</w:t>
            </w:r>
          </w:p>
        </w:tc>
        <w:tc>
          <w:tcPr>
            <w:tcW w:w="1453" w:type="pct"/>
            <w:tcBorders>
              <w:top w:val="single" w:color="auto" w:sz="4" w:space="0"/>
              <w:left w:val="single" w:color="auto" w:sz="4" w:space="0"/>
              <w:bottom w:val="single" w:color="auto" w:sz="4" w:space="0"/>
              <w:right w:val="single" w:color="auto" w:sz="4" w:space="0"/>
            </w:tcBorders>
            <w:vAlign w:val="center"/>
          </w:tcPr>
          <w:p w14:paraId="678CE76C">
            <w:pPr>
              <w:pStyle w:val="17"/>
              <w:snapToGrid w:val="0"/>
              <w:spacing w:line="240" w:lineRule="atLeast"/>
              <w:ind w:firstLine="0" w:firstLineChars="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≥1.0mm冷轧钢板</w:t>
            </w:r>
          </w:p>
        </w:tc>
        <w:tc>
          <w:tcPr>
            <w:tcW w:w="821" w:type="pct"/>
            <w:tcBorders>
              <w:top w:val="single" w:color="auto" w:sz="4" w:space="0"/>
              <w:left w:val="single" w:color="auto" w:sz="4" w:space="0"/>
              <w:bottom w:val="single" w:color="auto" w:sz="4" w:space="0"/>
              <w:right w:val="single" w:color="auto" w:sz="4" w:space="0"/>
            </w:tcBorders>
            <w:vAlign w:val="center"/>
          </w:tcPr>
          <w:p w14:paraId="00B04101">
            <w:pPr>
              <w:pStyle w:val="17"/>
              <w:snapToGrid w:val="0"/>
              <w:spacing w:line="240" w:lineRule="atLeast"/>
              <w:ind w:firstLine="0" w:firstLineChars="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GB/T 13237</w:t>
            </w:r>
          </w:p>
        </w:tc>
        <w:tc>
          <w:tcPr>
            <w:tcW w:w="1509" w:type="pct"/>
            <w:tcBorders>
              <w:top w:val="single" w:color="auto" w:sz="4" w:space="0"/>
              <w:left w:val="single" w:color="auto" w:sz="4" w:space="0"/>
              <w:bottom w:val="single" w:color="auto" w:sz="4" w:space="0"/>
              <w:right w:val="single" w:color="auto" w:sz="4" w:space="0"/>
            </w:tcBorders>
            <w:vAlign w:val="center"/>
          </w:tcPr>
          <w:p w14:paraId="18831321">
            <w:pPr>
              <w:pStyle w:val="17"/>
              <w:snapToGrid w:val="0"/>
              <w:spacing w:line="240" w:lineRule="atLeast"/>
              <w:ind w:firstLine="560"/>
              <w:rPr>
                <w:rFonts w:ascii="仿宋_GB2312" w:hAnsi="仿宋_GB2312" w:eastAsia="仿宋_GB2312" w:cs="仿宋_GB2312"/>
                <w:sz w:val="28"/>
                <w:szCs w:val="28"/>
              </w:rPr>
            </w:pPr>
            <w:r>
              <w:rPr>
                <w:rFonts w:hint="eastAsia" w:ascii="仿宋_GB2312" w:hAnsi="仿宋_GB2312" w:eastAsia="仿宋_GB2312" w:cs="仿宋_GB2312"/>
                <w:sz w:val="28"/>
                <w:szCs w:val="28"/>
              </w:rPr>
              <w:t>采用上、</w:t>
            </w:r>
            <w:r>
              <w:rPr>
                <w:rFonts w:hint="eastAsia" w:ascii="仿宋_GB2312" w:hAnsi="仿宋_GB2312" w:eastAsia="仿宋_GB2312" w:cs="仿宋_GB2312"/>
                <w:sz w:val="28"/>
                <w:szCs w:val="28"/>
                <w:lang w:eastAsia="zh-CN"/>
              </w:rPr>
              <w:t>中、</w:t>
            </w:r>
            <w:r>
              <w:rPr>
                <w:rFonts w:hint="eastAsia" w:ascii="仿宋_GB2312" w:hAnsi="仿宋_GB2312" w:eastAsia="仿宋_GB2312" w:cs="仿宋_GB2312"/>
                <w:sz w:val="28"/>
                <w:szCs w:val="28"/>
              </w:rPr>
              <w:t>下</w:t>
            </w:r>
            <w:r>
              <w:rPr>
                <w:rFonts w:hint="eastAsia" w:ascii="仿宋_GB2312" w:hAnsi="仿宋_GB2312" w:eastAsia="仿宋_GB2312" w:cs="仿宋_GB2312"/>
                <w:sz w:val="28"/>
                <w:szCs w:val="28"/>
                <w:lang w:eastAsia="zh-CN"/>
              </w:rPr>
              <w:t>三</w:t>
            </w:r>
            <w:r>
              <w:rPr>
                <w:rFonts w:hint="eastAsia" w:ascii="仿宋_GB2312" w:hAnsi="仿宋_GB2312" w:eastAsia="仿宋_GB2312" w:cs="仿宋_GB2312"/>
                <w:sz w:val="28"/>
                <w:szCs w:val="28"/>
              </w:rPr>
              <w:t>段式，表面平整，表面哑光喷塑。</w:t>
            </w:r>
          </w:p>
        </w:tc>
      </w:tr>
      <w:tr w14:paraId="750E13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421" w:type="pct"/>
            <w:vMerge w:val="restart"/>
            <w:tcBorders>
              <w:top w:val="single" w:color="auto" w:sz="4" w:space="0"/>
              <w:left w:val="single" w:color="auto" w:sz="4" w:space="0"/>
              <w:bottom w:val="single" w:color="auto" w:sz="4" w:space="0"/>
              <w:right w:val="single" w:color="auto" w:sz="4" w:space="0"/>
            </w:tcBorders>
            <w:vAlign w:val="center"/>
          </w:tcPr>
          <w:p w14:paraId="5CE90368">
            <w:pPr>
              <w:pStyle w:val="17"/>
              <w:snapToGrid w:val="0"/>
              <w:spacing w:line="240" w:lineRule="atLeast"/>
              <w:ind w:firstLine="0" w:firstLineChars="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表面</w:t>
            </w:r>
          </w:p>
          <w:p w14:paraId="27B18E38">
            <w:pPr>
              <w:pStyle w:val="17"/>
              <w:snapToGrid w:val="0"/>
              <w:spacing w:line="240" w:lineRule="atLeast"/>
              <w:ind w:firstLine="0" w:firstLineChars="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处理</w:t>
            </w:r>
          </w:p>
        </w:tc>
        <w:tc>
          <w:tcPr>
            <w:tcW w:w="795" w:type="pct"/>
            <w:tcBorders>
              <w:top w:val="single" w:color="auto" w:sz="4" w:space="0"/>
              <w:left w:val="single" w:color="auto" w:sz="4" w:space="0"/>
              <w:bottom w:val="single" w:color="auto" w:sz="4" w:space="0"/>
              <w:right w:val="single" w:color="auto" w:sz="4" w:space="0"/>
            </w:tcBorders>
            <w:vAlign w:val="center"/>
          </w:tcPr>
          <w:p w14:paraId="028E34B4">
            <w:pPr>
              <w:pStyle w:val="17"/>
              <w:snapToGrid w:val="0"/>
              <w:spacing w:line="240" w:lineRule="atLeast"/>
              <w:ind w:firstLine="0" w:firstLineChars="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前处理药剂</w:t>
            </w:r>
          </w:p>
        </w:tc>
        <w:tc>
          <w:tcPr>
            <w:tcW w:w="1453" w:type="pct"/>
            <w:tcBorders>
              <w:top w:val="single" w:color="auto" w:sz="4" w:space="0"/>
              <w:left w:val="single" w:color="auto" w:sz="4" w:space="0"/>
              <w:bottom w:val="single" w:color="auto" w:sz="4" w:space="0"/>
              <w:right w:val="single" w:color="auto" w:sz="4" w:space="0"/>
            </w:tcBorders>
            <w:vAlign w:val="center"/>
          </w:tcPr>
          <w:p w14:paraId="7B5173B5">
            <w:pPr>
              <w:pStyle w:val="17"/>
              <w:snapToGrid w:val="0"/>
              <w:spacing w:line="240" w:lineRule="atLeast"/>
              <w:ind w:firstLine="0" w:firstLineChars="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脱脂剂、中和液、环保型硅烷系皮膜</w:t>
            </w:r>
          </w:p>
        </w:tc>
        <w:tc>
          <w:tcPr>
            <w:tcW w:w="821" w:type="pct"/>
            <w:vMerge w:val="restart"/>
            <w:tcBorders>
              <w:top w:val="single" w:color="auto" w:sz="4" w:space="0"/>
              <w:left w:val="single" w:color="auto" w:sz="4" w:space="0"/>
              <w:right w:val="single" w:color="auto" w:sz="4" w:space="0"/>
            </w:tcBorders>
            <w:vAlign w:val="center"/>
          </w:tcPr>
          <w:p w14:paraId="7AF5724D">
            <w:pPr>
              <w:pStyle w:val="17"/>
              <w:snapToGrid w:val="0"/>
              <w:spacing w:line="240" w:lineRule="atLeast"/>
              <w:ind w:firstLine="0" w:firstLineChars="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GB/T6807-2001</w:t>
            </w:r>
          </w:p>
        </w:tc>
        <w:tc>
          <w:tcPr>
            <w:tcW w:w="1509" w:type="pct"/>
            <w:vMerge w:val="restart"/>
            <w:tcBorders>
              <w:top w:val="single" w:color="auto" w:sz="4" w:space="0"/>
              <w:left w:val="single" w:color="auto" w:sz="4" w:space="0"/>
              <w:right w:val="single" w:color="auto" w:sz="4" w:space="0"/>
            </w:tcBorders>
            <w:vAlign w:val="center"/>
          </w:tcPr>
          <w:p w14:paraId="5D68A0A2">
            <w:pPr>
              <w:pStyle w:val="17"/>
              <w:snapToGrid w:val="0"/>
              <w:spacing w:line="240" w:lineRule="atLeast"/>
              <w:ind w:firstLine="560"/>
              <w:rPr>
                <w:rFonts w:ascii="仿宋_GB2312" w:hAnsi="仿宋_GB2312" w:eastAsia="仿宋_GB2312" w:cs="仿宋_GB2312"/>
                <w:sz w:val="28"/>
                <w:szCs w:val="28"/>
              </w:rPr>
            </w:pPr>
          </w:p>
        </w:tc>
      </w:tr>
      <w:tr w14:paraId="0F3E9F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421" w:type="pct"/>
            <w:vMerge w:val="continue"/>
            <w:tcBorders>
              <w:left w:val="single" w:color="auto" w:sz="4" w:space="0"/>
              <w:right w:val="single" w:color="auto" w:sz="4" w:space="0"/>
            </w:tcBorders>
            <w:vAlign w:val="center"/>
          </w:tcPr>
          <w:p w14:paraId="08141A74">
            <w:pPr>
              <w:pStyle w:val="17"/>
              <w:snapToGrid w:val="0"/>
              <w:spacing w:line="240" w:lineRule="atLeast"/>
              <w:ind w:firstLine="0" w:firstLineChars="0"/>
              <w:jc w:val="left"/>
              <w:rPr>
                <w:rFonts w:ascii="仿宋_GB2312" w:hAnsi="仿宋_GB2312" w:eastAsia="仿宋_GB2312" w:cs="仿宋_GB2312"/>
                <w:sz w:val="28"/>
                <w:szCs w:val="28"/>
              </w:rPr>
            </w:pPr>
          </w:p>
        </w:tc>
        <w:tc>
          <w:tcPr>
            <w:tcW w:w="795" w:type="pct"/>
            <w:tcBorders>
              <w:top w:val="single" w:color="auto" w:sz="4" w:space="0"/>
              <w:left w:val="single" w:color="auto" w:sz="4" w:space="0"/>
              <w:bottom w:val="single" w:color="auto" w:sz="4" w:space="0"/>
              <w:right w:val="single" w:color="auto" w:sz="4" w:space="0"/>
            </w:tcBorders>
            <w:vAlign w:val="center"/>
          </w:tcPr>
          <w:p w14:paraId="5E2CED27">
            <w:pPr>
              <w:pStyle w:val="17"/>
              <w:snapToGrid w:val="0"/>
              <w:spacing w:line="240" w:lineRule="atLeast"/>
              <w:ind w:firstLine="0" w:firstLineChars="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纯水洗</w:t>
            </w:r>
          </w:p>
        </w:tc>
        <w:tc>
          <w:tcPr>
            <w:tcW w:w="1453" w:type="pct"/>
            <w:tcBorders>
              <w:top w:val="single" w:color="auto" w:sz="4" w:space="0"/>
              <w:left w:val="single" w:color="auto" w:sz="4" w:space="0"/>
              <w:bottom w:val="single" w:color="auto" w:sz="4" w:space="0"/>
              <w:right w:val="single" w:color="auto" w:sz="4" w:space="0"/>
            </w:tcBorders>
            <w:vAlign w:val="center"/>
          </w:tcPr>
          <w:p w14:paraId="09D0ED72">
            <w:pPr>
              <w:pStyle w:val="17"/>
              <w:snapToGrid w:val="0"/>
              <w:spacing w:line="240" w:lineRule="atLeast"/>
              <w:ind w:firstLine="0" w:firstLineChars="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电导率≤10μs</w:t>
            </w:r>
          </w:p>
        </w:tc>
        <w:tc>
          <w:tcPr>
            <w:tcW w:w="821" w:type="pct"/>
            <w:vMerge w:val="continue"/>
            <w:tcBorders>
              <w:left w:val="single" w:color="auto" w:sz="4" w:space="0"/>
              <w:right w:val="single" w:color="auto" w:sz="4" w:space="0"/>
            </w:tcBorders>
            <w:vAlign w:val="center"/>
          </w:tcPr>
          <w:p w14:paraId="5D3D85DA">
            <w:pPr>
              <w:pStyle w:val="17"/>
              <w:snapToGrid w:val="0"/>
              <w:spacing w:line="240" w:lineRule="atLeast"/>
              <w:ind w:firstLine="0" w:firstLineChars="0"/>
              <w:jc w:val="left"/>
              <w:rPr>
                <w:rFonts w:ascii="仿宋_GB2312" w:hAnsi="仿宋_GB2312" w:eastAsia="仿宋_GB2312" w:cs="仿宋_GB2312"/>
                <w:sz w:val="28"/>
                <w:szCs w:val="28"/>
              </w:rPr>
            </w:pPr>
          </w:p>
        </w:tc>
        <w:tc>
          <w:tcPr>
            <w:tcW w:w="1509" w:type="pct"/>
            <w:vMerge w:val="continue"/>
            <w:tcBorders>
              <w:left w:val="single" w:color="auto" w:sz="4" w:space="0"/>
              <w:right w:val="single" w:color="auto" w:sz="4" w:space="0"/>
            </w:tcBorders>
            <w:vAlign w:val="center"/>
          </w:tcPr>
          <w:p w14:paraId="427874B7">
            <w:pPr>
              <w:pStyle w:val="17"/>
              <w:snapToGrid w:val="0"/>
              <w:spacing w:line="240" w:lineRule="atLeast"/>
              <w:ind w:firstLine="560"/>
              <w:rPr>
                <w:rFonts w:ascii="仿宋_GB2312" w:hAnsi="仿宋_GB2312" w:eastAsia="仿宋_GB2312" w:cs="仿宋_GB2312"/>
                <w:sz w:val="28"/>
                <w:szCs w:val="28"/>
              </w:rPr>
            </w:pPr>
          </w:p>
        </w:tc>
      </w:tr>
      <w:tr w14:paraId="71A196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421" w:type="pct"/>
            <w:vMerge w:val="continue"/>
            <w:tcBorders>
              <w:left w:val="single" w:color="auto" w:sz="4" w:space="0"/>
              <w:right w:val="single" w:color="auto" w:sz="4" w:space="0"/>
            </w:tcBorders>
            <w:vAlign w:val="center"/>
          </w:tcPr>
          <w:p w14:paraId="4437BADF">
            <w:pPr>
              <w:pStyle w:val="17"/>
              <w:snapToGrid w:val="0"/>
              <w:spacing w:line="240" w:lineRule="atLeast"/>
              <w:ind w:firstLine="0" w:firstLineChars="0"/>
              <w:jc w:val="left"/>
              <w:rPr>
                <w:rFonts w:ascii="仿宋_GB2312" w:hAnsi="仿宋_GB2312" w:eastAsia="仿宋_GB2312" w:cs="仿宋_GB2312"/>
                <w:sz w:val="28"/>
                <w:szCs w:val="28"/>
              </w:rPr>
            </w:pPr>
          </w:p>
        </w:tc>
        <w:tc>
          <w:tcPr>
            <w:tcW w:w="795" w:type="pct"/>
            <w:tcBorders>
              <w:top w:val="single" w:color="auto" w:sz="4" w:space="0"/>
              <w:left w:val="single" w:color="auto" w:sz="4" w:space="0"/>
              <w:bottom w:val="single" w:color="auto" w:sz="4" w:space="0"/>
              <w:right w:val="single" w:color="auto" w:sz="4" w:space="0"/>
            </w:tcBorders>
            <w:vAlign w:val="center"/>
          </w:tcPr>
          <w:p w14:paraId="5809A9AE">
            <w:pPr>
              <w:pStyle w:val="17"/>
              <w:snapToGrid w:val="0"/>
              <w:spacing w:line="240" w:lineRule="atLeast"/>
              <w:ind w:firstLine="0" w:firstLineChars="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高温烘干</w:t>
            </w:r>
          </w:p>
        </w:tc>
        <w:tc>
          <w:tcPr>
            <w:tcW w:w="1453" w:type="pct"/>
            <w:tcBorders>
              <w:top w:val="single" w:color="auto" w:sz="4" w:space="0"/>
              <w:left w:val="single" w:color="auto" w:sz="4" w:space="0"/>
              <w:bottom w:val="single" w:color="auto" w:sz="4" w:space="0"/>
              <w:right w:val="single" w:color="auto" w:sz="4" w:space="0"/>
            </w:tcBorders>
            <w:vAlign w:val="center"/>
          </w:tcPr>
          <w:p w14:paraId="2C1A4D88">
            <w:pPr>
              <w:pStyle w:val="17"/>
              <w:snapToGrid w:val="0"/>
              <w:spacing w:line="240" w:lineRule="atLeast"/>
              <w:ind w:firstLine="0" w:firstLineChars="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200℃</w:t>
            </w:r>
          </w:p>
        </w:tc>
        <w:tc>
          <w:tcPr>
            <w:tcW w:w="821" w:type="pct"/>
            <w:vMerge w:val="continue"/>
            <w:tcBorders>
              <w:left w:val="single" w:color="auto" w:sz="4" w:space="0"/>
              <w:bottom w:val="single" w:color="auto" w:sz="4" w:space="0"/>
              <w:right w:val="single" w:color="auto" w:sz="4" w:space="0"/>
            </w:tcBorders>
            <w:vAlign w:val="center"/>
          </w:tcPr>
          <w:p w14:paraId="1C6A16E7">
            <w:pPr>
              <w:pStyle w:val="17"/>
              <w:snapToGrid w:val="0"/>
              <w:spacing w:line="240" w:lineRule="atLeast"/>
              <w:ind w:firstLine="0" w:firstLineChars="0"/>
              <w:jc w:val="left"/>
              <w:rPr>
                <w:rFonts w:ascii="仿宋_GB2312" w:hAnsi="仿宋_GB2312" w:eastAsia="仿宋_GB2312" w:cs="仿宋_GB2312"/>
                <w:sz w:val="28"/>
                <w:szCs w:val="28"/>
              </w:rPr>
            </w:pPr>
          </w:p>
        </w:tc>
        <w:tc>
          <w:tcPr>
            <w:tcW w:w="1509" w:type="pct"/>
            <w:vMerge w:val="continue"/>
            <w:tcBorders>
              <w:left w:val="single" w:color="auto" w:sz="4" w:space="0"/>
              <w:bottom w:val="single" w:color="auto" w:sz="4" w:space="0"/>
              <w:right w:val="single" w:color="auto" w:sz="4" w:space="0"/>
            </w:tcBorders>
            <w:vAlign w:val="center"/>
          </w:tcPr>
          <w:p w14:paraId="653A1A98">
            <w:pPr>
              <w:pStyle w:val="17"/>
              <w:snapToGrid w:val="0"/>
              <w:spacing w:line="240" w:lineRule="atLeast"/>
              <w:ind w:firstLine="560"/>
              <w:rPr>
                <w:rFonts w:ascii="仿宋_GB2312" w:hAnsi="仿宋_GB2312" w:eastAsia="仿宋_GB2312" w:cs="仿宋_GB2312"/>
                <w:sz w:val="28"/>
                <w:szCs w:val="28"/>
              </w:rPr>
            </w:pPr>
          </w:p>
        </w:tc>
      </w:tr>
      <w:tr w14:paraId="11E73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421" w:type="pct"/>
            <w:vMerge w:val="continue"/>
            <w:tcBorders>
              <w:top w:val="single" w:color="auto" w:sz="4" w:space="0"/>
              <w:left w:val="single" w:color="auto" w:sz="4" w:space="0"/>
              <w:bottom w:val="single" w:color="auto" w:sz="4" w:space="0"/>
              <w:right w:val="single" w:color="auto" w:sz="4" w:space="0"/>
            </w:tcBorders>
            <w:vAlign w:val="center"/>
          </w:tcPr>
          <w:p w14:paraId="5215E6ED">
            <w:pPr>
              <w:pStyle w:val="17"/>
              <w:snapToGrid w:val="0"/>
              <w:spacing w:line="240" w:lineRule="atLeast"/>
              <w:ind w:firstLine="0" w:firstLineChars="0"/>
              <w:jc w:val="left"/>
              <w:rPr>
                <w:rFonts w:ascii="仿宋_GB2312" w:hAnsi="仿宋_GB2312" w:eastAsia="仿宋_GB2312" w:cs="仿宋_GB2312"/>
                <w:sz w:val="28"/>
                <w:szCs w:val="28"/>
              </w:rPr>
            </w:pPr>
          </w:p>
        </w:tc>
        <w:tc>
          <w:tcPr>
            <w:tcW w:w="795" w:type="pct"/>
            <w:tcBorders>
              <w:top w:val="single" w:color="auto" w:sz="4" w:space="0"/>
              <w:left w:val="single" w:color="auto" w:sz="4" w:space="0"/>
              <w:bottom w:val="single" w:color="auto" w:sz="4" w:space="0"/>
              <w:right w:val="single" w:color="auto" w:sz="4" w:space="0"/>
            </w:tcBorders>
            <w:vAlign w:val="center"/>
          </w:tcPr>
          <w:p w14:paraId="14AC0C40">
            <w:pPr>
              <w:pStyle w:val="17"/>
              <w:snapToGrid w:val="0"/>
              <w:spacing w:line="240" w:lineRule="atLeast"/>
              <w:ind w:firstLine="0" w:firstLineChars="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高压静电喷塑</w:t>
            </w:r>
          </w:p>
        </w:tc>
        <w:tc>
          <w:tcPr>
            <w:tcW w:w="1453" w:type="pct"/>
            <w:tcBorders>
              <w:top w:val="single" w:color="auto" w:sz="4" w:space="0"/>
              <w:left w:val="single" w:color="auto" w:sz="4" w:space="0"/>
              <w:bottom w:val="single" w:color="auto" w:sz="4" w:space="0"/>
              <w:right w:val="single" w:color="auto" w:sz="4" w:space="0"/>
            </w:tcBorders>
            <w:vAlign w:val="center"/>
          </w:tcPr>
          <w:p w14:paraId="510FED78">
            <w:pPr>
              <w:pStyle w:val="17"/>
              <w:snapToGrid w:val="0"/>
              <w:spacing w:line="240" w:lineRule="atLeast"/>
              <w:ind w:firstLine="0" w:firstLineChars="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环氧型聚脂混合粉、HYBRID</w:t>
            </w:r>
          </w:p>
        </w:tc>
        <w:tc>
          <w:tcPr>
            <w:tcW w:w="821" w:type="pct"/>
            <w:tcBorders>
              <w:top w:val="single" w:color="auto" w:sz="4" w:space="0"/>
              <w:left w:val="single" w:color="auto" w:sz="4" w:space="0"/>
              <w:bottom w:val="single" w:color="auto" w:sz="4" w:space="0"/>
              <w:right w:val="single" w:color="auto" w:sz="4" w:space="0"/>
            </w:tcBorders>
            <w:vAlign w:val="center"/>
          </w:tcPr>
          <w:p w14:paraId="76A7CF92">
            <w:pPr>
              <w:pStyle w:val="17"/>
              <w:snapToGrid w:val="0"/>
              <w:spacing w:line="240" w:lineRule="atLeast"/>
              <w:ind w:firstLine="0" w:firstLineChars="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HG/T2006</w:t>
            </w:r>
          </w:p>
        </w:tc>
        <w:tc>
          <w:tcPr>
            <w:tcW w:w="1509" w:type="pct"/>
            <w:tcBorders>
              <w:top w:val="single" w:color="auto" w:sz="4" w:space="0"/>
              <w:left w:val="single" w:color="auto" w:sz="4" w:space="0"/>
              <w:bottom w:val="single" w:color="auto" w:sz="4" w:space="0"/>
              <w:right w:val="single" w:color="auto" w:sz="4" w:space="0"/>
            </w:tcBorders>
            <w:vAlign w:val="center"/>
          </w:tcPr>
          <w:p w14:paraId="146E6E00">
            <w:pPr>
              <w:pStyle w:val="17"/>
              <w:snapToGrid w:val="0"/>
              <w:spacing w:line="240" w:lineRule="atLeast"/>
              <w:ind w:firstLine="560"/>
              <w:rPr>
                <w:rFonts w:ascii="仿宋_GB2312" w:hAnsi="仿宋_GB2312" w:eastAsia="仿宋_GB2312" w:cs="仿宋_GB2312"/>
                <w:sz w:val="28"/>
                <w:szCs w:val="28"/>
              </w:rPr>
            </w:pPr>
          </w:p>
        </w:tc>
      </w:tr>
      <w:tr w14:paraId="32DC2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421" w:type="pct"/>
            <w:vMerge w:val="continue"/>
            <w:tcBorders>
              <w:top w:val="single" w:color="auto" w:sz="4" w:space="0"/>
              <w:left w:val="single" w:color="auto" w:sz="4" w:space="0"/>
              <w:bottom w:val="single" w:color="auto" w:sz="4" w:space="0"/>
              <w:right w:val="single" w:color="auto" w:sz="4" w:space="0"/>
            </w:tcBorders>
            <w:vAlign w:val="center"/>
          </w:tcPr>
          <w:p w14:paraId="202A3442">
            <w:pPr>
              <w:pStyle w:val="17"/>
              <w:snapToGrid w:val="0"/>
              <w:spacing w:line="240" w:lineRule="atLeast"/>
              <w:ind w:firstLine="0" w:firstLineChars="0"/>
              <w:jc w:val="left"/>
              <w:rPr>
                <w:rFonts w:ascii="仿宋_GB2312" w:hAnsi="仿宋_GB2312" w:eastAsia="仿宋_GB2312" w:cs="仿宋_GB2312"/>
                <w:sz w:val="28"/>
                <w:szCs w:val="28"/>
              </w:rPr>
            </w:pPr>
          </w:p>
        </w:tc>
        <w:tc>
          <w:tcPr>
            <w:tcW w:w="795" w:type="pct"/>
            <w:tcBorders>
              <w:top w:val="single" w:color="auto" w:sz="4" w:space="0"/>
              <w:left w:val="single" w:color="auto" w:sz="4" w:space="0"/>
              <w:bottom w:val="single" w:color="auto" w:sz="4" w:space="0"/>
              <w:right w:val="single" w:color="auto" w:sz="4" w:space="0"/>
            </w:tcBorders>
            <w:vAlign w:val="center"/>
          </w:tcPr>
          <w:p w14:paraId="4B937C77">
            <w:pPr>
              <w:pStyle w:val="17"/>
              <w:snapToGrid w:val="0"/>
              <w:spacing w:line="240" w:lineRule="atLeast"/>
              <w:ind w:firstLine="0" w:firstLineChars="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高温固化</w:t>
            </w:r>
          </w:p>
        </w:tc>
        <w:tc>
          <w:tcPr>
            <w:tcW w:w="1453" w:type="pct"/>
            <w:tcBorders>
              <w:top w:val="single" w:color="auto" w:sz="4" w:space="0"/>
              <w:left w:val="single" w:color="auto" w:sz="4" w:space="0"/>
              <w:bottom w:val="single" w:color="auto" w:sz="4" w:space="0"/>
              <w:right w:val="single" w:color="auto" w:sz="4" w:space="0"/>
            </w:tcBorders>
            <w:vAlign w:val="center"/>
          </w:tcPr>
          <w:p w14:paraId="61A7DCF1">
            <w:pPr>
              <w:pStyle w:val="17"/>
              <w:snapToGrid w:val="0"/>
              <w:spacing w:line="240" w:lineRule="atLeast"/>
              <w:ind w:firstLine="0" w:firstLineChars="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190-220℃</w:t>
            </w:r>
          </w:p>
        </w:tc>
        <w:tc>
          <w:tcPr>
            <w:tcW w:w="821" w:type="pct"/>
            <w:tcBorders>
              <w:top w:val="single" w:color="auto" w:sz="4" w:space="0"/>
              <w:left w:val="single" w:color="auto" w:sz="4" w:space="0"/>
              <w:bottom w:val="single" w:color="auto" w:sz="4" w:space="0"/>
              <w:right w:val="single" w:color="auto" w:sz="4" w:space="0"/>
            </w:tcBorders>
            <w:vAlign w:val="center"/>
          </w:tcPr>
          <w:p w14:paraId="0A3CE784">
            <w:pPr>
              <w:pStyle w:val="17"/>
              <w:snapToGrid w:val="0"/>
              <w:spacing w:line="240" w:lineRule="atLeast"/>
              <w:ind w:firstLine="0" w:firstLineChars="0"/>
              <w:jc w:val="left"/>
              <w:rPr>
                <w:rFonts w:ascii="仿宋_GB2312" w:hAnsi="仿宋_GB2312" w:eastAsia="仿宋_GB2312" w:cs="仿宋_GB2312"/>
                <w:sz w:val="28"/>
                <w:szCs w:val="28"/>
              </w:rPr>
            </w:pPr>
          </w:p>
        </w:tc>
        <w:tc>
          <w:tcPr>
            <w:tcW w:w="1509" w:type="pct"/>
            <w:tcBorders>
              <w:top w:val="single" w:color="auto" w:sz="4" w:space="0"/>
              <w:left w:val="single" w:color="auto" w:sz="4" w:space="0"/>
              <w:bottom w:val="single" w:color="auto" w:sz="4" w:space="0"/>
              <w:right w:val="single" w:color="auto" w:sz="4" w:space="0"/>
            </w:tcBorders>
            <w:vAlign w:val="center"/>
          </w:tcPr>
          <w:p w14:paraId="686B53AF">
            <w:pPr>
              <w:pStyle w:val="17"/>
              <w:snapToGrid w:val="0"/>
              <w:spacing w:line="240" w:lineRule="atLeast"/>
              <w:ind w:firstLine="560"/>
              <w:rPr>
                <w:rFonts w:ascii="仿宋_GB2312" w:hAnsi="仿宋_GB2312" w:eastAsia="仿宋_GB2312" w:cs="仿宋_GB2312"/>
                <w:sz w:val="28"/>
                <w:szCs w:val="28"/>
              </w:rPr>
            </w:pPr>
          </w:p>
        </w:tc>
      </w:tr>
      <w:tr w14:paraId="3C11E6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421" w:type="pct"/>
            <w:tcBorders>
              <w:top w:val="single" w:color="auto" w:sz="4" w:space="0"/>
              <w:left w:val="single" w:color="auto" w:sz="4" w:space="0"/>
              <w:bottom w:val="single" w:color="auto" w:sz="4" w:space="0"/>
              <w:right w:val="single" w:color="auto" w:sz="4" w:space="0"/>
            </w:tcBorders>
            <w:vAlign w:val="center"/>
          </w:tcPr>
          <w:p w14:paraId="0B1272AD">
            <w:pPr>
              <w:pStyle w:val="17"/>
              <w:snapToGrid w:val="0"/>
              <w:spacing w:line="240" w:lineRule="atLeast"/>
              <w:ind w:firstLine="0" w:firstLineChars="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紧固件</w:t>
            </w:r>
          </w:p>
        </w:tc>
        <w:tc>
          <w:tcPr>
            <w:tcW w:w="795" w:type="pct"/>
            <w:tcBorders>
              <w:top w:val="single" w:color="auto" w:sz="4" w:space="0"/>
              <w:left w:val="single" w:color="auto" w:sz="4" w:space="0"/>
              <w:bottom w:val="single" w:color="auto" w:sz="4" w:space="0"/>
              <w:right w:val="single" w:color="auto" w:sz="4" w:space="0"/>
            </w:tcBorders>
            <w:vAlign w:val="center"/>
          </w:tcPr>
          <w:p w14:paraId="27C9F544">
            <w:pPr>
              <w:pStyle w:val="17"/>
              <w:snapToGrid w:val="0"/>
              <w:spacing w:line="240" w:lineRule="atLeast"/>
              <w:ind w:firstLine="0" w:firstLineChars="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标准件</w:t>
            </w:r>
          </w:p>
        </w:tc>
        <w:tc>
          <w:tcPr>
            <w:tcW w:w="1453" w:type="pct"/>
            <w:tcBorders>
              <w:top w:val="single" w:color="auto" w:sz="4" w:space="0"/>
              <w:left w:val="single" w:color="auto" w:sz="4" w:space="0"/>
              <w:bottom w:val="single" w:color="auto" w:sz="4" w:space="0"/>
              <w:right w:val="single" w:color="auto" w:sz="4" w:space="0"/>
            </w:tcBorders>
            <w:vAlign w:val="center"/>
          </w:tcPr>
          <w:p w14:paraId="68313076">
            <w:pPr>
              <w:pStyle w:val="17"/>
              <w:snapToGrid w:val="0"/>
              <w:spacing w:line="240" w:lineRule="atLeast"/>
              <w:ind w:firstLine="0" w:firstLineChars="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M6、M8、M10</w:t>
            </w:r>
          </w:p>
        </w:tc>
        <w:tc>
          <w:tcPr>
            <w:tcW w:w="821" w:type="pct"/>
            <w:tcBorders>
              <w:top w:val="single" w:color="auto" w:sz="4" w:space="0"/>
              <w:left w:val="single" w:color="auto" w:sz="4" w:space="0"/>
              <w:bottom w:val="single" w:color="auto" w:sz="4" w:space="0"/>
              <w:right w:val="single" w:color="auto" w:sz="4" w:space="0"/>
            </w:tcBorders>
            <w:vAlign w:val="center"/>
          </w:tcPr>
          <w:p w14:paraId="2B16A036">
            <w:pPr>
              <w:pStyle w:val="17"/>
              <w:snapToGrid w:val="0"/>
              <w:spacing w:line="240" w:lineRule="atLeast"/>
              <w:ind w:firstLine="0" w:firstLineChars="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8.8级</w:t>
            </w:r>
          </w:p>
        </w:tc>
        <w:tc>
          <w:tcPr>
            <w:tcW w:w="1509" w:type="pct"/>
            <w:tcBorders>
              <w:top w:val="single" w:color="auto" w:sz="4" w:space="0"/>
              <w:left w:val="single" w:color="auto" w:sz="4" w:space="0"/>
              <w:bottom w:val="single" w:color="auto" w:sz="4" w:space="0"/>
              <w:right w:val="single" w:color="auto" w:sz="4" w:space="0"/>
            </w:tcBorders>
            <w:vAlign w:val="center"/>
          </w:tcPr>
          <w:p w14:paraId="51AB3F25">
            <w:pPr>
              <w:pStyle w:val="17"/>
              <w:snapToGrid w:val="0"/>
              <w:spacing w:line="240" w:lineRule="atLeast"/>
              <w:ind w:firstLine="560"/>
              <w:rPr>
                <w:rFonts w:ascii="仿宋_GB2312" w:hAnsi="仿宋_GB2312" w:eastAsia="仿宋_GB2312" w:cs="仿宋_GB2312"/>
                <w:sz w:val="28"/>
                <w:szCs w:val="28"/>
              </w:rPr>
            </w:pPr>
            <w:r>
              <w:rPr>
                <w:rFonts w:hint="eastAsia" w:ascii="仿宋_GB2312" w:hAnsi="仿宋_GB2312" w:eastAsia="仿宋_GB2312" w:cs="仿宋_GB2312"/>
                <w:sz w:val="28"/>
                <w:szCs w:val="28"/>
              </w:rPr>
              <w:t>表面须做镀锌防锈处理</w:t>
            </w:r>
          </w:p>
        </w:tc>
      </w:tr>
    </w:tbl>
    <w:p w14:paraId="701A5269">
      <w:pPr>
        <w:spacing w:line="560" w:lineRule="exact"/>
        <w:ind w:left="4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4.3为保证对产品质量把控，产品需符合GB/T19022-2003/ISO100212-2003《测量管理体系-测量过程和测量设备的要求》。</w:t>
      </w:r>
    </w:p>
    <w:p w14:paraId="26DCF838">
      <w:pPr>
        <w:spacing w:line="560" w:lineRule="exact"/>
        <w:ind w:left="4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4.4</w:t>
      </w:r>
      <w:r>
        <w:rPr>
          <w:rFonts w:ascii="仿宋_GB2312" w:hAnsi="仿宋_GB2312" w:eastAsia="仿宋_GB2312" w:cs="仿宋_GB2312"/>
          <w:color w:val="000000"/>
          <w:sz w:val="32"/>
          <w:szCs w:val="32"/>
        </w:rPr>
        <w:t>固定</w:t>
      </w:r>
      <w:r>
        <w:rPr>
          <w:rFonts w:hint="eastAsia" w:ascii="仿宋_GB2312" w:hAnsi="仿宋_GB2312" w:eastAsia="仿宋_GB2312" w:cs="仿宋_GB2312"/>
          <w:color w:val="000000"/>
          <w:sz w:val="32"/>
          <w:szCs w:val="32"/>
        </w:rPr>
        <w:t>架采用的主要</w:t>
      </w:r>
      <w:r>
        <w:rPr>
          <w:rFonts w:hint="eastAsia" w:ascii="仿宋_GB2312" w:hAnsi="仿宋_GB2312" w:eastAsia="仿宋_GB2312" w:cs="仿宋_GB2312"/>
          <w:sz w:val="32"/>
          <w:szCs w:val="32"/>
        </w:rPr>
        <w:t>钢板厚</w:t>
      </w:r>
      <w:r>
        <w:rPr>
          <w:rFonts w:hint="eastAsia" w:ascii="仿宋_GB2312" w:hAnsi="仿宋_GB2312" w:eastAsia="仿宋_GB2312" w:cs="仿宋_GB2312"/>
          <w:color w:val="000000"/>
          <w:sz w:val="32"/>
          <w:szCs w:val="32"/>
        </w:rPr>
        <w:t>度须符合上表要求</w:t>
      </w:r>
      <w:r>
        <w:rPr>
          <w:rFonts w:ascii="仿宋_GB2312" w:hAnsi="仿宋_GB2312" w:eastAsia="仿宋_GB2312" w:cs="仿宋_GB2312"/>
          <w:color w:val="000000"/>
          <w:sz w:val="32"/>
          <w:szCs w:val="32"/>
        </w:rPr>
        <w:t>。</w:t>
      </w:r>
    </w:p>
    <w:p w14:paraId="063F5F68">
      <w:pPr>
        <w:spacing w:line="560" w:lineRule="exact"/>
        <w:ind w:left="4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4.5立柱、侧面板、搁板、挂板、顶板、防尘门表面涂层可迁移元素（铅Pb、镉Cd、铬Cr、汞Hg、锑Sb、钡Ba、硒Se、砷As）须符合HJ2547-2016《环境标志产品技术要求家具》中对产品的限量要求。</w:t>
      </w:r>
    </w:p>
    <w:p w14:paraId="5CB38292">
      <w:pPr>
        <w:spacing w:line="560" w:lineRule="exact"/>
        <w:rPr>
          <w:rFonts w:ascii="黑体" w:hAnsi="黑体" w:eastAsia="黑体" w:cs="黑体"/>
          <w:bCs/>
          <w:sz w:val="32"/>
          <w:szCs w:val="32"/>
        </w:rPr>
      </w:pPr>
      <w:bookmarkStart w:id="0" w:name="_Toc157433902"/>
      <w:bookmarkEnd w:id="0"/>
      <w:r>
        <w:rPr>
          <w:rFonts w:hint="eastAsia" w:ascii="黑体" w:hAnsi="黑体" w:eastAsia="黑体" w:cs="黑体"/>
          <w:bCs/>
          <w:sz w:val="32"/>
          <w:szCs w:val="32"/>
        </w:rPr>
        <w:t>5.</w:t>
      </w:r>
      <w:r>
        <w:rPr>
          <w:rFonts w:ascii="黑体" w:hAnsi="黑体" w:eastAsia="黑体" w:cs="黑体"/>
          <w:bCs/>
          <w:sz w:val="32"/>
          <w:szCs w:val="32"/>
        </w:rPr>
        <w:t>安装要求</w:t>
      </w:r>
    </w:p>
    <w:p w14:paraId="38DE3B79">
      <w:pPr>
        <w:spacing w:line="560" w:lineRule="exact"/>
        <w:ind w:firstLine="320" w:firstLineChars="100"/>
        <w:rPr>
          <w:rFonts w:ascii="黑体" w:hAnsi="黑体" w:eastAsia="黑体" w:cs="黑体"/>
          <w:bCs/>
          <w:sz w:val="32"/>
          <w:szCs w:val="32"/>
        </w:rPr>
      </w:pPr>
      <w:r>
        <w:rPr>
          <w:rFonts w:hint="eastAsia" w:ascii="仿宋_GB2312" w:hAnsi="仿宋_GB2312" w:eastAsia="仿宋_GB2312" w:cs="仿宋_GB2312"/>
          <w:sz w:val="32"/>
          <w:szCs w:val="32"/>
        </w:rPr>
        <w:t>5.1</w:t>
      </w:r>
      <w:r>
        <w:rPr>
          <w:rFonts w:ascii="仿宋_GB2312" w:hAnsi="仿宋_GB2312" w:eastAsia="仿宋_GB2312" w:cs="仿宋_GB2312"/>
          <w:sz w:val="32"/>
          <w:szCs w:val="32"/>
        </w:rPr>
        <w:t>安装地点位于上海市长宁区仙霞路326号</w:t>
      </w:r>
      <w:r>
        <w:rPr>
          <w:rFonts w:ascii="黑体" w:hAnsi="黑体" w:eastAsia="黑体" w:cs="黑体"/>
          <w:bCs/>
          <w:sz w:val="32"/>
          <w:szCs w:val="32"/>
        </w:rPr>
        <w:t>。</w:t>
      </w:r>
    </w:p>
    <w:p w14:paraId="50B350F3">
      <w:pPr>
        <w:spacing w:line="560" w:lineRule="exact"/>
        <w:ind w:firstLine="320" w:firstLineChars="100"/>
        <w:rPr>
          <w:rFonts w:ascii="仿宋_GB2312" w:hAnsi="仿宋_GB2312" w:eastAsia="仿宋_GB2312" w:cs="仿宋_GB2312"/>
          <w:sz w:val="32"/>
          <w:szCs w:val="32"/>
        </w:rPr>
      </w:pPr>
      <w:r>
        <w:rPr>
          <w:rFonts w:ascii="仿宋_GB2312" w:hAnsi="仿宋_GB2312" w:eastAsia="仿宋_GB2312" w:cs="仿宋_GB2312"/>
          <w:sz w:val="32"/>
          <w:szCs w:val="32"/>
        </w:rPr>
        <w:t>5.2安装地面</w:t>
      </w:r>
      <w:r>
        <w:rPr>
          <w:rFonts w:hint="eastAsia" w:ascii="仿宋_GB2312" w:hAnsi="仿宋_GB2312" w:eastAsia="仿宋_GB2312" w:cs="仿宋_GB2312"/>
          <w:sz w:val="32"/>
          <w:szCs w:val="32"/>
        </w:rPr>
        <w:t>原轨道处理</w:t>
      </w:r>
      <w:r>
        <w:rPr>
          <w:rFonts w:ascii="仿宋_GB2312" w:hAnsi="仿宋_GB2312" w:eastAsia="仿宋_GB2312" w:cs="仿宋_GB2312"/>
          <w:sz w:val="32"/>
          <w:szCs w:val="32"/>
        </w:rPr>
        <w:t>:</w:t>
      </w:r>
    </w:p>
    <w:p w14:paraId="751C8940">
      <w:pPr>
        <w:spacing w:line="560" w:lineRule="exact"/>
        <w:ind w:firstLine="320" w:firstLineChars="100"/>
        <w:rPr>
          <w:rFonts w:ascii="仿宋_GB2312" w:hAnsi="仿宋_GB2312" w:eastAsia="仿宋_GB2312" w:cs="仿宋_GB2312"/>
          <w:sz w:val="32"/>
          <w:szCs w:val="32"/>
        </w:rPr>
      </w:pPr>
      <w:r>
        <w:rPr>
          <w:rFonts w:hint="eastAsia" w:ascii="仿宋_GB2312" w:hAnsi="仿宋_GB2312" w:eastAsia="仿宋_GB2312" w:cs="仿宋_GB2312"/>
          <w:sz w:val="32"/>
          <w:szCs w:val="32"/>
        </w:rPr>
        <w:t>5.2.1</w:t>
      </w:r>
      <w:r>
        <w:rPr>
          <w:rFonts w:hint="eastAsia" w:ascii="仿宋_GB2312" w:hAnsi="仿宋_GB2312" w:eastAsia="仿宋_GB2312" w:cs="仿宋_GB2312"/>
          <w:b/>
          <w:bCs/>
          <w:color w:val="FF0000"/>
          <w:sz w:val="32"/>
          <w:szCs w:val="32"/>
        </w:rPr>
        <w:t>三层至五层房间地面有原安装密集架的三组地下轨道，现已不再使用。轨道略微凸出地面，高度不均匀，约10mm以内。固定架安装时要考虑轨道对底盘的影响。</w:t>
      </w:r>
    </w:p>
    <w:p w14:paraId="6AEA0D1D">
      <w:pPr>
        <w:spacing w:line="560" w:lineRule="exact"/>
        <w:ind w:firstLine="320" w:firstLineChars="100"/>
        <w:rPr>
          <w:rFonts w:ascii="仿宋_GB2312" w:hAnsi="仿宋_GB2312" w:eastAsia="仿宋_GB2312" w:cs="仿宋_GB2312"/>
          <w:sz w:val="32"/>
          <w:szCs w:val="32"/>
        </w:rPr>
      </w:pPr>
      <w:r>
        <w:rPr>
          <w:rFonts w:hint="eastAsia" w:ascii="仿宋_GB2312" w:hAnsi="仿宋_GB2312" w:eastAsia="仿宋_GB2312" w:cs="仿宋_GB2312"/>
          <w:sz w:val="32"/>
          <w:szCs w:val="32"/>
        </w:rPr>
        <w:t>5.2.2中标供应商需按照美观大方、方便使用的原则对原有轨道进行覆板遮盖。供应商投标时需提供施工方案。</w:t>
      </w:r>
    </w:p>
    <w:p w14:paraId="2F62066B">
      <w:pPr>
        <w:spacing w:line="560" w:lineRule="exact"/>
        <w:ind w:left="319" w:leftChars="152"/>
        <w:rPr>
          <w:rFonts w:ascii="仿宋_GB2312" w:hAnsi="仿宋_GB2312" w:eastAsia="仿宋_GB2312" w:cs="仿宋_GB2312"/>
          <w:sz w:val="32"/>
          <w:szCs w:val="32"/>
        </w:rPr>
      </w:pPr>
      <w:r>
        <w:rPr>
          <w:rFonts w:hint="eastAsia" w:ascii="仿宋_GB2312" w:hAnsi="仿宋_GB2312" w:eastAsia="仿宋_GB2312" w:cs="仿宋_GB2312"/>
          <w:sz w:val="32"/>
          <w:szCs w:val="32"/>
        </w:rPr>
        <w:t>5.</w:t>
      </w:r>
      <w:r>
        <w:rPr>
          <w:rFonts w:ascii="仿宋_GB2312" w:hAnsi="仿宋_GB2312" w:eastAsia="仿宋_GB2312" w:cs="仿宋_GB2312"/>
          <w:sz w:val="32"/>
          <w:szCs w:val="32"/>
        </w:rPr>
        <w:t>3安装过程符合操作规范，柜体组装后符合公差要求，附带的防倾倒装置安装到位 并切实生效。每标准节(组)组装后，单元架外形尺寸的极限偏差为±2.0mm。</w:t>
      </w:r>
    </w:p>
    <w:p w14:paraId="17F10984">
      <w:pPr>
        <w:spacing w:line="560" w:lineRule="exact"/>
        <w:ind w:firstLine="320" w:firstLineChars="100"/>
        <w:rPr>
          <w:rFonts w:ascii="仿宋_GB2312" w:hAnsi="仿宋_GB2312" w:eastAsia="仿宋_GB2312" w:cs="仿宋_GB2312"/>
          <w:sz w:val="32"/>
          <w:szCs w:val="32"/>
        </w:rPr>
      </w:pPr>
      <w:r>
        <w:rPr>
          <w:rFonts w:hint="eastAsia" w:ascii="仿宋_GB2312" w:hAnsi="仿宋_GB2312" w:eastAsia="仿宋_GB2312" w:cs="仿宋_GB2312"/>
          <w:sz w:val="32"/>
          <w:szCs w:val="32"/>
        </w:rPr>
        <w:t>5.3.1</w:t>
      </w:r>
      <w:r>
        <w:rPr>
          <w:rFonts w:ascii="仿宋_GB2312" w:hAnsi="仿宋_GB2312" w:eastAsia="仿宋_GB2312" w:cs="仿宋_GB2312"/>
          <w:sz w:val="32"/>
          <w:szCs w:val="32"/>
        </w:rPr>
        <w:t xml:space="preserve">每标准节(组)组装后，侧面板与中腰板的对缝处的间隙应不大于 2.0mm。 </w:t>
      </w:r>
    </w:p>
    <w:p w14:paraId="06476EA8">
      <w:pPr>
        <w:spacing w:line="560" w:lineRule="exact"/>
        <w:ind w:firstLine="320" w:firstLineChars="100"/>
        <w:rPr>
          <w:rFonts w:ascii="仿宋_GB2312" w:hAnsi="仿宋_GB2312" w:eastAsia="仿宋_GB2312" w:cs="仿宋_GB2312"/>
          <w:sz w:val="32"/>
          <w:szCs w:val="32"/>
        </w:rPr>
      </w:pPr>
      <w:r>
        <w:rPr>
          <w:rFonts w:hint="eastAsia" w:ascii="仿宋_GB2312" w:hAnsi="仿宋_GB2312" w:eastAsia="仿宋_GB2312" w:cs="仿宋_GB2312"/>
          <w:sz w:val="32"/>
          <w:szCs w:val="32"/>
        </w:rPr>
        <w:t>5.3.2</w:t>
      </w:r>
      <w:r>
        <w:rPr>
          <w:rFonts w:ascii="仿宋_GB2312" w:hAnsi="仿宋_GB2312" w:eastAsia="仿宋_GB2312" w:cs="仿宋_GB2312"/>
          <w:sz w:val="32"/>
          <w:szCs w:val="32"/>
        </w:rPr>
        <w:t>每标准节(组)组装后，立柱与底梁的垂直度应不大于 2.0mm。</w:t>
      </w:r>
    </w:p>
    <w:p w14:paraId="56377CC9">
      <w:pPr>
        <w:spacing w:line="560" w:lineRule="exact"/>
        <w:ind w:firstLine="320" w:firstLineChars="100"/>
        <w:rPr>
          <w:rFonts w:ascii="仿宋_GB2312" w:hAnsi="仿宋_GB2312" w:eastAsia="仿宋_GB2312" w:cs="仿宋_GB2312"/>
          <w:sz w:val="32"/>
          <w:szCs w:val="32"/>
        </w:rPr>
      </w:pPr>
      <w:r>
        <w:rPr>
          <w:rFonts w:hint="eastAsia" w:ascii="仿宋_GB2312" w:hAnsi="仿宋_GB2312" w:eastAsia="仿宋_GB2312" w:cs="仿宋_GB2312"/>
          <w:sz w:val="32"/>
          <w:szCs w:val="32"/>
        </w:rPr>
        <w:t>5.3.3</w:t>
      </w:r>
      <w:r>
        <w:rPr>
          <w:rFonts w:ascii="仿宋_GB2312" w:hAnsi="仿宋_GB2312" w:eastAsia="仿宋_GB2312" w:cs="仿宋_GB2312"/>
          <w:sz w:val="32"/>
          <w:szCs w:val="32"/>
        </w:rPr>
        <w:t xml:space="preserve">位差度:架列侧面相邻两平面的位差度应不大于 2.0mm。 </w:t>
      </w:r>
    </w:p>
    <w:p w14:paraId="7329B1CD">
      <w:pPr>
        <w:spacing w:line="560" w:lineRule="exact"/>
        <w:ind w:firstLine="320" w:firstLineChars="100"/>
        <w:rPr>
          <w:rFonts w:ascii="仿宋_GB2312" w:hAnsi="仿宋_GB2312" w:eastAsia="仿宋_GB2312" w:cs="仿宋_GB2312"/>
          <w:sz w:val="32"/>
          <w:szCs w:val="32"/>
        </w:rPr>
      </w:pPr>
      <w:r>
        <w:rPr>
          <w:rFonts w:hint="eastAsia" w:ascii="仿宋_GB2312" w:hAnsi="仿宋_GB2312" w:eastAsia="仿宋_GB2312" w:cs="仿宋_GB2312"/>
          <w:sz w:val="32"/>
          <w:szCs w:val="32"/>
        </w:rPr>
        <w:t>5.3.4</w:t>
      </w:r>
      <w:r>
        <w:rPr>
          <w:rFonts w:ascii="仿宋_GB2312" w:hAnsi="仿宋_GB2312" w:eastAsia="仿宋_GB2312" w:cs="仿宋_GB2312"/>
          <w:sz w:val="32"/>
          <w:szCs w:val="32"/>
        </w:rPr>
        <w:t xml:space="preserve">单元架架体平行度:±1~2mm/列。 </w:t>
      </w:r>
    </w:p>
    <w:p w14:paraId="3A01F678">
      <w:pPr>
        <w:spacing w:line="560" w:lineRule="exact"/>
        <w:ind w:firstLine="320" w:firstLineChars="100"/>
        <w:rPr>
          <w:rFonts w:ascii="黑体" w:hAnsi="黑体" w:eastAsia="黑体" w:cs="黑体"/>
          <w:bCs/>
          <w:sz w:val="32"/>
          <w:szCs w:val="32"/>
        </w:rPr>
      </w:pPr>
      <w:r>
        <w:rPr>
          <w:rFonts w:hint="eastAsia" w:ascii="仿宋_GB2312" w:hAnsi="仿宋_GB2312" w:eastAsia="仿宋_GB2312" w:cs="仿宋_GB2312"/>
          <w:sz w:val="32"/>
          <w:szCs w:val="32"/>
        </w:rPr>
        <w:t>5.3.5</w:t>
      </w:r>
      <w:r>
        <w:rPr>
          <w:rFonts w:ascii="仿宋_GB2312" w:hAnsi="仿宋_GB2312" w:eastAsia="仿宋_GB2312" w:cs="仿宋_GB2312"/>
          <w:sz w:val="32"/>
          <w:szCs w:val="32"/>
        </w:rPr>
        <w:t>单元架架体垂直度:±1~2mm/列。</w:t>
      </w:r>
    </w:p>
    <w:p w14:paraId="0FCD989D">
      <w:pPr>
        <w:spacing w:line="560" w:lineRule="exact"/>
        <w:ind w:firstLine="320" w:firstLineChars="100"/>
        <w:rPr>
          <w:rFonts w:ascii="仿宋_GB2312" w:hAnsi="仿宋_GB2312" w:eastAsia="仿宋_GB2312" w:cs="仿宋_GB2312"/>
          <w:sz w:val="32"/>
          <w:szCs w:val="32"/>
        </w:rPr>
      </w:pPr>
      <w:r>
        <w:rPr>
          <w:rFonts w:hint="eastAsia" w:ascii="仿宋_GB2312" w:hAnsi="仿宋_GB2312" w:eastAsia="仿宋_GB2312" w:cs="仿宋_GB2312"/>
          <w:sz w:val="32"/>
          <w:szCs w:val="32"/>
        </w:rPr>
        <w:t>5.3.6</w:t>
      </w:r>
      <w:r>
        <w:rPr>
          <w:rFonts w:ascii="仿宋_GB2312" w:hAnsi="仿宋_GB2312" w:eastAsia="仿宋_GB2312" w:cs="仿宋_GB2312"/>
          <w:sz w:val="32"/>
          <w:szCs w:val="32"/>
        </w:rPr>
        <w:t>单元架架体纵向同步度:±1~2mm/列。</w:t>
      </w:r>
    </w:p>
    <w:p w14:paraId="694EAB5E">
      <w:pPr>
        <w:spacing w:line="560" w:lineRule="exact"/>
        <w:ind w:firstLine="320" w:firstLineChars="100"/>
        <w:rPr>
          <w:rFonts w:ascii="仿宋_GB2312" w:hAnsi="仿宋_GB2312" w:eastAsia="仿宋_GB2312" w:cs="仿宋_GB2312"/>
          <w:sz w:val="32"/>
          <w:szCs w:val="32"/>
        </w:rPr>
      </w:pPr>
      <w:r>
        <w:rPr>
          <w:rFonts w:hint="eastAsia" w:ascii="仿宋_GB2312" w:hAnsi="仿宋_GB2312" w:eastAsia="仿宋_GB2312" w:cs="仿宋_GB2312"/>
          <w:sz w:val="32"/>
          <w:szCs w:val="32"/>
        </w:rPr>
        <w:t>5.3.7</w:t>
      </w:r>
      <w:r>
        <w:rPr>
          <w:rFonts w:ascii="仿宋_GB2312" w:hAnsi="仿宋_GB2312" w:eastAsia="仿宋_GB2312" w:cs="仿宋_GB2312"/>
          <w:sz w:val="32"/>
          <w:szCs w:val="32"/>
        </w:rPr>
        <w:t xml:space="preserve">防尘门缝间隙应不大于 2.0mm。 </w:t>
      </w:r>
    </w:p>
    <w:p w14:paraId="7547123B">
      <w:pPr>
        <w:spacing w:line="560" w:lineRule="exact"/>
        <w:ind w:firstLine="320" w:firstLineChars="100"/>
        <w:rPr>
          <w:rFonts w:ascii="仿宋_GB2312" w:hAnsi="仿宋_GB2312" w:eastAsia="仿宋_GB2312" w:cs="仿宋_GB2312"/>
          <w:sz w:val="32"/>
          <w:szCs w:val="32"/>
        </w:rPr>
      </w:pPr>
      <w:r>
        <w:rPr>
          <w:rFonts w:hint="eastAsia" w:ascii="仿宋_GB2312" w:hAnsi="仿宋_GB2312" w:eastAsia="仿宋_GB2312" w:cs="仿宋_GB2312"/>
          <w:sz w:val="32"/>
          <w:szCs w:val="32"/>
        </w:rPr>
        <w:t>5.3.8</w:t>
      </w:r>
      <w:r>
        <w:rPr>
          <w:rFonts w:ascii="仿宋_GB2312" w:hAnsi="仿宋_GB2312" w:eastAsia="仿宋_GB2312" w:cs="仿宋_GB2312"/>
          <w:sz w:val="32"/>
          <w:szCs w:val="32"/>
        </w:rPr>
        <w:t xml:space="preserve">搁板、挂板应能沿立柱的垂直方向调整高度。 </w:t>
      </w:r>
    </w:p>
    <w:p w14:paraId="36697A7A">
      <w:pPr>
        <w:spacing w:line="560" w:lineRule="exact"/>
        <w:ind w:firstLine="320" w:firstLineChars="100"/>
        <w:rPr>
          <w:rFonts w:ascii="仿宋_GB2312" w:hAnsi="仿宋_GB2312" w:eastAsia="仿宋_GB2312" w:cs="仿宋_GB2312"/>
          <w:sz w:val="32"/>
          <w:szCs w:val="32"/>
        </w:rPr>
      </w:pPr>
      <w:r>
        <w:rPr>
          <w:rFonts w:hint="eastAsia" w:ascii="仿宋_GB2312" w:hAnsi="仿宋_GB2312" w:eastAsia="仿宋_GB2312" w:cs="仿宋_GB2312"/>
          <w:sz w:val="32"/>
          <w:szCs w:val="32"/>
        </w:rPr>
        <w:t>5.3.9</w:t>
      </w:r>
      <w:r>
        <w:rPr>
          <w:rFonts w:ascii="仿宋_GB2312" w:hAnsi="仿宋_GB2312" w:eastAsia="仿宋_GB2312" w:cs="仿宋_GB2312"/>
          <w:sz w:val="32"/>
          <w:szCs w:val="32"/>
        </w:rPr>
        <w:t xml:space="preserve">同一型号规格的搁板之间应能互换、同一型号规格的挂板之间应能互换。 </w:t>
      </w:r>
    </w:p>
    <w:p w14:paraId="2BFD0421">
      <w:pPr>
        <w:spacing w:line="560" w:lineRule="exact"/>
        <w:ind w:firstLine="320" w:firstLineChars="100"/>
        <w:rPr>
          <w:rFonts w:ascii="仿宋_GB2312" w:hAnsi="仿宋_GB2312" w:eastAsia="仿宋_GB2312" w:cs="仿宋_GB2312"/>
          <w:sz w:val="32"/>
          <w:szCs w:val="32"/>
        </w:rPr>
      </w:pPr>
      <w:r>
        <w:rPr>
          <w:rFonts w:hint="eastAsia" w:ascii="仿宋_GB2312" w:hAnsi="仿宋_GB2312" w:eastAsia="仿宋_GB2312" w:cs="仿宋_GB2312"/>
          <w:sz w:val="32"/>
          <w:szCs w:val="32"/>
        </w:rPr>
        <w:t>5.3.10</w:t>
      </w:r>
      <w:r>
        <w:rPr>
          <w:rFonts w:ascii="仿宋_GB2312" w:hAnsi="仿宋_GB2312" w:eastAsia="仿宋_GB2312" w:cs="仿宋_GB2312"/>
          <w:sz w:val="32"/>
          <w:szCs w:val="32"/>
        </w:rPr>
        <w:t>安装完成后，</w:t>
      </w:r>
      <w:r>
        <w:rPr>
          <w:rFonts w:hint="eastAsia" w:ascii="仿宋_GB2312" w:hAnsi="仿宋_GB2312" w:eastAsia="仿宋_GB2312" w:cs="仿宋_GB2312"/>
          <w:sz w:val="32"/>
          <w:szCs w:val="32"/>
        </w:rPr>
        <w:t>档案</w:t>
      </w:r>
      <w:r>
        <w:rPr>
          <w:rFonts w:ascii="仿宋_GB2312" w:hAnsi="仿宋_GB2312" w:eastAsia="仿宋_GB2312" w:cs="仿宋_GB2312"/>
          <w:sz w:val="32"/>
          <w:szCs w:val="32"/>
        </w:rPr>
        <w:t>上架后的最低处离地高度不得低于 20cm。</w:t>
      </w:r>
    </w:p>
    <w:p w14:paraId="09338B01">
      <w:pPr>
        <w:spacing w:line="560" w:lineRule="exact"/>
        <w:ind w:firstLine="320" w:firstLineChars="100"/>
        <w:rPr>
          <w:rFonts w:ascii="仿宋_GB2312" w:hAnsi="仿宋_GB2312" w:eastAsia="仿宋_GB2312" w:cs="仿宋_GB2312"/>
          <w:sz w:val="32"/>
          <w:szCs w:val="32"/>
        </w:rPr>
      </w:pPr>
      <w:r>
        <w:rPr>
          <w:rFonts w:hint="eastAsia" w:ascii="仿宋_GB2312" w:hAnsi="仿宋_GB2312" w:eastAsia="仿宋_GB2312" w:cs="仿宋_GB2312"/>
          <w:sz w:val="32"/>
          <w:szCs w:val="32"/>
        </w:rPr>
        <w:t>5.3.11</w:t>
      </w:r>
      <w:r>
        <w:rPr>
          <w:rFonts w:ascii="仿宋_GB2312" w:hAnsi="仿宋_GB2312" w:eastAsia="仿宋_GB2312" w:cs="仿宋_GB2312"/>
          <w:sz w:val="32"/>
          <w:szCs w:val="32"/>
        </w:rPr>
        <w:t>安装完成后，根据 8 度对应的罕遇地震的设计标准，防震性能可达到 8 度烈</w:t>
      </w:r>
      <w:r>
        <w:rPr>
          <w:rFonts w:hint="eastAsia" w:ascii="仿宋_GB2312" w:hAnsi="仿宋_GB2312" w:eastAsia="仿宋_GB2312" w:cs="仿宋_GB2312"/>
          <w:sz w:val="32"/>
          <w:szCs w:val="32"/>
        </w:rPr>
        <w:t>度的加速度要求。</w:t>
      </w:r>
    </w:p>
    <w:p w14:paraId="49D20B16">
      <w:pPr>
        <w:spacing w:line="560" w:lineRule="exact"/>
        <w:ind w:firstLine="320" w:firstLineChars="10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5.3.12 </w:t>
      </w:r>
      <w:r>
        <w:rPr>
          <w:rFonts w:ascii="仿宋_GB2312" w:hAnsi="仿宋_GB2312" w:eastAsia="仿宋_GB2312" w:cs="仿宋_GB2312"/>
          <w:sz w:val="32"/>
          <w:szCs w:val="32"/>
        </w:rPr>
        <w:t>库房内部的深度保洁</w:t>
      </w:r>
      <w:r>
        <w:rPr>
          <w:rFonts w:hint="eastAsia" w:ascii="仿宋_GB2312" w:hAnsi="仿宋_GB2312" w:eastAsia="仿宋_GB2312" w:cs="仿宋_GB2312"/>
          <w:sz w:val="32"/>
          <w:szCs w:val="32"/>
        </w:rPr>
        <w:t>。架体内部及外表面（含顶板）用干抹布擦拭，无积灰、手印；房间地面清扫、吸尘，无积灰、无垃圾滞留。</w:t>
      </w:r>
    </w:p>
    <w:p w14:paraId="232DDDFB">
      <w:pPr>
        <w:spacing w:line="560" w:lineRule="exact"/>
        <w:rPr>
          <w:rFonts w:ascii="黑体" w:hAnsi="黑体" w:eastAsia="黑体" w:cs="黑体"/>
          <w:bCs/>
          <w:sz w:val="32"/>
          <w:szCs w:val="32"/>
        </w:rPr>
      </w:pPr>
      <w:r>
        <w:rPr>
          <w:rFonts w:hint="eastAsia" w:ascii="黑体" w:hAnsi="黑体" w:eastAsia="黑体" w:cs="黑体"/>
          <w:bCs/>
          <w:sz w:val="32"/>
          <w:szCs w:val="32"/>
        </w:rPr>
        <w:t>6.</w:t>
      </w:r>
      <w:r>
        <w:rPr>
          <w:rFonts w:ascii="黑体" w:hAnsi="黑体" w:eastAsia="黑体" w:cs="黑体"/>
          <w:bCs/>
          <w:sz w:val="32"/>
          <w:szCs w:val="32"/>
        </w:rPr>
        <w:t>工期要求</w:t>
      </w:r>
    </w:p>
    <w:p w14:paraId="4858E563">
      <w:pPr>
        <w:spacing w:line="560" w:lineRule="exact"/>
        <w:ind w:firstLine="640" w:firstLineChars="200"/>
        <w:rPr>
          <w:rFonts w:ascii="仿宋_GB2312" w:hAnsi="仿宋_GB2312" w:eastAsia="仿宋_GB2312" w:cs="仿宋_GB2312"/>
          <w:color w:val="000000"/>
          <w:sz w:val="32"/>
          <w:szCs w:val="32"/>
        </w:rPr>
      </w:pPr>
      <w:r>
        <w:rPr>
          <w:rFonts w:ascii="仿宋_GB2312" w:hAnsi="仿宋_GB2312" w:eastAsia="仿宋_GB2312" w:cs="仿宋_GB2312"/>
          <w:color w:val="000000"/>
          <w:sz w:val="32"/>
          <w:szCs w:val="32"/>
        </w:rPr>
        <w:t>项目涉及的产品的生产、送货、安装、库房内部的深度保洁等工作必须于合同签订后60个工作日内全部完成。</w:t>
      </w:r>
    </w:p>
    <w:p w14:paraId="76DDC4EB">
      <w:pPr>
        <w:spacing w:line="560" w:lineRule="exact"/>
        <w:rPr>
          <w:rFonts w:ascii="黑体" w:hAnsi="黑体" w:eastAsia="黑体" w:cs="黑体"/>
          <w:bCs/>
          <w:sz w:val="32"/>
          <w:szCs w:val="32"/>
        </w:rPr>
      </w:pPr>
      <w:r>
        <w:rPr>
          <w:rFonts w:hint="eastAsia" w:ascii="黑体" w:hAnsi="黑体" w:eastAsia="黑体" w:cs="黑体"/>
          <w:bCs/>
          <w:sz w:val="32"/>
          <w:szCs w:val="32"/>
        </w:rPr>
        <w:t>7.验收</w:t>
      </w:r>
      <w:r>
        <w:rPr>
          <w:rFonts w:ascii="黑体" w:hAnsi="黑体" w:eastAsia="黑体" w:cs="黑体"/>
          <w:bCs/>
          <w:sz w:val="32"/>
          <w:szCs w:val="32"/>
        </w:rPr>
        <w:t>要求</w:t>
      </w:r>
    </w:p>
    <w:p w14:paraId="3240135E">
      <w:pPr>
        <w:spacing w:line="560" w:lineRule="exact"/>
        <w:ind w:left="4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7.1验收地点：</w:t>
      </w:r>
      <w:r>
        <w:rPr>
          <w:rFonts w:hint="eastAsia" w:ascii="仿宋_GB2312" w:hAnsi="仿宋_GB2312" w:eastAsia="仿宋_GB2312" w:cs="仿宋_GB2312"/>
          <w:color w:val="000000"/>
          <w:sz w:val="32"/>
          <w:szCs w:val="32"/>
          <w:lang w:eastAsia="zh-CN"/>
        </w:rPr>
        <w:t>采购人</w:t>
      </w:r>
      <w:r>
        <w:rPr>
          <w:rFonts w:hint="eastAsia" w:ascii="仿宋_GB2312" w:hAnsi="仿宋_GB2312" w:eastAsia="仿宋_GB2312" w:cs="仿宋_GB2312"/>
          <w:color w:val="000000"/>
          <w:sz w:val="32"/>
          <w:szCs w:val="32"/>
        </w:rPr>
        <w:t>使用现场。</w:t>
      </w:r>
    </w:p>
    <w:p w14:paraId="65F6B2D8">
      <w:pPr>
        <w:spacing w:line="560" w:lineRule="exact"/>
        <w:ind w:left="4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7.2验收标准和内容：按照招投标文件、技术协议以及相关的标准和规范等，对</w:t>
      </w:r>
      <w:r>
        <w:rPr>
          <w:rFonts w:ascii="仿宋_GB2312" w:hAnsi="仿宋_GB2312" w:eastAsia="仿宋_GB2312" w:cs="仿宋_GB2312"/>
          <w:color w:val="000000"/>
          <w:sz w:val="32"/>
          <w:szCs w:val="32"/>
        </w:rPr>
        <w:t>固定</w:t>
      </w:r>
      <w:r>
        <w:rPr>
          <w:rFonts w:hint="eastAsia" w:ascii="仿宋_GB2312" w:hAnsi="仿宋_GB2312" w:eastAsia="仿宋_GB2312" w:cs="仿宋_GB2312"/>
          <w:color w:val="000000"/>
          <w:sz w:val="32"/>
          <w:szCs w:val="32"/>
        </w:rPr>
        <w:t>架的技术性能、参数、安全功能等进行交收检验、验收。</w:t>
      </w:r>
    </w:p>
    <w:p w14:paraId="3DF52157">
      <w:pPr>
        <w:spacing w:line="560" w:lineRule="exact"/>
        <w:ind w:left="400"/>
        <w:rPr>
          <w:rFonts w:ascii="仿宋_GB2312" w:hAnsi="仿宋_GB2312" w:eastAsia="仿宋_GB2312" w:cs="仿宋_GB2312"/>
          <w:sz w:val="32"/>
          <w:szCs w:val="32"/>
        </w:rPr>
      </w:pPr>
      <w:r>
        <w:rPr>
          <w:rFonts w:hint="eastAsia" w:ascii="仿宋_GB2312" w:hAnsi="仿宋_GB2312" w:eastAsia="仿宋_GB2312" w:cs="仿宋_GB2312"/>
          <w:sz w:val="32"/>
          <w:szCs w:val="32"/>
        </w:rPr>
        <w:t>7.3中标方在调试结束后通知</w:t>
      </w:r>
      <w:r>
        <w:rPr>
          <w:rFonts w:hint="eastAsia" w:ascii="仿宋_GB2312" w:hAnsi="仿宋_GB2312" w:eastAsia="仿宋_GB2312" w:cs="仿宋_GB2312"/>
          <w:sz w:val="32"/>
          <w:szCs w:val="32"/>
          <w:lang w:eastAsia="zh-CN"/>
        </w:rPr>
        <w:t>采购人</w:t>
      </w:r>
      <w:r>
        <w:rPr>
          <w:rFonts w:hint="eastAsia" w:ascii="仿宋_GB2312" w:hAnsi="仿宋_GB2312" w:eastAsia="仿宋_GB2312" w:cs="仿宋_GB2312"/>
          <w:sz w:val="32"/>
          <w:szCs w:val="32"/>
        </w:rPr>
        <w:t>组织验收，确认合格后签字认可。</w:t>
      </w:r>
    </w:p>
    <w:p w14:paraId="705BC4E6">
      <w:pPr>
        <w:spacing w:line="560" w:lineRule="exact"/>
        <w:rPr>
          <w:rFonts w:ascii="黑体" w:hAnsi="黑体" w:eastAsia="黑体" w:cs="黑体"/>
          <w:bCs/>
          <w:sz w:val="32"/>
          <w:szCs w:val="32"/>
        </w:rPr>
      </w:pPr>
      <w:bookmarkStart w:id="1" w:name="_Toc157433903"/>
      <w:bookmarkEnd w:id="1"/>
      <w:r>
        <w:rPr>
          <w:rFonts w:hint="eastAsia" w:ascii="黑体" w:hAnsi="黑体" w:eastAsia="黑体" w:cs="黑体"/>
          <w:bCs/>
          <w:sz w:val="32"/>
          <w:szCs w:val="32"/>
        </w:rPr>
        <w:t>8.售后服务</w:t>
      </w:r>
    </w:p>
    <w:p w14:paraId="4D1782CD">
      <w:pPr>
        <w:spacing w:line="560" w:lineRule="exact"/>
        <w:ind w:left="4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8.1质保期为最终验收合格后计算，质保期不少于5年。</w:t>
      </w:r>
    </w:p>
    <w:p w14:paraId="514E0EEA">
      <w:pPr>
        <w:spacing w:line="560" w:lineRule="exact"/>
        <w:ind w:left="4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8.2质保期内免费更换因质量问题而引起损坏的部件和零件。同时中标方须在2小时内做出响应，24小时内到达现场或提出解决方案。更换的零、部件的质保期自更换好后重新计算。</w:t>
      </w:r>
    </w:p>
    <w:p w14:paraId="193CAAC4">
      <w:pPr>
        <w:spacing w:line="560" w:lineRule="exact"/>
        <w:ind w:left="4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8.3质保期外，中标方有义务对其产品进行售后服务。接到</w:t>
      </w:r>
      <w:r>
        <w:rPr>
          <w:rFonts w:hint="eastAsia" w:ascii="仿宋_GB2312" w:hAnsi="仿宋_GB2312" w:eastAsia="仿宋_GB2312" w:cs="仿宋_GB2312"/>
          <w:color w:val="000000"/>
          <w:sz w:val="32"/>
          <w:szCs w:val="32"/>
          <w:lang w:eastAsia="zh-CN"/>
        </w:rPr>
        <w:t>采购人</w:t>
      </w:r>
      <w:r>
        <w:rPr>
          <w:rFonts w:hint="eastAsia" w:ascii="仿宋_GB2312" w:hAnsi="仿宋_GB2312" w:eastAsia="仿宋_GB2312" w:cs="仿宋_GB2312"/>
          <w:color w:val="000000"/>
          <w:sz w:val="32"/>
          <w:szCs w:val="32"/>
        </w:rPr>
        <w:t>通知后，在2小时之内做出响应，24小时内到达现场解决设备故障或提出解决方案。</w:t>
      </w:r>
    </w:p>
    <w:p w14:paraId="3BA7CD06">
      <w:pPr>
        <w:spacing w:line="560" w:lineRule="exact"/>
        <w:ind w:left="4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8.4中标方派往现场的技术人员，需具有较高业务素质，现场解决问题时，不会无故拖延，能为</w:t>
      </w:r>
      <w:r>
        <w:rPr>
          <w:rFonts w:hint="eastAsia" w:ascii="仿宋_GB2312" w:hAnsi="仿宋_GB2312" w:eastAsia="仿宋_GB2312" w:cs="仿宋_GB2312"/>
          <w:color w:val="000000"/>
          <w:sz w:val="32"/>
          <w:szCs w:val="32"/>
          <w:lang w:eastAsia="zh-CN"/>
        </w:rPr>
        <w:t>采购人</w:t>
      </w:r>
      <w:r>
        <w:rPr>
          <w:rFonts w:hint="eastAsia" w:ascii="仿宋_GB2312" w:hAnsi="仿宋_GB2312" w:eastAsia="仿宋_GB2312" w:cs="仿宋_GB2312"/>
          <w:color w:val="000000"/>
          <w:sz w:val="32"/>
          <w:szCs w:val="32"/>
        </w:rPr>
        <w:t>提供最佳的服务。</w:t>
      </w:r>
    </w:p>
    <w:p w14:paraId="217D755A">
      <w:pPr>
        <w:spacing w:line="560" w:lineRule="exact"/>
        <w:ind w:left="4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8.5中标方（投标方）承诺质保期后至少十年内，能正常提供其备配件、易损件，并提供技术支持；投标方在报价时对所有的备品备件、易损件、工程师现场服务价格进行单独报价，并承诺质保期满后三年内价格不变。</w:t>
      </w:r>
    </w:p>
    <w:p w14:paraId="6B94B590">
      <w:pPr>
        <w:spacing w:line="560" w:lineRule="exact"/>
        <w:ind w:left="4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8.6随时提供免费的技术咨询并向</w:t>
      </w:r>
      <w:r>
        <w:rPr>
          <w:rFonts w:hint="eastAsia" w:ascii="仿宋_GB2312" w:hAnsi="仿宋_GB2312" w:eastAsia="仿宋_GB2312" w:cs="仿宋_GB2312"/>
          <w:color w:val="000000"/>
          <w:sz w:val="32"/>
          <w:szCs w:val="32"/>
          <w:lang w:eastAsia="zh-CN"/>
        </w:rPr>
        <w:t>采购人</w:t>
      </w:r>
      <w:r>
        <w:rPr>
          <w:rFonts w:hint="eastAsia" w:ascii="仿宋_GB2312" w:hAnsi="仿宋_GB2312" w:eastAsia="仿宋_GB2312" w:cs="仿宋_GB2312"/>
          <w:color w:val="000000"/>
          <w:sz w:val="32"/>
          <w:szCs w:val="32"/>
        </w:rPr>
        <w:t>通报最新的技术动向。</w:t>
      </w:r>
    </w:p>
    <w:p w14:paraId="2E2ED823">
      <w:pPr>
        <w:spacing w:line="560" w:lineRule="exact"/>
        <w:rPr>
          <w:rFonts w:ascii="黑体" w:hAnsi="黑体" w:eastAsia="黑体" w:cs="黑体"/>
          <w:bCs/>
          <w:sz w:val="32"/>
          <w:szCs w:val="32"/>
        </w:rPr>
      </w:pPr>
      <w:r>
        <w:rPr>
          <w:rFonts w:hint="eastAsia" w:ascii="黑体" w:hAnsi="黑体" w:eastAsia="黑体" w:cs="黑体"/>
          <w:bCs/>
          <w:sz w:val="32"/>
          <w:szCs w:val="32"/>
          <w:lang w:val="en-US" w:eastAsia="zh-CN"/>
        </w:rPr>
        <w:t>9</w:t>
      </w:r>
      <w:r>
        <w:rPr>
          <w:rFonts w:hint="eastAsia" w:ascii="黑体" w:hAnsi="黑体" w:eastAsia="黑体" w:cs="黑体"/>
          <w:bCs/>
          <w:sz w:val="32"/>
          <w:szCs w:val="32"/>
        </w:rPr>
        <w:t>.</w:t>
      </w:r>
      <w:r>
        <w:rPr>
          <w:rFonts w:ascii="黑体" w:hAnsi="黑体" w:eastAsia="黑体" w:cs="黑体"/>
          <w:bCs/>
          <w:sz w:val="32"/>
          <w:szCs w:val="32"/>
        </w:rPr>
        <w:t>样品要求</w:t>
      </w:r>
    </w:p>
    <w:p w14:paraId="22CFFDB3">
      <w:pPr>
        <w:numPr>
          <w:ilvl w:val="255"/>
          <w:numId w:val="0"/>
        </w:numPr>
        <w:ind w:firstLine="320" w:firstLineChars="100"/>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.1</w:t>
      </w:r>
      <w:r>
        <w:rPr>
          <w:rFonts w:ascii="仿宋_GB2312" w:hAnsi="仿宋_GB2312" w:eastAsia="仿宋_GB2312" w:cs="仿宋_GB2312"/>
          <w:sz w:val="32"/>
          <w:szCs w:val="32"/>
        </w:rPr>
        <w:t>投标方根据</w:t>
      </w:r>
      <w:r>
        <w:rPr>
          <w:rFonts w:hint="eastAsia" w:ascii="仿宋_GB2312" w:hAnsi="仿宋_GB2312" w:eastAsia="仿宋_GB2312" w:cs="仿宋_GB2312"/>
          <w:sz w:val="32"/>
          <w:szCs w:val="32"/>
          <w:lang w:eastAsia="zh-CN"/>
        </w:rPr>
        <w:t>采购需求</w:t>
      </w:r>
      <w:r>
        <w:rPr>
          <w:rFonts w:ascii="仿宋_GB2312" w:hAnsi="仿宋_GB2312" w:eastAsia="仿宋_GB2312" w:cs="仿宋_GB2312"/>
          <w:sz w:val="32"/>
          <w:szCs w:val="32"/>
        </w:rPr>
        <w:t>要求制作样品，</w:t>
      </w:r>
      <w:r>
        <w:rPr>
          <w:rFonts w:hint="eastAsia" w:ascii="仿宋_GB2312" w:hAnsi="仿宋_GB2312" w:eastAsia="仿宋_GB2312" w:cs="仿宋_GB2312"/>
          <w:sz w:val="32"/>
          <w:szCs w:val="32"/>
        </w:rPr>
        <w:t>样</w:t>
      </w:r>
      <w:r>
        <w:rPr>
          <w:rFonts w:ascii="仿宋_GB2312" w:hAnsi="仿宋_GB2312" w:eastAsia="仿宋_GB2312" w:cs="仿宋_GB2312"/>
          <w:sz w:val="32"/>
          <w:szCs w:val="32"/>
        </w:rPr>
        <w:t>品技术要求与购置的要求一致。样品由投标方根据招标</w:t>
      </w:r>
      <w:r>
        <w:rPr>
          <w:rFonts w:hint="eastAsia" w:ascii="仿宋_GB2312" w:hAnsi="仿宋_GB2312" w:eastAsia="仿宋_GB2312" w:cs="仿宋_GB2312"/>
          <w:sz w:val="32"/>
          <w:szCs w:val="32"/>
          <w:lang w:eastAsia="zh-CN"/>
        </w:rPr>
        <w:t>文件</w:t>
      </w:r>
      <w:r>
        <w:rPr>
          <w:rFonts w:ascii="仿宋_GB2312" w:hAnsi="仿宋_GB2312" w:eastAsia="仿宋_GB2312" w:cs="仿宋_GB2312"/>
          <w:sz w:val="32"/>
          <w:szCs w:val="32"/>
        </w:rPr>
        <w:t>指定的地点和时间段内完成</w:t>
      </w:r>
      <w:r>
        <w:rPr>
          <w:rFonts w:hint="eastAsia" w:ascii="仿宋_GB2312" w:hAnsi="仿宋_GB2312" w:eastAsia="仿宋_GB2312" w:cs="仿宋_GB2312"/>
          <w:sz w:val="32"/>
          <w:szCs w:val="32"/>
        </w:rPr>
        <w:t>送样</w:t>
      </w:r>
      <w:r>
        <w:rPr>
          <w:rFonts w:ascii="仿宋_GB2312" w:hAnsi="仿宋_GB2312" w:eastAsia="仿宋_GB2312" w:cs="仿宋_GB2312"/>
          <w:sz w:val="32"/>
          <w:szCs w:val="32"/>
        </w:rPr>
        <w:t>。开标结束后未中标样品在规定时间内由投标方自行运走，中标方的样品进行封存作为验收的依据。出样所需费用由投标方自行承担。</w:t>
      </w:r>
    </w:p>
    <w:p w14:paraId="5A3E8B83">
      <w:pPr>
        <w:numPr>
          <w:ilvl w:val="255"/>
          <w:numId w:val="0"/>
        </w:numPr>
        <w:ind w:firstLine="320" w:firstLineChars="100"/>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.2样品尺寸要求：</w:t>
      </w:r>
    </w:p>
    <w:p w14:paraId="082E26EE">
      <w:pPr>
        <w:numPr>
          <w:ilvl w:val="255"/>
          <w:numId w:val="0"/>
        </w:numPr>
        <w:ind w:firstLine="320" w:firstLineChars="100"/>
        <w:rPr>
          <w:rFonts w:ascii="仿宋_GB2312" w:hAnsi="仿宋_GB2312" w:eastAsia="仿宋_GB2312" w:cs="仿宋_GB2312"/>
          <w:sz w:val="32"/>
          <w:szCs w:val="32"/>
        </w:rPr>
      </w:pPr>
      <w:r>
        <w:rPr>
          <w:rFonts w:hint="eastAsia" w:ascii="仿宋_GB2312" w:hAnsi="仿宋_GB2312" w:eastAsia="仿宋_GB2312" w:cs="仿宋_GB2312"/>
          <w:sz w:val="32"/>
          <w:szCs w:val="32"/>
        </w:rPr>
        <w:t>底盘样品：制作规格500*580mm；</w:t>
      </w:r>
    </w:p>
    <w:p w14:paraId="41DA2634">
      <w:pPr>
        <w:numPr>
          <w:ilvl w:val="255"/>
          <w:numId w:val="0"/>
        </w:numPr>
        <w:ind w:firstLine="320" w:firstLineChars="100"/>
        <w:rPr>
          <w:rFonts w:ascii="仿宋_GB2312" w:hAnsi="仿宋_GB2312" w:eastAsia="仿宋_GB2312" w:cs="仿宋_GB2312"/>
          <w:sz w:val="32"/>
          <w:szCs w:val="32"/>
        </w:rPr>
      </w:pPr>
      <w:r>
        <w:rPr>
          <w:rFonts w:hint="eastAsia" w:ascii="仿宋_GB2312" w:hAnsi="仿宋_GB2312" w:eastAsia="仿宋_GB2312" w:cs="仿宋_GB2312"/>
          <w:sz w:val="32"/>
          <w:szCs w:val="32"/>
        </w:rPr>
        <w:t>立柱样品：截取300mm一段（需完整展示挂板间的连接结构）</w:t>
      </w:r>
    </w:p>
    <w:p w14:paraId="7C8A3EA3">
      <w:pPr>
        <w:numPr>
          <w:ilvl w:val="255"/>
          <w:numId w:val="0"/>
        </w:numPr>
        <w:ind w:firstLine="320" w:firstLineChars="10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搁板样品：截取宽*深为300*250mm一块（需完整展示折边、加强筋、挂板连接工艺）</w:t>
      </w:r>
    </w:p>
    <w:p w14:paraId="65CCFD46">
      <w:pPr>
        <w:numPr>
          <w:ilvl w:val="255"/>
          <w:numId w:val="0"/>
        </w:numPr>
        <w:ind w:firstLine="320" w:firstLineChars="10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防尘门样品：截取高*宽为500*450mm一块，带门锁、把手（需完整展示折边、锁具安装、门扇固定工艺）</w:t>
      </w:r>
    </w:p>
    <w:p w14:paraId="55202B61">
      <w:pPr>
        <w:numPr>
          <w:ilvl w:val="255"/>
          <w:numId w:val="0"/>
        </w:numPr>
        <w:spacing w:line="560" w:lineRule="exact"/>
        <w:rPr>
          <w:rFonts w:ascii="黑体" w:hAnsi="黑体" w:eastAsia="黑体" w:cs="黑体"/>
          <w:bCs/>
          <w:sz w:val="32"/>
          <w:szCs w:val="32"/>
        </w:rPr>
      </w:pPr>
      <w:r>
        <w:rPr>
          <w:rFonts w:hint="eastAsia" w:ascii="黑体" w:hAnsi="黑体" w:eastAsia="黑体" w:cs="黑体"/>
          <w:bCs/>
          <w:sz w:val="32"/>
          <w:szCs w:val="32"/>
        </w:rPr>
        <w:t>1</w:t>
      </w:r>
      <w:r>
        <w:rPr>
          <w:rFonts w:hint="eastAsia" w:ascii="黑体" w:hAnsi="黑体" w:eastAsia="黑体" w:cs="黑体"/>
          <w:bCs/>
          <w:sz w:val="32"/>
          <w:szCs w:val="32"/>
          <w:lang w:val="en-US" w:eastAsia="zh-CN"/>
        </w:rPr>
        <w:t>0</w:t>
      </w:r>
      <w:r>
        <w:rPr>
          <w:rFonts w:hint="eastAsia" w:ascii="黑体" w:hAnsi="黑体" w:eastAsia="黑体" w:cs="黑体"/>
          <w:bCs/>
          <w:sz w:val="32"/>
          <w:szCs w:val="32"/>
        </w:rPr>
        <w:t>.其他</w:t>
      </w:r>
    </w:p>
    <w:p w14:paraId="1426CFAF">
      <w:pPr>
        <w:numPr>
          <w:ilvl w:val="255"/>
          <w:numId w:val="0"/>
        </w:numPr>
        <w:spacing w:line="560" w:lineRule="exact"/>
        <w:ind w:firstLine="320" w:firstLineChars="1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.1</w:t>
      </w:r>
      <w:r>
        <w:rPr>
          <w:rFonts w:ascii="仿宋_GB2312" w:hAnsi="仿宋_GB2312" w:eastAsia="仿宋_GB2312" w:cs="仿宋_GB2312"/>
          <w:color w:val="000000"/>
          <w:sz w:val="32"/>
          <w:szCs w:val="32"/>
        </w:rPr>
        <w:t>本</w:t>
      </w:r>
      <w:r>
        <w:rPr>
          <w:rFonts w:hint="eastAsia" w:ascii="仿宋_GB2312" w:hAnsi="仿宋_GB2312" w:eastAsia="仿宋_GB2312" w:cs="仿宋_GB2312"/>
          <w:color w:val="000000"/>
          <w:sz w:val="32"/>
          <w:szCs w:val="32"/>
        </w:rPr>
        <w:t>项目采用固定总价合同。</w:t>
      </w:r>
      <w:r>
        <w:rPr>
          <w:rFonts w:ascii="仿宋_GB2312" w:hAnsi="仿宋_GB2312" w:eastAsia="仿宋_GB2312" w:cs="仿宋_GB2312"/>
          <w:color w:val="000000"/>
          <w:sz w:val="32"/>
          <w:szCs w:val="32"/>
        </w:rPr>
        <w:t>包括所有的零部件、运输、安装、保洁等相关所有费用。</w:t>
      </w:r>
    </w:p>
    <w:p w14:paraId="3C130893">
      <w:pPr>
        <w:numPr>
          <w:ilvl w:val="255"/>
          <w:numId w:val="0"/>
        </w:numPr>
        <w:spacing w:line="560" w:lineRule="exact"/>
        <w:ind w:firstLine="320" w:firstLineChars="100"/>
        <w:rPr>
          <w:rFonts w:hint="default"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10.2投标产品的制造商具有中国环境标志产品认证证书。投标产品的制造商通过质量管理体系认证（GB/T 19001认证）、职业健康安全管理体系认证（GB/T45001 认证）、环境管理体系认证（GB/T24001 认证）。</w:t>
      </w:r>
    </w:p>
    <w:p w14:paraId="2336AD70">
      <w:pPr>
        <w:numPr>
          <w:ilvl w:val="255"/>
          <w:numId w:val="0"/>
        </w:numPr>
        <w:spacing w:line="560" w:lineRule="exact"/>
        <w:ind w:firstLine="320" w:firstLineChars="100"/>
        <w:rPr>
          <w:rFonts w:hint="eastAsia" w:ascii="仿宋_GB2312" w:hAnsi="仿宋_GB2312" w:eastAsia="仿宋_GB2312" w:cs="仿宋_GB2312"/>
          <w:color w:val="000000"/>
          <w:sz w:val="32"/>
          <w:szCs w:val="32"/>
        </w:rPr>
      </w:pPr>
      <w:bookmarkStart w:id="2" w:name="_GoBack"/>
      <w:bookmarkEnd w:id="2"/>
    </w:p>
    <w:p w14:paraId="322FBF96">
      <w:pPr>
        <w:numPr>
          <w:ilvl w:val="255"/>
          <w:numId w:val="0"/>
        </w:numPr>
        <w:spacing w:line="560" w:lineRule="exact"/>
        <w:ind w:firstLine="320" w:firstLineChars="100"/>
        <w:rPr>
          <w:rFonts w:hint="eastAsia" w:ascii="仿宋_GB2312" w:hAnsi="仿宋_GB2312" w:eastAsia="仿宋_GB2312" w:cs="仿宋_GB2312"/>
          <w:color w:val="000000"/>
          <w:sz w:val="32"/>
          <w:szCs w:val="32"/>
        </w:rPr>
      </w:pPr>
    </w:p>
    <w:p w14:paraId="086E34C3">
      <w:pPr>
        <w:numPr>
          <w:ilvl w:val="255"/>
          <w:numId w:val="0"/>
        </w:numPr>
        <w:spacing w:line="560" w:lineRule="exact"/>
        <w:ind w:firstLine="320" w:firstLineChars="100"/>
        <w:rPr>
          <w:rFonts w:hint="eastAsia" w:ascii="仿宋_GB2312" w:hAnsi="仿宋_GB2312" w:eastAsia="仿宋_GB2312" w:cs="仿宋_GB2312"/>
          <w:color w:val="000000"/>
          <w:sz w:val="32"/>
          <w:szCs w:val="32"/>
        </w:rPr>
      </w:pPr>
    </w:p>
    <w:p w14:paraId="28869D67">
      <w:pPr>
        <w:numPr>
          <w:ilvl w:val="255"/>
          <w:numId w:val="0"/>
        </w:numPr>
        <w:spacing w:line="560" w:lineRule="exact"/>
        <w:ind w:firstLine="320" w:firstLineChars="100"/>
        <w:rPr>
          <w:rFonts w:hint="eastAsia" w:ascii="仿宋_GB2312" w:hAnsi="仿宋_GB2312" w:eastAsia="仿宋_GB2312" w:cs="仿宋_GB2312"/>
          <w:color w:val="000000"/>
          <w:sz w:val="32"/>
          <w:szCs w:val="32"/>
        </w:rPr>
      </w:pPr>
    </w:p>
    <w:p w14:paraId="5E532169">
      <w:pPr>
        <w:numPr>
          <w:ilvl w:val="255"/>
          <w:numId w:val="0"/>
        </w:numPr>
        <w:spacing w:line="560" w:lineRule="exact"/>
        <w:ind w:firstLine="320" w:firstLineChars="100"/>
        <w:rPr>
          <w:rFonts w:hint="eastAsia" w:ascii="仿宋_GB2312" w:hAnsi="仿宋_GB2312" w:eastAsia="仿宋_GB2312" w:cs="仿宋_GB2312"/>
          <w:color w:val="000000"/>
          <w:sz w:val="32"/>
          <w:szCs w:val="32"/>
        </w:rPr>
      </w:pPr>
    </w:p>
    <w:p w14:paraId="1F6363DC">
      <w:pPr>
        <w:numPr>
          <w:ilvl w:val="255"/>
          <w:numId w:val="0"/>
        </w:numPr>
        <w:spacing w:line="560" w:lineRule="exact"/>
        <w:ind w:firstLine="320" w:firstLineChars="100"/>
        <w:rPr>
          <w:rFonts w:hint="eastAsia" w:ascii="仿宋_GB2312" w:hAnsi="仿宋_GB2312" w:eastAsia="仿宋_GB2312" w:cs="仿宋_GB2312"/>
          <w:color w:val="000000"/>
          <w:sz w:val="32"/>
          <w:szCs w:val="32"/>
        </w:rPr>
      </w:pPr>
    </w:p>
    <w:p w14:paraId="559CD030">
      <w:pPr>
        <w:numPr>
          <w:ilvl w:val="255"/>
          <w:numId w:val="0"/>
        </w:numPr>
        <w:spacing w:line="560" w:lineRule="exact"/>
        <w:ind w:firstLine="320" w:firstLineChars="100"/>
        <w:rPr>
          <w:rFonts w:hint="eastAsia" w:ascii="仿宋_GB2312" w:hAnsi="仿宋_GB2312" w:eastAsia="仿宋_GB2312" w:cs="仿宋_GB2312"/>
          <w:color w:val="000000"/>
          <w:sz w:val="32"/>
          <w:szCs w:val="32"/>
        </w:rPr>
      </w:pPr>
    </w:p>
    <w:p w14:paraId="48733C1C">
      <w:pPr>
        <w:numPr>
          <w:ilvl w:val="255"/>
          <w:numId w:val="0"/>
        </w:numPr>
        <w:spacing w:line="560" w:lineRule="exact"/>
        <w:ind w:firstLine="320" w:firstLineChars="100"/>
        <w:rPr>
          <w:rFonts w:ascii="仿宋_GB2312" w:hAnsi="仿宋_GB2312" w:eastAsia="仿宋_GB2312" w:cs="仿宋_GB2312"/>
          <w:color w:val="000000"/>
          <w:sz w:val="32"/>
          <w:szCs w:val="32"/>
        </w:rPr>
      </w:pPr>
    </w:p>
    <w:p w14:paraId="12622224">
      <w:pPr>
        <w:numPr>
          <w:ilvl w:val="255"/>
          <w:numId w:val="0"/>
        </w:numPr>
        <w:spacing w:line="560" w:lineRule="exact"/>
        <w:ind w:firstLine="320" w:firstLineChars="1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drawing>
          <wp:anchor distT="0" distB="0" distL="114300" distR="114300" simplePos="0" relativeHeight="251663360" behindDoc="0" locked="0" layoutInCell="1" allowOverlap="1">
            <wp:simplePos x="0" y="0"/>
            <wp:positionH relativeFrom="column">
              <wp:posOffset>-86360</wp:posOffset>
            </wp:positionH>
            <wp:positionV relativeFrom="paragraph">
              <wp:posOffset>514350</wp:posOffset>
            </wp:positionV>
            <wp:extent cx="6115050" cy="3629025"/>
            <wp:effectExtent l="19050" t="0" r="0" b="0"/>
            <wp:wrapSquare wrapText="bothSides"/>
            <wp:docPr id="1" name="图片 1" descr="C:\Documents and Settings\2012\桌面\档案密集架\微信图片_202607030936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Documents and Settings\2012\桌面\档案密集架\微信图片_20260703093644.jpg"/>
                    <pic:cNvPicPr>
                      <a:picLocks noChangeAspect="1" noChangeArrowheads="1"/>
                    </pic:cNvPicPr>
                  </pic:nvPicPr>
                  <pic:blipFill>
                    <a:blip r:embed="rId5" cstate="print"/>
                    <a:srcRect/>
                    <a:stretch>
                      <a:fillRect/>
                    </a:stretch>
                  </pic:blipFill>
                  <pic:spPr>
                    <a:xfrm>
                      <a:off x="0" y="0"/>
                      <a:ext cx="6115050" cy="3629025"/>
                    </a:xfrm>
                    <a:prstGeom prst="rect">
                      <a:avLst/>
                    </a:prstGeom>
                    <a:noFill/>
                    <a:ln w="9525">
                      <a:noFill/>
                      <a:miter lim="800000"/>
                      <a:headEnd/>
                      <a:tailEnd/>
                    </a:ln>
                  </pic:spPr>
                </pic:pic>
              </a:graphicData>
            </a:graphic>
          </wp:anchor>
        </w:drawing>
      </w:r>
      <w:r>
        <w:rPr>
          <w:rFonts w:hint="eastAsia" w:ascii="仿宋_GB2312" w:hAnsi="仿宋_GB2312" w:eastAsia="仿宋_GB2312" w:cs="仿宋_GB2312"/>
          <w:color w:val="000000"/>
          <w:sz w:val="32"/>
          <w:szCs w:val="32"/>
        </w:rPr>
        <w:t>附图：</w:t>
      </w:r>
    </w:p>
    <w:p w14:paraId="6688E975">
      <w:pPr>
        <w:numPr>
          <w:ilvl w:val="255"/>
          <w:numId w:val="0"/>
        </w:numPr>
        <w:spacing w:line="560" w:lineRule="exact"/>
        <w:ind w:firstLine="320" w:firstLineChars="1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drawing>
          <wp:anchor distT="0" distB="0" distL="114300" distR="114300" simplePos="0" relativeHeight="251664384" behindDoc="0" locked="0" layoutInCell="1" allowOverlap="1">
            <wp:simplePos x="0" y="0"/>
            <wp:positionH relativeFrom="column">
              <wp:posOffset>-86360</wp:posOffset>
            </wp:positionH>
            <wp:positionV relativeFrom="paragraph">
              <wp:posOffset>4549775</wp:posOffset>
            </wp:positionV>
            <wp:extent cx="6115050" cy="3629025"/>
            <wp:effectExtent l="19050" t="0" r="0" b="0"/>
            <wp:wrapSquare wrapText="bothSides"/>
            <wp:docPr id="2" name="图片 2" descr="C:\Documents and Settings\2012\桌面\档案密集架\微信图片_202607030936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Documents and Settings\2012\桌面\档案密集架\微信图片_20260703093659.jpg"/>
                    <pic:cNvPicPr>
                      <a:picLocks noChangeAspect="1" noChangeArrowheads="1"/>
                    </pic:cNvPicPr>
                  </pic:nvPicPr>
                  <pic:blipFill>
                    <a:blip r:embed="rId6" cstate="print"/>
                    <a:srcRect/>
                    <a:stretch>
                      <a:fillRect/>
                    </a:stretch>
                  </pic:blipFill>
                  <pic:spPr>
                    <a:xfrm>
                      <a:off x="0" y="0"/>
                      <a:ext cx="6115050" cy="3629025"/>
                    </a:xfrm>
                    <a:prstGeom prst="rect">
                      <a:avLst/>
                    </a:prstGeom>
                    <a:noFill/>
                    <a:ln w="9525">
                      <a:noFill/>
                      <a:miter lim="800000"/>
                      <a:headEnd/>
                      <a:tailEnd/>
                    </a:ln>
                  </pic:spPr>
                </pic:pic>
              </a:graphicData>
            </a:graphic>
          </wp:anchor>
        </w:drawing>
      </w:r>
    </w:p>
    <w:p w14:paraId="079F466D">
      <w:pPr>
        <w:numPr>
          <w:ilvl w:val="255"/>
          <w:numId w:val="0"/>
        </w:numPr>
        <w:spacing w:line="560" w:lineRule="exact"/>
        <w:ind w:firstLine="320" w:firstLineChars="100"/>
        <w:rPr>
          <w:rFonts w:ascii="仿宋_GB2312" w:hAnsi="仿宋_GB2312" w:eastAsia="仿宋_GB2312" w:cs="仿宋_GB2312"/>
          <w:color w:val="000000"/>
          <w:sz w:val="32"/>
          <w:szCs w:val="32"/>
        </w:rPr>
      </w:pPr>
    </w:p>
    <w:p w14:paraId="7C79A79D">
      <w:pPr>
        <w:numPr>
          <w:ilvl w:val="255"/>
          <w:numId w:val="0"/>
        </w:numPr>
        <w:spacing w:line="560" w:lineRule="exact"/>
        <w:ind w:firstLine="320" w:firstLineChars="1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drawing>
          <wp:anchor distT="0" distB="0" distL="114300" distR="114300" simplePos="0" relativeHeight="251665408" behindDoc="0" locked="0" layoutInCell="1" allowOverlap="1">
            <wp:simplePos x="0" y="0"/>
            <wp:positionH relativeFrom="column">
              <wp:posOffset>-86360</wp:posOffset>
            </wp:positionH>
            <wp:positionV relativeFrom="paragraph">
              <wp:posOffset>38100</wp:posOffset>
            </wp:positionV>
            <wp:extent cx="6115050" cy="3629025"/>
            <wp:effectExtent l="19050" t="0" r="0" b="0"/>
            <wp:wrapSquare wrapText="bothSides"/>
            <wp:docPr id="3" name="图片 3" descr="C:\Documents and Settings\2012\桌面\档案密集架\微信图片_202607030937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C:\Documents and Settings\2012\桌面\档案密集架\微信图片_20260703093710.jpg"/>
                    <pic:cNvPicPr>
                      <a:picLocks noChangeAspect="1" noChangeArrowheads="1"/>
                    </pic:cNvPicPr>
                  </pic:nvPicPr>
                  <pic:blipFill>
                    <a:blip r:embed="rId7" cstate="print"/>
                    <a:srcRect/>
                    <a:stretch>
                      <a:fillRect/>
                    </a:stretch>
                  </pic:blipFill>
                  <pic:spPr>
                    <a:xfrm>
                      <a:off x="0" y="0"/>
                      <a:ext cx="6115050" cy="3629025"/>
                    </a:xfrm>
                    <a:prstGeom prst="rect">
                      <a:avLst/>
                    </a:prstGeom>
                    <a:noFill/>
                    <a:ln w="9525">
                      <a:noFill/>
                      <a:miter lim="800000"/>
                      <a:headEnd/>
                      <a:tailEnd/>
                    </a:ln>
                  </pic:spPr>
                </pic:pic>
              </a:graphicData>
            </a:graphic>
          </wp:anchor>
        </w:drawing>
      </w:r>
    </w:p>
    <w:sectPr>
      <w:footerReference r:id="rId3" w:type="default"/>
      <w:pgSz w:w="11906" w:h="16838"/>
      <w:pgMar w:top="1440" w:right="991" w:bottom="1440" w:left="1276"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文泉驿微米黑"/>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CESI黑体-GB13000"/>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Wingdings 3"/>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文泉驿微米黑">
    <w:panose1 w:val="020B0606030804020204"/>
    <w:charset w:val="86"/>
    <w:family w:val="auto"/>
    <w:pitch w:val="default"/>
    <w:sig w:usb0="E10002EF" w:usb1="6BDFFCFB" w:usb2="00800036" w:usb3="00000000" w:csb0="603E019F" w:csb1="DFD70000"/>
  </w:font>
  <w:font w:name="等线">
    <w:altName w:val="Noto Sans CJK SC"/>
    <w:panose1 w:val="00000000000000000000"/>
    <w:charset w:val="86"/>
    <w:family w:val="roman"/>
    <w:pitch w:val="default"/>
    <w:sig w:usb0="00000000" w:usb1="00000000" w:usb2="00000000" w:usb3="00000000" w:csb0="00000000" w:csb1="00000000"/>
  </w:font>
  <w:font w:name="Noto Sans CJK SC">
    <w:panose1 w:val="020B0500000000000000"/>
    <w:charset w:val="86"/>
    <w:family w:val="auto"/>
    <w:pitch w:val="default"/>
    <w:sig w:usb0="30000083" w:usb1="2BDF3C10" w:usb2="00000016" w:usb3="00000000" w:csb0="602E0107" w:csb1="00000000"/>
  </w:font>
  <w:font w:name="方正小标宋简体">
    <w:panose1 w:val="02010601030101010101"/>
    <w:charset w:val="86"/>
    <w:family w:val="auto"/>
    <w:pitch w:val="default"/>
    <w:sig w:usb0="00000001" w:usb1="080E0000" w:usb2="00000000" w:usb3="00000000" w:csb0="00040000" w:csb1="00000000"/>
  </w:font>
  <w:font w:name="CESI黑体-GB13000">
    <w:panose1 w:val="02000500000000000000"/>
    <w:charset w:val="86"/>
    <w:family w:val="auto"/>
    <w:pitch w:val="default"/>
    <w:sig w:usb0="800002BF" w:usb1="38CF7CF8"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等线">
    <w:altName w:val="Noto Sans CJK SC"/>
    <w:panose1 w:val="00000000000000000000"/>
    <w:charset w:val="00"/>
    <w:family w:val="auto"/>
    <w:pitch w:val="default"/>
    <w:sig w:usb0="00000000" w:usb1="00000000" w:usb2="00000000" w:usb3="00000000" w:csb0="00000000" w:csb1="00000000"/>
  </w:font>
  <w:font w:name="Wingdings 3">
    <w:panose1 w:val="05040102010807070707"/>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8761362"/>
      <w:docPartObj>
        <w:docPartGallery w:val="autotext"/>
      </w:docPartObj>
    </w:sdtPr>
    <w:sdtContent>
      <w:p w14:paraId="79C641D6">
        <w:pPr>
          <w:pStyle w:val="7"/>
        </w:pPr>
        <w:r>
          <w:fldChar w:fldCharType="begin"/>
        </w:r>
        <w:r>
          <w:instrText xml:space="preserve"> PAGE   \* MERGEFORMAT </w:instrText>
        </w:r>
        <w:r>
          <w:fldChar w:fldCharType="separate"/>
        </w:r>
        <w:r>
          <w:rPr>
            <w:lang w:val="zh-CN"/>
          </w:rPr>
          <w:t>11</w:t>
        </w:r>
        <w:r>
          <w:rPr>
            <w:lang w:val="zh-CN"/>
          </w:rPr>
          <w:fldChar w:fldCharType="end"/>
        </w:r>
      </w:p>
    </w:sdtContent>
  </w:sdt>
  <w:p w14:paraId="23F62D38">
    <w:pPr>
      <w:pStyle w:val="7"/>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HorizontalSpacing w:val="105"/>
  <w:drawingGridVerticalSpacing w:val="156"/>
  <w:displayHorizontalDrawingGridEvery w:val="2"/>
  <w:displayVerticalDrawingGridEvery w:val="2"/>
  <w:noPunctuationKerning w:val="1"/>
  <w:characterSpacingControl w:val="doNotCompress"/>
  <w:compat>
    <w:doNotExpandShiftReturn/>
    <w:useFELayout/>
    <w:compatSetting w:name="compatibilityMode" w:uri="http://schemas.microsoft.com/office/word" w:val="12"/>
  </w:compat>
  <w:rsids>
    <w:rsidRoot w:val="00E6251D"/>
    <w:rsid w:val="000209D2"/>
    <w:rsid w:val="00034BEC"/>
    <w:rsid w:val="000855BD"/>
    <w:rsid w:val="000C2CFE"/>
    <w:rsid w:val="000C7D04"/>
    <w:rsid w:val="000F20F3"/>
    <w:rsid w:val="00110406"/>
    <w:rsid w:val="0012182D"/>
    <w:rsid w:val="00153D65"/>
    <w:rsid w:val="00164EEE"/>
    <w:rsid w:val="00185FB5"/>
    <w:rsid w:val="00193C28"/>
    <w:rsid w:val="001A682A"/>
    <w:rsid w:val="001F76A5"/>
    <w:rsid w:val="0020490B"/>
    <w:rsid w:val="00207523"/>
    <w:rsid w:val="002252C8"/>
    <w:rsid w:val="002A36C0"/>
    <w:rsid w:val="002B3551"/>
    <w:rsid w:val="002C3B88"/>
    <w:rsid w:val="002F18DB"/>
    <w:rsid w:val="00310AB9"/>
    <w:rsid w:val="00355673"/>
    <w:rsid w:val="003B1448"/>
    <w:rsid w:val="003D066B"/>
    <w:rsid w:val="003E3F83"/>
    <w:rsid w:val="004437D2"/>
    <w:rsid w:val="00450DB6"/>
    <w:rsid w:val="004608BC"/>
    <w:rsid w:val="00462046"/>
    <w:rsid w:val="0048105A"/>
    <w:rsid w:val="0049396B"/>
    <w:rsid w:val="004A2D63"/>
    <w:rsid w:val="004B50F6"/>
    <w:rsid w:val="004D528F"/>
    <w:rsid w:val="004E2810"/>
    <w:rsid w:val="00515492"/>
    <w:rsid w:val="0053354B"/>
    <w:rsid w:val="005379B9"/>
    <w:rsid w:val="005526A5"/>
    <w:rsid w:val="00554280"/>
    <w:rsid w:val="0055760D"/>
    <w:rsid w:val="00564C06"/>
    <w:rsid w:val="00565B80"/>
    <w:rsid w:val="00571BCB"/>
    <w:rsid w:val="00591DA6"/>
    <w:rsid w:val="00592291"/>
    <w:rsid w:val="005A5BD8"/>
    <w:rsid w:val="005E64FE"/>
    <w:rsid w:val="00643FEE"/>
    <w:rsid w:val="006607C6"/>
    <w:rsid w:val="0067435F"/>
    <w:rsid w:val="00681C91"/>
    <w:rsid w:val="006876C9"/>
    <w:rsid w:val="006A3EA9"/>
    <w:rsid w:val="006B580F"/>
    <w:rsid w:val="006D60E4"/>
    <w:rsid w:val="006E63E7"/>
    <w:rsid w:val="006E65F8"/>
    <w:rsid w:val="00714B2C"/>
    <w:rsid w:val="007412C6"/>
    <w:rsid w:val="00752DEF"/>
    <w:rsid w:val="007561D3"/>
    <w:rsid w:val="0076560F"/>
    <w:rsid w:val="00766FD2"/>
    <w:rsid w:val="00785A88"/>
    <w:rsid w:val="007D0C0D"/>
    <w:rsid w:val="007E3022"/>
    <w:rsid w:val="00823A9E"/>
    <w:rsid w:val="00824BDE"/>
    <w:rsid w:val="00833B88"/>
    <w:rsid w:val="00845689"/>
    <w:rsid w:val="00857AE8"/>
    <w:rsid w:val="008949D6"/>
    <w:rsid w:val="008A03F3"/>
    <w:rsid w:val="008B300D"/>
    <w:rsid w:val="008F663F"/>
    <w:rsid w:val="00903C0C"/>
    <w:rsid w:val="009363A2"/>
    <w:rsid w:val="00936A1C"/>
    <w:rsid w:val="009411C0"/>
    <w:rsid w:val="00972847"/>
    <w:rsid w:val="00985341"/>
    <w:rsid w:val="009B1185"/>
    <w:rsid w:val="009C7CA4"/>
    <w:rsid w:val="009F1F37"/>
    <w:rsid w:val="009F37B9"/>
    <w:rsid w:val="00A3016B"/>
    <w:rsid w:val="00A54E08"/>
    <w:rsid w:val="00AA6F54"/>
    <w:rsid w:val="00AA75BD"/>
    <w:rsid w:val="00AC2258"/>
    <w:rsid w:val="00AC26E0"/>
    <w:rsid w:val="00AC6BB0"/>
    <w:rsid w:val="00AC72D4"/>
    <w:rsid w:val="00B074F5"/>
    <w:rsid w:val="00B162C0"/>
    <w:rsid w:val="00B57A9C"/>
    <w:rsid w:val="00B70E52"/>
    <w:rsid w:val="00B8045C"/>
    <w:rsid w:val="00B86BA6"/>
    <w:rsid w:val="00BE3BD9"/>
    <w:rsid w:val="00BF1039"/>
    <w:rsid w:val="00BF248A"/>
    <w:rsid w:val="00BF59A2"/>
    <w:rsid w:val="00C03AB1"/>
    <w:rsid w:val="00C12F6E"/>
    <w:rsid w:val="00C5789C"/>
    <w:rsid w:val="00C84783"/>
    <w:rsid w:val="00CB4257"/>
    <w:rsid w:val="00CF6E75"/>
    <w:rsid w:val="00D24FE6"/>
    <w:rsid w:val="00D35E88"/>
    <w:rsid w:val="00D63342"/>
    <w:rsid w:val="00D64322"/>
    <w:rsid w:val="00D67BC2"/>
    <w:rsid w:val="00D70831"/>
    <w:rsid w:val="00D712E6"/>
    <w:rsid w:val="00D7350A"/>
    <w:rsid w:val="00D854FC"/>
    <w:rsid w:val="00DC42F5"/>
    <w:rsid w:val="00E04262"/>
    <w:rsid w:val="00E1077C"/>
    <w:rsid w:val="00E11339"/>
    <w:rsid w:val="00E164E9"/>
    <w:rsid w:val="00E60FB5"/>
    <w:rsid w:val="00E6251D"/>
    <w:rsid w:val="00E650A0"/>
    <w:rsid w:val="00E6630A"/>
    <w:rsid w:val="00EA5C6A"/>
    <w:rsid w:val="00EA6CCD"/>
    <w:rsid w:val="00EF12A6"/>
    <w:rsid w:val="00EF68B2"/>
    <w:rsid w:val="00F02204"/>
    <w:rsid w:val="00F024EE"/>
    <w:rsid w:val="00F46970"/>
    <w:rsid w:val="00FA48BB"/>
    <w:rsid w:val="0A7A3176"/>
    <w:rsid w:val="0F5F1C22"/>
    <w:rsid w:val="18D05744"/>
    <w:rsid w:val="1DFAAF92"/>
    <w:rsid w:val="1FA31532"/>
    <w:rsid w:val="1FFFA890"/>
    <w:rsid w:val="2BB74873"/>
    <w:rsid w:val="2FF25748"/>
    <w:rsid w:val="37FCE85C"/>
    <w:rsid w:val="3ABBC59B"/>
    <w:rsid w:val="3BE9E169"/>
    <w:rsid w:val="3EFEC934"/>
    <w:rsid w:val="3F7A730E"/>
    <w:rsid w:val="3F7AED3C"/>
    <w:rsid w:val="3FF7D333"/>
    <w:rsid w:val="3FFFFDD2"/>
    <w:rsid w:val="54EF0B38"/>
    <w:rsid w:val="57FF546E"/>
    <w:rsid w:val="59DE984A"/>
    <w:rsid w:val="5BFFA83B"/>
    <w:rsid w:val="5DFFB4C4"/>
    <w:rsid w:val="5EEF76E6"/>
    <w:rsid w:val="5EFE681A"/>
    <w:rsid w:val="5F1F1548"/>
    <w:rsid w:val="5FFF3B1A"/>
    <w:rsid w:val="6D63491C"/>
    <w:rsid w:val="6E776DDD"/>
    <w:rsid w:val="6F77030A"/>
    <w:rsid w:val="6FD61144"/>
    <w:rsid w:val="6FDB83E2"/>
    <w:rsid w:val="6FFF5829"/>
    <w:rsid w:val="71FA3BED"/>
    <w:rsid w:val="73ED8000"/>
    <w:rsid w:val="75761C8D"/>
    <w:rsid w:val="763A4789"/>
    <w:rsid w:val="763F3DF4"/>
    <w:rsid w:val="77FF284F"/>
    <w:rsid w:val="77FFB0E9"/>
    <w:rsid w:val="787FA2EF"/>
    <w:rsid w:val="7BCE941A"/>
    <w:rsid w:val="7BF714A3"/>
    <w:rsid w:val="7BFFF61C"/>
    <w:rsid w:val="7D3F324F"/>
    <w:rsid w:val="7DCEE7C5"/>
    <w:rsid w:val="7E62063D"/>
    <w:rsid w:val="7EFFEA19"/>
    <w:rsid w:val="7F72DCE3"/>
    <w:rsid w:val="7FA7E3F8"/>
    <w:rsid w:val="7FBF39E4"/>
    <w:rsid w:val="7FCBCFA7"/>
    <w:rsid w:val="7FF7DC0A"/>
    <w:rsid w:val="7FF9CE53"/>
    <w:rsid w:val="7FFF25E6"/>
    <w:rsid w:val="7FFF3578"/>
    <w:rsid w:val="7FFF3CA4"/>
    <w:rsid w:val="9795D850"/>
    <w:rsid w:val="97AB06B5"/>
    <w:rsid w:val="9FED5111"/>
    <w:rsid w:val="A9BFAFD8"/>
    <w:rsid w:val="A9F8D625"/>
    <w:rsid w:val="AB7F3C21"/>
    <w:rsid w:val="ACFA5A41"/>
    <w:rsid w:val="AEC9AAD2"/>
    <w:rsid w:val="AF345419"/>
    <w:rsid w:val="B14F6333"/>
    <w:rsid w:val="BA7B23C6"/>
    <w:rsid w:val="BDBDC82E"/>
    <w:rsid w:val="BDF1AD9C"/>
    <w:rsid w:val="BFED7D83"/>
    <w:rsid w:val="C7FB68E5"/>
    <w:rsid w:val="C7FF7B89"/>
    <w:rsid w:val="C8B789DD"/>
    <w:rsid w:val="CDCEBAB2"/>
    <w:rsid w:val="D9FEAD63"/>
    <w:rsid w:val="DDF4DB40"/>
    <w:rsid w:val="DF471D10"/>
    <w:rsid w:val="DFF52D81"/>
    <w:rsid w:val="DFFF81EA"/>
    <w:rsid w:val="E4FFAA69"/>
    <w:rsid w:val="EBF99E65"/>
    <w:rsid w:val="ED7B76A1"/>
    <w:rsid w:val="EDFBE7F8"/>
    <w:rsid w:val="EEDFEEEC"/>
    <w:rsid w:val="EF3E7B30"/>
    <w:rsid w:val="EFDE01F1"/>
    <w:rsid w:val="EFEFFA2C"/>
    <w:rsid w:val="F3A7DDDF"/>
    <w:rsid w:val="F3EB2D02"/>
    <w:rsid w:val="F43FD074"/>
    <w:rsid w:val="F6BEEDF7"/>
    <w:rsid w:val="F78FB377"/>
    <w:rsid w:val="F7EF0D20"/>
    <w:rsid w:val="F7F1249B"/>
    <w:rsid w:val="F99E11A1"/>
    <w:rsid w:val="FAFF21F1"/>
    <w:rsid w:val="FBEB1891"/>
    <w:rsid w:val="FCFFD058"/>
    <w:rsid w:val="FDAE716F"/>
    <w:rsid w:val="FDDFB279"/>
    <w:rsid w:val="FDEE3221"/>
    <w:rsid w:val="FE571BEE"/>
    <w:rsid w:val="FEFFA5A5"/>
    <w:rsid w:val="FF4DF64D"/>
    <w:rsid w:val="FF71D33B"/>
    <w:rsid w:val="FF768731"/>
    <w:rsid w:val="FF7F90C2"/>
    <w:rsid w:val="FFB70B2D"/>
    <w:rsid w:val="FFD3C68B"/>
    <w:rsid w:val="FFDEC0E9"/>
    <w:rsid w:val="FFFCA2DC"/>
    <w:rsid w:val="FFFE1BA1"/>
    <w:rsid w:val="FFFF22F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qFormat="1" w:unhideWhenUsed="0" w:uiPriority="0" w:semiHidden="0"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3"/>
    <w:basedOn w:val="1"/>
    <w:next w:val="1"/>
    <w:link w:val="16"/>
    <w:qFormat/>
    <w:uiPriority w:val="9"/>
    <w:pPr>
      <w:widowControl/>
      <w:spacing w:before="100" w:beforeAutospacing="1" w:after="100" w:afterAutospacing="1"/>
      <w:jc w:val="left"/>
      <w:outlineLvl w:val="2"/>
    </w:pPr>
    <w:rPr>
      <w:rFonts w:ascii="宋体" w:hAnsi="宋体" w:eastAsia="宋体" w:cs="宋体"/>
      <w:b/>
      <w:bCs/>
      <w:kern w:val="0"/>
      <w:sz w:val="27"/>
      <w:szCs w:val="27"/>
    </w:rPr>
  </w:style>
  <w:style w:type="character" w:default="1" w:styleId="11">
    <w:name w:val="Default Paragraph Font"/>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19"/>
    <w:unhideWhenUsed/>
    <w:qFormat/>
    <w:uiPriority w:val="99"/>
    <w:pPr>
      <w:jc w:val="left"/>
    </w:pPr>
  </w:style>
  <w:style w:type="paragraph" w:styleId="4">
    <w:name w:val="index 4"/>
    <w:basedOn w:val="1"/>
    <w:next w:val="1"/>
    <w:qFormat/>
    <w:uiPriority w:val="0"/>
    <w:pPr>
      <w:spacing w:line="360" w:lineRule="auto"/>
      <w:ind w:left="600" w:leftChars="600"/>
    </w:pPr>
    <w:rPr>
      <w:sz w:val="24"/>
      <w:szCs w:val="24"/>
    </w:rPr>
  </w:style>
  <w:style w:type="paragraph" w:styleId="5">
    <w:name w:val="Date"/>
    <w:basedOn w:val="1"/>
    <w:next w:val="1"/>
    <w:link w:val="20"/>
    <w:semiHidden/>
    <w:unhideWhenUsed/>
    <w:qFormat/>
    <w:uiPriority w:val="99"/>
    <w:pPr>
      <w:ind w:left="100" w:leftChars="2500"/>
    </w:pPr>
  </w:style>
  <w:style w:type="paragraph" w:styleId="6">
    <w:name w:val="Balloon Text"/>
    <w:basedOn w:val="1"/>
    <w:link w:val="18"/>
    <w:semiHidden/>
    <w:unhideWhenUsed/>
    <w:qFormat/>
    <w:uiPriority w:val="99"/>
    <w:rPr>
      <w:sz w:val="18"/>
      <w:szCs w:val="18"/>
    </w:rPr>
  </w:style>
  <w:style w:type="paragraph" w:styleId="7">
    <w:name w:val="footer"/>
    <w:basedOn w:val="1"/>
    <w:link w:val="15"/>
    <w:unhideWhenUsed/>
    <w:qFormat/>
    <w:uiPriority w:val="99"/>
    <w:pPr>
      <w:tabs>
        <w:tab w:val="center" w:pos="4153"/>
        <w:tab w:val="right" w:pos="8306"/>
      </w:tabs>
      <w:snapToGrid w:val="0"/>
      <w:jc w:val="left"/>
    </w:pPr>
    <w:rPr>
      <w:sz w:val="18"/>
      <w:szCs w:val="18"/>
    </w:rPr>
  </w:style>
  <w:style w:type="paragraph" w:styleId="8">
    <w:name w:val="header"/>
    <w:basedOn w:val="1"/>
    <w:link w:val="14"/>
    <w:unhideWhenUsed/>
    <w:qFormat/>
    <w:uiPriority w:val="99"/>
    <w:pPr>
      <w:tabs>
        <w:tab w:val="center" w:pos="4153"/>
        <w:tab w:val="right" w:pos="8306"/>
      </w:tabs>
      <w:snapToGrid w:val="0"/>
      <w:jc w:val="center"/>
    </w:pPr>
    <w:rPr>
      <w:sz w:val="18"/>
      <w:szCs w:val="18"/>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2">
    <w:name w:val="annotation reference"/>
    <w:basedOn w:val="11"/>
    <w:semiHidden/>
    <w:unhideWhenUsed/>
    <w:qFormat/>
    <w:uiPriority w:val="99"/>
    <w:rPr>
      <w:sz w:val="21"/>
      <w:szCs w:val="21"/>
    </w:rPr>
  </w:style>
  <w:style w:type="paragraph" w:customStyle="1" w:styleId="13">
    <w:name w:val="19"/>
    <w:basedOn w:val="1"/>
    <w:qFormat/>
    <w:uiPriority w:val="0"/>
    <w:pPr>
      <w:widowControl/>
      <w:spacing w:before="100" w:beforeAutospacing="1" w:after="100" w:afterAutospacing="1"/>
      <w:jc w:val="left"/>
    </w:pPr>
    <w:rPr>
      <w:rFonts w:ascii="宋体" w:hAnsi="宋体" w:eastAsia="宋体" w:cs="宋体"/>
      <w:kern w:val="0"/>
      <w:sz w:val="24"/>
      <w:szCs w:val="24"/>
    </w:rPr>
  </w:style>
  <w:style w:type="character" w:customStyle="1" w:styleId="14">
    <w:name w:val="页眉 Char"/>
    <w:basedOn w:val="11"/>
    <w:link w:val="8"/>
    <w:qFormat/>
    <w:uiPriority w:val="99"/>
    <w:rPr>
      <w:sz w:val="18"/>
      <w:szCs w:val="18"/>
    </w:rPr>
  </w:style>
  <w:style w:type="character" w:customStyle="1" w:styleId="15">
    <w:name w:val="页脚 Char"/>
    <w:basedOn w:val="11"/>
    <w:link w:val="7"/>
    <w:qFormat/>
    <w:uiPriority w:val="99"/>
    <w:rPr>
      <w:sz w:val="18"/>
      <w:szCs w:val="18"/>
    </w:rPr>
  </w:style>
  <w:style w:type="character" w:customStyle="1" w:styleId="16">
    <w:name w:val="标题 3 Char"/>
    <w:basedOn w:val="11"/>
    <w:link w:val="2"/>
    <w:qFormat/>
    <w:uiPriority w:val="9"/>
    <w:rPr>
      <w:rFonts w:ascii="宋体" w:hAnsi="宋体" w:eastAsia="宋体" w:cs="宋体"/>
      <w:b/>
      <w:bCs/>
      <w:kern w:val="0"/>
      <w:sz w:val="27"/>
      <w:szCs w:val="27"/>
    </w:rPr>
  </w:style>
  <w:style w:type="paragraph" w:styleId="17">
    <w:name w:val="List Paragraph"/>
    <w:basedOn w:val="1"/>
    <w:qFormat/>
    <w:uiPriority w:val="34"/>
    <w:pPr>
      <w:ind w:firstLine="420" w:firstLineChars="200"/>
    </w:pPr>
  </w:style>
  <w:style w:type="character" w:customStyle="1" w:styleId="18">
    <w:name w:val="批注框文本 Char"/>
    <w:basedOn w:val="11"/>
    <w:link w:val="6"/>
    <w:semiHidden/>
    <w:qFormat/>
    <w:uiPriority w:val="99"/>
    <w:rPr>
      <w:kern w:val="2"/>
      <w:sz w:val="18"/>
      <w:szCs w:val="18"/>
    </w:rPr>
  </w:style>
  <w:style w:type="character" w:customStyle="1" w:styleId="19">
    <w:name w:val="批注文字 Char"/>
    <w:basedOn w:val="11"/>
    <w:link w:val="3"/>
    <w:qFormat/>
    <w:uiPriority w:val="99"/>
    <w:rPr>
      <w:kern w:val="2"/>
      <w:sz w:val="21"/>
      <w:szCs w:val="22"/>
    </w:rPr>
  </w:style>
  <w:style w:type="character" w:customStyle="1" w:styleId="20">
    <w:name w:val="日期 Char"/>
    <w:basedOn w:val="11"/>
    <w:link w:val="5"/>
    <w:semiHidden/>
    <w:qFormat/>
    <w:uiPriority w:val="99"/>
    <w:rPr>
      <w:kern w:val="2"/>
      <w:sz w:val="21"/>
      <w:szCs w:val="22"/>
    </w:rPr>
  </w:style>
  <w:style w:type="paragraph" w:styleId="21">
    <w:name w:val="No Spacing"/>
    <w:link w:val="22"/>
    <w:qFormat/>
    <w:uiPriority w:val="1"/>
    <w:rPr>
      <w:rFonts w:asciiTheme="minorHAnsi" w:hAnsiTheme="minorHAnsi" w:eastAsiaTheme="minorEastAsia" w:cstheme="minorBidi"/>
      <w:sz w:val="22"/>
      <w:szCs w:val="22"/>
      <w:lang w:val="en-US" w:eastAsia="zh-CN" w:bidi="ar-SA"/>
    </w:rPr>
  </w:style>
  <w:style w:type="character" w:customStyle="1" w:styleId="22">
    <w:name w:val="无间隔 Char"/>
    <w:basedOn w:val="11"/>
    <w:link w:val="21"/>
    <w:qFormat/>
    <w:uiPriority w:val="1"/>
    <w:rPr>
      <w:rFonts w:asciiTheme="minorHAnsi" w:hAnsiTheme="minorHAnsi" w:eastAsiaTheme="minorEastAsia" w:cstheme="minorBidi"/>
      <w:sz w:val="22"/>
      <w:szCs w:val="22"/>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customXml" Target="../customXml/item1.xml"/><Relationship Id="rId7" Type="http://schemas.openxmlformats.org/officeDocument/2006/relationships/image" Target="media/image3.jpeg"/><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2053"/>
    <customShpInfo spid="_x0000_s2052"/>
    <customShpInfo spid="_x0000_s2051"/>
    <customShpInfo spid="_x0000_s2050"/>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C5A954-F330-4F7B-B99D-4A3961D15032}">
  <ds:schemaRefs/>
</ds:datastoreItem>
</file>

<file path=docProps/app.xml><?xml version="1.0" encoding="utf-8"?>
<Properties xmlns="http://schemas.openxmlformats.org/officeDocument/2006/extended-properties" xmlns:vt="http://schemas.openxmlformats.org/officeDocument/2006/docPropsVTypes">
  <Template>Normal.dotm</Template>
  <Pages>12</Pages>
  <Words>856</Words>
  <Characters>4884</Characters>
  <Lines>40</Lines>
  <Paragraphs>11</Paragraphs>
  <TotalTime>5</TotalTime>
  <ScaleCrop>false</ScaleCrop>
  <LinksUpToDate>false</LinksUpToDate>
  <CharactersWithSpaces>5729</CharactersWithSpaces>
  <Application>WPS Office_12.1.2.26885_F1E327BC-269C-435d-A152-05C5408002CA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2026-08-05T10:00:00Z</dcterms:created>
  <dc:creator>Administrator</dc:creator>
  <cp:lastModifiedBy>傅旭明</cp:lastModifiedBy>
  <cp:lastPrinted>2026-07-25T17:47:00Z</cp:lastPrinted>
  <dcterms:modified xsi:type="dcterms:W3CDTF">2026-08-06T14:28:24Z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2052-12.1.2.26885</vt:lpwstr>
  </property>
  <property fmtid="{D5CDD505-2E9C-101B-9397-08002B2CF9AE}" pid="3" name="ICV">
    <vt:lpwstr>717470EF85D6C1F4B418706A68FD014D_43</vt:lpwstr>
  </property>
</Properties>
</file>