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6B03E">
      <w:pPr>
        <w:pStyle w:val="12"/>
        <w:numPr>
          <w:ilvl w:val="0"/>
          <w:numId w:val="0"/>
        </w:numPr>
        <w:jc w:val="center"/>
        <w:rPr>
          <w:rFonts w:hint="eastAsia" w:ascii="黑体" w:hAnsi="黑体" w:eastAsia="黑体" w:cs="黑体"/>
          <w:color w:val="auto"/>
          <w:sz w:val="32"/>
          <w:szCs w:val="32"/>
          <w:highlight w:val="none"/>
        </w:rPr>
      </w:pPr>
      <w:bookmarkStart w:id="0" w:name="_Toc63785461"/>
      <w:r>
        <w:rPr>
          <w:rFonts w:hint="eastAsia" w:ascii="黑体" w:hAnsi="黑体" w:eastAsia="黑体" w:cs="黑体"/>
          <w:color w:val="auto"/>
          <w:sz w:val="32"/>
          <w:szCs w:val="32"/>
          <w:highlight w:val="none"/>
          <w:lang w:val="en-US" w:eastAsia="zh-CN"/>
        </w:rPr>
        <w:t>上海市碳达峰碳中和数智管理子系统建设项目(2026年升级改造)招标需求</w:t>
      </w:r>
    </w:p>
    <w:p w14:paraId="79D8D122">
      <w:pPr>
        <w:pStyle w:val="2"/>
        <w:rPr>
          <w:color w:val="auto"/>
          <w:sz w:val="20"/>
          <w:szCs w:val="20"/>
          <w:highlight w:val="none"/>
        </w:rPr>
      </w:pPr>
      <w:r>
        <w:rPr>
          <w:rFonts w:hint="eastAsia"/>
          <w:color w:val="auto"/>
          <w:sz w:val="20"/>
          <w:szCs w:val="20"/>
          <w:highlight w:val="none"/>
        </w:rPr>
        <w:t>项目概况</w:t>
      </w:r>
      <w:bookmarkEnd w:id="0"/>
    </w:p>
    <w:p w14:paraId="7FC38AC3">
      <w:pPr>
        <w:rPr>
          <w:rFonts w:hint="eastAsia"/>
          <w:color w:val="auto"/>
          <w:sz w:val="20"/>
          <w:szCs w:val="20"/>
          <w:highlight w:val="none"/>
          <w:lang w:val="en-US" w:eastAsia="zh-CN"/>
        </w:rPr>
      </w:pPr>
      <w:r>
        <w:rPr>
          <w:rFonts w:hint="eastAsia"/>
          <w:color w:val="auto"/>
          <w:sz w:val="20"/>
          <w:szCs w:val="20"/>
          <w:highlight w:val="none"/>
          <w:lang w:val="en-US" w:eastAsia="zh-CN"/>
        </w:rPr>
        <w:t>上海市碳达峰碳中和数智管理子系统建设项目(2026年升级改造)(以下简称“本项目”）的建设，是上海市“双碳”领域数字化转型整体框架规划中的核心组成部分。该规划旨在构建一个覆盖全市范围、多部门协同、数据驱动的智慧化“双碳”管理体系。本项目作为“上海市碳达峰碳中和数智管理子系统”的二期升级改造，其定位是承接一期平台的数据基础和初步功能，并通过引入政务大模型、深度数据整合和高级分析能力，将现有分散、低效的碳管理模式提升至集成化、智能化、预测性的新高度。它将作为连接企业、政府各部门以及碳市场要素的关键枢纽，为实现全市碳达峰碳中和目标提供强有力的数字化支撑，是推动上海市精细化治理和可持续发展的重要战略支柱。</w:t>
      </w:r>
    </w:p>
    <w:p w14:paraId="4991FFCC">
      <w:pPr>
        <w:rPr>
          <w:rFonts w:hint="eastAsia"/>
          <w:color w:val="auto"/>
          <w:sz w:val="20"/>
          <w:szCs w:val="20"/>
          <w:highlight w:val="none"/>
          <w:lang w:val="en-US" w:eastAsia="zh-CN"/>
        </w:rPr>
      </w:pPr>
      <w:r>
        <w:rPr>
          <w:rFonts w:hint="eastAsia"/>
          <w:color w:val="auto"/>
          <w:sz w:val="20"/>
          <w:szCs w:val="20"/>
          <w:highlight w:val="none"/>
          <w:lang w:val="en-US" w:eastAsia="zh-CN"/>
        </w:rPr>
        <w:t>是否按xc要求建设：是</w:t>
      </w:r>
    </w:p>
    <w:p w14:paraId="3C71D847">
      <w:pPr>
        <w:pStyle w:val="2"/>
        <w:rPr>
          <w:rFonts w:hint="eastAsia"/>
          <w:color w:val="auto"/>
          <w:sz w:val="20"/>
          <w:szCs w:val="20"/>
          <w:highlight w:val="none"/>
        </w:rPr>
      </w:pPr>
      <w:bookmarkStart w:id="1" w:name="_Toc63785463"/>
      <w:bookmarkStart w:id="2" w:name="_Toc48223882"/>
      <w:r>
        <w:rPr>
          <w:rFonts w:hint="eastAsia"/>
          <w:color w:val="auto"/>
          <w:sz w:val="20"/>
          <w:szCs w:val="20"/>
          <w:highlight w:val="none"/>
        </w:rPr>
        <w:t>建设目标</w:t>
      </w:r>
      <w:bookmarkEnd w:id="1"/>
      <w:bookmarkEnd w:id="2"/>
    </w:p>
    <w:p w14:paraId="7CB81ED5">
      <w:pPr>
        <w:rPr>
          <w:rFonts w:hint="eastAsia"/>
          <w:color w:val="auto"/>
          <w:sz w:val="20"/>
          <w:szCs w:val="20"/>
          <w:highlight w:val="none"/>
          <w:lang w:val="en-US" w:eastAsia="zh-CN"/>
        </w:rPr>
      </w:pPr>
      <w:r>
        <w:rPr>
          <w:rFonts w:hint="eastAsia"/>
          <w:color w:val="auto"/>
          <w:sz w:val="20"/>
          <w:szCs w:val="20"/>
          <w:highlight w:val="none"/>
          <w:lang w:val="en-US" w:eastAsia="zh-CN"/>
        </w:rPr>
        <w:t>本项目在现有平台所奠定的坚实数据基础之上，通过深度融合“二新” 数据、产品碳足迹数据和绿色金融项目数据，构建一个更为全面、精细、智能的“双碳”管理与服务体系。该体系旨在显著提升政府部门在“双碳”工作中的精细化管理与跟踪决策能力，同时大幅减轻企业在数据填报方面的负担，并通过提供政策信息和个性化数据洞察，赋能企业自主、高效地实现“双碳”目标。最终，二期平台将形成一个数据驱动、政企协同、高效便捷的“双碳”数智管理新范式，为上海市的高质量发展和国家“双碳”战略的顺利实施贡献关键力量。</w:t>
      </w:r>
    </w:p>
    <w:p w14:paraId="3C395C39">
      <w:pPr>
        <w:pStyle w:val="2"/>
        <w:rPr>
          <w:rFonts w:hint="eastAsia"/>
          <w:color w:val="auto"/>
          <w:sz w:val="20"/>
          <w:szCs w:val="20"/>
          <w:highlight w:val="none"/>
          <w:lang w:val="en-US" w:eastAsia="zh-CN"/>
        </w:rPr>
      </w:pPr>
      <w:r>
        <w:rPr>
          <w:rFonts w:hint="eastAsia" w:ascii="宋体" w:hAnsi="宋体" w:eastAsia="宋体" w:cs="宋体"/>
          <w:color w:val="auto"/>
          <w:spacing w:val="6"/>
          <w:sz w:val="20"/>
          <w:szCs w:val="20"/>
          <w:highlight w:val="none"/>
        </w:rPr>
        <w:t>现有应用系统的情况</w:t>
      </w:r>
    </w:p>
    <w:p w14:paraId="6D025BA7">
      <w:pPr>
        <w:rPr>
          <w:rFonts w:hint="default"/>
          <w:color w:val="auto"/>
          <w:sz w:val="24"/>
          <w:szCs w:val="24"/>
          <w:highlight w:val="none"/>
          <w:lang w:val="en-US" w:eastAsia="zh-CN"/>
        </w:rPr>
      </w:pPr>
      <w:r>
        <w:rPr>
          <w:rFonts w:hint="eastAsia" w:ascii="宋体" w:hAnsi="宋体" w:eastAsia="宋体" w:cs="宋体"/>
          <w:color w:val="auto"/>
          <w:spacing w:val="3"/>
          <w:sz w:val="20"/>
          <w:szCs w:val="20"/>
          <w:highlight w:val="none"/>
        </w:rPr>
        <w:t>目前，上海市“双碳</w:t>
      </w:r>
      <w:r>
        <w:rPr>
          <w:rFonts w:hint="eastAsia" w:ascii="宋体" w:hAnsi="宋体" w:eastAsia="宋体" w:cs="宋体"/>
          <w:color w:val="auto"/>
          <w:spacing w:val="-82"/>
          <w:sz w:val="20"/>
          <w:szCs w:val="20"/>
          <w:highlight w:val="none"/>
        </w:rPr>
        <w:t xml:space="preserve"> </w:t>
      </w:r>
      <w:r>
        <w:rPr>
          <w:rFonts w:hint="eastAsia" w:ascii="宋体" w:hAnsi="宋体" w:eastAsia="宋体" w:cs="宋体"/>
          <w:color w:val="auto"/>
          <w:spacing w:val="3"/>
          <w:sz w:val="20"/>
          <w:szCs w:val="20"/>
          <w:highlight w:val="none"/>
        </w:rPr>
        <w:t>”管理领域已部署了一系列应用系统，</w:t>
      </w:r>
      <w:r>
        <w:rPr>
          <w:rFonts w:hint="eastAsia" w:ascii="宋体" w:hAnsi="宋体" w:eastAsia="宋体" w:cs="宋体"/>
          <w:color w:val="auto"/>
          <w:spacing w:val="-70"/>
          <w:sz w:val="20"/>
          <w:szCs w:val="20"/>
          <w:highlight w:val="none"/>
        </w:rPr>
        <w:t xml:space="preserve"> </w:t>
      </w:r>
      <w:r>
        <w:rPr>
          <w:rFonts w:hint="eastAsia" w:ascii="宋体" w:hAnsi="宋体" w:eastAsia="宋体" w:cs="宋体"/>
          <w:color w:val="auto"/>
          <w:spacing w:val="3"/>
          <w:sz w:val="20"/>
          <w:szCs w:val="20"/>
          <w:highlight w:val="none"/>
        </w:rPr>
        <w:t>这</w:t>
      </w:r>
      <w:r>
        <w:rPr>
          <w:rFonts w:hint="eastAsia" w:ascii="宋体" w:hAnsi="宋体" w:eastAsia="宋体" w:cs="宋体"/>
          <w:color w:val="auto"/>
          <w:spacing w:val="9"/>
          <w:sz w:val="20"/>
          <w:szCs w:val="20"/>
          <w:highlight w:val="none"/>
        </w:rPr>
        <w:t>些系统在各自职责范围内发挥着重要作用。现有双碳相关系统包括但不限于大型公共建筑能耗平台、上海市重点用能单位能耗在线监</w:t>
      </w:r>
      <w:r>
        <w:rPr>
          <w:rFonts w:hint="eastAsia" w:ascii="宋体" w:hAnsi="宋体" w:eastAsia="宋体" w:cs="宋体"/>
          <w:color w:val="auto"/>
          <w:spacing w:val="1"/>
          <w:sz w:val="20"/>
          <w:szCs w:val="20"/>
          <w:highlight w:val="none"/>
        </w:rPr>
        <w:t>测系统、上海市能源利用状况报告平台、固定资产投资项目能评系</w:t>
      </w:r>
      <w:r>
        <w:rPr>
          <w:rFonts w:hint="eastAsia" w:ascii="宋体" w:hAnsi="宋体" w:eastAsia="宋体" w:cs="宋体"/>
          <w:color w:val="auto"/>
          <w:spacing w:val="9"/>
          <w:sz w:val="20"/>
          <w:szCs w:val="20"/>
          <w:highlight w:val="none"/>
        </w:rPr>
        <w:t>统、重点单位温室气体排放和能源利用状况报告平台、碳排放报告</w:t>
      </w:r>
      <w:r>
        <w:rPr>
          <w:rFonts w:hint="eastAsia" w:ascii="宋体" w:hAnsi="宋体" w:eastAsia="宋体" w:cs="宋体"/>
          <w:color w:val="auto"/>
          <w:spacing w:val="2"/>
          <w:sz w:val="20"/>
          <w:szCs w:val="20"/>
          <w:highlight w:val="none"/>
        </w:rPr>
        <w:t>直报平台、碳排放配额注册登记系统等，分</w:t>
      </w:r>
      <w:r>
        <w:rPr>
          <w:rFonts w:hint="eastAsia" w:ascii="宋体" w:hAnsi="宋体" w:eastAsia="宋体" w:cs="宋体"/>
          <w:color w:val="auto"/>
          <w:spacing w:val="1"/>
          <w:sz w:val="20"/>
          <w:szCs w:val="20"/>
          <w:highlight w:val="none"/>
        </w:rPr>
        <w:t>别承担不同数据报送与</w:t>
      </w:r>
      <w:r>
        <w:rPr>
          <w:rFonts w:hint="eastAsia" w:ascii="宋体" w:hAnsi="宋体" w:eastAsia="宋体" w:cs="宋体"/>
          <w:color w:val="auto"/>
          <w:spacing w:val="9"/>
          <w:sz w:val="20"/>
          <w:szCs w:val="20"/>
          <w:highlight w:val="none"/>
        </w:rPr>
        <w:t>监管职能，但在数据结构、传输协议、接口标准等方面存在差异，</w:t>
      </w:r>
      <w:r>
        <w:rPr>
          <w:rFonts w:hint="eastAsia" w:ascii="宋体" w:hAnsi="宋体" w:eastAsia="宋体" w:cs="宋体"/>
          <w:color w:val="auto"/>
          <w:spacing w:val="6"/>
          <w:sz w:val="20"/>
          <w:szCs w:val="20"/>
          <w:highlight w:val="none"/>
        </w:rPr>
        <w:t>形成信息分散、流程割裂、重复建设的现实问题。此外，</w:t>
      </w:r>
      <w:r>
        <w:rPr>
          <w:rFonts w:hint="eastAsia" w:ascii="宋体" w:hAnsi="宋体" w:eastAsia="宋体" w:cs="宋体"/>
          <w:color w:val="auto"/>
          <w:spacing w:val="-41"/>
          <w:sz w:val="20"/>
          <w:szCs w:val="20"/>
          <w:highlight w:val="none"/>
        </w:rPr>
        <w:t xml:space="preserve"> </w:t>
      </w:r>
      <w:r>
        <w:rPr>
          <w:rFonts w:hint="eastAsia" w:ascii="宋体" w:hAnsi="宋体" w:eastAsia="宋体" w:cs="宋体"/>
          <w:color w:val="auto"/>
          <w:spacing w:val="6"/>
          <w:sz w:val="20"/>
          <w:szCs w:val="20"/>
          <w:highlight w:val="none"/>
        </w:rPr>
        <w:t>还涉及与</w:t>
      </w:r>
      <w:r>
        <w:rPr>
          <w:rFonts w:hint="eastAsia" w:ascii="宋体" w:hAnsi="宋体" w:eastAsia="宋体" w:cs="宋体"/>
          <w:color w:val="auto"/>
          <w:spacing w:val="10"/>
          <w:sz w:val="20"/>
          <w:szCs w:val="20"/>
          <w:highlight w:val="none"/>
        </w:rPr>
        <w:t>碳交易系统，</w:t>
      </w:r>
      <w:r>
        <w:rPr>
          <w:rFonts w:hint="eastAsia" w:ascii="宋体" w:hAnsi="宋体" w:eastAsia="宋体" w:cs="宋体"/>
          <w:color w:val="auto"/>
          <w:sz w:val="20"/>
          <w:szCs w:val="20"/>
          <w:highlight w:val="none"/>
        </w:rPr>
        <w:t>CCER</w:t>
      </w:r>
      <w:r>
        <w:rPr>
          <w:rFonts w:hint="eastAsia" w:ascii="宋体" w:hAnsi="宋体" w:eastAsia="宋体" w:cs="宋体"/>
          <w:color w:val="auto"/>
          <w:spacing w:val="10"/>
          <w:sz w:val="20"/>
          <w:szCs w:val="20"/>
          <w:highlight w:val="none"/>
        </w:rPr>
        <w:t>（中国核证自愿减排量）和上海碳普惠等外</w:t>
      </w:r>
      <w:r>
        <w:rPr>
          <w:rFonts w:hint="eastAsia" w:ascii="宋体" w:hAnsi="宋体" w:eastAsia="宋体" w:cs="宋体"/>
          <w:color w:val="auto"/>
          <w:spacing w:val="9"/>
          <w:sz w:val="20"/>
          <w:szCs w:val="20"/>
          <w:highlight w:val="none"/>
        </w:rPr>
        <w:t>部系</w:t>
      </w:r>
      <w:r>
        <w:rPr>
          <w:rFonts w:hint="eastAsia" w:ascii="宋体" w:hAnsi="宋体" w:eastAsia="宋体" w:cs="宋体"/>
          <w:color w:val="auto"/>
          <w:spacing w:val="-1"/>
          <w:sz w:val="20"/>
          <w:szCs w:val="20"/>
          <w:highlight w:val="none"/>
        </w:rPr>
        <w:t>统的对接等</w:t>
      </w:r>
      <w:r>
        <w:rPr>
          <w:rFonts w:hint="eastAsia" w:ascii="宋体" w:hAnsi="宋体" w:eastAsia="宋体" w:cs="宋体"/>
          <w:color w:val="auto"/>
          <w:spacing w:val="-1"/>
          <w:sz w:val="20"/>
          <w:szCs w:val="20"/>
          <w:highlight w:val="none"/>
          <w:lang w:eastAsia="zh-CN"/>
        </w:rPr>
        <w:t>。</w:t>
      </w:r>
      <w:r>
        <w:rPr>
          <w:rFonts w:hint="eastAsia" w:ascii="宋体" w:hAnsi="宋体" w:eastAsia="宋体" w:cs="宋体"/>
          <w:color w:val="auto"/>
          <w:spacing w:val="9"/>
          <w:sz w:val="20"/>
          <w:szCs w:val="20"/>
          <w:highlight w:val="none"/>
        </w:rPr>
        <w:t>本项目将作为市级双碳数智平台的核心承载，依托统一的数据模型、数据同步引擎与语义知识图谱，打通各业务系统之间的数据壁垒，实现多源异构数据的标准化融合与共享互认。项目将对重点单位温室气体和能源利用状况报告平台、碳排放报告直报平台、碳排放配额注册登记系统进行全面升级改造，实现指标体系统一、流</w:t>
      </w:r>
      <w:r>
        <w:rPr>
          <w:rFonts w:hint="eastAsia" w:ascii="宋体" w:hAnsi="宋体" w:eastAsia="宋体" w:cs="宋体"/>
          <w:color w:val="auto"/>
          <w:spacing w:val="7"/>
          <w:sz w:val="20"/>
          <w:szCs w:val="20"/>
          <w:highlight w:val="none"/>
        </w:rPr>
        <w:t>程闭环衔接、数据智能校验与一体化可视化呈现。同时，</w:t>
      </w:r>
      <w:r>
        <w:rPr>
          <w:rFonts w:hint="eastAsia" w:ascii="宋体" w:hAnsi="宋体" w:eastAsia="宋体" w:cs="宋体"/>
          <w:color w:val="auto"/>
          <w:spacing w:val="-64"/>
          <w:sz w:val="20"/>
          <w:szCs w:val="20"/>
          <w:highlight w:val="none"/>
        </w:rPr>
        <w:t xml:space="preserve"> </w:t>
      </w:r>
      <w:r>
        <w:rPr>
          <w:rFonts w:hint="eastAsia" w:ascii="宋体" w:hAnsi="宋体" w:eastAsia="宋体" w:cs="宋体"/>
          <w:color w:val="auto"/>
          <w:spacing w:val="7"/>
          <w:sz w:val="20"/>
          <w:szCs w:val="20"/>
          <w:highlight w:val="none"/>
        </w:rPr>
        <w:t>本</w:t>
      </w:r>
      <w:r>
        <w:rPr>
          <w:rFonts w:hint="eastAsia" w:ascii="宋体" w:hAnsi="宋体" w:eastAsia="宋体" w:cs="宋体"/>
          <w:color w:val="auto"/>
          <w:spacing w:val="6"/>
          <w:sz w:val="20"/>
          <w:szCs w:val="20"/>
          <w:highlight w:val="none"/>
        </w:rPr>
        <w:t>项目还</w:t>
      </w:r>
      <w:r>
        <w:rPr>
          <w:rFonts w:hint="eastAsia" w:ascii="宋体" w:hAnsi="宋体" w:eastAsia="宋体" w:cs="宋体"/>
          <w:color w:val="auto"/>
          <w:spacing w:val="9"/>
          <w:sz w:val="20"/>
          <w:szCs w:val="20"/>
          <w:highlight w:val="none"/>
        </w:rPr>
        <w:t>将与</w:t>
      </w:r>
      <w:r>
        <w:rPr>
          <w:rFonts w:hint="eastAsia" w:ascii="宋体" w:hAnsi="宋体" w:eastAsia="宋体" w:cs="宋体"/>
          <w:color w:val="auto"/>
          <w:spacing w:val="-37"/>
          <w:sz w:val="20"/>
          <w:szCs w:val="20"/>
          <w:highlight w:val="none"/>
        </w:rPr>
        <w:t xml:space="preserve"> </w:t>
      </w:r>
      <w:r>
        <w:rPr>
          <w:rFonts w:hint="eastAsia" w:ascii="宋体" w:hAnsi="宋体" w:eastAsia="宋体" w:cs="宋体"/>
          <w:color w:val="auto"/>
          <w:sz w:val="20"/>
          <w:szCs w:val="20"/>
          <w:highlight w:val="none"/>
        </w:rPr>
        <w:t>CCER</w:t>
      </w:r>
      <w:r>
        <w:rPr>
          <w:rFonts w:hint="eastAsia" w:ascii="宋体" w:hAnsi="宋体" w:eastAsia="宋体" w:cs="宋体"/>
          <w:color w:val="auto"/>
          <w:spacing w:val="9"/>
          <w:sz w:val="20"/>
          <w:szCs w:val="20"/>
          <w:highlight w:val="none"/>
        </w:rPr>
        <w:t>（中国核证自愿减排量）交易平台、上海碳普惠平台等外部系统建立标准对接通道，拓展碳资产管理场景，提升服务范围与</w:t>
      </w:r>
      <w:r>
        <w:rPr>
          <w:rFonts w:hint="eastAsia" w:ascii="宋体" w:hAnsi="宋体" w:eastAsia="宋体" w:cs="宋体"/>
          <w:color w:val="auto"/>
          <w:spacing w:val="1"/>
          <w:sz w:val="20"/>
          <w:szCs w:val="20"/>
          <w:highlight w:val="none"/>
        </w:rPr>
        <w:t>横向协同能力。</w:t>
      </w:r>
    </w:p>
    <w:p w14:paraId="6320C63F">
      <w:pPr>
        <w:pStyle w:val="2"/>
        <w:rPr>
          <w:color w:val="auto"/>
          <w:sz w:val="20"/>
          <w:szCs w:val="20"/>
          <w:highlight w:val="none"/>
        </w:rPr>
      </w:pPr>
      <w:bookmarkStart w:id="3" w:name="_Toc47536644"/>
      <w:bookmarkEnd w:id="3"/>
      <w:bookmarkStart w:id="4" w:name="_Toc47532891"/>
      <w:bookmarkEnd w:id="4"/>
      <w:bookmarkStart w:id="5" w:name="_Toc47531634"/>
      <w:bookmarkEnd w:id="5"/>
      <w:bookmarkStart w:id="6" w:name="_Toc47533256"/>
      <w:bookmarkEnd w:id="6"/>
      <w:bookmarkStart w:id="7" w:name="_Toc47532255"/>
      <w:bookmarkEnd w:id="7"/>
      <w:bookmarkStart w:id="8" w:name="_Toc47536272"/>
      <w:bookmarkEnd w:id="8"/>
      <w:bookmarkStart w:id="9" w:name="_Toc47539070"/>
      <w:bookmarkEnd w:id="9"/>
      <w:bookmarkStart w:id="10" w:name="_Toc47537134"/>
      <w:bookmarkEnd w:id="10"/>
      <w:r>
        <w:rPr>
          <w:rFonts w:hint="eastAsia"/>
          <w:color w:val="auto"/>
          <w:sz w:val="20"/>
          <w:szCs w:val="20"/>
          <w:highlight w:val="none"/>
        </w:rPr>
        <w:t>项目建设内容及技术需求</w:t>
      </w:r>
    </w:p>
    <w:p w14:paraId="2713F5F5">
      <w:pPr>
        <w:rPr>
          <w:rFonts w:hint="eastAsia"/>
          <w:color w:val="auto"/>
          <w:sz w:val="20"/>
          <w:szCs w:val="20"/>
          <w:highlight w:val="none"/>
          <w:lang w:val="en-US" w:eastAsia="zh-CN"/>
        </w:rPr>
      </w:pPr>
      <w:r>
        <w:rPr>
          <w:rFonts w:hint="eastAsia"/>
          <w:color w:val="auto"/>
          <w:sz w:val="20"/>
          <w:szCs w:val="20"/>
          <w:highlight w:val="none"/>
          <w:lang w:val="en-US" w:eastAsia="zh-CN"/>
        </w:rPr>
        <w:t xml:space="preserve">建设内容涵盖企业服务、数据治理、核心业务系统升级及智能化分析决策赋能，旨在为企业提供高效便捷的能碳双控服务，为政府部门提供科学精准的决策支持。 </w:t>
      </w:r>
    </w:p>
    <w:p w14:paraId="7C4E6506">
      <w:pPr>
        <w:rPr>
          <w:rFonts w:hint="eastAsia"/>
          <w:color w:val="auto"/>
          <w:sz w:val="20"/>
          <w:szCs w:val="20"/>
          <w:highlight w:val="none"/>
          <w:lang w:val="en-US" w:eastAsia="zh-CN"/>
        </w:rPr>
      </w:pPr>
      <w:r>
        <w:rPr>
          <w:rFonts w:hint="default"/>
          <w:color w:val="auto"/>
          <w:sz w:val="20"/>
          <w:szCs w:val="20"/>
          <w:highlight w:val="none"/>
          <w:lang w:val="en-US" w:eastAsia="zh-CN"/>
        </w:rPr>
        <w:t xml:space="preserve">1. </w:t>
      </w:r>
      <w:r>
        <w:rPr>
          <w:rFonts w:hint="eastAsia"/>
          <w:color w:val="auto"/>
          <w:sz w:val="20"/>
          <w:szCs w:val="20"/>
          <w:highlight w:val="none"/>
          <w:lang w:val="en-US" w:eastAsia="zh-CN"/>
        </w:rPr>
        <w:t xml:space="preserve">企业综合服务门户：建设一个以用户为中心、高度个性化与智能化的企业服务入口，实现企业与平台的高效互动。 </w:t>
      </w:r>
    </w:p>
    <w:p w14:paraId="3B212C1A">
      <w:pPr>
        <w:rPr>
          <w:rFonts w:hint="eastAsia"/>
          <w:color w:val="auto"/>
          <w:sz w:val="20"/>
          <w:szCs w:val="20"/>
          <w:highlight w:val="none"/>
          <w:lang w:val="en-US" w:eastAsia="zh-CN"/>
        </w:rPr>
      </w:pPr>
      <w:r>
        <w:rPr>
          <w:rFonts w:hint="default"/>
          <w:color w:val="auto"/>
          <w:sz w:val="20"/>
          <w:szCs w:val="20"/>
          <w:highlight w:val="none"/>
          <w:lang w:val="en-US" w:eastAsia="zh-CN"/>
        </w:rPr>
        <w:t xml:space="preserve">2. </w:t>
      </w:r>
      <w:r>
        <w:rPr>
          <w:rFonts w:hint="eastAsia"/>
          <w:color w:val="auto"/>
          <w:sz w:val="20"/>
          <w:szCs w:val="20"/>
          <w:highlight w:val="none"/>
          <w:lang w:val="en-US" w:eastAsia="zh-CN"/>
        </w:rPr>
        <w:t xml:space="preserve">统一数据管理平台：构建高效、安全、规范的数据管理体系，作为平台高效运行和智能决策的基石。 </w:t>
      </w:r>
    </w:p>
    <w:p w14:paraId="75DD8D3C">
      <w:pPr>
        <w:rPr>
          <w:rFonts w:hint="eastAsia"/>
          <w:color w:val="auto"/>
          <w:sz w:val="20"/>
          <w:szCs w:val="20"/>
          <w:highlight w:val="none"/>
          <w:lang w:val="en-US" w:eastAsia="zh-CN"/>
        </w:rPr>
      </w:pPr>
      <w:r>
        <w:rPr>
          <w:rFonts w:hint="default"/>
          <w:color w:val="auto"/>
          <w:sz w:val="20"/>
          <w:szCs w:val="20"/>
          <w:highlight w:val="none"/>
          <w:lang w:val="en-US" w:eastAsia="zh-CN"/>
        </w:rPr>
        <w:t xml:space="preserve">3. </w:t>
      </w:r>
      <w:r>
        <w:rPr>
          <w:rFonts w:hint="eastAsia"/>
          <w:color w:val="auto"/>
          <w:sz w:val="20"/>
          <w:szCs w:val="20"/>
          <w:highlight w:val="none"/>
          <w:lang w:val="en-US" w:eastAsia="zh-CN"/>
        </w:rPr>
        <w:t xml:space="preserve">重点单位能源利用状况和温室气体排放报送平台升级：全面升级现有报送平台，旨在提升企业报送的便捷性、准确性，并强化政府部门的监管与分析能力。 </w:t>
      </w:r>
    </w:p>
    <w:p w14:paraId="0D2B67A1">
      <w:pPr>
        <w:rPr>
          <w:rFonts w:hint="eastAsia"/>
          <w:color w:val="auto"/>
          <w:sz w:val="20"/>
          <w:szCs w:val="20"/>
          <w:highlight w:val="none"/>
          <w:lang w:val="en-US" w:eastAsia="zh-CN"/>
        </w:rPr>
      </w:pPr>
      <w:r>
        <w:rPr>
          <w:rFonts w:hint="default"/>
          <w:color w:val="auto"/>
          <w:sz w:val="20"/>
          <w:szCs w:val="20"/>
          <w:highlight w:val="none"/>
          <w:lang w:val="en-US" w:eastAsia="zh-CN"/>
        </w:rPr>
        <w:t xml:space="preserve">4. </w:t>
      </w:r>
      <w:r>
        <w:rPr>
          <w:rFonts w:hint="eastAsia"/>
          <w:color w:val="auto"/>
          <w:sz w:val="20"/>
          <w:szCs w:val="20"/>
          <w:highlight w:val="none"/>
          <w:lang w:val="en-US" w:eastAsia="zh-CN"/>
        </w:rPr>
        <w:t xml:space="preserve">上海市碳排放配额登记注册系统升级整合：对现有配额登记注册系统进行全面升级和整合，以提升配额管理效率、系统互联互通能力及用户体验。 </w:t>
      </w:r>
    </w:p>
    <w:p w14:paraId="4EB2B391">
      <w:pPr>
        <w:rPr>
          <w:rFonts w:hint="eastAsia"/>
          <w:color w:val="auto"/>
          <w:sz w:val="20"/>
          <w:szCs w:val="20"/>
          <w:highlight w:val="none"/>
          <w:lang w:val="en-US" w:eastAsia="zh-CN"/>
        </w:rPr>
      </w:pPr>
      <w:r>
        <w:rPr>
          <w:rFonts w:hint="default"/>
          <w:color w:val="auto"/>
          <w:sz w:val="20"/>
          <w:szCs w:val="20"/>
          <w:highlight w:val="none"/>
          <w:lang w:val="en-US" w:eastAsia="zh-CN"/>
        </w:rPr>
        <w:t xml:space="preserve">5. </w:t>
      </w:r>
      <w:r>
        <w:rPr>
          <w:rFonts w:hint="eastAsia"/>
          <w:color w:val="auto"/>
          <w:sz w:val="20"/>
          <w:szCs w:val="20"/>
          <w:highlight w:val="none"/>
          <w:lang w:val="en-US" w:eastAsia="zh-CN"/>
        </w:rPr>
        <w:t xml:space="preserve">上海市碳排放报告与核查管理系统改造：对碳排放报告系统 进行智能化改造，提升报告编制效率、数据质量和核查管理的自动化水平。 </w:t>
      </w:r>
    </w:p>
    <w:p w14:paraId="5E73676A">
      <w:pPr>
        <w:rPr>
          <w:rFonts w:hint="eastAsia"/>
          <w:color w:val="auto"/>
          <w:sz w:val="20"/>
          <w:szCs w:val="20"/>
          <w:highlight w:val="none"/>
          <w:lang w:val="en-US" w:eastAsia="zh-CN"/>
        </w:rPr>
      </w:pPr>
      <w:r>
        <w:rPr>
          <w:rFonts w:hint="default"/>
          <w:color w:val="auto"/>
          <w:sz w:val="20"/>
          <w:szCs w:val="20"/>
          <w:highlight w:val="none"/>
          <w:lang w:val="en-US" w:eastAsia="zh-CN"/>
        </w:rPr>
        <w:t xml:space="preserve">6. </w:t>
      </w:r>
      <w:r>
        <w:rPr>
          <w:rFonts w:hint="eastAsia"/>
          <w:color w:val="auto"/>
          <w:sz w:val="20"/>
          <w:szCs w:val="20"/>
          <w:highlight w:val="none"/>
          <w:lang w:val="en-US" w:eastAsia="zh-CN"/>
        </w:rPr>
        <w:t xml:space="preserve">智慧决策与数据分析平台优化: 深度优化数据分析平台，通过大数据、人工智能等技术，赋能各级政府和企业进行科学决策和精细化管理。 </w:t>
      </w:r>
    </w:p>
    <w:p w14:paraId="775620C5">
      <w:pPr>
        <w:rPr>
          <w:color w:val="auto"/>
          <w:highlight w:val="none"/>
        </w:rPr>
      </w:pPr>
      <w:r>
        <w:rPr>
          <w:rFonts w:hint="default"/>
          <w:color w:val="auto"/>
          <w:sz w:val="20"/>
          <w:szCs w:val="20"/>
          <w:highlight w:val="none"/>
          <w:lang w:val="en-US" w:eastAsia="zh-CN"/>
        </w:rPr>
        <w:t xml:space="preserve">7. </w:t>
      </w:r>
      <w:r>
        <w:rPr>
          <w:rFonts w:hint="eastAsia"/>
          <w:color w:val="auto"/>
          <w:sz w:val="20"/>
          <w:szCs w:val="20"/>
          <w:highlight w:val="none"/>
          <w:lang w:val="en-US" w:eastAsia="zh-CN"/>
        </w:rPr>
        <w:t xml:space="preserve">智能应用开发：提升智能化管理水平。依托统一数据平台和大数据模型底座，建设面向双碳管理场景的 </w:t>
      </w:r>
      <w:r>
        <w:rPr>
          <w:rFonts w:hint="default"/>
          <w:color w:val="auto"/>
          <w:sz w:val="20"/>
          <w:szCs w:val="20"/>
          <w:highlight w:val="none"/>
          <w:lang w:val="en-US" w:eastAsia="zh-CN"/>
        </w:rPr>
        <w:t xml:space="preserve">AI </w:t>
      </w:r>
      <w:r>
        <w:rPr>
          <w:rFonts w:hint="eastAsia"/>
          <w:color w:val="auto"/>
          <w:sz w:val="20"/>
          <w:szCs w:val="20"/>
          <w:highlight w:val="none"/>
          <w:lang w:val="en-US" w:eastAsia="zh-CN"/>
        </w:rPr>
        <w:t>应用，涵盖智能填报辅助、数据质量助手、能碳问答智能体、能碳智能分析助手等功能。通过对历史数据的识别与预填、异常数据的智能提示、政策知识的智能问答以及碳排数据的多维分析，减轻人工负担，提升数据处理效率和决策支撑能力，助力实现双碳管理的智能化、精细化与预测性提升。</w:t>
      </w:r>
    </w:p>
    <w:p w14:paraId="1E29680F">
      <w:pPr>
        <w:pStyle w:val="2"/>
        <w:ind w:hanging="425"/>
        <w:rPr>
          <w:rFonts w:hint="eastAsia"/>
          <w:color w:val="auto"/>
          <w:sz w:val="20"/>
          <w:szCs w:val="20"/>
          <w:highlight w:val="none"/>
        </w:rPr>
      </w:pPr>
      <w:r>
        <w:rPr>
          <w:rFonts w:hint="eastAsia"/>
          <w:color w:val="auto"/>
          <w:sz w:val="20"/>
          <w:szCs w:val="20"/>
          <w:highlight w:val="none"/>
          <w:lang w:val="en-US" w:eastAsia="zh-CN"/>
        </w:rPr>
        <w:t>软件开发清单</w:t>
      </w:r>
    </w:p>
    <w:tbl>
      <w:tblPr>
        <w:tblStyle w:val="36"/>
        <w:tblW w:w="8516"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9"/>
        <w:gridCol w:w="1513"/>
        <w:gridCol w:w="2021"/>
        <w:gridCol w:w="4273"/>
      </w:tblGrid>
      <w:tr w14:paraId="5D8C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27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58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系统名称</w:t>
            </w:r>
          </w:p>
        </w:tc>
        <w:tc>
          <w:tcPr>
            <w:tcW w:w="20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95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模块名称</w:t>
            </w:r>
          </w:p>
        </w:tc>
        <w:tc>
          <w:tcPr>
            <w:tcW w:w="42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FDA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模块功能描述</w:t>
            </w:r>
          </w:p>
        </w:tc>
      </w:tr>
      <w:tr w14:paraId="6EBCB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AF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A50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企业综合服务门户</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04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门户首页</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9F6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展示用户基本信息、企业工作台、关键KPI信息、政策法规、通知公告及常用功能入口，帮助企业快速获取关键业务信息、便捷进入高频操作模块，实现高效互动与智能服务。</w:t>
            </w:r>
          </w:p>
        </w:tc>
      </w:tr>
      <w:tr w14:paraId="308EF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D35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110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AD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企业基本信息</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80B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企业基本信息模块展示企业名称、统一社会信用代码、行业类别及联系人信息，用户可以进行填写和更新。</w:t>
            </w:r>
          </w:p>
        </w:tc>
      </w:tr>
      <w:tr w14:paraId="5291A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1C3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ADE9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12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企业工作台</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AB9E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企业工作台模块展示企业待办事项及快捷功能入口，用户可以快速查看任务状态并直达相关操作页面。</w:t>
            </w:r>
          </w:p>
        </w:tc>
      </w:tr>
      <w:tr w14:paraId="2D651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8A5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F4D4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D79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政策法规发布</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4E4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展示已发布的政策法规列表，管理人员可以进行新增、编辑、删除和发布操作</w:t>
            </w:r>
          </w:p>
        </w:tc>
      </w:tr>
      <w:tr w14:paraId="50E05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795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AE5D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53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政策法规</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611A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展示已发布的政策法规列表，用户可以随时查阅、检索和下载</w:t>
            </w:r>
          </w:p>
        </w:tc>
      </w:tr>
      <w:tr w14:paraId="7ED8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13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D2CA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17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通知公告发布</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3D8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展示已发布的通知公告列表，管理人员可以进行新增、编辑、删除和发布操作</w:t>
            </w:r>
          </w:p>
        </w:tc>
      </w:tr>
      <w:tr w14:paraId="3C8A7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7C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A6F5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7E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通知公告</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7798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展示已发布的通知公告列表，用户可以随时查阅、检索和下载</w:t>
            </w:r>
          </w:p>
        </w:tc>
      </w:tr>
      <w:tr w14:paraId="7CA2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7F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D721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A2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企业能碳看板</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3B1A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企业能碳看板模块展示企业能耗与碳排放的关键指标、趋势图及配额情况，用户可以直观查看当前能碳管理状态及历史变化。</w:t>
            </w:r>
          </w:p>
        </w:tc>
      </w:tr>
      <w:tr w14:paraId="18664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16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5C8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37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注册登录管理功能</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FE1D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注册登录管理功能支持企业用户通过统一入口完成账号注册、登录及身份验证。</w:t>
            </w:r>
          </w:p>
        </w:tc>
      </w:tr>
      <w:tr w14:paraId="1203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E2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1B38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0D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权限分配模块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332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用于配置不同角色或用户在系统中的操作权限范围，包括功能访问权限、数据查看权限、申报提交权限等。支持基于角色的权限模板设置，也支持个性化权限配置，提升系统管理灵活性与信息安全水平。</w:t>
            </w:r>
          </w:p>
        </w:tc>
      </w:tr>
      <w:tr w14:paraId="4BE37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9E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383E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44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统一认证服务</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5E2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登录信息校验，校验成功后可跳转至子系统，并继承账号权限与鉴权信息，完成子系统的登录</w:t>
            </w:r>
          </w:p>
        </w:tc>
      </w:tr>
      <w:tr w14:paraId="6D4B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48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05EA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C4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二次验证服务</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E3F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二次验证服务功能用于增强系统安全性，针对涉及高权限操作或敏感数据的子系统（如碳配额管理等），在用户登录后再次触发身份校验</w:t>
            </w:r>
          </w:p>
        </w:tc>
      </w:tr>
      <w:tr w14:paraId="77C00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2C1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345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统一数据管理平台</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7FE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数据上链</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155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各子系统的数据存证上目录链</w:t>
            </w:r>
          </w:p>
        </w:tc>
      </w:tr>
      <w:tr w14:paraId="44017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83D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E1F5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37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数据迁移工具</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5E5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开发数据迁移工具，可以从原系统中将重点数据迁移到新平台</w:t>
            </w:r>
          </w:p>
        </w:tc>
      </w:tr>
      <w:tr w14:paraId="2950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F5E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FBDC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CF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字段映射管理模块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8E2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统一数据语义，对不同系统的历史数据进行标准字段映射</w:t>
            </w:r>
          </w:p>
        </w:tc>
      </w:tr>
      <w:tr w14:paraId="3E84B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BD6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885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35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数据版本管理模块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F16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通过工具将不同时期、不同格式的历史数据转换为目标系统标准结构，建立字段映射规则库，解决同名不同义问题</w:t>
            </w:r>
          </w:p>
        </w:tc>
      </w:tr>
      <w:tr w14:paraId="792B3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84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26F4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F7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原始数据存档</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04C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保存原始数据备份存档，确保数据可追溯</w:t>
            </w:r>
          </w:p>
        </w:tc>
      </w:tr>
      <w:tr w14:paraId="23320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57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542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重点单位能源利用状况和温室气体排放报送平台升级</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0D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模板定义与发布</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523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支持按年度、行业或单位类型制定填报模板，明确数据字段、指标说明、填报口径、格式要求等，并在线发布供重点单位下载使用。</w:t>
            </w:r>
          </w:p>
        </w:tc>
      </w:tr>
      <w:tr w14:paraId="0C164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E4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BB61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1B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模板版本管理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CF32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支持对模板进行版本控制，便于跟踪历史调整记录，确保企业使用最新版标准模板填报。</w:t>
            </w:r>
          </w:p>
        </w:tc>
      </w:tr>
      <w:tr w14:paraId="0E358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97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D27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4B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数据填报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8E0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让重点用能单位通过手工填报的方式上报月/季/年度数据。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填报内容包括统计月报（按照最新的统计局月报格式）与能源利用状况报告（年报）。</w:t>
            </w:r>
          </w:p>
        </w:tc>
      </w:tr>
      <w:tr w14:paraId="1348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B2F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631E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2C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数据同步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B45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当企业已在平台其他子系统（碳排放直报系统）填写过相关数据，系统可实现自动同步或一键提取，避免重复填报。</w:t>
            </w:r>
          </w:p>
        </w:tc>
      </w:tr>
      <w:tr w14:paraId="209D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1D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7CF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F28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数据导入导出</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284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统计月报的格式与统计局的格式一样，考虑到减轻企业负担，允许用能单位从统计局网站上导出填报的统计月报，然后导入到全市报送系统当中。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用能单位能导出统计月报、能源利用状况报告和碳排放报告这3类报告。</w:t>
            </w:r>
          </w:p>
        </w:tc>
      </w:tr>
      <w:tr w14:paraId="216B4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67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ED16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44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碳排放计算引擎</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92C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根据上海市温室气体排放核算报告指南与行业方法，将计算逻辑内置在系统里。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碳排放报告的原始数据来源于统计月报与能源利用状况报告，排放数据根据上海市温室气体排放核算与报告指南与行业方法自动算出。</w:t>
            </w:r>
          </w:p>
        </w:tc>
      </w:tr>
      <w:tr w14:paraId="0021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6A5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CFA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27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数据查询</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2A6C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重点用能单位能登录系统对自己填报统计月报或能源利用状况报告进行查询，还能查询企业每月的碳排放情况。</w:t>
            </w:r>
          </w:p>
        </w:tc>
      </w:tr>
      <w:tr w14:paraId="1F1C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2A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7A0B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2F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企业基础信息同步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C50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支持从底层数据中同步企业基础信息，全平台共享企业基础信息，减少数据重复填报；支持直报页面具有基础信息维护入口，企业可直接维护基础信息，并更新至全平台</w:t>
            </w:r>
          </w:p>
        </w:tc>
      </w:tr>
      <w:tr w14:paraId="3B29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D2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9B9B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FE5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直报页面基础信息维护</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183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在报送平台页面设企业基础信息编辑入口，确保更新数据及时回写至统一数据平台</w:t>
            </w:r>
          </w:p>
        </w:tc>
      </w:tr>
      <w:tr w14:paraId="18C74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292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A000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64C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规则校验引擎</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254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使用预配置填报规则对数据的同/环比、上下限、数据格式等校验；</w:t>
            </w:r>
          </w:p>
        </w:tc>
      </w:tr>
      <w:tr w14:paraId="638A1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0F5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9412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2C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校验规则配置</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E1C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支持设定数据校验规则，如必填校验、阈值校验等。</w:t>
            </w:r>
          </w:p>
        </w:tc>
      </w:tr>
      <w:tr w14:paraId="6A3C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52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9D68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0A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设施台账管理模块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417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支持企业级别保存重点用能设施，并维护设备各项基本信息，包括功率、主要用能、用能效率等信息，支持设施数据多系统共享</w:t>
            </w:r>
          </w:p>
        </w:tc>
      </w:tr>
      <w:tr w14:paraId="7E566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0A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4E9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D9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报告查询</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189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各委办及区县主管部门可以通过年月等时间选项查看某个用能单位的统计月报或能源利用状况报告及碳排放报告。还可以根据行业查看各行业汇总的能源统计月报、能源利用状况报告和碳排放报告。</w:t>
            </w:r>
          </w:p>
        </w:tc>
      </w:tr>
      <w:tr w14:paraId="01FB5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CF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5F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1C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报告导出</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823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系统可根据一定格式能导出多类报表：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这些报告既可以针对单个用能单位导出，也可以按行业导出，或全市所有重点用能单位的汇总报告。报告导出的格式为Excel。</w:t>
            </w:r>
          </w:p>
        </w:tc>
      </w:tr>
      <w:tr w14:paraId="41B2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F2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6731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83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数据预警</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2BE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各委办主管部门可以根据用能数据和碳排放数据设置预警规则</w:t>
            </w:r>
          </w:p>
        </w:tc>
      </w:tr>
      <w:tr w14:paraId="27FB9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E1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2A83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27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企业填报进度追踪</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A32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对企业填报数据情况实时分析，分析填报百分比，数据完成率等指标</w:t>
            </w:r>
          </w:p>
        </w:tc>
      </w:tr>
      <w:tr w14:paraId="56C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6B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DACC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FAC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企业填报催办</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349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对没有及时完胜上报的单位，可以一键催报功能，及时提醒填报</w:t>
            </w:r>
          </w:p>
        </w:tc>
      </w:tr>
      <w:tr w14:paraId="282DE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4B2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768D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215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全局填报统计与可视化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982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统计企业填报情况，支持单个企业查看，区域企业查看，行业企业查看，及所有企业查看，追踪填报情况和各区域完成率</w:t>
            </w:r>
          </w:p>
        </w:tc>
      </w:tr>
      <w:tr w14:paraId="7C2D9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34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B99E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71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数据交换子系统</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C73F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数据交换子系统包括两部分交换：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工业能源利用状况报告系统与数据上报平台子系统之间的数据交换。这两者之间的数据交换发生在互联网上。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数据上报平台子系统与管理分析平台子系统之间的数据交换。这两者之间的数据交换发生在政务外网与互联网上。</w:t>
            </w:r>
          </w:p>
        </w:tc>
      </w:tr>
      <w:tr w14:paraId="48317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3CA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0DB0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B7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节能专家库基础库维护</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A1E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对节能评估机构库、节能评审机构库、专家库的数据进行维护，主要是增删改及后台查询的功能。</w:t>
            </w:r>
          </w:p>
        </w:tc>
      </w:tr>
      <w:tr w14:paraId="55E4A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85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0E8B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41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节能评估机构检索</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503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这部分功能模块放在互联网上，对社会上的企业公开，任何有固定资产投资项目节能评估需求的企业都能通过该功能模块检索节能评估机构，取得他们的资料及联系方式。</w:t>
            </w:r>
          </w:p>
        </w:tc>
      </w:tr>
      <w:tr w14:paraId="5F260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648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F9A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19F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节能评审机构库</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15E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这部分功能模块需要一定的用户权限才能使用，后台由管理员设定好用户名及密码，交由发改委及各区县主管部门使用。</w:t>
            </w:r>
          </w:p>
        </w:tc>
      </w:tr>
      <w:tr w14:paraId="4C63E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EF5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376D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86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专家库</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1EC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这部分功能模块类似节能评审机构库，需要一定的用户权限才能使用，后台由管理员设定好用户名及密码，交由发改委及各区县主管部门使用。</w:t>
            </w:r>
          </w:p>
        </w:tc>
      </w:tr>
      <w:tr w14:paraId="6301B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74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462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51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季报项目管理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E9F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用户登录到系统后对自己单位的项目进行管理，包括查询，新增、修改和上报。项目基本信息包括项目单位名称、项目名称、主管部门、项目地址、立项文号、立项时间、总投资（分资金来源）、形象进度计划等。</w:t>
            </w:r>
          </w:p>
        </w:tc>
      </w:tr>
      <w:tr w14:paraId="36EE0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31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2ACE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14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季报管理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97B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包括季报和年初预报的新增、修改、查询，和退回项目单位等功能。季报主要包括年度完成投资、计划和实际完成时间、项目状态、累计形象进度、是否市级重大项目等。</w:t>
            </w:r>
          </w:p>
        </w:tc>
      </w:tr>
      <w:tr w14:paraId="6856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610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2F65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24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报表管理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E32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按资金来源、年度、季度等条件生成项目单位的季报报表，以便项目单位自己统计管理项目。</w:t>
            </w:r>
          </w:p>
        </w:tc>
      </w:tr>
      <w:tr w14:paraId="4652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FF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B2A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9D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季报数据审核、转报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A37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系统具有自动预审核功能，对于符合条件的季报才可以进行转报工作，审核不通的季报，系统予以提示修改。季报一旦转报成功，就不允许项目单位和行业主管部门进行修改。</w:t>
            </w:r>
          </w:p>
        </w:tc>
      </w:tr>
      <w:tr w14:paraId="7F4B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48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D61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上海市碳排放配额登记注册系统升级整合</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46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碳普惠系统数据接口</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39C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与上海市碳普惠系统对接，实现在配额系统中查看碳普惠数量并且可以直接发起碳普惠注销申请，由碳普惠系统审核注销申请</w:t>
            </w:r>
          </w:p>
        </w:tc>
      </w:tr>
      <w:tr w14:paraId="5EB62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74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435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73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碳交易系统数据接口</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71CF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与上海市碳交易系统对接，进行交易数据和配额数据的对接</w:t>
            </w:r>
          </w:p>
        </w:tc>
      </w:tr>
      <w:tr w14:paraId="53785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D98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065D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6B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数据同步与转换模块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BD4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对外部接口获取的数据执行格式转换与标准化处理，确保数据规范后，精准写入平台内部的配额账户</w:t>
            </w:r>
          </w:p>
        </w:tc>
      </w:tr>
      <w:tr w14:paraId="3C280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C7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6FF3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1B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配额数据同步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369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自动将计算好的配额数据从上海市碳排放直报系统同步到碳排放配额登记注册系统</w:t>
            </w:r>
          </w:p>
        </w:tc>
      </w:tr>
      <w:tr w14:paraId="55E16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7B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476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27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创建配额</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777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根据年度管理方案和主管部门通知填写配额年度、配额量、配额类型等信息。管理员审核通过后，即可成功创建新的碳排放配额，并纳入统一管理。</w:t>
            </w:r>
          </w:p>
        </w:tc>
      </w:tr>
      <w:tr w14:paraId="0B98E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911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AE86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41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划拨配额</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03B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展示和查询配额划拨记录，并且可将配额在政府部门不同账户进行划拨</w:t>
            </w:r>
          </w:p>
        </w:tc>
      </w:tr>
      <w:tr w14:paraId="62A29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62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3BBF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7D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分配配额</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F50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分配配额模块展示配额分配的历史记录和查询功能，管理员可以查看已分配的配额详情。通过该模块，管理员能够将指定数量的碳排放配额从政府总账户分配至各企业账户</w:t>
            </w:r>
          </w:p>
        </w:tc>
      </w:tr>
      <w:tr w14:paraId="01B35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183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761B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37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拍卖配额</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D66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配额从拍卖账户划拨到交易所账户后，通过碳交易系统接口传到上海市碳交易系统，在上海市碳交易系统完成拍卖后，将拍卖记录及结果返回系统，展示拍卖记录及政府和企业配额变更结果</w:t>
            </w:r>
          </w:p>
        </w:tc>
      </w:tr>
      <w:tr w14:paraId="6690E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C3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10FC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86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政府配额总览</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7AE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查询政府碳配额账户明细和历史</w:t>
            </w:r>
          </w:p>
        </w:tc>
      </w:tr>
      <w:tr w14:paraId="1F698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6F6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D4A4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DB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纳管账户配额管理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BB65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查询纳管账户碳配额账户明细和历史</w:t>
            </w:r>
          </w:p>
        </w:tc>
      </w:tr>
      <w:tr w14:paraId="2528F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37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B38E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99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非纳管账户配额管理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6BC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查询非纳管账户碳配额账户明细和历史</w:t>
            </w:r>
          </w:p>
        </w:tc>
      </w:tr>
      <w:tr w14:paraId="1D02E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0C8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202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F8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配额变更/交还</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AC3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可强制对账户之间的碳配额量进行变更或交还操作</w:t>
            </w:r>
          </w:p>
        </w:tc>
      </w:tr>
      <w:tr w14:paraId="4994E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18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E9AF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AF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预配额管理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FC6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可以对预配额进行查看、发放等操作</w:t>
            </w:r>
          </w:p>
        </w:tc>
      </w:tr>
      <w:tr w14:paraId="4C5C7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E7B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1CA4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6C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企业配额管理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A00A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企业对自身的不同账户的配额进行查看、划拨等操作</w:t>
            </w:r>
          </w:p>
        </w:tc>
      </w:tr>
      <w:tr w14:paraId="4A4B8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40B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CC6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D5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审定结果</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68E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企业查看并确认本企业核查审定排放量数据</w:t>
            </w:r>
          </w:p>
        </w:tc>
      </w:tr>
      <w:tr w14:paraId="07473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89C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C879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6F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企业配额清缴</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CBA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企业用户可查看当前账户的清缴记录和已经清缴、未清缴的详细情况。用户可以选择不同的碳配额类型进行清缴操作</w:t>
            </w:r>
          </w:p>
        </w:tc>
      </w:tr>
      <w:tr w14:paraId="02545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39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B069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AE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企业配额注销</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C80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企业用户可操作查看注销记录、可注销量，以及可以执行注销碳配额操作</w:t>
            </w:r>
          </w:p>
        </w:tc>
      </w:tr>
      <w:tr w14:paraId="0B8E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0EE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9AB1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493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履约清缴记录</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F9E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管理用户可查看各企业的履约清缴记录</w:t>
            </w:r>
          </w:p>
        </w:tc>
      </w:tr>
      <w:tr w14:paraId="121C9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5A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755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8C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配额注销记录</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714B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可操作查看注销记录、可注销量，以及可以执行注销碳配额操作</w:t>
            </w:r>
          </w:p>
        </w:tc>
      </w:tr>
      <w:tr w14:paraId="6236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DA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AE19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97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履约完成情况</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994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管理部门查看各企业履约完成的情况</w:t>
            </w:r>
          </w:p>
        </w:tc>
      </w:tr>
      <w:tr w14:paraId="372A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F23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9502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726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操作与审核分离机制</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350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实现“经办人录入 + 审核人确认”两岗分离机制，政府经办人员录入企业配额相关申请信息（如配额分配、变更、转让等），提交后信息进入待审核状态，无法自行修改或直接生效。</w:t>
            </w:r>
          </w:p>
        </w:tc>
      </w:tr>
      <w:tr w14:paraId="685E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B7A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166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CAB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待审事项列表模块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D95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系统为审核人员推送待审核清单，展示单位名称、申请类型、提交时间、操作人等关键信息，便于快速识别与分配工作量。</w:t>
            </w:r>
          </w:p>
        </w:tc>
      </w:tr>
      <w:tr w14:paraId="794AD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09C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BBFF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81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审核操作模块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48E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审核人员可查看详情、对比修改记录、确认材料完整性与数据准确性，支持“通过”、“退回修改”或“拒绝”操作，并填写审核意见。</w:t>
            </w:r>
          </w:p>
        </w:tc>
      </w:tr>
      <w:tr w14:paraId="76419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1C6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67D5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58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日志管理-内网日志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F9B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查看内网各账户登录至退出时间的日志记录。</w:t>
            </w:r>
          </w:p>
        </w:tc>
      </w:tr>
      <w:tr w14:paraId="5D58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44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FA95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4D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外网登陆日志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781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此页面主要是查看外网各账户登录至退出时间的日志记录。</w:t>
            </w:r>
          </w:p>
        </w:tc>
      </w:tr>
      <w:tr w14:paraId="2C63B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BA3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204D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C0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交易系统接口日志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E0C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此页面主要是查看配额操作日志记录、拍卖记录日志、通讯日志信息</w:t>
            </w:r>
          </w:p>
        </w:tc>
      </w:tr>
      <w:tr w14:paraId="44FF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CA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37A1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6A5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碳普惠系统接口日志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F1D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此页面主要是查看与碳普惠系统接口的通讯日志</w:t>
            </w:r>
          </w:p>
        </w:tc>
      </w:tr>
      <w:tr w14:paraId="75EA4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465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72</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4BC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上海市碳排放报告与核查管理系统改造</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CE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核算模板</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194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支持按年度、行业或单位类型制定填报模板，明确数据字段、指标说明、填报口径、格式要求等，并在线发布供重点单位下载使用。</w:t>
            </w:r>
          </w:p>
        </w:tc>
      </w:tr>
      <w:tr w14:paraId="04F74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B13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2850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108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模板版本管理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147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支持对模板进行更新控制，确保企业使用最新版标准模板填报。</w:t>
            </w:r>
          </w:p>
        </w:tc>
      </w:tr>
      <w:tr w14:paraId="695AE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C6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BF92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77A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数据质量控制方案填报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D9E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企业上传数据质量控制方案，包括排放边界、数据确定方式、测量频次、责任人员等</w:t>
            </w:r>
          </w:p>
        </w:tc>
      </w:tr>
      <w:tr w14:paraId="34FC1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D9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7378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68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碳排放数据填报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F07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可以查看本企业所使用的填报模版，并且录入相关数据，包括排放边界说明、工艺流程介绍、直接排放、间接排放等</w:t>
            </w:r>
          </w:p>
        </w:tc>
      </w:tr>
      <w:tr w14:paraId="16525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2B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7314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31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证明材料上传与管理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026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上传排放数据证明材料，提升数据可追溯性、准确性及核查效率，支持证明材料归档，支持往年证明材料查看，支持证明材料与数据条目连接</w:t>
            </w:r>
          </w:p>
        </w:tc>
      </w:tr>
      <w:tr w14:paraId="20960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3D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ACE8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F8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填报任务管理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7DB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支持主管部门创建碳排放报告填报及证明材料上传任务，实现任务分配、管理与截止日期设定</w:t>
            </w:r>
          </w:p>
        </w:tc>
      </w:tr>
      <w:tr w14:paraId="7CADE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10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BA97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160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进度可视化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DC1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通过甘特图、仪表盘可视化呈现企业、区域、行业报告编制及任务完成进度</w:t>
            </w:r>
          </w:p>
        </w:tc>
      </w:tr>
      <w:tr w14:paraId="5C3EA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3C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47D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8C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任务流转状态追踪</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1DEA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实时动态展示任务状态，涵盖未开始、进行中、已提交、待核查等全流程节点信息</w:t>
            </w:r>
          </w:p>
        </w:tc>
      </w:tr>
      <w:tr w14:paraId="5D45D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53D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D3B4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A8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任务催办</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D75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系统支持对未完成或逾期任务进行手动或自动催办</w:t>
            </w:r>
          </w:p>
        </w:tc>
      </w:tr>
      <w:tr w14:paraId="0BD4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69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811D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30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企业任务待办</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A7F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自动汇总其需处理的各类任务（如数据填报、信息审核、材料上传、履约操作等），以清单形式集中展示</w:t>
            </w:r>
          </w:p>
        </w:tc>
      </w:tr>
      <w:tr w14:paraId="028E2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1A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B302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81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碳排放核算引擎</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82B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核心计算模块基于导入的活动数据、排放因子，依据国家 / 地方核算方法学，自动测算企业碳排放量</w:t>
            </w:r>
          </w:p>
        </w:tc>
      </w:tr>
      <w:tr w14:paraId="7F0F3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EF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9203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BC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数据同步</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8B8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当企业已在平台其他子系统（碳排放直报系统）填写过相关数据，系统可实现自动同步或一键提取，避免重复填报。</w:t>
            </w:r>
          </w:p>
        </w:tc>
      </w:tr>
      <w:tr w14:paraId="0609D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97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6F96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DD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核查分包</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CB3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系统内置企业分类逻辑，可自动进行核查分包，生成初稿后可手动调整</w:t>
            </w:r>
          </w:p>
        </w:tc>
      </w:tr>
      <w:tr w14:paraId="3B94B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2B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35BA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A0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匹配包件和核查机构</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7D7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确认了核查分包之后，在系统中匹配包件和核查机构</w:t>
            </w:r>
          </w:p>
        </w:tc>
      </w:tr>
      <w:tr w14:paraId="2B94D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D4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1E86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FC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核查任务分配</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63B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各核查机构可以给核查员分配需要核查的企业</w:t>
            </w:r>
          </w:p>
        </w:tc>
      </w:tr>
      <w:tr w14:paraId="2EBEC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48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B9D1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76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在线核查工作台</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E43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在线记录核查内容及结果，查看核查机构各版本数据，支持多年度数据查看</w:t>
            </w:r>
          </w:p>
        </w:tc>
      </w:tr>
      <w:tr w14:paraId="3480C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0A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E4F4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7E8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核查报告生成器</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07A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支持核查报告模板导入，一键生成核查报告，并支持导出</w:t>
            </w:r>
          </w:p>
        </w:tc>
      </w:tr>
      <w:tr w14:paraId="6CA23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426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6DD5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43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核查进度监控</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C96B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支持主管部门在线查看核查进度，超出应完成日期警报，支持查看核查状态，通过审核，进行中，未开始，未通过审核等状态</w:t>
            </w:r>
          </w:p>
        </w:tc>
      </w:tr>
      <w:tr w14:paraId="7EF12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EB0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8F50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EB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核查机构评分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2F2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根据核查机构考评制度，对核查机构的工作合规情况和核查工作质量进行量化打分和综合考评</w:t>
            </w:r>
          </w:p>
        </w:tc>
      </w:tr>
      <w:tr w14:paraId="3E707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5C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341C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04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数据复核</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8050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系统可以配置数据复核的条件，根据该条件自动筛选出需要复核的单位名单，支持手动调整复核名单</w:t>
            </w:r>
          </w:p>
        </w:tc>
      </w:tr>
      <w:tr w14:paraId="3712B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79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E5C2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BD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复核文档</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4C95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在调研过程中记录不一致的数据，可根据结果一键生成复核文档，复核结果需经企业确认。</w:t>
            </w:r>
          </w:p>
        </w:tc>
      </w:tr>
      <w:tr w14:paraId="5A5FF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37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AFFE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DE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排放结果审定</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00B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在核查和复核环节进行完毕后，可在此页面查询排放结果审定汇总，点进详情，可以查看单个企业排放结果审定</w:t>
            </w:r>
          </w:p>
        </w:tc>
      </w:tr>
      <w:tr w14:paraId="77317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F0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4E18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58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配额分配方案配置</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ED5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根据年度配额分配方案，将相应逻辑配置到系统里；系统内置计算引擎，可根据计算逻辑自动调取相应的数据进行计算；需匹配每个单位适用的配额分配逻辑</w:t>
            </w:r>
          </w:p>
        </w:tc>
      </w:tr>
      <w:tr w14:paraId="523D6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30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AFD4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83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配额信息表</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817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根据每个单位适用的配额分配方案，自动调取该单位的数据进行填充和计算，自动生成配额信息表</w:t>
            </w:r>
          </w:p>
        </w:tc>
      </w:tr>
      <w:tr w14:paraId="43014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974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ACFE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49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配额计算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E10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根据配额分配方案和当年审定结果，生成当年配额，可线上审核和确认</w:t>
            </w:r>
          </w:p>
        </w:tc>
      </w:tr>
      <w:tr w14:paraId="7A3F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AB8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21DD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6C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预配额计算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614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根据上年审定结果、下一年分配方案和纳管单位名单，计算预配额</w:t>
            </w:r>
          </w:p>
        </w:tc>
      </w:tr>
      <w:tr w14:paraId="6799B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6F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98</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C69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智慧决策与数据分析平台优化</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254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数据主题建设</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54F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纳入“二新”数据、产品碳足迹数据、固定资产投资项目节能审查和碳排放数据、绿色金融项目数据等更多的数据源，制作相关的数据主题</w:t>
            </w:r>
          </w:p>
        </w:tc>
      </w:tr>
      <w:tr w14:paraId="7B422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14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0ED5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9E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宏观能碳数据可视化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B59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将区域范围内的物理空间、关键系统指标等更好地衔接整合在一起，为区域政府各主管部门的能碳管理提供实时洞察力和决策辅助</w:t>
            </w:r>
          </w:p>
        </w:tc>
      </w:tr>
      <w:tr w14:paraId="3BB88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A1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36C9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A1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双碳路径规划及进度追踪</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E85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采用瀑布图形式显示包括碳排放基线、碳减排、碳抵消、净碳排放、目标年预计碳排放数据等关键指标，实现双碳目标的制定和进度追踪展示</w:t>
            </w:r>
          </w:p>
        </w:tc>
      </w:tr>
      <w:tr w14:paraId="425BD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07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6D43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D9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碳排放预测模型</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DB6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融合历史排放、经济指标与政策变量，实现企业及区域碳排放短中长期预测</w:t>
            </w:r>
          </w:p>
        </w:tc>
      </w:tr>
      <w:tr w14:paraId="31C92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0B1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860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D6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能耗预测模型</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6A8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采用碳排放预测同类算法，预测企业及区域能耗，并依据能源平衡表验证预测结果</w:t>
            </w:r>
          </w:p>
        </w:tc>
      </w:tr>
      <w:tr w14:paraId="3A2CC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A2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103</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19B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智能应用开发</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86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企业能碳问答智能体-数据预处理-能碳数据清洗</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D62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对企业的历史能源消耗、碳排放数据进行清洗、去重和格式化，确保数据质量和一致性，作为问答的基础数据源。</w:t>
            </w:r>
          </w:p>
        </w:tc>
      </w:tr>
      <w:tr w14:paraId="29008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2B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7623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B9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企业能碳问答智能体-数据预处理-问答语料库整理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6C6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从历史客服记录、常见问题中提取并清洗问答对，建立企业能碳领域的专属语料库，用于智能体的训练和优化。</w:t>
            </w:r>
          </w:p>
        </w:tc>
      </w:tr>
      <w:tr w14:paraId="05443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E3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AA45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85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企业能碳问答智能体-数据服务-数据标注与校对</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B5F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对清洗后的能碳数据进行标注，识别关键实体（如设备名称、能源类型、碳排放量等），并对政策法规知识库中的关键信息进行标记，确保智能体能准确理解和提取信息。</w:t>
            </w:r>
          </w:p>
        </w:tc>
      </w:tr>
      <w:tr w14:paraId="563D3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DD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315A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81F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企业能碳问答智能体-业务系统集成-问答页面集成</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8D8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在企业综合服务门户中集成问答智能体的API接口，使其能够接收用户的能碳相关提问，并返回结构化的答案</w:t>
            </w:r>
          </w:p>
        </w:tc>
      </w:tr>
      <w:tr w14:paraId="6DA33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3E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332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8F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企业能碳问答智能体-业务系统集成-数据权限控制</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85D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将智能体与企业的权限管理系统集成，确保智能体在回答问题时，只能访问提问用户有权限查看的数据，保障数据安全。</w:t>
            </w:r>
          </w:p>
        </w:tc>
      </w:tr>
      <w:tr w14:paraId="6DB58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31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8552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9E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智能单据识别助手-数据预处理-单据模板库构建</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A25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收集并整理各类能碳相关的单据模板，如电费单、燃气单、碳排放报告等，对其进行分类和标注，建立结构化的单据模板库。</w:t>
            </w:r>
          </w:p>
        </w:tc>
      </w:tr>
      <w:tr w14:paraId="6C34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899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D9B6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53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智能单据识别助手-数据预处理-历史单据扫描与数字化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1AF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对历史纸质单据进行扫描、OCR识别，将非结构化的图像和文本数据转换为可机读的结构化数据，并进行初步清洗。</w:t>
            </w:r>
          </w:p>
        </w:tc>
      </w:tr>
      <w:tr w14:paraId="7717F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64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E588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58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智能单据识别助手-数据服务-单据要素标注</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3AC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对数字化后的单据数据进行高精度标注，识别并提取单据中的关键信息，如日期、金额、能耗量、排放源等，并进行字段级的关联。</w:t>
            </w:r>
          </w:p>
        </w:tc>
      </w:tr>
      <w:tr w14:paraId="19D15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34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E5D6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D0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智能单据识别助手-业务系统集成-单据识别接口集成</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48F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在业务系统中集成智能单据识别助手的API，支持用户上传单据图片或文件，并自动提取关键信息。</w:t>
            </w:r>
          </w:p>
        </w:tc>
      </w:tr>
      <w:tr w14:paraId="22029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49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2C13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3F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智能数据质量助手-数据预处理-规则库构建</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2DB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收集并整理各类数据质量规则，包括数据完整性规则、格式规范、逻辑一致性规则、行业标准阈值等，构建结构化规则库。</w:t>
            </w:r>
          </w:p>
        </w:tc>
      </w:tr>
      <w:tr w14:paraId="427D8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E9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3041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BE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智能数据质量助手-数据服务-历史数据异常标签化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6C0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对历史能碳数据中的异常值、缺失值和不一致数据进行人工标注，构建异常样本数据集</w:t>
            </w:r>
          </w:p>
        </w:tc>
      </w:tr>
      <w:tr w14:paraId="38282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702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F32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ED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智能数据质量助手-业务系统集成-数据质量看板</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D4D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在管理后台提供数据质量看板，展示数据整体质量评分、异常数据概览和问题分布，方便管理员进行数据治理。</w:t>
            </w:r>
          </w:p>
        </w:tc>
      </w:tr>
      <w:tr w14:paraId="56582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9F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633E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5A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能碳智能分析助手-数据预处理-数据采集</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6D4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全市能耗模型、产业能耗模型、碳排放模型、环境影响模型、温室气体清单模型、多种数据主题（“二新”数据、产品碳足迹数据、固定资产投资项目节能审查和碳排放数据、绿色金融项目数据）等数据进行整合、清洗和标准化，构建全市统一的能碳大数据底座。</w:t>
            </w:r>
          </w:p>
        </w:tc>
      </w:tr>
      <w:tr w14:paraId="3BEF5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0F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116</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0D6A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69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能碳智能分析助手-数据预处理-专业术语与概念知识库构建</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E7A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将双碳领域的专业术语、行业标准、排放因子等关键知识进行结构化，构建专属知识库，用于提升大模型对能碳专业问题的理解能力。</w:t>
            </w:r>
          </w:p>
        </w:tc>
      </w:tr>
      <w:tr w14:paraId="0232F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67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525B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BF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能碳智能分析助手-数据服务-能碳数据建模与标注</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34A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对统一数据底座中的海量数据进行建模，并进行高精度标注，识别不同行业、区域、企业的能碳排放特征与规律，确保数据的唯一性和权威性。</w:t>
            </w:r>
          </w:p>
        </w:tc>
      </w:tr>
      <w:tr w14:paraId="0E2F5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0D6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118</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C0D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01C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能碳智能分析助手-业务系统集成-问答与决策辅助界面集成</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586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在智慧决策与数据分析平台中集成智能分析助手，政府人员可以通过自然语言提问（如“某区制造业碳排放趋势如何？”），获取精准的数据分析结果。</w:t>
            </w:r>
          </w:p>
        </w:tc>
      </w:tr>
      <w:tr w14:paraId="0838F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56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0978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CFD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能碳智能分析助手-业务系统集成-多维数据可视化</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C02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将大模型分析结果通过交互式图表、地图等形式进行可视化呈现，直观展示不同区域、行业的能碳数据对比与减排潜力。</w:t>
            </w:r>
          </w:p>
        </w:tc>
      </w:tr>
      <w:tr w14:paraId="4AFE2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67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F9ED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0"/>
                <w:szCs w:val="20"/>
                <w:highlight w:val="none"/>
                <w:u w:val="none"/>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FA1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大模型接口建设</w:t>
            </w:r>
          </w:p>
        </w:tc>
        <w:tc>
          <w:tcPr>
            <w:tcW w:w="4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8201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基于MAP平台统一提供的数据上传接口上传数据，智能应用（如能碳问答、数据质量、单据识别、能碳分析助手）则通过各自独立的、标准化的API接口对外提供服务。</w:t>
            </w:r>
          </w:p>
        </w:tc>
      </w:tr>
    </w:tbl>
    <w:p w14:paraId="0901751E">
      <w:pPr>
        <w:pStyle w:val="2"/>
        <w:ind w:hanging="425"/>
        <w:rPr>
          <w:rFonts w:hint="eastAsia"/>
          <w:color w:val="auto"/>
          <w:sz w:val="20"/>
          <w:szCs w:val="20"/>
          <w:highlight w:val="none"/>
          <w:lang w:val="en-US" w:eastAsia="zh-CN"/>
        </w:rPr>
      </w:pPr>
      <w:bookmarkStart w:id="11" w:name="_Toc63785502"/>
      <w:bookmarkStart w:id="12" w:name="_Toc63785503"/>
      <w:r>
        <w:rPr>
          <w:rFonts w:hint="eastAsia"/>
          <w:color w:val="auto"/>
          <w:sz w:val="20"/>
          <w:szCs w:val="20"/>
          <w:highlight w:val="none"/>
          <w:lang w:val="en-US" w:eastAsia="zh-CN"/>
        </w:rPr>
        <w:t>电子政务云资源需求</w:t>
      </w:r>
      <w:bookmarkEnd w:id="11"/>
      <w:r>
        <w:rPr>
          <w:rFonts w:hint="eastAsia"/>
          <w:color w:val="auto"/>
          <w:sz w:val="20"/>
          <w:szCs w:val="20"/>
          <w:highlight w:val="none"/>
          <w:lang w:val="en-US" w:eastAsia="zh-CN"/>
        </w:rPr>
        <w:t>（仅针对上云项目）</w:t>
      </w:r>
    </w:p>
    <w:p w14:paraId="6185F376">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根据项目前期资源现状，本次建设根据估算拟向电子政务云申请虚拟服务器资源</w:t>
      </w:r>
      <w:r>
        <w:rPr>
          <w:rFonts w:hint="eastAsia" w:ascii="宋体" w:hAnsi="宋体" w:cs="宋体"/>
          <w:color w:val="auto"/>
          <w:sz w:val="20"/>
          <w:szCs w:val="20"/>
          <w:highlight w:val="none"/>
          <w:lang w:val="en-US" w:eastAsia="zh-CN"/>
        </w:rPr>
        <w:t>9</w:t>
      </w:r>
      <w:r>
        <w:rPr>
          <w:rFonts w:hint="eastAsia" w:ascii="宋体" w:hAnsi="宋体" w:eastAsia="宋体" w:cs="宋体"/>
          <w:color w:val="auto"/>
          <w:sz w:val="20"/>
          <w:szCs w:val="20"/>
          <w:highlight w:val="none"/>
        </w:rPr>
        <w:t>台，其中</w:t>
      </w:r>
      <w:bookmarkStart w:id="13" w:name="OLE_LINK18"/>
      <w:r>
        <w:rPr>
          <w:rFonts w:hint="eastAsia" w:ascii="宋体" w:hAnsi="宋体" w:eastAsia="宋体" w:cs="宋体"/>
          <w:color w:val="auto"/>
          <w:sz w:val="20"/>
          <w:szCs w:val="20"/>
          <w:highlight w:val="none"/>
        </w:rPr>
        <w:t>3台</w:t>
      </w:r>
      <w:bookmarkStart w:id="14" w:name="OLE_LINK19"/>
      <w:r>
        <w:rPr>
          <w:rFonts w:hint="eastAsia" w:ascii="宋体" w:hAnsi="宋体" w:eastAsia="宋体" w:cs="宋体"/>
          <w:color w:val="auto"/>
          <w:sz w:val="20"/>
          <w:szCs w:val="20"/>
          <w:highlight w:val="none"/>
        </w:rPr>
        <w:t>CPU</w:t>
      </w:r>
      <w:r>
        <w:rPr>
          <w:rFonts w:hint="eastAsia" w:ascii="宋体" w:hAnsi="宋体" w:cs="宋体"/>
          <w:color w:val="auto"/>
          <w:sz w:val="20"/>
          <w:szCs w:val="20"/>
          <w:highlight w:val="none"/>
          <w:lang w:val="en-US" w:eastAsia="zh-CN"/>
        </w:rPr>
        <w:t>32</w:t>
      </w:r>
      <w:r>
        <w:rPr>
          <w:rFonts w:hint="eastAsia" w:ascii="宋体" w:hAnsi="宋体" w:eastAsia="宋体" w:cs="宋体"/>
          <w:color w:val="auto"/>
          <w:sz w:val="20"/>
          <w:szCs w:val="20"/>
          <w:highlight w:val="none"/>
        </w:rPr>
        <w:t>核</w:t>
      </w:r>
      <w:bookmarkEnd w:id="14"/>
      <w:r>
        <w:rPr>
          <w:rFonts w:hint="eastAsia" w:ascii="宋体" w:hAnsi="宋体" w:eastAsia="宋体" w:cs="宋体"/>
          <w:color w:val="auto"/>
          <w:sz w:val="20"/>
          <w:szCs w:val="20"/>
          <w:highlight w:val="none"/>
        </w:rPr>
        <w:t>、内存</w:t>
      </w:r>
      <w:r>
        <w:rPr>
          <w:rFonts w:hint="eastAsia" w:ascii="宋体" w:hAnsi="宋体" w:cs="宋体"/>
          <w:color w:val="auto"/>
          <w:sz w:val="20"/>
          <w:szCs w:val="20"/>
          <w:highlight w:val="none"/>
          <w:lang w:val="en-US" w:eastAsia="zh-CN"/>
        </w:rPr>
        <w:t>64</w:t>
      </w:r>
      <w:r>
        <w:rPr>
          <w:rFonts w:hint="eastAsia" w:ascii="宋体" w:hAnsi="宋体" w:eastAsia="宋体" w:cs="宋体"/>
          <w:color w:val="auto"/>
          <w:sz w:val="20"/>
          <w:szCs w:val="20"/>
          <w:highlight w:val="none"/>
        </w:rPr>
        <w:t xml:space="preserve"> GB、存储</w:t>
      </w:r>
      <w:r>
        <w:rPr>
          <w:rFonts w:hint="eastAsia" w:ascii="宋体" w:hAnsi="宋体" w:cs="宋体"/>
          <w:color w:val="auto"/>
          <w:sz w:val="20"/>
          <w:szCs w:val="20"/>
          <w:highlight w:val="none"/>
          <w:lang w:val="en-US" w:eastAsia="zh-CN"/>
        </w:rPr>
        <w:t>1000</w:t>
      </w:r>
      <w:r>
        <w:rPr>
          <w:rFonts w:hint="eastAsia" w:ascii="宋体" w:hAnsi="宋体" w:eastAsia="宋体" w:cs="宋体"/>
          <w:color w:val="auto"/>
          <w:sz w:val="20"/>
          <w:szCs w:val="20"/>
          <w:highlight w:val="none"/>
        </w:rPr>
        <w:t xml:space="preserve"> GB</w:t>
      </w:r>
      <w:bookmarkEnd w:id="13"/>
      <w:r>
        <w:rPr>
          <w:rFonts w:hint="eastAsia" w:ascii="宋体" w:hAnsi="宋体" w:eastAsia="宋体" w:cs="宋体"/>
          <w:color w:val="auto"/>
          <w:sz w:val="20"/>
          <w:szCs w:val="20"/>
          <w:highlight w:val="none"/>
        </w:rPr>
        <w:t>，</w:t>
      </w:r>
      <w:r>
        <w:rPr>
          <w:rFonts w:hint="eastAsia" w:ascii="宋体" w:hAnsi="宋体" w:cs="宋体"/>
          <w:color w:val="auto"/>
          <w:sz w:val="20"/>
          <w:szCs w:val="20"/>
          <w:highlight w:val="none"/>
          <w:lang w:val="en-US" w:eastAsia="zh-CN"/>
        </w:rPr>
        <w:t>3</w:t>
      </w:r>
      <w:r>
        <w:rPr>
          <w:rFonts w:hint="eastAsia" w:ascii="宋体" w:hAnsi="宋体" w:eastAsia="宋体" w:cs="宋体"/>
          <w:color w:val="auto"/>
          <w:sz w:val="20"/>
          <w:szCs w:val="20"/>
          <w:highlight w:val="none"/>
        </w:rPr>
        <w:t>台</w:t>
      </w:r>
      <w:bookmarkStart w:id="15" w:name="OLE_LINK20"/>
      <w:r>
        <w:rPr>
          <w:rFonts w:hint="eastAsia" w:ascii="宋体" w:hAnsi="宋体" w:eastAsia="宋体" w:cs="宋体"/>
          <w:color w:val="auto"/>
          <w:sz w:val="20"/>
          <w:szCs w:val="20"/>
          <w:highlight w:val="none"/>
        </w:rPr>
        <w:t>CPU</w:t>
      </w:r>
      <w:r>
        <w:rPr>
          <w:rFonts w:hint="eastAsia" w:ascii="宋体" w:hAnsi="宋体" w:cs="宋体"/>
          <w:color w:val="auto"/>
          <w:sz w:val="20"/>
          <w:szCs w:val="20"/>
          <w:highlight w:val="none"/>
          <w:lang w:val="en-US" w:eastAsia="zh-CN"/>
        </w:rPr>
        <w:t>16</w:t>
      </w:r>
      <w:r>
        <w:rPr>
          <w:rFonts w:hint="eastAsia" w:ascii="宋体" w:hAnsi="宋体" w:eastAsia="宋体" w:cs="宋体"/>
          <w:color w:val="auto"/>
          <w:sz w:val="20"/>
          <w:szCs w:val="20"/>
          <w:highlight w:val="none"/>
        </w:rPr>
        <w:t>核、内存</w:t>
      </w:r>
      <w:r>
        <w:rPr>
          <w:rFonts w:hint="eastAsia" w:ascii="宋体" w:hAnsi="宋体" w:cs="宋体"/>
          <w:color w:val="auto"/>
          <w:sz w:val="20"/>
          <w:szCs w:val="20"/>
          <w:highlight w:val="none"/>
          <w:lang w:val="en-US" w:eastAsia="zh-CN"/>
        </w:rPr>
        <w:t>32</w:t>
      </w:r>
      <w:r>
        <w:rPr>
          <w:rFonts w:hint="eastAsia" w:ascii="宋体" w:hAnsi="宋体" w:eastAsia="宋体" w:cs="宋体"/>
          <w:color w:val="auto"/>
          <w:sz w:val="20"/>
          <w:szCs w:val="20"/>
          <w:highlight w:val="none"/>
        </w:rPr>
        <w:t xml:space="preserve"> GB、存储1000 GB</w:t>
      </w:r>
      <w:bookmarkEnd w:id="15"/>
      <w:r>
        <w:rPr>
          <w:rFonts w:hint="eastAsia" w:ascii="宋体" w:hAnsi="宋体" w:eastAsia="宋体" w:cs="宋体"/>
          <w:color w:val="auto"/>
          <w:sz w:val="20"/>
          <w:szCs w:val="20"/>
          <w:highlight w:val="none"/>
        </w:rPr>
        <w:t>，</w:t>
      </w:r>
      <w:r>
        <w:rPr>
          <w:rFonts w:hint="eastAsia" w:ascii="宋体" w:hAnsi="宋体" w:cs="宋体"/>
          <w:color w:val="auto"/>
          <w:sz w:val="20"/>
          <w:szCs w:val="20"/>
          <w:highlight w:val="none"/>
          <w:lang w:val="en-US" w:eastAsia="zh-CN"/>
        </w:rPr>
        <w:t>3</w:t>
      </w:r>
      <w:r>
        <w:rPr>
          <w:rFonts w:hint="eastAsia" w:ascii="宋体" w:hAnsi="宋体" w:eastAsia="宋体" w:cs="宋体"/>
          <w:color w:val="auto"/>
          <w:sz w:val="20"/>
          <w:szCs w:val="20"/>
          <w:highlight w:val="none"/>
        </w:rPr>
        <w:t>台CPU</w:t>
      </w:r>
      <w:r>
        <w:rPr>
          <w:rFonts w:hint="eastAsia" w:ascii="宋体" w:hAnsi="宋体" w:cs="宋体"/>
          <w:color w:val="auto"/>
          <w:sz w:val="20"/>
          <w:szCs w:val="20"/>
          <w:highlight w:val="none"/>
          <w:lang w:val="en-US" w:eastAsia="zh-CN"/>
        </w:rPr>
        <w:t>8</w:t>
      </w:r>
      <w:r>
        <w:rPr>
          <w:rFonts w:hint="eastAsia" w:ascii="宋体" w:hAnsi="宋体" w:eastAsia="宋体" w:cs="宋体"/>
          <w:color w:val="auto"/>
          <w:sz w:val="20"/>
          <w:szCs w:val="20"/>
          <w:highlight w:val="none"/>
        </w:rPr>
        <w:t xml:space="preserve"> 核、内存</w:t>
      </w:r>
      <w:r>
        <w:rPr>
          <w:rFonts w:hint="eastAsia" w:ascii="宋体" w:hAnsi="宋体" w:cs="宋体"/>
          <w:color w:val="auto"/>
          <w:sz w:val="20"/>
          <w:szCs w:val="20"/>
          <w:highlight w:val="none"/>
          <w:lang w:val="en-US" w:eastAsia="zh-CN"/>
        </w:rPr>
        <w:t>16</w:t>
      </w:r>
      <w:r>
        <w:rPr>
          <w:rFonts w:hint="eastAsia" w:ascii="宋体" w:hAnsi="宋体" w:eastAsia="宋体" w:cs="宋体"/>
          <w:color w:val="auto"/>
          <w:sz w:val="20"/>
          <w:szCs w:val="20"/>
          <w:highlight w:val="none"/>
        </w:rPr>
        <w:t xml:space="preserve"> GB、存储</w:t>
      </w:r>
      <w:r>
        <w:rPr>
          <w:rFonts w:hint="eastAsia" w:ascii="宋体" w:hAnsi="宋体" w:cs="宋体"/>
          <w:color w:val="auto"/>
          <w:sz w:val="20"/>
          <w:szCs w:val="20"/>
          <w:highlight w:val="none"/>
          <w:lang w:val="en-US" w:eastAsia="zh-CN"/>
        </w:rPr>
        <w:t>500</w:t>
      </w:r>
      <w:r>
        <w:rPr>
          <w:rFonts w:hint="eastAsia" w:ascii="宋体" w:hAnsi="宋体" w:eastAsia="宋体" w:cs="宋体"/>
          <w:color w:val="auto"/>
          <w:sz w:val="20"/>
          <w:szCs w:val="20"/>
          <w:highlight w:val="none"/>
        </w:rPr>
        <w:t xml:space="preserve"> GB。</w:t>
      </w:r>
    </w:p>
    <w:p w14:paraId="55AA6688">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申请操作系统服务-统信UOS</w:t>
      </w:r>
      <w:r>
        <w:rPr>
          <w:rFonts w:hint="eastAsia" w:ascii="宋体" w:hAnsi="宋体" w:cs="宋体"/>
          <w:color w:val="auto"/>
          <w:sz w:val="20"/>
          <w:szCs w:val="20"/>
          <w:highlight w:val="none"/>
          <w:lang w:val="en-US" w:eastAsia="zh-CN"/>
        </w:rPr>
        <w:t xml:space="preserve"> 9</w:t>
      </w:r>
      <w:r>
        <w:rPr>
          <w:rFonts w:hint="eastAsia" w:ascii="宋体" w:hAnsi="宋体" w:eastAsia="宋体" w:cs="宋体"/>
          <w:color w:val="auto"/>
          <w:sz w:val="20"/>
          <w:szCs w:val="20"/>
          <w:highlight w:val="none"/>
        </w:rPr>
        <w:t>套*年，数据库服务-达梦</w:t>
      </w:r>
      <w:r>
        <w:rPr>
          <w:rFonts w:hint="eastAsia" w:ascii="宋体" w:hAnsi="宋体" w:cs="宋体"/>
          <w:color w:val="auto"/>
          <w:sz w:val="20"/>
          <w:szCs w:val="20"/>
          <w:highlight w:val="none"/>
          <w:lang w:val="en-US" w:eastAsia="zh-CN"/>
        </w:rPr>
        <w:t xml:space="preserve"> 3</w:t>
      </w:r>
      <w:r>
        <w:rPr>
          <w:rFonts w:hint="eastAsia" w:ascii="宋体" w:hAnsi="宋体" w:eastAsia="宋体" w:cs="宋体"/>
          <w:color w:val="auto"/>
          <w:sz w:val="20"/>
          <w:szCs w:val="20"/>
          <w:highlight w:val="none"/>
        </w:rPr>
        <w:t>套*年，中间件-东方通</w:t>
      </w:r>
      <w:r>
        <w:rPr>
          <w:rFonts w:hint="eastAsia" w:ascii="宋体" w:hAnsi="宋体" w:cs="宋体"/>
          <w:color w:val="auto"/>
          <w:sz w:val="20"/>
          <w:szCs w:val="20"/>
          <w:highlight w:val="none"/>
          <w:lang w:val="en-US" w:eastAsia="zh-CN"/>
        </w:rPr>
        <w:t>3</w:t>
      </w:r>
      <w:r>
        <w:rPr>
          <w:rFonts w:hint="eastAsia" w:ascii="宋体" w:hAnsi="宋体" w:eastAsia="宋体" w:cs="宋体"/>
          <w:color w:val="auto"/>
          <w:sz w:val="20"/>
          <w:szCs w:val="20"/>
          <w:highlight w:val="none"/>
        </w:rPr>
        <w:t>套*年。</w:t>
      </w:r>
    </w:p>
    <w:p w14:paraId="3035676C">
      <w:pPr>
        <w:pStyle w:val="2"/>
        <w:ind w:hanging="425"/>
        <w:rPr>
          <w:rFonts w:hint="eastAsia"/>
          <w:color w:val="auto"/>
          <w:sz w:val="20"/>
          <w:szCs w:val="20"/>
          <w:highlight w:val="none"/>
          <w:lang w:val="en-US" w:eastAsia="zh-CN"/>
        </w:rPr>
      </w:pPr>
      <w:r>
        <w:rPr>
          <w:rFonts w:hint="eastAsia"/>
          <w:color w:val="auto"/>
          <w:sz w:val="20"/>
          <w:szCs w:val="20"/>
          <w:highlight w:val="none"/>
          <w:lang w:val="en-US" w:eastAsia="zh-CN"/>
        </w:rPr>
        <w:t>其他工作要求</w:t>
      </w:r>
    </w:p>
    <w:bookmarkEnd w:id="12"/>
    <w:p w14:paraId="3FD00E59">
      <w:pPr>
        <w:pStyle w:val="3"/>
        <w:numPr>
          <w:ilvl w:val="1"/>
          <w:numId w:val="0"/>
        </w:numPr>
        <w:rPr>
          <w:rFonts w:hint="eastAsia" w:ascii="宋体" w:hAnsi="宋体" w:eastAsia="宋体" w:cs="宋体"/>
          <w:color w:val="auto"/>
          <w:sz w:val="20"/>
          <w:szCs w:val="20"/>
          <w:highlight w:val="none"/>
        </w:rPr>
      </w:pPr>
      <w:bookmarkStart w:id="16" w:name="_Toc63785505"/>
      <w:r>
        <w:rPr>
          <w:rFonts w:hint="eastAsia" w:cs="宋体"/>
          <w:color w:val="auto"/>
          <w:sz w:val="20"/>
          <w:szCs w:val="20"/>
          <w:highlight w:val="none"/>
          <w:lang w:val="en-US" w:eastAsia="zh-CN"/>
        </w:rPr>
        <w:t>7.1</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售后服务要求</w:t>
      </w:r>
      <w:bookmarkEnd w:id="16"/>
    </w:p>
    <w:p w14:paraId="71064263">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本项目质保期软件为项目验收合格后</w:t>
      </w:r>
      <w:r>
        <w:rPr>
          <w:rFonts w:hint="eastAsia" w:ascii="宋体" w:hAnsi="宋体" w:cs="宋体"/>
          <w:color w:val="auto"/>
          <w:sz w:val="20"/>
          <w:szCs w:val="20"/>
          <w:highlight w:val="none"/>
          <w:lang w:val="en-US" w:eastAsia="zh-CN"/>
        </w:rPr>
        <w:t>1</w:t>
      </w:r>
      <w:r>
        <w:rPr>
          <w:rFonts w:hint="eastAsia" w:ascii="宋体" w:hAnsi="宋体" w:eastAsia="宋体" w:cs="宋体"/>
          <w:color w:val="auto"/>
          <w:sz w:val="20"/>
          <w:szCs w:val="20"/>
          <w:highlight w:val="none"/>
        </w:rPr>
        <w:t>年，提供7*24小时免费现场技术支持和售后服务。</w:t>
      </w:r>
    </w:p>
    <w:p w14:paraId="4E619D4B">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在质量保证期内，中标人将按照售后服务的承诺提供保修和运行维护服务。</w:t>
      </w:r>
    </w:p>
    <w:p w14:paraId="1F2E0FD7">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在质量保证期内，中标人负责信息系统的运行维护工作，确保信息系统安全、稳定、可靠地运行。本项目涉及的运行维护工作范围为：本次采购的工作范围。</w:t>
      </w:r>
    </w:p>
    <w:p w14:paraId="1280C8C8">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1）现场技术支持</w:t>
      </w:r>
    </w:p>
    <w:p w14:paraId="503679AD">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提供7×24小时的技术支持服务。</w:t>
      </w:r>
    </w:p>
    <w:p w14:paraId="430D714A">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2）预防性维护</w:t>
      </w:r>
    </w:p>
    <w:p w14:paraId="2AF49C02">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每个月</w:t>
      </w:r>
      <w:r>
        <w:rPr>
          <w:rFonts w:hint="eastAsia" w:ascii="宋体" w:hAnsi="宋体" w:cs="宋体"/>
          <w:color w:val="auto"/>
          <w:sz w:val="20"/>
          <w:szCs w:val="20"/>
          <w:highlight w:val="none"/>
          <w:lang w:eastAsia="zh-CN"/>
        </w:rPr>
        <w:t>对系统</w:t>
      </w:r>
      <w:r>
        <w:rPr>
          <w:rFonts w:hint="eastAsia" w:ascii="宋体" w:hAnsi="宋体" w:eastAsia="宋体" w:cs="宋体"/>
          <w:color w:val="auto"/>
          <w:sz w:val="20"/>
          <w:szCs w:val="20"/>
          <w:highlight w:val="none"/>
        </w:rPr>
        <w:t>进行预防性维护保养，一般故障的排除，</w:t>
      </w:r>
      <w:r>
        <w:rPr>
          <w:rFonts w:hint="eastAsia" w:ascii="宋体" w:hAnsi="宋体" w:cs="宋体"/>
          <w:color w:val="auto"/>
          <w:sz w:val="20"/>
          <w:szCs w:val="20"/>
          <w:highlight w:val="none"/>
          <w:lang w:eastAsia="zh-CN"/>
        </w:rPr>
        <w:t>系统使用效率性能效率分析与调优，相关应用软件的升级</w:t>
      </w:r>
      <w:r>
        <w:rPr>
          <w:rFonts w:hint="eastAsia" w:ascii="宋体" w:hAnsi="宋体" w:cs="宋体"/>
          <w:color w:val="auto"/>
          <w:sz w:val="20"/>
          <w:szCs w:val="20"/>
          <w:highlight w:val="none"/>
          <w:lang w:val="en-US" w:eastAsia="zh-CN"/>
        </w:rPr>
        <w:t>等</w:t>
      </w:r>
      <w:r>
        <w:rPr>
          <w:rFonts w:hint="eastAsia" w:ascii="宋体" w:hAnsi="宋体" w:eastAsia="宋体" w:cs="宋体"/>
          <w:color w:val="auto"/>
          <w:sz w:val="20"/>
          <w:szCs w:val="20"/>
          <w:highlight w:val="none"/>
        </w:rPr>
        <w:t>。每季度对系统进行一次阶段性维护保养，对维护保养时发现的问题进行处理。</w:t>
      </w:r>
    </w:p>
    <w:p w14:paraId="14C708F6">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3）故障修复</w:t>
      </w:r>
    </w:p>
    <w:p w14:paraId="1446DADA">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所有保修服务方式一般现场维修为主, 重大故障：</w:t>
      </w:r>
      <w:r>
        <w:rPr>
          <w:rFonts w:hint="eastAsia" w:ascii="宋体" w:hAnsi="宋体" w:eastAsia="宋体" w:cs="宋体"/>
          <w:color w:val="auto"/>
          <w:sz w:val="20"/>
          <w:szCs w:val="20"/>
          <w:highlight w:val="none"/>
          <w:lang w:val="en-US" w:eastAsia="zh-CN"/>
        </w:rPr>
        <w:t>备份程序</w:t>
      </w:r>
      <w:r>
        <w:rPr>
          <w:rFonts w:hint="eastAsia" w:ascii="宋体" w:hAnsi="宋体" w:eastAsia="宋体" w:cs="宋体"/>
          <w:color w:val="auto"/>
          <w:sz w:val="20"/>
          <w:szCs w:val="20"/>
          <w:highlight w:val="none"/>
        </w:rPr>
        <w:t>替代到位后经服务提供方同意方可离场维修,对设备日常性的问题,自接到用户方电话或传真后</w:t>
      </w:r>
      <w:r>
        <w:rPr>
          <w:rFonts w:hint="eastAsia" w:ascii="宋体" w:hAnsi="宋体" w:eastAsia="宋体" w:cs="宋体"/>
          <w:color w:val="auto"/>
          <w:sz w:val="20"/>
          <w:szCs w:val="20"/>
          <w:highlight w:val="none"/>
          <w:lang w:val="en-US" w:eastAsia="zh-CN"/>
        </w:rPr>
        <w:t>2小时内到达现场</w:t>
      </w:r>
      <w:r>
        <w:rPr>
          <w:rFonts w:hint="eastAsia" w:ascii="宋体" w:hAnsi="宋体" w:eastAsia="宋体" w:cs="宋体"/>
          <w:color w:val="auto"/>
          <w:sz w:val="20"/>
          <w:szCs w:val="20"/>
          <w:highlight w:val="none"/>
        </w:rPr>
        <w:t>。</w:t>
      </w:r>
    </w:p>
    <w:p w14:paraId="3EB52B99">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4</w:t>
      </w:r>
      <w:r>
        <w:rPr>
          <w:rFonts w:hint="eastAsia" w:ascii="宋体" w:hAnsi="宋体" w:eastAsia="宋体" w:cs="宋体"/>
          <w:color w:val="auto"/>
          <w:sz w:val="20"/>
          <w:szCs w:val="20"/>
          <w:highlight w:val="none"/>
        </w:rPr>
        <w:t>）技术交流与培训</w:t>
      </w:r>
    </w:p>
    <w:p w14:paraId="0F58107B">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如遇用户方操作和管理人员有变动时，双方可约定时间，为用户方操作和管理人员进行系统培训。</w:t>
      </w:r>
    </w:p>
    <w:p w14:paraId="63F76E35">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5</w:t>
      </w:r>
      <w:r>
        <w:rPr>
          <w:rFonts w:hint="eastAsia" w:ascii="宋体" w:hAnsi="宋体" w:eastAsia="宋体" w:cs="宋体"/>
          <w:color w:val="auto"/>
          <w:sz w:val="20"/>
          <w:szCs w:val="20"/>
          <w:highlight w:val="none"/>
        </w:rPr>
        <w:t>）固定的服务小组</w:t>
      </w:r>
    </w:p>
    <w:p w14:paraId="423557C6">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应有专门技术服务小组（含维护小组和技术支持专家小组），合理分工，严格管理，确保完成任务。</w:t>
      </w:r>
    </w:p>
    <w:p w14:paraId="74DB0AA2">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bidi="ar"/>
        </w:rPr>
        <w:t>6）</w:t>
      </w:r>
      <w:r>
        <w:rPr>
          <w:rFonts w:hint="eastAsia" w:ascii="宋体" w:hAnsi="宋体" w:eastAsia="宋体" w:cs="宋体"/>
          <w:color w:val="auto"/>
          <w:sz w:val="20"/>
          <w:szCs w:val="20"/>
          <w:highlight w:val="none"/>
        </w:rPr>
        <w:t>中标人</w:t>
      </w:r>
      <w:r>
        <w:rPr>
          <w:rFonts w:hint="eastAsia" w:ascii="宋体" w:hAnsi="宋体" w:eastAsia="宋体" w:cs="宋体"/>
          <w:color w:val="auto"/>
          <w:kern w:val="0"/>
          <w:sz w:val="20"/>
          <w:szCs w:val="20"/>
          <w:highlight w:val="none"/>
          <w:lang w:val="en-US" w:eastAsia="zh-CN" w:bidi="ar"/>
        </w:rPr>
        <w:t>需向业主提供远程支持服务，提供多种报修方式的信息化运维平台，并且具有该平台的软件著作权</w:t>
      </w:r>
    </w:p>
    <w:p w14:paraId="00956567">
      <w:pPr>
        <w:pStyle w:val="3"/>
        <w:numPr>
          <w:ilvl w:val="1"/>
          <w:numId w:val="0"/>
        </w:numPr>
        <w:rPr>
          <w:rFonts w:hint="eastAsia" w:ascii="宋体" w:hAnsi="宋体" w:eastAsia="宋体" w:cs="宋体"/>
          <w:color w:val="auto"/>
          <w:sz w:val="20"/>
          <w:szCs w:val="20"/>
          <w:highlight w:val="none"/>
        </w:rPr>
      </w:pPr>
      <w:bookmarkStart w:id="17" w:name="_Toc63785506"/>
      <w:r>
        <w:rPr>
          <w:rFonts w:hint="eastAsia" w:cs="宋体"/>
          <w:color w:val="auto"/>
          <w:sz w:val="20"/>
          <w:szCs w:val="20"/>
          <w:highlight w:val="none"/>
          <w:lang w:val="en-US" w:eastAsia="zh-CN"/>
        </w:rPr>
        <w:t>7.2</w:t>
      </w:r>
      <w:r>
        <w:rPr>
          <w:rFonts w:hint="eastAsia" w:ascii="宋体" w:hAnsi="宋体" w:eastAsia="宋体" w:cs="宋体"/>
          <w:color w:val="auto"/>
          <w:sz w:val="20"/>
          <w:szCs w:val="20"/>
          <w:highlight w:val="none"/>
        </w:rPr>
        <w:t>应急响应要求</w:t>
      </w:r>
      <w:bookmarkEnd w:id="17"/>
    </w:p>
    <w:p w14:paraId="196D4E53">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中标人对系统故障应能够实时响应，若系统发生故障，接到通知后5分钟之内响应，专业工程师</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小时内到达现场。特殊故障与客户沟通协商后，按照协商的方式制定解决方案并进行处理。</w:t>
      </w:r>
    </w:p>
    <w:p w14:paraId="6E7438E0">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具体故障级别及对应的应急响应要求如下：</w:t>
      </w:r>
    </w:p>
    <w:p w14:paraId="03F3B6DD">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一级故障：在1小时内确诊，总故障解决时间不超过4小时。</w:t>
      </w:r>
    </w:p>
    <w:p w14:paraId="5C339088">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二级故障：在2小时内确诊，并在4小时内由专家到达现场确诊并解决，总故障解决时间不超过8小时</w:t>
      </w:r>
      <w:r>
        <w:rPr>
          <w:rFonts w:hint="eastAsia" w:ascii="宋体" w:hAnsi="宋体" w:eastAsia="宋体" w:cs="宋体"/>
          <w:color w:val="auto"/>
          <w:sz w:val="20"/>
          <w:szCs w:val="20"/>
          <w:highlight w:val="none"/>
          <w:lang w:eastAsia="zh-CN"/>
        </w:rPr>
        <w:t>。</w:t>
      </w:r>
    </w:p>
    <w:p w14:paraId="3D830805">
      <w:pPr>
        <w:pStyle w:val="108"/>
        <w:snapToGrid w:val="0"/>
        <w:spacing w:line="360" w:lineRule="auto"/>
        <w:ind w:firstLine="48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三级</w:t>
      </w:r>
      <w:r>
        <w:rPr>
          <w:rFonts w:hint="eastAsia" w:ascii="宋体" w:hAnsi="宋体" w:eastAsia="宋体" w:cs="宋体"/>
          <w:color w:val="auto"/>
          <w:sz w:val="20"/>
          <w:szCs w:val="20"/>
          <w:highlight w:val="none"/>
        </w:rPr>
        <w:t>故障：在4小时内确诊故障，总故障解决时间不超过16小时。</w:t>
      </w:r>
    </w:p>
    <w:p w14:paraId="162971BE">
      <w:pPr>
        <w:pStyle w:val="3"/>
        <w:numPr>
          <w:ilvl w:val="1"/>
          <w:numId w:val="0"/>
        </w:numPr>
        <w:rPr>
          <w:rFonts w:hint="eastAsia" w:ascii="宋体" w:hAnsi="宋体" w:eastAsia="宋体" w:cs="宋体"/>
          <w:color w:val="auto"/>
          <w:sz w:val="20"/>
          <w:szCs w:val="20"/>
          <w:highlight w:val="none"/>
        </w:rPr>
      </w:pPr>
      <w:bookmarkStart w:id="18" w:name="_Toc63785507"/>
      <w:r>
        <w:rPr>
          <w:rFonts w:hint="eastAsia" w:cs="宋体"/>
          <w:color w:val="auto"/>
          <w:sz w:val="20"/>
          <w:szCs w:val="20"/>
          <w:highlight w:val="none"/>
          <w:lang w:val="en-US" w:eastAsia="zh-CN"/>
        </w:rPr>
        <w:t>7.3</w:t>
      </w:r>
      <w:r>
        <w:rPr>
          <w:rFonts w:hint="eastAsia" w:ascii="宋体" w:hAnsi="宋体" w:eastAsia="宋体" w:cs="宋体"/>
          <w:color w:val="auto"/>
          <w:sz w:val="20"/>
          <w:szCs w:val="20"/>
          <w:highlight w:val="none"/>
        </w:rPr>
        <w:t>培训要求</w:t>
      </w:r>
      <w:bookmarkEnd w:id="18"/>
    </w:p>
    <w:p w14:paraId="619DC86A">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对系统使用单位提供业务操作培训，应提供详细培训方案。</w:t>
      </w:r>
    </w:p>
    <w:p w14:paraId="35AD691A">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(1)在质量保证期内，提供2次与项目相关的必要培训。</w:t>
      </w:r>
    </w:p>
    <w:p w14:paraId="48E93957">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(2)中标人需要开展分层次的人员培训工作，每次培训后应对参加培训人员进行测试，评估培训成果。培训应具有培训教材、培训环境和高水平的培训讲师。</w:t>
      </w:r>
    </w:p>
    <w:p w14:paraId="63B72C09">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(3)中标人应提供一般用户的基础操作培训和部门信息管理员的日常应用维护的培训，确保用户对象能够掌握对应的操作技能。</w:t>
      </w:r>
    </w:p>
    <w:p w14:paraId="66892ACE">
      <w:pPr>
        <w:pStyle w:val="20"/>
        <w:snapToGrid w:val="0"/>
        <w:spacing w:line="360" w:lineRule="auto"/>
        <w:jc w:val="left"/>
        <w:outlineLvl w:val="1"/>
        <w:rPr>
          <w:rFonts w:hint="eastAsia" w:ascii="宋体" w:hAnsi="宋体" w:eastAsia="宋体" w:cs="宋体"/>
          <w:b/>
          <w:bCs/>
          <w:color w:val="auto"/>
          <w:sz w:val="20"/>
          <w:szCs w:val="20"/>
          <w:highlight w:val="none"/>
        </w:rPr>
      </w:pPr>
      <w:r>
        <w:rPr>
          <w:rFonts w:hint="eastAsia" w:hAnsi="宋体" w:cs="宋体"/>
          <w:b/>
          <w:bCs/>
          <w:color w:val="auto"/>
          <w:sz w:val="20"/>
          <w:szCs w:val="20"/>
          <w:highlight w:val="none"/>
          <w:lang w:val="en-US" w:eastAsia="zh-CN"/>
        </w:rPr>
        <w:t>7.4</w:t>
      </w:r>
      <w:r>
        <w:rPr>
          <w:rFonts w:hint="eastAsia" w:ascii="宋体" w:hAnsi="宋体" w:eastAsia="宋体" w:cs="宋体"/>
          <w:b/>
          <w:bCs/>
          <w:color w:val="auto"/>
          <w:sz w:val="20"/>
          <w:szCs w:val="20"/>
          <w:highlight w:val="none"/>
          <w:lang w:val="en-US" w:eastAsia="zh-CN"/>
        </w:rPr>
        <w:t>.</w:t>
      </w:r>
      <w:r>
        <w:rPr>
          <w:rFonts w:hint="eastAsia" w:hAnsi="宋体" w:cs="宋体"/>
          <w:b/>
          <w:bCs/>
          <w:color w:val="auto"/>
          <w:sz w:val="20"/>
          <w:szCs w:val="20"/>
          <w:highlight w:val="none"/>
          <w:lang w:val="en-US" w:eastAsia="zh-CN"/>
        </w:rPr>
        <w:t>进度</w:t>
      </w:r>
      <w:r>
        <w:rPr>
          <w:rFonts w:hint="eastAsia" w:ascii="宋体" w:hAnsi="宋体" w:eastAsia="宋体" w:cs="宋体"/>
          <w:b/>
          <w:bCs/>
          <w:color w:val="auto"/>
          <w:sz w:val="20"/>
          <w:szCs w:val="20"/>
          <w:highlight w:val="none"/>
        </w:rPr>
        <w:t>要求</w:t>
      </w:r>
    </w:p>
    <w:p w14:paraId="040C2FCB">
      <w:pPr>
        <w:rPr>
          <w:rFonts w:hint="eastAsia" w:ascii="宋体" w:hAnsi="宋体" w:eastAsia="宋体" w:cs="宋体"/>
          <w:color w:val="auto"/>
          <w:sz w:val="20"/>
          <w:szCs w:val="20"/>
          <w:highlight w:val="none"/>
        </w:rPr>
      </w:pPr>
      <w:bookmarkStart w:id="19" w:name="PO_服务期限6"/>
      <w:r>
        <w:rPr>
          <w:rFonts w:hint="eastAsia" w:cs="宋体"/>
          <w:color w:val="auto"/>
          <w:sz w:val="20"/>
          <w:szCs w:val="20"/>
          <w:highlight w:val="none"/>
          <w:lang w:eastAsia="zh-CN"/>
        </w:rPr>
        <w:t>自合同签订之日起</w:t>
      </w:r>
      <w:r>
        <w:rPr>
          <w:rFonts w:hint="eastAsia" w:cs="宋体"/>
          <w:color w:val="auto"/>
          <w:sz w:val="20"/>
          <w:szCs w:val="20"/>
          <w:highlight w:val="none"/>
          <w:lang w:val="en-US" w:eastAsia="zh-CN"/>
        </w:rPr>
        <w:t>2026年12月31日前</w:t>
      </w:r>
      <w:r>
        <w:rPr>
          <w:rFonts w:hint="eastAsia" w:cs="宋体"/>
          <w:color w:val="auto"/>
          <w:sz w:val="20"/>
          <w:szCs w:val="20"/>
          <w:highlight w:val="none"/>
          <w:lang w:eastAsia="zh-CN"/>
        </w:rPr>
        <w:t>完成项目建设并通过验收，其中包括</w:t>
      </w:r>
      <w:r>
        <w:rPr>
          <w:rFonts w:hint="eastAsia" w:cs="宋体"/>
          <w:color w:val="auto"/>
          <w:sz w:val="20"/>
          <w:szCs w:val="20"/>
          <w:highlight w:val="none"/>
          <w:lang w:val="en-US" w:eastAsia="zh-CN"/>
        </w:rPr>
        <w:t>1</w:t>
      </w:r>
      <w:r>
        <w:rPr>
          <w:rFonts w:hint="eastAsia" w:cs="宋体"/>
          <w:color w:val="auto"/>
          <w:sz w:val="20"/>
          <w:szCs w:val="20"/>
          <w:highlight w:val="none"/>
          <w:lang w:eastAsia="zh-CN"/>
        </w:rPr>
        <w:t>个月的试运行</w:t>
      </w:r>
      <w:bookmarkEnd w:id="19"/>
      <w:r>
        <w:rPr>
          <w:rFonts w:hint="eastAsia" w:cs="宋体"/>
          <w:color w:val="auto"/>
          <w:sz w:val="20"/>
          <w:szCs w:val="20"/>
          <w:highlight w:val="none"/>
          <w:lang w:eastAsia="zh-CN"/>
        </w:rPr>
        <w:t>。</w:t>
      </w:r>
      <w:r>
        <w:rPr>
          <w:rFonts w:hint="eastAsia" w:ascii="宋体" w:hAnsi="宋体" w:eastAsia="宋体" w:cs="宋体"/>
          <w:color w:val="auto"/>
          <w:sz w:val="20"/>
          <w:szCs w:val="20"/>
          <w:highlight w:val="none"/>
        </w:rPr>
        <w:t>供应商应根据建设内容，分阶段制定合理的时间进度，并且应根据采购人要求进行调整和细化。</w:t>
      </w:r>
    </w:p>
    <w:p w14:paraId="5120802D">
      <w:pPr>
        <w:pStyle w:val="20"/>
        <w:snapToGrid w:val="0"/>
        <w:spacing w:line="360" w:lineRule="auto"/>
        <w:jc w:val="left"/>
        <w:outlineLvl w:val="1"/>
        <w:rPr>
          <w:rFonts w:hint="eastAsia" w:hAnsi="宋体" w:cs="宋体"/>
          <w:b/>
          <w:bCs/>
          <w:color w:val="auto"/>
          <w:sz w:val="20"/>
          <w:szCs w:val="20"/>
          <w:highlight w:val="none"/>
          <w:lang w:val="en-US" w:eastAsia="zh-CN"/>
        </w:rPr>
      </w:pPr>
      <w:bookmarkStart w:id="20" w:name="_Toc63785510"/>
      <w:r>
        <w:rPr>
          <w:rFonts w:hint="eastAsia" w:hAnsi="宋体" w:cs="宋体"/>
          <w:b/>
          <w:bCs/>
          <w:color w:val="auto"/>
          <w:sz w:val="20"/>
          <w:szCs w:val="20"/>
          <w:highlight w:val="none"/>
          <w:lang w:val="en-US" w:eastAsia="zh-CN"/>
        </w:rPr>
        <w:t>7.5项目团队及驻场人员要求</w:t>
      </w:r>
      <w:bookmarkEnd w:id="20"/>
    </w:p>
    <w:p w14:paraId="17CF6151">
      <w:pPr>
        <w:widowControl w:val="0"/>
        <w:spacing w:line="360" w:lineRule="auto"/>
        <w:ind w:firstLine="400" w:firstLineChars="200"/>
        <w:jc w:val="both"/>
        <w:rPr>
          <w:rFonts w:hint="default" w:ascii="宋体" w:hAnsi="宋体" w:eastAsia="宋体" w:cs="宋体"/>
          <w:bCs/>
          <w:color w:val="auto"/>
          <w:sz w:val="20"/>
          <w:szCs w:val="20"/>
          <w:highlight w:val="none"/>
          <w:lang w:val="en-US"/>
        </w:rPr>
      </w:pPr>
      <w:r>
        <w:rPr>
          <w:rFonts w:hint="eastAsia" w:ascii="宋体" w:hAnsi="宋体" w:eastAsia="宋体" w:cs="宋体"/>
          <w:bCs/>
          <w:color w:val="auto"/>
          <w:sz w:val="20"/>
          <w:szCs w:val="20"/>
          <w:highlight w:val="none"/>
        </w:rPr>
        <w:t>1）投标人须具有稳定的在职技术保障力量，能够提供及时的技术支援或服务，应针对本项目提供不少于15人的项目服务团队（包括项目负责人、技术负责人、</w:t>
      </w:r>
      <w:r>
        <w:rPr>
          <w:rFonts w:hint="eastAsia" w:ascii="宋体" w:hAnsi="宋体" w:eastAsia="宋体" w:cs="宋体"/>
          <w:color w:val="auto"/>
          <w:sz w:val="20"/>
          <w:szCs w:val="20"/>
          <w:highlight w:val="none"/>
        </w:rPr>
        <w:t>开发负责人</w:t>
      </w:r>
      <w:r>
        <w:rPr>
          <w:rFonts w:hint="eastAsia" w:cs="宋体"/>
          <w:color w:val="auto"/>
          <w:sz w:val="20"/>
          <w:szCs w:val="20"/>
          <w:highlight w:val="none"/>
          <w:lang w:eastAsia="zh-CN"/>
        </w:rPr>
        <w:t>、</w:t>
      </w:r>
      <w:r>
        <w:rPr>
          <w:rFonts w:hint="eastAsia" w:ascii="宋体" w:hAnsi="宋体" w:eastAsia="宋体" w:cs="宋体"/>
          <w:bCs/>
          <w:color w:val="auto"/>
          <w:sz w:val="20"/>
          <w:szCs w:val="20"/>
          <w:highlight w:val="none"/>
        </w:rPr>
        <w:t>项目经理、产品经理、开发工程师、</w:t>
      </w:r>
      <w:r>
        <w:rPr>
          <w:rFonts w:hint="eastAsia" w:cs="宋体"/>
          <w:bCs/>
          <w:color w:val="auto"/>
          <w:sz w:val="20"/>
          <w:szCs w:val="20"/>
          <w:highlight w:val="none"/>
          <w:lang w:eastAsia="zh-CN"/>
        </w:rPr>
        <w:t>低碳业务分析</w:t>
      </w:r>
      <w:r>
        <w:rPr>
          <w:rFonts w:hint="eastAsia" w:ascii="宋体" w:hAnsi="宋体" w:eastAsia="宋体" w:cs="宋体"/>
          <w:bCs/>
          <w:color w:val="auto"/>
          <w:sz w:val="20"/>
          <w:szCs w:val="20"/>
          <w:highlight w:val="none"/>
        </w:rPr>
        <w:t>人员等）</w:t>
      </w:r>
      <w:r>
        <w:rPr>
          <w:rFonts w:hint="eastAsia" w:cs="宋体"/>
          <w:bCs/>
          <w:color w:val="auto"/>
          <w:sz w:val="20"/>
          <w:szCs w:val="20"/>
          <w:highlight w:val="none"/>
          <w:lang w:eastAsia="zh-CN"/>
        </w:rPr>
        <w:t>，</w:t>
      </w:r>
      <w:r>
        <w:rPr>
          <w:rFonts w:hint="eastAsia" w:ascii="宋体" w:hAnsi="宋体" w:eastAsia="宋体" w:cs="宋体"/>
          <w:bCs/>
          <w:color w:val="auto"/>
          <w:sz w:val="20"/>
          <w:szCs w:val="20"/>
          <w:highlight w:val="none"/>
        </w:rPr>
        <w:t>需提供相关证明（最近一个季度</w:t>
      </w:r>
      <w:r>
        <w:rPr>
          <w:rFonts w:hint="eastAsia" w:cs="宋体"/>
          <w:bCs/>
          <w:color w:val="auto"/>
          <w:sz w:val="20"/>
          <w:szCs w:val="20"/>
          <w:highlight w:val="none"/>
          <w:lang w:eastAsia="zh-CN"/>
        </w:rPr>
        <w:t>任意一个月</w:t>
      </w:r>
      <w:r>
        <w:rPr>
          <w:rFonts w:hint="eastAsia" w:ascii="宋体" w:hAnsi="宋体" w:eastAsia="宋体" w:cs="宋体"/>
          <w:bCs/>
          <w:color w:val="auto"/>
          <w:sz w:val="20"/>
          <w:szCs w:val="20"/>
          <w:highlight w:val="none"/>
        </w:rPr>
        <w:t>依法缴纳社保费的证明）。</w:t>
      </w:r>
      <w:r>
        <w:rPr>
          <w:rFonts w:hint="eastAsia" w:cs="宋体"/>
          <w:bCs/>
          <w:color w:val="auto"/>
          <w:sz w:val="20"/>
          <w:szCs w:val="20"/>
          <w:highlight w:val="none"/>
          <w:lang w:val="en-US" w:eastAsia="zh-CN"/>
        </w:rPr>
        <w:t>技术负责人具备中级及以上职称证书的优先考虑。</w:t>
      </w:r>
    </w:p>
    <w:tbl>
      <w:tblPr>
        <w:tblStyle w:val="36"/>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2904"/>
        <w:gridCol w:w="1283"/>
        <w:gridCol w:w="1879"/>
      </w:tblGrid>
      <w:tr w14:paraId="59F7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87" w:type="pct"/>
            <w:noWrap/>
            <w:vAlign w:val="center"/>
          </w:tcPr>
          <w:p w14:paraId="5D4789B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角色</w:t>
            </w:r>
          </w:p>
        </w:tc>
        <w:tc>
          <w:tcPr>
            <w:tcW w:w="1729" w:type="pct"/>
            <w:noWrap/>
            <w:vAlign w:val="center"/>
          </w:tcPr>
          <w:p w14:paraId="2CA26BD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主要职责</w:t>
            </w:r>
          </w:p>
        </w:tc>
        <w:tc>
          <w:tcPr>
            <w:tcW w:w="764" w:type="pct"/>
            <w:noWrap/>
            <w:vAlign w:val="center"/>
          </w:tcPr>
          <w:p w14:paraId="6BD8F91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人员数量</w:t>
            </w:r>
          </w:p>
        </w:tc>
        <w:tc>
          <w:tcPr>
            <w:tcW w:w="1119" w:type="pct"/>
            <w:noWrap/>
            <w:vAlign w:val="center"/>
          </w:tcPr>
          <w:p w14:paraId="72C2B4A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驻场要求</w:t>
            </w:r>
          </w:p>
        </w:tc>
      </w:tr>
      <w:tr w14:paraId="2ED7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jc w:val="center"/>
        </w:trPr>
        <w:tc>
          <w:tcPr>
            <w:tcW w:w="1387" w:type="pct"/>
            <w:noWrap/>
            <w:vAlign w:val="center"/>
          </w:tcPr>
          <w:p w14:paraId="49BCFBC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项目负责人</w:t>
            </w:r>
          </w:p>
        </w:tc>
        <w:tc>
          <w:tcPr>
            <w:tcW w:w="1729" w:type="pct"/>
            <w:vAlign w:val="center"/>
          </w:tcPr>
          <w:p w14:paraId="15889B5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全面负责项目质量、安全、进度及外部协调，主持重大决策与风险控制</w:t>
            </w:r>
          </w:p>
        </w:tc>
        <w:tc>
          <w:tcPr>
            <w:tcW w:w="764" w:type="pct"/>
            <w:noWrap/>
            <w:vAlign w:val="center"/>
          </w:tcPr>
          <w:p w14:paraId="777C824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119" w:type="pct"/>
            <w:noWrap/>
            <w:vAlign w:val="center"/>
          </w:tcPr>
          <w:p w14:paraId="202D8DC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r w14:paraId="1516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87" w:type="pct"/>
            <w:noWrap/>
            <w:vAlign w:val="center"/>
          </w:tcPr>
          <w:p w14:paraId="759D396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技术负责人</w:t>
            </w:r>
            <w:bookmarkStart w:id="23" w:name="_GoBack"/>
            <w:bookmarkEnd w:id="23"/>
          </w:p>
        </w:tc>
        <w:tc>
          <w:tcPr>
            <w:tcW w:w="1729" w:type="pct"/>
            <w:vAlign w:val="center"/>
          </w:tcPr>
          <w:p w14:paraId="7F039AE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主导技术方案设计、质量把控及标准落实，解决关键技术难题</w:t>
            </w:r>
          </w:p>
        </w:tc>
        <w:tc>
          <w:tcPr>
            <w:tcW w:w="764" w:type="pct"/>
            <w:noWrap/>
            <w:vAlign w:val="center"/>
          </w:tcPr>
          <w:p w14:paraId="483D2C8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119" w:type="pct"/>
            <w:noWrap/>
            <w:vAlign w:val="center"/>
          </w:tcPr>
          <w:p w14:paraId="25AD713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r w14:paraId="3C24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87" w:type="pct"/>
            <w:noWrap/>
            <w:vAlign w:val="center"/>
          </w:tcPr>
          <w:p w14:paraId="3F53713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开发负责人</w:t>
            </w:r>
          </w:p>
        </w:tc>
        <w:tc>
          <w:tcPr>
            <w:tcW w:w="1729" w:type="pct"/>
            <w:vAlign w:val="center"/>
          </w:tcPr>
          <w:p w14:paraId="2B07169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主导开发方案设计、质量把控及标准落实，解决关键技术难题</w:t>
            </w:r>
          </w:p>
        </w:tc>
        <w:tc>
          <w:tcPr>
            <w:tcW w:w="764" w:type="pct"/>
            <w:noWrap/>
            <w:vAlign w:val="center"/>
          </w:tcPr>
          <w:p w14:paraId="4807A2C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119" w:type="pct"/>
            <w:noWrap/>
            <w:vAlign w:val="center"/>
          </w:tcPr>
          <w:p w14:paraId="4254B90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cs="宋体"/>
                <w:color w:val="auto"/>
                <w:sz w:val="20"/>
                <w:szCs w:val="20"/>
                <w:highlight w:val="none"/>
                <w:lang w:val="en-US" w:eastAsia="zh-CN"/>
              </w:rPr>
              <w:t>不</w:t>
            </w:r>
            <w:r>
              <w:rPr>
                <w:rFonts w:hint="eastAsia" w:ascii="宋体" w:hAnsi="宋体" w:eastAsia="宋体" w:cs="宋体"/>
                <w:color w:val="auto"/>
                <w:sz w:val="20"/>
                <w:szCs w:val="20"/>
                <w:highlight w:val="none"/>
              </w:rPr>
              <w:t>驻场</w:t>
            </w:r>
          </w:p>
        </w:tc>
      </w:tr>
      <w:tr w14:paraId="0CE1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87" w:type="pct"/>
            <w:noWrap/>
            <w:vAlign w:val="center"/>
          </w:tcPr>
          <w:p w14:paraId="2871A53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项目经理</w:t>
            </w:r>
          </w:p>
        </w:tc>
        <w:tc>
          <w:tcPr>
            <w:tcW w:w="1729" w:type="pct"/>
            <w:vAlign w:val="center"/>
          </w:tcPr>
          <w:p w14:paraId="4D0EC09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制定执行项目计划，协调团队协作，确保按时交付</w:t>
            </w:r>
          </w:p>
        </w:tc>
        <w:tc>
          <w:tcPr>
            <w:tcW w:w="764" w:type="pct"/>
            <w:noWrap/>
            <w:vAlign w:val="center"/>
          </w:tcPr>
          <w:p w14:paraId="6D20C3E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119" w:type="pct"/>
            <w:noWrap/>
            <w:vAlign w:val="center"/>
          </w:tcPr>
          <w:p w14:paraId="3F0F40F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r w14:paraId="2DEF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87" w:type="pct"/>
            <w:noWrap/>
            <w:vAlign w:val="center"/>
          </w:tcPr>
          <w:p w14:paraId="570763D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产品经理</w:t>
            </w:r>
          </w:p>
        </w:tc>
        <w:tc>
          <w:tcPr>
            <w:tcW w:w="1729" w:type="pct"/>
            <w:vAlign w:val="center"/>
          </w:tcPr>
          <w:p w14:paraId="6324315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负责项目需求评估与产品设计</w:t>
            </w:r>
          </w:p>
        </w:tc>
        <w:tc>
          <w:tcPr>
            <w:tcW w:w="764" w:type="pct"/>
            <w:noWrap/>
            <w:vAlign w:val="center"/>
          </w:tcPr>
          <w:p w14:paraId="1D95D25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119" w:type="pct"/>
            <w:noWrap/>
            <w:vAlign w:val="center"/>
          </w:tcPr>
          <w:p w14:paraId="114F595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cs="宋体"/>
                <w:color w:val="auto"/>
                <w:sz w:val="20"/>
                <w:szCs w:val="20"/>
                <w:highlight w:val="none"/>
                <w:lang w:val="en-US" w:eastAsia="zh-CN"/>
              </w:rPr>
              <w:t>不</w:t>
            </w:r>
            <w:r>
              <w:rPr>
                <w:rFonts w:hint="eastAsia" w:ascii="宋体" w:hAnsi="宋体" w:eastAsia="宋体" w:cs="宋体"/>
                <w:color w:val="auto"/>
                <w:sz w:val="20"/>
                <w:szCs w:val="20"/>
                <w:highlight w:val="none"/>
              </w:rPr>
              <w:t>驻场</w:t>
            </w:r>
          </w:p>
        </w:tc>
      </w:tr>
      <w:tr w14:paraId="1754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7" w:type="pct"/>
            <w:noWrap/>
            <w:vAlign w:val="center"/>
          </w:tcPr>
          <w:p w14:paraId="6A52698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开发工程师</w:t>
            </w:r>
          </w:p>
        </w:tc>
        <w:tc>
          <w:tcPr>
            <w:tcW w:w="1729" w:type="pct"/>
            <w:noWrap/>
            <w:vAlign w:val="center"/>
          </w:tcPr>
          <w:p w14:paraId="69F2777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负责项目具体开发与实施</w:t>
            </w:r>
          </w:p>
        </w:tc>
        <w:tc>
          <w:tcPr>
            <w:tcW w:w="764" w:type="pct"/>
            <w:noWrap/>
            <w:vAlign w:val="center"/>
          </w:tcPr>
          <w:p w14:paraId="49260D2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8人</w:t>
            </w:r>
          </w:p>
        </w:tc>
        <w:tc>
          <w:tcPr>
            <w:tcW w:w="1119" w:type="pct"/>
            <w:noWrap/>
            <w:vAlign w:val="center"/>
          </w:tcPr>
          <w:p w14:paraId="2773AC8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cs="宋体"/>
                <w:color w:val="auto"/>
                <w:sz w:val="20"/>
                <w:szCs w:val="20"/>
                <w:highlight w:val="none"/>
                <w:lang w:val="en-US" w:eastAsia="zh-CN"/>
              </w:rPr>
              <w:t>不</w:t>
            </w:r>
            <w:r>
              <w:rPr>
                <w:rFonts w:hint="eastAsia" w:ascii="宋体" w:hAnsi="宋体" w:eastAsia="宋体" w:cs="宋体"/>
                <w:color w:val="auto"/>
                <w:sz w:val="20"/>
                <w:szCs w:val="20"/>
                <w:highlight w:val="none"/>
              </w:rPr>
              <w:t>驻场</w:t>
            </w:r>
          </w:p>
        </w:tc>
      </w:tr>
      <w:tr w14:paraId="6D4D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387" w:type="pct"/>
            <w:noWrap/>
            <w:vAlign w:val="center"/>
          </w:tcPr>
          <w:p w14:paraId="47822BC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cs="宋体"/>
                <w:bCs/>
                <w:color w:val="auto"/>
                <w:sz w:val="20"/>
                <w:szCs w:val="20"/>
                <w:highlight w:val="none"/>
                <w:lang w:eastAsia="zh-CN"/>
              </w:rPr>
              <w:t>低碳业务分析</w:t>
            </w:r>
            <w:r>
              <w:rPr>
                <w:rFonts w:hint="eastAsia" w:ascii="宋体" w:hAnsi="宋体" w:eastAsia="宋体" w:cs="宋体"/>
                <w:bCs/>
                <w:color w:val="auto"/>
                <w:sz w:val="20"/>
                <w:szCs w:val="20"/>
                <w:highlight w:val="none"/>
              </w:rPr>
              <w:t>人员</w:t>
            </w:r>
          </w:p>
        </w:tc>
        <w:tc>
          <w:tcPr>
            <w:tcW w:w="1729" w:type="pct"/>
            <w:noWrap/>
            <w:vAlign w:val="center"/>
          </w:tcPr>
          <w:p w14:paraId="5920DB8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w:t>
            </w:r>
            <w:r>
              <w:rPr>
                <w:rFonts w:hint="eastAsia" w:cs="宋体"/>
                <w:color w:val="auto"/>
                <w:sz w:val="20"/>
                <w:szCs w:val="20"/>
                <w:highlight w:val="none"/>
                <w:lang w:eastAsia="zh-CN"/>
              </w:rPr>
              <w:t>“双碳”场景及业务设计</w:t>
            </w:r>
          </w:p>
        </w:tc>
        <w:tc>
          <w:tcPr>
            <w:tcW w:w="764" w:type="pct"/>
            <w:noWrap/>
            <w:vAlign w:val="center"/>
          </w:tcPr>
          <w:p w14:paraId="740926A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2人</w:t>
            </w:r>
          </w:p>
        </w:tc>
        <w:tc>
          <w:tcPr>
            <w:tcW w:w="1119" w:type="pct"/>
            <w:noWrap/>
            <w:vAlign w:val="center"/>
          </w:tcPr>
          <w:p w14:paraId="0C63598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cs="宋体"/>
                <w:color w:val="auto"/>
                <w:sz w:val="20"/>
                <w:szCs w:val="20"/>
                <w:highlight w:val="none"/>
                <w:lang w:val="en-US" w:eastAsia="zh-CN"/>
              </w:rPr>
              <w:t>不</w:t>
            </w:r>
            <w:r>
              <w:rPr>
                <w:rFonts w:hint="eastAsia" w:ascii="宋体" w:hAnsi="宋体" w:eastAsia="宋体" w:cs="宋体"/>
                <w:color w:val="auto"/>
                <w:sz w:val="20"/>
                <w:szCs w:val="20"/>
                <w:highlight w:val="none"/>
              </w:rPr>
              <w:t>驻场</w:t>
            </w:r>
          </w:p>
        </w:tc>
      </w:tr>
    </w:tbl>
    <w:p w14:paraId="40189314">
      <w:pPr>
        <w:widowControl w:val="0"/>
        <w:spacing w:line="360" w:lineRule="auto"/>
        <w:ind w:firstLine="400" w:firstLineChars="200"/>
        <w:jc w:val="both"/>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2）投标人应针对本项目提供不少于5人的质保期间支撑团队（其中</w:t>
      </w:r>
      <w:r>
        <w:rPr>
          <w:rFonts w:hint="eastAsia" w:cs="宋体"/>
          <w:bCs/>
          <w:color w:val="auto"/>
          <w:sz w:val="20"/>
          <w:szCs w:val="20"/>
          <w:highlight w:val="none"/>
          <w:lang w:eastAsia="zh-CN"/>
        </w:rPr>
        <w:t>项目</w:t>
      </w:r>
      <w:r>
        <w:rPr>
          <w:rFonts w:hint="eastAsia" w:ascii="宋体" w:hAnsi="宋体" w:eastAsia="宋体" w:cs="宋体"/>
          <w:bCs/>
          <w:color w:val="auto"/>
          <w:sz w:val="20"/>
          <w:szCs w:val="20"/>
          <w:highlight w:val="none"/>
        </w:rPr>
        <w:t>经理1人，产品经理1人，开发工程师不少于</w:t>
      </w:r>
      <w:r>
        <w:rPr>
          <w:rFonts w:hint="eastAsia" w:cs="宋体"/>
          <w:bCs/>
          <w:color w:val="auto"/>
          <w:sz w:val="20"/>
          <w:szCs w:val="20"/>
          <w:highlight w:val="none"/>
          <w:lang w:val="en-US" w:eastAsia="zh-CN"/>
        </w:rPr>
        <w:t>3</w:t>
      </w:r>
      <w:r>
        <w:rPr>
          <w:rFonts w:hint="eastAsia" w:ascii="宋体" w:hAnsi="宋体" w:eastAsia="宋体" w:cs="宋体"/>
          <w:bCs/>
          <w:color w:val="auto"/>
          <w:sz w:val="20"/>
          <w:szCs w:val="20"/>
          <w:highlight w:val="none"/>
        </w:rPr>
        <w:t>人）</w:t>
      </w:r>
      <w:r>
        <w:rPr>
          <w:rFonts w:hint="eastAsia" w:cs="宋体"/>
          <w:bCs/>
          <w:color w:val="auto"/>
          <w:sz w:val="20"/>
          <w:szCs w:val="20"/>
          <w:highlight w:val="none"/>
          <w:lang w:eastAsia="zh-CN"/>
        </w:rPr>
        <w:t>，</w:t>
      </w:r>
      <w:r>
        <w:rPr>
          <w:rFonts w:hint="eastAsia" w:ascii="宋体" w:hAnsi="宋体" w:eastAsia="宋体" w:cs="宋体"/>
          <w:bCs/>
          <w:color w:val="auto"/>
          <w:sz w:val="20"/>
          <w:szCs w:val="20"/>
          <w:highlight w:val="none"/>
        </w:rPr>
        <w:t>需提供相关证明（最近一个季度</w:t>
      </w:r>
      <w:r>
        <w:rPr>
          <w:rFonts w:hint="eastAsia" w:cs="宋体"/>
          <w:bCs/>
          <w:color w:val="auto"/>
          <w:sz w:val="20"/>
          <w:szCs w:val="20"/>
          <w:highlight w:val="none"/>
          <w:lang w:eastAsia="zh-CN"/>
        </w:rPr>
        <w:t>任意一个月</w:t>
      </w:r>
      <w:r>
        <w:rPr>
          <w:rFonts w:hint="eastAsia" w:ascii="宋体" w:hAnsi="宋体" w:eastAsia="宋体" w:cs="宋体"/>
          <w:bCs/>
          <w:color w:val="auto"/>
          <w:sz w:val="20"/>
          <w:szCs w:val="20"/>
          <w:highlight w:val="none"/>
        </w:rPr>
        <w:t>依法缴纳社保费的证明）。</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3219"/>
        <w:gridCol w:w="1304"/>
        <w:gridCol w:w="1773"/>
      </w:tblGrid>
      <w:tr w14:paraId="53CC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12" w:type="dxa"/>
            <w:noWrap/>
            <w:vAlign w:val="center"/>
          </w:tcPr>
          <w:p w14:paraId="27EB258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角色</w:t>
            </w:r>
          </w:p>
        </w:tc>
        <w:tc>
          <w:tcPr>
            <w:tcW w:w="3219" w:type="dxa"/>
            <w:noWrap/>
            <w:vAlign w:val="center"/>
          </w:tcPr>
          <w:p w14:paraId="15E8EA4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主要职责</w:t>
            </w:r>
          </w:p>
        </w:tc>
        <w:tc>
          <w:tcPr>
            <w:tcW w:w="1304" w:type="dxa"/>
            <w:noWrap/>
            <w:vAlign w:val="center"/>
          </w:tcPr>
          <w:p w14:paraId="2ADA11D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人员数量</w:t>
            </w:r>
          </w:p>
        </w:tc>
        <w:tc>
          <w:tcPr>
            <w:tcW w:w="1773" w:type="dxa"/>
            <w:noWrap/>
            <w:vAlign w:val="center"/>
          </w:tcPr>
          <w:p w14:paraId="489904F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驻场要求</w:t>
            </w:r>
          </w:p>
        </w:tc>
      </w:tr>
      <w:tr w14:paraId="23E1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12" w:type="dxa"/>
            <w:noWrap/>
            <w:vAlign w:val="center"/>
          </w:tcPr>
          <w:p w14:paraId="10C2748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项目经理</w:t>
            </w:r>
          </w:p>
        </w:tc>
        <w:tc>
          <w:tcPr>
            <w:tcW w:w="3219" w:type="dxa"/>
            <w:vAlign w:val="center"/>
          </w:tcPr>
          <w:p w14:paraId="5BCD578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负责项目质量和进度控制</w:t>
            </w:r>
          </w:p>
        </w:tc>
        <w:tc>
          <w:tcPr>
            <w:tcW w:w="1304" w:type="dxa"/>
            <w:noWrap/>
            <w:vAlign w:val="center"/>
          </w:tcPr>
          <w:p w14:paraId="0FC0983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773" w:type="dxa"/>
            <w:noWrap/>
            <w:vAlign w:val="center"/>
          </w:tcPr>
          <w:p w14:paraId="11DC96F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r w14:paraId="2374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12" w:type="dxa"/>
            <w:noWrap/>
            <w:vAlign w:val="center"/>
          </w:tcPr>
          <w:p w14:paraId="73A3F79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产品经理</w:t>
            </w:r>
          </w:p>
        </w:tc>
        <w:tc>
          <w:tcPr>
            <w:tcW w:w="3219" w:type="dxa"/>
            <w:vAlign w:val="center"/>
          </w:tcPr>
          <w:p w14:paraId="73B6A9E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负责项目需求评估与产品设计</w:t>
            </w:r>
          </w:p>
        </w:tc>
        <w:tc>
          <w:tcPr>
            <w:tcW w:w="1304" w:type="dxa"/>
            <w:noWrap/>
            <w:vAlign w:val="center"/>
          </w:tcPr>
          <w:p w14:paraId="2BE3CA5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1人</w:t>
            </w:r>
          </w:p>
        </w:tc>
        <w:tc>
          <w:tcPr>
            <w:tcW w:w="1773" w:type="dxa"/>
            <w:noWrap/>
            <w:vAlign w:val="center"/>
          </w:tcPr>
          <w:p w14:paraId="3DAB992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r w14:paraId="1D7C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12" w:type="dxa"/>
            <w:noWrap/>
            <w:vAlign w:val="center"/>
          </w:tcPr>
          <w:p w14:paraId="7C74F9D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开发工程师</w:t>
            </w:r>
          </w:p>
        </w:tc>
        <w:tc>
          <w:tcPr>
            <w:tcW w:w="3219" w:type="dxa"/>
            <w:noWrap/>
            <w:vAlign w:val="center"/>
          </w:tcPr>
          <w:p w14:paraId="65583F7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负责项目运行维护</w:t>
            </w:r>
          </w:p>
        </w:tc>
        <w:tc>
          <w:tcPr>
            <w:tcW w:w="1304" w:type="dxa"/>
            <w:noWrap/>
            <w:vAlign w:val="center"/>
          </w:tcPr>
          <w:p w14:paraId="022241D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3人</w:t>
            </w:r>
          </w:p>
        </w:tc>
        <w:tc>
          <w:tcPr>
            <w:tcW w:w="1773" w:type="dxa"/>
            <w:noWrap/>
            <w:vAlign w:val="center"/>
          </w:tcPr>
          <w:p w14:paraId="2D8E667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不驻场</w:t>
            </w:r>
          </w:p>
        </w:tc>
      </w:tr>
    </w:tbl>
    <w:p w14:paraId="5BF2F062">
      <w:pPr>
        <w:pStyle w:val="20"/>
        <w:snapToGrid w:val="0"/>
        <w:spacing w:line="360" w:lineRule="auto"/>
        <w:jc w:val="left"/>
        <w:outlineLvl w:val="1"/>
        <w:rPr>
          <w:rFonts w:hint="eastAsia" w:hAnsi="宋体" w:cs="宋体"/>
          <w:b/>
          <w:bCs/>
          <w:color w:val="auto"/>
          <w:sz w:val="20"/>
          <w:szCs w:val="20"/>
          <w:highlight w:val="none"/>
          <w:lang w:val="en-US" w:eastAsia="zh-CN"/>
        </w:rPr>
      </w:pPr>
      <w:bookmarkStart w:id="21" w:name="_Toc63785511"/>
      <w:r>
        <w:rPr>
          <w:rFonts w:hint="eastAsia" w:hAnsi="宋体" w:cs="宋体"/>
          <w:b/>
          <w:bCs/>
          <w:color w:val="auto"/>
          <w:sz w:val="20"/>
          <w:szCs w:val="20"/>
          <w:highlight w:val="none"/>
          <w:lang w:val="en-US" w:eastAsia="zh-CN"/>
        </w:rPr>
        <w:t>7.6等级保护要求</w:t>
      </w:r>
      <w:bookmarkEnd w:id="21"/>
    </w:p>
    <w:p w14:paraId="10C683BE">
      <w:pPr>
        <w:adjustRightInd w:val="0"/>
        <w:snapToGrid w:val="0"/>
        <w:spacing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本项目等级保护要求：</w:t>
      </w:r>
      <w:r>
        <w:rPr>
          <w:rFonts w:hint="eastAsia" w:ascii="宋体" w:hAnsi="宋体" w:eastAsia="宋体" w:cs="宋体"/>
          <w:color w:val="auto"/>
          <w:sz w:val="20"/>
          <w:szCs w:val="20"/>
          <w:highlight w:val="none"/>
          <w:lang w:val="en-US" w:eastAsia="zh-CN"/>
        </w:rPr>
        <w:t>等保</w:t>
      </w:r>
      <w:r>
        <w:rPr>
          <w:rFonts w:hint="eastAsia" w:cs="宋体"/>
          <w:color w:val="auto"/>
          <w:sz w:val="20"/>
          <w:szCs w:val="20"/>
          <w:highlight w:val="none"/>
          <w:lang w:val="en-US" w:eastAsia="zh-CN"/>
        </w:rPr>
        <w:t>3</w:t>
      </w:r>
      <w:r>
        <w:rPr>
          <w:rFonts w:hint="eastAsia" w:ascii="宋体" w:hAnsi="宋体" w:eastAsia="宋体" w:cs="宋体"/>
          <w:color w:val="auto"/>
          <w:sz w:val="20"/>
          <w:szCs w:val="20"/>
          <w:highlight w:val="none"/>
          <w:lang w:val="en-US" w:eastAsia="zh-CN"/>
        </w:rPr>
        <w:t>级</w:t>
      </w:r>
    </w:p>
    <w:p w14:paraId="424A9657">
      <w:pPr>
        <w:pStyle w:val="20"/>
        <w:snapToGrid w:val="0"/>
        <w:spacing w:line="360" w:lineRule="auto"/>
        <w:jc w:val="left"/>
        <w:outlineLvl w:val="1"/>
        <w:rPr>
          <w:rFonts w:hint="eastAsia" w:hAnsi="宋体" w:cs="宋体"/>
          <w:b/>
          <w:bCs/>
          <w:color w:val="auto"/>
          <w:sz w:val="20"/>
          <w:szCs w:val="20"/>
          <w:highlight w:val="none"/>
          <w:lang w:val="en-US" w:eastAsia="zh-CN"/>
        </w:rPr>
      </w:pPr>
      <w:bookmarkStart w:id="22" w:name="_Toc63785512"/>
      <w:r>
        <w:rPr>
          <w:rFonts w:hint="eastAsia" w:hAnsi="宋体" w:cs="宋体"/>
          <w:b/>
          <w:bCs/>
          <w:color w:val="auto"/>
          <w:sz w:val="20"/>
          <w:szCs w:val="20"/>
          <w:highlight w:val="none"/>
          <w:lang w:val="en-US" w:eastAsia="zh-CN"/>
        </w:rPr>
        <w:t>7.7技术文件要求</w:t>
      </w:r>
    </w:p>
    <w:p w14:paraId="4CBE5B5C">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投标人提供的书面技术资料应能确保系统正常运行所需的管理、运营及维护有关的全套文件。技术文件应该全面、完整、详细。投标人提供的技术文件至少应包括：</w:t>
      </w:r>
    </w:p>
    <w:p w14:paraId="7B43C90C">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系统说明文件； </w:t>
      </w:r>
    </w:p>
    <w:p w14:paraId="4C31C5A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技术手册(安装、测试、操作、维护、故障排除等)； </w:t>
      </w:r>
    </w:p>
    <w:p w14:paraId="5D4882F3">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项目文档，应该包括：</w:t>
      </w:r>
    </w:p>
    <w:p w14:paraId="6B27A95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(1)软件需求说明书</w:t>
      </w:r>
    </w:p>
    <w:p w14:paraId="4E3D118C">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rPr>
        <w:tab/>
      </w:r>
      <w:r>
        <w:rPr>
          <w:rFonts w:hint="eastAsia" w:ascii="宋体" w:hAnsi="宋体" w:eastAsia="宋体" w:cs="宋体"/>
          <w:color w:val="auto"/>
          <w:sz w:val="20"/>
          <w:szCs w:val="20"/>
          <w:highlight w:val="none"/>
        </w:rPr>
        <w:t>系统总体设计说明书</w:t>
      </w:r>
    </w:p>
    <w:p w14:paraId="06300896">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r>
        <w:rPr>
          <w:rFonts w:hint="eastAsia" w:ascii="宋体" w:hAnsi="宋体" w:eastAsia="宋体" w:cs="宋体"/>
          <w:color w:val="auto"/>
          <w:sz w:val="20"/>
          <w:szCs w:val="20"/>
          <w:highlight w:val="none"/>
        </w:rPr>
        <w:tab/>
      </w:r>
      <w:r>
        <w:rPr>
          <w:rFonts w:hint="eastAsia" w:ascii="宋体" w:hAnsi="宋体" w:eastAsia="宋体" w:cs="宋体"/>
          <w:color w:val="auto"/>
          <w:sz w:val="20"/>
          <w:szCs w:val="20"/>
          <w:highlight w:val="none"/>
        </w:rPr>
        <w:t>应用软件功能清单</w:t>
      </w:r>
    </w:p>
    <w:p w14:paraId="61B4AB6E">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提供全套技术文件纸介质3套以及电子文件1套。</w:t>
      </w:r>
      <w:bookmarkEnd w:id="22"/>
    </w:p>
    <w:p w14:paraId="17CE87D7">
      <w:pPr>
        <w:adjustRightInd w:val="0"/>
        <w:snapToGrid w:val="0"/>
        <w:ind w:firstLine="0" w:firstLineChars="0"/>
        <w:jc w:val="left"/>
        <w:outlineLvl w:val="1"/>
        <w:rPr>
          <w:rFonts w:hint="eastAsia" w:hAnsi="宋体" w:cs="宋体"/>
          <w:b/>
          <w:bCs/>
          <w:color w:val="auto"/>
          <w:sz w:val="20"/>
          <w:szCs w:val="20"/>
          <w:highlight w:val="none"/>
          <w:lang w:val="en-US" w:eastAsia="zh-CN"/>
        </w:rPr>
      </w:pPr>
      <w:r>
        <w:rPr>
          <w:rFonts w:hint="eastAsia" w:cs="宋体"/>
          <w:b/>
          <w:bCs/>
          <w:color w:val="auto"/>
          <w:sz w:val="20"/>
          <w:szCs w:val="20"/>
          <w:highlight w:val="none"/>
          <w:lang w:val="en-US" w:eastAsia="zh-CN"/>
        </w:rPr>
        <w:t>7</w:t>
      </w:r>
      <w:r>
        <w:rPr>
          <w:rFonts w:hint="eastAsia" w:hAnsi="宋体" w:cs="宋体"/>
          <w:b/>
          <w:bCs/>
          <w:color w:val="auto"/>
          <w:sz w:val="20"/>
          <w:szCs w:val="20"/>
          <w:highlight w:val="none"/>
          <w:lang w:val="en-US" w:eastAsia="zh-CN"/>
        </w:rPr>
        <w:t>.</w:t>
      </w:r>
      <w:r>
        <w:rPr>
          <w:rFonts w:hint="eastAsia" w:cs="宋体"/>
          <w:b/>
          <w:bCs/>
          <w:color w:val="auto"/>
          <w:sz w:val="20"/>
          <w:szCs w:val="20"/>
          <w:highlight w:val="none"/>
          <w:lang w:val="en-US" w:eastAsia="zh-CN"/>
        </w:rPr>
        <w:t>8</w:t>
      </w:r>
      <w:r>
        <w:rPr>
          <w:rFonts w:hint="eastAsia" w:hAnsi="宋体" w:cs="宋体"/>
          <w:b/>
          <w:bCs/>
          <w:color w:val="auto"/>
          <w:sz w:val="20"/>
          <w:szCs w:val="20"/>
          <w:highlight w:val="none"/>
          <w:lang w:val="en-US" w:eastAsia="zh-CN"/>
        </w:rPr>
        <w:t>其他要求</w:t>
      </w:r>
    </w:p>
    <w:p w14:paraId="7F84C5AA">
      <w:pPr>
        <w:adjustRightInd w:val="0"/>
        <w:snapToGrid w:val="0"/>
        <w:spacing w:line="360" w:lineRule="auto"/>
        <w:ind w:firstLine="420"/>
        <w:rPr>
          <w:rFonts w:hint="eastAsia" w:cs="宋体"/>
          <w:color w:val="auto"/>
          <w:sz w:val="20"/>
          <w:szCs w:val="20"/>
          <w:highlight w:val="none"/>
          <w:lang w:eastAsia="zh-CN"/>
        </w:rPr>
      </w:pPr>
      <w:r>
        <w:rPr>
          <w:rFonts w:hint="eastAsia" w:ascii="宋体" w:hAnsi="宋体" w:eastAsia="宋体" w:cs="宋体"/>
          <w:color w:val="auto"/>
          <w:sz w:val="20"/>
          <w:szCs w:val="20"/>
          <w:highlight w:val="none"/>
        </w:rPr>
        <w:t>投标人</w:t>
      </w:r>
      <w:r>
        <w:rPr>
          <w:rFonts w:hint="eastAsia" w:cs="宋体"/>
          <w:color w:val="auto"/>
          <w:sz w:val="20"/>
          <w:szCs w:val="20"/>
          <w:highlight w:val="none"/>
          <w:lang w:eastAsia="zh-CN"/>
        </w:rPr>
        <w:t>具有近三年类似项目业绩的优先考虑；</w:t>
      </w:r>
    </w:p>
    <w:p w14:paraId="46A88659">
      <w:pPr>
        <w:adjustRightInd w:val="0"/>
        <w:snapToGrid w:val="0"/>
        <w:spacing w:line="360" w:lineRule="auto"/>
        <w:ind w:firstLine="420"/>
        <w:rPr>
          <w:rFonts w:hint="eastAsia" w:cs="宋体"/>
          <w:color w:val="auto"/>
          <w:sz w:val="20"/>
          <w:szCs w:val="20"/>
          <w:highlight w:val="none"/>
          <w:lang w:val="en-US" w:eastAsia="zh-CN"/>
        </w:rPr>
      </w:pPr>
      <w:r>
        <w:rPr>
          <w:rFonts w:hint="eastAsia" w:cs="宋体"/>
          <w:color w:val="auto"/>
          <w:sz w:val="20"/>
          <w:szCs w:val="20"/>
          <w:highlight w:val="none"/>
          <w:lang w:val="en-US" w:eastAsia="zh-CN"/>
        </w:rPr>
        <w:t>投标人具有碳核算相关软件著作权证书的优先考虑。</w:t>
      </w:r>
    </w:p>
    <w:sectPr>
      <w:headerReference r:id="rId6" w:type="first"/>
      <w:footerReference r:id="rId8" w:type="first"/>
      <w:headerReference r:id="rId5" w:type="default"/>
      <w:footerReference r:id="rId7" w:type="defaul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 w:name="Arial Unicode MS">
    <w:altName w:val="DejaVu Sans"/>
    <w:panose1 w:val="020B0604020202020204"/>
    <w:charset w:val="86"/>
    <w:family w:val="swiss"/>
    <w:pitch w:val="default"/>
    <w:sig w:usb0="00000000" w:usb1="00000000" w:usb2="0000003F" w:usb3="00000000" w:csb0="603F01FF" w:csb1="FFFF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微软雅黑">
    <w:altName w:val="方正黑体_GBK"/>
    <w:panose1 w:val="020B0503020204020204"/>
    <w:charset w:val="86"/>
    <w:family w:val="swiss"/>
    <w:pitch w:val="default"/>
    <w:sig w:usb0="00000000" w:usb1="00000000" w:usb2="00000016" w:usb3="00000000" w:csb0="0004001F" w:csb1="00000000"/>
  </w:font>
  <w:font w:name="time">
    <w:altName w:val="思源宋体"/>
    <w:panose1 w:val="00000000000000000000"/>
    <w:charset w:val="00"/>
    <w:family w:val="roman"/>
    <w:pitch w:val="default"/>
    <w:sig w:usb0="00000000" w:usb1="00000000" w:usb2="00000000" w:usb3="00000000" w:csb0="00040001" w:csb1="00000000"/>
  </w:font>
  <w:font w:name="思源宋体">
    <w:panose1 w:val="02020400000000000000"/>
    <w:charset w:val="86"/>
    <w:family w:val="auto"/>
    <w:pitch w:val="default"/>
    <w:sig w:usb0="30000083" w:usb1="2BDF3C10" w:usb2="00000016" w:usb3="00000000" w:csb0="602E0107" w:csb1="00000000"/>
  </w:font>
  <w:font w:name="Microsoft YaHei UI">
    <w:altName w:val="文泉驿微米黑"/>
    <w:panose1 w:val="020B0503020204020204"/>
    <w:charset w:val="86"/>
    <w:family w:val="swiss"/>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 w:name="Microsoft Sans Serif">
    <w:altName w:val="Liberation Sans"/>
    <w:panose1 w:val="020B0604020202020204"/>
    <w:charset w:val="00"/>
    <w:family w:val="swiss"/>
    <w:pitch w:val="default"/>
    <w:sig w:usb0="00000000" w:usb1="00000000" w:usb2="00000008" w:usb3="00000000" w:csb0="200101FF" w:csb1="20280000"/>
  </w:font>
  <w:font w:name="Liberation Sans">
    <w:panose1 w:val="020B0604020202020204"/>
    <w:charset w:val="00"/>
    <w:family w:val="auto"/>
    <w:pitch w:val="default"/>
    <w:sig w:usb0="A00002AF" w:usb1="500078FB" w:usb2="00000000" w:usb3="00000000" w:csb0="6000009F" w:csb1="DFD70000"/>
  </w:font>
  <w:font w:name="KaiTi_GB2312">
    <w:panose1 w:val="02010609030101010101"/>
    <w:charset w:val="86"/>
    <w:family w:val="modern"/>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D5E18">
    <w:pPr>
      <w:ind w:firstLine="0" w:firstLineChars="0"/>
      <w:jc w:val="center"/>
    </w:pPr>
    <w:r>
      <w:fldChar w:fldCharType="begin"/>
    </w:r>
    <w:r>
      <w:instrText xml:space="preserve">PAGE   \* MERGEFORMAT</w:instrText>
    </w:r>
    <w:r>
      <w:fldChar w:fldCharType="separate"/>
    </w:r>
    <w:r>
      <w:rPr>
        <w:lang w:val="zh-CN"/>
      </w:rPr>
      <w:t>2</w:t>
    </w:r>
    <w:r>
      <w:rPr>
        <w:lang w:val="zh-CN"/>
      </w:rPr>
      <w:fldChar w:fldCharType="end"/>
    </w:r>
  </w:p>
  <w:p w14:paraId="4FCE5B9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0C0B8">
    <w:pPr>
      <w:ind w:firstLine="0" w:firstLineChars="0"/>
      <w:jc w:val="center"/>
      <w:rPr>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14:paraId="119551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54022">
    <w:pPr>
      <w:pStyle w:val="2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A225B">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A23B7"/>
    <w:multiLevelType w:val="multilevel"/>
    <w:tmpl w:val="003A23B7"/>
    <w:lvl w:ilvl="0" w:tentative="0">
      <w:start w:val="1"/>
      <w:numFmt w:val="decimal"/>
      <w:pStyle w:val="2"/>
      <w:suff w:val="nothing"/>
      <w:lvlText w:val="%1、"/>
      <w:lvlJc w:val="left"/>
      <w:pPr>
        <w:tabs>
          <w:tab w:val="left" w:pos="0"/>
        </w:tabs>
        <w:ind w:left="425" w:hanging="425"/>
      </w:pPr>
      <w:rPr>
        <w:rFonts w:hint="default"/>
        <w:sz w:val="24"/>
        <w:szCs w:val="24"/>
      </w:rPr>
    </w:lvl>
    <w:lvl w:ilvl="1" w:tentative="0">
      <w:start w:val="1"/>
      <w:numFmt w:val="decimal"/>
      <w:pStyle w:val="3"/>
      <w:isLgl/>
      <w:suff w:val="nothing"/>
      <w:lvlText w:val="%1.%2、"/>
      <w:lvlJc w:val="left"/>
      <w:pPr>
        <w:ind w:left="1843" w:hanging="567"/>
      </w:pPr>
    </w:lvl>
    <w:lvl w:ilvl="2" w:tentative="0">
      <w:start w:val="1"/>
      <w:numFmt w:val="decimal"/>
      <w:pStyle w:val="4"/>
      <w:isLgl/>
      <w:suff w:val="nothing"/>
      <w:lvlText w:val="%1.%2.%3、"/>
      <w:lvlJc w:val="left"/>
      <w:pPr>
        <w:ind w:left="1069" w:hanging="1069"/>
      </w:pPr>
      <w:rPr>
        <w:rFonts w:hint="default" w:ascii="宋体" w:hAnsi="宋体" w:eastAsia="宋体" w:cs="Arial"/>
      </w:rPr>
    </w:lvl>
    <w:lvl w:ilvl="3" w:tentative="0">
      <w:start w:val="1"/>
      <w:numFmt w:val="decimal"/>
      <w:pStyle w:val="5"/>
      <w:isLgl/>
      <w:suff w:val="nothing"/>
      <w:lvlText w:val="%1.%2.%3.%4、"/>
      <w:lvlJc w:val="left"/>
      <w:pPr>
        <w:ind w:left="1277" w:hanging="851"/>
      </w:pPr>
    </w:lvl>
    <w:lvl w:ilvl="4" w:tentative="0">
      <w:start w:val="1"/>
      <w:numFmt w:val="decimal"/>
      <w:pStyle w:val="6"/>
      <w:isLgl/>
      <w:suff w:val="nothing"/>
      <w:lvlText w:val="%1.%2.%3.%4.%5、"/>
      <w:lvlJc w:val="left"/>
      <w:pPr>
        <w:ind w:left="3544" w:hanging="992"/>
      </w:pPr>
      <w:rPr>
        <w:rFonts w:hint="eastAsia"/>
      </w:rPr>
    </w:lvl>
    <w:lvl w:ilvl="5" w:tentative="0">
      <w:start w:val="1"/>
      <w:numFmt w:val="decimal"/>
      <w:pStyle w:val="7"/>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
    <w:nsid w:val="6350366A"/>
    <w:multiLevelType w:val="multilevel"/>
    <w:tmpl w:val="6350366A"/>
    <w:lvl w:ilvl="0" w:tentative="0">
      <w:start w:val="1"/>
      <w:numFmt w:val="none"/>
      <w:pStyle w:val="114"/>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 w:name="KSO_WPS_MARK_KEY" w:val="db968ecc-f4cf-4228-a323-7b5e39913e2b"/>
  </w:docVars>
  <w:rsids>
    <w:rsidRoot w:val="006910C0"/>
    <w:rsid w:val="0000005A"/>
    <w:rsid w:val="00000AED"/>
    <w:rsid w:val="00002827"/>
    <w:rsid w:val="000033DA"/>
    <w:rsid w:val="000034A7"/>
    <w:rsid w:val="00003516"/>
    <w:rsid w:val="0000380E"/>
    <w:rsid w:val="00005A2A"/>
    <w:rsid w:val="00005AFD"/>
    <w:rsid w:val="00006563"/>
    <w:rsid w:val="000074F1"/>
    <w:rsid w:val="00007A41"/>
    <w:rsid w:val="00007DA7"/>
    <w:rsid w:val="0001181F"/>
    <w:rsid w:val="000126F9"/>
    <w:rsid w:val="00012EF0"/>
    <w:rsid w:val="000130FB"/>
    <w:rsid w:val="00014655"/>
    <w:rsid w:val="000156DE"/>
    <w:rsid w:val="000165AD"/>
    <w:rsid w:val="000179E9"/>
    <w:rsid w:val="00021EE6"/>
    <w:rsid w:val="0002280E"/>
    <w:rsid w:val="00022C74"/>
    <w:rsid w:val="00025122"/>
    <w:rsid w:val="000252D5"/>
    <w:rsid w:val="00026997"/>
    <w:rsid w:val="00027A64"/>
    <w:rsid w:val="0003298F"/>
    <w:rsid w:val="00032D27"/>
    <w:rsid w:val="00033C28"/>
    <w:rsid w:val="00035325"/>
    <w:rsid w:val="00035D5B"/>
    <w:rsid w:val="00037795"/>
    <w:rsid w:val="000378D0"/>
    <w:rsid w:val="00037F2C"/>
    <w:rsid w:val="0004081E"/>
    <w:rsid w:val="00040E3F"/>
    <w:rsid w:val="00042C2A"/>
    <w:rsid w:val="000430EC"/>
    <w:rsid w:val="00043C44"/>
    <w:rsid w:val="00043E57"/>
    <w:rsid w:val="000447CB"/>
    <w:rsid w:val="000459D4"/>
    <w:rsid w:val="00047915"/>
    <w:rsid w:val="00047D06"/>
    <w:rsid w:val="00050FBD"/>
    <w:rsid w:val="0005192C"/>
    <w:rsid w:val="00052929"/>
    <w:rsid w:val="00052999"/>
    <w:rsid w:val="0005299F"/>
    <w:rsid w:val="000541D7"/>
    <w:rsid w:val="000545C0"/>
    <w:rsid w:val="0005586D"/>
    <w:rsid w:val="00056053"/>
    <w:rsid w:val="00056C0E"/>
    <w:rsid w:val="000574A8"/>
    <w:rsid w:val="00057A49"/>
    <w:rsid w:val="0006181D"/>
    <w:rsid w:val="0006231F"/>
    <w:rsid w:val="00062A05"/>
    <w:rsid w:val="00062EE6"/>
    <w:rsid w:val="0006344E"/>
    <w:rsid w:val="000644C2"/>
    <w:rsid w:val="0006794B"/>
    <w:rsid w:val="00067DCA"/>
    <w:rsid w:val="00070063"/>
    <w:rsid w:val="0007087A"/>
    <w:rsid w:val="000710EC"/>
    <w:rsid w:val="00072237"/>
    <w:rsid w:val="00072ABE"/>
    <w:rsid w:val="000775E1"/>
    <w:rsid w:val="00077BD2"/>
    <w:rsid w:val="00080B39"/>
    <w:rsid w:val="00083950"/>
    <w:rsid w:val="0008452F"/>
    <w:rsid w:val="00084E8E"/>
    <w:rsid w:val="00085A68"/>
    <w:rsid w:val="000877C4"/>
    <w:rsid w:val="00090625"/>
    <w:rsid w:val="00090948"/>
    <w:rsid w:val="00091CD1"/>
    <w:rsid w:val="0009460E"/>
    <w:rsid w:val="000951D4"/>
    <w:rsid w:val="000A2146"/>
    <w:rsid w:val="000A2930"/>
    <w:rsid w:val="000A3276"/>
    <w:rsid w:val="000A3C35"/>
    <w:rsid w:val="000A3E30"/>
    <w:rsid w:val="000A5876"/>
    <w:rsid w:val="000A61D0"/>
    <w:rsid w:val="000A6C67"/>
    <w:rsid w:val="000A6DB8"/>
    <w:rsid w:val="000A7596"/>
    <w:rsid w:val="000B11A8"/>
    <w:rsid w:val="000B1959"/>
    <w:rsid w:val="000B2E1C"/>
    <w:rsid w:val="000B3E8D"/>
    <w:rsid w:val="000B4459"/>
    <w:rsid w:val="000B4B46"/>
    <w:rsid w:val="000B5363"/>
    <w:rsid w:val="000B53BA"/>
    <w:rsid w:val="000B6C99"/>
    <w:rsid w:val="000C129A"/>
    <w:rsid w:val="000C2980"/>
    <w:rsid w:val="000C5A75"/>
    <w:rsid w:val="000D0AB2"/>
    <w:rsid w:val="000D225C"/>
    <w:rsid w:val="000D36F2"/>
    <w:rsid w:val="000D4845"/>
    <w:rsid w:val="000D4B26"/>
    <w:rsid w:val="000D74DB"/>
    <w:rsid w:val="000E24D6"/>
    <w:rsid w:val="000E6072"/>
    <w:rsid w:val="000E6D61"/>
    <w:rsid w:val="000E7A23"/>
    <w:rsid w:val="000F1C29"/>
    <w:rsid w:val="000F1E9E"/>
    <w:rsid w:val="000F2B10"/>
    <w:rsid w:val="000F5800"/>
    <w:rsid w:val="00102A8E"/>
    <w:rsid w:val="001045AC"/>
    <w:rsid w:val="001055B2"/>
    <w:rsid w:val="001068F0"/>
    <w:rsid w:val="00106C9E"/>
    <w:rsid w:val="00106E16"/>
    <w:rsid w:val="0010768B"/>
    <w:rsid w:val="00111701"/>
    <w:rsid w:val="00111A60"/>
    <w:rsid w:val="00112A29"/>
    <w:rsid w:val="001167F6"/>
    <w:rsid w:val="00116C86"/>
    <w:rsid w:val="0012116C"/>
    <w:rsid w:val="001216F1"/>
    <w:rsid w:val="00121ACF"/>
    <w:rsid w:val="00121D8F"/>
    <w:rsid w:val="00122037"/>
    <w:rsid w:val="0012210C"/>
    <w:rsid w:val="00122A7F"/>
    <w:rsid w:val="00122D74"/>
    <w:rsid w:val="00123F98"/>
    <w:rsid w:val="001242A5"/>
    <w:rsid w:val="00124531"/>
    <w:rsid w:val="00125362"/>
    <w:rsid w:val="00126EDF"/>
    <w:rsid w:val="00127BBE"/>
    <w:rsid w:val="00131D52"/>
    <w:rsid w:val="001329C1"/>
    <w:rsid w:val="00132C16"/>
    <w:rsid w:val="00134FDD"/>
    <w:rsid w:val="00136320"/>
    <w:rsid w:val="00136FFA"/>
    <w:rsid w:val="00137AC6"/>
    <w:rsid w:val="00142F6C"/>
    <w:rsid w:val="00145512"/>
    <w:rsid w:val="00147B45"/>
    <w:rsid w:val="00150803"/>
    <w:rsid w:val="00151D83"/>
    <w:rsid w:val="001546C9"/>
    <w:rsid w:val="00154FAE"/>
    <w:rsid w:val="00155E77"/>
    <w:rsid w:val="001572D3"/>
    <w:rsid w:val="00160A61"/>
    <w:rsid w:val="00160FC0"/>
    <w:rsid w:val="0016422B"/>
    <w:rsid w:val="00164525"/>
    <w:rsid w:val="00164C50"/>
    <w:rsid w:val="00165CB2"/>
    <w:rsid w:val="00166767"/>
    <w:rsid w:val="001707CB"/>
    <w:rsid w:val="0017142A"/>
    <w:rsid w:val="00171477"/>
    <w:rsid w:val="00172A1A"/>
    <w:rsid w:val="00173251"/>
    <w:rsid w:val="001742FF"/>
    <w:rsid w:val="00174FFA"/>
    <w:rsid w:val="00176BED"/>
    <w:rsid w:val="0017759D"/>
    <w:rsid w:val="001804A5"/>
    <w:rsid w:val="00181C94"/>
    <w:rsid w:val="00182AB4"/>
    <w:rsid w:val="00182C84"/>
    <w:rsid w:val="001845A6"/>
    <w:rsid w:val="00187031"/>
    <w:rsid w:val="001910F6"/>
    <w:rsid w:val="00191EA4"/>
    <w:rsid w:val="00192B6C"/>
    <w:rsid w:val="0019381E"/>
    <w:rsid w:val="00194C97"/>
    <w:rsid w:val="0019503C"/>
    <w:rsid w:val="00195D94"/>
    <w:rsid w:val="00196F7B"/>
    <w:rsid w:val="001971CB"/>
    <w:rsid w:val="0019795C"/>
    <w:rsid w:val="001A22A2"/>
    <w:rsid w:val="001A2971"/>
    <w:rsid w:val="001A2CA5"/>
    <w:rsid w:val="001A30E7"/>
    <w:rsid w:val="001A3D52"/>
    <w:rsid w:val="001A460A"/>
    <w:rsid w:val="001A4A4C"/>
    <w:rsid w:val="001A5E5D"/>
    <w:rsid w:val="001B0230"/>
    <w:rsid w:val="001B13AB"/>
    <w:rsid w:val="001B3907"/>
    <w:rsid w:val="001B3B49"/>
    <w:rsid w:val="001B4907"/>
    <w:rsid w:val="001B4DC5"/>
    <w:rsid w:val="001B5505"/>
    <w:rsid w:val="001B7345"/>
    <w:rsid w:val="001C2180"/>
    <w:rsid w:val="001C29CC"/>
    <w:rsid w:val="001C3B98"/>
    <w:rsid w:val="001C4254"/>
    <w:rsid w:val="001C6028"/>
    <w:rsid w:val="001C6365"/>
    <w:rsid w:val="001C656E"/>
    <w:rsid w:val="001C716C"/>
    <w:rsid w:val="001D094A"/>
    <w:rsid w:val="001D0E79"/>
    <w:rsid w:val="001D2557"/>
    <w:rsid w:val="001D3E14"/>
    <w:rsid w:val="001D59C7"/>
    <w:rsid w:val="001D6049"/>
    <w:rsid w:val="001D6E46"/>
    <w:rsid w:val="001D7339"/>
    <w:rsid w:val="001E2750"/>
    <w:rsid w:val="001E4343"/>
    <w:rsid w:val="001E5320"/>
    <w:rsid w:val="001E660A"/>
    <w:rsid w:val="001F05D6"/>
    <w:rsid w:val="001F105A"/>
    <w:rsid w:val="001F5B0A"/>
    <w:rsid w:val="001F640F"/>
    <w:rsid w:val="001F6794"/>
    <w:rsid w:val="001F6F65"/>
    <w:rsid w:val="002002DF"/>
    <w:rsid w:val="002007CA"/>
    <w:rsid w:val="0020152C"/>
    <w:rsid w:val="002032FB"/>
    <w:rsid w:val="00203564"/>
    <w:rsid w:val="00203A6F"/>
    <w:rsid w:val="00205646"/>
    <w:rsid w:val="002063F7"/>
    <w:rsid w:val="00207C28"/>
    <w:rsid w:val="002129E5"/>
    <w:rsid w:val="00212AA4"/>
    <w:rsid w:val="00212E13"/>
    <w:rsid w:val="00213ADE"/>
    <w:rsid w:val="002163C8"/>
    <w:rsid w:val="002179FE"/>
    <w:rsid w:val="00220CC0"/>
    <w:rsid w:val="00221A36"/>
    <w:rsid w:val="00221CB7"/>
    <w:rsid w:val="002240F7"/>
    <w:rsid w:val="0022486F"/>
    <w:rsid w:val="00225314"/>
    <w:rsid w:val="00225DF4"/>
    <w:rsid w:val="00226C70"/>
    <w:rsid w:val="00230B50"/>
    <w:rsid w:val="00231733"/>
    <w:rsid w:val="00231F98"/>
    <w:rsid w:val="002324F8"/>
    <w:rsid w:val="002348B0"/>
    <w:rsid w:val="002359B9"/>
    <w:rsid w:val="00235CDC"/>
    <w:rsid w:val="00237E76"/>
    <w:rsid w:val="00240BBE"/>
    <w:rsid w:val="00241525"/>
    <w:rsid w:val="00241D87"/>
    <w:rsid w:val="00243C55"/>
    <w:rsid w:val="00243D5E"/>
    <w:rsid w:val="002451EC"/>
    <w:rsid w:val="00245ED4"/>
    <w:rsid w:val="00246B41"/>
    <w:rsid w:val="0025002B"/>
    <w:rsid w:val="002500DE"/>
    <w:rsid w:val="00252457"/>
    <w:rsid w:val="00252581"/>
    <w:rsid w:val="00252AB9"/>
    <w:rsid w:val="002535B5"/>
    <w:rsid w:val="002535C2"/>
    <w:rsid w:val="002538CB"/>
    <w:rsid w:val="002542BD"/>
    <w:rsid w:val="00257650"/>
    <w:rsid w:val="0025774E"/>
    <w:rsid w:val="00257D64"/>
    <w:rsid w:val="0026340A"/>
    <w:rsid w:val="002654EA"/>
    <w:rsid w:val="002704EA"/>
    <w:rsid w:val="0027061A"/>
    <w:rsid w:val="002719CC"/>
    <w:rsid w:val="002730C5"/>
    <w:rsid w:val="0027337C"/>
    <w:rsid w:val="0027602B"/>
    <w:rsid w:val="00277F5E"/>
    <w:rsid w:val="00280084"/>
    <w:rsid w:val="00280490"/>
    <w:rsid w:val="002860B8"/>
    <w:rsid w:val="0029157C"/>
    <w:rsid w:val="00291DEE"/>
    <w:rsid w:val="0029206E"/>
    <w:rsid w:val="00293382"/>
    <w:rsid w:val="00294A10"/>
    <w:rsid w:val="00294F51"/>
    <w:rsid w:val="002A0CBB"/>
    <w:rsid w:val="002A2342"/>
    <w:rsid w:val="002A279E"/>
    <w:rsid w:val="002A4FA3"/>
    <w:rsid w:val="002A6951"/>
    <w:rsid w:val="002B16C0"/>
    <w:rsid w:val="002B3606"/>
    <w:rsid w:val="002B3D80"/>
    <w:rsid w:val="002B4402"/>
    <w:rsid w:val="002B4946"/>
    <w:rsid w:val="002B4C41"/>
    <w:rsid w:val="002B588D"/>
    <w:rsid w:val="002B6923"/>
    <w:rsid w:val="002B6CB7"/>
    <w:rsid w:val="002C09E6"/>
    <w:rsid w:val="002C1839"/>
    <w:rsid w:val="002C214A"/>
    <w:rsid w:val="002C28E8"/>
    <w:rsid w:val="002C3027"/>
    <w:rsid w:val="002C674D"/>
    <w:rsid w:val="002C7345"/>
    <w:rsid w:val="002C7648"/>
    <w:rsid w:val="002C7DC4"/>
    <w:rsid w:val="002D0821"/>
    <w:rsid w:val="002D14A3"/>
    <w:rsid w:val="002D1929"/>
    <w:rsid w:val="002D1B73"/>
    <w:rsid w:val="002D3562"/>
    <w:rsid w:val="002D4800"/>
    <w:rsid w:val="002D5B21"/>
    <w:rsid w:val="002D6F6D"/>
    <w:rsid w:val="002D7199"/>
    <w:rsid w:val="002E1FE6"/>
    <w:rsid w:val="002E2602"/>
    <w:rsid w:val="002E2EA7"/>
    <w:rsid w:val="002E36D2"/>
    <w:rsid w:val="002E748B"/>
    <w:rsid w:val="002F0153"/>
    <w:rsid w:val="002F0E60"/>
    <w:rsid w:val="002F11BB"/>
    <w:rsid w:val="002F2002"/>
    <w:rsid w:val="002F335D"/>
    <w:rsid w:val="002F4E32"/>
    <w:rsid w:val="002F503F"/>
    <w:rsid w:val="002F51DD"/>
    <w:rsid w:val="002F5D08"/>
    <w:rsid w:val="002F6895"/>
    <w:rsid w:val="002F6D13"/>
    <w:rsid w:val="002F6F96"/>
    <w:rsid w:val="003049C7"/>
    <w:rsid w:val="00305F0E"/>
    <w:rsid w:val="0030667A"/>
    <w:rsid w:val="00310110"/>
    <w:rsid w:val="003106DE"/>
    <w:rsid w:val="00311530"/>
    <w:rsid w:val="00312D31"/>
    <w:rsid w:val="00315216"/>
    <w:rsid w:val="0031691C"/>
    <w:rsid w:val="003176AE"/>
    <w:rsid w:val="00317AEF"/>
    <w:rsid w:val="00317F49"/>
    <w:rsid w:val="0032089B"/>
    <w:rsid w:val="00323450"/>
    <w:rsid w:val="00323E19"/>
    <w:rsid w:val="0032489B"/>
    <w:rsid w:val="0032525B"/>
    <w:rsid w:val="00326A7A"/>
    <w:rsid w:val="00326B08"/>
    <w:rsid w:val="00326FEE"/>
    <w:rsid w:val="003315D7"/>
    <w:rsid w:val="00331B07"/>
    <w:rsid w:val="00332C21"/>
    <w:rsid w:val="00334DE6"/>
    <w:rsid w:val="0033536D"/>
    <w:rsid w:val="003353FF"/>
    <w:rsid w:val="00335D60"/>
    <w:rsid w:val="003366D2"/>
    <w:rsid w:val="00337C79"/>
    <w:rsid w:val="00337FEF"/>
    <w:rsid w:val="0034084C"/>
    <w:rsid w:val="00340D5E"/>
    <w:rsid w:val="00341327"/>
    <w:rsid w:val="003420B5"/>
    <w:rsid w:val="00343646"/>
    <w:rsid w:val="00343D87"/>
    <w:rsid w:val="00344CCB"/>
    <w:rsid w:val="00345897"/>
    <w:rsid w:val="00347C5A"/>
    <w:rsid w:val="00351BFC"/>
    <w:rsid w:val="0035575E"/>
    <w:rsid w:val="00355A3B"/>
    <w:rsid w:val="003565B4"/>
    <w:rsid w:val="00360786"/>
    <w:rsid w:val="00362E75"/>
    <w:rsid w:val="003631AA"/>
    <w:rsid w:val="003632D5"/>
    <w:rsid w:val="00363575"/>
    <w:rsid w:val="00364EF9"/>
    <w:rsid w:val="00365980"/>
    <w:rsid w:val="00367579"/>
    <w:rsid w:val="0036795B"/>
    <w:rsid w:val="00370A29"/>
    <w:rsid w:val="00371778"/>
    <w:rsid w:val="003722F9"/>
    <w:rsid w:val="00372349"/>
    <w:rsid w:val="003739F3"/>
    <w:rsid w:val="00374BDE"/>
    <w:rsid w:val="00376B39"/>
    <w:rsid w:val="003772C0"/>
    <w:rsid w:val="00377BAC"/>
    <w:rsid w:val="00380142"/>
    <w:rsid w:val="00380558"/>
    <w:rsid w:val="00381D3C"/>
    <w:rsid w:val="0038223E"/>
    <w:rsid w:val="00382D92"/>
    <w:rsid w:val="00384BB3"/>
    <w:rsid w:val="00385AEF"/>
    <w:rsid w:val="003860EA"/>
    <w:rsid w:val="00387215"/>
    <w:rsid w:val="0038725F"/>
    <w:rsid w:val="0038781A"/>
    <w:rsid w:val="0039080B"/>
    <w:rsid w:val="00392F46"/>
    <w:rsid w:val="0039326E"/>
    <w:rsid w:val="00394E22"/>
    <w:rsid w:val="00396220"/>
    <w:rsid w:val="003967A4"/>
    <w:rsid w:val="00397661"/>
    <w:rsid w:val="00397FA3"/>
    <w:rsid w:val="003A1596"/>
    <w:rsid w:val="003A2808"/>
    <w:rsid w:val="003A317E"/>
    <w:rsid w:val="003A345B"/>
    <w:rsid w:val="003A49EE"/>
    <w:rsid w:val="003A6236"/>
    <w:rsid w:val="003A674D"/>
    <w:rsid w:val="003A7123"/>
    <w:rsid w:val="003B102E"/>
    <w:rsid w:val="003B14C4"/>
    <w:rsid w:val="003B2167"/>
    <w:rsid w:val="003B5F5D"/>
    <w:rsid w:val="003C0C62"/>
    <w:rsid w:val="003C12DC"/>
    <w:rsid w:val="003C2CDA"/>
    <w:rsid w:val="003C6B5A"/>
    <w:rsid w:val="003C78DD"/>
    <w:rsid w:val="003C7AA9"/>
    <w:rsid w:val="003D000A"/>
    <w:rsid w:val="003D0F9F"/>
    <w:rsid w:val="003D2DA8"/>
    <w:rsid w:val="003D31E9"/>
    <w:rsid w:val="003D41D6"/>
    <w:rsid w:val="003D41F1"/>
    <w:rsid w:val="003D544E"/>
    <w:rsid w:val="003D5980"/>
    <w:rsid w:val="003E0842"/>
    <w:rsid w:val="003E13B0"/>
    <w:rsid w:val="003E2580"/>
    <w:rsid w:val="003E3DEE"/>
    <w:rsid w:val="003E3EBB"/>
    <w:rsid w:val="003E4A4C"/>
    <w:rsid w:val="003E4CBA"/>
    <w:rsid w:val="003E4D2F"/>
    <w:rsid w:val="003E4EDC"/>
    <w:rsid w:val="003E599D"/>
    <w:rsid w:val="003E5B32"/>
    <w:rsid w:val="003E5C81"/>
    <w:rsid w:val="003E75C8"/>
    <w:rsid w:val="003E7F8E"/>
    <w:rsid w:val="003F00E8"/>
    <w:rsid w:val="003F1936"/>
    <w:rsid w:val="003F1BDD"/>
    <w:rsid w:val="003F3BA3"/>
    <w:rsid w:val="003F3BD5"/>
    <w:rsid w:val="003F400E"/>
    <w:rsid w:val="003F6F35"/>
    <w:rsid w:val="003F7768"/>
    <w:rsid w:val="00400E8C"/>
    <w:rsid w:val="004017DC"/>
    <w:rsid w:val="00401B53"/>
    <w:rsid w:val="00402668"/>
    <w:rsid w:val="00404FEC"/>
    <w:rsid w:val="0040534D"/>
    <w:rsid w:val="00405FAD"/>
    <w:rsid w:val="00411165"/>
    <w:rsid w:val="004117AB"/>
    <w:rsid w:val="00411D64"/>
    <w:rsid w:val="00412B2F"/>
    <w:rsid w:val="00415281"/>
    <w:rsid w:val="00415716"/>
    <w:rsid w:val="0041604D"/>
    <w:rsid w:val="00417842"/>
    <w:rsid w:val="00417A6E"/>
    <w:rsid w:val="00417B63"/>
    <w:rsid w:val="0042084B"/>
    <w:rsid w:val="00424BFA"/>
    <w:rsid w:val="00425F0E"/>
    <w:rsid w:val="0042796E"/>
    <w:rsid w:val="00430B13"/>
    <w:rsid w:val="00430CE5"/>
    <w:rsid w:val="00431498"/>
    <w:rsid w:val="0043153C"/>
    <w:rsid w:val="00431D0F"/>
    <w:rsid w:val="00432585"/>
    <w:rsid w:val="0043481C"/>
    <w:rsid w:val="004359F8"/>
    <w:rsid w:val="00436162"/>
    <w:rsid w:val="004419DF"/>
    <w:rsid w:val="00444307"/>
    <w:rsid w:val="0044436F"/>
    <w:rsid w:val="004443EB"/>
    <w:rsid w:val="00444432"/>
    <w:rsid w:val="00444673"/>
    <w:rsid w:val="004458F1"/>
    <w:rsid w:val="0044621E"/>
    <w:rsid w:val="00450BA4"/>
    <w:rsid w:val="004511FC"/>
    <w:rsid w:val="004553CC"/>
    <w:rsid w:val="00456784"/>
    <w:rsid w:val="00456DCA"/>
    <w:rsid w:val="004611DB"/>
    <w:rsid w:val="004622AA"/>
    <w:rsid w:val="004658B0"/>
    <w:rsid w:val="0046614B"/>
    <w:rsid w:val="004675F2"/>
    <w:rsid w:val="00467FD7"/>
    <w:rsid w:val="00470073"/>
    <w:rsid w:val="004730F8"/>
    <w:rsid w:val="00474353"/>
    <w:rsid w:val="00474555"/>
    <w:rsid w:val="004750F4"/>
    <w:rsid w:val="00476CB1"/>
    <w:rsid w:val="00480A48"/>
    <w:rsid w:val="00482501"/>
    <w:rsid w:val="00482E7D"/>
    <w:rsid w:val="004841A1"/>
    <w:rsid w:val="00484395"/>
    <w:rsid w:val="004865FB"/>
    <w:rsid w:val="00486C03"/>
    <w:rsid w:val="00491AB3"/>
    <w:rsid w:val="004961AB"/>
    <w:rsid w:val="004971AB"/>
    <w:rsid w:val="00497A33"/>
    <w:rsid w:val="004A1112"/>
    <w:rsid w:val="004A1DA0"/>
    <w:rsid w:val="004A2393"/>
    <w:rsid w:val="004A3569"/>
    <w:rsid w:val="004A452A"/>
    <w:rsid w:val="004A5CE3"/>
    <w:rsid w:val="004A5F2C"/>
    <w:rsid w:val="004A6A19"/>
    <w:rsid w:val="004A6E4F"/>
    <w:rsid w:val="004A720D"/>
    <w:rsid w:val="004B00D0"/>
    <w:rsid w:val="004B6084"/>
    <w:rsid w:val="004B7AE0"/>
    <w:rsid w:val="004C260D"/>
    <w:rsid w:val="004C2D47"/>
    <w:rsid w:val="004C4357"/>
    <w:rsid w:val="004C4477"/>
    <w:rsid w:val="004C4888"/>
    <w:rsid w:val="004C5730"/>
    <w:rsid w:val="004C6397"/>
    <w:rsid w:val="004C668F"/>
    <w:rsid w:val="004C682B"/>
    <w:rsid w:val="004D142C"/>
    <w:rsid w:val="004D29F7"/>
    <w:rsid w:val="004D36D8"/>
    <w:rsid w:val="004D4C5C"/>
    <w:rsid w:val="004D5AB0"/>
    <w:rsid w:val="004D5EAE"/>
    <w:rsid w:val="004D7A0E"/>
    <w:rsid w:val="004E06E7"/>
    <w:rsid w:val="004E0AE3"/>
    <w:rsid w:val="004E20D3"/>
    <w:rsid w:val="004E2C82"/>
    <w:rsid w:val="004E4FAE"/>
    <w:rsid w:val="004E62C7"/>
    <w:rsid w:val="004E68FF"/>
    <w:rsid w:val="004E7A1B"/>
    <w:rsid w:val="004F0B7F"/>
    <w:rsid w:val="004F1193"/>
    <w:rsid w:val="004F11DC"/>
    <w:rsid w:val="004F271B"/>
    <w:rsid w:val="004F3A52"/>
    <w:rsid w:val="004F449F"/>
    <w:rsid w:val="004F4E7E"/>
    <w:rsid w:val="004F63AB"/>
    <w:rsid w:val="004F6B76"/>
    <w:rsid w:val="004F6C7C"/>
    <w:rsid w:val="004F6DFC"/>
    <w:rsid w:val="004F7F1A"/>
    <w:rsid w:val="004F7FBB"/>
    <w:rsid w:val="0050429F"/>
    <w:rsid w:val="005042B3"/>
    <w:rsid w:val="005045AB"/>
    <w:rsid w:val="00504CEA"/>
    <w:rsid w:val="00507D43"/>
    <w:rsid w:val="005101AE"/>
    <w:rsid w:val="00510E2C"/>
    <w:rsid w:val="00511FDC"/>
    <w:rsid w:val="005124C6"/>
    <w:rsid w:val="00513EBC"/>
    <w:rsid w:val="00514B12"/>
    <w:rsid w:val="00514CE1"/>
    <w:rsid w:val="00515286"/>
    <w:rsid w:val="00517155"/>
    <w:rsid w:val="00517DB3"/>
    <w:rsid w:val="005200DC"/>
    <w:rsid w:val="005200F2"/>
    <w:rsid w:val="00521BB3"/>
    <w:rsid w:val="00521CD3"/>
    <w:rsid w:val="0052282B"/>
    <w:rsid w:val="0052369D"/>
    <w:rsid w:val="00523713"/>
    <w:rsid w:val="005271DB"/>
    <w:rsid w:val="00530D2F"/>
    <w:rsid w:val="0053487C"/>
    <w:rsid w:val="00535153"/>
    <w:rsid w:val="005356E1"/>
    <w:rsid w:val="00536A8B"/>
    <w:rsid w:val="0054039D"/>
    <w:rsid w:val="00540418"/>
    <w:rsid w:val="005405CA"/>
    <w:rsid w:val="00541A96"/>
    <w:rsid w:val="00541C6A"/>
    <w:rsid w:val="00542C54"/>
    <w:rsid w:val="00545940"/>
    <w:rsid w:val="0054656F"/>
    <w:rsid w:val="00546A43"/>
    <w:rsid w:val="00546C70"/>
    <w:rsid w:val="00547258"/>
    <w:rsid w:val="00550CF0"/>
    <w:rsid w:val="00552B33"/>
    <w:rsid w:val="00554009"/>
    <w:rsid w:val="005559FE"/>
    <w:rsid w:val="005560D6"/>
    <w:rsid w:val="00556D07"/>
    <w:rsid w:val="00556D6A"/>
    <w:rsid w:val="0055712C"/>
    <w:rsid w:val="005611F2"/>
    <w:rsid w:val="00561734"/>
    <w:rsid w:val="00561952"/>
    <w:rsid w:val="00564B9A"/>
    <w:rsid w:val="00565694"/>
    <w:rsid w:val="00566DD6"/>
    <w:rsid w:val="00570430"/>
    <w:rsid w:val="005704E2"/>
    <w:rsid w:val="00571121"/>
    <w:rsid w:val="005714EF"/>
    <w:rsid w:val="00571CEC"/>
    <w:rsid w:val="00572FCE"/>
    <w:rsid w:val="0057347C"/>
    <w:rsid w:val="005750DB"/>
    <w:rsid w:val="005759FC"/>
    <w:rsid w:val="00575B85"/>
    <w:rsid w:val="00576DB9"/>
    <w:rsid w:val="0057738F"/>
    <w:rsid w:val="005805E4"/>
    <w:rsid w:val="00580FFF"/>
    <w:rsid w:val="0058202F"/>
    <w:rsid w:val="00584221"/>
    <w:rsid w:val="00585A6A"/>
    <w:rsid w:val="00586B68"/>
    <w:rsid w:val="0058774E"/>
    <w:rsid w:val="005878CF"/>
    <w:rsid w:val="00587E31"/>
    <w:rsid w:val="00587F5A"/>
    <w:rsid w:val="00590CA0"/>
    <w:rsid w:val="00595B01"/>
    <w:rsid w:val="00596D98"/>
    <w:rsid w:val="00597904"/>
    <w:rsid w:val="005979A5"/>
    <w:rsid w:val="005979FD"/>
    <w:rsid w:val="005A0021"/>
    <w:rsid w:val="005A017B"/>
    <w:rsid w:val="005A0CBD"/>
    <w:rsid w:val="005A2AEC"/>
    <w:rsid w:val="005A5212"/>
    <w:rsid w:val="005A5B62"/>
    <w:rsid w:val="005B002D"/>
    <w:rsid w:val="005B0FFF"/>
    <w:rsid w:val="005B19AF"/>
    <w:rsid w:val="005B258C"/>
    <w:rsid w:val="005B61DD"/>
    <w:rsid w:val="005B6735"/>
    <w:rsid w:val="005B7831"/>
    <w:rsid w:val="005C0CD6"/>
    <w:rsid w:val="005C12D9"/>
    <w:rsid w:val="005C2146"/>
    <w:rsid w:val="005C22CB"/>
    <w:rsid w:val="005C300C"/>
    <w:rsid w:val="005C309D"/>
    <w:rsid w:val="005C544B"/>
    <w:rsid w:val="005C5916"/>
    <w:rsid w:val="005C5AEE"/>
    <w:rsid w:val="005C774A"/>
    <w:rsid w:val="005D3734"/>
    <w:rsid w:val="005D4F16"/>
    <w:rsid w:val="005D5A53"/>
    <w:rsid w:val="005D5DA0"/>
    <w:rsid w:val="005D7FBD"/>
    <w:rsid w:val="005E09B3"/>
    <w:rsid w:val="005E19B4"/>
    <w:rsid w:val="005E1D6B"/>
    <w:rsid w:val="005E227A"/>
    <w:rsid w:val="005E3126"/>
    <w:rsid w:val="005E3A16"/>
    <w:rsid w:val="005E7075"/>
    <w:rsid w:val="005E75A7"/>
    <w:rsid w:val="005F3602"/>
    <w:rsid w:val="005F38E2"/>
    <w:rsid w:val="005F3EE6"/>
    <w:rsid w:val="005F4E2F"/>
    <w:rsid w:val="005F6736"/>
    <w:rsid w:val="00602C10"/>
    <w:rsid w:val="00604CF2"/>
    <w:rsid w:val="00606DFF"/>
    <w:rsid w:val="00606FB7"/>
    <w:rsid w:val="00607832"/>
    <w:rsid w:val="00610533"/>
    <w:rsid w:val="006110F6"/>
    <w:rsid w:val="00611FA1"/>
    <w:rsid w:val="00612522"/>
    <w:rsid w:val="00612DA6"/>
    <w:rsid w:val="0061365B"/>
    <w:rsid w:val="006138B6"/>
    <w:rsid w:val="00614BC6"/>
    <w:rsid w:val="00614E33"/>
    <w:rsid w:val="006158B8"/>
    <w:rsid w:val="0061706D"/>
    <w:rsid w:val="006173DA"/>
    <w:rsid w:val="00617EF9"/>
    <w:rsid w:val="00620295"/>
    <w:rsid w:val="00621473"/>
    <w:rsid w:val="00622F8E"/>
    <w:rsid w:val="00626AC8"/>
    <w:rsid w:val="00627912"/>
    <w:rsid w:val="0063195F"/>
    <w:rsid w:val="00636C0A"/>
    <w:rsid w:val="00637DE4"/>
    <w:rsid w:val="00637EC6"/>
    <w:rsid w:val="00641ADC"/>
    <w:rsid w:val="0064240C"/>
    <w:rsid w:val="00642EA6"/>
    <w:rsid w:val="00642FF5"/>
    <w:rsid w:val="006430FB"/>
    <w:rsid w:val="00643992"/>
    <w:rsid w:val="006439F8"/>
    <w:rsid w:val="00644DBC"/>
    <w:rsid w:val="00645343"/>
    <w:rsid w:val="00646FE6"/>
    <w:rsid w:val="006474CD"/>
    <w:rsid w:val="00647744"/>
    <w:rsid w:val="006479A0"/>
    <w:rsid w:val="006500D9"/>
    <w:rsid w:val="0065189F"/>
    <w:rsid w:val="006523AD"/>
    <w:rsid w:val="00653B54"/>
    <w:rsid w:val="006541A3"/>
    <w:rsid w:val="00654FAD"/>
    <w:rsid w:val="00655C9F"/>
    <w:rsid w:val="006567FF"/>
    <w:rsid w:val="00656867"/>
    <w:rsid w:val="00656EB5"/>
    <w:rsid w:val="0066109F"/>
    <w:rsid w:val="00662903"/>
    <w:rsid w:val="00664B26"/>
    <w:rsid w:val="0066596B"/>
    <w:rsid w:val="006674E2"/>
    <w:rsid w:val="00667A45"/>
    <w:rsid w:val="00670295"/>
    <w:rsid w:val="006704F5"/>
    <w:rsid w:val="006715BA"/>
    <w:rsid w:val="00672894"/>
    <w:rsid w:val="0067307D"/>
    <w:rsid w:val="00674B47"/>
    <w:rsid w:val="0067609E"/>
    <w:rsid w:val="00677749"/>
    <w:rsid w:val="00680E07"/>
    <w:rsid w:val="00682B9D"/>
    <w:rsid w:val="00683806"/>
    <w:rsid w:val="00686AF9"/>
    <w:rsid w:val="006900FA"/>
    <w:rsid w:val="006910C0"/>
    <w:rsid w:val="006912C2"/>
    <w:rsid w:val="00691954"/>
    <w:rsid w:val="0069320E"/>
    <w:rsid w:val="00693D13"/>
    <w:rsid w:val="00694F58"/>
    <w:rsid w:val="006955BC"/>
    <w:rsid w:val="006959E2"/>
    <w:rsid w:val="00696920"/>
    <w:rsid w:val="00697D96"/>
    <w:rsid w:val="00697EB9"/>
    <w:rsid w:val="006A20D4"/>
    <w:rsid w:val="006A268D"/>
    <w:rsid w:val="006A3372"/>
    <w:rsid w:val="006A350F"/>
    <w:rsid w:val="006A3957"/>
    <w:rsid w:val="006A39A4"/>
    <w:rsid w:val="006A3E87"/>
    <w:rsid w:val="006A41D6"/>
    <w:rsid w:val="006A443E"/>
    <w:rsid w:val="006A669D"/>
    <w:rsid w:val="006A6E41"/>
    <w:rsid w:val="006A70DA"/>
    <w:rsid w:val="006B012F"/>
    <w:rsid w:val="006B27CF"/>
    <w:rsid w:val="006B41BD"/>
    <w:rsid w:val="006B5678"/>
    <w:rsid w:val="006B62B2"/>
    <w:rsid w:val="006C18AB"/>
    <w:rsid w:val="006C1C57"/>
    <w:rsid w:val="006C5760"/>
    <w:rsid w:val="006C6D6F"/>
    <w:rsid w:val="006D0D78"/>
    <w:rsid w:val="006D1128"/>
    <w:rsid w:val="006D2848"/>
    <w:rsid w:val="006D30E0"/>
    <w:rsid w:val="006D414C"/>
    <w:rsid w:val="006D5FE9"/>
    <w:rsid w:val="006D614E"/>
    <w:rsid w:val="006D6CBB"/>
    <w:rsid w:val="006D76A9"/>
    <w:rsid w:val="006D77F4"/>
    <w:rsid w:val="006E0898"/>
    <w:rsid w:val="006E2248"/>
    <w:rsid w:val="006E41CD"/>
    <w:rsid w:val="006F30F4"/>
    <w:rsid w:val="006F3A71"/>
    <w:rsid w:val="006F3BEC"/>
    <w:rsid w:val="00703C00"/>
    <w:rsid w:val="00704CF6"/>
    <w:rsid w:val="007057CC"/>
    <w:rsid w:val="007066F2"/>
    <w:rsid w:val="007066F4"/>
    <w:rsid w:val="00706772"/>
    <w:rsid w:val="00706AE5"/>
    <w:rsid w:val="0070740A"/>
    <w:rsid w:val="00711F93"/>
    <w:rsid w:val="00712940"/>
    <w:rsid w:val="0071428C"/>
    <w:rsid w:val="00715A16"/>
    <w:rsid w:val="007164B0"/>
    <w:rsid w:val="007166FF"/>
    <w:rsid w:val="007176F6"/>
    <w:rsid w:val="00723F5D"/>
    <w:rsid w:val="00726543"/>
    <w:rsid w:val="007279BB"/>
    <w:rsid w:val="00731F7A"/>
    <w:rsid w:val="00732FAD"/>
    <w:rsid w:val="0073353E"/>
    <w:rsid w:val="00736633"/>
    <w:rsid w:val="00740DB1"/>
    <w:rsid w:val="00741EE7"/>
    <w:rsid w:val="00743A79"/>
    <w:rsid w:val="007447F0"/>
    <w:rsid w:val="00744D01"/>
    <w:rsid w:val="0074594D"/>
    <w:rsid w:val="007459F3"/>
    <w:rsid w:val="0074651C"/>
    <w:rsid w:val="00746E35"/>
    <w:rsid w:val="007470E2"/>
    <w:rsid w:val="0075232F"/>
    <w:rsid w:val="007529CF"/>
    <w:rsid w:val="00753746"/>
    <w:rsid w:val="00754605"/>
    <w:rsid w:val="007550B3"/>
    <w:rsid w:val="00757DAC"/>
    <w:rsid w:val="00760451"/>
    <w:rsid w:val="00766482"/>
    <w:rsid w:val="0077182A"/>
    <w:rsid w:val="00771913"/>
    <w:rsid w:val="00772718"/>
    <w:rsid w:val="00775BCF"/>
    <w:rsid w:val="00775DB7"/>
    <w:rsid w:val="0078093B"/>
    <w:rsid w:val="00783140"/>
    <w:rsid w:val="007834F4"/>
    <w:rsid w:val="007838B6"/>
    <w:rsid w:val="00783C84"/>
    <w:rsid w:val="00783E77"/>
    <w:rsid w:val="00786285"/>
    <w:rsid w:val="007906F1"/>
    <w:rsid w:val="00792145"/>
    <w:rsid w:val="0079243D"/>
    <w:rsid w:val="00794A9B"/>
    <w:rsid w:val="0079583B"/>
    <w:rsid w:val="00796602"/>
    <w:rsid w:val="00797185"/>
    <w:rsid w:val="007976B7"/>
    <w:rsid w:val="00797A7E"/>
    <w:rsid w:val="00797D6F"/>
    <w:rsid w:val="007A6B0F"/>
    <w:rsid w:val="007B014B"/>
    <w:rsid w:val="007B0499"/>
    <w:rsid w:val="007B0D88"/>
    <w:rsid w:val="007B306F"/>
    <w:rsid w:val="007B3966"/>
    <w:rsid w:val="007B4714"/>
    <w:rsid w:val="007B4E82"/>
    <w:rsid w:val="007C03FC"/>
    <w:rsid w:val="007C1996"/>
    <w:rsid w:val="007C2268"/>
    <w:rsid w:val="007C3773"/>
    <w:rsid w:val="007C3F1F"/>
    <w:rsid w:val="007C5A07"/>
    <w:rsid w:val="007D2D09"/>
    <w:rsid w:val="007D2D0D"/>
    <w:rsid w:val="007D3325"/>
    <w:rsid w:val="007D3818"/>
    <w:rsid w:val="007D6DC5"/>
    <w:rsid w:val="007D7425"/>
    <w:rsid w:val="007E320E"/>
    <w:rsid w:val="007E3280"/>
    <w:rsid w:val="007E36D3"/>
    <w:rsid w:val="007E4A02"/>
    <w:rsid w:val="007E595C"/>
    <w:rsid w:val="007E59A5"/>
    <w:rsid w:val="007E5CD3"/>
    <w:rsid w:val="007F3B8C"/>
    <w:rsid w:val="007F41D0"/>
    <w:rsid w:val="007F4B8B"/>
    <w:rsid w:val="007F5080"/>
    <w:rsid w:val="007F5325"/>
    <w:rsid w:val="007F5957"/>
    <w:rsid w:val="007F70B6"/>
    <w:rsid w:val="007F74CA"/>
    <w:rsid w:val="008008E9"/>
    <w:rsid w:val="00800E83"/>
    <w:rsid w:val="00800F1E"/>
    <w:rsid w:val="0080195A"/>
    <w:rsid w:val="0080239C"/>
    <w:rsid w:val="00802841"/>
    <w:rsid w:val="008037D5"/>
    <w:rsid w:val="00803855"/>
    <w:rsid w:val="00805447"/>
    <w:rsid w:val="008054FA"/>
    <w:rsid w:val="008060B9"/>
    <w:rsid w:val="0080678F"/>
    <w:rsid w:val="0080717A"/>
    <w:rsid w:val="00807DFA"/>
    <w:rsid w:val="0081009F"/>
    <w:rsid w:val="00810152"/>
    <w:rsid w:val="008115AB"/>
    <w:rsid w:val="00812D4D"/>
    <w:rsid w:val="008156B8"/>
    <w:rsid w:val="008159F4"/>
    <w:rsid w:val="008167C1"/>
    <w:rsid w:val="008167C6"/>
    <w:rsid w:val="00816B8F"/>
    <w:rsid w:val="00820331"/>
    <w:rsid w:val="00820BF5"/>
    <w:rsid w:val="008212B1"/>
    <w:rsid w:val="0082155A"/>
    <w:rsid w:val="0082209F"/>
    <w:rsid w:val="008223C2"/>
    <w:rsid w:val="008230F1"/>
    <w:rsid w:val="008250A2"/>
    <w:rsid w:val="00825D64"/>
    <w:rsid w:val="0082650B"/>
    <w:rsid w:val="008301CE"/>
    <w:rsid w:val="008312E3"/>
    <w:rsid w:val="00831D5B"/>
    <w:rsid w:val="00832DD6"/>
    <w:rsid w:val="00832F0C"/>
    <w:rsid w:val="008336F2"/>
    <w:rsid w:val="008345D9"/>
    <w:rsid w:val="008347CB"/>
    <w:rsid w:val="00835647"/>
    <w:rsid w:val="00837A2E"/>
    <w:rsid w:val="00841558"/>
    <w:rsid w:val="00842A68"/>
    <w:rsid w:val="008435BA"/>
    <w:rsid w:val="0084558B"/>
    <w:rsid w:val="00845761"/>
    <w:rsid w:val="0084654A"/>
    <w:rsid w:val="00847654"/>
    <w:rsid w:val="00853FE6"/>
    <w:rsid w:val="008540D0"/>
    <w:rsid w:val="00855543"/>
    <w:rsid w:val="008566B3"/>
    <w:rsid w:val="00856AC8"/>
    <w:rsid w:val="008576B7"/>
    <w:rsid w:val="00857F7B"/>
    <w:rsid w:val="0086287C"/>
    <w:rsid w:val="00863DA1"/>
    <w:rsid w:val="008654A6"/>
    <w:rsid w:val="00865D86"/>
    <w:rsid w:val="00870A16"/>
    <w:rsid w:val="00870EA1"/>
    <w:rsid w:val="008710C5"/>
    <w:rsid w:val="00874438"/>
    <w:rsid w:val="00874E75"/>
    <w:rsid w:val="008767F3"/>
    <w:rsid w:val="00876CEF"/>
    <w:rsid w:val="00877342"/>
    <w:rsid w:val="00877D71"/>
    <w:rsid w:val="008803C3"/>
    <w:rsid w:val="00881450"/>
    <w:rsid w:val="008817C7"/>
    <w:rsid w:val="00881875"/>
    <w:rsid w:val="00882411"/>
    <w:rsid w:val="00882887"/>
    <w:rsid w:val="008845E5"/>
    <w:rsid w:val="008848A3"/>
    <w:rsid w:val="00884AF1"/>
    <w:rsid w:val="00885F7A"/>
    <w:rsid w:val="00890712"/>
    <w:rsid w:val="00890D81"/>
    <w:rsid w:val="00892955"/>
    <w:rsid w:val="00893628"/>
    <w:rsid w:val="008941EB"/>
    <w:rsid w:val="0089545A"/>
    <w:rsid w:val="00895A02"/>
    <w:rsid w:val="008A01EE"/>
    <w:rsid w:val="008A3B78"/>
    <w:rsid w:val="008A4166"/>
    <w:rsid w:val="008A7DBF"/>
    <w:rsid w:val="008B136C"/>
    <w:rsid w:val="008B55EF"/>
    <w:rsid w:val="008B5B29"/>
    <w:rsid w:val="008B6035"/>
    <w:rsid w:val="008B6D83"/>
    <w:rsid w:val="008B7BB4"/>
    <w:rsid w:val="008C0B5C"/>
    <w:rsid w:val="008C1343"/>
    <w:rsid w:val="008C2F22"/>
    <w:rsid w:val="008C3912"/>
    <w:rsid w:val="008C5598"/>
    <w:rsid w:val="008C6053"/>
    <w:rsid w:val="008C69EA"/>
    <w:rsid w:val="008C6F8B"/>
    <w:rsid w:val="008C7AB7"/>
    <w:rsid w:val="008C7FB4"/>
    <w:rsid w:val="008D2C8C"/>
    <w:rsid w:val="008D3040"/>
    <w:rsid w:val="008D3ECD"/>
    <w:rsid w:val="008D5C03"/>
    <w:rsid w:val="008D7C35"/>
    <w:rsid w:val="008E4BF9"/>
    <w:rsid w:val="008E5698"/>
    <w:rsid w:val="008E5733"/>
    <w:rsid w:val="008E77D2"/>
    <w:rsid w:val="008E78FD"/>
    <w:rsid w:val="008F199D"/>
    <w:rsid w:val="008F38A0"/>
    <w:rsid w:val="008F39C9"/>
    <w:rsid w:val="008F4272"/>
    <w:rsid w:val="008F5EB5"/>
    <w:rsid w:val="008F678C"/>
    <w:rsid w:val="008F6C57"/>
    <w:rsid w:val="008F75A7"/>
    <w:rsid w:val="008F78AD"/>
    <w:rsid w:val="008F7E5A"/>
    <w:rsid w:val="009036EE"/>
    <w:rsid w:val="00903FA8"/>
    <w:rsid w:val="00905815"/>
    <w:rsid w:val="00905D1D"/>
    <w:rsid w:val="0090604E"/>
    <w:rsid w:val="0091016D"/>
    <w:rsid w:val="00911910"/>
    <w:rsid w:val="00912A58"/>
    <w:rsid w:val="00913908"/>
    <w:rsid w:val="00913D26"/>
    <w:rsid w:val="00913E8C"/>
    <w:rsid w:val="0091438B"/>
    <w:rsid w:val="009147E3"/>
    <w:rsid w:val="00920FD2"/>
    <w:rsid w:val="00921647"/>
    <w:rsid w:val="0092169E"/>
    <w:rsid w:val="00923A43"/>
    <w:rsid w:val="0092439C"/>
    <w:rsid w:val="0092498E"/>
    <w:rsid w:val="00925B91"/>
    <w:rsid w:val="00926713"/>
    <w:rsid w:val="0093058D"/>
    <w:rsid w:val="00934461"/>
    <w:rsid w:val="00934F7E"/>
    <w:rsid w:val="009360A4"/>
    <w:rsid w:val="00936A1C"/>
    <w:rsid w:val="00943E35"/>
    <w:rsid w:val="00945278"/>
    <w:rsid w:val="0094658D"/>
    <w:rsid w:val="00947015"/>
    <w:rsid w:val="00947451"/>
    <w:rsid w:val="00947678"/>
    <w:rsid w:val="00947878"/>
    <w:rsid w:val="009504C2"/>
    <w:rsid w:val="00950E15"/>
    <w:rsid w:val="0095254A"/>
    <w:rsid w:val="009559E1"/>
    <w:rsid w:val="009568D5"/>
    <w:rsid w:val="00957CD3"/>
    <w:rsid w:val="00962077"/>
    <w:rsid w:val="0096269B"/>
    <w:rsid w:val="00963FB0"/>
    <w:rsid w:val="00964BB5"/>
    <w:rsid w:val="00964C86"/>
    <w:rsid w:val="00964D29"/>
    <w:rsid w:val="00965E82"/>
    <w:rsid w:val="009664BB"/>
    <w:rsid w:val="009669F8"/>
    <w:rsid w:val="00966E9E"/>
    <w:rsid w:val="00966F89"/>
    <w:rsid w:val="00973B5D"/>
    <w:rsid w:val="0097726B"/>
    <w:rsid w:val="0097755E"/>
    <w:rsid w:val="00981403"/>
    <w:rsid w:val="00981467"/>
    <w:rsid w:val="00981C24"/>
    <w:rsid w:val="009852F6"/>
    <w:rsid w:val="00985DE5"/>
    <w:rsid w:val="00986254"/>
    <w:rsid w:val="0098729E"/>
    <w:rsid w:val="00987EC7"/>
    <w:rsid w:val="00990067"/>
    <w:rsid w:val="00992977"/>
    <w:rsid w:val="009937D4"/>
    <w:rsid w:val="00993C78"/>
    <w:rsid w:val="009948C7"/>
    <w:rsid w:val="00995850"/>
    <w:rsid w:val="00996404"/>
    <w:rsid w:val="0099796C"/>
    <w:rsid w:val="009A1EA2"/>
    <w:rsid w:val="009A209E"/>
    <w:rsid w:val="009A3FD7"/>
    <w:rsid w:val="009A6652"/>
    <w:rsid w:val="009A74FD"/>
    <w:rsid w:val="009B25D8"/>
    <w:rsid w:val="009B42E3"/>
    <w:rsid w:val="009B4B25"/>
    <w:rsid w:val="009B5859"/>
    <w:rsid w:val="009B6EBA"/>
    <w:rsid w:val="009C072F"/>
    <w:rsid w:val="009C6D07"/>
    <w:rsid w:val="009C7CEC"/>
    <w:rsid w:val="009D154D"/>
    <w:rsid w:val="009D18EF"/>
    <w:rsid w:val="009D3BE8"/>
    <w:rsid w:val="009D44E0"/>
    <w:rsid w:val="009D573B"/>
    <w:rsid w:val="009D59A0"/>
    <w:rsid w:val="009D716A"/>
    <w:rsid w:val="009D71A8"/>
    <w:rsid w:val="009D79D0"/>
    <w:rsid w:val="009E0646"/>
    <w:rsid w:val="009E1AC4"/>
    <w:rsid w:val="009E20B8"/>
    <w:rsid w:val="009E29A0"/>
    <w:rsid w:val="009E41B5"/>
    <w:rsid w:val="009E4AAD"/>
    <w:rsid w:val="009E55D7"/>
    <w:rsid w:val="009E627C"/>
    <w:rsid w:val="009F1498"/>
    <w:rsid w:val="009F1E9F"/>
    <w:rsid w:val="009F3793"/>
    <w:rsid w:val="009F54F2"/>
    <w:rsid w:val="009F5515"/>
    <w:rsid w:val="009F7C40"/>
    <w:rsid w:val="00A0056B"/>
    <w:rsid w:val="00A01657"/>
    <w:rsid w:val="00A016FC"/>
    <w:rsid w:val="00A01C65"/>
    <w:rsid w:val="00A0213D"/>
    <w:rsid w:val="00A04C73"/>
    <w:rsid w:val="00A0679A"/>
    <w:rsid w:val="00A073CC"/>
    <w:rsid w:val="00A07A2B"/>
    <w:rsid w:val="00A12375"/>
    <w:rsid w:val="00A125B8"/>
    <w:rsid w:val="00A13124"/>
    <w:rsid w:val="00A13EB1"/>
    <w:rsid w:val="00A15370"/>
    <w:rsid w:val="00A156AB"/>
    <w:rsid w:val="00A16B8D"/>
    <w:rsid w:val="00A21293"/>
    <w:rsid w:val="00A2134B"/>
    <w:rsid w:val="00A21623"/>
    <w:rsid w:val="00A220EB"/>
    <w:rsid w:val="00A22302"/>
    <w:rsid w:val="00A2303E"/>
    <w:rsid w:val="00A24000"/>
    <w:rsid w:val="00A24914"/>
    <w:rsid w:val="00A25F1B"/>
    <w:rsid w:val="00A314B7"/>
    <w:rsid w:val="00A325F3"/>
    <w:rsid w:val="00A33103"/>
    <w:rsid w:val="00A33294"/>
    <w:rsid w:val="00A335DF"/>
    <w:rsid w:val="00A35DCB"/>
    <w:rsid w:val="00A3690E"/>
    <w:rsid w:val="00A37751"/>
    <w:rsid w:val="00A406B1"/>
    <w:rsid w:val="00A4113E"/>
    <w:rsid w:val="00A438BA"/>
    <w:rsid w:val="00A446F2"/>
    <w:rsid w:val="00A446FD"/>
    <w:rsid w:val="00A46F46"/>
    <w:rsid w:val="00A52CB6"/>
    <w:rsid w:val="00A52F99"/>
    <w:rsid w:val="00A538BB"/>
    <w:rsid w:val="00A54164"/>
    <w:rsid w:val="00A56737"/>
    <w:rsid w:val="00A60002"/>
    <w:rsid w:val="00A603D8"/>
    <w:rsid w:val="00A60AE2"/>
    <w:rsid w:val="00A61834"/>
    <w:rsid w:val="00A618B0"/>
    <w:rsid w:val="00A62790"/>
    <w:rsid w:val="00A6291F"/>
    <w:rsid w:val="00A63F53"/>
    <w:rsid w:val="00A677B5"/>
    <w:rsid w:val="00A6792A"/>
    <w:rsid w:val="00A7176D"/>
    <w:rsid w:val="00A7218B"/>
    <w:rsid w:val="00A725BE"/>
    <w:rsid w:val="00A755B6"/>
    <w:rsid w:val="00A75B1A"/>
    <w:rsid w:val="00A80ED4"/>
    <w:rsid w:val="00A816C4"/>
    <w:rsid w:val="00A82981"/>
    <w:rsid w:val="00A86F10"/>
    <w:rsid w:val="00A87AF2"/>
    <w:rsid w:val="00A90B23"/>
    <w:rsid w:val="00A93C25"/>
    <w:rsid w:val="00A93C2B"/>
    <w:rsid w:val="00A95889"/>
    <w:rsid w:val="00A974CB"/>
    <w:rsid w:val="00A97AAD"/>
    <w:rsid w:val="00AA1EAC"/>
    <w:rsid w:val="00AA45E2"/>
    <w:rsid w:val="00AA7A4B"/>
    <w:rsid w:val="00AA7AC1"/>
    <w:rsid w:val="00AB6327"/>
    <w:rsid w:val="00AB6B8F"/>
    <w:rsid w:val="00AC0C65"/>
    <w:rsid w:val="00AC0FB2"/>
    <w:rsid w:val="00AC3721"/>
    <w:rsid w:val="00AC41C6"/>
    <w:rsid w:val="00AC4866"/>
    <w:rsid w:val="00AC70C7"/>
    <w:rsid w:val="00AC76B7"/>
    <w:rsid w:val="00AD123A"/>
    <w:rsid w:val="00AD15FF"/>
    <w:rsid w:val="00AD2920"/>
    <w:rsid w:val="00AD2CD5"/>
    <w:rsid w:val="00AD2DFC"/>
    <w:rsid w:val="00AD38C4"/>
    <w:rsid w:val="00AD5A4A"/>
    <w:rsid w:val="00AD60EE"/>
    <w:rsid w:val="00AD6A2B"/>
    <w:rsid w:val="00AD73D4"/>
    <w:rsid w:val="00AD7893"/>
    <w:rsid w:val="00AE1EA2"/>
    <w:rsid w:val="00AE2874"/>
    <w:rsid w:val="00AE2F98"/>
    <w:rsid w:val="00AE3602"/>
    <w:rsid w:val="00AE5342"/>
    <w:rsid w:val="00AE5987"/>
    <w:rsid w:val="00AE6472"/>
    <w:rsid w:val="00AF0168"/>
    <w:rsid w:val="00AF1345"/>
    <w:rsid w:val="00AF332A"/>
    <w:rsid w:val="00AF38A8"/>
    <w:rsid w:val="00AF3E56"/>
    <w:rsid w:val="00AF513B"/>
    <w:rsid w:val="00AF63EB"/>
    <w:rsid w:val="00B016D2"/>
    <w:rsid w:val="00B018EC"/>
    <w:rsid w:val="00B0324B"/>
    <w:rsid w:val="00B060C7"/>
    <w:rsid w:val="00B11AB7"/>
    <w:rsid w:val="00B11DF4"/>
    <w:rsid w:val="00B12213"/>
    <w:rsid w:val="00B13710"/>
    <w:rsid w:val="00B22044"/>
    <w:rsid w:val="00B22881"/>
    <w:rsid w:val="00B22F8B"/>
    <w:rsid w:val="00B23EFC"/>
    <w:rsid w:val="00B24B72"/>
    <w:rsid w:val="00B25DB8"/>
    <w:rsid w:val="00B2656C"/>
    <w:rsid w:val="00B266E6"/>
    <w:rsid w:val="00B3094D"/>
    <w:rsid w:val="00B30B04"/>
    <w:rsid w:val="00B311BC"/>
    <w:rsid w:val="00B31C10"/>
    <w:rsid w:val="00B33592"/>
    <w:rsid w:val="00B3446D"/>
    <w:rsid w:val="00B34652"/>
    <w:rsid w:val="00B34F89"/>
    <w:rsid w:val="00B358C8"/>
    <w:rsid w:val="00B36185"/>
    <w:rsid w:val="00B3662F"/>
    <w:rsid w:val="00B373CD"/>
    <w:rsid w:val="00B377C8"/>
    <w:rsid w:val="00B400B8"/>
    <w:rsid w:val="00B404DE"/>
    <w:rsid w:val="00B40765"/>
    <w:rsid w:val="00B4232D"/>
    <w:rsid w:val="00B42682"/>
    <w:rsid w:val="00B43065"/>
    <w:rsid w:val="00B4434B"/>
    <w:rsid w:val="00B44784"/>
    <w:rsid w:val="00B449D0"/>
    <w:rsid w:val="00B44FC4"/>
    <w:rsid w:val="00B456AB"/>
    <w:rsid w:val="00B46399"/>
    <w:rsid w:val="00B47E8B"/>
    <w:rsid w:val="00B50F60"/>
    <w:rsid w:val="00B51C67"/>
    <w:rsid w:val="00B53F86"/>
    <w:rsid w:val="00B53FDC"/>
    <w:rsid w:val="00B55431"/>
    <w:rsid w:val="00B55CAE"/>
    <w:rsid w:val="00B56407"/>
    <w:rsid w:val="00B576C6"/>
    <w:rsid w:val="00B6029E"/>
    <w:rsid w:val="00B615F2"/>
    <w:rsid w:val="00B61A28"/>
    <w:rsid w:val="00B62DCA"/>
    <w:rsid w:val="00B66B06"/>
    <w:rsid w:val="00B66CF3"/>
    <w:rsid w:val="00B67862"/>
    <w:rsid w:val="00B70634"/>
    <w:rsid w:val="00B70BE4"/>
    <w:rsid w:val="00B71FCB"/>
    <w:rsid w:val="00B73880"/>
    <w:rsid w:val="00B73985"/>
    <w:rsid w:val="00B73B96"/>
    <w:rsid w:val="00B73CF1"/>
    <w:rsid w:val="00B745B3"/>
    <w:rsid w:val="00B750A4"/>
    <w:rsid w:val="00B7599D"/>
    <w:rsid w:val="00B7648F"/>
    <w:rsid w:val="00B76E13"/>
    <w:rsid w:val="00B771EE"/>
    <w:rsid w:val="00B7765B"/>
    <w:rsid w:val="00B77B4B"/>
    <w:rsid w:val="00B77EB1"/>
    <w:rsid w:val="00B80ABC"/>
    <w:rsid w:val="00B814C2"/>
    <w:rsid w:val="00B81D70"/>
    <w:rsid w:val="00B8597A"/>
    <w:rsid w:val="00B900FE"/>
    <w:rsid w:val="00B9064C"/>
    <w:rsid w:val="00B91BE5"/>
    <w:rsid w:val="00B978D6"/>
    <w:rsid w:val="00BA0A14"/>
    <w:rsid w:val="00BA19C6"/>
    <w:rsid w:val="00BA398D"/>
    <w:rsid w:val="00BA39D3"/>
    <w:rsid w:val="00BA4532"/>
    <w:rsid w:val="00BA5C56"/>
    <w:rsid w:val="00BA776F"/>
    <w:rsid w:val="00BB0C0D"/>
    <w:rsid w:val="00BB0D69"/>
    <w:rsid w:val="00BB366E"/>
    <w:rsid w:val="00BB3AF0"/>
    <w:rsid w:val="00BB4ED3"/>
    <w:rsid w:val="00BB4F70"/>
    <w:rsid w:val="00BB67FF"/>
    <w:rsid w:val="00BC0B9E"/>
    <w:rsid w:val="00BC11B9"/>
    <w:rsid w:val="00BC138C"/>
    <w:rsid w:val="00BC14CF"/>
    <w:rsid w:val="00BC1659"/>
    <w:rsid w:val="00BC220D"/>
    <w:rsid w:val="00BC2C91"/>
    <w:rsid w:val="00BC3A9C"/>
    <w:rsid w:val="00BC5288"/>
    <w:rsid w:val="00BC6A71"/>
    <w:rsid w:val="00BC6B2F"/>
    <w:rsid w:val="00BD0637"/>
    <w:rsid w:val="00BD08A8"/>
    <w:rsid w:val="00BD1BAC"/>
    <w:rsid w:val="00BD2374"/>
    <w:rsid w:val="00BD25A6"/>
    <w:rsid w:val="00BD4961"/>
    <w:rsid w:val="00BD4C95"/>
    <w:rsid w:val="00BD6424"/>
    <w:rsid w:val="00BD65FC"/>
    <w:rsid w:val="00BD71F1"/>
    <w:rsid w:val="00BD7660"/>
    <w:rsid w:val="00BE0666"/>
    <w:rsid w:val="00BE0CC7"/>
    <w:rsid w:val="00BE1B4B"/>
    <w:rsid w:val="00BE24B9"/>
    <w:rsid w:val="00BE296F"/>
    <w:rsid w:val="00BE2AE8"/>
    <w:rsid w:val="00BE2D55"/>
    <w:rsid w:val="00BE38DD"/>
    <w:rsid w:val="00BE4AB1"/>
    <w:rsid w:val="00BE6082"/>
    <w:rsid w:val="00BF06C4"/>
    <w:rsid w:val="00BF16C3"/>
    <w:rsid w:val="00BF38E0"/>
    <w:rsid w:val="00BF44FA"/>
    <w:rsid w:val="00BF57E1"/>
    <w:rsid w:val="00C00A5F"/>
    <w:rsid w:val="00C042E0"/>
    <w:rsid w:val="00C051D9"/>
    <w:rsid w:val="00C06333"/>
    <w:rsid w:val="00C06F68"/>
    <w:rsid w:val="00C075BA"/>
    <w:rsid w:val="00C10A3A"/>
    <w:rsid w:val="00C11E20"/>
    <w:rsid w:val="00C14D07"/>
    <w:rsid w:val="00C15D16"/>
    <w:rsid w:val="00C16DF9"/>
    <w:rsid w:val="00C17DF9"/>
    <w:rsid w:val="00C20015"/>
    <w:rsid w:val="00C247DD"/>
    <w:rsid w:val="00C25B43"/>
    <w:rsid w:val="00C26A54"/>
    <w:rsid w:val="00C3261C"/>
    <w:rsid w:val="00C3318B"/>
    <w:rsid w:val="00C334CA"/>
    <w:rsid w:val="00C33C20"/>
    <w:rsid w:val="00C34014"/>
    <w:rsid w:val="00C34A41"/>
    <w:rsid w:val="00C35362"/>
    <w:rsid w:val="00C357EA"/>
    <w:rsid w:val="00C35EE3"/>
    <w:rsid w:val="00C3662B"/>
    <w:rsid w:val="00C379F8"/>
    <w:rsid w:val="00C37A1C"/>
    <w:rsid w:val="00C4316E"/>
    <w:rsid w:val="00C431A3"/>
    <w:rsid w:val="00C453A9"/>
    <w:rsid w:val="00C465D5"/>
    <w:rsid w:val="00C472A7"/>
    <w:rsid w:val="00C4756A"/>
    <w:rsid w:val="00C47C39"/>
    <w:rsid w:val="00C50649"/>
    <w:rsid w:val="00C50E1F"/>
    <w:rsid w:val="00C51C09"/>
    <w:rsid w:val="00C52BB6"/>
    <w:rsid w:val="00C53471"/>
    <w:rsid w:val="00C55143"/>
    <w:rsid w:val="00C5611B"/>
    <w:rsid w:val="00C5695E"/>
    <w:rsid w:val="00C569DC"/>
    <w:rsid w:val="00C606B3"/>
    <w:rsid w:val="00C61528"/>
    <w:rsid w:val="00C61554"/>
    <w:rsid w:val="00C626EE"/>
    <w:rsid w:val="00C63457"/>
    <w:rsid w:val="00C63C8C"/>
    <w:rsid w:val="00C64964"/>
    <w:rsid w:val="00C67473"/>
    <w:rsid w:val="00C67AA4"/>
    <w:rsid w:val="00C7148C"/>
    <w:rsid w:val="00C7149B"/>
    <w:rsid w:val="00C72192"/>
    <w:rsid w:val="00C732E5"/>
    <w:rsid w:val="00C73D0B"/>
    <w:rsid w:val="00C75017"/>
    <w:rsid w:val="00C75A6F"/>
    <w:rsid w:val="00C765B4"/>
    <w:rsid w:val="00C813EA"/>
    <w:rsid w:val="00C81490"/>
    <w:rsid w:val="00C81496"/>
    <w:rsid w:val="00C82CE6"/>
    <w:rsid w:val="00C85144"/>
    <w:rsid w:val="00C86A27"/>
    <w:rsid w:val="00C90B2C"/>
    <w:rsid w:val="00C90FAF"/>
    <w:rsid w:val="00C91517"/>
    <w:rsid w:val="00C929BD"/>
    <w:rsid w:val="00C931A2"/>
    <w:rsid w:val="00CA02E1"/>
    <w:rsid w:val="00CA1384"/>
    <w:rsid w:val="00CA15DA"/>
    <w:rsid w:val="00CA16FA"/>
    <w:rsid w:val="00CA224E"/>
    <w:rsid w:val="00CA41C5"/>
    <w:rsid w:val="00CA4A53"/>
    <w:rsid w:val="00CA51F5"/>
    <w:rsid w:val="00CA7738"/>
    <w:rsid w:val="00CA7D21"/>
    <w:rsid w:val="00CB0305"/>
    <w:rsid w:val="00CB218A"/>
    <w:rsid w:val="00CB225A"/>
    <w:rsid w:val="00CB4363"/>
    <w:rsid w:val="00CB4EC4"/>
    <w:rsid w:val="00CB69E6"/>
    <w:rsid w:val="00CB74F0"/>
    <w:rsid w:val="00CB761B"/>
    <w:rsid w:val="00CC135E"/>
    <w:rsid w:val="00CC13DF"/>
    <w:rsid w:val="00CC1EEE"/>
    <w:rsid w:val="00CC4785"/>
    <w:rsid w:val="00CC54D3"/>
    <w:rsid w:val="00CC562B"/>
    <w:rsid w:val="00CC6C15"/>
    <w:rsid w:val="00CC7FCF"/>
    <w:rsid w:val="00CD0FAB"/>
    <w:rsid w:val="00CD2749"/>
    <w:rsid w:val="00CD2A60"/>
    <w:rsid w:val="00CD306F"/>
    <w:rsid w:val="00CD3971"/>
    <w:rsid w:val="00CD3DAB"/>
    <w:rsid w:val="00CD4581"/>
    <w:rsid w:val="00CE0DF1"/>
    <w:rsid w:val="00CE2B53"/>
    <w:rsid w:val="00CE35D4"/>
    <w:rsid w:val="00CE3786"/>
    <w:rsid w:val="00CE4027"/>
    <w:rsid w:val="00CE47CC"/>
    <w:rsid w:val="00CE5D0F"/>
    <w:rsid w:val="00CE68F6"/>
    <w:rsid w:val="00CE7E27"/>
    <w:rsid w:val="00CF22AC"/>
    <w:rsid w:val="00CF2F0A"/>
    <w:rsid w:val="00CF79E8"/>
    <w:rsid w:val="00D015AA"/>
    <w:rsid w:val="00D03D90"/>
    <w:rsid w:val="00D04024"/>
    <w:rsid w:val="00D043EB"/>
    <w:rsid w:val="00D06705"/>
    <w:rsid w:val="00D06A9B"/>
    <w:rsid w:val="00D0750D"/>
    <w:rsid w:val="00D07DD8"/>
    <w:rsid w:val="00D1038F"/>
    <w:rsid w:val="00D10BF7"/>
    <w:rsid w:val="00D10FEB"/>
    <w:rsid w:val="00D140A0"/>
    <w:rsid w:val="00D203D1"/>
    <w:rsid w:val="00D2057A"/>
    <w:rsid w:val="00D2317F"/>
    <w:rsid w:val="00D231A9"/>
    <w:rsid w:val="00D24391"/>
    <w:rsid w:val="00D2472B"/>
    <w:rsid w:val="00D253DD"/>
    <w:rsid w:val="00D26FFA"/>
    <w:rsid w:val="00D3215D"/>
    <w:rsid w:val="00D32F7E"/>
    <w:rsid w:val="00D33352"/>
    <w:rsid w:val="00D347D9"/>
    <w:rsid w:val="00D35565"/>
    <w:rsid w:val="00D36A19"/>
    <w:rsid w:val="00D37D97"/>
    <w:rsid w:val="00D40396"/>
    <w:rsid w:val="00D40DCF"/>
    <w:rsid w:val="00D41075"/>
    <w:rsid w:val="00D41C76"/>
    <w:rsid w:val="00D41DD8"/>
    <w:rsid w:val="00D4222C"/>
    <w:rsid w:val="00D425CE"/>
    <w:rsid w:val="00D42F40"/>
    <w:rsid w:val="00D43668"/>
    <w:rsid w:val="00D4396C"/>
    <w:rsid w:val="00D4446F"/>
    <w:rsid w:val="00D44B55"/>
    <w:rsid w:val="00D45490"/>
    <w:rsid w:val="00D457B8"/>
    <w:rsid w:val="00D457E1"/>
    <w:rsid w:val="00D46FCD"/>
    <w:rsid w:val="00D47BEB"/>
    <w:rsid w:val="00D50487"/>
    <w:rsid w:val="00D50563"/>
    <w:rsid w:val="00D50F50"/>
    <w:rsid w:val="00D51311"/>
    <w:rsid w:val="00D5235F"/>
    <w:rsid w:val="00D52F50"/>
    <w:rsid w:val="00D55799"/>
    <w:rsid w:val="00D55A98"/>
    <w:rsid w:val="00D56B49"/>
    <w:rsid w:val="00D6053F"/>
    <w:rsid w:val="00D6073D"/>
    <w:rsid w:val="00D61629"/>
    <w:rsid w:val="00D618D6"/>
    <w:rsid w:val="00D62426"/>
    <w:rsid w:val="00D62804"/>
    <w:rsid w:val="00D62B6D"/>
    <w:rsid w:val="00D62F73"/>
    <w:rsid w:val="00D65964"/>
    <w:rsid w:val="00D6607B"/>
    <w:rsid w:val="00D67225"/>
    <w:rsid w:val="00D70F55"/>
    <w:rsid w:val="00D70FA5"/>
    <w:rsid w:val="00D733BB"/>
    <w:rsid w:val="00D73BB8"/>
    <w:rsid w:val="00D74171"/>
    <w:rsid w:val="00D757DB"/>
    <w:rsid w:val="00D8032C"/>
    <w:rsid w:val="00D80CE2"/>
    <w:rsid w:val="00D83080"/>
    <w:rsid w:val="00D84D5F"/>
    <w:rsid w:val="00D851E2"/>
    <w:rsid w:val="00D87FFA"/>
    <w:rsid w:val="00D91419"/>
    <w:rsid w:val="00D92D2A"/>
    <w:rsid w:val="00D92EEC"/>
    <w:rsid w:val="00D93470"/>
    <w:rsid w:val="00D9395F"/>
    <w:rsid w:val="00D93D55"/>
    <w:rsid w:val="00D941FA"/>
    <w:rsid w:val="00D94B59"/>
    <w:rsid w:val="00D95315"/>
    <w:rsid w:val="00D95EAB"/>
    <w:rsid w:val="00D962AF"/>
    <w:rsid w:val="00DA0B39"/>
    <w:rsid w:val="00DA0E85"/>
    <w:rsid w:val="00DA1203"/>
    <w:rsid w:val="00DA2316"/>
    <w:rsid w:val="00DA25E0"/>
    <w:rsid w:val="00DA2700"/>
    <w:rsid w:val="00DA3C5D"/>
    <w:rsid w:val="00DA3EFF"/>
    <w:rsid w:val="00DA7769"/>
    <w:rsid w:val="00DB08C6"/>
    <w:rsid w:val="00DB14E0"/>
    <w:rsid w:val="00DB1BC2"/>
    <w:rsid w:val="00DB1CBB"/>
    <w:rsid w:val="00DB31ED"/>
    <w:rsid w:val="00DB4124"/>
    <w:rsid w:val="00DB4511"/>
    <w:rsid w:val="00DB4F0C"/>
    <w:rsid w:val="00DB63F5"/>
    <w:rsid w:val="00DB7E9D"/>
    <w:rsid w:val="00DC0176"/>
    <w:rsid w:val="00DC043F"/>
    <w:rsid w:val="00DC093E"/>
    <w:rsid w:val="00DC0E29"/>
    <w:rsid w:val="00DC0E7A"/>
    <w:rsid w:val="00DC2A65"/>
    <w:rsid w:val="00DC2A86"/>
    <w:rsid w:val="00DC3631"/>
    <w:rsid w:val="00DC37F7"/>
    <w:rsid w:val="00DC4F0A"/>
    <w:rsid w:val="00DC6377"/>
    <w:rsid w:val="00DC6F54"/>
    <w:rsid w:val="00DC7E49"/>
    <w:rsid w:val="00DD0C00"/>
    <w:rsid w:val="00DD0F8C"/>
    <w:rsid w:val="00DD116C"/>
    <w:rsid w:val="00DD1CD5"/>
    <w:rsid w:val="00DD23D5"/>
    <w:rsid w:val="00DD2AF1"/>
    <w:rsid w:val="00DD4070"/>
    <w:rsid w:val="00DD4246"/>
    <w:rsid w:val="00DD46DA"/>
    <w:rsid w:val="00DD6072"/>
    <w:rsid w:val="00DD62BE"/>
    <w:rsid w:val="00DD77D9"/>
    <w:rsid w:val="00DD7CA4"/>
    <w:rsid w:val="00DE167C"/>
    <w:rsid w:val="00DE309C"/>
    <w:rsid w:val="00DE3B70"/>
    <w:rsid w:val="00DE5813"/>
    <w:rsid w:val="00DF1FDA"/>
    <w:rsid w:val="00DF3360"/>
    <w:rsid w:val="00DF3717"/>
    <w:rsid w:val="00DF3DD0"/>
    <w:rsid w:val="00DF4D50"/>
    <w:rsid w:val="00DF538C"/>
    <w:rsid w:val="00E021C2"/>
    <w:rsid w:val="00E024A3"/>
    <w:rsid w:val="00E039E3"/>
    <w:rsid w:val="00E0423D"/>
    <w:rsid w:val="00E057B5"/>
    <w:rsid w:val="00E0581E"/>
    <w:rsid w:val="00E079C5"/>
    <w:rsid w:val="00E07CBD"/>
    <w:rsid w:val="00E07F56"/>
    <w:rsid w:val="00E1112F"/>
    <w:rsid w:val="00E11899"/>
    <w:rsid w:val="00E1318F"/>
    <w:rsid w:val="00E1395D"/>
    <w:rsid w:val="00E13B3B"/>
    <w:rsid w:val="00E13E29"/>
    <w:rsid w:val="00E15E05"/>
    <w:rsid w:val="00E16857"/>
    <w:rsid w:val="00E17D48"/>
    <w:rsid w:val="00E20651"/>
    <w:rsid w:val="00E2107C"/>
    <w:rsid w:val="00E21726"/>
    <w:rsid w:val="00E21E70"/>
    <w:rsid w:val="00E224DE"/>
    <w:rsid w:val="00E23DCE"/>
    <w:rsid w:val="00E26363"/>
    <w:rsid w:val="00E272A4"/>
    <w:rsid w:val="00E305F9"/>
    <w:rsid w:val="00E306AC"/>
    <w:rsid w:val="00E34446"/>
    <w:rsid w:val="00E34456"/>
    <w:rsid w:val="00E3633B"/>
    <w:rsid w:val="00E36870"/>
    <w:rsid w:val="00E374E1"/>
    <w:rsid w:val="00E417AB"/>
    <w:rsid w:val="00E43D48"/>
    <w:rsid w:val="00E4542D"/>
    <w:rsid w:val="00E45BE0"/>
    <w:rsid w:val="00E46CAD"/>
    <w:rsid w:val="00E47521"/>
    <w:rsid w:val="00E4760C"/>
    <w:rsid w:val="00E507A6"/>
    <w:rsid w:val="00E5330B"/>
    <w:rsid w:val="00E561AD"/>
    <w:rsid w:val="00E5739D"/>
    <w:rsid w:val="00E57F77"/>
    <w:rsid w:val="00E57FAF"/>
    <w:rsid w:val="00E60969"/>
    <w:rsid w:val="00E60BA9"/>
    <w:rsid w:val="00E63510"/>
    <w:rsid w:val="00E635EA"/>
    <w:rsid w:val="00E65035"/>
    <w:rsid w:val="00E655E5"/>
    <w:rsid w:val="00E65F4E"/>
    <w:rsid w:val="00E662E0"/>
    <w:rsid w:val="00E70D74"/>
    <w:rsid w:val="00E71C7A"/>
    <w:rsid w:val="00E73119"/>
    <w:rsid w:val="00E73E1E"/>
    <w:rsid w:val="00E767FF"/>
    <w:rsid w:val="00E76F01"/>
    <w:rsid w:val="00E82E2E"/>
    <w:rsid w:val="00E840AE"/>
    <w:rsid w:val="00E84C91"/>
    <w:rsid w:val="00E8556E"/>
    <w:rsid w:val="00E8631C"/>
    <w:rsid w:val="00E86B2D"/>
    <w:rsid w:val="00E86F4D"/>
    <w:rsid w:val="00E87D08"/>
    <w:rsid w:val="00E90D0E"/>
    <w:rsid w:val="00E91B2D"/>
    <w:rsid w:val="00E92FCA"/>
    <w:rsid w:val="00E95CAA"/>
    <w:rsid w:val="00E962B3"/>
    <w:rsid w:val="00E97774"/>
    <w:rsid w:val="00EA0A39"/>
    <w:rsid w:val="00EA0EB2"/>
    <w:rsid w:val="00EA236F"/>
    <w:rsid w:val="00EA3023"/>
    <w:rsid w:val="00EA3E49"/>
    <w:rsid w:val="00EA3FC8"/>
    <w:rsid w:val="00EB0DC9"/>
    <w:rsid w:val="00EB1C5D"/>
    <w:rsid w:val="00EB252D"/>
    <w:rsid w:val="00EB29FA"/>
    <w:rsid w:val="00EB2CCE"/>
    <w:rsid w:val="00EB385F"/>
    <w:rsid w:val="00EB3E49"/>
    <w:rsid w:val="00EB5FC3"/>
    <w:rsid w:val="00EB63B3"/>
    <w:rsid w:val="00EB6DA9"/>
    <w:rsid w:val="00EC1561"/>
    <w:rsid w:val="00EC462E"/>
    <w:rsid w:val="00EC6CD8"/>
    <w:rsid w:val="00EC786F"/>
    <w:rsid w:val="00ED1866"/>
    <w:rsid w:val="00ED3134"/>
    <w:rsid w:val="00ED38E2"/>
    <w:rsid w:val="00ED5C44"/>
    <w:rsid w:val="00ED635B"/>
    <w:rsid w:val="00ED6763"/>
    <w:rsid w:val="00ED6A41"/>
    <w:rsid w:val="00ED7B3C"/>
    <w:rsid w:val="00EE2791"/>
    <w:rsid w:val="00EE2B78"/>
    <w:rsid w:val="00EF0A22"/>
    <w:rsid w:val="00EF1267"/>
    <w:rsid w:val="00EF180C"/>
    <w:rsid w:val="00EF239A"/>
    <w:rsid w:val="00EF3495"/>
    <w:rsid w:val="00EF3B6B"/>
    <w:rsid w:val="00EF4B43"/>
    <w:rsid w:val="00EF55E8"/>
    <w:rsid w:val="00EF6750"/>
    <w:rsid w:val="00EF7131"/>
    <w:rsid w:val="00EF770B"/>
    <w:rsid w:val="00F02E93"/>
    <w:rsid w:val="00F02FB5"/>
    <w:rsid w:val="00F05C30"/>
    <w:rsid w:val="00F10F1B"/>
    <w:rsid w:val="00F14179"/>
    <w:rsid w:val="00F15786"/>
    <w:rsid w:val="00F167C5"/>
    <w:rsid w:val="00F170D0"/>
    <w:rsid w:val="00F20B5A"/>
    <w:rsid w:val="00F21F0B"/>
    <w:rsid w:val="00F22F08"/>
    <w:rsid w:val="00F236AB"/>
    <w:rsid w:val="00F24C49"/>
    <w:rsid w:val="00F24EA4"/>
    <w:rsid w:val="00F27087"/>
    <w:rsid w:val="00F2773C"/>
    <w:rsid w:val="00F300B3"/>
    <w:rsid w:val="00F30DB9"/>
    <w:rsid w:val="00F30FB8"/>
    <w:rsid w:val="00F31D68"/>
    <w:rsid w:val="00F33152"/>
    <w:rsid w:val="00F338F2"/>
    <w:rsid w:val="00F349D3"/>
    <w:rsid w:val="00F3533E"/>
    <w:rsid w:val="00F35B84"/>
    <w:rsid w:val="00F402B5"/>
    <w:rsid w:val="00F4072F"/>
    <w:rsid w:val="00F42839"/>
    <w:rsid w:val="00F43AB7"/>
    <w:rsid w:val="00F444FF"/>
    <w:rsid w:val="00F44CC0"/>
    <w:rsid w:val="00F450BA"/>
    <w:rsid w:val="00F454C8"/>
    <w:rsid w:val="00F46366"/>
    <w:rsid w:val="00F4684B"/>
    <w:rsid w:val="00F46BE9"/>
    <w:rsid w:val="00F47C3B"/>
    <w:rsid w:val="00F506CA"/>
    <w:rsid w:val="00F532F3"/>
    <w:rsid w:val="00F53A7A"/>
    <w:rsid w:val="00F54FCD"/>
    <w:rsid w:val="00F5785C"/>
    <w:rsid w:val="00F61A5F"/>
    <w:rsid w:val="00F641AA"/>
    <w:rsid w:val="00F67076"/>
    <w:rsid w:val="00F677FA"/>
    <w:rsid w:val="00F7115A"/>
    <w:rsid w:val="00F717AA"/>
    <w:rsid w:val="00F72714"/>
    <w:rsid w:val="00F744C3"/>
    <w:rsid w:val="00F75B10"/>
    <w:rsid w:val="00F75EE2"/>
    <w:rsid w:val="00F75F69"/>
    <w:rsid w:val="00F802D3"/>
    <w:rsid w:val="00F80F94"/>
    <w:rsid w:val="00F81BA2"/>
    <w:rsid w:val="00F8412F"/>
    <w:rsid w:val="00F84416"/>
    <w:rsid w:val="00F84791"/>
    <w:rsid w:val="00F85995"/>
    <w:rsid w:val="00F85FC5"/>
    <w:rsid w:val="00F86C22"/>
    <w:rsid w:val="00F90CB3"/>
    <w:rsid w:val="00F912A2"/>
    <w:rsid w:val="00F913A3"/>
    <w:rsid w:val="00F925C3"/>
    <w:rsid w:val="00F965D1"/>
    <w:rsid w:val="00FA0109"/>
    <w:rsid w:val="00FA18A4"/>
    <w:rsid w:val="00FA28ED"/>
    <w:rsid w:val="00FA3948"/>
    <w:rsid w:val="00FA458B"/>
    <w:rsid w:val="00FA5EC5"/>
    <w:rsid w:val="00FA7016"/>
    <w:rsid w:val="00FA793D"/>
    <w:rsid w:val="00FA7A0B"/>
    <w:rsid w:val="00FB020E"/>
    <w:rsid w:val="00FB1B5C"/>
    <w:rsid w:val="00FB2496"/>
    <w:rsid w:val="00FB4B9D"/>
    <w:rsid w:val="00FB50ED"/>
    <w:rsid w:val="00FC144B"/>
    <w:rsid w:val="00FC199A"/>
    <w:rsid w:val="00FC2169"/>
    <w:rsid w:val="00FC28E2"/>
    <w:rsid w:val="00FC31AA"/>
    <w:rsid w:val="00FC3BF6"/>
    <w:rsid w:val="00FC3D22"/>
    <w:rsid w:val="00FC6FE1"/>
    <w:rsid w:val="00FC7FCC"/>
    <w:rsid w:val="00FD2F6B"/>
    <w:rsid w:val="00FD347B"/>
    <w:rsid w:val="00FE064A"/>
    <w:rsid w:val="00FE0B55"/>
    <w:rsid w:val="00FE1E98"/>
    <w:rsid w:val="00FE2452"/>
    <w:rsid w:val="00FE5469"/>
    <w:rsid w:val="00FE66C2"/>
    <w:rsid w:val="00FE684A"/>
    <w:rsid w:val="00FE6F23"/>
    <w:rsid w:val="00FE6F83"/>
    <w:rsid w:val="00FF0F8C"/>
    <w:rsid w:val="00FF2F87"/>
    <w:rsid w:val="00FF408B"/>
    <w:rsid w:val="00FF43E1"/>
    <w:rsid w:val="0136557F"/>
    <w:rsid w:val="01D335C9"/>
    <w:rsid w:val="02337D11"/>
    <w:rsid w:val="02AE1CF3"/>
    <w:rsid w:val="02EC3322"/>
    <w:rsid w:val="030F42DA"/>
    <w:rsid w:val="03430854"/>
    <w:rsid w:val="039F5FA6"/>
    <w:rsid w:val="064918B1"/>
    <w:rsid w:val="06584053"/>
    <w:rsid w:val="066B5CCB"/>
    <w:rsid w:val="083D5445"/>
    <w:rsid w:val="086F1377"/>
    <w:rsid w:val="08EB6C4F"/>
    <w:rsid w:val="08F318AB"/>
    <w:rsid w:val="09305ADA"/>
    <w:rsid w:val="09AD65FB"/>
    <w:rsid w:val="0A195A3E"/>
    <w:rsid w:val="0AE227BC"/>
    <w:rsid w:val="0B0E30C9"/>
    <w:rsid w:val="0B3D21DC"/>
    <w:rsid w:val="0C3C5A14"/>
    <w:rsid w:val="0CD24064"/>
    <w:rsid w:val="0E323572"/>
    <w:rsid w:val="0E8013B7"/>
    <w:rsid w:val="0E8F4521"/>
    <w:rsid w:val="0F296723"/>
    <w:rsid w:val="0F360E40"/>
    <w:rsid w:val="0F8E6586"/>
    <w:rsid w:val="0FC30926"/>
    <w:rsid w:val="0FF24D67"/>
    <w:rsid w:val="10280789"/>
    <w:rsid w:val="10507CE0"/>
    <w:rsid w:val="10A06571"/>
    <w:rsid w:val="10B71B0D"/>
    <w:rsid w:val="10D604C6"/>
    <w:rsid w:val="113373E5"/>
    <w:rsid w:val="1142587A"/>
    <w:rsid w:val="114E06C3"/>
    <w:rsid w:val="115A0E16"/>
    <w:rsid w:val="11B515E0"/>
    <w:rsid w:val="12486037"/>
    <w:rsid w:val="126E28F7"/>
    <w:rsid w:val="13315BA7"/>
    <w:rsid w:val="13A53267"/>
    <w:rsid w:val="13F970D2"/>
    <w:rsid w:val="143811B7"/>
    <w:rsid w:val="14AA4136"/>
    <w:rsid w:val="14EF25C3"/>
    <w:rsid w:val="15086DDB"/>
    <w:rsid w:val="152D05F0"/>
    <w:rsid w:val="155C74FE"/>
    <w:rsid w:val="15C9656A"/>
    <w:rsid w:val="163A420B"/>
    <w:rsid w:val="16414353"/>
    <w:rsid w:val="165322D8"/>
    <w:rsid w:val="166C68CC"/>
    <w:rsid w:val="18534811"/>
    <w:rsid w:val="185C36C6"/>
    <w:rsid w:val="19413B26"/>
    <w:rsid w:val="1AB62E35"/>
    <w:rsid w:val="1C6D3688"/>
    <w:rsid w:val="1CC63D0A"/>
    <w:rsid w:val="1CCB0E1A"/>
    <w:rsid w:val="1D2F75FB"/>
    <w:rsid w:val="1D3D6242"/>
    <w:rsid w:val="1D70376F"/>
    <w:rsid w:val="1D854AFC"/>
    <w:rsid w:val="1DC2081A"/>
    <w:rsid w:val="1DD94266"/>
    <w:rsid w:val="1E4A3FC0"/>
    <w:rsid w:val="1E62755C"/>
    <w:rsid w:val="1F1F71FB"/>
    <w:rsid w:val="1F8B663F"/>
    <w:rsid w:val="1F9D0947"/>
    <w:rsid w:val="1FFB29C6"/>
    <w:rsid w:val="204333BD"/>
    <w:rsid w:val="20452C91"/>
    <w:rsid w:val="20847C5E"/>
    <w:rsid w:val="21BA76AF"/>
    <w:rsid w:val="22AA3280"/>
    <w:rsid w:val="22AF3620"/>
    <w:rsid w:val="22B67E76"/>
    <w:rsid w:val="22E70AD4"/>
    <w:rsid w:val="23052AE6"/>
    <w:rsid w:val="24170DE9"/>
    <w:rsid w:val="24F1508D"/>
    <w:rsid w:val="25A91F14"/>
    <w:rsid w:val="25E66CC5"/>
    <w:rsid w:val="262477ED"/>
    <w:rsid w:val="266F634F"/>
    <w:rsid w:val="26722306"/>
    <w:rsid w:val="26D62895"/>
    <w:rsid w:val="27D56FF1"/>
    <w:rsid w:val="28EF40E2"/>
    <w:rsid w:val="291059EA"/>
    <w:rsid w:val="2945649F"/>
    <w:rsid w:val="295960E8"/>
    <w:rsid w:val="2A070FB7"/>
    <w:rsid w:val="2A353D77"/>
    <w:rsid w:val="2A377AEF"/>
    <w:rsid w:val="2BBF12EC"/>
    <w:rsid w:val="2BC649D9"/>
    <w:rsid w:val="2BC86DAF"/>
    <w:rsid w:val="2C097269"/>
    <w:rsid w:val="2C690134"/>
    <w:rsid w:val="2D177764"/>
    <w:rsid w:val="2F2A7C22"/>
    <w:rsid w:val="2F2E6FE6"/>
    <w:rsid w:val="2F3362F4"/>
    <w:rsid w:val="2FC17E5A"/>
    <w:rsid w:val="2FF855AB"/>
    <w:rsid w:val="30000983"/>
    <w:rsid w:val="30B63B13"/>
    <w:rsid w:val="30C80FA5"/>
    <w:rsid w:val="30DD51B7"/>
    <w:rsid w:val="31434EDB"/>
    <w:rsid w:val="31C3610C"/>
    <w:rsid w:val="33434EF2"/>
    <w:rsid w:val="34B65AB4"/>
    <w:rsid w:val="34C71A6F"/>
    <w:rsid w:val="34C77CC1"/>
    <w:rsid w:val="3515160D"/>
    <w:rsid w:val="35577297"/>
    <w:rsid w:val="355F7EFA"/>
    <w:rsid w:val="35610116"/>
    <w:rsid w:val="363F1909"/>
    <w:rsid w:val="38066D52"/>
    <w:rsid w:val="38575A59"/>
    <w:rsid w:val="389759D7"/>
    <w:rsid w:val="38A5656B"/>
    <w:rsid w:val="38CC3AF8"/>
    <w:rsid w:val="3C3B5748"/>
    <w:rsid w:val="3C7D00D8"/>
    <w:rsid w:val="3CA06C0C"/>
    <w:rsid w:val="3DBF00CF"/>
    <w:rsid w:val="3DCB25D0"/>
    <w:rsid w:val="3E970704"/>
    <w:rsid w:val="3EA25851"/>
    <w:rsid w:val="3F632CDC"/>
    <w:rsid w:val="3F6C3757"/>
    <w:rsid w:val="3F7E18C4"/>
    <w:rsid w:val="3F8A346A"/>
    <w:rsid w:val="40100373"/>
    <w:rsid w:val="405D6A10"/>
    <w:rsid w:val="40BC6B48"/>
    <w:rsid w:val="40FB7211"/>
    <w:rsid w:val="41C461C4"/>
    <w:rsid w:val="41DA6594"/>
    <w:rsid w:val="421B789E"/>
    <w:rsid w:val="425F59DD"/>
    <w:rsid w:val="42931F3C"/>
    <w:rsid w:val="42DC527F"/>
    <w:rsid w:val="43471D22"/>
    <w:rsid w:val="43996CCD"/>
    <w:rsid w:val="444C1A75"/>
    <w:rsid w:val="44A3526F"/>
    <w:rsid w:val="44B032F4"/>
    <w:rsid w:val="457D25F7"/>
    <w:rsid w:val="45B55914"/>
    <w:rsid w:val="468341CD"/>
    <w:rsid w:val="468B4FF2"/>
    <w:rsid w:val="46C6427C"/>
    <w:rsid w:val="472C2589"/>
    <w:rsid w:val="48AE321A"/>
    <w:rsid w:val="49261002"/>
    <w:rsid w:val="497A30FC"/>
    <w:rsid w:val="498521CD"/>
    <w:rsid w:val="499A554C"/>
    <w:rsid w:val="4A241057"/>
    <w:rsid w:val="4A760AEB"/>
    <w:rsid w:val="4B2E35D5"/>
    <w:rsid w:val="4BDA60D4"/>
    <w:rsid w:val="4C3B42AD"/>
    <w:rsid w:val="4D926C66"/>
    <w:rsid w:val="4D956757"/>
    <w:rsid w:val="4EEE30D0"/>
    <w:rsid w:val="4F3162CA"/>
    <w:rsid w:val="4F6E3703"/>
    <w:rsid w:val="4F716D4F"/>
    <w:rsid w:val="4FEB6B02"/>
    <w:rsid w:val="503009B9"/>
    <w:rsid w:val="509E3B74"/>
    <w:rsid w:val="50D95873"/>
    <w:rsid w:val="522307D5"/>
    <w:rsid w:val="526102AF"/>
    <w:rsid w:val="528444DA"/>
    <w:rsid w:val="530467F2"/>
    <w:rsid w:val="530741DA"/>
    <w:rsid w:val="534030E1"/>
    <w:rsid w:val="537745D5"/>
    <w:rsid w:val="537F7C8D"/>
    <w:rsid w:val="5474356A"/>
    <w:rsid w:val="54BE461D"/>
    <w:rsid w:val="54E67898"/>
    <w:rsid w:val="552306F6"/>
    <w:rsid w:val="55F8121C"/>
    <w:rsid w:val="56BA0FDC"/>
    <w:rsid w:val="56E352D5"/>
    <w:rsid w:val="56E87B82"/>
    <w:rsid w:val="57E435FE"/>
    <w:rsid w:val="57FE314A"/>
    <w:rsid w:val="58042C0C"/>
    <w:rsid w:val="582D0655"/>
    <w:rsid w:val="5951205C"/>
    <w:rsid w:val="59D079E8"/>
    <w:rsid w:val="59D40847"/>
    <w:rsid w:val="5A2A0227"/>
    <w:rsid w:val="5A875679"/>
    <w:rsid w:val="5AE37F25"/>
    <w:rsid w:val="5C5521CC"/>
    <w:rsid w:val="5C9F314E"/>
    <w:rsid w:val="5CB23D47"/>
    <w:rsid w:val="5D8017D9"/>
    <w:rsid w:val="5D9C768D"/>
    <w:rsid w:val="5DA6050C"/>
    <w:rsid w:val="5E2A7515"/>
    <w:rsid w:val="5E397447"/>
    <w:rsid w:val="5FAF09C4"/>
    <w:rsid w:val="5FF612D7"/>
    <w:rsid w:val="60107EBF"/>
    <w:rsid w:val="608C4642"/>
    <w:rsid w:val="60E6759D"/>
    <w:rsid w:val="611834CF"/>
    <w:rsid w:val="6165590E"/>
    <w:rsid w:val="61B50D1E"/>
    <w:rsid w:val="627209BD"/>
    <w:rsid w:val="62795572"/>
    <w:rsid w:val="62A0002B"/>
    <w:rsid w:val="62C84A81"/>
    <w:rsid w:val="632C3261"/>
    <w:rsid w:val="63313640"/>
    <w:rsid w:val="64B27796"/>
    <w:rsid w:val="64DD6417"/>
    <w:rsid w:val="658A1046"/>
    <w:rsid w:val="66004745"/>
    <w:rsid w:val="662D3578"/>
    <w:rsid w:val="687F4628"/>
    <w:rsid w:val="68C55CEA"/>
    <w:rsid w:val="69A55B1C"/>
    <w:rsid w:val="6A4E1D0F"/>
    <w:rsid w:val="6A567F20"/>
    <w:rsid w:val="6A5D01A4"/>
    <w:rsid w:val="6B1B2B01"/>
    <w:rsid w:val="6B1B7E43"/>
    <w:rsid w:val="6BAC13E3"/>
    <w:rsid w:val="6CD97953"/>
    <w:rsid w:val="6DB348CB"/>
    <w:rsid w:val="6DFF9360"/>
    <w:rsid w:val="6E9431F9"/>
    <w:rsid w:val="6ED30FD7"/>
    <w:rsid w:val="6FF93339"/>
    <w:rsid w:val="70B12FF8"/>
    <w:rsid w:val="70EB02B8"/>
    <w:rsid w:val="710F044A"/>
    <w:rsid w:val="71213CDA"/>
    <w:rsid w:val="712437CA"/>
    <w:rsid w:val="71461992"/>
    <w:rsid w:val="718129CA"/>
    <w:rsid w:val="727D78FD"/>
    <w:rsid w:val="73CC655F"/>
    <w:rsid w:val="745919DD"/>
    <w:rsid w:val="74DA2B1D"/>
    <w:rsid w:val="75260D1D"/>
    <w:rsid w:val="75957445"/>
    <w:rsid w:val="759F6699"/>
    <w:rsid w:val="75D01AE1"/>
    <w:rsid w:val="76A72ED3"/>
    <w:rsid w:val="76F82F5F"/>
    <w:rsid w:val="770E4D00"/>
    <w:rsid w:val="77524363"/>
    <w:rsid w:val="776C458A"/>
    <w:rsid w:val="77B917B5"/>
    <w:rsid w:val="78703975"/>
    <w:rsid w:val="79532E9E"/>
    <w:rsid w:val="7AEC0912"/>
    <w:rsid w:val="7B42141C"/>
    <w:rsid w:val="7B672C31"/>
    <w:rsid w:val="7BDE1A2A"/>
    <w:rsid w:val="7BE420FD"/>
    <w:rsid w:val="7C792C1C"/>
    <w:rsid w:val="7CF229CE"/>
    <w:rsid w:val="7D0D296B"/>
    <w:rsid w:val="7D1666BD"/>
    <w:rsid w:val="7D4E0B54"/>
    <w:rsid w:val="7D503E78"/>
    <w:rsid w:val="7DF108A5"/>
    <w:rsid w:val="7DF369FE"/>
    <w:rsid w:val="7E0160D4"/>
    <w:rsid w:val="7E2466BD"/>
    <w:rsid w:val="7E5C4335"/>
    <w:rsid w:val="7EC71D6C"/>
    <w:rsid w:val="BCF23B57"/>
    <w:rsid w:val="C2F243FA"/>
    <w:rsid w:val="DEFF9895"/>
    <w:rsid w:val="FB8F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link w:val="79"/>
    <w:qFormat/>
    <w:uiPriority w:val="0"/>
    <w:pPr>
      <w:keepNext/>
      <w:keepLines/>
      <w:numPr>
        <w:ilvl w:val="0"/>
        <w:numId w:val="1"/>
      </w:numPr>
      <w:spacing w:before="120" w:after="120"/>
      <w:ind w:hanging="425" w:firstLineChars="0"/>
      <w:outlineLvl w:val="0"/>
    </w:pPr>
    <w:rPr>
      <w:rFonts w:eastAsia="黑体"/>
      <w:b/>
      <w:bCs/>
      <w:kern w:val="44"/>
      <w:sz w:val="32"/>
      <w:szCs w:val="28"/>
    </w:rPr>
  </w:style>
  <w:style w:type="paragraph" w:styleId="3">
    <w:name w:val="heading 2"/>
    <w:basedOn w:val="1"/>
    <w:next w:val="1"/>
    <w:link w:val="43"/>
    <w:qFormat/>
    <w:uiPriority w:val="0"/>
    <w:pPr>
      <w:keepNext/>
      <w:keepLines/>
      <w:numPr>
        <w:ilvl w:val="1"/>
        <w:numId w:val="1"/>
      </w:numPr>
      <w:spacing w:before="120" w:after="120"/>
      <w:ind w:left="1843" w:hanging="567" w:firstLineChars="0"/>
      <w:outlineLvl w:val="1"/>
    </w:pPr>
    <w:rPr>
      <w:b/>
      <w:bCs/>
      <w:sz w:val="30"/>
      <w:szCs w:val="32"/>
    </w:rPr>
  </w:style>
  <w:style w:type="paragraph" w:styleId="4">
    <w:name w:val="heading 3"/>
    <w:basedOn w:val="1"/>
    <w:next w:val="1"/>
    <w:link w:val="85"/>
    <w:qFormat/>
    <w:uiPriority w:val="0"/>
    <w:pPr>
      <w:keepNext/>
      <w:keepLines/>
      <w:numPr>
        <w:ilvl w:val="2"/>
        <w:numId w:val="1"/>
      </w:numPr>
      <w:spacing w:before="120" w:after="120"/>
      <w:ind w:hanging="1069" w:firstLineChars="0"/>
      <w:outlineLvl w:val="2"/>
    </w:pPr>
    <w:rPr>
      <w:b/>
      <w:bCs/>
      <w:sz w:val="28"/>
      <w:szCs w:val="28"/>
    </w:rPr>
  </w:style>
  <w:style w:type="paragraph" w:styleId="5">
    <w:name w:val="heading 4"/>
    <w:basedOn w:val="1"/>
    <w:next w:val="1"/>
    <w:link w:val="62"/>
    <w:qFormat/>
    <w:uiPriority w:val="0"/>
    <w:pPr>
      <w:keepNext/>
      <w:keepLines/>
      <w:numPr>
        <w:ilvl w:val="3"/>
        <w:numId w:val="1"/>
      </w:numPr>
      <w:spacing w:before="120" w:after="120"/>
      <w:ind w:hanging="851" w:firstLineChars="0"/>
      <w:outlineLvl w:val="3"/>
    </w:pPr>
    <w:rPr>
      <w:b/>
      <w:bCs/>
      <w:sz w:val="30"/>
      <w:szCs w:val="30"/>
    </w:rPr>
  </w:style>
  <w:style w:type="paragraph" w:styleId="6">
    <w:name w:val="heading 5"/>
    <w:basedOn w:val="1"/>
    <w:next w:val="1"/>
    <w:link w:val="90"/>
    <w:qFormat/>
    <w:uiPriority w:val="0"/>
    <w:pPr>
      <w:keepNext/>
      <w:keepLines/>
      <w:numPr>
        <w:ilvl w:val="4"/>
        <w:numId w:val="1"/>
      </w:numPr>
      <w:spacing w:before="120" w:after="120"/>
      <w:ind w:left="3544" w:hanging="992" w:firstLineChars="0"/>
      <w:outlineLvl w:val="4"/>
    </w:pPr>
    <w:rPr>
      <w:b/>
      <w:bCs/>
      <w:szCs w:val="28"/>
    </w:rPr>
  </w:style>
  <w:style w:type="paragraph" w:styleId="7">
    <w:name w:val="heading 6"/>
    <w:basedOn w:val="1"/>
    <w:next w:val="1"/>
    <w:link w:val="102"/>
    <w:qFormat/>
    <w:uiPriority w:val="0"/>
    <w:pPr>
      <w:keepNext/>
      <w:keepLines/>
      <w:numPr>
        <w:ilvl w:val="5"/>
        <w:numId w:val="1"/>
      </w:numPr>
      <w:spacing w:before="120" w:after="120"/>
      <w:ind w:hanging="1134" w:firstLineChars="0"/>
      <w:outlineLvl w:val="5"/>
    </w:pPr>
    <w:rPr>
      <w:rFonts w:ascii="Cambria" w:hAnsi="Cambria"/>
      <w:b/>
      <w:bCs/>
    </w:rPr>
  </w:style>
  <w:style w:type="paragraph" w:styleId="8">
    <w:name w:val="heading 7"/>
    <w:basedOn w:val="1"/>
    <w:next w:val="1"/>
    <w:link w:val="76"/>
    <w:qFormat/>
    <w:uiPriority w:val="0"/>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101"/>
    <w:qFormat/>
    <w:uiPriority w:val="0"/>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52"/>
    <w:qFormat/>
    <w:uiPriority w:val="0"/>
    <w:pPr>
      <w:keepNext/>
      <w:keepLines/>
      <w:spacing w:before="240" w:after="64" w:line="319" w:lineRule="auto"/>
      <w:ind w:firstLine="0" w:firstLineChars="0"/>
      <w:outlineLvl w:val="8"/>
    </w:pPr>
    <w:rPr>
      <w:rFonts w:ascii="Cambria" w:hAnsi="Cambria"/>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等线" w:hAnsi="等线" w:eastAsia="等线"/>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8"/>
    <w:qFormat/>
    <w:uiPriority w:val="0"/>
    <w:pPr>
      <w:spacing w:afterLines="50"/>
      <w:ind w:firstLine="200"/>
    </w:pPr>
    <w:rPr>
      <w:rFonts w:ascii="Arial" w:hAnsi="Arial" w:eastAsia="黑体"/>
      <w:sz w:val="20"/>
      <w:szCs w:val="20"/>
    </w:rPr>
  </w:style>
  <w:style w:type="paragraph" w:styleId="14">
    <w:name w:val="Document Map"/>
    <w:basedOn w:val="1"/>
    <w:link w:val="94"/>
    <w:qFormat/>
    <w:uiPriority w:val="0"/>
    <w:rPr>
      <w:rFonts w:hAnsi="Times New Roman"/>
      <w:sz w:val="18"/>
      <w:szCs w:val="18"/>
    </w:rPr>
  </w:style>
  <w:style w:type="paragraph" w:styleId="15">
    <w:name w:val="annotation text"/>
    <w:basedOn w:val="1"/>
    <w:link w:val="49"/>
    <w:qFormat/>
    <w:uiPriority w:val="99"/>
    <w:pPr>
      <w:jc w:val="left"/>
    </w:pPr>
    <w:rPr>
      <w:rFonts w:ascii="Times New Roman" w:hAnsi="Times New Roman" w:eastAsia="仿宋"/>
      <w:sz w:val="28"/>
    </w:rPr>
  </w:style>
  <w:style w:type="paragraph" w:styleId="16">
    <w:name w:val="Body Text"/>
    <w:basedOn w:val="1"/>
    <w:link w:val="63"/>
    <w:unhideWhenUsed/>
    <w:qFormat/>
    <w:uiPriority w:val="0"/>
    <w:pPr>
      <w:spacing w:after="120" w:line="240" w:lineRule="auto"/>
      <w:ind w:firstLine="0" w:firstLineChars="0"/>
    </w:pPr>
    <w:rPr>
      <w:rFonts w:ascii="Times New Roman" w:hAnsi="Times New Roman"/>
      <w:sz w:val="21"/>
    </w:rPr>
  </w:style>
  <w:style w:type="paragraph" w:styleId="17">
    <w:name w:val="Body Text Indent"/>
    <w:basedOn w:val="1"/>
    <w:link w:val="89"/>
    <w:qFormat/>
    <w:uiPriority w:val="0"/>
    <w:pPr>
      <w:spacing w:after="120"/>
      <w:ind w:firstLine="200"/>
    </w:pPr>
    <w:rPr>
      <w:rFonts w:ascii="Times New Roman" w:hAnsi="Times New Roman"/>
      <w:sz w:val="21"/>
      <w:szCs w:val="20"/>
    </w:rPr>
  </w:style>
  <w:style w:type="paragraph" w:styleId="18">
    <w:name w:val="toc 5"/>
    <w:basedOn w:val="1"/>
    <w:next w:val="1"/>
    <w:unhideWhenUsed/>
    <w:qFormat/>
    <w:uiPriority w:val="39"/>
    <w:pPr>
      <w:ind w:left="1680" w:leftChars="800"/>
    </w:pPr>
    <w:rPr>
      <w:rFonts w:ascii="等线" w:hAnsi="等线" w:eastAsia="等线"/>
      <w:szCs w:val="22"/>
    </w:rPr>
  </w:style>
  <w:style w:type="paragraph" w:styleId="19">
    <w:name w:val="toc 3"/>
    <w:basedOn w:val="1"/>
    <w:next w:val="1"/>
    <w:qFormat/>
    <w:uiPriority w:val="39"/>
    <w:pPr>
      <w:tabs>
        <w:tab w:val="right" w:leader="dot" w:pos="8302"/>
      </w:tabs>
      <w:ind w:left="840" w:leftChars="400"/>
    </w:pPr>
  </w:style>
  <w:style w:type="paragraph" w:styleId="20">
    <w:name w:val="Plain Text"/>
    <w:basedOn w:val="1"/>
    <w:link w:val="70"/>
    <w:qFormat/>
    <w:uiPriority w:val="0"/>
    <w:pPr>
      <w:spacing w:line="240" w:lineRule="auto"/>
      <w:ind w:firstLine="0" w:firstLineChars="0"/>
    </w:pPr>
    <w:rPr>
      <w:rFonts w:hAnsi="Courier New"/>
      <w:sz w:val="21"/>
      <w:szCs w:val="20"/>
    </w:rPr>
  </w:style>
  <w:style w:type="paragraph" w:styleId="21">
    <w:name w:val="toc 8"/>
    <w:basedOn w:val="1"/>
    <w:next w:val="1"/>
    <w:unhideWhenUsed/>
    <w:qFormat/>
    <w:uiPriority w:val="39"/>
    <w:pPr>
      <w:ind w:left="2940" w:leftChars="1400"/>
    </w:pPr>
    <w:rPr>
      <w:rFonts w:ascii="等线" w:hAnsi="等线" w:eastAsia="等线"/>
      <w:szCs w:val="22"/>
    </w:rPr>
  </w:style>
  <w:style w:type="paragraph" w:styleId="22">
    <w:name w:val="Date"/>
    <w:basedOn w:val="1"/>
    <w:next w:val="1"/>
    <w:link w:val="51"/>
    <w:qFormat/>
    <w:uiPriority w:val="0"/>
    <w:pPr>
      <w:ind w:left="100" w:leftChars="2500"/>
    </w:pPr>
    <w:rPr>
      <w:rFonts w:ascii="Times New Roman" w:hAnsi="Times New Roman"/>
      <w:sz w:val="21"/>
    </w:rPr>
  </w:style>
  <w:style w:type="paragraph" w:styleId="23">
    <w:name w:val="Balloon Text"/>
    <w:basedOn w:val="1"/>
    <w:link w:val="99"/>
    <w:qFormat/>
    <w:uiPriority w:val="0"/>
    <w:rPr>
      <w:rFonts w:ascii="Times New Roman" w:hAnsi="Times New Roman"/>
      <w:sz w:val="18"/>
      <w:szCs w:val="18"/>
    </w:rPr>
  </w:style>
  <w:style w:type="paragraph" w:styleId="24">
    <w:name w:val="footer"/>
    <w:basedOn w:val="1"/>
    <w:link w:val="92"/>
    <w:qFormat/>
    <w:uiPriority w:val="99"/>
    <w:pPr>
      <w:tabs>
        <w:tab w:val="center" w:pos="4153"/>
        <w:tab w:val="right" w:pos="8306"/>
      </w:tabs>
      <w:snapToGrid w:val="0"/>
      <w:jc w:val="center"/>
    </w:pPr>
    <w:rPr>
      <w:rFonts w:ascii="Times New Roman" w:hAnsi="Times New Roman"/>
      <w:sz w:val="18"/>
      <w:szCs w:val="18"/>
    </w:rPr>
  </w:style>
  <w:style w:type="paragraph" w:styleId="25">
    <w:name w:val="header"/>
    <w:basedOn w:val="1"/>
    <w:link w:val="100"/>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6">
    <w:name w:val="toc 1"/>
    <w:basedOn w:val="1"/>
    <w:next w:val="1"/>
    <w:qFormat/>
    <w:uiPriority w:val="39"/>
  </w:style>
  <w:style w:type="paragraph" w:styleId="27">
    <w:name w:val="toc 4"/>
    <w:basedOn w:val="1"/>
    <w:next w:val="1"/>
    <w:unhideWhenUsed/>
    <w:qFormat/>
    <w:uiPriority w:val="39"/>
    <w:pPr>
      <w:ind w:left="1260" w:leftChars="600"/>
    </w:pPr>
    <w:rPr>
      <w:rFonts w:ascii="等线" w:hAnsi="等线" w:eastAsia="等线"/>
      <w:szCs w:val="22"/>
    </w:rPr>
  </w:style>
  <w:style w:type="paragraph" w:styleId="28">
    <w:name w:val="Subtitle"/>
    <w:basedOn w:val="1"/>
    <w:next w:val="1"/>
    <w:link w:val="91"/>
    <w:qFormat/>
    <w:uiPriority w:val="0"/>
    <w:pPr>
      <w:spacing w:before="240" w:after="60" w:line="312" w:lineRule="auto"/>
      <w:jc w:val="center"/>
      <w:outlineLvl w:val="1"/>
    </w:pPr>
    <w:rPr>
      <w:rFonts w:ascii="Calibri Light" w:hAnsi="Calibri Light"/>
      <w:b/>
      <w:bCs/>
      <w:kern w:val="28"/>
      <w:sz w:val="32"/>
      <w:szCs w:val="32"/>
    </w:rPr>
  </w:style>
  <w:style w:type="paragraph" w:styleId="29">
    <w:name w:val="toc 6"/>
    <w:basedOn w:val="1"/>
    <w:next w:val="1"/>
    <w:unhideWhenUsed/>
    <w:qFormat/>
    <w:uiPriority w:val="39"/>
    <w:pPr>
      <w:ind w:left="2100" w:leftChars="1000"/>
    </w:pPr>
    <w:rPr>
      <w:rFonts w:ascii="等线" w:hAnsi="等线" w:eastAsia="等线"/>
      <w:szCs w:val="22"/>
    </w:rPr>
  </w:style>
  <w:style w:type="paragraph" w:styleId="30">
    <w:name w:val="toc 2"/>
    <w:basedOn w:val="1"/>
    <w:next w:val="1"/>
    <w:qFormat/>
    <w:uiPriority w:val="39"/>
    <w:pPr>
      <w:tabs>
        <w:tab w:val="right" w:leader="dot" w:pos="8302"/>
      </w:tabs>
      <w:ind w:left="420" w:leftChars="200"/>
    </w:pPr>
  </w:style>
  <w:style w:type="paragraph" w:styleId="31">
    <w:name w:val="toc 9"/>
    <w:basedOn w:val="1"/>
    <w:next w:val="1"/>
    <w:unhideWhenUsed/>
    <w:qFormat/>
    <w:uiPriority w:val="39"/>
    <w:pPr>
      <w:ind w:left="3360" w:leftChars="1600"/>
    </w:pPr>
    <w:rPr>
      <w:rFonts w:ascii="等线" w:hAnsi="等线" w:eastAsia="等线"/>
      <w:szCs w:val="22"/>
    </w:rPr>
  </w:style>
  <w:style w:type="paragraph" w:styleId="32">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3">
    <w:name w:val="Title"/>
    <w:basedOn w:val="1"/>
    <w:next w:val="1"/>
    <w:link w:val="98"/>
    <w:qFormat/>
    <w:uiPriority w:val="0"/>
    <w:pPr>
      <w:spacing w:before="240" w:after="60" w:line="960" w:lineRule="auto"/>
      <w:jc w:val="center"/>
    </w:pPr>
    <w:rPr>
      <w:rFonts w:ascii="Cambria" w:hAnsi="Cambria" w:eastAsia="黑体"/>
      <w:b/>
      <w:bCs/>
      <w:sz w:val="52"/>
      <w:szCs w:val="32"/>
    </w:rPr>
  </w:style>
  <w:style w:type="paragraph" w:styleId="34">
    <w:name w:val="annotation subject"/>
    <w:basedOn w:val="15"/>
    <w:next w:val="15"/>
    <w:link w:val="87"/>
    <w:qFormat/>
    <w:uiPriority w:val="0"/>
    <w:rPr>
      <w:b/>
      <w:bCs/>
      <w:sz w:val="21"/>
    </w:rPr>
  </w:style>
  <w:style w:type="paragraph" w:styleId="35">
    <w:name w:val="Body Text First Indent 2"/>
    <w:basedOn w:val="17"/>
    <w:link w:val="138"/>
    <w:semiHidden/>
    <w:unhideWhenUsed/>
    <w:qFormat/>
    <w:uiPriority w:val="0"/>
    <w:pPr>
      <w:ind w:left="420" w:leftChars="200" w:firstLine="420"/>
    </w:pPr>
    <w:rPr>
      <w:rFonts w:ascii="宋体" w:hAnsi="宋体"/>
      <w:sz w:val="24"/>
      <w:szCs w:val="24"/>
    </w:rPr>
  </w:style>
  <w:style w:type="table" w:styleId="37">
    <w:name w:val="Table Grid"/>
    <w:basedOn w:val="36"/>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basedOn w:val="38"/>
    <w:qFormat/>
    <w:uiPriority w:val="0"/>
  </w:style>
  <w:style w:type="character" w:styleId="40">
    <w:name w:val="FollowedHyperlink"/>
    <w:unhideWhenUsed/>
    <w:qFormat/>
    <w:uiPriority w:val="99"/>
    <w:rPr>
      <w:color w:val="954F72"/>
      <w:u w:val="single"/>
    </w:rPr>
  </w:style>
  <w:style w:type="character" w:styleId="41">
    <w:name w:val="Hyperlink"/>
    <w:qFormat/>
    <w:uiPriority w:val="99"/>
    <w:rPr>
      <w:color w:val="0000FF"/>
      <w:u w:val="single"/>
    </w:rPr>
  </w:style>
  <w:style w:type="character" w:styleId="42">
    <w:name w:val="annotation reference"/>
    <w:qFormat/>
    <w:uiPriority w:val="99"/>
    <w:rPr>
      <w:sz w:val="21"/>
      <w:szCs w:val="21"/>
    </w:rPr>
  </w:style>
  <w:style w:type="character" w:customStyle="1" w:styleId="43">
    <w:name w:val="标题 2 字符1"/>
    <w:link w:val="3"/>
    <w:qFormat/>
    <w:uiPriority w:val="9"/>
    <w:rPr>
      <w:rFonts w:ascii="宋体" w:hAnsi="宋体"/>
      <w:b/>
      <w:bCs/>
      <w:kern w:val="2"/>
      <w:sz w:val="30"/>
      <w:szCs w:val="32"/>
    </w:rPr>
  </w:style>
  <w:style w:type="character" w:customStyle="1" w:styleId="44">
    <w:name w:val="标题 字符"/>
    <w:qFormat/>
    <w:uiPriority w:val="10"/>
    <w:rPr>
      <w:rFonts w:ascii="等线 Light" w:hAnsi="等线 Light" w:eastAsia="等线 Light" w:cs="Times New Roman"/>
      <w:b/>
      <w:bCs/>
      <w:kern w:val="2"/>
      <w:sz w:val="32"/>
      <w:szCs w:val="32"/>
    </w:rPr>
  </w:style>
  <w:style w:type="paragraph" w:customStyle="1" w:styleId="45">
    <w:name w:val="Default"/>
    <w:next w:val="1"/>
    <w:qFormat/>
    <w:uiPriority w:val="0"/>
    <w:pPr>
      <w:widowControl w:val="0"/>
      <w:autoSpaceDE w:val="0"/>
      <w:autoSpaceDN w:val="0"/>
      <w:adjustRightInd w:val="0"/>
    </w:pPr>
    <w:rPr>
      <w:rFonts w:ascii="宋体" w:hAnsi="Calibri" w:eastAsia="微软雅黑" w:cs="Times New Roman"/>
      <w:color w:val="000000"/>
      <w:sz w:val="24"/>
      <w:szCs w:val="24"/>
      <w:lang w:val="en-US" w:eastAsia="zh-CN" w:bidi="ar-SA"/>
    </w:rPr>
  </w:style>
  <w:style w:type="character" w:customStyle="1" w:styleId="46">
    <w:name w:val="标题 3 字符1"/>
    <w:qFormat/>
    <w:uiPriority w:val="0"/>
    <w:rPr>
      <w:rFonts w:ascii="宋体" w:hAnsi="宋体"/>
      <w:b/>
      <w:bCs/>
      <w:kern w:val="2"/>
      <w:sz w:val="28"/>
      <w:szCs w:val="28"/>
    </w:rPr>
  </w:style>
  <w:style w:type="character" w:customStyle="1" w:styleId="47">
    <w:name w:val="首行缩进正文 Char"/>
    <w:link w:val="48"/>
    <w:qFormat/>
    <w:uiPriority w:val="0"/>
    <w:rPr>
      <w:kern w:val="2"/>
      <w:sz w:val="24"/>
    </w:rPr>
  </w:style>
  <w:style w:type="paragraph" w:customStyle="1" w:styleId="48">
    <w:name w:val="首行缩进正文"/>
    <w:basedOn w:val="1"/>
    <w:link w:val="47"/>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9">
    <w:name w:val="批注文字 字符1"/>
    <w:link w:val="15"/>
    <w:qFormat/>
    <w:uiPriority w:val="99"/>
    <w:rPr>
      <w:rFonts w:eastAsia="仿宋"/>
      <w:kern w:val="2"/>
      <w:sz w:val="28"/>
      <w:szCs w:val="24"/>
    </w:rPr>
  </w:style>
  <w:style w:type="character" w:customStyle="1" w:styleId="50">
    <w:name w:val="日期 字符"/>
    <w:semiHidden/>
    <w:qFormat/>
    <w:uiPriority w:val="99"/>
    <w:rPr>
      <w:rFonts w:ascii="宋体" w:hAnsi="宋体"/>
      <w:kern w:val="2"/>
      <w:sz w:val="24"/>
      <w:szCs w:val="24"/>
    </w:rPr>
  </w:style>
  <w:style w:type="character" w:customStyle="1" w:styleId="51">
    <w:name w:val="日期 字符1"/>
    <w:link w:val="22"/>
    <w:qFormat/>
    <w:uiPriority w:val="0"/>
    <w:rPr>
      <w:kern w:val="2"/>
      <w:sz w:val="21"/>
      <w:szCs w:val="24"/>
    </w:rPr>
  </w:style>
  <w:style w:type="character" w:customStyle="1" w:styleId="52">
    <w:name w:val="标题 9 字符"/>
    <w:link w:val="10"/>
    <w:qFormat/>
    <w:uiPriority w:val="9"/>
    <w:rPr>
      <w:rFonts w:ascii="Cambria" w:hAnsi="Cambria"/>
      <w:kern w:val="2"/>
      <w:sz w:val="21"/>
      <w:szCs w:val="21"/>
    </w:rPr>
  </w:style>
  <w:style w:type="character" w:customStyle="1" w:styleId="53">
    <w:name w:val="未处理的提及1"/>
    <w:unhideWhenUsed/>
    <w:qFormat/>
    <w:uiPriority w:val="99"/>
    <w:rPr>
      <w:color w:val="605E5C"/>
      <w:shd w:val="clear" w:color="auto" w:fill="E1DFDD"/>
    </w:rPr>
  </w:style>
  <w:style w:type="character" w:customStyle="1" w:styleId="54">
    <w:name w:val="标题 1 字符"/>
    <w:qFormat/>
    <w:uiPriority w:val="9"/>
    <w:rPr>
      <w:rFonts w:ascii="宋体" w:hAnsi="宋体"/>
      <w:b/>
      <w:bCs/>
      <w:kern w:val="44"/>
      <w:sz w:val="44"/>
      <w:szCs w:val="44"/>
    </w:rPr>
  </w:style>
  <w:style w:type="character" w:customStyle="1" w:styleId="55">
    <w:name w:val="标题 3 字符"/>
    <w:semiHidden/>
    <w:qFormat/>
    <w:uiPriority w:val="9"/>
    <w:rPr>
      <w:rFonts w:ascii="宋体" w:hAnsi="宋体"/>
      <w:b/>
      <w:bCs/>
      <w:kern w:val="2"/>
      <w:sz w:val="32"/>
      <w:szCs w:val="32"/>
    </w:rPr>
  </w:style>
  <w:style w:type="character" w:customStyle="1" w:styleId="56">
    <w:name w:val="页脚 字符"/>
    <w:qFormat/>
    <w:uiPriority w:val="99"/>
  </w:style>
  <w:style w:type="character" w:customStyle="1" w:styleId="57">
    <w:name w:val="标题 5 字符"/>
    <w:semiHidden/>
    <w:qFormat/>
    <w:uiPriority w:val="9"/>
    <w:rPr>
      <w:rFonts w:ascii="宋体" w:hAnsi="宋体"/>
      <w:b/>
      <w:bCs/>
      <w:kern w:val="2"/>
      <w:sz w:val="28"/>
      <w:szCs w:val="28"/>
    </w:rPr>
  </w:style>
  <w:style w:type="character" w:customStyle="1" w:styleId="58">
    <w:name w:val="题注 字符"/>
    <w:link w:val="13"/>
    <w:qFormat/>
    <w:locked/>
    <w:uiPriority w:val="0"/>
    <w:rPr>
      <w:rFonts w:ascii="Arial" w:hAnsi="Arial" w:eastAsia="黑体"/>
      <w:kern w:val="2"/>
    </w:rPr>
  </w:style>
  <w:style w:type="character" w:customStyle="1" w:styleId="59">
    <w:name w:val="标题 2 字符"/>
    <w:semiHidden/>
    <w:qFormat/>
    <w:uiPriority w:val="9"/>
    <w:rPr>
      <w:rFonts w:ascii="等线 Light" w:hAnsi="等线 Light" w:eastAsia="等线 Light" w:cs="Times New Roman"/>
      <w:b/>
      <w:bCs/>
      <w:kern w:val="2"/>
      <w:sz w:val="32"/>
      <w:szCs w:val="32"/>
    </w:rPr>
  </w:style>
  <w:style w:type="character" w:customStyle="1" w:styleId="60">
    <w:name w:val="纯文本 字符"/>
    <w:qFormat/>
    <w:uiPriority w:val="0"/>
    <w:rPr>
      <w:rFonts w:ascii="宋体" w:hAnsi="Courier New" w:cs="Courier New"/>
      <w:kern w:val="2"/>
      <w:sz w:val="21"/>
      <w:szCs w:val="21"/>
    </w:rPr>
  </w:style>
  <w:style w:type="character" w:customStyle="1" w:styleId="61">
    <w:name w:val="列表段落 字符"/>
    <w:qFormat/>
    <w:uiPriority w:val="34"/>
    <w:rPr>
      <w:kern w:val="2"/>
      <w:sz w:val="21"/>
      <w:szCs w:val="22"/>
    </w:rPr>
  </w:style>
  <w:style w:type="character" w:customStyle="1" w:styleId="62">
    <w:name w:val="标题 4 字符1"/>
    <w:link w:val="5"/>
    <w:qFormat/>
    <w:uiPriority w:val="0"/>
    <w:rPr>
      <w:rFonts w:ascii="宋体" w:hAnsi="宋体"/>
      <w:b/>
      <w:bCs/>
      <w:kern w:val="2"/>
      <w:sz w:val="30"/>
      <w:szCs w:val="30"/>
    </w:rPr>
  </w:style>
  <w:style w:type="character" w:customStyle="1" w:styleId="63">
    <w:name w:val="正文文本 字符"/>
    <w:link w:val="16"/>
    <w:qFormat/>
    <w:uiPriority w:val="0"/>
    <w:rPr>
      <w:kern w:val="2"/>
      <w:sz w:val="21"/>
      <w:szCs w:val="24"/>
    </w:rPr>
  </w:style>
  <w:style w:type="character" w:customStyle="1" w:styleId="64">
    <w:name w:val="列表段落 字符1"/>
    <w:link w:val="65"/>
    <w:qFormat/>
    <w:uiPriority w:val="34"/>
    <w:rPr>
      <w:kern w:val="2"/>
      <w:sz w:val="21"/>
      <w:szCs w:val="24"/>
    </w:rPr>
  </w:style>
  <w:style w:type="paragraph" w:styleId="65">
    <w:name w:val="List Paragraph"/>
    <w:basedOn w:val="1"/>
    <w:link w:val="64"/>
    <w:qFormat/>
    <w:uiPriority w:val="34"/>
    <w:pPr>
      <w:ind w:firstLine="420"/>
    </w:pPr>
    <w:rPr>
      <w:rFonts w:ascii="Times New Roman" w:hAnsi="Times New Roman"/>
      <w:sz w:val="21"/>
    </w:rPr>
  </w:style>
  <w:style w:type="character" w:customStyle="1" w:styleId="66">
    <w:name w:val="font21"/>
    <w:qFormat/>
    <w:uiPriority w:val="0"/>
    <w:rPr>
      <w:rFonts w:ascii="Calibri" w:hAnsi="Calibri" w:cs="Calibri"/>
      <w:color w:val="000000"/>
      <w:sz w:val="21"/>
      <w:szCs w:val="21"/>
      <w:u w:val="none"/>
    </w:rPr>
  </w:style>
  <w:style w:type="character" w:customStyle="1" w:styleId="67">
    <w:name w:val="*正文 Char"/>
    <w:link w:val="68"/>
    <w:qFormat/>
    <w:uiPriority w:val="0"/>
    <w:rPr>
      <w:rFonts w:ascii="time" w:hAnsi="time"/>
      <w:sz w:val="24"/>
      <w:szCs w:val="24"/>
      <w:lang w:bidi="en-US"/>
    </w:rPr>
  </w:style>
  <w:style w:type="paragraph" w:customStyle="1" w:styleId="68">
    <w:name w:val="*正文"/>
    <w:basedOn w:val="1"/>
    <w:link w:val="67"/>
    <w:qFormat/>
    <w:uiPriority w:val="0"/>
    <w:pPr>
      <w:widowControl/>
      <w:ind w:firstLine="200"/>
      <w:contextualSpacing/>
    </w:pPr>
    <w:rPr>
      <w:rFonts w:ascii="time" w:hAnsi="time"/>
      <w:kern w:val="0"/>
      <w:lang w:bidi="en-US"/>
    </w:rPr>
  </w:style>
  <w:style w:type="character" w:customStyle="1" w:styleId="69">
    <w:name w:val="正文文本缩进 字符"/>
    <w:semiHidden/>
    <w:qFormat/>
    <w:uiPriority w:val="99"/>
    <w:rPr>
      <w:rFonts w:ascii="宋体" w:hAnsi="宋体"/>
      <w:kern w:val="2"/>
      <w:sz w:val="24"/>
      <w:szCs w:val="24"/>
    </w:rPr>
  </w:style>
  <w:style w:type="character" w:customStyle="1" w:styleId="70">
    <w:name w:val="纯文本 字符1"/>
    <w:link w:val="20"/>
    <w:qFormat/>
    <w:locked/>
    <w:uiPriority w:val="0"/>
    <w:rPr>
      <w:rFonts w:ascii="宋体" w:hAnsi="Courier New"/>
      <w:kern w:val="2"/>
      <w:sz w:val="21"/>
    </w:rPr>
  </w:style>
  <w:style w:type="character" w:customStyle="1" w:styleId="71">
    <w:name w:val="my正文 Char"/>
    <w:link w:val="72"/>
    <w:qFormat/>
    <w:uiPriority w:val="0"/>
    <w:rPr>
      <w:kern w:val="2"/>
      <w:sz w:val="21"/>
      <w:szCs w:val="24"/>
    </w:rPr>
  </w:style>
  <w:style w:type="paragraph" w:customStyle="1" w:styleId="72">
    <w:name w:val="my正文"/>
    <w:basedOn w:val="1"/>
    <w:link w:val="71"/>
    <w:qFormat/>
    <w:uiPriority w:val="0"/>
    <w:pPr>
      <w:spacing w:line="240" w:lineRule="auto"/>
      <w:ind w:firstLine="0" w:firstLineChars="0"/>
    </w:pPr>
    <w:rPr>
      <w:rFonts w:ascii="Times New Roman" w:hAnsi="Times New Roman"/>
      <w:sz w:val="21"/>
    </w:rPr>
  </w:style>
  <w:style w:type="character" w:customStyle="1" w:styleId="73">
    <w:name w:val="正文2 字符"/>
    <w:link w:val="74"/>
    <w:qFormat/>
    <w:uiPriority w:val="0"/>
    <w:rPr>
      <w:kern w:val="2"/>
      <w:sz w:val="21"/>
      <w:szCs w:val="24"/>
    </w:rPr>
  </w:style>
  <w:style w:type="paragraph" w:customStyle="1" w:styleId="74">
    <w:name w:val="正文2"/>
    <w:basedOn w:val="1"/>
    <w:link w:val="73"/>
    <w:qFormat/>
    <w:uiPriority w:val="0"/>
    <w:pPr>
      <w:ind w:firstLine="420"/>
    </w:pPr>
    <w:rPr>
      <w:rFonts w:ascii="Times New Roman" w:hAnsi="Times New Roman"/>
      <w:sz w:val="21"/>
    </w:rPr>
  </w:style>
  <w:style w:type="character" w:customStyle="1" w:styleId="75">
    <w:name w:val="font41"/>
    <w:qFormat/>
    <w:uiPriority w:val="0"/>
    <w:rPr>
      <w:rFonts w:hint="eastAsia" w:ascii="宋体" w:hAnsi="宋体" w:eastAsia="宋体" w:cs="宋体"/>
      <w:color w:val="000000"/>
      <w:sz w:val="21"/>
      <w:szCs w:val="21"/>
      <w:u w:val="none"/>
    </w:rPr>
  </w:style>
  <w:style w:type="character" w:customStyle="1" w:styleId="76">
    <w:name w:val="标题 7 字符"/>
    <w:link w:val="8"/>
    <w:qFormat/>
    <w:uiPriority w:val="9"/>
    <w:rPr>
      <w:b/>
      <w:bCs/>
      <w:kern w:val="2"/>
      <w:sz w:val="21"/>
      <w:szCs w:val="24"/>
    </w:rPr>
  </w:style>
  <w:style w:type="character" w:customStyle="1" w:styleId="77">
    <w:name w:val="批注框文本 字符"/>
    <w:semiHidden/>
    <w:qFormat/>
    <w:uiPriority w:val="99"/>
    <w:rPr>
      <w:rFonts w:ascii="宋体" w:hAnsi="宋体"/>
      <w:kern w:val="2"/>
      <w:sz w:val="18"/>
      <w:szCs w:val="18"/>
    </w:rPr>
  </w:style>
  <w:style w:type="character" w:customStyle="1" w:styleId="78">
    <w:name w:val="副标题 Char1"/>
    <w:qFormat/>
    <w:uiPriority w:val="0"/>
    <w:rPr>
      <w:rFonts w:ascii="Calibri Light" w:hAnsi="Calibri Light" w:cs="Times New Roman"/>
      <w:b/>
      <w:bCs/>
      <w:kern w:val="28"/>
      <w:sz w:val="32"/>
      <w:szCs w:val="32"/>
    </w:rPr>
  </w:style>
  <w:style w:type="character" w:customStyle="1" w:styleId="79">
    <w:name w:val="标题 1 字符1"/>
    <w:link w:val="2"/>
    <w:qFormat/>
    <w:uiPriority w:val="0"/>
    <w:rPr>
      <w:rFonts w:ascii="宋体" w:hAnsi="宋体" w:eastAsia="黑体"/>
      <w:b/>
      <w:bCs/>
      <w:kern w:val="44"/>
      <w:sz w:val="32"/>
      <w:szCs w:val="28"/>
    </w:rPr>
  </w:style>
  <w:style w:type="character" w:customStyle="1" w:styleId="80">
    <w:name w:val="批注文字 字符"/>
    <w:semiHidden/>
    <w:qFormat/>
    <w:uiPriority w:val="99"/>
    <w:rPr>
      <w:rFonts w:ascii="宋体" w:hAnsi="宋体"/>
      <w:kern w:val="2"/>
      <w:sz w:val="24"/>
      <w:szCs w:val="24"/>
    </w:rPr>
  </w:style>
  <w:style w:type="character" w:customStyle="1" w:styleId="81">
    <w:name w:val="文档结构图 字符"/>
    <w:semiHidden/>
    <w:qFormat/>
    <w:uiPriority w:val="99"/>
    <w:rPr>
      <w:rFonts w:ascii="Microsoft YaHei UI" w:hAnsi="宋体" w:eastAsia="Microsoft YaHei UI"/>
      <w:kern w:val="2"/>
      <w:sz w:val="18"/>
      <w:szCs w:val="18"/>
    </w:rPr>
  </w:style>
  <w:style w:type="character" w:customStyle="1" w:styleId="82">
    <w:name w:val="标题 6 字符"/>
    <w:semiHidden/>
    <w:qFormat/>
    <w:uiPriority w:val="9"/>
    <w:rPr>
      <w:rFonts w:ascii="等线 Light" w:hAnsi="等线 Light" w:eastAsia="等线 Light" w:cs="Times New Roman"/>
      <w:b/>
      <w:bCs/>
      <w:kern w:val="2"/>
      <w:sz w:val="24"/>
      <w:szCs w:val="24"/>
    </w:rPr>
  </w:style>
  <w:style w:type="character" w:customStyle="1" w:styleId="83">
    <w:name w:val="正文正文2 Char"/>
    <w:link w:val="84"/>
    <w:qFormat/>
    <w:uiPriority w:val="0"/>
    <w:rPr>
      <w:rFonts w:ascii="宋体" w:hAnsi="宋体"/>
      <w:kern w:val="2"/>
      <w:sz w:val="21"/>
      <w:szCs w:val="21"/>
    </w:rPr>
  </w:style>
  <w:style w:type="paragraph" w:customStyle="1" w:styleId="84">
    <w:name w:val="正文正文2"/>
    <w:basedOn w:val="1"/>
    <w:link w:val="83"/>
    <w:qFormat/>
    <w:uiPriority w:val="0"/>
    <w:pPr>
      <w:ind w:firstLine="460"/>
    </w:pPr>
    <w:rPr>
      <w:sz w:val="21"/>
      <w:szCs w:val="21"/>
    </w:rPr>
  </w:style>
  <w:style w:type="character" w:customStyle="1" w:styleId="85">
    <w:name w:val="标题 3 字符2"/>
    <w:link w:val="4"/>
    <w:qFormat/>
    <w:uiPriority w:val="0"/>
    <w:rPr>
      <w:rFonts w:ascii="宋体" w:hAnsi="宋体"/>
      <w:b/>
      <w:bCs/>
      <w:kern w:val="2"/>
      <w:sz w:val="28"/>
      <w:szCs w:val="28"/>
    </w:rPr>
  </w:style>
  <w:style w:type="character" w:customStyle="1" w:styleId="86">
    <w:name w:val="标题 4 字符"/>
    <w:semiHidden/>
    <w:qFormat/>
    <w:uiPriority w:val="9"/>
    <w:rPr>
      <w:rFonts w:ascii="等线 Light" w:hAnsi="等线 Light" w:eastAsia="等线 Light" w:cs="Times New Roman"/>
      <w:b/>
      <w:bCs/>
      <w:kern w:val="2"/>
      <w:sz w:val="28"/>
      <w:szCs w:val="28"/>
    </w:rPr>
  </w:style>
  <w:style w:type="character" w:customStyle="1" w:styleId="87">
    <w:name w:val="批注主题 字符1"/>
    <w:link w:val="34"/>
    <w:qFormat/>
    <w:uiPriority w:val="0"/>
    <w:rPr>
      <w:rFonts w:eastAsia="仿宋"/>
      <w:b/>
      <w:bCs/>
      <w:kern w:val="2"/>
      <w:sz w:val="21"/>
      <w:szCs w:val="24"/>
    </w:rPr>
  </w:style>
  <w:style w:type="character" w:customStyle="1" w:styleId="88">
    <w:name w:val="页眉 字符"/>
    <w:semiHidden/>
    <w:qFormat/>
    <w:uiPriority w:val="99"/>
    <w:rPr>
      <w:rFonts w:ascii="宋体" w:hAnsi="宋体"/>
      <w:kern w:val="2"/>
      <w:sz w:val="18"/>
      <w:szCs w:val="18"/>
    </w:rPr>
  </w:style>
  <w:style w:type="character" w:customStyle="1" w:styleId="89">
    <w:name w:val="正文文本缩进 字符1"/>
    <w:link w:val="17"/>
    <w:qFormat/>
    <w:uiPriority w:val="0"/>
    <w:rPr>
      <w:kern w:val="2"/>
      <w:sz w:val="21"/>
    </w:rPr>
  </w:style>
  <w:style w:type="character" w:customStyle="1" w:styleId="90">
    <w:name w:val="标题 5 字符1"/>
    <w:link w:val="6"/>
    <w:qFormat/>
    <w:uiPriority w:val="0"/>
    <w:rPr>
      <w:rFonts w:ascii="宋体" w:hAnsi="宋体"/>
      <w:b/>
      <w:bCs/>
      <w:kern w:val="2"/>
      <w:sz w:val="24"/>
      <w:szCs w:val="28"/>
    </w:rPr>
  </w:style>
  <w:style w:type="character" w:customStyle="1" w:styleId="91">
    <w:name w:val="副标题 字符1"/>
    <w:link w:val="28"/>
    <w:qFormat/>
    <w:uiPriority w:val="0"/>
    <w:rPr>
      <w:rFonts w:ascii="Calibri Light" w:hAnsi="Calibri Light"/>
      <w:b/>
      <w:bCs/>
      <w:kern w:val="28"/>
      <w:sz w:val="32"/>
      <w:szCs w:val="32"/>
    </w:rPr>
  </w:style>
  <w:style w:type="character" w:customStyle="1" w:styleId="92">
    <w:name w:val="页脚 字符1"/>
    <w:link w:val="24"/>
    <w:qFormat/>
    <w:uiPriority w:val="99"/>
    <w:rPr>
      <w:kern w:val="2"/>
      <w:sz w:val="18"/>
      <w:szCs w:val="18"/>
    </w:rPr>
  </w:style>
  <w:style w:type="character" w:customStyle="1" w:styleId="93">
    <w:name w:val="批注主题 字符"/>
    <w:semiHidden/>
    <w:qFormat/>
    <w:uiPriority w:val="99"/>
    <w:rPr>
      <w:rFonts w:ascii="宋体" w:hAnsi="宋体"/>
      <w:b/>
      <w:bCs/>
      <w:kern w:val="2"/>
      <w:sz w:val="24"/>
      <w:szCs w:val="24"/>
    </w:rPr>
  </w:style>
  <w:style w:type="character" w:customStyle="1" w:styleId="94">
    <w:name w:val="文档结构图 字符1"/>
    <w:link w:val="14"/>
    <w:qFormat/>
    <w:uiPriority w:val="0"/>
    <w:rPr>
      <w:rFonts w:ascii="宋体"/>
      <w:kern w:val="2"/>
      <w:sz w:val="18"/>
      <w:szCs w:val="18"/>
    </w:rPr>
  </w:style>
  <w:style w:type="character" w:customStyle="1" w:styleId="95">
    <w:name w:val="font31"/>
    <w:qFormat/>
    <w:uiPriority w:val="0"/>
    <w:rPr>
      <w:rFonts w:hint="eastAsia" w:ascii="宋体" w:hAnsi="宋体" w:eastAsia="宋体" w:cs="宋体"/>
      <w:color w:val="000000"/>
      <w:sz w:val="21"/>
      <w:szCs w:val="21"/>
      <w:u w:val="none"/>
    </w:rPr>
  </w:style>
  <w:style w:type="character" w:customStyle="1" w:styleId="96">
    <w:name w:val="标准正文 Char"/>
    <w:link w:val="97"/>
    <w:qFormat/>
    <w:uiPriority w:val="0"/>
    <w:rPr>
      <w:rFonts w:ascii="Arial" w:hAnsi="Arial"/>
      <w:kern w:val="2"/>
      <w:sz w:val="24"/>
    </w:rPr>
  </w:style>
  <w:style w:type="paragraph" w:customStyle="1" w:styleId="97">
    <w:name w:val="标准正文"/>
    <w:basedOn w:val="17"/>
    <w:link w:val="96"/>
    <w:qFormat/>
    <w:uiPriority w:val="0"/>
    <w:pPr>
      <w:spacing w:before="60" w:after="60"/>
      <w:ind w:firstLine="482" w:firstLineChars="0"/>
    </w:pPr>
    <w:rPr>
      <w:rFonts w:ascii="Arial" w:hAnsi="Arial"/>
      <w:sz w:val="24"/>
    </w:rPr>
  </w:style>
  <w:style w:type="character" w:customStyle="1" w:styleId="98">
    <w:name w:val="标题 字符1"/>
    <w:link w:val="33"/>
    <w:qFormat/>
    <w:uiPriority w:val="0"/>
    <w:rPr>
      <w:rFonts w:ascii="Cambria" w:hAnsi="Cambria" w:eastAsia="黑体"/>
      <w:b/>
      <w:bCs/>
      <w:kern w:val="2"/>
      <w:sz w:val="52"/>
      <w:szCs w:val="32"/>
    </w:rPr>
  </w:style>
  <w:style w:type="character" w:customStyle="1" w:styleId="99">
    <w:name w:val="批注框文本 字符1"/>
    <w:link w:val="23"/>
    <w:qFormat/>
    <w:uiPriority w:val="0"/>
    <w:rPr>
      <w:kern w:val="2"/>
      <w:sz w:val="18"/>
      <w:szCs w:val="18"/>
    </w:rPr>
  </w:style>
  <w:style w:type="character" w:customStyle="1" w:styleId="100">
    <w:name w:val="页眉 字符1"/>
    <w:link w:val="25"/>
    <w:qFormat/>
    <w:uiPriority w:val="99"/>
    <w:rPr>
      <w:kern w:val="2"/>
      <w:sz w:val="18"/>
      <w:szCs w:val="18"/>
    </w:rPr>
  </w:style>
  <w:style w:type="character" w:customStyle="1" w:styleId="101">
    <w:name w:val="标题 8 字符"/>
    <w:link w:val="9"/>
    <w:qFormat/>
    <w:uiPriority w:val="9"/>
    <w:rPr>
      <w:rFonts w:ascii="Cambria" w:hAnsi="Cambria"/>
      <w:kern w:val="2"/>
      <w:sz w:val="21"/>
      <w:szCs w:val="24"/>
    </w:rPr>
  </w:style>
  <w:style w:type="character" w:customStyle="1" w:styleId="102">
    <w:name w:val="标题 6 字符1"/>
    <w:link w:val="7"/>
    <w:qFormat/>
    <w:uiPriority w:val="0"/>
    <w:rPr>
      <w:rFonts w:ascii="Cambria" w:hAnsi="Cambria"/>
      <w:b/>
      <w:bCs/>
      <w:kern w:val="2"/>
      <w:sz w:val="24"/>
      <w:szCs w:val="24"/>
    </w:rPr>
  </w:style>
  <w:style w:type="character" w:customStyle="1" w:styleId="103">
    <w:name w:val="副标题 字符"/>
    <w:qFormat/>
    <w:uiPriority w:val="11"/>
    <w:rPr>
      <w:rFonts w:ascii="等线" w:hAnsi="等线" w:eastAsia="等线" w:cs="Times New Roman"/>
      <w:b/>
      <w:bCs/>
      <w:kern w:val="28"/>
      <w:sz w:val="32"/>
      <w:szCs w:val="32"/>
    </w:rPr>
  </w:style>
  <w:style w:type="paragraph" w:customStyle="1" w:styleId="104">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5">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6">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7">
    <w:name w:val="_Style 2"/>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paragraph" w:customStyle="1" w:styleId="108">
    <w:name w:val="正文缩进1"/>
    <w:basedOn w:val="1"/>
    <w:qFormat/>
    <w:uiPriority w:val="0"/>
    <w:pPr>
      <w:spacing w:line="240" w:lineRule="auto"/>
      <w:ind w:firstLine="420"/>
    </w:pPr>
    <w:rPr>
      <w:rFonts w:ascii="Times New Roman" w:hAnsi="Times New Roman"/>
      <w:sz w:val="21"/>
      <w:szCs w:val="20"/>
    </w:rPr>
  </w:style>
  <w:style w:type="paragraph" w:customStyle="1" w:styleId="109">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10">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11">
    <w:name w:val="Indent Normal"/>
    <w:basedOn w:val="1"/>
    <w:qFormat/>
    <w:uiPriority w:val="0"/>
    <w:pPr>
      <w:ind w:firstLine="150" w:firstLineChars="150"/>
    </w:pPr>
  </w:style>
  <w:style w:type="paragraph" w:customStyle="1" w:styleId="112">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3">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4">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5">
    <w:name w:val="助手文本"/>
    <w:basedOn w:val="1"/>
    <w:qFormat/>
    <w:uiPriority w:val="0"/>
    <w:pPr>
      <w:autoSpaceDE w:val="0"/>
      <w:autoSpaceDN w:val="0"/>
      <w:adjustRightInd w:val="0"/>
      <w:spacing w:beforeLines="50" w:afterLines="50"/>
      <w:ind w:left="14" w:firstLine="434"/>
      <w:textAlignment w:val="baseline"/>
    </w:pPr>
    <w:rPr>
      <w:rFonts w:ascii="KaiTi_GB2312" w:eastAsia="KaiTi_GB2312"/>
      <w:kern w:val="0"/>
      <w:szCs w:val="20"/>
      <w:u w:val="single"/>
    </w:rPr>
  </w:style>
  <w:style w:type="paragraph" w:customStyle="1" w:styleId="116">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7">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9">
    <w:name w:val="Char Char Char Char Char Char1 Char"/>
    <w:basedOn w:val="1"/>
    <w:qFormat/>
    <w:uiPriority w:val="0"/>
    <w:pPr>
      <w:widowControl/>
      <w:spacing w:after="160" w:line="240" w:lineRule="exact"/>
      <w:jc w:val="left"/>
    </w:pPr>
  </w:style>
  <w:style w:type="paragraph" w:customStyle="1" w:styleId="120">
    <w:name w:val="PM_Body"/>
    <w:basedOn w:val="1"/>
    <w:qFormat/>
    <w:locked/>
    <w:uiPriority w:val="0"/>
    <w:rPr>
      <w:szCs w:val="21"/>
    </w:rPr>
  </w:style>
  <w:style w:type="paragraph" w:customStyle="1" w:styleId="121">
    <w:name w:val="Char Char1"/>
    <w:basedOn w:val="1"/>
    <w:qFormat/>
    <w:uiPriority w:val="0"/>
    <w:pPr>
      <w:widowControl/>
      <w:spacing w:before="120" w:after="120"/>
    </w:pPr>
    <w:rPr>
      <w:rFonts w:ascii="Times New Roman" w:hAnsi="Times New Roman" w:cs="宋体"/>
    </w:rPr>
  </w:style>
  <w:style w:type="paragraph" w:customStyle="1" w:styleId="122">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3">
    <w:name w:val="修订1"/>
    <w:unhideWhenUsed/>
    <w:qFormat/>
    <w:uiPriority w:val="99"/>
    <w:rPr>
      <w:rFonts w:ascii="宋体" w:hAnsi="宋体" w:eastAsia="宋体" w:cs="Times New Roman"/>
      <w:kern w:val="2"/>
      <w:sz w:val="24"/>
      <w:szCs w:val="24"/>
      <w:lang w:val="en-US" w:eastAsia="zh-CN" w:bidi="ar-SA"/>
    </w:rPr>
  </w:style>
  <w:style w:type="paragraph" w:customStyle="1" w:styleId="124">
    <w:name w:val="列出段落2"/>
    <w:basedOn w:val="1"/>
    <w:qFormat/>
    <w:uiPriority w:val="0"/>
    <w:pPr>
      <w:spacing w:line="240" w:lineRule="auto"/>
      <w:ind w:firstLine="420"/>
    </w:pPr>
    <w:rPr>
      <w:rFonts w:ascii="等线" w:hAnsi="等线" w:eastAsia="等线" w:cs="等线"/>
      <w:sz w:val="21"/>
      <w:szCs w:val="21"/>
    </w:rPr>
  </w:style>
  <w:style w:type="paragraph" w:customStyle="1" w:styleId="125">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7">
    <w:name w:val="文档正文文本（中安网脉）"/>
    <w:basedOn w:val="1"/>
    <w:qFormat/>
    <w:uiPriority w:val="0"/>
    <w:pPr>
      <w:ind w:firstLine="200"/>
    </w:pPr>
    <w:rPr>
      <w:rFonts w:ascii="Times New Roman" w:hAnsi="Times New Roman" w:eastAsia="FangSong_GB2312"/>
      <w:color w:val="000000"/>
      <w:szCs w:val="28"/>
    </w:rPr>
  </w:style>
  <w:style w:type="paragraph" w:customStyle="1" w:styleId="128">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9">
    <w:name w:val="正文样式"/>
    <w:link w:val="137"/>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30">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31">
    <w:name w:val="TOC 标题1"/>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table" w:customStyle="1" w:styleId="132">
    <w:name w:val="!我的表格1"/>
    <w:basedOn w:val="3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
    <w:name w:val="网格型1"/>
    <w:basedOn w:val="36"/>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标题 1 Char"/>
    <w:qFormat/>
    <w:uiPriority w:val="0"/>
    <w:rPr>
      <w:rFonts w:ascii="宋体" w:hAnsi="宋体" w:eastAsia="黑体"/>
      <w:b/>
      <w:bCs/>
      <w:kern w:val="44"/>
      <w:sz w:val="32"/>
      <w:szCs w:val="28"/>
    </w:rPr>
  </w:style>
  <w:style w:type="character" w:customStyle="1" w:styleId="135">
    <w:name w:val="ces正文 字符"/>
    <w:link w:val="136"/>
    <w:qFormat/>
    <w:uiPriority w:val="0"/>
    <w:rPr>
      <w:rFonts w:cs="宋体"/>
      <w:sz w:val="24"/>
      <w:szCs w:val="32"/>
      <w:lang w:val="zh-CN"/>
    </w:rPr>
  </w:style>
  <w:style w:type="paragraph" w:customStyle="1" w:styleId="136">
    <w:name w:val="ces正文"/>
    <w:basedOn w:val="1"/>
    <w:link w:val="135"/>
    <w:qFormat/>
    <w:uiPriority w:val="0"/>
    <w:pPr>
      <w:widowControl/>
    </w:pPr>
    <w:rPr>
      <w:rFonts w:ascii="Times New Roman" w:hAnsi="Times New Roman" w:cs="宋体"/>
      <w:kern w:val="0"/>
      <w:szCs w:val="32"/>
      <w:lang w:val="zh-CN"/>
    </w:rPr>
  </w:style>
  <w:style w:type="character" w:customStyle="1" w:styleId="137">
    <w:name w:val="正文样式 Char"/>
    <w:link w:val="129"/>
    <w:qFormat/>
    <w:uiPriority w:val="0"/>
    <w:rPr>
      <w:bCs/>
      <w:snapToGrid w:val="0"/>
      <w:sz w:val="24"/>
      <w:szCs w:val="44"/>
    </w:rPr>
  </w:style>
  <w:style w:type="character" w:customStyle="1" w:styleId="138">
    <w:name w:val="正文文本首行缩进 2 字符"/>
    <w:basedOn w:val="89"/>
    <w:link w:val="35"/>
    <w:semiHidden/>
    <w:qFormat/>
    <w:uiPriority w:val="0"/>
    <w:rPr>
      <w:rFonts w:ascii="宋体" w:hAnsi="宋体"/>
      <w:kern w:val="2"/>
      <w:sz w:val="24"/>
      <w:szCs w:val="24"/>
    </w:rPr>
  </w:style>
  <w:style w:type="paragraph" w:customStyle="1" w:styleId="139">
    <w:name w:val="修订2"/>
    <w:hidden/>
    <w:semiHidden/>
    <w:qFormat/>
    <w:uiPriority w:val="99"/>
    <w:rPr>
      <w:rFonts w:ascii="宋体" w:hAnsi="宋体" w:eastAsia="宋体" w:cs="Times New Roman"/>
      <w:kern w:val="2"/>
      <w:sz w:val="24"/>
      <w:szCs w:val="24"/>
      <w:lang w:val="en-US" w:eastAsia="zh-CN" w:bidi="ar-SA"/>
    </w:rPr>
  </w:style>
  <w:style w:type="character" w:customStyle="1" w:styleId="140">
    <w:name w:val="font81"/>
    <w:basedOn w:val="38"/>
    <w:qFormat/>
    <w:uiPriority w:val="0"/>
    <w:rPr>
      <w:rFonts w:hint="eastAsia" w:ascii="宋体" w:hAnsi="宋体" w:eastAsia="宋体" w:cs="宋体"/>
      <w:color w:val="000000"/>
      <w:sz w:val="24"/>
      <w:szCs w:val="24"/>
      <w:u w:val="none"/>
    </w:rPr>
  </w:style>
  <w:style w:type="character" w:customStyle="1" w:styleId="141">
    <w:name w:val="font61"/>
    <w:basedOn w:val="38"/>
    <w:qFormat/>
    <w:uiPriority w:val="0"/>
    <w:rPr>
      <w:rFonts w:ascii="Calibri" w:hAnsi="Calibri" w:cs="Calibri"/>
      <w:color w:val="000000"/>
      <w:sz w:val="18"/>
      <w:szCs w:val="18"/>
      <w:u w:val="none"/>
    </w:rPr>
  </w:style>
  <w:style w:type="character" w:customStyle="1" w:styleId="142">
    <w:name w:val="font51"/>
    <w:basedOn w:val="38"/>
    <w:qFormat/>
    <w:uiPriority w:val="0"/>
    <w:rPr>
      <w:rFonts w:hint="eastAsia" w:ascii="宋体" w:hAnsi="宋体" w:eastAsia="宋体" w:cs="宋体"/>
      <w:color w:val="000000"/>
      <w:sz w:val="18"/>
      <w:szCs w:val="18"/>
      <w:u w:val="none"/>
    </w:rPr>
  </w:style>
  <w:style w:type="paragraph" w:customStyle="1" w:styleId="143">
    <w:name w:val="修订3"/>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F7610501-4FC0-48D8-AE9A-1F54004F8A83}">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1307</Words>
  <Characters>1327</Characters>
  <Lines>120</Lines>
  <Paragraphs>34</Paragraphs>
  <TotalTime>2</TotalTime>
  <ScaleCrop>false</ScaleCrop>
  <LinksUpToDate>false</LinksUpToDate>
  <CharactersWithSpaces>1346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2024-06-30T00:59:00Z</dcterms:created>
  <dc:creator>gtig_tzb</dc:creator>
  <cp:lastModifiedBy>张姝雅</cp:lastModifiedBy>
  <cp:lastPrinted>2020-08-08T12:08:00Z</cp:lastPrinted>
  <dcterms:modified xsi:type="dcterms:W3CDTF">2026-03-23T13:48:33Z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D74C2E75A36BDD2331D4C06953863BC7_43</vt:lpwstr>
  </property>
  <property fmtid="{D5CDD505-2E9C-101B-9397-08002B2CF9AE}" pid="4" name="KSOTemplateDocerSaveRecord">
    <vt:lpwstr>eyJoZGlkIjoiYTllZmYyZGVlZGNhNzg1ZTc2ZjE2M2E4NzE1YmE1MmIiLCJ1c2VySWQiOiIxMDU1NTkxMDg5In0=</vt:lpwstr>
  </property>
</Properties>
</file>