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r>
        <w:rPr>
          <w:rFonts w:hint="eastAsia" w:ascii="黑体" w:hAnsi="黑体" w:eastAsia="黑体"/>
          <w:sz w:val="52"/>
          <w:szCs w:val="52"/>
        </w:rPr>
        <w:t>上海市政府采购云平台建设项目（2026年升级改造）</w:t>
      </w:r>
    </w:p>
    <w:p>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p>
    <w:p>
      <w:pPr>
        <w:ind w:firstLine="1040"/>
        <w:rPr>
          <w:rFonts w:hint="eastAsia" w:ascii="黑体" w:hAnsi="黑体" w:eastAsia="黑体"/>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ind w:firstLine="1040"/>
        <w:rPr>
          <w:rFonts w:hint="eastAsia" w:ascii="黑体" w:hAnsi="黑体" w:eastAsia="黑体"/>
          <w:sz w:val="52"/>
          <w:szCs w:val="52"/>
        </w:rPr>
      </w:pPr>
    </w:p>
    <w:p>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rPr>
      </w:pPr>
      <w:bookmarkStart w:id="0" w:name="_Toc63785461"/>
      <w:r>
        <w:rPr>
          <w:rFonts w:hint="eastAsia"/>
        </w:rPr>
        <w:t>项目概况</w:t>
      </w:r>
      <w:bookmarkEnd w:id="0"/>
    </w:p>
    <w:p>
      <w:pPr>
        <w:pStyle w:val="3"/>
        <w:rPr>
          <w:rFonts w:hint="eastAsia"/>
        </w:rPr>
      </w:pPr>
      <w:bookmarkStart w:id="1" w:name="_Toc47531634"/>
      <w:bookmarkEnd w:id="1"/>
      <w:bookmarkStart w:id="2" w:name="_Toc47532891"/>
      <w:bookmarkEnd w:id="2"/>
      <w:bookmarkStart w:id="3" w:name="_Toc47533256"/>
      <w:bookmarkEnd w:id="3"/>
      <w:bookmarkStart w:id="4" w:name="_Toc47537134"/>
      <w:bookmarkEnd w:id="4"/>
      <w:bookmarkStart w:id="5" w:name="_Toc47536644"/>
      <w:bookmarkEnd w:id="5"/>
      <w:bookmarkStart w:id="6" w:name="_Toc47536272"/>
      <w:bookmarkEnd w:id="6"/>
      <w:bookmarkStart w:id="7" w:name="_Toc47539070"/>
      <w:bookmarkEnd w:id="7"/>
      <w:bookmarkStart w:id="8" w:name="_Toc47532255"/>
      <w:bookmarkEnd w:id="8"/>
      <w:bookmarkStart w:id="9" w:name="_Toc48223882"/>
      <w:bookmarkStart w:id="10" w:name="_Toc63785463"/>
      <w:r>
        <w:rPr>
          <w:rFonts w:hint="eastAsia"/>
        </w:rPr>
        <w:t>项目背景</w:t>
      </w:r>
    </w:p>
    <w:p>
      <w:pPr>
        <w:pStyle w:val="4"/>
        <w:rPr>
          <w:rFonts w:hint="eastAsia"/>
        </w:rPr>
      </w:pPr>
      <w:r>
        <w:rPr>
          <w:rFonts w:hint="eastAsia"/>
        </w:rPr>
        <w:t>政府采购专业业务大系统（2026年升级改造）</w:t>
      </w:r>
    </w:p>
    <w:p>
      <w:pPr>
        <w:widowControl/>
        <w:ind w:firstLine="566" w:firstLineChars="236"/>
        <w:rPr>
          <w:rFonts w:hint="eastAsia"/>
          <w:bCs/>
        </w:rPr>
      </w:pPr>
      <w:r>
        <w:rPr>
          <w:rFonts w:hint="eastAsia"/>
          <w:bCs/>
        </w:rPr>
        <w:t>按照进一步深化政府采购制度改革、健全本市政府采购全链条管理要求，构建维护公平竞争且符合国际通行规则的政府采购营商环境，依托本市政府采购云平台和预算管理一体化系统，积极推进“互联网+政府采购”深度融合，进一步优化完善政府采购业务全流程电子化各项功能，形成预算、采购、支付全链条闭环管理，并通过政府采购数据赋能，进一步提高政府采购质效，助力提升财政管理水平。</w:t>
      </w:r>
    </w:p>
    <w:p>
      <w:pPr>
        <w:widowControl/>
        <w:ind w:firstLine="566" w:firstLineChars="236"/>
        <w:rPr>
          <w:rFonts w:hint="eastAsia"/>
          <w:bCs/>
        </w:rPr>
      </w:pPr>
      <w:r>
        <w:rPr>
          <w:rFonts w:hint="eastAsia"/>
          <w:bCs/>
        </w:rPr>
        <w:t>在满足现有功能及要求、并承接相关历史数据基础上，进行技术升级适配国产化要求，同时基于历年应用的问题反馈进行分析总结，进一步优化相关内容。另外，结合数字化改革要求进一步优化创新、进一步满足优化营商环境要求，增强政府采购透明度，推进长三角区域政府采购一体化发展。</w:t>
      </w:r>
    </w:p>
    <w:p>
      <w:pPr>
        <w:pStyle w:val="4"/>
        <w:rPr>
          <w:rFonts w:hint="eastAsia"/>
          <w:bCs w:val="0"/>
        </w:rPr>
      </w:pPr>
      <w:r>
        <w:rPr>
          <w:rFonts w:hint="eastAsia"/>
        </w:rPr>
        <w:t>财政业务专网向电子政务外网迁移及安全改造</w:t>
      </w:r>
    </w:p>
    <w:p>
      <w:pPr>
        <w:widowControl/>
        <w:ind w:firstLine="566" w:firstLineChars="236"/>
        <w:rPr>
          <w:rFonts w:hint="eastAsia"/>
          <w:bCs/>
        </w:rPr>
      </w:pPr>
      <w:r>
        <w:rPr>
          <w:rFonts w:hint="eastAsia"/>
          <w:bCs/>
        </w:rPr>
        <w:t>根据前期财政部《关于开展财政业务专网向电子政务外网迁移试点工作的通知》（附件1）要求，在对本市财政业务专网的使用和管理现状进行梳理后确认符合财政部试点要求，已向财政部申请试点并获同意。</w:t>
      </w:r>
    </w:p>
    <w:p>
      <w:pPr>
        <w:widowControl/>
        <w:ind w:firstLine="566" w:firstLineChars="236"/>
        <w:rPr>
          <w:rFonts w:hint="eastAsia"/>
          <w:bCs/>
        </w:rPr>
      </w:pPr>
      <w:r>
        <w:rPr>
          <w:rFonts w:hint="eastAsia"/>
          <w:bCs/>
        </w:rPr>
        <w:t>按照财政部《财政业务专网向电子政务外网迁移试点实施方案》（附件2）要求，本市财政业务专网（包括直属单位及各区财政端）拟一并参考部里相同技术规范迁移至电子政务外网。同时取消我局与财政部、直属单位和区财政与我局的专线19条。</w:t>
      </w:r>
    </w:p>
    <w:p>
      <w:pPr>
        <w:widowControl/>
        <w:ind w:firstLine="566" w:firstLineChars="236"/>
        <w:rPr>
          <w:rFonts w:hint="eastAsia"/>
          <w:bCs/>
        </w:rPr>
      </w:pPr>
      <w:r>
        <w:rPr>
          <w:rFonts w:hint="eastAsia"/>
          <w:bCs/>
        </w:rPr>
        <w:t>按照市保密局对于工作秘密信息的传输要求，承载的通讯网络节点需通过三级等保测评。</w:t>
      </w:r>
    </w:p>
    <w:p>
      <w:pPr>
        <w:widowControl/>
        <w:ind w:firstLine="566" w:firstLineChars="236"/>
        <w:rPr>
          <w:rFonts w:hint="eastAsia"/>
          <w:bCs/>
        </w:rPr>
      </w:pPr>
      <w:r>
        <w:rPr>
          <w:rFonts w:hint="eastAsia"/>
          <w:bCs/>
        </w:rPr>
        <w:t>各区财政节点拟参考财政部实施方案，由其自行采购符合财政部及三级等保要求的相关网络及安全设备，网络设备到货后由市财政局统一配置完成后自行部署上架，各单位自行承担并落实相应网络安全责任。</w:t>
      </w:r>
    </w:p>
    <w:p>
      <w:pPr>
        <w:widowControl/>
        <w:ind w:firstLine="566" w:firstLineChars="236"/>
        <w:rPr>
          <w:rFonts w:hint="eastAsia"/>
          <w:bCs/>
        </w:rPr>
      </w:pPr>
      <w:r>
        <w:rPr>
          <w:rFonts w:hint="eastAsia"/>
          <w:bCs/>
        </w:rPr>
        <w:t>市财政监督局需自行申请政务外网线路，本项目按照财政部及三级等保要求统一为其采购相应网络及安全设备。</w:t>
      </w:r>
    </w:p>
    <w:p>
      <w:pPr>
        <w:widowControl/>
        <w:ind w:firstLine="566" w:firstLineChars="236"/>
        <w:rPr>
          <w:rFonts w:hint="eastAsia"/>
          <w:bCs/>
        </w:rPr>
      </w:pPr>
      <w:r>
        <w:rPr>
          <w:rFonts w:hint="eastAsia"/>
          <w:bCs/>
        </w:rPr>
        <w:t>收付中心（部分）、评审中心、财会中心、资产中心和担保中心由于办公场所在同一地址（陆家浜路1054号），若由各单位自行独立申请政务外网并各自分别采购符合财政部及三级等保要求的相关网络及安全设备，会造成重复建设、资源利用率低且浪费财政资金。因此，由市财政局统一申请一条政务外网线路，并在本项目中申报购置一套符合相关要求的网络及安全设备供五家单位共同使用。同时要求五家单位做好线路和设备所需网络机房环境的建设和日常维护。</w:t>
      </w:r>
    </w:p>
    <w:p>
      <w:pPr>
        <w:widowControl/>
        <w:ind w:firstLine="566" w:firstLineChars="236"/>
        <w:rPr>
          <w:rFonts w:hint="eastAsia"/>
          <w:bCs/>
        </w:rPr>
      </w:pPr>
      <w:r>
        <w:rPr>
          <w:rFonts w:hint="eastAsia"/>
          <w:bCs/>
        </w:rPr>
        <w:t>按照财政部通知要求，试点省市设备具体型号需根据部中心设备采购情况确定，各地方需采购与财政部同品牌设备。</w:t>
      </w:r>
    </w:p>
    <w:p>
      <w:pPr>
        <w:pStyle w:val="3"/>
        <w:rPr>
          <w:rFonts w:hint="eastAsia"/>
        </w:rPr>
      </w:pPr>
      <w:r>
        <w:rPr>
          <w:rFonts w:hint="eastAsia"/>
        </w:rPr>
        <w:t>建设期限</w:t>
      </w:r>
    </w:p>
    <w:p>
      <w:pPr>
        <w:spacing w:line="240" w:lineRule="auto"/>
        <w:rPr>
          <w:rFonts w:hint="eastAsia"/>
        </w:rPr>
      </w:pPr>
      <w:r>
        <w:rPr>
          <w:rFonts w:hint="eastAsia"/>
        </w:rPr>
        <w:t>建设期限：自合同签订之日起18</w:t>
      </w:r>
      <w:r>
        <w:t>个月。</w:t>
      </w:r>
    </w:p>
    <w:p>
      <w:pPr>
        <w:pStyle w:val="3"/>
        <w:rPr>
          <w:rFonts w:hint="eastAsia"/>
        </w:rPr>
      </w:pPr>
      <w:r>
        <w:rPr>
          <w:rFonts w:hint="eastAsia"/>
        </w:rPr>
        <w:t>建设地点</w:t>
      </w:r>
    </w:p>
    <w:p>
      <w:pPr>
        <w:spacing w:line="560" w:lineRule="exact"/>
        <w:rPr>
          <w:rFonts w:hint="eastAsia"/>
        </w:rPr>
      </w:pPr>
      <w:r>
        <w:rPr>
          <w:rFonts w:hint="eastAsia"/>
        </w:rPr>
        <w:t>建设地点：肇嘉浜路</w:t>
      </w:r>
      <w:r>
        <w:t>800</w:t>
      </w:r>
      <w:r>
        <w:rPr>
          <w:rFonts w:hint="eastAsia"/>
        </w:rPr>
        <w:t>号（上海市财政局）</w:t>
      </w:r>
    </w:p>
    <w:p>
      <w:pPr>
        <w:pStyle w:val="3"/>
        <w:rPr>
          <w:rFonts w:hint="eastAsia"/>
        </w:rPr>
      </w:pPr>
      <w:r>
        <w:rPr>
          <w:rFonts w:hint="eastAsia"/>
        </w:rPr>
        <w:t>预算金额</w:t>
      </w:r>
    </w:p>
    <w:p>
      <w:pPr>
        <w:spacing w:line="560" w:lineRule="exact"/>
        <w:rPr>
          <w:rFonts w:hint="eastAsia"/>
        </w:rPr>
      </w:pPr>
      <w:r>
        <w:rPr>
          <w:rFonts w:hint="eastAsia"/>
        </w:rPr>
        <w:t>预算金额：10,247,930元</w:t>
      </w:r>
    </w:p>
    <w:p>
      <w:pPr>
        <w:pStyle w:val="3"/>
        <w:rPr>
          <w:rFonts w:hint="eastAsia"/>
        </w:rPr>
      </w:pPr>
      <w:r>
        <w:rPr>
          <w:rFonts w:hint="eastAsia"/>
        </w:rPr>
        <w:t>采购金额（最高限价）</w:t>
      </w:r>
    </w:p>
    <w:p>
      <w:pPr>
        <w:spacing w:line="560" w:lineRule="exact"/>
        <w:rPr>
          <w:rFonts w:hint="eastAsia"/>
        </w:rPr>
      </w:pPr>
      <w:r>
        <w:rPr>
          <w:rFonts w:hint="eastAsia"/>
        </w:rPr>
        <w:t>预算金额：10,247,930元</w:t>
      </w:r>
    </w:p>
    <w:p>
      <w:pPr>
        <w:pStyle w:val="3"/>
        <w:rPr>
          <w:rFonts w:hint="eastAsia"/>
        </w:rPr>
      </w:pPr>
      <w:r>
        <w:rPr>
          <w:rFonts w:hint="eastAsia"/>
        </w:rPr>
        <w:t>组织形式</w:t>
      </w:r>
    </w:p>
    <w:p>
      <w:pPr>
        <w:rPr>
          <w:rFonts w:hint="eastAsia"/>
        </w:rPr>
      </w:pPr>
      <w:r>
        <w:rPr>
          <w:rFonts w:hint="eastAsia"/>
        </w:rPr>
        <w:t>组织形式：集中采购</w:t>
      </w:r>
    </w:p>
    <w:p>
      <w:pPr>
        <w:pStyle w:val="3"/>
        <w:rPr>
          <w:rFonts w:hint="eastAsia"/>
        </w:rPr>
      </w:pPr>
      <w:r>
        <w:rPr>
          <w:rFonts w:hint="eastAsia"/>
        </w:rPr>
        <w:t>采购方式</w:t>
      </w:r>
    </w:p>
    <w:p>
      <w:pPr>
        <w:rPr>
          <w:rFonts w:hint="eastAsia"/>
        </w:rPr>
      </w:pPr>
      <w:r>
        <w:rPr>
          <w:rFonts w:hint="eastAsia"/>
        </w:rPr>
        <w:t>采购方式：公开招标</w:t>
      </w:r>
    </w:p>
    <w:p>
      <w:pPr>
        <w:pStyle w:val="3"/>
        <w:rPr>
          <w:rFonts w:hint="eastAsia"/>
        </w:rPr>
      </w:pPr>
      <w:r>
        <w:rPr>
          <w:rFonts w:hint="eastAsia"/>
        </w:rPr>
        <w:t>是否接受联合体响应</w:t>
      </w:r>
    </w:p>
    <w:p>
      <w:pPr>
        <w:rPr>
          <w:rFonts w:hint="eastAsia"/>
        </w:rPr>
      </w:pPr>
      <w:r>
        <w:rPr>
          <w:rFonts w:hint="eastAsia"/>
        </w:rPr>
        <w:t>是否接受联合体响应：否</w:t>
      </w:r>
    </w:p>
    <w:p>
      <w:pPr>
        <w:pStyle w:val="3"/>
        <w:rPr>
          <w:rFonts w:hint="eastAsia"/>
        </w:rPr>
      </w:pPr>
      <w:r>
        <w:t>是否按</w:t>
      </w:r>
      <w:r>
        <w:rPr>
          <w:rFonts w:hint="eastAsia"/>
        </w:rPr>
        <w:t>XC</w:t>
      </w:r>
      <w:r>
        <w:t>要求建设</w:t>
      </w:r>
    </w:p>
    <w:p>
      <w:pPr>
        <w:rPr>
          <w:rFonts w:hint="eastAsia"/>
        </w:rPr>
      </w:pPr>
      <w:r>
        <w:t>是否按</w:t>
      </w:r>
      <w:r>
        <w:rPr>
          <w:rFonts w:hint="eastAsia"/>
        </w:rPr>
        <w:t>XC</w:t>
      </w:r>
      <w:r>
        <w:t>要求建设：是</w:t>
      </w:r>
    </w:p>
    <w:p>
      <w:pPr>
        <w:pStyle w:val="3"/>
        <w:rPr>
          <w:rFonts w:hint="eastAsia"/>
        </w:rPr>
      </w:pPr>
      <w:r>
        <w:rPr>
          <w:rFonts w:hint="eastAsia"/>
        </w:rPr>
        <w:t>运维后所属大系统</w:t>
      </w:r>
    </w:p>
    <w:p>
      <w:pPr>
        <w:rPr>
          <w:rFonts w:hint="eastAsia"/>
        </w:rPr>
      </w:pPr>
      <w:r>
        <w:rPr>
          <w:rFonts w:hint="eastAsia"/>
        </w:rPr>
        <w:t>运维后所属大系统：上海市政府采购云平台</w:t>
      </w:r>
    </w:p>
    <w:p>
      <w:pPr>
        <w:pStyle w:val="2"/>
        <w:rPr>
          <w:rFonts w:hint="eastAsia"/>
        </w:rPr>
      </w:pPr>
      <w:r>
        <w:rPr>
          <w:rFonts w:hint="eastAsia"/>
        </w:rPr>
        <w:t>相关系统现状</w:t>
      </w:r>
    </w:p>
    <w:p>
      <w:pPr>
        <w:widowControl/>
        <w:ind w:firstLine="566" w:firstLineChars="236"/>
        <w:rPr>
          <w:rFonts w:hint="eastAsia"/>
          <w:bCs/>
        </w:rPr>
      </w:pPr>
      <w:r>
        <w:rPr>
          <w:rFonts w:hint="eastAsia"/>
          <w:bCs/>
        </w:rPr>
        <w:t>本项目是对政府采购专业业务大系统（上海政府采购云平台）进行升级改造。在满足现有功能及要求、并承接相关历史数据基础上，进行技术升级适配gch要求，同时基于历年应用的问题反馈进行分析总结，进一步新增优化以下相关内容。</w:t>
      </w:r>
    </w:p>
    <w:p>
      <w:pPr>
        <w:widowControl/>
        <w:ind w:firstLine="566" w:firstLineChars="236"/>
        <w:rPr>
          <w:rFonts w:hint="eastAsia"/>
          <w:bCs/>
        </w:rPr>
      </w:pPr>
      <w:r>
        <w:rPr>
          <w:rFonts w:hint="eastAsia"/>
          <w:bCs/>
        </w:rPr>
        <w:t>一、健全政府采购全链条管理，以持续提高进口产品采购审核效率、对接高标准经贸规则、增强中小企业获得感、加强采购活动两端管理、强化政府采购数字技术应用，并服务于资产管理和预算编审，同时助力推广”政采贷”。</w:t>
      </w:r>
    </w:p>
    <w:p>
      <w:pPr>
        <w:widowControl/>
        <w:ind w:firstLine="566" w:firstLineChars="236"/>
        <w:rPr>
          <w:rFonts w:hint="eastAsia"/>
          <w:bCs/>
        </w:rPr>
      </w:pPr>
      <w:r>
        <w:rPr>
          <w:rFonts w:hint="eastAsia"/>
          <w:bCs/>
        </w:rPr>
        <w:t>二、优化智慧财政政府采购版块功能，进一步优化智慧财政政府采购版块功能，加强与政府采购云平台数据对接，优化政府采购综合查询分析统计功能，辅助政府采购决策和监管。增加远程不见面操作、完善采购需求标准管理，并进一步完善政府采购项目合并采购功能、实现质疑和投诉的线上办理，以及加强与市采购中心平台的对接机制。</w:t>
      </w:r>
    </w:p>
    <w:p>
      <w:pPr>
        <w:widowControl/>
        <w:ind w:firstLine="566" w:firstLineChars="236"/>
        <w:rPr>
          <w:rFonts w:hint="eastAsia"/>
          <w:bCs/>
        </w:rPr>
      </w:pPr>
      <w:r>
        <w:rPr>
          <w:rFonts w:hint="eastAsia"/>
          <w:bCs/>
        </w:rPr>
        <w:t>三、完善与工程建设招标平台对接机制，结合世行新一轮营商环境对标改革要求，在现有基础上完善与建设工程招投标平台对接机制，优化完善政府采购实施计划推送、项目及合同信息反馈、支付申请等功能。</w:t>
      </w:r>
    </w:p>
    <w:p>
      <w:pPr>
        <w:widowControl/>
        <w:ind w:firstLine="566" w:firstLineChars="236"/>
        <w:rPr>
          <w:rFonts w:hint="eastAsia"/>
          <w:bCs/>
        </w:rPr>
      </w:pPr>
      <w:r>
        <w:rPr>
          <w:rFonts w:hint="eastAsia"/>
          <w:bCs/>
        </w:rPr>
        <w:t>四、与现有系统的关联升级，对电子化交易、监管功能及预算管理一体化系统政府采购相关模块进行升级改造。电子交易系统架构升级，通过项目为介质、时间为轴的方式，将采购全链路环节化和要素元素化，并以流程驱动为串联工具，实现解耦后拼搭融合项目采购、框架协议、合作创新采购方式等多样化需求，从而确保系统的灵活性和适配性。</w:t>
      </w:r>
    </w:p>
    <w:p>
      <w:pPr>
        <w:widowControl/>
        <w:ind w:firstLine="566" w:firstLineChars="236"/>
        <w:rPr>
          <w:rFonts w:hint="eastAsia"/>
          <w:bCs/>
        </w:rPr>
      </w:pPr>
      <w:r>
        <w:rPr>
          <w:rFonts w:hint="eastAsia"/>
          <w:bCs/>
        </w:rPr>
        <w:t>五、系统使用用户群及权限分级分类，云平台岗位权限模型升级，对云平台的功能菜单、操作项梳理并通过岗位挂接功能权限验证业务操作，从而实现政府采购云平台、预算管理一体化系统用户权限实行分级分类管理。</w:t>
      </w:r>
    </w:p>
    <w:p>
      <w:pPr>
        <w:widowControl/>
        <w:ind w:firstLine="566" w:firstLineChars="236"/>
        <w:rPr>
          <w:rFonts w:hint="eastAsia"/>
          <w:bCs/>
        </w:rPr>
      </w:pPr>
      <w:r>
        <w:rPr>
          <w:rFonts w:hint="eastAsia"/>
          <w:bCs/>
        </w:rPr>
        <w:t>六、项目立项分包优化、采购文件所见所得在线编制、投标客户端结构性优化、开标大厅的模拟线下开标场景、评标大厅流程式引导优化、合同所见所得在线签订、电子档案储存及性能优化。业务升级层面，增加远程异地评审、专家资源共享、行政裁决、信用信息库&amp;行政裁决库&amp;案例库&amp;法规库引入、长三角数据汇聚及共享平台。</w:t>
      </w:r>
    </w:p>
    <w:p>
      <w:pPr>
        <w:widowControl/>
        <w:ind w:firstLine="566" w:firstLineChars="236"/>
        <w:rPr>
          <w:rFonts w:hint="eastAsia"/>
          <w:bCs/>
        </w:rPr>
      </w:pPr>
      <w:r>
        <w:rPr>
          <w:rFonts w:hint="eastAsia"/>
          <w:bCs/>
        </w:rPr>
        <w:t>七、XC适配改造，包括操作系统适配、数据库适配、Web容器适配等工作。</w:t>
      </w:r>
    </w:p>
    <w:p>
      <w:pPr>
        <w:pStyle w:val="2"/>
        <w:rPr>
          <w:rFonts w:hint="eastAsia"/>
        </w:rPr>
      </w:pPr>
      <w:r>
        <w:rPr>
          <w:rFonts w:hint="eastAsia"/>
        </w:rPr>
        <w:t>建设目标</w:t>
      </w:r>
      <w:bookmarkEnd w:id="9"/>
      <w:bookmarkEnd w:id="10"/>
    </w:p>
    <w:p>
      <w:pPr>
        <w:pStyle w:val="3"/>
        <w:rPr>
          <w:rFonts w:hint="eastAsia"/>
        </w:rPr>
      </w:pPr>
      <w:r>
        <w:rPr>
          <w:rFonts w:hint="eastAsia"/>
        </w:rPr>
        <w:t xml:space="preserve"> 政府采购专业业务大系统（2026年升级改造）</w:t>
      </w:r>
    </w:p>
    <w:p>
      <w:pPr>
        <w:rPr>
          <w:rFonts w:hint="eastAsia"/>
          <w:bCs/>
        </w:rPr>
      </w:pPr>
      <w:r>
        <w:rPr>
          <w:rFonts w:hint="eastAsia"/>
          <w:bCs/>
        </w:rPr>
        <w:t>为深入贯彻落实十二届市委三次全会精神，健全本市政府采购全链条管理，完善与工程建设招标平台对接机制，构建维护公平竞争且符合国际通行规则的政府采购营商环境。</w:t>
      </w:r>
    </w:p>
    <w:p>
      <w:pPr>
        <w:rPr>
          <w:rFonts w:hint="eastAsia"/>
          <w:bCs/>
        </w:rPr>
      </w:pPr>
      <w:r>
        <w:rPr>
          <w:rFonts w:hint="eastAsia"/>
          <w:bCs/>
        </w:rPr>
        <w:t>通过优化智慧财政的功能，进一步加强财政资源统筹，一是进行技术升级适配国产化要求，二是通过升级网站、采购计划、项目采购、合同库、合同管理、预警管理、供应商库等模块，并新建框架协议、履约验收、金融管理、质疑投诉、行政裁决、数据报表、财政大屏、电子档案、智能监管等模块，增强中小企业获得感，推广 “政采贷”，完善合并采购、项目立项分包，优化采购活动两端管理、投标客户端、开标评标大厅及电子档案储存；加强系统对接，包括与市采购中心平台、外部系统对接及实现长三角供应商数据共享；健全框架协议服务类商品交易规则，完善合同模板、线上质疑投诉及行政裁决流程，优化政策类报表与智慧财政政府采购版块功能；强化数字技术应用，增加远程异地评审、智能采购文件巡检与智能监管功能，对接高标准经贸规则，服务资产管理并辅助预算编审。</w:t>
      </w:r>
    </w:p>
    <w:p>
      <w:pPr>
        <w:pStyle w:val="3"/>
        <w:rPr>
          <w:rFonts w:hint="eastAsia"/>
        </w:rPr>
      </w:pPr>
      <w:r>
        <w:rPr>
          <w:rFonts w:hint="eastAsia"/>
        </w:rPr>
        <w:t>财政业务专网向电子政务外网迁移及安全改造</w:t>
      </w:r>
    </w:p>
    <w:p>
      <w:pPr>
        <w:rPr>
          <w:rFonts w:hint="eastAsia"/>
          <w:bCs/>
        </w:rPr>
      </w:pPr>
      <w:r>
        <w:rPr>
          <w:rFonts w:hint="eastAsia"/>
          <w:bCs/>
        </w:rPr>
        <w:t>按照财政部《财政业务专网向电子政务外网迁移试点实施方案》（附件2）要求，参考部里相同技术规范，将本市财政业务专网（包括直属单位及各区财政端）迁移至电子政务外网，在本项目中根据迁移要求在市财政局、市财政监督局和陆家浜路1054号（收付中心（部分）、评审中心、财会中心、资产中心和担保中心）三个办公点部署满足要求的网络和安全设备。同时取消我局与财政部、直属单位和区财政与我局的专线19条。</w:t>
      </w:r>
    </w:p>
    <w:p>
      <w:pPr>
        <w:rPr>
          <w:rFonts w:hint="eastAsia"/>
          <w:bCs/>
        </w:rPr>
      </w:pPr>
      <w:r>
        <w:rPr>
          <w:rFonts w:hint="eastAsia"/>
          <w:bCs/>
        </w:rPr>
        <w:t>按照市保密局对于工作秘密信息的传输要求，承载的通讯网络节点需通过三级等保测评。</w:t>
      </w:r>
    </w:p>
    <w:p>
      <w:pPr>
        <w:pStyle w:val="2"/>
        <w:rPr>
          <w:rFonts w:hint="eastAsia"/>
        </w:rPr>
      </w:pPr>
      <w:bookmarkStart w:id="11" w:name="_Toc47539102"/>
      <w:bookmarkEnd w:id="11"/>
      <w:bookmarkStart w:id="12" w:name="_Toc47537166"/>
      <w:bookmarkEnd w:id="12"/>
      <w:bookmarkStart w:id="13" w:name="_Toc47532923"/>
      <w:bookmarkEnd w:id="13"/>
      <w:bookmarkStart w:id="14" w:name="_Toc47536304"/>
      <w:bookmarkEnd w:id="14"/>
      <w:bookmarkStart w:id="15" w:name="_Toc47533288"/>
      <w:bookmarkEnd w:id="15"/>
      <w:bookmarkStart w:id="16" w:name="_Toc47536676"/>
      <w:bookmarkEnd w:id="16"/>
      <w:r>
        <w:rPr>
          <w:rFonts w:hint="eastAsia"/>
        </w:rPr>
        <w:t>项目建设内容</w:t>
      </w:r>
    </w:p>
    <w:p>
      <w:pPr>
        <w:pStyle w:val="3"/>
        <w:rPr>
          <w:rFonts w:hint="eastAsia"/>
        </w:rPr>
      </w:pPr>
      <w:r>
        <w:rPr>
          <w:rFonts w:hint="eastAsia"/>
        </w:rPr>
        <w:t>政府采购专业业务大系统（2026年升级改造）</w:t>
      </w:r>
    </w:p>
    <w:p>
      <w:pPr>
        <w:widowControl/>
        <w:snapToGrid w:val="0"/>
        <w:spacing w:line="440" w:lineRule="exact"/>
        <w:jc w:val="left"/>
        <w:rPr>
          <w:rFonts w:hint="eastAsia"/>
        </w:rPr>
      </w:pPr>
      <w:r>
        <w:rPr>
          <w:rFonts w:hint="eastAsia"/>
        </w:rPr>
        <w:t>在对现有系统功能进行XC改造的基础上，为了健全政府采购全链条管理、优化智慧财政政府采购板块功能、完善与工程建设招标平台对接机制，本项目对网站、采购实施计划、项目采购、合同管理、预警管理、供应商库、系统管理等模块，并新建框架协议、合同库、履约验收、合同管理、质疑投诉、行政裁决、数据报表、财政大屏、电子档案、智能监管等多个模块，提升政采云平台的整体水平。</w:t>
      </w:r>
    </w:p>
    <w:p>
      <w:pPr>
        <w:widowControl/>
        <w:snapToGrid w:val="0"/>
        <w:spacing w:line="440" w:lineRule="exact"/>
        <w:jc w:val="left"/>
        <w:rPr>
          <w:rFonts w:hint="eastAsia"/>
        </w:rPr>
      </w:pPr>
      <w:r>
        <w:rPr>
          <w:rFonts w:hint="eastAsia"/>
        </w:rPr>
        <w:t>（一）对政采云平台中尚未XC的现有功能进行XC改造</w:t>
      </w:r>
    </w:p>
    <w:p>
      <w:pPr>
        <w:widowControl/>
        <w:snapToGrid w:val="0"/>
        <w:spacing w:line="440" w:lineRule="exact"/>
        <w:jc w:val="left"/>
        <w:rPr>
          <w:rFonts w:hint="eastAsia"/>
        </w:rPr>
      </w:pPr>
      <w:r>
        <w:rPr>
          <w:rFonts w:hint="eastAsia"/>
        </w:rPr>
        <w:t>基于Arm架构统信UOSV20国产操作系统中适配，构建应用基础镜像、k8s权限基础镜像等基础镜像，以及服务器监控组件(node-exporter)、网关服务监控组件(Nginx-exporter)、搜索服务监控组件等组件镜像；开发服务虚拟化、数据增量工具、缓存Redis/消息队列RocketMQ等中间件、大数据组件及系统工具等。适配改造内容包括操作系统XC适配、WEB容器XC适配、数据库XC适配、招投标客户端XC适配、大数据分析XC适配等，需完成业务应用迁移、对象存储迁移、消息队列迁移、业务网关迁移等工作。</w:t>
      </w:r>
    </w:p>
    <w:p>
      <w:pPr>
        <w:widowControl/>
        <w:snapToGrid w:val="0"/>
        <w:spacing w:line="440" w:lineRule="exact"/>
        <w:jc w:val="left"/>
        <w:rPr>
          <w:rFonts w:hint="eastAsia"/>
        </w:rPr>
      </w:pPr>
      <w:r>
        <w:rPr>
          <w:rFonts w:hint="eastAsia"/>
        </w:rPr>
        <w:t>涉及XC适配改造的政采云已有模块包括：门户网站、采购计划、专家库管理、项目采购、云平台数据分析等。</w:t>
      </w:r>
    </w:p>
    <w:p>
      <w:pPr>
        <w:widowControl/>
        <w:snapToGrid w:val="0"/>
        <w:spacing w:line="440" w:lineRule="exact"/>
        <w:jc w:val="left"/>
        <w:rPr>
          <w:rFonts w:hint="eastAsia"/>
        </w:rPr>
      </w:pPr>
      <w:r>
        <w:rPr>
          <w:rFonts w:hint="eastAsia"/>
        </w:rPr>
        <w:t>（二）根据业务需求新建和升级政采云平台模块功能</w:t>
      </w:r>
    </w:p>
    <w:p>
      <w:pPr>
        <w:widowControl/>
        <w:snapToGrid w:val="0"/>
        <w:spacing w:line="440" w:lineRule="exact"/>
        <w:jc w:val="left"/>
        <w:rPr>
          <w:rFonts w:hint="eastAsia"/>
        </w:rPr>
      </w:pPr>
      <w:r>
        <w:rPr>
          <w:rFonts w:hint="eastAsia"/>
        </w:rPr>
        <w:t>1、升级网站：升级中小企业专窗、预留执行结果公告、政采贷专栏、网站公告敏感词检测等网站专栏功能。</w:t>
      </w:r>
    </w:p>
    <w:p>
      <w:pPr>
        <w:widowControl/>
        <w:snapToGrid w:val="0"/>
        <w:spacing w:line="440" w:lineRule="exact"/>
        <w:jc w:val="left"/>
        <w:rPr>
          <w:rFonts w:hint="eastAsia"/>
        </w:rPr>
      </w:pPr>
      <w:r>
        <w:rPr>
          <w:rFonts w:hint="eastAsia"/>
        </w:rPr>
        <w:t>2、升级采购计划：升级采购实施计划，新增采购需求管理，新增采购意向公开链接展示，新增采购意向公开提醒。</w:t>
      </w:r>
    </w:p>
    <w:p>
      <w:pPr>
        <w:widowControl/>
        <w:snapToGrid w:val="0"/>
        <w:spacing w:line="440" w:lineRule="exact"/>
        <w:jc w:val="left"/>
        <w:rPr>
          <w:rFonts w:hint="eastAsia"/>
        </w:rPr>
      </w:pPr>
      <w:r>
        <w:rPr>
          <w:rFonts w:hint="eastAsia"/>
        </w:rPr>
        <w:t>3、升级项目采购：升级委托管理、项目策划、投标客户端、采购结果功能，新建资格预审、专家抽取、数据对接功能，升级和新建采购文件中的部分功能，升级和新建开评评标中的部分功能。</w:t>
      </w:r>
    </w:p>
    <w:p>
      <w:pPr>
        <w:widowControl/>
        <w:snapToGrid w:val="0"/>
        <w:spacing w:line="440" w:lineRule="exact"/>
        <w:jc w:val="left"/>
        <w:rPr>
          <w:rFonts w:hint="eastAsia"/>
        </w:rPr>
      </w:pPr>
      <w:r>
        <w:rPr>
          <w:rFonts w:hint="eastAsia"/>
        </w:rPr>
        <w:t>4、新建框架协议：新建项目管理、招标、投标、采购方案管理、采购方案、征集文件、投标客户端、开标、评标、开标评标、协议管理、协议中心、二阶段交易、成交结果等功能。</w:t>
      </w:r>
    </w:p>
    <w:p>
      <w:pPr>
        <w:widowControl/>
        <w:snapToGrid w:val="0"/>
        <w:spacing w:line="440" w:lineRule="exact"/>
        <w:jc w:val="left"/>
        <w:rPr>
          <w:rFonts w:hint="eastAsia"/>
        </w:rPr>
      </w:pPr>
      <w:r>
        <w:rPr>
          <w:rFonts w:hint="eastAsia"/>
        </w:rPr>
        <w:t>5、新增项目数据查询：新增财政用户在【监管查询】-【采购包查询】菜单列表查看对应的数据。</w:t>
      </w:r>
    </w:p>
    <w:p>
      <w:pPr>
        <w:widowControl/>
        <w:snapToGrid w:val="0"/>
        <w:spacing w:line="440" w:lineRule="exact"/>
        <w:jc w:val="left"/>
        <w:rPr>
          <w:rFonts w:hint="eastAsia"/>
        </w:rPr>
      </w:pPr>
      <w:r>
        <w:rPr>
          <w:rFonts w:hint="eastAsia"/>
        </w:rPr>
        <w:t xml:space="preserve">6、安全可靠产品标识：建立统一的 “通过安全测评” 标识体系，该标识在预算一体化系统中创建，并贯通至政府采购云平台的采购计划、征集文件编制、投标、开评标、商品管理及交易等环节，实现对安全合规产品的精准筛选与强制采购。 </w:t>
      </w:r>
    </w:p>
    <w:p>
      <w:pPr>
        <w:widowControl/>
        <w:snapToGrid w:val="0"/>
        <w:spacing w:line="440" w:lineRule="exact"/>
        <w:jc w:val="left"/>
        <w:rPr>
          <w:rFonts w:hint="eastAsia"/>
        </w:rPr>
      </w:pPr>
      <w:r>
        <w:rPr>
          <w:rFonts w:hint="eastAsia"/>
        </w:rPr>
        <w:t>7、升级合同库：新建履约验收功能。</w:t>
      </w:r>
    </w:p>
    <w:p>
      <w:pPr>
        <w:widowControl/>
        <w:snapToGrid w:val="0"/>
        <w:spacing w:line="440" w:lineRule="exact"/>
        <w:jc w:val="left"/>
        <w:rPr>
          <w:rFonts w:hint="eastAsia"/>
        </w:rPr>
      </w:pPr>
      <w:r>
        <w:rPr>
          <w:rFonts w:hint="eastAsia"/>
        </w:rPr>
        <w:t>8、升级合同管理：升级合同模板、合同管理功能。</w:t>
      </w:r>
    </w:p>
    <w:p>
      <w:pPr>
        <w:widowControl/>
        <w:snapToGrid w:val="0"/>
        <w:spacing w:line="440" w:lineRule="exact"/>
        <w:jc w:val="left"/>
        <w:rPr>
          <w:rFonts w:hint="eastAsia"/>
        </w:rPr>
      </w:pPr>
      <w:r>
        <w:rPr>
          <w:rFonts w:hint="eastAsia"/>
        </w:rPr>
        <w:t>9、新建履约验收：包括履约管理、验收管理、验收对接、支付申请。</w:t>
      </w:r>
    </w:p>
    <w:p>
      <w:pPr>
        <w:widowControl/>
        <w:snapToGrid w:val="0"/>
        <w:spacing w:line="440" w:lineRule="exact"/>
        <w:jc w:val="left"/>
        <w:rPr>
          <w:rFonts w:hint="eastAsia"/>
        </w:rPr>
      </w:pPr>
      <w:r>
        <w:rPr>
          <w:rFonts w:hint="eastAsia"/>
        </w:rPr>
        <w:t>10、新建金融管理：新建政采贷，新建电子保函功能。</w:t>
      </w:r>
    </w:p>
    <w:p>
      <w:pPr>
        <w:widowControl/>
        <w:snapToGrid w:val="0"/>
        <w:spacing w:line="440" w:lineRule="exact"/>
        <w:jc w:val="left"/>
        <w:rPr>
          <w:rFonts w:hint="eastAsia"/>
        </w:rPr>
      </w:pPr>
      <w:r>
        <w:rPr>
          <w:rFonts w:hint="eastAsia"/>
        </w:rPr>
        <w:t>11、新建质疑投诉：包括询问管理、质疑管理、投诉管理、流程管理等功能。</w:t>
      </w:r>
    </w:p>
    <w:p>
      <w:pPr>
        <w:widowControl/>
        <w:snapToGrid w:val="0"/>
        <w:spacing w:line="440" w:lineRule="exact"/>
        <w:jc w:val="left"/>
        <w:rPr>
          <w:rFonts w:hint="eastAsia"/>
        </w:rPr>
      </w:pPr>
      <w:r>
        <w:rPr>
          <w:rFonts w:hint="eastAsia"/>
        </w:rPr>
        <w:t>12、新建行政裁决：包括投诉受理、案例库功能。</w:t>
      </w:r>
    </w:p>
    <w:p>
      <w:pPr>
        <w:widowControl/>
        <w:snapToGrid w:val="0"/>
        <w:spacing w:line="440" w:lineRule="exact"/>
        <w:jc w:val="left"/>
        <w:rPr>
          <w:rFonts w:hint="eastAsia"/>
        </w:rPr>
      </w:pPr>
      <w:r>
        <w:rPr>
          <w:rFonts w:hint="eastAsia"/>
        </w:rPr>
        <w:t>13、新建数据报表：根据数据指标生成报表数据，对项目进程中的资料进行归集，支持打包下载。</w:t>
      </w:r>
    </w:p>
    <w:p>
      <w:pPr>
        <w:widowControl/>
        <w:snapToGrid w:val="0"/>
        <w:spacing w:line="440" w:lineRule="exact"/>
        <w:jc w:val="left"/>
        <w:rPr>
          <w:rFonts w:hint="eastAsia"/>
        </w:rPr>
      </w:pPr>
      <w:r>
        <w:rPr>
          <w:rFonts w:hint="eastAsia"/>
        </w:rPr>
        <w:t>14、新建财政大屏数据对接：实现财政大屏的数据初始化、接口开放配置和数据api接口的统一管理。</w:t>
      </w:r>
    </w:p>
    <w:p>
      <w:pPr>
        <w:widowControl/>
        <w:snapToGrid w:val="0"/>
        <w:spacing w:line="440" w:lineRule="exact"/>
        <w:jc w:val="left"/>
        <w:rPr>
          <w:rFonts w:hint="eastAsia"/>
        </w:rPr>
      </w:pPr>
      <w:r>
        <w:rPr>
          <w:rFonts w:hint="eastAsia"/>
        </w:rPr>
        <w:t>15、新建电子档案：实现电子档案自动归档。支持打包下载。</w:t>
      </w:r>
    </w:p>
    <w:p>
      <w:pPr>
        <w:widowControl/>
        <w:snapToGrid w:val="0"/>
        <w:spacing w:line="440" w:lineRule="exact"/>
        <w:jc w:val="left"/>
        <w:rPr>
          <w:rFonts w:hint="eastAsia"/>
        </w:rPr>
      </w:pPr>
      <w:r>
        <w:rPr>
          <w:rFonts w:hint="eastAsia"/>
        </w:rPr>
        <w:t>16、新建智能监管：基于市政务大模型MAP平台，对招标资质、评分标准、技术参数等关键要素的智能比对，实时标注不合规条款，实现采购文件智能巡检查询查看功能。并依据智能监管的内容自动向监管部门发出预警信息。</w:t>
      </w:r>
    </w:p>
    <w:p>
      <w:pPr>
        <w:widowControl/>
        <w:snapToGrid w:val="0"/>
        <w:spacing w:line="440" w:lineRule="exact"/>
        <w:jc w:val="left"/>
        <w:rPr>
          <w:rFonts w:hint="eastAsia"/>
        </w:rPr>
      </w:pPr>
      <w:r>
        <w:rPr>
          <w:rFonts w:hint="eastAsia"/>
        </w:rPr>
        <w:t>17、升级供应商库：按照长三角一体化的要求，完善供应商库相关字段，实现长三角供应商数据共享。</w:t>
      </w:r>
    </w:p>
    <w:p>
      <w:pPr>
        <w:widowControl/>
        <w:snapToGrid w:val="0"/>
        <w:spacing w:line="440" w:lineRule="exact"/>
        <w:jc w:val="left"/>
        <w:rPr>
          <w:rFonts w:hint="eastAsia"/>
        </w:rPr>
      </w:pPr>
      <w:r>
        <w:rPr>
          <w:rFonts w:hint="eastAsia"/>
        </w:rPr>
        <w:t>18、升级系统管理：升级岗位权限功能。</w:t>
      </w:r>
    </w:p>
    <w:p>
      <w:pPr>
        <w:pStyle w:val="3"/>
        <w:rPr>
          <w:rFonts w:hint="eastAsia"/>
        </w:rPr>
      </w:pPr>
      <w:r>
        <w:rPr>
          <w:rFonts w:hint="eastAsia"/>
        </w:rPr>
        <w:t>财政业务专网向电子政务外网迁移及安全改造</w:t>
      </w:r>
    </w:p>
    <w:p>
      <w:pPr>
        <w:widowControl/>
        <w:snapToGrid w:val="0"/>
        <w:spacing w:line="440" w:lineRule="exact"/>
        <w:jc w:val="left"/>
        <w:rPr>
          <w:rFonts w:hint="eastAsia"/>
        </w:rPr>
      </w:pPr>
      <w:r>
        <w:rPr>
          <w:rFonts w:hint="eastAsia"/>
        </w:rPr>
        <w:t>根据迁移要求在市财政局、市财政监督局和陆家浜路1054号（收付中心（部分）、评审中心、财会中心、资产中心和担保中心）三个办公点部署满足要求的网络和安全设备。</w:t>
      </w:r>
    </w:p>
    <w:p>
      <w:pPr>
        <w:widowControl/>
        <w:snapToGrid w:val="0"/>
        <w:spacing w:line="440" w:lineRule="exact"/>
        <w:jc w:val="left"/>
        <w:rPr>
          <w:rFonts w:hint="eastAsia"/>
        </w:rPr>
      </w:pPr>
      <w:r>
        <w:rPr>
          <w:rFonts w:hint="eastAsia"/>
        </w:rPr>
        <w:t>按照财政部要求，各办公点设备购置情况如下：</w:t>
      </w:r>
    </w:p>
    <w:p>
      <w:pPr>
        <w:widowControl/>
        <w:snapToGrid w:val="0"/>
        <w:spacing w:line="440" w:lineRule="exact"/>
        <w:jc w:val="left"/>
        <w:rPr>
          <w:rFonts w:hint="eastAsia"/>
        </w:rPr>
      </w:pPr>
      <w:r>
        <w:rPr>
          <w:rFonts w:hint="eastAsia"/>
        </w:rPr>
        <w:t>一是市财政局16楼机房需部署的中心路由器、Spoke路由器、网络控制器等满足财政部财政业务专网迁移电子政务外网要求的网络设备，以及抗DDos攻击系统、安全网关系统、堡垒机、态势感知等符合三级等保要求的安全设备。</w:t>
      </w:r>
    </w:p>
    <w:p>
      <w:pPr>
        <w:widowControl/>
        <w:snapToGrid w:val="0"/>
        <w:spacing w:line="440" w:lineRule="exact"/>
        <w:jc w:val="left"/>
        <w:rPr>
          <w:rFonts w:hint="eastAsia"/>
        </w:rPr>
      </w:pPr>
      <w:r>
        <w:rPr>
          <w:rFonts w:hint="eastAsia"/>
        </w:rPr>
        <w:t>二是市财政监督局需部署的满足相关要求的网络及安全设备，包括节点路由器、防火墙、上网行为管理、抗DDos攻击系统、安全网关系统、堡垒机、态势感知等设备。</w:t>
      </w:r>
    </w:p>
    <w:p>
      <w:pPr>
        <w:widowControl/>
        <w:snapToGrid w:val="0"/>
        <w:spacing w:line="440" w:lineRule="exact"/>
        <w:jc w:val="left"/>
        <w:rPr>
          <w:rFonts w:hint="eastAsia"/>
          <w:b/>
        </w:rPr>
      </w:pPr>
      <w:r>
        <w:rPr>
          <w:rFonts w:hint="eastAsia"/>
        </w:rPr>
        <w:t>三是陆家浜路1054号地址需部署的满足相关要求的网络及安全设备，与市财政监督局相同配置。</w:t>
      </w:r>
    </w:p>
    <w:p>
      <w:pPr>
        <w:pStyle w:val="3"/>
        <w:rPr>
          <w:rFonts w:hint="eastAsia"/>
        </w:rPr>
      </w:pPr>
      <w:bookmarkStart w:id="17" w:name="_Toc149578100"/>
      <w:bookmarkStart w:id="18" w:name="_Toc108008440"/>
      <w:r>
        <w:rPr>
          <w:rFonts w:hint="eastAsia"/>
        </w:rPr>
        <w:t>应用总体架构</w:t>
      </w:r>
      <w:bookmarkEnd w:id="17"/>
      <w:bookmarkEnd w:id="18"/>
    </w:p>
    <w:p>
      <w:pPr>
        <w:ind w:firstLine="0" w:firstLineChars="0"/>
        <w:rPr>
          <w:rFonts w:hint="eastAsia"/>
          <w:b/>
        </w:rPr>
      </w:pPr>
      <w:r>
        <w:rPr>
          <w:rFonts w:hint="eastAsia" w:ascii="Calibri" w:hAnsi="Calibri"/>
          <w:sz w:val="21"/>
          <w:szCs w:val="22"/>
        </w:rPr>
        <w:drawing>
          <wp:inline distT="0" distB="0" distL="114300" distR="114300">
            <wp:extent cx="5258435" cy="5861050"/>
            <wp:effectExtent l="0" t="0" r="24765" b="6350"/>
            <wp:docPr id="1" name="图片 1" descr="5550FBEB-0878-43AC-95A6-42477DA2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50FBEB-0878-43AC-95A6-42477DA228EC"/>
                    <pic:cNvPicPr>
                      <a:picLocks noChangeAspect="1"/>
                    </pic:cNvPicPr>
                  </pic:nvPicPr>
                  <pic:blipFill>
                    <a:blip r:embed="rId13"/>
                    <a:stretch>
                      <a:fillRect/>
                    </a:stretch>
                  </pic:blipFill>
                  <pic:spPr>
                    <a:xfrm>
                      <a:off x="0" y="0"/>
                      <a:ext cx="5258435" cy="5861050"/>
                    </a:xfrm>
                    <a:prstGeom prst="rect">
                      <a:avLst/>
                    </a:prstGeom>
                  </pic:spPr>
                </pic:pic>
              </a:graphicData>
            </a:graphic>
          </wp:inline>
        </w:drawing>
      </w:r>
    </w:p>
    <w:p>
      <w:pPr>
        <w:ind w:firstLine="0" w:firstLineChars="0"/>
        <w:rPr>
          <w:rFonts w:hint="eastAsia"/>
          <w:b/>
        </w:rPr>
      </w:pPr>
    </w:p>
    <w:p>
      <w:pPr>
        <w:pStyle w:val="3"/>
        <w:rPr>
          <w:rFonts w:hint="eastAsia"/>
          <w:bCs w:val="0"/>
        </w:rPr>
      </w:pPr>
      <w:r>
        <w:rPr>
          <w:rFonts w:hint="eastAsia"/>
          <w:bCs w:val="0"/>
        </w:rPr>
        <w:t>系统性能需求</w:t>
      </w:r>
    </w:p>
    <w:p>
      <w:pPr>
        <w:pStyle w:val="134"/>
        <w:numPr>
          <w:ilvl w:val="0"/>
          <w:numId w:val="3"/>
        </w:numPr>
        <w:ind w:firstLineChars="0"/>
        <w:rPr>
          <w:rFonts w:hint="eastAsia" w:ascii="宋体" w:hAnsi="宋体" w:eastAsia="宋体"/>
          <w:color w:val="auto"/>
          <w:sz w:val="24"/>
          <w:szCs w:val="24"/>
        </w:rPr>
      </w:pPr>
      <w:r>
        <w:rPr>
          <w:rFonts w:hint="eastAsia" w:ascii="宋体" w:hAnsi="宋体" w:eastAsia="宋体"/>
          <w:color w:val="auto"/>
          <w:sz w:val="24"/>
          <w:szCs w:val="24"/>
        </w:rPr>
        <w:t>同时在线用户数≥50000；</w:t>
      </w:r>
    </w:p>
    <w:p>
      <w:pPr>
        <w:pStyle w:val="134"/>
        <w:numPr>
          <w:ilvl w:val="0"/>
          <w:numId w:val="3"/>
        </w:numPr>
        <w:ind w:firstLineChars="0"/>
        <w:rPr>
          <w:rFonts w:hint="eastAsia" w:ascii="宋体" w:hAnsi="宋体" w:eastAsia="宋体"/>
          <w:color w:val="auto"/>
          <w:sz w:val="24"/>
          <w:szCs w:val="24"/>
        </w:rPr>
      </w:pPr>
      <w:r>
        <w:rPr>
          <w:rFonts w:hint="eastAsia" w:ascii="宋体" w:hAnsi="宋体" w:eastAsia="宋体"/>
          <w:color w:val="auto"/>
          <w:sz w:val="24"/>
          <w:szCs w:val="24"/>
        </w:rPr>
        <w:t>并发用户数≥1000；</w:t>
      </w:r>
    </w:p>
    <w:p>
      <w:pPr>
        <w:pStyle w:val="134"/>
        <w:numPr>
          <w:ilvl w:val="0"/>
          <w:numId w:val="3"/>
        </w:numPr>
        <w:ind w:firstLineChars="0"/>
        <w:rPr>
          <w:rFonts w:hint="eastAsia" w:ascii="宋体" w:hAnsi="宋体" w:eastAsia="宋体"/>
          <w:color w:val="auto"/>
          <w:sz w:val="24"/>
          <w:szCs w:val="24"/>
        </w:rPr>
      </w:pPr>
      <w:r>
        <w:rPr>
          <w:rFonts w:hint="eastAsia" w:ascii="宋体" w:hAnsi="宋体" w:eastAsia="宋体"/>
          <w:color w:val="auto"/>
          <w:sz w:val="24"/>
          <w:szCs w:val="24"/>
        </w:rPr>
        <w:t>整体响应性能≤1.5秒；</w:t>
      </w:r>
    </w:p>
    <w:p>
      <w:pPr>
        <w:pStyle w:val="134"/>
        <w:numPr>
          <w:ilvl w:val="0"/>
          <w:numId w:val="3"/>
        </w:numPr>
        <w:ind w:firstLineChars="0"/>
        <w:rPr>
          <w:rFonts w:hint="eastAsia" w:ascii="宋体" w:hAnsi="宋体" w:eastAsia="宋体"/>
          <w:color w:val="auto"/>
          <w:sz w:val="24"/>
          <w:szCs w:val="24"/>
        </w:rPr>
      </w:pPr>
      <w:r>
        <w:rPr>
          <w:rFonts w:hint="eastAsia" w:ascii="宋体" w:hAnsi="宋体" w:eastAsia="宋体"/>
          <w:color w:val="auto"/>
          <w:sz w:val="24"/>
          <w:szCs w:val="24"/>
        </w:rPr>
        <w:t>系统支持3年内在线人数年增长20%的处理能力要求；</w:t>
      </w:r>
    </w:p>
    <w:p>
      <w:pPr>
        <w:pStyle w:val="134"/>
        <w:numPr>
          <w:ilvl w:val="0"/>
          <w:numId w:val="3"/>
        </w:numPr>
        <w:ind w:firstLineChars="0"/>
        <w:rPr>
          <w:rFonts w:hint="eastAsia" w:ascii="宋体" w:hAnsi="宋体" w:eastAsia="宋体"/>
          <w:color w:val="auto"/>
          <w:sz w:val="24"/>
          <w:szCs w:val="24"/>
        </w:rPr>
      </w:pPr>
      <w:r>
        <w:rPr>
          <w:rFonts w:hint="eastAsia" w:ascii="宋体" w:hAnsi="宋体" w:eastAsia="宋体"/>
          <w:color w:val="auto"/>
          <w:sz w:val="24"/>
          <w:szCs w:val="24"/>
        </w:rPr>
        <w:t>应用系统并发数设计能够支持30%的冗余，保证系统在业务高峰期间稳定运行；</w:t>
      </w:r>
    </w:p>
    <w:p>
      <w:pPr>
        <w:pStyle w:val="134"/>
        <w:numPr>
          <w:ilvl w:val="0"/>
          <w:numId w:val="3"/>
        </w:numPr>
        <w:ind w:firstLineChars="0"/>
        <w:rPr>
          <w:rFonts w:hint="eastAsia" w:ascii="宋体" w:hAnsi="宋体" w:eastAsia="宋体"/>
          <w:color w:val="auto"/>
          <w:sz w:val="24"/>
          <w:szCs w:val="24"/>
        </w:rPr>
      </w:pPr>
      <w:r>
        <w:rPr>
          <w:rFonts w:hint="eastAsia" w:ascii="宋体" w:hAnsi="宋体" w:eastAsia="宋体"/>
          <w:color w:val="auto"/>
          <w:sz w:val="24"/>
          <w:szCs w:val="24"/>
        </w:rPr>
        <w:t>服务器忙时CPU占用率＜70%。</w:t>
      </w:r>
    </w:p>
    <w:p>
      <w:pPr>
        <w:pStyle w:val="3"/>
        <w:rPr>
          <w:rFonts w:hint="eastAsia"/>
        </w:rPr>
      </w:pPr>
      <w:r>
        <w:rPr>
          <w:rFonts w:hint="eastAsia"/>
        </w:rPr>
        <w:t>部署环境</w:t>
      </w:r>
    </w:p>
    <w:p>
      <w:pPr>
        <w:rPr>
          <w:rFonts w:hint="eastAsia"/>
        </w:rPr>
      </w:pPr>
      <w:r>
        <w:rPr>
          <w:rFonts w:hint="eastAsia"/>
        </w:rPr>
        <w:t>系统部署在大数据中心政务云互联网区，系统部署逻辑根据服务用途划分为外部接入服务区、对外服务区、应用服务集群、可访问数据库服务区、中间件服务区、敏感数据安全区、运维安全服务区等安全域。</w:t>
      </w:r>
    </w:p>
    <w:p>
      <w:pPr>
        <w:ind w:firstLine="420"/>
        <w:rPr>
          <w:rFonts w:hint="eastAsia"/>
        </w:rPr>
        <w:sectPr>
          <w:footerReference r:id="rId11" w:type="first"/>
          <w:pgSz w:w="11906" w:h="16838"/>
          <w:pgMar w:top="1134" w:right="1797" w:bottom="1135" w:left="1797" w:header="340" w:footer="7" w:gutter="0"/>
          <w:pgNumType w:start="1"/>
          <w:cols w:space="720" w:num="1"/>
          <w:titlePg/>
          <w:docGrid w:type="linesAndChars" w:linePitch="326" w:charSpace="0"/>
        </w:sectPr>
      </w:pPr>
      <w:r>
        <w:rPr>
          <w:rFonts w:ascii="Calibri" w:hAnsi="Calibri"/>
          <w:sz w:val="21"/>
          <w:szCs w:val="22"/>
        </w:rPr>
        <w:drawing>
          <wp:inline distT="0" distB="0" distL="0" distR="0">
            <wp:extent cx="5274310" cy="5298440"/>
            <wp:effectExtent l="0" t="0" r="2540" b="0"/>
            <wp:docPr id="1011625038" name="图片 1011625038"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25038" name="图片 1011625038" descr="图示, 示意图&#10;&#10;描述已自动生成"/>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5298440"/>
                    </a:xfrm>
                    <a:prstGeom prst="rect">
                      <a:avLst/>
                    </a:prstGeom>
                  </pic:spPr>
                </pic:pic>
              </a:graphicData>
            </a:graphic>
          </wp:inline>
        </w:drawing>
      </w:r>
    </w:p>
    <w:p>
      <w:pPr>
        <w:ind w:firstLine="0" w:firstLineChars="0"/>
        <w:rPr>
          <w:rFonts w:hint="eastAsia"/>
        </w:rPr>
      </w:pPr>
    </w:p>
    <w:p>
      <w:pPr>
        <w:pStyle w:val="3"/>
        <w:rPr>
          <w:rFonts w:hint="eastAsia"/>
        </w:rPr>
      </w:pPr>
      <w:r>
        <w:rPr>
          <w:rFonts w:hint="eastAsia"/>
        </w:rPr>
        <w:t>软件开发清单</w:t>
      </w:r>
    </w:p>
    <w:tbl>
      <w:tblPr>
        <w:tblStyle w:val="35"/>
        <w:tblW w:w="5000" w:type="pct"/>
        <w:tblInd w:w="0" w:type="dxa"/>
        <w:tblLayout w:type="fixed"/>
        <w:tblCellMar>
          <w:top w:w="0" w:type="dxa"/>
          <w:left w:w="108" w:type="dxa"/>
          <w:bottom w:w="0" w:type="dxa"/>
          <w:right w:w="108" w:type="dxa"/>
        </w:tblCellMar>
      </w:tblPr>
      <w:tblGrid>
        <w:gridCol w:w="408"/>
        <w:gridCol w:w="2179"/>
        <w:gridCol w:w="2735"/>
        <w:gridCol w:w="9463"/>
      </w:tblGrid>
      <w:tr>
        <w:tblPrEx>
          <w:tblCellMar>
            <w:top w:w="0" w:type="dxa"/>
            <w:left w:w="108" w:type="dxa"/>
            <w:bottom w:w="0" w:type="dxa"/>
            <w:right w:w="108" w:type="dxa"/>
          </w:tblCellMar>
        </w:tblPrEx>
        <w:trPr>
          <w:trHeight w:val="540" w:hRule="atLeast"/>
        </w:trPr>
        <w:tc>
          <w:tcPr>
            <w:tcW w:w="138" w:type="pct"/>
            <w:tcBorders>
              <w:top w:val="single" w:color="auto" w:sz="4" w:space="0"/>
              <w:left w:val="single" w:color="auto" w:sz="4" w:space="0"/>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序号</w:t>
            </w:r>
          </w:p>
        </w:tc>
        <w:tc>
          <w:tcPr>
            <w:tcW w:w="737" w:type="pct"/>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应用系统名称</w:t>
            </w:r>
          </w:p>
        </w:tc>
        <w:tc>
          <w:tcPr>
            <w:tcW w:w="925" w:type="pct"/>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模块名称　</w:t>
            </w:r>
          </w:p>
        </w:tc>
        <w:tc>
          <w:tcPr>
            <w:tcW w:w="3200" w:type="pct"/>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模块描述</w:t>
            </w:r>
          </w:p>
        </w:tc>
      </w:tr>
      <w:tr>
        <w:tblPrEx>
          <w:tblCellMar>
            <w:top w:w="0" w:type="dxa"/>
            <w:left w:w="108" w:type="dxa"/>
            <w:bottom w:w="0" w:type="dxa"/>
            <w:right w:w="108" w:type="dxa"/>
          </w:tblCellMar>
        </w:tblPrEx>
        <w:trPr>
          <w:trHeight w:val="7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网站-网站专栏-中小企业专窗</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中小企业可以更方便地查询政策信息、参与项目采购、提交自测结果等，实现与政府部门的无缝对接。同时，云平台还将加强与各相关部门的沟通协作，确保政策信息的及时更新和准确传达，为中小企业提供更加全面、便捷的服务支持</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网站-网站专栏-预留执行结果公告</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汇聚发布的中小企业预留执行结果公告，公开透明地展示预留份额的分配与使用情况，确保政策的有效落地。</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网站-网站专栏-政采贷专栏</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在政府采购的门户网站上设立专门的“政采贷”专栏，提供详尽的服务介绍、操作指南，同时对接多家金融机构，为供应商开辟快速申请贷款的绿色渠道，实现“政采贷”申请、审批、授信全流程电子化、线上化</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采购实施计划-采购实施计划-实施计划合并</w:t>
            </w:r>
          </w:p>
        </w:tc>
        <w:tc>
          <w:tcPr>
            <w:tcW w:w="320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left"/>
              <w:rPr>
                <w:rFonts w:hint="eastAsia" w:cs="宋体"/>
                <w:kern w:val="0"/>
                <w:sz w:val="18"/>
                <w:szCs w:val="18"/>
              </w:rPr>
            </w:pPr>
            <w:r>
              <w:rPr>
                <w:rFonts w:hint="eastAsia"/>
                <w:sz w:val="18"/>
                <w:szCs w:val="18"/>
              </w:rPr>
              <w:t>本次采购实施计划相关合并功能改造，旨在实现对预算一体化系统中合并采购项目的全面支持。改造内容主要包括采购实施计划的自动接收与数据匹配、需求明细与政策合规性要求的自动继承及向下游采购执行环节的无缝传递。该功能需建立灵活的数据映射与校验机制，需协调预算与采购两套系统的数据标准与业务流程，并对下游执行环节提供清晰、完整的政策及需求依据。</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采购实施计划-采购实施计划-实施计划对接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云平台升级与预算一体化系统对接采购实施计划信息，将采购实施计划携带的信息接入上海市政府采购中心集中采购业务操作平台，进行对接适配。</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采购实施计划-采购需求管理-采购需求对接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云平台升级与预算一体化系统对接采购实施计划信息，将采购实施计划携带的采购需求信息接入至云平台，同时将需求及政策法规要求带入下游采购执行。</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采购实施计划-采购需求管理-需求标准管理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新增需求标准</w:t>
            </w:r>
            <w:r>
              <w:rPr>
                <w:rFonts w:hint="eastAsia"/>
                <w:sz w:val="18"/>
                <w:szCs w:val="18"/>
              </w:rPr>
              <w:br w:type="textWrapping"/>
            </w:r>
            <w:r>
              <w:rPr>
                <w:rFonts w:hint="eastAsia"/>
                <w:sz w:val="18"/>
                <w:szCs w:val="18"/>
              </w:rPr>
              <w:t>系统配备采购需求标准专属新增功能模块，操作过程严格遵循双重依据：一是财政部发布的全国统一采购需求标准规范，二是各区划财政监管部门结合区域实际制定的专项管理要求；通过该模块，运营人员可精准维护对应区划的采购需求标准信息，确保新增标准完全符合层级监管规定，避免出现合规性偏差</w:t>
            </w:r>
            <w:r>
              <w:rPr>
                <w:rFonts w:hint="eastAsia"/>
                <w:sz w:val="18"/>
                <w:szCs w:val="18"/>
              </w:rPr>
              <w:br w:type="textWrapping"/>
            </w:r>
            <w:r>
              <w:rPr>
                <w:rFonts w:hint="eastAsia"/>
                <w:sz w:val="18"/>
                <w:szCs w:val="18"/>
              </w:rPr>
              <w:t>需求标准管理</w:t>
            </w:r>
            <w:r>
              <w:rPr>
                <w:rFonts w:hint="eastAsia"/>
                <w:sz w:val="18"/>
                <w:szCs w:val="18"/>
              </w:rPr>
              <w:br w:type="textWrapping"/>
            </w:r>
            <w:r>
              <w:rPr>
                <w:rFonts w:hint="eastAsia"/>
                <w:sz w:val="18"/>
                <w:szCs w:val="18"/>
              </w:rPr>
              <w:t>针对区划运营管理人员、采购代理机构等核心用户群体，系统提供按采购标的分类的需求标准专项管理功能。用户可围绕具体采购标的类型（如货物类、设备类、服务类、工程类等），对对应的采购需求标准开展全流程管理操作，包括标准内容的补充完善、条款的动态调整、版本的更新记录等，实现需求标准与采购标的属性的精准匹配，保障管理过程的规范化与精细化。</w:t>
            </w:r>
            <w:r>
              <w:rPr>
                <w:rFonts w:hint="eastAsia"/>
                <w:sz w:val="18"/>
                <w:szCs w:val="18"/>
              </w:rPr>
              <w:br w:type="textWrapping"/>
            </w:r>
            <w:r>
              <w:rPr>
                <w:rFonts w:hint="eastAsia"/>
                <w:sz w:val="18"/>
                <w:szCs w:val="18"/>
              </w:rPr>
              <w:t>引用需求标准</w:t>
            </w:r>
            <w:r>
              <w:rPr>
                <w:rFonts w:hint="eastAsia"/>
                <w:sz w:val="18"/>
                <w:szCs w:val="18"/>
              </w:rPr>
              <w:br w:type="textWrapping"/>
            </w:r>
            <w:r>
              <w:rPr>
                <w:rFonts w:hint="eastAsia"/>
                <w:sz w:val="18"/>
                <w:szCs w:val="18"/>
              </w:rPr>
              <w:t>系统支持采购需求标准按 “平台级” 与 “区划级” 双层级进行分级维护，明确界定两级标准的管理边界（平台级为通用基础标准，区划级为区域特色补充标准）与适用范围；同时，为提升标准复用效率、减少重复建设，各区划在维护本级需求标准时，可直接引用平台级需求标准中的通用核心内容（如基础技术参数、通用验收规范等），并可根据区域需求补充差异化条款，确保区划级标准与平台级标准的一致性、兼容性。</w:t>
            </w:r>
            <w:r>
              <w:rPr>
                <w:rFonts w:hint="eastAsia"/>
                <w:sz w:val="18"/>
                <w:szCs w:val="18"/>
              </w:rPr>
              <w:br w:type="textWrapping"/>
            </w:r>
            <w:r>
              <w:rPr>
                <w:rFonts w:hint="eastAsia"/>
                <w:sz w:val="18"/>
                <w:szCs w:val="18"/>
              </w:rPr>
              <w:t>查询需求标准</w:t>
            </w:r>
            <w:r>
              <w:rPr>
                <w:rFonts w:hint="eastAsia"/>
                <w:sz w:val="18"/>
                <w:szCs w:val="18"/>
              </w:rPr>
              <w:br w:type="textWrapping"/>
            </w:r>
            <w:r>
              <w:rPr>
                <w:rFonts w:hint="eastAsia"/>
                <w:sz w:val="18"/>
                <w:szCs w:val="18"/>
              </w:rPr>
              <w:t>系统为采购人、采购代理机构、财政监管人员等各类需使用采购需求标准的用户，提供全方位的需求标准查询服务。</w:t>
            </w:r>
            <w:r>
              <w:rPr>
                <w:rFonts w:hint="eastAsia"/>
                <w:sz w:val="18"/>
                <w:szCs w:val="18"/>
              </w:rPr>
              <w:br w:type="textWrapping"/>
            </w:r>
            <w:r>
              <w:rPr>
                <w:rFonts w:hint="eastAsia"/>
                <w:sz w:val="18"/>
                <w:szCs w:val="18"/>
              </w:rPr>
              <w:t>内置多条件精准筛选模块，支持用户根据目标区划（如省、市、区 / 县）、采购目录分类（如通用设备采购目录、服务采购目录）、采购标的类型等关键维度组合筛选，快速定位所需的需求标准，避免无效信息干扰。</w:t>
            </w:r>
            <w:r>
              <w:rPr>
                <w:rFonts w:hint="eastAsia"/>
                <w:sz w:val="18"/>
                <w:szCs w:val="18"/>
              </w:rPr>
              <w:br w:type="textWrapping"/>
            </w:r>
            <w:r>
              <w:rPr>
                <w:rFonts w:hint="eastAsia"/>
                <w:sz w:val="18"/>
                <w:szCs w:val="18"/>
              </w:rPr>
              <w:t>系统为各类用户，如采购人、代理机构等用户提供需求标准查询功能</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采购实施计划-采购需求管理-采购需求标准对接上海市政府采购中心集中采购业务操作平台</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云平台按照财政部采购需求标准改造，与小平云平台需严格依据财政部发布的采购需求标准开展专项改造，需基于需求标准进行采购流程的实施，所以需要进行全流程的适配改造。本次改造重点实现与上海市政府采购中心集中采购业务操作平台的全流程适配对接，具体覆盖采购业务各关键环节：</w:t>
            </w:r>
            <w:r>
              <w:rPr>
                <w:rFonts w:ascii="Times New Roman" w:hAnsi="Times New Roman"/>
                <w:sz w:val="18"/>
                <w:szCs w:val="18"/>
              </w:rPr>
              <w:t>​</w:t>
            </w:r>
            <w:r>
              <w:rPr>
                <w:rFonts w:hint="eastAsia"/>
                <w:sz w:val="18"/>
                <w:szCs w:val="18"/>
              </w:rPr>
              <w:br w:type="textWrapping"/>
            </w:r>
            <w:r>
              <w:rPr>
                <w:rFonts w:hint="eastAsia"/>
                <w:sz w:val="18"/>
                <w:szCs w:val="18"/>
              </w:rPr>
              <w:t>采购文件制作环节：完成与平台的功能适配，确保采购文件的在线编辑、格式规范、数据录入等操作可与平台无缝协同，保障文件信息同步准确；</w:t>
            </w:r>
            <w:r>
              <w:rPr>
                <w:rFonts w:ascii="Times New Roman" w:hAnsi="Times New Roman"/>
                <w:sz w:val="18"/>
                <w:szCs w:val="18"/>
              </w:rPr>
              <w:t>​</w:t>
            </w:r>
            <w:r>
              <w:rPr>
                <w:rFonts w:hint="eastAsia"/>
                <w:sz w:val="18"/>
                <w:szCs w:val="18"/>
              </w:rPr>
              <w:br w:type="textWrapping"/>
            </w:r>
            <w:r>
              <w:rPr>
                <w:rFonts w:hint="eastAsia"/>
                <w:sz w:val="18"/>
                <w:szCs w:val="18"/>
              </w:rPr>
              <w:t>招投开评标环节：实现招标信息发布、投标文件接收、开标流程执行、评标过程记录等全环节的平台间数据互通与操作衔接，确保招投标流程合规高效；</w:t>
            </w:r>
            <w:r>
              <w:rPr>
                <w:rFonts w:ascii="Times New Roman" w:hAnsi="Times New Roman"/>
                <w:sz w:val="18"/>
                <w:szCs w:val="18"/>
              </w:rPr>
              <w:t>​</w:t>
            </w:r>
            <w:r>
              <w:rPr>
                <w:rFonts w:hint="eastAsia"/>
                <w:sz w:val="18"/>
                <w:szCs w:val="18"/>
              </w:rPr>
              <w:br w:type="textWrapping"/>
            </w:r>
            <w:r>
              <w:rPr>
                <w:rFonts w:hint="eastAsia"/>
                <w:sz w:val="18"/>
                <w:szCs w:val="18"/>
              </w:rPr>
              <w:t>采购合同环节：支持采购合同的在线生成、条款确认、签署流转及备案管理功能与平台的对接，保障合同管理流程顺畅；</w:t>
            </w:r>
            <w:r>
              <w:rPr>
                <w:rFonts w:ascii="Times New Roman" w:hAnsi="Times New Roman"/>
                <w:sz w:val="18"/>
                <w:szCs w:val="18"/>
              </w:rPr>
              <w:t>​</w:t>
            </w:r>
            <w:r>
              <w:rPr>
                <w:rFonts w:hint="eastAsia"/>
                <w:sz w:val="18"/>
                <w:szCs w:val="18"/>
              </w:rPr>
              <w:br w:type="textWrapping"/>
            </w:r>
            <w:r>
              <w:rPr>
                <w:rFonts w:hint="eastAsia"/>
                <w:sz w:val="18"/>
                <w:szCs w:val="18"/>
              </w:rPr>
              <w:t>归档数据环节：完成采购全过程（含文件、招投标记录、合同、评审资料等）数据的规范化整理与平台归档功能的对接，确保数据归档完整、可查。</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项目采购-委托管理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合并采购委托：</w:t>
            </w:r>
            <w:r>
              <w:rPr>
                <w:rFonts w:hint="eastAsia"/>
                <w:sz w:val="18"/>
                <w:szCs w:val="18"/>
              </w:rPr>
              <w:br w:type="textWrapping"/>
            </w:r>
            <w:r>
              <w:rPr>
                <w:rFonts w:hint="eastAsia"/>
                <w:sz w:val="18"/>
                <w:szCs w:val="18"/>
              </w:rPr>
              <w:t>系统支持对合并采购实施计划涉及的委托单进行处理，包括提交委托申请与执行逆向退回流程。同时，系统实现了与上海市政府采购中心集中采购业务操作平台的对接与适配，确保合并采购委托业务能够在该平台上顺畅流转。</w:t>
            </w:r>
            <w:r>
              <w:rPr>
                <w:rFonts w:hint="eastAsia"/>
                <w:sz w:val="18"/>
                <w:szCs w:val="18"/>
              </w:rPr>
              <w:br w:type="textWrapping"/>
            </w:r>
            <w:r>
              <w:rPr>
                <w:rFonts w:hint="eastAsia"/>
                <w:sz w:val="18"/>
                <w:szCs w:val="18"/>
              </w:rPr>
              <w:t>对标改革委托：</w:t>
            </w:r>
            <w:r>
              <w:rPr>
                <w:rFonts w:hint="eastAsia"/>
                <w:sz w:val="18"/>
                <w:szCs w:val="18"/>
              </w:rPr>
              <w:br w:type="textWrapping"/>
            </w:r>
            <w:r>
              <w:rPr>
                <w:rFonts w:hint="eastAsia"/>
                <w:sz w:val="18"/>
                <w:szCs w:val="18"/>
              </w:rPr>
              <w:t>优化委托单功能，支持对标改革： 对委托单中涉及对标改革的委托字段及其展示方式进行专项优化，并实现将改革相关的采购实施计划数据对接至上海市政府采购中心的集中采购业务操作平台。</w:t>
            </w:r>
            <w:r>
              <w:rPr>
                <w:rFonts w:hint="eastAsia"/>
                <w:sz w:val="18"/>
                <w:szCs w:val="18"/>
              </w:rPr>
              <w:br w:type="textWrapping"/>
            </w:r>
            <w:r>
              <w:rPr>
                <w:rFonts w:hint="eastAsia"/>
                <w:sz w:val="18"/>
                <w:szCs w:val="18"/>
              </w:rPr>
              <w:t>中小企业委托：</w:t>
            </w:r>
            <w:r>
              <w:rPr>
                <w:rFonts w:hint="eastAsia"/>
                <w:sz w:val="18"/>
                <w:szCs w:val="18"/>
              </w:rPr>
              <w:br w:type="textWrapping"/>
            </w:r>
            <w:r>
              <w:rPr>
                <w:rFonts w:hint="eastAsia"/>
                <w:sz w:val="18"/>
                <w:szCs w:val="18"/>
              </w:rPr>
              <w:t>支持通过委托单对中小企业项目进行字段设置与展示效果的优化，并完成中小企业计划与上海市政府采购中心集中采购业务操作平台的系统对接及优化适配工作，以提升操作便捷性与系统兼容性。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项目采购-项目策划-项目全流程查询</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对项目信息进行多维度分类与分级查询，并通过精细化的数据权限管控机制实现项目全流程的跟踪管控。同时，系统对项目全流程信息的可视化展示，可直观呈现项目阶段进展与流程走向，有效辅助用户掌握项目动态并引导流程推进。</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项目采购-项目策划-合并采购项目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项目立项优化：对项目立项功能进行优化，从委托单和立项页面展示上和委托单协议功能进行优化，便于用户操作。</w:t>
            </w:r>
            <w:r>
              <w:rPr>
                <w:rFonts w:hint="eastAsia"/>
                <w:sz w:val="18"/>
                <w:szCs w:val="18"/>
              </w:rPr>
              <w:br w:type="textWrapping"/>
            </w:r>
            <w:r>
              <w:rPr>
                <w:rFonts w:hint="eastAsia"/>
                <w:sz w:val="18"/>
                <w:szCs w:val="18"/>
              </w:rPr>
              <w:t>生成合并采购项目：支持预算一体化项目合并采购，提供代理机构按采购计划进行生成合并项目功能。</w:t>
            </w:r>
            <w:r>
              <w:rPr>
                <w:rFonts w:hint="eastAsia"/>
                <w:sz w:val="18"/>
                <w:szCs w:val="18"/>
              </w:rPr>
              <w:br w:type="textWrapping"/>
            </w:r>
            <w:r>
              <w:rPr>
                <w:rFonts w:hint="eastAsia"/>
                <w:sz w:val="18"/>
                <w:szCs w:val="18"/>
              </w:rPr>
              <w:t>合并项目牵头人：系统生成合并采购项目时，为合并采购项目设定牵头采购单位，并将此信息带入下游采购业务。下游采购业务进行适配对接，以支持后续采购环节对采购牵头人的应用场景。</w:t>
            </w:r>
            <w:r>
              <w:rPr>
                <w:rFonts w:hint="eastAsia"/>
                <w:sz w:val="18"/>
                <w:szCs w:val="18"/>
              </w:rPr>
              <w:br w:type="textWrapping"/>
            </w:r>
            <w:r>
              <w:rPr>
                <w:rFonts w:hint="eastAsia"/>
                <w:sz w:val="18"/>
                <w:szCs w:val="18"/>
              </w:rPr>
              <w:t>合并项目对接：完成项目策划相关合并功能改造，对项目策划完成与小平台全流程适配改造</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项目采购-项目策划-项目对接-中小企业项目对接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按照中小企业政策相关要求，完成与采购中心小平台项目策划联合体、合同分包并存等场景的数据改造对接</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项目采购-资格预审-资格预审文件编制</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资格预审文件编制：在编制资格预审文件过程中，应严格遵循高标准经贸规则的要求，科学、严谨地设定与之相匹配的业务规则体系。其中，尤为关键的是对资格预审程序中各项时间节点的精准把控能力。 这具体体现在：必须明确设定并清晰告知资格预审文件的获取时间范围（即潜在申请人可领取文件的具体起止日期）；严格规定提交资格预审申请文件的最终截止时间（即接收申请材料的最后时限）；以及明确规定完成资格审查并出具审查结果的最终期限（即评审工作结束并确定合格申请人名单的时间节点）。这些时间要素的合理设置是确保资格预审过程公平、高效、透明运行的基础保障。</w:t>
            </w:r>
            <w:r>
              <w:rPr>
                <w:rFonts w:hint="eastAsia"/>
                <w:sz w:val="18"/>
                <w:szCs w:val="18"/>
              </w:rPr>
              <w:br w:type="textWrapping"/>
            </w:r>
            <w:r>
              <w:rPr>
                <w:rFonts w:hint="eastAsia"/>
                <w:sz w:val="18"/>
                <w:szCs w:val="18"/>
              </w:rPr>
              <w:t>资格预审公告编制：在编制资格预审公告的过程中，为确保项目运作符合标准与规范，我们将严格依据高标准经贸规则的要求，精心设置并细化与之对应的项目业务规则体系。该流程包含将充分利用系统内置的专业化模板库，通过调用预设模板的方式，高效、规范地生成结构完整、内容合规的采购公告文本。同时，为满足国际化采购需求和促进公平竞争，系统生成的采购公告将全面支持中英文双语版本，确保信息传达的准确性与广泛覆盖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项目采购-资格预审-资格预审结果</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资格预审结果编制，按照高标准经贸规则校验对应结果，同时对于资格预审的入围供应商发出入围通知书，符合资格的供应商可以进入后续的投标流程。</w:t>
            </w:r>
            <w:r>
              <w:rPr>
                <w:rFonts w:hint="eastAsia"/>
                <w:sz w:val="18"/>
                <w:szCs w:val="18"/>
              </w:rPr>
              <w:br w:type="textWrapping"/>
            </w:r>
            <w:r>
              <w:rPr>
                <w:rFonts w:hint="eastAsia"/>
                <w:sz w:val="18"/>
                <w:szCs w:val="18"/>
              </w:rPr>
              <w:t>系统对资格预审文件和资格预审结果对接上海市政府采购中心集中采购业务操作平台。</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项目采购-采购文件-采购需求-引用需求标准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采购人、代理机构依据财政部颁发的采购需求标准和自身业务需求维护完成采购标的库和标的参数库之后，在采购文件制作环节，系统支持采购人、采购代理按照不同的采购目录、采购金额等进行引用，以高效完成采购需求编辑。</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项目采购-采购文件-采购需求-维护标的需求库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系统提供采购标的需求库维护，采购人、采购代理机构在采购文件编制中的标的需求可以维护至对应的标的需求库，用于后续业务的使用。</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项目采购-采购文件-采购文件编制-采购文件模板配置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系统提供采购文件模板配置和引用的功能，采购文件模板配置支持配置平台级、区划级和机构级。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项目采购-采购文件-采购文件编制-采购文件书签配置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对采购文件在线编制功能进行优化，优化书签库的功能，支持代理机构对书签配置进行可视化操作。</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项目采购-采购文件-采购文件编制-各项材料所见所得编制</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项目信息所见所得编制：系统提供项目信息填写的能力，包含项目基本信息、获取采购文件要求、开标时间地点、其他补充事宜、联系人信息。编制时可以实时预览采购文件中的效果。</w:t>
            </w:r>
            <w:r>
              <w:rPr>
                <w:rFonts w:hint="eastAsia"/>
                <w:sz w:val="18"/>
                <w:szCs w:val="18"/>
              </w:rPr>
              <w:br w:type="textWrapping"/>
            </w:r>
            <w:r>
              <w:rPr>
                <w:rFonts w:hint="eastAsia"/>
                <w:sz w:val="18"/>
                <w:szCs w:val="18"/>
              </w:rPr>
              <w:t>供应商须知所见所得编制：系统提供供应商须知填写的能力，包含是否允许进口产品、是否现场踏勘、是否进行演示等。编制时可以实时预览采购文件中的效果。</w:t>
            </w:r>
            <w:r>
              <w:rPr>
                <w:rFonts w:hint="eastAsia"/>
                <w:sz w:val="18"/>
                <w:szCs w:val="18"/>
              </w:rPr>
              <w:br w:type="textWrapping"/>
            </w:r>
            <w:r>
              <w:rPr>
                <w:rFonts w:hint="eastAsia"/>
                <w:sz w:val="18"/>
                <w:szCs w:val="18"/>
              </w:rPr>
              <w:t>采购需求所见所得编制：系统提供结构化采购需求的场景和非结构化的采购需求场景。针对结构化采购需求，平台支持对接采购需求管理，以落实采购人责任。针对非结构化采购需求平台将采购人在项目委托时提交的采购需求提供代理机构查看、下载和在线编辑。</w:t>
            </w:r>
            <w:r>
              <w:rPr>
                <w:rFonts w:hint="eastAsia"/>
                <w:sz w:val="18"/>
                <w:szCs w:val="18"/>
              </w:rPr>
              <w:br w:type="textWrapping"/>
            </w:r>
            <w:r>
              <w:rPr>
                <w:rFonts w:hint="eastAsia"/>
                <w:sz w:val="18"/>
                <w:szCs w:val="18"/>
              </w:rPr>
              <w:t>资格审查所见所得编制：系统提供按标项设置资格审查要求。平台提供项目级资格审查要求和标项级资格审查要求两种填写方式以适应不同的填写需求。</w:t>
            </w:r>
            <w:r>
              <w:rPr>
                <w:rFonts w:hint="eastAsia"/>
                <w:sz w:val="18"/>
                <w:szCs w:val="18"/>
              </w:rPr>
              <w:br w:type="textWrapping"/>
            </w:r>
            <w:r>
              <w:rPr>
                <w:rFonts w:hint="eastAsia"/>
                <w:sz w:val="18"/>
                <w:szCs w:val="18"/>
              </w:rPr>
              <w:t>符合型审查所见所得编制：系统提供符合型审查填写的能力，代理机构按标项设置符合性要求。</w:t>
            </w:r>
            <w:r>
              <w:rPr>
                <w:rFonts w:hint="eastAsia"/>
                <w:sz w:val="18"/>
                <w:szCs w:val="18"/>
              </w:rPr>
              <w:br w:type="textWrapping"/>
            </w:r>
            <w:r>
              <w:rPr>
                <w:rFonts w:hint="eastAsia"/>
                <w:sz w:val="18"/>
                <w:szCs w:val="18"/>
              </w:rPr>
              <w:t>开标信息所见所得编制：系统提供开标信息填写的能力，包含开标信息、报价明细表等要求。编制时可以实时预览采购文件中的效果。</w:t>
            </w:r>
            <w:r>
              <w:rPr>
                <w:rFonts w:hint="eastAsia"/>
                <w:sz w:val="18"/>
                <w:szCs w:val="18"/>
              </w:rPr>
              <w:br w:type="textWrapping"/>
            </w:r>
            <w:r>
              <w:rPr>
                <w:rFonts w:hint="eastAsia"/>
                <w:sz w:val="18"/>
                <w:szCs w:val="18"/>
              </w:rPr>
              <w:t>评审规则所见所得编制：系统提供评审规则填写的能力，包含评审方法和评审规则，其中评审规则包含报价分、商务技术分。</w:t>
            </w:r>
            <w:r>
              <w:rPr>
                <w:rFonts w:hint="eastAsia"/>
                <w:sz w:val="18"/>
                <w:szCs w:val="18"/>
              </w:rPr>
              <w:br w:type="textWrapping"/>
            </w:r>
            <w:r>
              <w:rPr>
                <w:rFonts w:hint="eastAsia"/>
                <w:sz w:val="18"/>
                <w:szCs w:val="18"/>
              </w:rPr>
              <w:t>合同模板所见所得编制：系统提供合同模板填写的能力，支持运营/经办人配置合同模板，在采购文件制作时选择合同模板。代理机构引用的合同模板将作为最终自动生成的采购文件的合同章节。</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项目采购-采购文件-采购文件编制-在线留痕</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采购文件编制过程中采购人和采购代理机构沟通的内容都进行在线留痕，确保项目过程中交流信息的完整。</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项目采购-采购文件-采购文件编制-敏感词配置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专门集成敏感词监测与配置功能，支持管理员根据法律法规、行业规范及监管要求，自定义维护敏感词库，涵盖违规承诺、歧视性条款、排他性条件、不实宣传用语等高风险表述。在采购文件编制过程中，系统实时对录入内容进行比对与预警提示，一旦发现疑似敏感词汇或不当表述，将自动标记并通知相关人员及时修正，有效防范法律合规风险。所有敏感词触发记录均纳入操作日志体系，连同审核意见、修改轨迹一并形成完整的电子档案，实现“操作有痕迹、过程有记录、风险有预警、整改有依据”的闭环管理。该机制显著提升了采购文件编制的规范性与安全性，为监管部门提供透明、可信的数据支撑，切实保障政府采购活动的公平公正和依法合规。</w:t>
            </w:r>
            <w:r>
              <w:rPr>
                <w:rFonts w:hint="eastAsia"/>
                <w:sz w:val="18"/>
                <w:szCs w:val="18"/>
              </w:rPr>
              <w:br w:type="textWrapping"/>
            </w:r>
            <w:r>
              <w:rPr>
                <w:rFonts w:hint="eastAsia"/>
                <w:sz w:val="18"/>
                <w:szCs w:val="18"/>
              </w:rPr>
              <w:t>区别于网站公告敏感词管理功能，采购文件的敏感词规则为提醒级，需在文件制作过程中进行提醒，该功能需对接采购文件编制模块向用户提供有效的提醒，预防产生合规风险。</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项目采购-采购文件-采购文件编制-审核流程区划配置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平台支持按照区划、机构不同维度不同诉求设置相应审核流程。支持区划管理员设置本区划的管理流程，支持设置提交采购人、主管预算单位、财政等审核备案；同时为各用户角色提供机构内部审核，比如代理机构、采购人、财政等都可设置不同部门审核；并支持设置签章事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项目采购-采购文件-采购文件编制-在线场地预约</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系统提供远程异地场地管理并实现在线场地预约。实时监控开评标全过程，确保过程透明、可追溯。</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项目采购-采购文件-采购文件编制-落实中小企业</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在采购文件落实中小企业政策，对于联合体&amp;合同分包并存的中小企业场景进行政策落实</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项目采购-采购文件-采购文件编制-适配合并采购项目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完成采购文件相关合并功能改造，适配合并采购项目的主体和审批流程。</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项目采购-采购文件-采购文件编制-采购文件更正</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采购文件更正增加对所有内容的更正功能（除法定不允许的更正内容）。</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项目采购-采购文件-采购文件对接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安全测评对接小平台：在项目采购流程中新增通过安全测评功能改造及与小平台对接接口升级</w:t>
            </w:r>
            <w:r>
              <w:rPr>
                <w:rFonts w:hint="eastAsia"/>
                <w:sz w:val="18"/>
                <w:szCs w:val="18"/>
              </w:rPr>
              <w:br w:type="textWrapping"/>
            </w:r>
            <w:r>
              <w:rPr>
                <w:rFonts w:hint="eastAsia"/>
                <w:sz w:val="18"/>
                <w:szCs w:val="18"/>
              </w:rPr>
              <w:t>中小企业改造对接小平台：按照中小企业政策相关要求，完成与采购中心小平台采购文件数据改造</w:t>
            </w:r>
            <w:r>
              <w:rPr>
                <w:rFonts w:hint="eastAsia"/>
                <w:sz w:val="18"/>
                <w:szCs w:val="18"/>
              </w:rPr>
              <w:br w:type="textWrapping"/>
            </w:r>
            <w:r>
              <w:rPr>
                <w:rFonts w:hint="eastAsia"/>
                <w:sz w:val="18"/>
                <w:szCs w:val="18"/>
              </w:rPr>
              <w:t>对标改革文件对接小平台：按对标改革要求对接小平台的采购文件和采购结果、中英文采购公告。</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项目采购-专家抽取-专家共享抽取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专家跨区域共享抽取：在获得异地财政主管部门授权后，通过建立跨区域协同机制，有效开展专家库资源的共享工作，并高效实施异地专家的抽取。</w:t>
            </w:r>
            <w:r>
              <w:rPr>
                <w:rFonts w:hint="eastAsia"/>
                <w:sz w:val="18"/>
                <w:szCs w:val="18"/>
              </w:rPr>
              <w:br w:type="textWrapping"/>
            </w:r>
            <w:r>
              <w:rPr>
                <w:rFonts w:hint="eastAsia"/>
                <w:sz w:val="18"/>
                <w:szCs w:val="18"/>
              </w:rPr>
              <w:t>主副场地单设抽取规则：系统基于主副场地对应的专家库，分别设置不同的专家抽取规则。并根据设置的抽取规则分别完成主/副场的专家流程流程，抽取到对应专家。人数不足时，系统还支持针对主/副场分别设置补抽规则，进行补抽。</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项目采购-投标客户端-客户端管理-结构化投标响应</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1、开标一览表响应</w:t>
            </w:r>
            <w:r>
              <w:rPr>
                <w:rFonts w:hint="eastAsia"/>
                <w:sz w:val="18"/>
                <w:szCs w:val="18"/>
              </w:rPr>
              <w:br w:type="textWrapping"/>
            </w:r>
            <w:r>
              <w:rPr>
                <w:rFonts w:hint="eastAsia"/>
                <w:sz w:val="18"/>
                <w:szCs w:val="18"/>
              </w:rPr>
              <w:t>开标一览表功能模块旨在实现采购项目开标信息的标准化采集与高效流转。系统首先从采购文件配置中心动态获取预设的字段结构及其输入规则（如必填、格式等），并在前端页面智能渲染对应表单项。用户填写过程中，系统实时依据预设校验逻辑进行前端验证，确保数据合规性。进入下一步操作前，系统强制校验所有必填字段是否完整、有效，防止数据缺失。确认无误后，结构化数据将通过标准接口安全传输至开评标系统等下游模块，实现跨系统无缝对接，提升开标流程自动化水平与数据一致性，为后续评标与审计提供可靠数据支撑。</w:t>
            </w:r>
            <w:r>
              <w:rPr>
                <w:rFonts w:hint="eastAsia"/>
                <w:sz w:val="18"/>
                <w:szCs w:val="18"/>
              </w:rPr>
              <w:br w:type="textWrapping"/>
            </w:r>
            <w:r>
              <w:rPr>
                <w:rFonts w:hint="eastAsia"/>
                <w:sz w:val="18"/>
                <w:szCs w:val="18"/>
              </w:rPr>
              <w:t>2、报价明细表</w:t>
            </w:r>
            <w:r>
              <w:rPr>
                <w:rFonts w:hint="eastAsia"/>
                <w:sz w:val="18"/>
                <w:szCs w:val="18"/>
              </w:rPr>
              <w:br w:type="textWrapping"/>
            </w:r>
            <w:r>
              <w:rPr>
                <w:rFonts w:hint="eastAsia"/>
                <w:sz w:val="18"/>
                <w:szCs w:val="18"/>
              </w:rPr>
              <w:t xml:space="preserve"> 报价明细表功能深度对接采购文件系统，动态加载预配置的字段列表及输入逻辑，实现界面的智能渲染与自适应展示。系统依据采购规则实时校验用户输入，涵盖格式规范、数据范围及必填项验证，确保数据准确性和合规性。在流程推进至下一步前，自动触发字段完整性检查，强制确认所有必填项已完整填写，避免流程中断。完成输入后，所有字段值经标准化处理，安全传输至下游系统（如开评标系统），为开评标提供精准数据支撑，显著提升采购流程的自动化水平、协同效率与执行质量，实现全流程数字化闭环管理。</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项目采购-投标客户端-客户端管理-中小企业联合体和合同分包并存响应</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中小企业联合体和合同分包响应功能设计：本系统创新设计了中小企业联合体与合同分包响应模块，全面支持政府采购中联合体投标与合同分包的规范化操作。系统智能解析采购文件，精准识别是否允许联合体投标及合同分包，为供应商提供清晰指引。供应商可灵活选择是否响应联合体投标、合同分包或两者兼有；如不选择，则自动跳过相关字段填写。对于选择响应的供应商，系统提供结构化表单，要求填写联合/分包企业名称、企业规模类型（大型、中型、中小、小微）及具体比例分配。针对联合体投标，需上传《联合企业声明函》；针对合同分包，需上传《分包协议》。系统校验企业性质，当联合体或分包企业包含中小企业时，自动提示上传《中小企业声明函》；如涉及福利企业或特殊企业，需上传对应声明文件。系统内置智能校验机制，自动验证所有企业联合比例或分包比例总和是否为100%，确保比例合规，避免投标无效。该设计不仅有效降低中小企业参与政府采购的门槛，还显著提升了招投标流程的规范性与透明度，为政府采购市场注入了更多活力与公平性，助力中小企业高质量发展。</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项目采购-投标客户端-客户端管理-投标客户端电子签名</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招投标系统电子签名功能设计：提供文件上传与预览功能，支持资质文件、报价文件、商务技术文件等多类型文档的在线预览与管理，每份文件均配备安全预览界面。系统集成国家认证的CA电子签章平台，采用PKI公钥基础设施技术，实现符合《中华人民共和国电子签名法》的电子签名服务。用户签署时，系统自动调用CA签章能力，生成带有时间戳和数字证书的电子签章。签章完成后，系统自动保存完整签章文件，确保文件的法律效力与不可篡改性。提供已签章文件的便捷下载功能，支持PDF格式。系统在流程推进环节设置强制校验机制，进入下一环节前自动检测所有必签文件的签章状态，未完成签章的文件将被标记并提示用户补充，确保招投标流程的合规性与完整性，提升招投标效率，实现全流程数字化管理。。</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项目采购-投标客户端-客户端管理-标书关联支持区域锚</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本功能提供智能化的标书文件管理与评审辅助工具，实现标书文件与评审要求的精准匹配。系统自动列出用户上传的资质文件、报价文件、商务技术文件等，每份文件配备高清预览界面，支持PDF、Word等主流格式在线查看与批注，确保评审人员能快速定位关键内容。</w:t>
            </w:r>
            <w:r>
              <w:rPr>
                <w:rFonts w:hint="eastAsia"/>
                <w:sz w:val="18"/>
                <w:szCs w:val="18"/>
              </w:rPr>
              <w:br w:type="textWrapping"/>
            </w:r>
            <w:r>
              <w:rPr>
                <w:rFonts w:hint="eastAsia"/>
                <w:sz w:val="18"/>
                <w:szCs w:val="18"/>
              </w:rPr>
              <w:t>系统智能解析采购文件中的资质要求与符合性要求，依据招标文件结构化框架自动分组展示，形成清晰的评审要素树。</w:t>
            </w:r>
            <w:r>
              <w:rPr>
                <w:rFonts w:hint="eastAsia"/>
                <w:sz w:val="18"/>
                <w:szCs w:val="18"/>
              </w:rPr>
              <w:br w:type="textWrapping"/>
            </w:r>
            <w:r>
              <w:rPr>
                <w:rFonts w:hint="eastAsia"/>
                <w:sz w:val="18"/>
                <w:szCs w:val="18"/>
              </w:rPr>
              <w:t>同时，系统提供灵活的锚点增减功能，供应商可按需添加或删除锚点，实时调整文件与评审要求的对应关系。</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项目采购-投标客户端-客户端管理-投标客户端包复制</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为提升评标效率与数据一致性，开评标系统新增采购包响应内容智能复制功能。在任一采购包详情页，用户可便捷点击“复制响应内容”按钮，系统随即弹出目标采购包选择窗口，支持单选或多选操作，便于快速定位目标包。确认选择后，系统执行覆盖式复制，目标包中已存在的全部响应内容将被源包内容无缝替换。为确保操作安全，复制前系统自动触发二次确认提示，有效规避误操作风险。该功能显著减少重复录入工作量，保障多采购包间响应信息的实时同步与一致性，大幅提升评标流程效率。操作界面简洁直观，适用于各类采购场景，是系统核心优化点，为评标工作提供高效、可靠的支持。</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项目采购-开评评标-开标管理-开标准备</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系统增加开标前的准备工作，如设置开标工作人员，查看开标规则，查看/设置开标场地等</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项目采购-开评评标-开标管理-开标大厅</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系统提供场景式、不见面开标大厅，支持用户线上进行解密活动，并进行线上开启标书文件，系统允许投标人通过在线方式参与开标过程，包括在线签到、解密投标文件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项目采购-开评评标-开标管理-开标公布</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系统支持开启并公布开标信息，供应商可进行线上确认报价功能</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项目采购-开评评标-开标管理-现场视频</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云平台提供统一的视频对接标准，支持对接开标场地、评标场地相关的视频监控设备，按项目关联开评标全流程视频监控。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项目采购-开评评标-评审管理-评前准备</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系统通过预定义配置接口实现评标前的全流程初始化，包括评标规则的多维参数化设定、评审小组成员及评审组长的增删改、评标工作人员的权限层级及操作范围界定。</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项目采购-开评评标-评审管理-评审大厅</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评标大厅做流程性优化，优化正向流程的操作体验。对逆向流程做兜底功能。系统通过流程引擎重构实现评标大厅的双向流程优化，正向流程采用引导式交互设计提升操作连贯性，逆向流程则通过事务回滚机制与异常拦截策略确保系统流程的完整性，同时维持全链路操作的可追溯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项目采购-开评评标-评审管理-高标准经贸评审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通过双轨制评审机制实现采购项目的合规性评估，评审专家基于采购文件中嵌入的高标准经贸条款进行多维度专业评审，同时机构经办人依托流程监控平台对评审进度实施动态追踪与合规性复核，确保评审过程既满足国际经贸规范要求，又符合组织内部流程管控标准，最终形成完整的评审轨迹记录。</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项目采购-开评评标-评审管理-合并采购项目评审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在开评标环节中，系统通过动态配置引擎实现了对多个采购项目的合并处理能力，依据合并采购项目的业务规则自动适配开评标流程，确保其严格遵循合并采购的合规性框架与评审逻辑。针对合并后的项目，牵头采购人可指定采购人代表行使统一的资格审查权限，并在评审阶段采用主从协同机制，同时系统会实时校验各环节操作与合并规则的映射关系，从而在保证评审权责集中的前提下实现跨项目数据的标准化处理。</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项目采购-开评评标-评审管理-中小企业评审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基于中小企业扶持政策的法定规范要求，系统重构了联合体投标及合同分包场景下的评标算法内核。针对供应商采用联合体形式参与且同步实施合同分包的预留份额采购项目，系统通过资格审查模块内置的并行校验机制，对联合体成员资质文件与分包合同结构进行双重扫描，由资格审查委员会依据采购文件载明的预留措施条款及预设比例阈值，执行中小企业身份的多维交叉认定。在非预留采购项目中，由评标委员会基于投标主体申报的联合体情形与合同分包情形，完成中小企业价格优惠认定，确保优惠认定流程符合采购文件设定。</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项目采购-开评评标-评审管理-异常低价评审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评审过程中，系统依据采购文件预先设定的异常低价判定规则自动扫描投标供应商提交的报价数据，当检测到报价低于预设成本基准阈值或命中法定的异常低价情形，通过内置计算模块，实时生成标准化的异常低价审查结果，检测投标供应商报价是否存在异常低价，辅助评审专家识别供应商异常低价，对供应商报价的有效性进行高效审查，确保全过程符合法规明确的异常低价处置程序。</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项目采购-开评评标-评审管理-远程异地评审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升级改造项目采购流程，新增远程异地评审功能，实现项目采购区域协同评审。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项目采购-开评评标-评审管理-评标视频会议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系统支持评前远程不见面视频会议，用户可发起视频会议，连线评审专家，进行确认评审小组组长等。</w:t>
            </w:r>
            <w:r>
              <w:rPr>
                <w:rFonts w:hint="eastAsia"/>
                <w:sz w:val="18"/>
                <w:szCs w:val="18"/>
              </w:rPr>
              <w:br w:type="textWrapping"/>
            </w:r>
            <w:r>
              <w:rPr>
                <w:rFonts w:hint="eastAsia"/>
                <w:sz w:val="18"/>
                <w:szCs w:val="18"/>
              </w:rPr>
              <w:t>在开评标过程中，通过实时音视频直播技术，将各地评标现场的情况实时传输给异地专家和相关人员，确保他们能够同步了解评标过程。</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项目采购-开评评标-评审管理-在线资格审查优化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系统支持评审人员进行线上资格审查，系统提供多种评审模式，将评审项和供应商响应文件进行对应，方便资格审查人员进行评审。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项目采购-开评评标-评审管理-在线符合性审查优化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系统支持评审人员进行线上符合性审查，系统提供多种评审模式，将评审项和供应商响应文件进行对应，方便评审人员进行评审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项目采购-开评评标-评审管理-在线多轮磋商评审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系统支持评审人员进行线上发起多轮磋商评审，并支持在磋商过程中发起磋商函以及接收供应商的回复函</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项目采购-开评评标-评审管理-在线多轮报价</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系统支持评审人员进行线上发起多轮报价，并支持供应商在截止时间内进行回复报价</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项目采购-开评评标-评审管理-评分一致性检查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系统支持评审人员线上进行商务技术打分，并支持进行打分数据的畸高畸低、客观分是否一致的数据分析，协助评审人员进行评审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项目采购-开评评标-评审管理-报价评审得分优化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系统提供自动计算报价评分的能力，评审人员可二次进行报价评分的确认</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项目采购-开评评标-评审管理-评审报告内容增加</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系统评审完成后，自动生成评审报告，优化现有报告样式，并支持查看和下载</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项目采购-开评评标-评审管理-增加评标签名功能</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评审完成后，支持评审人员进行在线签名，评审人员可对各个评审环节的报表和评审报告进行签名</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项目采购-开评评标-评审管理-在线询标</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评标大厅提供在线询标功能，并且支持对交流内容的自动存储功能，确保评审过程的可追溯性和监督性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项目采购-开评评标-评审管理-在线评分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评标系统优化评标过程中标书展示、打分的用户体验，提高评标效率、准确性、公正性.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项目采购-开评评标-采购结果-采购结果公布</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公布的采购结果信息中增加联合体单位和合同分包单位信息，并发布采购结果公告至对应网站。</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项目采购-数据对接-与外部系统对接采购数据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完成与外部系统的采购数据对接，涵盖项目编号、采购公告时间、采购文件、合同等关键信息，并应用于上海市财政局的数据治理工作。本次对接将重点围绕采购意向公开、项目策划、采购文件编制、采购结果确认及合同管理等核心业务模块进行接口适配与数据整合。</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项目采购-框架协议-采购方案</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按照采购项目区分（货物/服务/工程），对于服务类采购项目，根据具体的采购目录，定义该项目在二阶段交易时的规则。如按阶梯费率、按数量合计、按总报价等场景进行设置。对于编制好的采购方案，系统支持征集人将采购方案在线推送财政部门进行审查备案。</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项目采购-框架协议-项目管理-全流程管理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封闭式项目全流程查询：支持封闭式框架协议项目的一阶段征集、二阶段合同授予项目全流程信息查询管理。</w:t>
            </w:r>
            <w:r>
              <w:rPr>
                <w:rFonts w:hint="eastAsia"/>
                <w:sz w:val="18"/>
                <w:szCs w:val="18"/>
              </w:rPr>
              <w:br w:type="textWrapping"/>
            </w:r>
            <w:r>
              <w:rPr>
                <w:rFonts w:hint="eastAsia"/>
                <w:sz w:val="18"/>
                <w:szCs w:val="18"/>
              </w:rPr>
              <w:t>开放式项目管理全流程查询：支持开放式框架协议项目的一阶段征集、二阶段合同授予项目全流程信息查询管理。</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项目采购-框架协议-征集文件-采购需求管理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需求标准库：结合财政部计算机等类目需求标准，系统实现需求标准化，进一步形成通用类货物品目标准化定义，沉淀采购需求标准。</w:t>
            </w:r>
            <w:r>
              <w:rPr>
                <w:rFonts w:hint="eastAsia"/>
                <w:sz w:val="18"/>
                <w:szCs w:val="18"/>
              </w:rPr>
              <w:br w:type="textWrapping"/>
            </w:r>
            <w:r>
              <w:rPr>
                <w:rFonts w:hint="eastAsia"/>
                <w:sz w:val="18"/>
                <w:szCs w:val="18"/>
              </w:rPr>
              <w:t>标的需求库 ：结合财政部物业服务等类目需求标准，系统实现标的需求标准化，进一步形成通用类服务品目标准化定义，沉淀采购需求标准。</w:t>
            </w:r>
            <w:r>
              <w:rPr>
                <w:rFonts w:hint="eastAsia"/>
                <w:sz w:val="18"/>
                <w:szCs w:val="18"/>
              </w:rPr>
              <w:br w:type="textWrapping"/>
            </w:r>
            <w:r>
              <w:rPr>
                <w:rFonts w:hint="eastAsia"/>
                <w:sz w:val="18"/>
                <w:szCs w:val="18"/>
              </w:rPr>
              <w:t>引用采购需求标准：系统提供的结构化数据体系支持征集人编辑结构化的采购需求模板。征集人编制征集文件时，根据包件的采购目录，映射匹配相同品目的结构化采购需求模板，实现需求标的快速引用。</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项目采购-框架协议-征集文件-征集文件编制</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响应服务类商品成交要求，征集人编制征集文件时，通过设置项目框架协议适用范围、协议期限、评审方式、淘汰规则、第二阶段成交供应商确定方式字段内容，完成征集文件编制。</w:t>
            </w:r>
            <w:r>
              <w:rPr>
                <w:rFonts w:hint="eastAsia"/>
                <w:sz w:val="18"/>
                <w:szCs w:val="18"/>
              </w:rPr>
              <w:br w:type="textWrapping"/>
            </w:r>
            <w:r>
              <w:rPr>
                <w:rFonts w:hint="eastAsia"/>
                <w:sz w:val="18"/>
                <w:szCs w:val="18"/>
              </w:rPr>
              <w:t>按照征集文件审批工作流进行征集文件审批，支持征集单位内部多级审批。</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项目采购-框架协议-征集文件-征集公告管理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响应服务类商品成交要求，系统支持征集公告、入围结果公告等公告公告内容根据项目数据自动生成，执行公告审批流程后，公告发布至省级政府采购信息网站。</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项目采购-框架协议-征集文件-征集文件对接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框架协议交易流程中新增通过安全测评功能改造及与上海市政府采购中心集中采购业务操作平台对接接口升级。</w:t>
            </w:r>
            <w:r>
              <w:rPr>
                <w:rFonts w:hint="eastAsia"/>
                <w:sz w:val="18"/>
                <w:szCs w:val="18"/>
              </w:rPr>
              <w:br w:type="textWrapping"/>
            </w:r>
            <w:r>
              <w:rPr>
                <w:rFonts w:hint="eastAsia"/>
                <w:sz w:val="18"/>
                <w:szCs w:val="18"/>
              </w:rPr>
              <w:t>为实现与上海市政府采购中心集中采购业务操作平台的高效协同和数据共享，确保全市框架协议采购业务的统一规范管理和全流程电子化闭环，框架协议交易流程中新增通过安全测评功能改造及与上海市政府采购中心集中采购业务操作平台对接接口升级。</w:t>
            </w:r>
            <w:r>
              <w:rPr>
                <w:rFonts w:hint="eastAsia"/>
                <w:sz w:val="18"/>
                <w:szCs w:val="18"/>
              </w:rPr>
              <w:br w:type="textWrapping"/>
            </w:r>
            <w:r>
              <w:rPr>
                <w:rFonts w:hint="eastAsia"/>
                <w:sz w:val="18"/>
                <w:szCs w:val="18"/>
              </w:rPr>
              <w:t>系统深化数据交互与业务流程协同，基于统一的数据标准与接口规范，升级改造与小平台之间的数据交换接口。确保结构标的信息、评审规则、资格、符合性等关键业务数据在两个平台间能够实时、准确、安全地双向同步。</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项目采购-框架协议-投标客户端</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报价响应：投标客户端按照服务类响应的商品交易规则要求，响应采购文件中的报价规则要求，并进行校验。</w:t>
            </w:r>
            <w:r>
              <w:rPr>
                <w:rFonts w:hint="eastAsia"/>
                <w:sz w:val="18"/>
                <w:szCs w:val="18"/>
              </w:rPr>
              <w:br w:type="textWrapping"/>
            </w:r>
            <w:r>
              <w:rPr>
                <w:rFonts w:hint="eastAsia"/>
                <w:sz w:val="18"/>
                <w:szCs w:val="18"/>
              </w:rPr>
              <w:t>引用商品库：供应商引用商品库商品进行标的响应，响应内容包括商品单价、商品参数、商品图片等。</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项目采购-框架协议-开标评标-参数响应对比</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项目评标时，提供各供应商参数对比，对比功能包括过滤同类项、标识差异项等功能，便于评审专家进行横向对比。</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项目采购-框架协议-协议管理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协议签订：为响应服务类商品成交要求，征集人与供应商在线签订协议，签订生效后，系统根据供应商填写的服务内容，自动生成上架的协议商品。商品自动展现在框架协议大厅。支持框架协议批量签章功能。支持中标通知书批量签章功能。</w:t>
            </w:r>
            <w:r>
              <w:rPr>
                <w:rFonts w:hint="eastAsia"/>
                <w:sz w:val="18"/>
                <w:szCs w:val="18"/>
              </w:rPr>
              <w:br w:type="textWrapping"/>
            </w:r>
            <w:r>
              <w:rPr>
                <w:rFonts w:hint="eastAsia"/>
                <w:sz w:val="18"/>
                <w:szCs w:val="18"/>
              </w:rPr>
              <w:t>系统通过标准化协议模板库与范本库，实现协议内容的统一管控、快速检索、便捷调用与高效生成，保障协议签订的规范性与严谨性。签订过程中，系统将对编辑区域进行限定，预设关键条款，并全程记录修改痕迹，确保操作留痕、过程可溯。协议生效后，系统提供在线浏览、电子签章加盖等服务，支持采购人与供应商及时掌握合同状态，从源头上防范风险。</w:t>
            </w:r>
            <w:r>
              <w:rPr>
                <w:rFonts w:hint="eastAsia"/>
                <w:sz w:val="18"/>
                <w:szCs w:val="18"/>
              </w:rPr>
              <w:br w:type="textWrapping"/>
            </w:r>
            <w:r>
              <w:rPr>
                <w:rFonts w:hint="eastAsia"/>
                <w:sz w:val="18"/>
                <w:szCs w:val="18"/>
              </w:rPr>
              <w:t>协议商品管理：系统允许征集人在预设的时间段中，将违规供应商的入围商品暂时下架冻结，在此期间内商品无法进行交易。到期后，系统将自动解除冻结限制，无需人工干预，商品无缝衔接恢复上架，可继续参与交易采购。</w:t>
            </w:r>
            <w:r>
              <w:rPr>
                <w:rFonts w:hint="eastAsia"/>
                <w:sz w:val="18"/>
                <w:szCs w:val="18"/>
              </w:rPr>
              <w:br w:type="textWrapping"/>
            </w:r>
            <w:r>
              <w:rPr>
                <w:rFonts w:hint="eastAsia"/>
                <w:sz w:val="18"/>
                <w:szCs w:val="18"/>
              </w:rPr>
              <w:t>系统将建立标准化的商品信息审核机制，对供应商上架的商品名称、关键属性、图片及介绍详情等进行规范化管理，确保商品信息完整、准确、可比，提升采购透明度。系统记录供应商的商品管理诚信行为，对频繁违规或严重超价的供应商纳入诚信评价体系，并采取相应的约束措施，如此期间内商品无法进行交易，以维护公平竞争的政府采购环境。</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项目采购-框架协议-二阶段交易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订单管理-服务类商品下单：征集文件、商品下单页面支持设置服务类商品费率和差额累进计费模式</w:t>
            </w:r>
            <w:r>
              <w:rPr>
                <w:rFonts w:hint="eastAsia"/>
                <w:sz w:val="18"/>
                <w:szCs w:val="18"/>
              </w:rPr>
              <w:br w:type="textWrapping"/>
            </w:r>
            <w:r>
              <w:rPr>
                <w:rFonts w:hint="eastAsia"/>
                <w:sz w:val="18"/>
                <w:szCs w:val="18"/>
              </w:rPr>
              <w:t>竞价管理-二次竞价优化：系统支持采购人通过框架协议大厅、商品详情页、后台列表等多渠道发起二次竞价。当发起二次竞价时，系统支持智能筛选并展示所有允许二次竞价且采购人有购买权限的标项。</w:t>
            </w:r>
            <w:r>
              <w:rPr>
                <w:rFonts w:hint="eastAsia"/>
                <w:sz w:val="18"/>
                <w:szCs w:val="18"/>
              </w:rPr>
              <w:br w:type="textWrapping"/>
            </w:r>
            <w:r>
              <w:rPr>
                <w:rFonts w:hint="eastAsia"/>
                <w:sz w:val="18"/>
                <w:szCs w:val="18"/>
              </w:rPr>
              <w:t>顺序轮候-顺序轮候优化：框架协议签订成功后，系统支持采购人依据入选商品轮候顺序进行排队交易流程。系统智能化匹配入围产品至相应标项，整合标项的技术规格、预算上限等关键信息形成顺序轮候的采购需求。</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项目采购-框架协议-成交结果</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响应服务类商品成交要求，系统支持单笔成交公告、成交结果汇总公告内容根据项目数据自动生成，执行公告审批流程后，公告发布至省级政府采购信息网站。</w:t>
            </w:r>
            <w:r>
              <w:rPr>
                <w:rFonts w:hint="eastAsia"/>
                <w:sz w:val="18"/>
                <w:szCs w:val="18"/>
              </w:rPr>
              <w:br w:type="textWrapping"/>
            </w:r>
            <w:r>
              <w:rPr>
                <w:rFonts w:hint="eastAsia"/>
                <w:sz w:val="18"/>
                <w:szCs w:val="18"/>
              </w:rPr>
              <w:t>入围结果公告中需要公示入围产品的排序。</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项目采购-项目数据查询</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新增财政用户在【监管查询】-【采购包查询】菜单列表查看对应的数据。搜索时，可以通过“项目名称、项目编号、采购人、采购组织机构、开标时间、采购方式、中标成交供应商”以及“参与供应商”作为搜索条件。其中“参与供应商”能支持录入多个供应商名称，系统查询同时满足多个供应商参与的采购包在列表中进行展示。</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项目采购-增加安全可靠产品标识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 xml:space="preserve">建立统一的 “通过安全测评” 标识体系，该标识在预算一体化系统中创建，并贯通至政府采购云平台的采购计划、征集文件编制、投标、开评标、商品管理及交易等环节，实现对安全合规产品的精准筛选与强制采购。 </w:t>
            </w:r>
            <w:r>
              <w:rPr>
                <w:rFonts w:hint="eastAsia"/>
                <w:sz w:val="18"/>
                <w:szCs w:val="18"/>
              </w:rPr>
              <w:br w:type="textWrapping"/>
            </w:r>
            <w:r>
              <w:rPr>
                <w:rFonts w:hint="eastAsia"/>
                <w:sz w:val="18"/>
                <w:szCs w:val="18"/>
              </w:rPr>
              <w:t>采购实施计划增加“通过安全测评” 标识，该标识同步至政府采购云平台，在编制框架协议征集文件时，依据采购计划可针对每个采购包件设置 “通过安全测评” 标识。若包件设置该标识，供应商投标时，其响应的商品必须为已通过安全测评的产品，系统予以锁定，不允许选择未测评商品。中标供应商签订入围协议后，系统自动为对应商品打上 “通过安全测评” 标识。在框架协议商品馆前台，对通过安全测评的商品进行可视化标签展示。在商品大厅增加 “通过安全测评” 筛选条件，方便采购人快速筛选合规商品。在最终交易环节，系统根据计划要求强制匹配合规商品，确保采购行为符合安全规定。</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合同管理-合同模板</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合同模板管理：系统在线维护合同模板，完善合同模板样式。支持采购文件中选用合同模板，同时在合同签订时，支持自动带入采购文件使用的合同模板。</w:t>
            </w:r>
            <w:r>
              <w:rPr>
                <w:rFonts w:hint="eastAsia"/>
                <w:sz w:val="18"/>
                <w:szCs w:val="18"/>
              </w:rPr>
              <w:br w:type="textWrapping"/>
            </w:r>
            <w:r>
              <w:rPr>
                <w:rFonts w:hint="eastAsia"/>
                <w:sz w:val="18"/>
                <w:szCs w:val="18"/>
              </w:rPr>
              <w:t>合同书签管理：提供货物、服务、工程类合同模板书签管理，包含模板定义及书签配置</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合同管理-合同管理-合同编制-中小企业合同</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按照中小企业政策相关要求，完成采购合同全流程数据改造</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合同管理-合同管理-合同编制-合并采购合同</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完成采购合同相关合并功能改造对采购合同完成与小平台全流程适配改造</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合同管理-合同管理-合同编制-联合体合同</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中标供应商若为联合体投标，支持联合体供应商各方以会签方式签订采购合同</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合同管理-合同管理-合同编制-数据带入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根据采购文件中的合同模板、中标（成交）结果信息，按照包件生成合同文本和合同结构化数据</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合同管理-合同管理-合同编制-合同结构化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按货物、服务、工程区分不同合同类型下合同应具备的标准结构化数据和非结构化文本。</w:t>
            </w:r>
            <w:r>
              <w:rPr>
                <w:rFonts w:hint="eastAsia"/>
                <w:sz w:val="18"/>
                <w:szCs w:val="18"/>
              </w:rPr>
              <w:br w:type="textWrapping"/>
            </w:r>
            <w:r>
              <w:rPr>
                <w:rFonts w:hint="eastAsia"/>
                <w:sz w:val="18"/>
                <w:szCs w:val="18"/>
              </w:rPr>
              <w:t>通过业务字段的数据输入和验证机制，实现合同数据的完整性和一致性，减少人为错误和数据重复。</w:t>
            </w:r>
            <w:r>
              <w:rPr>
                <w:rFonts w:hint="eastAsia"/>
                <w:sz w:val="18"/>
                <w:szCs w:val="18"/>
              </w:rPr>
              <w:br w:type="textWrapping"/>
            </w:r>
            <w:r>
              <w:rPr>
                <w:rFonts w:hint="eastAsia"/>
                <w:sz w:val="18"/>
                <w:szCs w:val="18"/>
              </w:rPr>
              <w:t>参考财政部和地方管理要求，规范合同结构化字段的字段命名、数据类型、字段长度等。</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合同管理-合同管理-合同编制-所见所得编制</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基于在线文件编制能力，提供左侧文本、右侧结构化字段、左右相互联动方式为采购人、供应商提供采购合同在线签订能力。</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合同管理-合同管理-合同签章</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合同签订的各方需对合同内容进行审核确认，并加盖电子签章</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合同管理-合同管理-合同公告</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合同签订完成后，优化合同公告模板样式，按照合同公告模板自动生成合同公告，并发布至政府采购网等指定媒体。</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合同管理-合同管理-合同对接-合同对接上海市政府采购中心集中采购业务操作平台</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小平台严格按照合同规范配置合同模板，并且与云平台完成合同模板对接及签订的合同信息对接改造</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合同管理-合同管理-合同对接-对接预算管理一体化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支持合同结构化要素对接政府采购云平台与预算管理一体化系统</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履约验收-履约管理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分期履约：系统支持供应商根据合同条款分阶段进行履约，记录每次履约的商品明细、数量及价格，确保每次履约信息的完整和准确</w:t>
            </w:r>
            <w:r>
              <w:rPr>
                <w:rFonts w:hint="eastAsia"/>
                <w:sz w:val="18"/>
                <w:szCs w:val="18"/>
              </w:rPr>
              <w:br w:type="textWrapping"/>
            </w:r>
            <w:r>
              <w:rPr>
                <w:rFonts w:hint="eastAsia"/>
                <w:sz w:val="18"/>
                <w:szCs w:val="18"/>
              </w:rPr>
              <w:t>履约要素：详细记录供应商履约过程中的商品明细、商品价格、收发货记录、物流等信息</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履约验收-验收管理-分期验收</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采购人分阶段对供应商（含联合体）的履约进行验收，每次验收详细记录，包括验收单和验收专家（如有）的意见。</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履约验收-验收管理-验收要素</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为验收过程提供标准验收材料模板，包含验收方案模板及验收表模板、验收标准模板及验收表模板、人员签到记录模板</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履约验收-验收对接-对接预算一体化系统</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实现政府采购云平台履约验收与预算一体化系统对接（含正向流程和逆向流程），履约发验收完成后参考预算管理一体化标准以结构化数据方式，将履约验收内容同步至预算一体化。</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履约验收-支付申请-联合体支付申请</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支持按支付期次和验收发起联合体支付申请功能，并将已审核通过的支付申请按照预算管理一体化2.0标准要求推送至预算管理一体化系统。</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金融管理-政采贷-发起政采贷</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在项目采购的投标中心嵌入政采贷业务功能，让供应商提前了解政采贷功能以及申请条件，便于供应商政采贷业务申请；在结果中心嵌入政采贷业务，支持基于中标结果申请政采贷，提前开展政采贷业务，缓解供应商资金压力；同时提供基于已签订的合同发起政采贷业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金融管理-政采贷-政采贷对接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接大数据平台：为实现政府采购数据资源的有效整合与价值释放，实现政采贷业务数据、供应商历史政府采购交易数据以及供应商信用评价信息，与大数据中心的数据资源池进行深度对接与融合。此举旨在为金融机构提供更加全面、精准、动态的风险评估依据，助力其提升信贷决策的科学性与效率。同时，通过打通数据链路，金融机构能够实时获取并分析其贷款业务的实际反馈数据，从而动态优化贷款策略和风险控制模型。这一闭环机制的建立，将显著降低金融机构的不良贷款率，并最终实现基于多维数据洞察的精准放贷目标。</w:t>
            </w:r>
            <w:r>
              <w:rPr>
                <w:rFonts w:hint="eastAsia"/>
                <w:sz w:val="18"/>
                <w:szCs w:val="18"/>
              </w:rPr>
              <w:br w:type="textWrapping"/>
            </w:r>
            <w:r>
              <w:rPr>
                <w:rFonts w:hint="eastAsia"/>
                <w:sz w:val="18"/>
                <w:szCs w:val="18"/>
              </w:rPr>
              <w:t>对接银行：系统支持供应商通过线上渠道，便捷地浏览并选择符合其需求的政采贷专属产品，并直接在线提交贷款申请。供应商发起的申请单据将实时、无缝地同步至合作金融机构的业务系统，确保信息传递的即时性与准确性。这一流程彻底实现了政采贷业务从产品选择、申请提交到信息传递的全链条电子化流转，显著提升了业务办理效率与协同水平。</w:t>
            </w:r>
            <w:r>
              <w:rPr>
                <w:rFonts w:hint="eastAsia"/>
                <w:sz w:val="18"/>
                <w:szCs w:val="18"/>
              </w:rPr>
              <w:br w:type="textWrapping"/>
            </w:r>
            <w:r>
              <w:rPr>
                <w:rFonts w:hint="eastAsia"/>
                <w:sz w:val="18"/>
                <w:szCs w:val="18"/>
              </w:rPr>
              <w:t>对接审批结果：系统实现金融机构审批结果的实时同步，供应商通过平台可实时查询政采贷申请审批结果，有效提升审批结果的及时性与准确性。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金融管理-电子保函-申请签发</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对于要求缴纳投标保证金和履约保证金的项目，提供在线选择保函产品以及投标保函和履约保函的在线申请功能。</w:t>
            </w:r>
            <w:r>
              <w:rPr>
                <w:rFonts w:hint="eastAsia"/>
                <w:sz w:val="18"/>
                <w:szCs w:val="18"/>
              </w:rPr>
              <w:br w:type="textWrapping"/>
            </w:r>
            <w:r>
              <w:rPr>
                <w:rFonts w:hint="eastAsia"/>
                <w:sz w:val="18"/>
                <w:szCs w:val="18"/>
              </w:rPr>
              <w:t>对于有预付款的合同，供应商可以在线选择保函产品发起预付款保函申请，申请信息同步至保函机构，实现预付款保函的在线申请、审批和签发</w:t>
            </w:r>
            <w:r>
              <w:rPr>
                <w:rFonts w:hint="eastAsia"/>
                <w:sz w:val="18"/>
                <w:szCs w:val="18"/>
              </w:rPr>
              <w:br w:type="textWrapping"/>
            </w:r>
            <w:r>
              <w:rPr>
                <w:rFonts w:hint="eastAsia"/>
                <w:sz w:val="18"/>
                <w:szCs w:val="18"/>
              </w:rPr>
              <w:t>根据供应商申请的保函产品实现保函的在线审批，将保函出具单位的审批过程反馈至供应商，便于供应商跟踪及管理本单位的保函。</w:t>
            </w:r>
            <w:r>
              <w:rPr>
                <w:rFonts w:hint="eastAsia"/>
                <w:sz w:val="18"/>
                <w:szCs w:val="18"/>
              </w:rPr>
              <w:br w:type="textWrapping"/>
            </w:r>
            <w:r>
              <w:rPr>
                <w:rFonts w:hint="eastAsia"/>
                <w:sz w:val="18"/>
                <w:szCs w:val="18"/>
              </w:rPr>
              <w:t>保函出具机构根据供应商的申请记录签发其对应的保函，系统自动获取保函机构签发的保函信息，包含签发时间、保单金额、签发机构、以及包含票据等。、</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金融管理-电子保函-查询保函</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提供按项目、按签发日期、签发单位、保函状态等条件查询保函功能。</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金融管理-电子保函-撤销保函</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提供供应商对已购买的保函进行撤销功能，撤销结果同步保函机构，实现平台和保函机构同步撤销，避免保函信息的准确性。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金融管理-电子保函-在线解密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为有效防范信息泄露风险，本系统提供对已签发保函进行加密处理的功能。通过先进的加密技术，确保保函内容在传输和存储过程中的机密性与完整性。同时，对于经授权且符合预设解密条件的申请，系统支持便捷的在线解密功能，在保障信息安全的前提下，满足业务及时查阅与处理的需求。</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金融管理-电子保函-对接公共资源交易平台</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实现电子保函系统与公共资源交易平台保函对接，对接内容包含保函产品、保函申请、审批、签发以及电子保函的查询和撤销等内容</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质疑投诉-询问管理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发起询问：供应商需严格遵循项目既定的时间节点（根据业务需求进行发起时间限制），按要求规范填写项目相关询问信息（系统对重要信息进行校验），并通过平台准确提交至采购代理机构（兼顾代理机构及时处理进行待办消息提示）。</w:t>
            </w:r>
            <w:r>
              <w:rPr>
                <w:rFonts w:hint="eastAsia"/>
                <w:sz w:val="18"/>
                <w:szCs w:val="18"/>
              </w:rPr>
              <w:br w:type="textWrapping"/>
            </w:r>
            <w:r>
              <w:rPr>
                <w:rFonts w:hint="eastAsia"/>
                <w:sz w:val="18"/>
                <w:szCs w:val="18"/>
              </w:rPr>
              <w:t>回复询问：代理机构收到供应商有效询问后，形成根据业务需求结构化定制规范的在线答复内容，再通过在线平台精准通知到供应商；同时，需留存询问与回复的全流程记录以及状态监控，以备项目后续审计、核查等工作调阅。</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质疑投诉-质疑管理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发起质疑：根据94号令严格依照项目明确的质疑时效规定限制供应商对于项目的质疑发起，并通过指定在线系统规范填写完整的质疑信息，同时支持代理机构对于线下发起的质疑进行线上补录。信息应包含清晰的质疑类型（如对采购文件、采购过程、采购结果的质疑等细分类型）、具体且可追溯的质疑事项（需关联到采购活动中的具体环节、文件条款或行为）、充分的法律依据（需准确引用相关法律法规、政策文件条款）。同时，支持供应商按系统要求上传多种形式的相关支持文件（如能证明采购违规的图片、合同文档、沟通记录文档等），并提供文件上传格式、大小等规范的在线指引与异常问题（如上传失败、格式不兼容等）的实时协助。代理机构在收到质疑后，要第一时间进行初步的形式审查（系统进行及时发送待办消息提醒以防遗漏），对质疑材料不完整、表述不清晰等情况，需在线及时反馈具体的补正要求，确保质疑发起环节的规范性与有效性。</w:t>
            </w:r>
            <w:r>
              <w:rPr>
                <w:rFonts w:hint="eastAsia"/>
                <w:sz w:val="18"/>
                <w:szCs w:val="18"/>
              </w:rPr>
              <w:br w:type="textWrapping"/>
            </w:r>
            <w:r>
              <w:rPr>
                <w:rFonts w:hint="eastAsia"/>
                <w:sz w:val="18"/>
                <w:szCs w:val="18"/>
              </w:rPr>
              <w:t>质疑管理：允许供应商提交后的质疑内容在退回补正时，在一定时间内进行补正提交。同时允许供应商在补正时，对质疑进行作废。以及允许供应商在质疑受理阶段，主动撤回质疑。当供应商提交的质疑需补正时，系统为供应商展示明确的补正时间提醒（包含补正截止时间的醒目提示、倒计时功能等），并支持配置供应商在补正期限内提交补正次数限制。同时，允许供应商在补正过程中，根据自身情况对质疑进行作废操作，系统需实时记录作废时间与操作人信息；在质疑受理阶段，也支持供应商主动发起撤回质疑的申请，代理机构需及时受理并留存撤回申请的相关记录（含撤回原因、时间等）。此外，代理机构要对补正后的质疑再次进行形式与内容的双重审核，确保补正内容符合质疑的基本要求，为后续受理环节提供准确依据。</w:t>
            </w:r>
            <w:r>
              <w:rPr>
                <w:rFonts w:hint="eastAsia"/>
                <w:sz w:val="18"/>
                <w:szCs w:val="18"/>
              </w:rPr>
              <w:br w:type="textWrapping"/>
            </w:r>
            <w:r>
              <w:rPr>
                <w:rFonts w:hint="eastAsia"/>
                <w:sz w:val="18"/>
                <w:szCs w:val="18"/>
              </w:rPr>
              <w:t>质疑补正：允许供应商提交后的质疑内容在退回补正时，在一定时间内进行补正提交。同时允许供应商在补正时，对质疑进行作废。以及允许供应商在质疑受理阶段，主动撤回质疑。</w:t>
            </w:r>
            <w:r>
              <w:rPr>
                <w:rFonts w:hint="eastAsia"/>
                <w:sz w:val="18"/>
                <w:szCs w:val="18"/>
              </w:rPr>
              <w:br w:type="textWrapping"/>
            </w:r>
            <w:r>
              <w:rPr>
                <w:rFonts w:hint="eastAsia"/>
                <w:sz w:val="18"/>
                <w:szCs w:val="18"/>
              </w:rPr>
              <w:t>质疑受理：采购人、采购代理机构可以在线受理供应商的质疑，并根据审查，给出受理结果，包含受理、不受理、退回补正等，并在线通知到供应商。系统对受理的全过程进行监控及时进行状态提示，做好督办，监控质疑受理的时限及状态，以备项目后续审计、核查等工作调阅。</w:t>
            </w:r>
            <w:r>
              <w:rPr>
                <w:rFonts w:hint="eastAsia"/>
                <w:sz w:val="18"/>
                <w:szCs w:val="18"/>
              </w:rPr>
              <w:br w:type="textWrapping"/>
            </w:r>
            <w:r>
              <w:rPr>
                <w:rFonts w:hint="eastAsia"/>
                <w:sz w:val="18"/>
                <w:szCs w:val="18"/>
              </w:rPr>
              <w:t>质疑回复：采购人、采购代理机构对于受理的质疑，进行并在线通知到供应商。对于质疑内容需要进行全面、深入的核查，开展取证调研工作的，系统支持对协助方答复内容进行录入。</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质疑投诉-投诉管理-发起投诉</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通过填写表单或选择预设选项来描述投诉的详细信息，包括投诉类型、投诉事项，法律依据等。允许供应商上传相关支持文件（如图片、文档），以便进一步证明投诉的合理性。允许提供举证材料，优化供应商大投诉处理流程，促进财政公平裁定投诉，从而提升整体管理效率和透明度。</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质疑投诉-投诉管理-投诉对接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与 “解纷一件事” 平台建立深度数据互通与协同机制。接收 “解纷一件事” 推送的投诉事件，第一时间在平台内对投诉事件进行分类建档，明确投诉编号、投诉方信息、投诉涉及的采购项目等基本要素。按 “解纷一件事” 的规范要求，梳理并提供包含投诉受理情况、调查进展、初步处理意见等内容的投诉处理清单和详细内容。在投诉处理完毕后，及时将最终的投诉处理结果（包括处理结论、依据、对相关责任方的处理措施等）反馈至 “解纷一件事” 平台，确保两个平台间投诉处理信息的同步性与一致性。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质疑投诉-投诉管理-在线受理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在线受理与审查投诉书功能，为采购人、代理机构提供在线受理投诉能力，根据审查结果确定受理、不受理、退回补正。</w:t>
            </w:r>
            <w:r>
              <w:rPr>
                <w:rFonts w:hint="eastAsia"/>
                <w:sz w:val="18"/>
                <w:szCs w:val="18"/>
              </w:rPr>
              <w:br w:type="textWrapping"/>
            </w:r>
            <w:r>
              <w:rPr>
                <w:rFonts w:hint="eastAsia"/>
                <w:sz w:val="18"/>
                <w:szCs w:val="18"/>
              </w:rPr>
              <w:t>确定受理的，可在线发送受理通知书功能，通过在线向投诉人发送受理结果，确保投诉信息已经成功接收并进入处理流程，提升用户体验和透明度，以有效管理和响应投诉事务。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质疑投诉-投诉管理-在线编制投诉处理决定书</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可根据投诉处理流程，自动提取投诉基本信息、调查过程、认定事实、法律依据等关键内容，辅助生成决定书初稿。工作人员可在初稿基础上进行编辑完善，确保决定书内容准确、表述严谨，符合法律合规性要求。决定书编制完成后，平台支持在线发送给投诉方、被投诉方以及相关涉事单位，同时对发送时间、接收状态等进行记录，保障决定书送达的及时性与可追溯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行政裁决-投诉受理和案件库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投诉受理：财政在线受理投诉书，对投诉进行受理、驳回、要求补正。按照解纷一件事管理要求，进一步完善系统对接。</w:t>
            </w:r>
            <w:r>
              <w:rPr>
                <w:rFonts w:hint="eastAsia"/>
                <w:sz w:val="18"/>
                <w:szCs w:val="18"/>
              </w:rPr>
              <w:br w:type="textWrapping"/>
            </w:r>
            <w:r>
              <w:rPr>
                <w:rFonts w:hint="eastAsia"/>
                <w:sz w:val="18"/>
                <w:szCs w:val="18"/>
              </w:rPr>
              <w:t>案例库：支持对现有的投诉案例形成案例库，用于业务处理过程中查阅、对比。</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质疑投诉-投诉管理-生成投诉处理公告</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平台实现财政在线生成投诉处理公告并发布的全流程线上管理。根据投诉处理决定书，平台自动提取核心信息，按照统一规范的格式生成投诉处理公告。生成的公告经相关部门审核通过后，进行发布，能够及时查阅，进一步提升信息透明度和及时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数据报表</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系统提供强大的数据报表解决方案，核心支持用户根据业务需求，灵活指定所需的数据指标，为了满足更精细化的数据洞察需求，系统特别为配置人员开放了报表数据的深度控制能力：</w:t>
            </w:r>
            <w:r>
              <w:rPr>
                <w:rFonts w:hint="eastAsia"/>
                <w:sz w:val="18"/>
                <w:szCs w:val="18"/>
              </w:rPr>
              <w:br w:type="textWrapping"/>
            </w:r>
            <w:r>
              <w:rPr>
                <w:rFonts w:hint="eastAsia"/>
                <w:sz w:val="18"/>
                <w:szCs w:val="18"/>
              </w:rPr>
              <w:t xml:space="preserve"> 排序规则定义： 可灵活配置报表数据的默认排序方式（如按时间倒序、按金额降序等），确保关键信息优先呈现。</w:t>
            </w:r>
            <w:r>
              <w:rPr>
                <w:rFonts w:hint="eastAsia"/>
                <w:sz w:val="18"/>
                <w:szCs w:val="18"/>
              </w:rPr>
              <w:br w:type="textWrapping"/>
            </w:r>
            <w:r>
              <w:rPr>
                <w:rFonts w:hint="eastAsia"/>
                <w:sz w:val="18"/>
                <w:szCs w:val="18"/>
              </w:rPr>
              <w:t xml:space="preserve"> 过滤器设置： 支持配置动态或静态的数据筛选条件（如按地区、时间范围、状态等），聚焦特定维度的数据子集。</w:t>
            </w:r>
            <w:r>
              <w:rPr>
                <w:rFonts w:hint="eastAsia"/>
                <w:sz w:val="18"/>
                <w:szCs w:val="18"/>
              </w:rPr>
              <w:br w:type="textWrapping"/>
            </w:r>
            <w:r>
              <w:rPr>
                <w:rFonts w:hint="eastAsia"/>
                <w:sz w:val="18"/>
                <w:szCs w:val="18"/>
              </w:rPr>
              <w:t xml:space="preserve"> 搜索条件定制： 允许为报表添加便捷的搜索功能，用户可快速定位符合特定关键词或条件的数据记录。</w:t>
            </w:r>
            <w:r>
              <w:rPr>
                <w:rFonts w:hint="eastAsia"/>
                <w:sz w:val="18"/>
                <w:szCs w:val="18"/>
              </w:rPr>
              <w:br w:type="textWrapping"/>
            </w:r>
            <w:r>
              <w:rPr>
                <w:rFonts w:hint="eastAsia"/>
                <w:sz w:val="18"/>
                <w:szCs w:val="18"/>
              </w:rPr>
              <w:t>这些配置选项共同构成了报表的“数据视图规则”。配置完成后，系统将严格依据设定的规则对原始数据进行处理和组织，生成最终的报表视图。最终用户将根据其预设的权限体系，便捷地查阅与其职责范围相匹配的数据报表内容。</w:t>
            </w:r>
            <w:r>
              <w:rPr>
                <w:rFonts w:hint="eastAsia"/>
                <w:sz w:val="18"/>
                <w:szCs w:val="18"/>
              </w:rPr>
              <w:br w:type="textWrapping"/>
            </w:r>
            <w:r>
              <w:rPr>
                <w:rFonts w:hint="eastAsia"/>
                <w:sz w:val="18"/>
                <w:szCs w:val="18"/>
              </w:rPr>
              <w:t>报表的内容主要包括：中小企业政府采购合同占全部政府采购合同金额的比例、采购结构公告至采购合同签订平均时长、采购项目电子化交易占比和采购项目意向公开占比等。</w:t>
            </w:r>
            <w:r>
              <w:rPr>
                <w:rFonts w:hint="eastAsia"/>
                <w:sz w:val="18"/>
                <w:szCs w:val="18"/>
              </w:rPr>
              <w:br w:type="textWrapping"/>
            </w:r>
            <w:r>
              <w:rPr>
                <w:rFonts w:hint="eastAsia"/>
                <w:sz w:val="18"/>
                <w:szCs w:val="18"/>
              </w:rPr>
              <w:t>本功能支持用户灵活设定供应商参与情况作为关键搜索条件，精准定位目标项目。系统能够自动归集并统一管理该项目全流程中产生的各类重要文档资料，包括但不限于采购文件、供应商提交的响应文件、开评标过程文件、中标通知书等。所有相关文件均可一站式管理，并支持按需打包下载，极大提升项目资料归档与追溯的效率。</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数据对接-数据库表定义和导出、通用接口配置管理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数据库表定义和导出：系统提供数据初始化功能，支持依据业务需求定义数据库表结构及其字段属性（包括字段类型、长度、约束等）。同时，系统实现了将数据库表中的数据便捷导出为标准的 XLS (Excel) 文件格式的功能。此外，为满足数据导入需求，系统还提供了强大的数据格式化导入功能，支持用户按照预设的数据模板或格式要求，将外部数据文件进行规范化处理并高效、准确地导入至目标数据库表中。</w:t>
            </w:r>
            <w:r>
              <w:rPr>
                <w:rFonts w:hint="eastAsia"/>
                <w:sz w:val="18"/>
                <w:szCs w:val="18"/>
              </w:rPr>
              <w:br w:type="textWrapping"/>
            </w:r>
            <w:r>
              <w:rPr>
                <w:rFonts w:hint="eastAsia"/>
                <w:sz w:val="18"/>
                <w:szCs w:val="18"/>
              </w:rPr>
              <w:t>通用接口配置管理：通过开放平台，旨在实现财政数据大屏相关接口的规范化开放与灵活配置，并构建统一的数据API接口管理体系。该平台的核心能力涵盖：数据源接入与管理、数据查询规则定义、数据映射与转换处理、以及接口安全与访问权限控制，确保API调用的安全性与权限合规性。从而实现财政数据资源的有效整合、安全共享与高效利用。</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电子档案-自动归档</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实现电子档案自动归档和档案补充。根据业务设定在项目结项时，自动按项目进行归档文件的归集，依据项目各阶段的关键要素进行文件收集。同时对于额外的补充内容，也允许用户进行手工补充上传，支持常用的多格式。</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智能监管-采购文件巡检知识库数据预处理-法律法规知识库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基于平台业务场景，对政策法规文件、平台操作指南、常见问题（FAQ）等进行深度去噪与去重。运用智能文本比对算法，精准识别并剔除重复或相似的政策条款表述；同时，结合人工审核，对模糊、歧义的政策内容进行澄清与修正，确保知识的准确性与唯一性。知识存储包含政策法规文件的基本信息（文件名称、发布机构、生效日期、条款内容、适用范围、修订记录），便于业务智能体快速匹配法规与实际业务的关联，当前知识存储容量预计达 1G，且后续随政策更新持续扩充，重大政策调整后 24 小时内完成平台知识更新，常规修订 72 小时内同步，普通政策调整结合用户反馈与政策变化每周集中更新 1 次。</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智能监管-采购文件巡检知识库数据预处理-采购文件知识库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借助先进的数据提取与建模技术，从海量历史采购文件中精准提取关键信息（文件名称、项目名称、采购单位名称、评分方法、评分规则、资格审查要求、符合性审查要求、获取采购文件方式、投标方式、代理机构信息、监管单位信息等），构建多维度数据模型。对不同格式（如 结构化字段、Word、PDF 等）、不同表述风格的采购文件进行统一化处理，通过自然语言处理技术解析文本语义，确保关键信息提取的完整性与准确性。知识存储容量预计达 45G，平台在线制作完采购文件后，会自动触发异步解析流程，及时新增或更新知识库内容，运营中心每周也会集中上传采购文件进行批量新增或更新，且新入库知识会与已有知识自动融合，去除重复内容。</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智能监管-采购文件巡检知识库数据预处理-采购领域术语库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深度运用自然语言处理（NLP）技术，对采购文件各章节进行智能识别与字段提取，精准获取项目名称、采购编号、采购人信息、采购方式、预算金额、公告发布时间、投标截止时间等基础字段。在此基础上，构建专业且适配多样化文件表述形式的文件表述术语库和规则库，涵盖采购领域各类专业术语的标准表述、常见变体及对应业务含义。同时，结合知识标注工具（支持自动标注与人工标注结合），对术语库中的知识点进行精准标注与审核，及时检测并修正错误标注，确保术语库知识的精准化、结构化，为业务智能体的信息提取和内容审核提供坚实支撑，后续还会根据采购业务的新术语、新表述动态更新完善。</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智能监管-采购文件巡检知识库建设-文本向量化及召回</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将采购文件文本转化为计算机可理解的向量表示，并基于向量相似度实现文本快速检索和匹配。</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智能监管-采购文件巡检知识库建设-文本标注工具与管理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为采购文件文本提供标注工具和管理功能，支持人工标注和自动标注两种方式，为模型训练和效果评估提供数据支持。</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智能监管-采购文件巡检知识库建设-知识测试</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对法律法规知识库和采购文件知识库中的知识点进行知识测试，检测评估智能体对知识点的理解程度和知识准确性，以及是否满足知识推理要求。</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智能监管-采购文件巡检知识库建设-知识标注</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建设知识标注工具、标注审核流程、自动标注和人工标注、错误检测和修正等功能，结合自动化工具和人工修正的方式，对法律法规知识库和采购文件知识库中的知识点进行知识标注，让知识更精准化、结构化，提升大模型推理和回答的准确定，保持知识的一致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智能监管-采购文件巡检知识库建设-知识回流</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知识回流机制：重大政策调整后24小时内更新，常规修订72小时内同步。普通政策调整根据用户反馈及政策变化，每周集中更新1次。平台在线制作完采购文件后，进行异步解析并新增或更新，运营中心每周集中上传采购文件进行新增或更新。</w:t>
            </w:r>
            <w:r>
              <w:rPr>
                <w:rFonts w:hint="eastAsia"/>
                <w:sz w:val="18"/>
                <w:szCs w:val="18"/>
              </w:rPr>
              <w:br w:type="textWrapping"/>
            </w:r>
            <w:r>
              <w:rPr>
                <w:rFonts w:hint="eastAsia"/>
                <w:sz w:val="18"/>
                <w:szCs w:val="18"/>
              </w:rPr>
              <w:t>建设知识导入更新功能，并对新入库的知识与知识库已有知识进行融合，自动去除重复内容</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智能监管-智能采购文件巡检智能体建设-采购文件智能巡检智能体-巡检项配置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招标巡检项规则动态配置、2）巡检项适用章节配置、3）巡检项适用招标类型配置、4）同一巡检项在不同招标类型下的差异化配置、5）租户隔离、6）租户差异化巡检项配置、7）租户内巡检项策略配置、8）租户内巡检项适用章节配置、9）生效巡检标准展示</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智能监管-智能采购文件巡检智能体建设-采购文件智能巡检智能体-采购文件巡检业务流程编排</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基于动态巡检项配置构建违规检测引擎，支持文件重检与上传，生成可追溯日志与分类巡检报告，配置角色权限体系。</w:t>
            </w:r>
            <w:r>
              <w:rPr>
                <w:rFonts w:ascii="Times New Roman" w:hAnsi="Times New Roman"/>
                <w:sz w:val="18"/>
                <w:szCs w:val="18"/>
              </w:rPr>
              <w:t>​</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智能监管-智能采购文件巡检智能体建设-采购文件巡检信息提取智能体-采购文件文本提取</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用于历史文件清洗及实时文件巡检的文本提取。1）历史文本文件清洗、2）实时文本文件清洗、3）文本提取与解析、4）Excel等复杂文本提取与解析</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智能监管-智能采购文件巡检智能体建设-采购文件巡检信息提取智能体-采购文件图片识别</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用于历史文件清洗及实时文件巡检的图像的提取与识别。1）历史图片类文件清洗、2）实时图片类文件清洗、3）图片提取与解析</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智能监管-智能采购文件巡检智能体建设-采购文件巡检信息提取智能体-文本切片</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通过语义分析技术，将采购文件中的长文本智能切分为具有独立语义的文本片段。</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智能监管-智能采购文件巡检智能体建设-采购文件巡检信息提取智能体-表格识别</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识别采购文件中的各类表格，将表格数据转化为结构化信息，解决传统 OCR 对表格处理能力不足的问题。</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智能监管-智能采购文件巡检智能体建设-采购文件巡检信息提取智能体-特殊字符语义识别</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特殊字符分类识别，建立采购文件特殊字符分类体系，涵盖复选框、数学符号、货币符号、行业缩写、合同条款符号等各类特殊字符。通过字符特征提取和机器学习算法，准确识别不同类型的特殊字符及其在特定上下文中的含义；2）特殊表达规范化处理，针对采购文件中常见的特殊表达，通过规范化处理，提升后续数据比对和分析的准确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智能监管-智能采购文件巡检智能体建设-采购文件资格要求信息审核智能体-采购文件资格要求提取与审核</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基于大模型语义理解提取供应商资格要求并分类结构化，精准识别供应商资格要求相关内容，针对资格要求进行专业性的评估审核</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智能监管-智能采购文件巡检智能体建设-采购文件技术评分项信息审核智能体-采购文件技术评分项提取与审核</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从技术章节提取评分项及规则并结构化，识别评分项中的评分规则（如分值设定、评分等级划分），针对评分项进行专业性和实用性评估审核</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智能监管-智能采购文件巡检智能体建设-接口开发-与政务云MAP平台对接</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对接政务云MAP平台，调用工具组件：自然语言处理模型、OCR模型和文档处理模型；对接MAP平台，调用资料检索基础智能体能力</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智能监管-采购文件巡检前端应用-采购文件巡检预警</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对采购文件进行智能巡检后，依据智能监管的内容自动向监管部门发出预警信息。</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智能监管-采购文件巡检前端应用-采购文件文本定位</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按章节汇总问题点，点击可定位原文并高亮违规内容，标注规则与法律依据，提供上下文查看以提升审核效率。</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智能监管-采购文件巡检前端应用-采购文件巡检结果评价</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在每个问题点下提供疑议反馈入口，用户可对检测结果提出异议（如 "认为某条检测误判"），系统自动记录疑议内容，支持监管人员复核，复核结果在对应疑议说明下回复，继而反馈至用户，形成 "检测-疑议-修正" 的闭环管理。</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供应商库-数据对接-供应商库对接长三角</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优化供应商库功能，按照长三角一体化的要求，完善供应商库相关字段，实现长三角供应商数据共享。</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系统管理-岗位权限-岗位分配</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用户可通过岗位管理功能，为采购流程中的不同角色定义专属岗位，并将其分配给相应账号（例如：审核岗、经办岗、系统管理岗）。岗位体系分为平台级岗位和机构级岗位两类：</w:t>
            </w:r>
            <w:r>
              <w:rPr>
                <w:rFonts w:hint="eastAsia"/>
                <w:sz w:val="18"/>
                <w:szCs w:val="18"/>
              </w:rPr>
              <w:br w:type="textWrapping"/>
            </w:r>
            <w:r>
              <w:rPr>
                <w:rFonts w:hint="eastAsia"/>
                <w:sz w:val="18"/>
                <w:szCs w:val="18"/>
              </w:rPr>
              <w:t>平台级岗位： 由系统管理员负责新增与维护，其权限设置在全平台范围内通用生效。</w:t>
            </w:r>
            <w:r>
              <w:rPr>
                <w:rFonts w:hint="eastAsia"/>
                <w:sz w:val="18"/>
                <w:szCs w:val="18"/>
              </w:rPr>
              <w:br w:type="textWrapping"/>
            </w:r>
            <w:r>
              <w:rPr>
                <w:rFonts w:hint="eastAsia"/>
                <w:sz w:val="18"/>
                <w:szCs w:val="18"/>
              </w:rPr>
              <w:t>机构级岗位： 机构管理员可为本单位创建并管理特有的机构级岗位。此类岗位的权限范围仅限于创建它的机构内部，仅对该机构可见并适用。</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系统管理-岗位权限-菜单分配</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提供完整的菜单元数据管理功能，涵盖菜单的新建、信息维护、状态控制（停用/启用）及删除等核心操作，确保菜单数据灵活可控。</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系统管理-岗位权限-权限分配</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支持按区划灵活订阅/取消业务功能权限。 此功能允许根据不同的行政或业务区划，动态配置所需的功能权限，有效满足各区域间可能存在的差异化业务场景需求。同时，它极大地提升了系统权限分配的灵活性与敏捷性，使权限管理能够精准适配区域特性。</w:t>
            </w:r>
            <w:r>
              <w:rPr>
                <w:rFonts w:hint="eastAsia"/>
                <w:sz w:val="18"/>
                <w:szCs w:val="18"/>
              </w:rPr>
              <w:br w:type="textWrapping"/>
            </w:r>
            <w:r>
              <w:rPr>
                <w:rFonts w:hint="eastAsia"/>
                <w:sz w:val="18"/>
                <w:szCs w:val="18"/>
              </w:rPr>
              <w:t>支持按区划灵活订阅/取消平台级岗位。 通过此机制，可以为各个区划独立配置所需的岗位体系，实现岗位权限的区划化定制。这不仅满足了不同区域在权限管理策略上的个性化诉求（如职责分工、管控强度等），也为构建更精细化、差异化的权限管理体系提供了坚实支撑。两项功能共同实现了权限资源的按需、动态分配。</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r>
              <w:rPr>
                <w:rFonts w:hint="eastAsia" w:ascii="等线" w:hAnsi="等线" w:eastAsia="等线" w:cs="宋体"/>
                <w:kern w:val="0"/>
                <w:sz w:val="18"/>
                <w:szCs w:val="18"/>
              </w:rPr>
              <w:tab/>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门户网站-对网站内容全文检索、公告接口、内容管理、平台登录、投票管理、网站管理、网站设计、信箱管理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3、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采购计划-采购方式变更、数据配置、计划管理、数据配置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4、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专家库管理-专家抽取、专家考核、专家聘用、专家维护</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5、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基于政务云适配开发-专家库适配开发、供应商库管理适配开发</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6、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基于政务云适配开发-代理机构库适配开发</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7、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项目采购-开标、投标、中标通知书、评标、生成项目、委托、招标文件编制、招标文件更正</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8、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云平台数据分析-财政部报表、财政部基础数据导出、采购单位计划执行统计表、采购计划执行统计表、创新馆交易统计表、代理机构交易统计表、代理机构考核统计表、定点服务交易统计表、供应商交易统计表、供应商考核统计表、交易事实报表、网上超市交易统计表、项目采购交易统计表、协议供货交易统计表、中小企业馆交易统计表、专家评审统计表、交易类数据仓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9、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云平台数据分析-基础数据类数据仓库</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10、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云平台数据分析-元数据与主数据</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11、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财政监管系统对接接口-采购单位接口、采购计划接口、采购预算接口、区划管理人员配置管理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12、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财政监管系统对接接口-区划信息配置管理、代理机构接口、代码映射配置管理、数据交换日志、电子集市交易接口</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13、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财政监管系统对接接口-供应商接口、商品接口、数据摆渡</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14、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财政监管系统对接接口-数据吞吐监控管理、项目采购交易接口、异常数据监控管理</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15、服务器终端适配改造，包括适配XC数据库和中间件。</w:t>
            </w:r>
          </w:p>
        </w:tc>
      </w:tr>
      <w:tr>
        <w:tblPrEx>
          <w:tblCellMar>
            <w:top w:w="0" w:type="dxa"/>
            <w:left w:w="108" w:type="dxa"/>
            <w:bottom w:w="0" w:type="dxa"/>
            <w:right w:w="108" w:type="dxa"/>
          </w:tblCellMar>
        </w:tblPrEx>
        <w:trPr>
          <w:trHeight w:val="300" w:hRule="atLeast"/>
        </w:trPr>
        <w:tc>
          <w:tcPr>
            <w:tcW w:w="138" w:type="pct"/>
            <w:tcBorders>
              <w:top w:val="nil"/>
              <w:left w:val="single" w:color="auto" w:sz="4" w:space="0"/>
              <w:bottom w:val="single" w:color="auto" w:sz="4" w:space="0"/>
              <w:right w:val="single" w:color="auto" w:sz="4" w:space="0"/>
            </w:tcBorders>
            <w:noWrap/>
            <w:vAlign w:val="center"/>
          </w:tcPr>
          <w:p>
            <w:pPr>
              <w:pStyle w:val="61"/>
              <w:widowControl/>
              <w:numPr>
                <w:ilvl w:val="0"/>
                <w:numId w:val="4"/>
              </w:numPr>
              <w:spacing w:line="240" w:lineRule="auto"/>
              <w:ind w:firstLineChars="0"/>
              <w:jc w:val="center"/>
              <w:rPr>
                <w:rFonts w:cs="宋体"/>
                <w:kern w:val="0"/>
                <w:sz w:val="18"/>
                <w:szCs w:val="18"/>
              </w:rPr>
            </w:pPr>
          </w:p>
        </w:tc>
        <w:tc>
          <w:tcPr>
            <w:tcW w:w="737" w:type="pct"/>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等线" w:hAnsi="等线" w:eastAsia="等线" w:cs="宋体"/>
                <w:kern w:val="0"/>
                <w:sz w:val="18"/>
                <w:szCs w:val="18"/>
              </w:rPr>
            </w:pPr>
            <w:r>
              <w:rPr>
                <w:rFonts w:hint="eastAsia" w:ascii="等线" w:hAnsi="等线" w:eastAsia="等线" w:cs="宋体"/>
                <w:kern w:val="0"/>
                <w:sz w:val="18"/>
                <w:szCs w:val="18"/>
              </w:rPr>
              <w:t>上海市政府采购云平台</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eastAsia" w:cs="宋体"/>
                <w:kern w:val="0"/>
                <w:sz w:val="18"/>
                <w:szCs w:val="18"/>
              </w:rPr>
            </w:pPr>
            <w:r>
              <w:rPr>
                <w:rFonts w:hint="eastAsia"/>
                <w:sz w:val="18"/>
                <w:szCs w:val="18"/>
              </w:rPr>
              <w:t>财政监管系统对接接口-专家接口</w:t>
            </w:r>
          </w:p>
        </w:tc>
        <w:tc>
          <w:tcPr>
            <w:tcW w:w="320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sz w:val="18"/>
                <w:szCs w:val="18"/>
              </w:rPr>
            </w:pPr>
            <w:r>
              <w:rPr>
                <w:rFonts w:hint="eastAsia"/>
                <w:sz w:val="18"/>
                <w:szCs w:val="18"/>
              </w:rPr>
              <w:t>1、应用系统适配性验证设计，包括应用系统改造适配性验证设计、应用部署与数据迁移以及试运行；2、终端适配性验证设计，包括适配XC浏览器、操作系统、文字处理软件；16、服务器终端适配改造，包括适配XC数据库和中间件。</w:t>
            </w:r>
          </w:p>
        </w:tc>
      </w:tr>
    </w:tbl>
    <w:p>
      <w:pPr>
        <w:rPr>
          <w:rFonts w:hint="eastAsia"/>
        </w:rPr>
        <w:sectPr>
          <w:pgSz w:w="16838" w:h="11906" w:orient="landscape"/>
          <w:pgMar w:top="1797" w:right="1134" w:bottom="1797" w:left="1135" w:header="340" w:footer="7" w:gutter="0"/>
          <w:pgNumType w:start="1"/>
          <w:cols w:space="720" w:num="1"/>
          <w:titlePg/>
          <w:docGrid w:type="linesAndChars" w:linePitch="326" w:charSpace="0"/>
        </w:sectPr>
      </w:pPr>
    </w:p>
    <w:p>
      <w:pPr>
        <w:pStyle w:val="3"/>
        <w:rPr>
          <w:rFonts w:hint="eastAsia"/>
        </w:rPr>
      </w:pPr>
      <w:r>
        <w:rPr>
          <w:rFonts w:hint="eastAsia"/>
        </w:rPr>
        <w:t>硬件购置清单</w:t>
      </w:r>
    </w:p>
    <w:tbl>
      <w:tblPr>
        <w:tblStyle w:val="35"/>
        <w:tblW w:w="0" w:type="auto"/>
        <w:jc w:val="center"/>
        <w:tblLayout w:type="autofit"/>
        <w:tblCellMar>
          <w:top w:w="0" w:type="dxa"/>
          <w:left w:w="108" w:type="dxa"/>
          <w:bottom w:w="0" w:type="dxa"/>
          <w:right w:w="108" w:type="dxa"/>
        </w:tblCellMar>
      </w:tblPr>
      <w:tblGrid>
        <w:gridCol w:w="698"/>
        <w:gridCol w:w="773"/>
        <w:gridCol w:w="811"/>
        <w:gridCol w:w="5255"/>
        <w:gridCol w:w="495"/>
        <w:gridCol w:w="496"/>
      </w:tblGrid>
      <w:tr>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kern w:val="0"/>
              </w:rPr>
            </w:pPr>
            <w:r>
              <w:rPr>
                <w:rFonts w:hint="eastAsia" w:cs="宋体"/>
                <w:b/>
                <w:kern w:val="0"/>
              </w:rPr>
              <w:t>序号</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kern w:val="0"/>
              </w:rPr>
            </w:pPr>
            <w:r>
              <w:rPr>
                <w:rFonts w:hint="eastAsia" w:cs="宋体"/>
                <w:b/>
                <w:kern w:val="0"/>
              </w:rPr>
              <w:t>名称</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hint="eastAsia" w:cs="宋体"/>
                <w:b/>
                <w:kern w:val="0"/>
              </w:rPr>
            </w:pPr>
            <w:r>
              <w:rPr>
                <w:rFonts w:cs="宋体"/>
                <w:b/>
                <w:kern w:val="0"/>
              </w:rPr>
              <w:t>类别</w:t>
            </w:r>
          </w:p>
        </w:tc>
        <w:tc>
          <w:tcPr>
            <w:tcW w:w="0" w:type="auto"/>
            <w:tcBorders>
              <w:top w:val="single" w:color="auto" w:sz="4" w:space="0"/>
              <w:left w:val="nil"/>
              <w:bottom w:val="single" w:color="auto" w:sz="4" w:space="0"/>
              <w:right w:val="single" w:color="auto" w:sz="4" w:space="0"/>
            </w:tcBorders>
            <w:shd w:val="clear" w:color="000000" w:fill="F3F8FC"/>
            <w:vAlign w:val="center"/>
          </w:tcPr>
          <w:p>
            <w:pPr>
              <w:widowControl/>
              <w:spacing w:line="240" w:lineRule="auto"/>
              <w:ind w:firstLine="0" w:firstLineChars="0"/>
              <w:jc w:val="center"/>
              <w:rPr>
                <w:rFonts w:hint="eastAsia" w:cs="宋体"/>
                <w:b/>
                <w:kern w:val="0"/>
              </w:rPr>
            </w:pPr>
            <w:r>
              <w:rPr>
                <w:rFonts w:cs="宋体"/>
                <w:b/>
                <w:kern w:val="0"/>
              </w:rPr>
              <w:t>配置要求</w:t>
            </w:r>
          </w:p>
        </w:tc>
        <w:tc>
          <w:tcPr>
            <w:tcW w:w="0" w:type="auto"/>
            <w:tcBorders>
              <w:top w:val="single" w:color="auto" w:sz="4" w:space="0"/>
              <w:left w:val="nil"/>
              <w:bottom w:val="single" w:color="auto" w:sz="4" w:space="0"/>
              <w:right w:val="single" w:color="auto" w:sz="4" w:space="0"/>
            </w:tcBorders>
            <w:shd w:val="clear" w:color="000000" w:fill="F3F8FC"/>
            <w:vAlign w:val="center"/>
          </w:tcPr>
          <w:p>
            <w:pPr>
              <w:widowControl/>
              <w:spacing w:line="240" w:lineRule="auto"/>
              <w:ind w:firstLine="0" w:firstLineChars="0"/>
              <w:jc w:val="center"/>
              <w:rPr>
                <w:rFonts w:hint="eastAsia" w:cs="宋体"/>
                <w:b/>
                <w:kern w:val="0"/>
              </w:rPr>
            </w:pPr>
            <w:r>
              <w:rPr>
                <w:rFonts w:cs="宋体"/>
                <w:b/>
                <w:kern w:val="0"/>
              </w:rPr>
              <w:t>数量</w:t>
            </w:r>
          </w:p>
        </w:tc>
        <w:tc>
          <w:tcPr>
            <w:tcW w:w="0" w:type="auto"/>
            <w:tcBorders>
              <w:top w:val="single" w:color="auto" w:sz="4" w:space="0"/>
              <w:left w:val="nil"/>
              <w:bottom w:val="single" w:color="auto" w:sz="4" w:space="0"/>
              <w:right w:val="single" w:color="auto" w:sz="4" w:space="0"/>
            </w:tcBorders>
            <w:shd w:val="clear" w:color="000000" w:fill="F3F8FC"/>
            <w:vAlign w:val="center"/>
          </w:tcPr>
          <w:p>
            <w:pPr>
              <w:widowControl/>
              <w:spacing w:line="240" w:lineRule="auto"/>
              <w:ind w:firstLine="0" w:firstLineChars="0"/>
              <w:jc w:val="center"/>
              <w:rPr>
                <w:rFonts w:hint="eastAsia" w:cs="宋体"/>
                <w:b/>
                <w:kern w:val="0"/>
              </w:rPr>
            </w:pPr>
            <w:r>
              <w:rPr>
                <w:rFonts w:cs="宋体"/>
                <w:b/>
                <w:kern w:val="0"/>
              </w:rPr>
              <w:t>单位</w:t>
            </w:r>
          </w:p>
        </w:tc>
      </w:tr>
      <w:tr>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cs="Tahoma"/>
                <w:kern w:val="0"/>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路由器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rPr>
                <w:rFonts w:hint="eastAsia" w:cs="Tahoma"/>
                <w:kern w:val="0"/>
              </w:rPr>
            </w:pPr>
            <w:r>
              <w:rPr>
                <w:rFonts w:hint="eastAsia" w:cs="Tahoma"/>
                <w:kern w:val="0"/>
              </w:rPr>
              <w:t>市财政中心路由器</w:t>
            </w:r>
            <w:r>
              <w:rPr>
                <w:rFonts w:hint="eastAsia" w:cs="Tahoma"/>
                <w:kern w:val="0"/>
              </w:rPr>
              <w:br w:type="textWrapping"/>
            </w:r>
            <w:r>
              <w:rPr>
                <w:rFonts w:hint="eastAsia" w:cs="Tahoma"/>
                <w:kern w:val="0"/>
              </w:rPr>
              <w:t>设备主机；实配端口： 10*10GE(SFP+),8*GE Combo,4*GE Copper,1*USB3.0,4*SIC，双电源；SD-WAN高级软件包;三年维保"</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2</w:t>
            </w:r>
          </w:p>
        </w:tc>
        <w:tc>
          <w:tcPr>
            <w:tcW w:w="0" w:type="auto"/>
            <w:tcBorders>
              <w:top w:val="single" w:color="auto" w:sz="4" w:space="0"/>
              <w:left w:val="nil"/>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cs="Tahoma"/>
                <w:kern w:val="0"/>
              </w:rPr>
              <w:t>台</w:t>
            </w:r>
          </w:p>
        </w:tc>
      </w:tr>
      <w:tr>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路由器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rPr>
                <w:rFonts w:hint="eastAsia" w:cs="Tahoma"/>
                <w:kern w:val="0"/>
              </w:rPr>
            </w:pPr>
            <w:r>
              <w:rPr>
                <w:rFonts w:hint="eastAsia" w:cs="Tahoma"/>
                <w:kern w:val="0"/>
              </w:rPr>
              <w:t>市财政中心Spoke路由器</w:t>
            </w:r>
            <w:r>
              <w:rPr>
                <w:rFonts w:hint="eastAsia" w:cs="Tahoma"/>
                <w:kern w:val="0"/>
              </w:rPr>
              <w:br w:type="textWrapping"/>
            </w:r>
            <w:r>
              <w:rPr>
                <w:rFonts w:hint="eastAsia" w:cs="Tahoma"/>
                <w:kern w:val="0"/>
              </w:rPr>
              <w:t>设备主机；实配端口： 2*GE combo WAN, 1*10GE(SFP+) WAN, 8*GE LAN, 1*GE combo LAN, 2*USB 2.0, 2*SIC，单电源；SD-WAN高级软件包；三年维保"</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2</w:t>
            </w:r>
          </w:p>
        </w:tc>
        <w:tc>
          <w:tcPr>
            <w:tcW w:w="0" w:type="auto"/>
            <w:tcBorders>
              <w:top w:val="single" w:color="auto" w:sz="4" w:space="0"/>
              <w:left w:val="nil"/>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台</w:t>
            </w:r>
          </w:p>
          <w:p>
            <w:pPr>
              <w:widowControl/>
              <w:spacing w:line="240" w:lineRule="auto"/>
              <w:ind w:firstLine="0" w:firstLineChars="0"/>
              <w:rPr>
                <w:rFonts w:hint="eastAsia" w:cs="Tahoma"/>
                <w:kern w:val="0"/>
              </w:rPr>
            </w:pPr>
          </w:p>
        </w:tc>
      </w:tr>
      <w:tr>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路由器配件</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rPr>
                <w:rFonts w:hint="eastAsia" w:cs="Tahoma"/>
                <w:kern w:val="0"/>
              </w:rPr>
            </w:pPr>
            <w:r>
              <w:rPr>
                <w:rFonts w:hint="eastAsia" w:cs="Tahoma"/>
                <w:kern w:val="0"/>
              </w:rPr>
              <w:t>软件控制平台；CPU：2*32Core@2.6GHz ；内存：4*32GB；硬盘：4*1920GB SSD,Raid卡(4G cache,带超级电容)；端口：2*4 GE电口,3*2 10GE/25GE光口；电源：2*900W AC</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1</w:t>
            </w:r>
          </w:p>
        </w:tc>
        <w:tc>
          <w:tcPr>
            <w:tcW w:w="0" w:type="auto"/>
            <w:tcBorders>
              <w:top w:val="single" w:color="auto" w:sz="4" w:space="0"/>
              <w:left w:val="nil"/>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台</w:t>
            </w:r>
          </w:p>
        </w:tc>
      </w:tr>
      <w:tr>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路由器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rPr>
                <w:rFonts w:hint="eastAsia" w:cs="Tahoma"/>
                <w:kern w:val="0"/>
              </w:rPr>
            </w:pPr>
            <w:r>
              <w:rPr>
                <w:rFonts w:hint="eastAsia" w:cs="Tahoma"/>
                <w:kern w:val="0"/>
              </w:rPr>
              <w:t xml:space="preserve">监督局节点路由器 </w:t>
            </w:r>
            <w:r>
              <w:rPr>
                <w:rFonts w:hint="eastAsia" w:cs="Tahoma"/>
                <w:kern w:val="0"/>
              </w:rPr>
              <w:br w:type="textWrapping"/>
            </w:r>
            <w:r>
              <w:rPr>
                <w:rFonts w:hint="eastAsia" w:cs="Tahoma"/>
                <w:kern w:val="0"/>
              </w:rPr>
              <w:t>设备主机；实配端口： 5*GE RJ45, 4*GE SFP, 1*USB 2.0, 4*SIC；</w:t>
            </w:r>
            <w:r>
              <w:rPr>
                <w:rFonts w:hint="eastAsia" w:cs="Tahoma"/>
                <w:kern w:val="0"/>
              </w:rPr>
              <w:br w:type="textWrapping"/>
            </w:r>
            <w:r>
              <w:rPr>
                <w:rFonts w:hint="eastAsia" w:cs="Tahoma"/>
                <w:kern w:val="0"/>
              </w:rPr>
              <w:t>SD-WAN高级软件包；</w:t>
            </w:r>
            <w:r>
              <w:rPr>
                <w:rFonts w:hint="eastAsia" w:cs="Tahoma"/>
                <w:kern w:val="0"/>
              </w:rPr>
              <w:br w:type="textWrapping"/>
            </w:r>
            <w:r>
              <w:rPr>
                <w:rFonts w:hint="eastAsia" w:cs="Tahoma"/>
                <w:kern w:val="0"/>
              </w:rPr>
              <w:t>三年维保</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1</w:t>
            </w:r>
          </w:p>
        </w:tc>
        <w:tc>
          <w:tcPr>
            <w:tcW w:w="0" w:type="auto"/>
            <w:tcBorders>
              <w:top w:val="single" w:color="auto" w:sz="4" w:space="0"/>
              <w:left w:val="nil"/>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台</w:t>
            </w:r>
          </w:p>
        </w:tc>
      </w:tr>
      <w:tr>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路由器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rPr>
                <w:rFonts w:hint="eastAsia" w:cs="Tahoma"/>
                <w:kern w:val="0"/>
              </w:rPr>
            </w:pPr>
            <w:r>
              <w:rPr>
                <w:rFonts w:hint="eastAsia" w:cs="Tahoma"/>
                <w:kern w:val="0"/>
              </w:rPr>
              <w:t>东方苑节点路由器</w:t>
            </w:r>
            <w:r>
              <w:rPr>
                <w:rFonts w:hint="eastAsia" w:cs="Tahoma"/>
                <w:kern w:val="0"/>
              </w:rPr>
              <w:br w:type="textWrapping"/>
            </w:r>
            <w:r>
              <w:rPr>
                <w:rFonts w:hint="eastAsia" w:cs="Tahoma"/>
                <w:kern w:val="0"/>
              </w:rPr>
              <w:t>设备主机；实配端口： 5*GE RJ45, 4*GE SFP, 1*USB 2.0, 4*SIC；</w:t>
            </w:r>
            <w:r>
              <w:rPr>
                <w:rFonts w:hint="eastAsia" w:cs="Tahoma"/>
                <w:kern w:val="0"/>
              </w:rPr>
              <w:br w:type="textWrapping"/>
            </w:r>
            <w:r>
              <w:rPr>
                <w:rFonts w:hint="eastAsia" w:cs="Tahoma"/>
                <w:kern w:val="0"/>
              </w:rPr>
              <w:t>SD-WAN高级软件包；</w:t>
            </w:r>
            <w:r>
              <w:rPr>
                <w:rFonts w:hint="eastAsia" w:cs="Tahoma"/>
                <w:kern w:val="0"/>
              </w:rPr>
              <w:br w:type="textWrapping"/>
            </w:r>
            <w:r>
              <w:rPr>
                <w:rFonts w:hint="eastAsia" w:cs="Tahoma"/>
                <w:kern w:val="0"/>
              </w:rPr>
              <w:t>三年维保</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Tahoma"/>
                <w:kern w:val="0"/>
              </w:rPr>
            </w:pPr>
            <w:r>
              <w:rPr>
                <w:rFonts w:hint="eastAsia" w:cs="Tahoma"/>
                <w:kern w:val="0"/>
              </w:rPr>
              <w:t>1</w:t>
            </w:r>
          </w:p>
        </w:tc>
        <w:tc>
          <w:tcPr>
            <w:tcW w:w="0" w:type="auto"/>
            <w:tcBorders>
              <w:top w:val="single" w:color="auto" w:sz="4" w:space="0"/>
              <w:left w:val="nil"/>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cs="Tahoma"/>
                <w:kern w:val="0"/>
              </w:rPr>
            </w:pPr>
            <w:r>
              <w:rPr>
                <w:rFonts w:hint="eastAsia" w:cs="Tahoma"/>
                <w:kern w:val="0"/>
              </w:rPr>
              <w:t>台</w:t>
            </w:r>
          </w:p>
        </w:tc>
      </w:tr>
    </w:tbl>
    <w:p>
      <w:pPr>
        <w:pStyle w:val="3"/>
        <w:rPr>
          <w:rFonts w:hint="eastAsia"/>
        </w:rPr>
      </w:pPr>
      <w:r>
        <w:rPr>
          <w:rFonts w:hint="eastAsia"/>
        </w:rPr>
        <w:t>安全产品购置清单</w:t>
      </w:r>
    </w:p>
    <w:tbl>
      <w:tblPr>
        <w:tblStyle w:val="35"/>
        <w:tblW w:w="5000" w:type="pct"/>
        <w:tblInd w:w="0" w:type="dxa"/>
        <w:tblLayout w:type="fixed"/>
        <w:tblCellMar>
          <w:top w:w="0" w:type="dxa"/>
          <w:left w:w="0" w:type="dxa"/>
          <w:bottom w:w="0" w:type="dxa"/>
          <w:right w:w="0" w:type="dxa"/>
        </w:tblCellMar>
      </w:tblPr>
      <w:tblGrid>
        <w:gridCol w:w="506"/>
        <w:gridCol w:w="905"/>
        <w:gridCol w:w="1080"/>
        <w:gridCol w:w="4709"/>
        <w:gridCol w:w="567"/>
        <w:gridCol w:w="565"/>
      </w:tblGrid>
      <w:tr>
        <w:tblPrEx>
          <w:tblCellMar>
            <w:top w:w="0" w:type="dxa"/>
            <w:left w:w="0" w:type="dxa"/>
            <w:bottom w:w="0" w:type="dxa"/>
            <w:right w:w="0" w:type="dxa"/>
          </w:tblCellMar>
        </w:tblPrEx>
        <w:trPr>
          <w:trHeight w:val="270" w:hRule="atLeast"/>
        </w:trPr>
        <w:tc>
          <w:tcPr>
            <w:tcW w:w="304" w:type="pct"/>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hint="eastAsia" w:cs="宋体"/>
                <w:b/>
                <w:bCs/>
              </w:rPr>
            </w:pPr>
            <w:r>
              <w:rPr>
                <w:rFonts w:hint="eastAsia" w:cs="宋体"/>
                <w:b/>
                <w:bCs/>
                <w:kern w:val="0"/>
              </w:rPr>
              <w:t>序号</w:t>
            </w:r>
          </w:p>
        </w:tc>
        <w:tc>
          <w:tcPr>
            <w:tcW w:w="543"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hint="eastAsia" w:cs="宋体"/>
                <w:b/>
                <w:bCs/>
              </w:rPr>
            </w:pPr>
            <w:r>
              <w:rPr>
                <w:rFonts w:hint="eastAsia" w:cs="宋体"/>
                <w:b/>
                <w:bCs/>
                <w:kern w:val="0"/>
              </w:rPr>
              <w:t>名称</w:t>
            </w:r>
          </w:p>
        </w:tc>
        <w:tc>
          <w:tcPr>
            <w:tcW w:w="648"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240" w:lineRule="auto"/>
              <w:ind w:firstLine="0" w:firstLineChars="0"/>
              <w:jc w:val="center"/>
              <w:textAlignment w:val="center"/>
              <w:rPr>
                <w:rFonts w:hint="eastAsia" w:cs="宋体"/>
                <w:b/>
                <w:bCs/>
              </w:rPr>
            </w:pPr>
            <w:r>
              <w:rPr>
                <w:rFonts w:hint="eastAsia" w:cs="宋体"/>
                <w:b/>
                <w:bCs/>
                <w:kern w:val="0"/>
              </w:rPr>
              <w:t>类别</w:t>
            </w:r>
          </w:p>
        </w:tc>
        <w:tc>
          <w:tcPr>
            <w:tcW w:w="2826" w:type="pct"/>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hint="eastAsia" w:cs="宋体"/>
                <w:b/>
                <w:bCs/>
              </w:rPr>
            </w:pPr>
            <w:r>
              <w:rPr>
                <w:rFonts w:hint="eastAsia" w:cs="宋体"/>
                <w:b/>
                <w:bCs/>
                <w:kern w:val="0"/>
              </w:rPr>
              <w:t>配置要求</w:t>
            </w:r>
          </w:p>
        </w:tc>
        <w:tc>
          <w:tcPr>
            <w:tcW w:w="340"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240" w:lineRule="auto"/>
              <w:ind w:firstLine="0" w:firstLineChars="0"/>
              <w:jc w:val="center"/>
              <w:textAlignment w:val="center"/>
              <w:rPr>
                <w:rFonts w:hint="eastAsia" w:cs="宋体"/>
                <w:b/>
                <w:bCs/>
              </w:rPr>
            </w:pPr>
            <w:r>
              <w:rPr>
                <w:rFonts w:hint="eastAsia" w:cs="宋体"/>
                <w:b/>
                <w:bCs/>
                <w:kern w:val="0"/>
              </w:rPr>
              <w:t>数量</w:t>
            </w:r>
          </w:p>
        </w:tc>
        <w:tc>
          <w:tcPr>
            <w:tcW w:w="339" w:type="pct"/>
            <w:tcBorders>
              <w:top w:val="single" w:color="auto"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b/>
                <w:bCs/>
                <w:kern w:val="0"/>
              </w:rPr>
            </w:pPr>
            <w:r>
              <w:rPr>
                <w:rFonts w:hint="eastAsia" w:cs="宋体"/>
                <w:b/>
                <w:bCs/>
                <w:kern w:val="0"/>
              </w:rPr>
              <w:t>单位</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rPr>
            </w:pPr>
            <w:r>
              <w:rPr>
                <w:rFonts w:hint="eastAsia" w:cs="宋体"/>
              </w:rPr>
              <w:t>1</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主机及计算机环境安全</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上网行为管理产品</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rPr>
            </w:pPr>
            <w:r>
              <w:rPr>
                <w:rFonts w:hint="eastAsia"/>
              </w:rPr>
              <w:t>部署位置市财政局。上网行为管理。性能参数：网络层吞吐量（大包）：2Gb，应用层吞吐量：150Mb，带宽性能：100Mb，IPSEC VPN加密性能（最高性能）：20Mb，支持用户数：500，包转发率：14.4Kpps，每秒新建连接数：1000，最大并发连接数：49900。</w:t>
            </w:r>
            <w:r>
              <w:rPr>
                <w:rFonts w:hint="eastAsia"/>
              </w:rPr>
              <w:br w:type="textWrapping"/>
            </w:r>
            <w:r>
              <w:rPr>
                <w:rFonts w:hint="eastAsia"/>
              </w:rPr>
              <w:t>硬件参数：规格：1U，内存大小：8G，硬盘容量：128G SSD，电源：单电源，接口：6千兆电口。</w:t>
            </w:r>
            <w:r>
              <w:rPr>
                <w:rFonts w:hint="eastAsia"/>
              </w:rPr>
              <w:br w:type="textWrapping"/>
            </w:r>
            <w:r>
              <w:rPr>
                <w:rFonts w:hint="eastAsia"/>
              </w:rPr>
              <w:t>功能描述：聚焦网络行为安全，实现全网资产、身份、行为可视可控，智能感知内部威胁风险，帮助用户构建有效防御体系。</w:t>
            </w:r>
            <w:r>
              <w:rPr>
                <w:rFonts w:hint="eastAsia"/>
              </w:rPr>
              <w:br w:type="textWrapping"/>
            </w:r>
            <w:r>
              <w:rPr>
                <w:rFonts w:hint="eastAsia"/>
              </w:rPr>
              <w:t>3套* URL&amp;应用识别规则库升级;</w:t>
            </w:r>
            <w:r>
              <w:rPr>
                <w:rFonts w:hint="eastAsia"/>
              </w:rPr>
              <w:br w:type="textWrapping"/>
            </w:r>
            <w:r>
              <w:rPr>
                <w:rFonts w:hint="eastAsia"/>
              </w:rPr>
              <w:t>3年* 维保服务</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rPr>
            </w:pPr>
            <w:r>
              <w:rPr>
                <w:rFonts w:hint="eastAsia"/>
              </w:rPr>
              <w:t>2</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2</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其他安全产品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堡垒机</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部署位置市财政局。堡垒机。性能参数：包含运维授权数：50，最大可扩展资产数：132，图形运维最大并发数：100，字符运维最大并发数：190。</w:t>
            </w:r>
            <w:r>
              <w:rPr>
                <w:rFonts w:hint="eastAsia"/>
              </w:rPr>
              <w:br w:type="textWrapping"/>
            </w:r>
            <w:r>
              <w:rPr>
                <w:rFonts w:hint="eastAsia"/>
              </w:rPr>
              <w:t>硬件参数：规格：1U，内存大小：8G，硬盘容量：1.92T SSD，电源：单电源，接口：6千兆电口+4千兆光口SFP。</w:t>
            </w:r>
            <w:r>
              <w:rPr>
                <w:rFonts w:hint="eastAsia"/>
              </w:rPr>
              <w:br w:type="textWrapping"/>
            </w:r>
            <w:r>
              <w:rPr>
                <w:rFonts w:hint="eastAsia"/>
              </w:rPr>
              <w:t>功能描述：将运维人员离散维护主机及网络设备的行为统一到该平台进行，加强对系统安全以及运维的控制力。一方面通过集中运维，减少因离散操作导致的失误，提高工作效率，如新的安全策略在主机上的统一应用等；另一方面通过对所有用户在主机上的操作行为进行监控与记录，实时了解用户的操作行为，发现风险及时中止用户的操作，并记录下用户所有的操作行为，便于进行事后的审查与取证。,</w:t>
            </w:r>
            <w:r>
              <w:rPr>
                <w:rFonts w:hint="eastAsia"/>
              </w:rPr>
              <w:br w:type="textWrapping"/>
            </w:r>
            <w:r>
              <w:rPr>
                <w:rFonts w:hint="eastAsia"/>
              </w:rPr>
              <w:t>3年* 产品质保;</w:t>
            </w:r>
            <w:r>
              <w:rPr>
                <w:rFonts w:hint="eastAsia"/>
              </w:rPr>
              <w:br w:type="textWrapping"/>
            </w:r>
            <w:r>
              <w:rPr>
                <w:rFonts w:hint="eastAsia"/>
              </w:rPr>
              <w:t>3年* 软件升级</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3</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其他安全产品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态势感知</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部署位置市财政局。态势感知。设备主机：2*48Core@2.6GHz CPU,8*32G内存,12*4TB SATA前+2*960G SSD后,RAID卡,4*GE电口+4*10G光口,2*900W AC；基础软件，大数据分析许可；三年维保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4</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边界安全</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防火墙</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部署位置监督局。出口防火墙。设备主机；实配端口： 2*GE RJ45 + 8*GE COMBO + 2*10GE SFP+,2交流电源,含SSL VPN 100用户；SSD-240GB固态硬盘；基础功能包，威胁防护授权三年；三年维保；　</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2</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5</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主机及计算机环境安全</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上网行为管理产品</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部署位置监督局。上网行为管理。性能参数：网络层吞吐量（大包）：2Gb，应用层吞吐量：150Mb，带宽性能：100Mb，IPSEC VPN加密性能（最高性能）：20Mb，支持用户数：500，包转发率：14.4Kpps，每秒新建连接数：1000，最大并发连接数：49900。</w:t>
            </w:r>
            <w:r>
              <w:rPr>
                <w:rFonts w:hint="eastAsia"/>
              </w:rPr>
              <w:br w:type="textWrapping"/>
            </w:r>
            <w:r>
              <w:rPr>
                <w:rFonts w:hint="eastAsia"/>
              </w:rPr>
              <w:t>硬件参数：规格：1U，内存大小：8G，硬盘容量：128G SSD，电源：单电源，接口：6千兆电口。</w:t>
            </w:r>
            <w:r>
              <w:rPr>
                <w:rFonts w:hint="eastAsia"/>
              </w:rPr>
              <w:br w:type="textWrapping"/>
            </w:r>
            <w:r>
              <w:rPr>
                <w:rFonts w:hint="eastAsia"/>
              </w:rPr>
              <w:t>功能描述：聚焦网络行为安全，实现全网资产、身份、行为可视可控，智能感知内部威胁风险，帮助用户构建有效防御体系。</w:t>
            </w:r>
            <w:r>
              <w:rPr>
                <w:rFonts w:hint="eastAsia"/>
              </w:rPr>
              <w:br w:type="textWrapping"/>
            </w:r>
            <w:r>
              <w:rPr>
                <w:rFonts w:hint="eastAsia"/>
              </w:rPr>
              <w:t>3套* URL&amp;应用识别规则库升级;</w:t>
            </w:r>
            <w:r>
              <w:rPr>
                <w:rFonts w:hint="eastAsia"/>
              </w:rPr>
              <w:br w:type="textWrapping"/>
            </w:r>
            <w:r>
              <w:rPr>
                <w:rFonts w:hint="eastAsia"/>
              </w:rPr>
              <w:t>3年* 维保服务</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2</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6</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安全管理与支持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安全网管系统</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部署位置监督局。安全网管系统。设备主机：2*48Core@2.6GHz CPU,6*32G内存,2*1200GB SAS前+4*6000GB SATA前,RAID卡,8*GE电口+4*10G光口,2*900W AC；三年维保；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7</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安全管理与支持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日志审计系统</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部署位置监督局。日志审计系统。设备主机：2*24Core@2.6GHz CPU,1*32G内存,2*6000GB SATA前+2*960GB SSD后,RAID卡,4*GE电口+2*10GE光口,2*900W AC；2个万兆多模光模块，光纤若干；基础软件授权；三年维保；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8</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其他安全产品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堡垒机</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部署位置监督局。堡垒机。性能参数：包含运维授权数：50，最大可扩展资产数：132，图形运维最大并发数：100，字符运维最大并发数：190。</w:t>
            </w:r>
            <w:r>
              <w:rPr>
                <w:rFonts w:hint="eastAsia"/>
              </w:rPr>
              <w:br w:type="textWrapping"/>
            </w:r>
            <w:r>
              <w:rPr>
                <w:rFonts w:hint="eastAsia"/>
              </w:rPr>
              <w:t>硬件参数：规格：1U，内存大小：8G，硬盘容量：1.92T SSD，电源：单电源，接口：6千兆电口+4千兆光口SFP。</w:t>
            </w:r>
            <w:r>
              <w:rPr>
                <w:rFonts w:hint="eastAsia"/>
              </w:rPr>
              <w:br w:type="textWrapping"/>
            </w:r>
            <w:r>
              <w:rPr>
                <w:rFonts w:hint="eastAsia"/>
              </w:rPr>
              <w:t>功能描述：将运维人员离散维护主机及网络设备的行为统一到该平台进行，加强对系统安全以及运维的控制力。一方面通过集中运维，减少因离散操作导致的失误，提高工作效率，如新的安全策略在主机上的统一应用等；另一方面通过对所有用户在主机上的操作行为进行监控与记录，实时了解用户的操作行为，发现风险及时中止用户的操作，并记录下用户所有的操作行为，便于进行事后的审查与取证。,</w:t>
            </w:r>
            <w:r>
              <w:rPr>
                <w:rFonts w:hint="eastAsia"/>
              </w:rPr>
              <w:br w:type="textWrapping"/>
            </w:r>
            <w:r>
              <w:rPr>
                <w:rFonts w:hint="eastAsia"/>
              </w:rPr>
              <w:t>3年* 产品质保;</w:t>
            </w:r>
            <w:r>
              <w:rPr>
                <w:rFonts w:hint="eastAsia"/>
              </w:rPr>
              <w:br w:type="textWrapping"/>
            </w:r>
            <w:r>
              <w:rPr>
                <w:rFonts w:hint="eastAsia"/>
              </w:rPr>
              <w:t>3年* 软件升级</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9</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其他安全产品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态势感知</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部署位置监督局。态势感知。设备主机：2*48Core@2.6GHz CPU,8*32G内存,12*4TB SATA前+2*960G SSD后,RAID卡,4*GE电口+4*10G光口,2*900W AC；基础软件，大数据分析许可；三年维保；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10</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边界安全</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防火墙</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部署位置东方苑（陆家浜路1054号）。出口防火墙。设备主机；实配端口： 2*GE RJ45 + 8*GE COMBO + 2*10GE SFP+,2交流电源,含SSL VPN 100用户；SSD-240GB固态硬盘；基础功能包，威胁防护授权三年；三年维保；　</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2</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11</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主机及计算机环境安全</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上网行为管理产品</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部署位置东方苑（陆家浜路1055号）。上网行为管理。性能参数：网络层吞吐量（大包）：2Gb，应用层吞吐量：150Mb，带宽性能：100Mb，IPSEC VPN加密性能（最高性能）：20Mb，支持用户数：500，包转发率：14.4Kpps，每秒新建连接数：1000，最大并发连接数：49900。</w:t>
            </w:r>
            <w:r>
              <w:rPr>
                <w:rFonts w:hint="eastAsia"/>
              </w:rPr>
              <w:br w:type="textWrapping"/>
            </w:r>
            <w:r>
              <w:rPr>
                <w:rFonts w:hint="eastAsia"/>
              </w:rPr>
              <w:t>硬件参数：规格：1U，内存大小：8G，硬盘容量：128G SSD，电源：单电源，接口：6千兆电口。</w:t>
            </w:r>
            <w:r>
              <w:rPr>
                <w:rFonts w:hint="eastAsia"/>
              </w:rPr>
              <w:br w:type="textWrapping"/>
            </w:r>
            <w:r>
              <w:rPr>
                <w:rFonts w:hint="eastAsia"/>
              </w:rPr>
              <w:t>功能描述：聚焦网络行为安全，实现全网资产、身份、行为可视可控，智能感知内部威胁风险，帮助用户构建有效防御体系。</w:t>
            </w:r>
            <w:r>
              <w:rPr>
                <w:rFonts w:hint="eastAsia"/>
              </w:rPr>
              <w:br w:type="textWrapping"/>
            </w:r>
            <w:r>
              <w:rPr>
                <w:rFonts w:hint="eastAsia"/>
              </w:rPr>
              <w:t>3套* URL&amp;应用识别规则库升级;</w:t>
            </w:r>
            <w:r>
              <w:rPr>
                <w:rFonts w:hint="eastAsia"/>
              </w:rPr>
              <w:br w:type="textWrapping"/>
            </w:r>
            <w:r>
              <w:rPr>
                <w:rFonts w:hint="eastAsia"/>
              </w:rPr>
              <w:t>3年* 维保服务</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2</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12</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安全管理与支持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安全网管系统</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部署位置东方苑（陆家浜路1058号）。安全网管系统。设备主机：2*48Core@2.6GHz CPU,6*32G内存,2*1200GB SAS前+4*6000GB SATA前,RAID卡,8*GE电口+4*10G光口,2*900W AC；三年维保；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13</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安全管理与支持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日志审计系统</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部署位置东方苑（陆家浜路1059号）。日志审计系统。设备主机：2*24Core@2.6GHz CPU,1*32G内存,2*6000GB SATA前+2*960GB SSD后,RAID卡,4*GE电口+2*10GE光口,2*900W AC；2个万兆多模光模块，光纤若干；基础软件授权；三年维保；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14</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其他安全产品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堡垒机</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部署位置东方苑（陆家浜路1060号）。堡垒机。性能参数：包含运维授权数：50，最大可扩展资产数：132，图形运维最大并发数：100，字符运维最大并发数：190。</w:t>
            </w:r>
            <w:r>
              <w:rPr>
                <w:rFonts w:hint="eastAsia"/>
              </w:rPr>
              <w:br w:type="textWrapping"/>
            </w:r>
            <w:r>
              <w:rPr>
                <w:rFonts w:hint="eastAsia"/>
              </w:rPr>
              <w:t>硬件参数：规格：1U，内存大小：8G，硬盘容量：1.92T SSD，电源：单电源，接口：6千兆电口+4千兆光口SFP。</w:t>
            </w:r>
            <w:r>
              <w:rPr>
                <w:rFonts w:hint="eastAsia"/>
              </w:rPr>
              <w:br w:type="textWrapping"/>
            </w:r>
            <w:r>
              <w:rPr>
                <w:rFonts w:hint="eastAsia"/>
              </w:rPr>
              <w:t>功能描述：将运维人员离散维护主机及网络设备的行为统一到该平台进行，加强对系统安全以及运维的控制力。一方面通过集中运维，减少因离散操作导致的失误，提高工作效率，如新的安全策略在主机上的统一应用等；另一方面通过对所有用户在主机上的操作行为进行监控与记录，实时了解用户的操作行为，发现风险及时中止用户的操作，并记录下用户所有的操作行为，便于进行事后的审查与取证。,</w:t>
            </w:r>
            <w:r>
              <w:rPr>
                <w:rFonts w:hint="eastAsia"/>
              </w:rPr>
              <w:br w:type="textWrapping"/>
            </w:r>
            <w:r>
              <w:rPr>
                <w:rFonts w:hint="eastAsia"/>
              </w:rPr>
              <w:t>3年* 产品质保;</w:t>
            </w:r>
            <w:r>
              <w:rPr>
                <w:rFonts w:hint="eastAsia"/>
              </w:rPr>
              <w:br w:type="textWrapping"/>
            </w:r>
            <w:r>
              <w:rPr>
                <w:rFonts w:hint="eastAsia"/>
              </w:rPr>
              <w:t>3年* 软件升级</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r>
        <w:tblPrEx>
          <w:tblCellMar>
            <w:top w:w="0" w:type="dxa"/>
            <w:left w:w="0" w:type="dxa"/>
            <w:bottom w:w="0" w:type="dxa"/>
            <w:right w:w="0" w:type="dxa"/>
          </w:tblCellMar>
        </w:tblPrEx>
        <w:trPr>
          <w:trHeight w:val="825" w:hRule="atLeast"/>
        </w:trPr>
        <w:tc>
          <w:tcPr>
            <w:tcW w:w="30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cs="宋体"/>
                <w:kern w:val="0"/>
              </w:rPr>
              <w:t>15</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其他安全产品</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0" w:firstLineChars="0"/>
              <w:jc w:val="center"/>
              <w:rPr>
                <w:rFonts w:hint="eastAsia"/>
              </w:rPr>
            </w:pPr>
            <w:r>
              <w:rPr>
                <w:rFonts w:hint="eastAsia"/>
              </w:rPr>
              <w:t>态势感知</w:t>
            </w:r>
          </w:p>
        </w:tc>
        <w:tc>
          <w:tcPr>
            <w:tcW w:w="28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eastAsia" w:cs="宋体"/>
                <w:kern w:val="0"/>
              </w:rPr>
            </w:pPr>
            <w:r>
              <w:rPr>
                <w:rFonts w:hint="eastAsia"/>
              </w:rPr>
              <w:t>部署位置东方苑（陆家浜路1061号）。态势感知。设备主机：2*48Core@2.6GHz CPU,8*32G内存,12*4TB SATA前+2*960G SSD后,RAID卡,4*GE电口+4*10G光口,2*900W AC；基础软件，大数据分析许可；三年维保；</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eastAsia" w:cs="宋体"/>
                <w:kern w:val="0"/>
              </w:rPr>
            </w:pPr>
            <w:r>
              <w:rPr>
                <w:rFonts w:hint="eastAsia"/>
              </w:rPr>
              <w:t>1</w:t>
            </w:r>
          </w:p>
        </w:tc>
        <w:tc>
          <w:tcPr>
            <w:tcW w:w="339" w:type="pct"/>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firstLine="0" w:firstLineChars="0"/>
              <w:jc w:val="center"/>
              <w:textAlignment w:val="center"/>
              <w:rPr>
                <w:rFonts w:hint="eastAsia" w:cs="宋体"/>
                <w:kern w:val="0"/>
              </w:rPr>
            </w:pPr>
            <w:r>
              <w:rPr>
                <w:rFonts w:hint="eastAsia" w:cs="宋体"/>
                <w:kern w:val="0"/>
              </w:rPr>
              <w:t>套</w:t>
            </w:r>
          </w:p>
        </w:tc>
      </w:tr>
    </w:tbl>
    <w:p>
      <w:pPr>
        <w:rPr>
          <w:rFonts w:hint="eastAsia"/>
        </w:rPr>
      </w:pPr>
    </w:p>
    <w:p>
      <w:pPr>
        <w:pStyle w:val="2"/>
        <w:rPr>
          <w:rFonts w:hint="eastAsia"/>
        </w:rPr>
      </w:pPr>
      <w:bookmarkStart w:id="19" w:name="_Toc63785502"/>
      <w:r>
        <w:rPr>
          <w:rFonts w:hint="eastAsia"/>
        </w:rPr>
        <w:t>电子政务云资源需求</w:t>
      </w:r>
      <w:bookmarkEnd w:id="19"/>
    </w:p>
    <w:p>
      <w:pPr>
        <w:rPr>
          <w:rFonts w:hint="eastAsia"/>
        </w:rPr>
      </w:pPr>
      <w:r>
        <w:rPr>
          <w:rFonts w:hint="eastAsia"/>
        </w:rPr>
        <w:t>根据项目前期资源现状，本次建设根据估算拟向电子政务云申请21台虚拟机服务器资源CPU 1538核 、内存7724G、存储1025.7T。</w:t>
      </w:r>
    </w:p>
    <w:tbl>
      <w:tblPr>
        <w:tblStyle w:val="35"/>
        <w:tblW w:w="5046" w:type="pct"/>
        <w:tblInd w:w="0" w:type="dxa"/>
        <w:tblLayout w:type="fixed"/>
        <w:tblCellMar>
          <w:top w:w="0" w:type="dxa"/>
          <w:left w:w="108" w:type="dxa"/>
          <w:bottom w:w="0" w:type="dxa"/>
          <w:right w:w="108" w:type="dxa"/>
        </w:tblCellMar>
      </w:tblPr>
      <w:tblGrid>
        <w:gridCol w:w="366"/>
        <w:gridCol w:w="1204"/>
        <w:gridCol w:w="1192"/>
        <w:gridCol w:w="2184"/>
        <w:gridCol w:w="897"/>
        <w:gridCol w:w="769"/>
        <w:gridCol w:w="1154"/>
        <w:gridCol w:w="841"/>
      </w:tblGrid>
      <w:tr>
        <w:tblPrEx>
          <w:tblCellMar>
            <w:top w:w="0" w:type="dxa"/>
            <w:left w:w="108" w:type="dxa"/>
            <w:bottom w:w="0" w:type="dxa"/>
            <w:right w:w="108" w:type="dxa"/>
          </w:tblCellMar>
        </w:tblPrEx>
        <w:trPr>
          <w:trHeight w:val="540" w:hRule="atLeast"/>
        </w:trPr>
        <w:tc>
          <w:tcPr>
            <w:tcW w:w="212"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right="-50" w:rightChars="-21" w:firstLine="0" w:firstLineChars="0"/>
              <w:jc w:val="center"/>
              <w:rPr>
                <w:rFonts w:hint="eastAsia" w:cs="宋体"/>
                <w:b/>
                <w:bCs/>
                <w:kern w:val="0"/>
                <w:sz w:val="21"/>
                <w:szCs w:val="21"/>
              </w:rPr>
            </w:pPr>
            <w:bookmarkStart w:id="20" w:name="_Hlk214548841"/>
            <w:r>
              <w:rPr>
                <w:rFonts w:hint="eastAsia" w:cs="宋体"/>
                <w:b/>
                <w:bCs/>
                <w:kern w:val="0"/>
                <w:sz w:val="21"/>
                <w:szCs w:val="21"/>
              </w:rPr>
              <w:t>序号</w:t>
            </w:r>
          </w:p>
        </w:tc>
        <w:tc>
          <w:tcPr>
            <w:tcW w:w="699" w:type="pct"/>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网络区域</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资源类型</w:t>
            </w:r>
          </w:p>
        </w:tc>
        <w:tc>
          <w:tcPr>
            <w:tcW w:w="1269" w:type="pct"/>
            <w:tcBorders>
              <w:top w:val="single" w:color="auto" w:sz="4" w:space="0"/>
              <w:left w:val="nil"/>
              <w:bottom w:val="single" w:color="auto" w:sz="4" w:space="0"/>
              <w:right w:val="single" w:color="auto" w:sz="4" w:space="0"/>
            </w:tcBorders>
            <w:noWrap/>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资源说明</w:t>
            </w:r>
          </w:p>
        </w:tc>
        <w:tc>
          <w:tcPr>
            <w:tcW w:w="52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资源核心（核）</w:t>
            </w:r>
          </w:p>
        </w:tc>
        <w:tc>
          <w:tcPr>
            <w:tcW w:w="447" w:type="pct"/>
            <w:tcBorders>
              <w:top w:val="single" w:color="auto" w:sz="4" w:space="0"/>
              <w:left w:val="nil"/>
              <w:bottom w:val="single" w:color="auto" w:sz="4" w:space="0"/>
              <w:right w:val="single" w:color="auto" w:sz="4" w:space="0"/>
            </w:tcBorders>
            <w:noWrap/>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资源内存(GB)</w:t>
            </w:r>
          </w:p>
        </w:tc>
        <w:tc>
          <w:tcPr>
            <w:tcW w:w="670" w:type="pct"/>
            <w:tcBorders>
              <w:top w:val="single" w:color="auto" w:sz="4" w:space="0"/>
              <w:left w:val="nil"/>
              <w:bottom w:val="single" w:color="auto" w:sz="4" w:space="0"/>
              <w:right w:val="single" w:color="auto" w:sz="4" w:space="0"/>
            </w:tcBorders>
            <w:noWrap/>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资源存储(GB)</w:t>
            </w:r>
          </w:p>
        </w:tc>
        <w:tc>
          <w:tcPr>
            <w:tcW w:w="489" w:type="pct"/>
            <w:tcBorders>
              <w:top w:val="single" w:color="auto" w:sz="4" w:space="0"/>
              <w:left w:val="nil"/>
              <w:bottom w:val="single" w:color="auto" w:sz="4" w:space="0"/>
              <w:right w:val="single" w:color="auto" w:sz="4" w:space="0"/>
            </w:tcBorders>
            <w:noWrap/>
            <w:vAlign w:val="center"/>
          </w:tcPr>
          <w:p>
            <w:pPr>
              <w:widowControl/>
              <w:spacing w:line="240" w:lineRule="auto"/>
              <w:ind w:firstLine="0" w:firstLineChars="0"/>
              <w:jc w:val="center"/>
              <w:rPr>
                <w:rFonts w:hint="eastAsia" w:cs="宋体"/>
                <w:b/>
                <w:bCs/>
                <w:kern w:val="0"/>
                <w:sz w:val="21"/>
                <w:szCs w:val="21"/>
              </w:rPr>
            </w:pPr>
            <w:r>
              <w:rPr>
                <w:rFonts w:hint="eastAsia" w:cs="宋体"/>
                <w:b/>
                <w:bCs/>
                <w:kern w:val="0"/>
                <w:sz w:val="21"/>
                <w:szCs w:val="21"/>
              </w:rPr>
              <w:t>资源数量(台)</w:t>
            </w:r>
          </w:p>
        </w:tc>
      </w:tr>
      <w:tr>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容器服务器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32</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容器服务器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128</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30</w:t>
            </w:r>
          </w:p>
        </w:tc>
      </w:tr>
      <w:tr>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其他（请在资源说明中详述）</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其他（请在资源说明中详述）</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r>
      <w:tr>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数据处理服务器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w:t>
            </w:r>
          </w:p>
        </w:tc>
      </w:tr>
      <w:tr>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其他（请在资源说明中详述）</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cs="宋体"/>
                <w:kern w:val="0"/>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应用服务器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应用服务器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应用服务器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32</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数据仓库服务器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32</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32</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60</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32</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60</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其他（请在资源说明中详述）</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32</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16</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缓存数据库服务器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8</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500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4</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全文检索服务器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256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非关系型数据库服务器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256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1000000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代理和负载均衡服务器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256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tr>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pPr>
              <w:pStyle w:val="61"/>
              <w:widowControl/>
              <w:numPr>
                <w:ilvl w:val="0"/>
                <w:numId w:val="5"/>
              </w:numPr>
              <w:spacing w:line="240" w:lineRule="auto"/>
              <w:ind w:firstLineChars="0"/>
              <w:jc w:val="center"/>
              <w:rPr>
                <w:rFonts w:cs="宋体"/>
                <w:kern w:val="0"/>
                <w:szCs w:val="21"/>
              </w:rPr>
            </w:pPr>
          </w:p>
        </w:tc>
        <w:tc>
          <w:tcPr>
            <w:tcW w:w="6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互联网</w:t>
            </w:r>
          </w:p>
        </w:tc>
        <w:tc>
          <w:tcPr>
            <w:tcW w:w="69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应用服务器</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64</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256</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200</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rPr>
            </w:pPr>
            <w:r>
              <w:rPr>
                <w:rFonts w:hint="eastAsia"/>
              </w:rPr>
              <w:t>1</w:t>
            </w:r>
          </w:p>
        </w:tc>
      </w:tr>
      <w:bookmarkEnd w:id="20"/>
    </w:tbl>
    <w:p>
      <w:pPr>
        <w:widowControl/>
        <w:spacing w:line="240" w:lineRule="auto"/>
        <w:ind w:firstLine="0" w:firstLineChars="0"/>
        <w:jc w:val="center"/>
        <w:rPr>
          <w:rFonts w:hint="eastAsia" w:cs="宋体"/>
          <w:kern w:val="0"/>
        </w:rPr>
      </w:pPr>
    </w:p>
    <w:p>
      <w:pPr>
        <w:rPr>
          <w:rFonts w:hint="eastAsia"/>
        </w:rPr>
      </w:pPr>
    </w:p>
    <w:p>
      <w:pPr>
        <w:rPr>
          <w:rFonts w:hint="eastAsia"/>
        </w:rPr>
      </w:pPr>
      <w:bookmarkStart w:id="21" w:name="_Toc169297651"/>
      <w:r>
        <w:t>PaaS</w:t>
      </w:r>
      <w:r>
        <w:rPr>
          <w:rFonts w:hint="eastAsia"/>
        </w:rPr>
        <w:t>服务及工具箱使用内容</w:t>
      </w:r>
      <w:bookmarkEnd w:id="21"/>
      <w:r>
        <w:rPr>
          <w:rFonts w:hint="eastAsia"/>
        </w:rPr>
        <w:t>：</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029"/>
        <w:gridCol w:w="1890"/>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000000" w:fill="DBDBDB"/>
            <w:vAlign w:val="center"/>
          </w:tcPr>
          <w:p>
            <w:pPr>
              <w:spacing w:line="240" w:lineRule="auto"/>
              <w:ind w:firstLine="0" w:firstLineChars="0"/>
              <w:rPr>
                <w:rFonts w:hint="eastAsia"/>
                <w:b/>
                <w:bCs/>
              </w:rPr>
            </w:pPr>
            <w:r>
              <w:rPr>
                <w:rFonts w:hint="eastAsia"/>
                <w:b/>
                <w:bCs/>
              </w:rPr>
              <w:t>序号</w:t>
            </w:r>
          </w:p>
        </w:tc>
        <w:tc>
          <w:tcPr>
            <w:tcW w:w="2362" w:type="pct"/>
            <w:shd w:val="clear" w:color="000000" w:fill="DBDBDB"/>
            <w:vAlign w:val="center"/>
          </w:tcPr>
          <w:p>
            <w:pPr>
              <w:spacing w:line="240" w:lineRule="auto"/>
              <w:ind w:left="-453" w:leftChars="-189" w:firstLine="0" w:firstLineChars="0"/>
              <w:jc w:val="center"/>
              <w:rPr>
                <w:rFonts w:hint="eastAsia"/>
                <w:b/>
                <w:bCs/>
              </w:rPr>
            </w:pPr>
            <w:r>
              <w:rPr>
                <w:rFonts w:hint="eastAsia"/>
                <w:b/>
                <w:bCs/>
              </w:rPr>
              <w:t>资源名称</w:t>
            </w:r>
          </w:p>
        </w:tc>
        <w:tc>
          <w:tcPr>
            <w:tcW w:w="1108" w:type="pct"/>
            <w:shd w:val="clear" w:color="000000" w:fill="DBDBDB"/>
            <w:vAlign w:val="center"/>
          </w:tcPr>
          <w:p>
            <w:pPr>
              <w:spacing w:line="240" w:lineRule="auto"/>
              <w:ind w:firstLine="0" w:firstLineChars="0"/>
              <w:jc w:val="center"/>
              <w:rPr>
                <w:rFonts w:hint="eastAsia"/>
                <w:b/>
                <w:bCs/>
              </w:rPr>
            </w:pPr>
            <w:r>
              <w:rPr>
                <w:rFonts w:hint="eastAsia"/>
                <w:b/>
                <w:bCs/>
              </w:rPr>
              <w:t>数量</w:t>
            </w:r>
          </w:p>
        </w:tc>
        <w:tc>
          <w:tcPr>
            <w:tcW w:w="1106" w:type="pct"/>
            <w:shd w:val="clear" w:color="000000" w:fill="DBDBDB"/>
            <w:vAlign w:val="center"/>
          </w:tcPr>
          <w:p>
            <w:pPr>
              <w:spacing w:line="240" w:lineRule="auto"/>
              <w:ind w:firstLine="0" w:firstLineChars="0"/>
              <w:jc w:val="center"/>
              <w:rPr>
                <w:rFonts w:hint="eastAsia"/>
                <w:b/>
                <w:bCs/>
              </w:rPr>
            </w:pPr>
            <w:r>
              <w:rPr>
                <w:rFonts w:hint="eastAsia"/>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pPr>
              <w:spacing w:line="240" w:lineRule="auto"/>
              <w:ind w:firstLine="0" w:firstLineChars="0"/>
              <w:jc w:val="center"/>
              <w:rPr>
                <w:rFonts w:hint="eastAsia"/>
              </w:rPr>
            </w:pPr>
            <w:r>
              <w:rPr>
                <w:rFonts w:hint="eastAsia"/>
              </w:rPr>
              <w:t>1</w:t>
            </w:r>
          </w:p>
        </w:tc>
        <w:tc>
          <w:tcPr>
            <w:tcW w:w="236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rPr>
            </w:pPr>
            <w:r>
              <w:rPr>
                <w:rFonts w:hint="eastAsia"/>
              </w:rPr>
              <w:t>中间件-东方通、普元、金蝶</w:t>
            </w:r>
          </w:p>
        </w:tc>
        <w:tc>
          <w:tcPr>
            <w:tcW w:w="11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rPr>
            </w:pPr>
            <w:r>
              <w:rPr>
                <w:rFonts w:hint="eastAsia"/>
              </w:rPr>
              <w:t>1</w:t>
            </w:r>
          </w:p>
        </w:tc>
        <w:tc>
          <w:tcPr>
            <w:tcW w:w="11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rPr>
            </w:pPr>
            <w:bookmarkStart w:id="22" w:name="OLE_LINK6"/>
            <w:r>
              <w:rPr>
                <w:rFonts w:hint="eastAsia"/>
              </w:rPr>
              <w:t>套*年</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pPr>
              <w:spacing w:line="240" w:lineRule="auto"/>
              <w:ind w:firstLine="0" w:firstLineChars="0"/>
              <w:jc w:val="center"/>
              <w:rPr>
                <w:rFonts w:hint="eastAsia"/>
              </w:rPr>
            </w:pPr>
            <w:r>
              <w:rPr>
                <w:rFonts w:hint="eastAsia"/>
              </w:rPr>
              <w:t>2</w:t>
            </w:r>
          </w:p>
        </w:tc>
        <w:tc>
          <w:tcPr>
            <w:tcW w:w="236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rPr>
            </w:pPr>
            <w:r>
              <w:rPr>
                <w:rFonts w:hint="eastAsia"/>
              </w:rPr>
              <w:t>安全防病毒(服务器端)</w:t>
            </w:r>
          </w:p>
        </w:tc>
        <w:tc>
          <w:tcPr>
            <w:tcW w:w="11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rPr>
            </w:pPr>
            <w:r>
              <w:rPr>
                <w:rFonts w:hint="eastAsia"/>
              </w:rPr>
              <w:t>107</w:t>
            </w:r>
          </w:p>
        </w:tc>
        <w:tc>
          <w:tcPr>
            <w:tcW w:w="11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rPr>
            </w:pPr>
            <w:r>
              <w:rPr>
                <w:rFonts w:hint="eastAsia"/>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pPr>
              <w:spacing w:line="240" w:lineRule="auto"/>
              <w:ind w:firstLine="0" w:firstLineChars="0"/>
              <w:jc w:val="center"/>
              <w:rPr>
                <w:rFonts w:hint="eastAsia"/>
              </w:rPr>
            </w:pPr>
            <w:r>
              <w:rPr>
                <w:rFonts w:hint="eastAsia"/>
              </w:rPr>
              <w:t>3</w:t>
            </w:r>
          </w:p>
        </w:tc>
        <w:tc>
          <w:tcPr>
            <w:tcW w:w="236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rPr>
            </w:pPr>
            <w:r>
              <w:rPr>
                <w:rFonts w:hint="eastAsia"/>
              </w:rPr>
              <w:t>数据库服务-阿里、北京奥星贝斯、北京海量、虚谷软件、达梦、人大金仓</w:t>
            </w:r>
          </w:p>
        </w:tc>
        <w:tc>
          <w:tcPr>
            <w:tcW w:w="11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rPr>
            </w:pPr>
            <w:r>
              <w:rPr>
                <w:rFonts w:hint="eastAsia"/>
              </w:rPr>
              <w:t>5</w:t>
            </w:r>
          </w:p>
        </w:tc>
        <w:tc>
          <w:tcPr>
            <w:tcW w:w="11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rPr>
            </w:pPr>
            <w:r>
              <w:rPr>
                <w:rFonts w:hint="eastAsia"/>
              </w:rPr>
              <w:t>套*年</w:t>
            </w:r>
          </w:p>
        </w:tc>
      </w:tr>
    </w:tbl>
    <w:p>
      <w:pPr>
        <w:rPr>
          <w:rFonts w:hint="eastAsia"/>
        </w:rPr>
      </w:pPr>
    </w:p>
    <w:p>
      <w:pPr>
        <w:pStyle w:val="2"/>
        <w:rPr>
          <w:rFonts w:hint="eastAsia"/>
        </w:rPr>
      </w:pPr>
      <w:bookmarkStart w:id="23" w:name="_Toc63785503"/>
      <w:bookmarkStart w:id="24" w:name="_Toc63785512"/>
      <w:r>
        <w:rPr>
          <w:rFonts w:hint="eastAsia"/>
        </w:rPr>
        <w:t>其他工作要求</w:t>
      </w:r>
      <w:bookmarkEnd w:id="23"/>
    </w:p>
    <w:p>
      <w:pPr>
        <w:keepNext/>
        <w:keepLines/>
        <w:numPr>
          <w:ilvl w:val="1"/>
          <w:numId w:val="6"/>
        </w:numPr>
        <w:tabs>
          <w:tab w:val="left" w:pos="360"/>
        </w:tabs>
        <w:spacing w:before="120" w:line="240" w:lineRule="auto"/>
        <w:ind w:left="0" w:firstLine="0" w:firstLineChars="0"/>
        <w:outlineLvl w:val="1"/>
        <w:rPr>
          <w:rFonts w:hint="eastAsia" w:ascii="仿宋" w:hAnsi="仿宋" w:eastAsia="仿宋"/>
          <w:b/>
          <w:vanish/>
          <w:sz w:val="28"/>
          <w:szCs w:val="20"/>
        </w:rPr>
      </w:pPr>
      <w:bookmarkStart w:id="25" w:name="_Toc63151871"/>
      <w:bookmarkEnd w:id="25"/>
      <w:bookmarkStart w:id="26" w:name="_Toc62219358"/>
      <w:bookmarkEnd w:id="26"/>
      <w:bookmarkStart w:id="27" w:name="_Toc63585480"/>
      <w:bookmarkEnd w:id="27"/>
      <w:bookmarkStart w:id="28" w:name="_Toc63785439"/>
      <w:bookmarkEnd w:id="28"/>
      <w:bookmarkStart w:id="29" w:name="_Toc63785504"/>
      <w:bookmarkEnd w:id="29"/>
      <w:bookmarkStart w:id="30" w:name="_Toc61968111"/>
      <w:bookmarkEnd w:id="30"/>
      <w:bookmarkStart w:id="31" w:name="_Toc62209488"/>
      <w:bookmarkEnd w:id="31"/>
      <w:bookmarkStart w:id="32" w:name="_Toc63762370"/>
      <w:bookmarkEnd w:id="32"/>
    </w:p>
    <w:p>
      <w:pPr>
        <w:pStyle w:val="3"/>
        <w:rPr>
          <w:rFonts w:hint="eastAsia"/>
        </w:rPr>
      </w:pPr>
      <w:bookmarkStart w:id="33" w:name="_Toc63785505"/>
      <w:r>
        <w:rPr>
          <w:rFonts w:hint="eastAsia"/>
        </w:rPr>
        <w:t>售后服务要求</w:t>
      </w:r>
      <w:bookmarkEnd w:id="33"/>
    </w:p>
    <w:p>
      <w:pPr>
        <w:rPr>
          <w:rFonts w:hint="eastAsia"/>
        </w:rPr>
      </w:pPr>
      <w:r>
        <w:rPr>
          <w:rFonts w:hint="eastAsia"/>
        </w:rPr>
        <w:t>本项目从系统整体验收通过之日起</w:t>
      </w:r>
      <w:r>
        <w:t>1年内提供7*24小时免费技术支持和售后服务，1年后进入有偿维护期。</w:t>
      </w:r>
      <w:r>
        <w:rPr>
          <w:rFonts w:hint="eastAsia"/>
        </w:rPr>
        <w:t>硬件及安全产品部分质保期为三年。</w:t>
      </w:r>
    </w:p>
    <w:p>
      <w:pPr>
        <w:rPr>
          <w:rFonts w:hint="eastAsia"/>
        </w:rPr>
      </w:pPr>
      <w:r>
        <w:rPr>
          <w:rFonts w:hint="eastAsia"/>
        </w:rPr>
        <w:t>在质量保证期内，供应商负责信息系统的运行维护工作，确保信息系统安全、稳定、可靠地运行。本项目涉及的运行维护工作范围为：负责项目相关软硬件的安装、调试、软硬件集成、日常巡查、故障修复以及日常运维管理工作，协助对接完成云资源租赁服务。项目运维团队按照服务质量保证的标准要求提供各种售后服务，负责对其提供的系统进行维护或升级。</w:t>
      </w:r>
    </w:p>
    <w:p>
      <w:pPr>
        <w:pStyle w:val="3"/>
        <w:rPr>
          <w:rFonts w:hint="eastAsia"/>
        </w:rPr>
      </w:pPr>
      <w:bookmarkStart w:id="34" w:name="_Toc63785506"/>
      <w:r>
        <w:rPr>
          <w:rFonts w:hint="eastAsia"/>
        </w:rPr>
        <w:t>应急响应要求</w:t>
      </w:r>
      <w:bookmarkEnd w:id="34"/>
    </w:p>
    <w:p>
      <w:pPr>
        <w:rPr>
          <w:rFonts w:hint="eastAsia"/>
        </w:rPr>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pPr>
        <w:rPr>
          <w:rFonts w:hint="eastAsia"/>
        </w:rPr>
      </w:pPr>
      <w:r>
        <w:rPr>
          <w:rFonts w:hint="eastAsia"/>
        </w:rPr>
        <w:t>具体故障级别及对应的应急响应要求如下：</w:t>
      </w:r>
    </w:p>
    <w:p>
      <w:pPr>
        <w:rPr>
          <w:rFonts w:hint="eastAsia"/>
        </w:rPr>
      </w:pPr>
      <w:r>
        <w:rPr>
          <w:rFonts w:hint="eastAsia"/>
        </w:rPr>
        <w:t>一级故障：在</w:t>
      </w:r>
      <w:r>
        <w:t>1小时内确诊，总故障解决时间不超过4小时。</w:t>
      </w:r>
    </w:p>
    <w:p>
      <w:pPr>
        <w:rPr>
          <w:rFonts w:hint="eastAsia"/>
        </w:rPr>
      </w:pPr>
      <w:r>
        <w:rPr>
          <w:rFonts w:hint="eastAsia"/>
        </w:rPr>
        <w:t>二级故障：在</w:t>
      </w:r>
      <w:r>
        <w:t>2小时内确诊，并在4小时内由专家到达现场确诊并解决，总故障解决时间不超过8小时；</w:t>
      </w:r>
    </w:p>
    <w:p>
      <w:pPr>
        <w:rPr>
          <w:rFonts w:hint="eastAsia"/>
        </w:rPr>
      </w:pPr>
      <w:r>
        <w:rPr>
          <w:rFonts w:hint="eastAsia"/>
        </w:rPr>
        <w:t>三、四级故障：在</w:t>
      </w:r>
      <w:r>
        <w:t>4小时内确诊故障，总故障解决时间不超过16小时。</w:t>
      </w:r>
    </w:p>
    <w:p>
      <w:pPr>
        <w:pStyle w:val="3"/>
        <w:rPr>
          <w:rFonts w:hint="eastAsia"/>
        </w:rPr>
      </w:pPr>
      <w:bookmarkStart w:id="35" w:name="_Toc63785507"/>
      <w:r>
        <w:rPr>
          <w:rFonts w:hint="eastAsia"/>
        </w:rPr>
        <w:t>培训要求</w:t>
      </w:r>
      <w:bookmarkEnd w:id="35"/>
    </w:p>
    <w:p>
      <w:pPr>
        <w:rPr>
          <w:rFonts w:hint="eastAsia"/>
        </w:rPr>
      </w:pPr>
      <w:r>
        <w:rPr>
          <w:rFonts w:hint="eastAsia"/>
        </w:rPr>
        <w:t>对系统使用单位提供业务操作培训，应提供详细培训方案。</w:t>
      </w:r>
    </w:p>
    <w:p>
      <w:pPr>
        <w:rPr>
          <w:rFonts w:hint="eastAsia"/>
        </w:rPr>
      </w:pPr>
      <w:r>
        <w:t>(1)在12</w:t>
      </w:r>
      <w:r>
        <w:rPr>
          <w:rFonts w:hint="eastAsia"/>
        </w:rPr>
        <w:t>个月的质量保证期内，提供</w:t>
      </w:r>
      <w:r>
        <w:t>2次与项目相关的必要培训。</w:t>
      </w:r>
    </w:p>
    <w:p>
      <w:pPr>
        <w:rPr>
          <w:rFonts w:hint="eastAsia"/>
        </w:rPr>
      </w:pPr>
      <w:r>
        <w:t>(2)供应商需要开展分层次的人员培训工作，每次培训后应对参加培训人员进行测试，评估培训成果。培训应具有培训教材、培训环境和高水平的培训讲师。</w:t>
      </w:r>
    </w:p>
    <w:p>
      <w:pPr>
        <w:rPr>
          <w:rFonts w:hint="eastAsia"/>
        </w:rPr>
      </w:pPr>
      <w:r>
        <w:t>(3)供应商应提供一般用户的基础操作培训和部门信息管理员的日常应用维护的培训，确保用户对象能够掌握对应的操作技能。</w:t>
      </w:r>
    </w:p>
    <w:p>
      <w:pPr>
        <w:pStyle w:val="3"/>
        <w:rPr>
          <w:rFonts w:hint="eastAsia"/>
        </w:rPr>
      </w:pPr>
      <w:bookmarkStart w:id="36" w:name="_Toc63785508"/>
      <w:r>
        <w:rPr>
          <w:rFonts w:hint="eastAsia"/>
        </w:rPr>
        <w:t>验收要求</w:t>
      </w:r>
      <w:bookmarkEnd w:id="36"/>
    </w:p>
    <w:p>
      <w:pPr>
        <w:rPr>
          <w:rFonts w:hint="eastAsia"/>
          <w:szCs w:val="21"/>
        </w:rPr>
      </w:pPr>
      <w:bookmarkStart w:id="37" w:name="_Toc63785509"/>
      <w:r>
        <w:rPr>
          <w:rFonts w:hint="eastAsia"/>
          <w:szCs w:val="21"/>
        </w:rPr>
        <w:t>本项目按下述方式开展验收。</w:t>
      </w:r>
    </w:p>
    <w:p>
      <w:pPr>
        <w:rPr>
          <w:rFonts w:hint="eastAsia"/>
          <w:szCs w:val="21"/>
        </w:rPr>
      </w:pPr>
      <w:r>
        <w:rPr>
          <w:rFonts w:hint="eastAsia"/>
          <w:szCs w:val="21"/>
        </w:rPr>
        <w:t>（</w:t>
      </w:r>
      <w:r>
        <w:rPr>
          <w:szCs w:val="21"/>
        </w:rPr>
        <w:t>1）验收分初验和终验。</w:t>
      </w:r>
    </w:p>
    <w:p>
      <w:pPr>
        <w:rPr>
          <w:rFonts w:hint="eastAsia"/>
          <w:szCs w:val="21"/>
        </w:rPr>
      </w:pPr>
      <w:r>
        <w:rPr>
          <w:rFonts w:hint="eastAsia"/>
          <w:szCs w:val="21"/>
        </w:rPr>
        <w:t>（</w:t>
      </w:r>
      <w:r>
        <w:rPr>
          <w:szCs w:val="21"/>
        </w:rPr>
        <w:t>2）初验前，供应商须完成软件开发、信息系统的调试等，并对本项目进行功能和运行检测，确保所有信息系统功能模块能够正常运行且已达到本项目约定的各类标准要求。供应商应以书面形式向采购方递交初验通知书。采购方应当在接到通知后的5个工作日内确定初验的具体日期，由双方按照本项目的约定完成本项目的初验。采购方有权委托第三方检测机构进行验收，对此供应商应当配合。</w:t>
      </w:r>
    </w:p>
    <w:p>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采购方应向供应商出具书面报告，陈述需要改进的缺陷。供应商应立即严格依照采购方的书面报告中的要求改进缺陷，并再次进行初验。</w:t>
      </w:r>
    </w:p>
    <w:p>
      <w:pPr>
        <w:rPr>
          <w:rFonts w:hint="eastAsia"/>
          <w:szCs w:val="21"/>
        </w:rPr>
      </w:pPr>
      <w:r>
        <w:rPr>
          <w:rFonts w:hint="eastAsia"/>
          <w:szCs w:val="21"/>
        </w:rPr>
        <w:t>（</w:t>
      </w:r>
      <w:r>
        <w:rPr>
          <w:szCs w:val="21"/>
        </w:rPr>
        <w:t>4）自初验通过之日起，采购方享有供应商免费提供的30天的信息系统试运行现场驻场服务期。该期间内，供应商应当按照采购方的要求提供现场技术支持服务，解决信息系统试运行期间可能出现的各类问题，或进一步提高与完善信息系统运行水平。</w:t>
      </w:r>
    </w:p>
    <w:p>
      <w:pPr>
        <w:rPr>
          <w:rFonts w:hint="eastAsia"/>
          <w:szCs w:val="21"/>
        </w:rPr>
      </w:pPr>
      <w:r>
        <w:rPr>
          <w:rFonts w:hint="eastAsia"/>
          <w:szCs w:val="21"/>
        </w:rPr>
        <w:t>（</w:t>
      </w:r>
      <w:r>
        <w:rPr>
          <w:szCs w:val="21"/>
        </w:rPr>
        <w:t>5）初验通过且信息系统试运行期已经达到本项目约定的时间，</w:t>
      </w:r>
      <w:r>
        <w:rPr>
          <w:rFonts w:hint="eastAsia"/>
        </w:rPr>
        <w:t>且完成市本级和</w:t>
      </w:r>
      <w:r>
        <w:t>3</w:t>
      </w:r>
      <w:r>
        <w:rPr>
          <w:rFonts w:hint="eastAsia"/>
        </w:rPr>
        <w:t>个试点区的业务上线试运行，</w:t>
      </w:r>
      <w:r>
        <w:rPr>
          <w:szCs w:val="21"/>
        </w:rPr>
        <w:t>经供应商确认信息系统具备正常运行条件，且信息系统通过运行测试，供应商应以书面形式通知采购方信息系统已准备就绪等待终验。采购方在收到终验通知后的30个工作日内发起组织专家验收会。</w:t>
      </w:r>
    </w:p>
    <w:p>
      <w:pPr>
        <w:rPr>
          <w:rFonts w:hint="eastAsia"/>
          <w:szCs w:val="21"/>
        </w:rPr>
      </w:pPr>
      <w:r>
        <w:rPr>
          <w:rFonts w:hint="eastAsia"/>
          <w:szCs w:val="21"/>
        </w:rPr>
        <w:t>（</w:t>
      </w:r>
      <w:r>
        <w:rPr>
          <w:szCs w:val="21"/>
        </w:rPr>
        <w:t>6）如果属于供应商原因致使本项目未能通过终验，供应商应当排除缺陷，直至本项目完全符合验收标准，由上述情形而产生的相关费用应由供应商自行承担。</w:t>
      </w:r>
    </w:p>
    <w:p>
      <w:pPr>
        <w:rPr>
          <w:rFonts w:hint="eastAsia"/>
          <w:szCs w:val="21"/>
        </w:rPr>
      </w:pPr>
      <w:r>
        <w:rPr>
          <w:rFonts w:hint="eastAsia"/>
          <w:szCs w:val="21"/>
        </w:rPr>
        <w:t>（</w:t>
      </w:r>
      <w:r>
        <w:rPr>
          <w:szCs w:val="21"/>
        </w:rPr>
        <w:t>7）如果由于采购方原因导致本项目在终验通过前出现故障或问题，供应商应及时配合排除该方面的故障或问题。</w:t>
      </w:r>
    </w:p>
    <w:p>
      <w:pPr>
        <w:rPr>
          <w:rFonts w:hint="eastAsia"/>
          <w:szCs w:val="21"/>
        </w:rPr>
      </w:pPr>
      <w:r>
        <w:rPr>
          <w:rFonts w:hint="eastAsia"/>
          <w:szCs w:val="21"/>
        </w:rPr>
        <w:t>（</w:t>
      </w:r>
      <w:r>
        <w:rPr>
          <w:szCs w:val="21"/>
        </w:rPr>
        <w:t>8）如本项目连续3次验收未通过（含初验未通过或终验未通过），采购方有权解除项目，并有权依照本项目约定的违约条款追究供应商的违约责任。</w:t>
      </w:r>
    </w:p>
    <w:p>
      <w:pPr>
        <w:pStyle w:val="3"/>
        <w:rPr>
          <w:rFonts w:hint="eastAsia"/>
        </w:rPr>
      </w:pPr>
      <w:r>
        <w:rPr>
          <w:rFonts w:hint="eastAsia"/>
        </w:rPr>
        <w:t>进度要求</w:t>
      </w:r>
      <w:bookmarkEnd w:id="37"/>
    </w:p>
    <w:p>
      <w:pPr>
        <w:rPr>
          <w:rFonts w:hint="eastAsia"/>
          <w:szCs w:val="21"/>
        </w:rPr>
      </w:pPr>
      <w:bookmarkStart w:id="38" w:name="_Hlk155618229"/>
      <w:r>
        <w:rPr>
          <w:rFonts w:hint="eastAsia"/>
          <w:szCs w:val="21"/>
        </w:rPr>
        <w:t>投标人应根据建设内容，分阶段制定合理的时间进度，并且应根据招标方要求进行调整和细化。</w:t>
      </w:r>
    </w:p>
    <w:p>
      <w:pPr>
        <w:rPr>
          <w:rFonts w:hint="eastAsia"/>
          <w:szCs w:val="21"/>
        </w:rPr>
      </w:pPr>
      <w:r>
        <w:rPr>
          <w:rFonts w:hint="eastAsia"/>
          <w:szCs w:val="21"/>
        </w:rPr>
        <w:t>总建设周期为18个月，分为7个阶段。</w:t>
      </w:r>
    </w:p>
    <w:p>
      <w:pPr>
        <w:rPr>
          <w:rFonts w:hint="eastAsia"/>
          <w:szCs w:val="21"/>
        </w:rPr>
      </w:pPr>
      <w:bookmarkStart w:id="39" w:name="_Toc63785510"/>
      <w:r>
        <w:rPr>
          <w:rFonts w:hint="eastAsia"/>
          <w:szCs w:val="21"/>
        </w:rPr>
        <w:t>第一阶段为1个月，完成需求调研；</w:t>
      </w:r>
    </w:p>
    <w:p>
      <w:pPr>
        <w:rPr>
          <w:rFonts w:hint="eastAsia"/>
          <w:szCs w:val="21"/>
        </w:rPr>
      </w:pPr>
      <w:r>
        <w:rPr>
          <w:rFonts w:hint="eastAsia"/>
          <w:szCs w:val="21"/>
        </w:rPr>
        <w:t>第二阶段为0.5个月，完成系统设计；</w:t>
      </w:r>
    </w:p>
    <w:p>
      <w:pPr>
        <w:rPr>
          <w:rFonts w:hint="eastAsia"/>
          <w:szCs w:val="21"/>
        </w:rPr>
      </w:pPr>
      <w:r>
        <w:rPr>
          <w:rFonts w:hint="eastAsia"/>
          <w:szCs w:val="21"/>
        </w:rPr>
        <w:t>第三阶段为8个月，完成所有项目内容建设；</w:t>
      </w:r>
    </w:p>
    <w:p>
      <w:pPr>
        <w:rPr>
          <w:rFonts w:hint="eastAsia"/>
          <w:szCs w:val="21"/>
        </w:rPr>
      </w:pPr>
      <w:r>
        <w:rPr>
          <w:rFonts w:hint="eastAsia"/>
          <w:szCs w:val="21"/>
        </w:rPr>
        <w:t>第四阶段为0.5个月，完成系统初验；</w:t>
      </w:r>
    </w:p>
    <w:p>
      <w:pPr>
        <w:rPr>
          <w:rFonts w:hint="eastAsia"/>
          <w:szCs w:val="21"/>
        </w:rPr>
      </w:pPr>
      <w:r>
        <w:rPr>
          <w:rFonts w:hint="eastAsia"/>
          <w:szCs w:val="21"/>
        </w:rPr>
        <w:t>第五阶段为4个月，完成系统</w:t>
      </w:r>
      <w:bookmarkStart w:id="44" w:name="_GoBack"/>
      <w:bookmarkEnd w:id="44"/>
      <w:r>
        <w:rPr>
          <w:rFonts w:hint="eastAsia"/>
          <w:szCs w:val="21"/>
        </w:rPr>
        <w:t>测试；</w:t>
      </w:r>
    </w:p>
    <w:p>
      <w:pPr>
        <w:rPr>
          <w:rFonts w:hint="eastAsia"/>
          <w:szCs w:val="21"/>
        </w:rPr>
      </w:pPr>
      <w:r>
        <w:rPr>
          <w:rFonts w:hint="eastAsia"/>
          <w:szCs w:val="21"/>
        </w:rPr>
        <w:t>第六阶段为3个月，完成系统试运行；</w:t>
      </w:r>
    </w:p>
    <w:p>
      <w:pPr>
        <w:rPr>
          <w:rFonts w:hint="eastAsia"/>
          <w:szCs w:val="21"/>
        </w:rPr>
      </w:pPr>
      <w:r>
        <w:rPr>
          <w:rFonts w:hint="eastAsia"/>
          <w:szCs w:val="21"/>
        </w:rPr>
        <w:t>第七阶段为1个月，完成系统终验上线。</w:t>
      </w:r>
    </w:p>
    <w:bookmarkEnd w:id="38"/>
    <w:p>
      <w:pPr>
        <w:pStyle w:val="3"/>
        <w:rPr>
          <w:rFonts w:hint="eastAsia"/>
        </w:rPr>
      </w:pPr>
      <w:r>
        <w:rPr>
          <w:rFonts w:hint="eastAsia"/>
        </w:rPr>
        <w:t>项目团队及驻场人员要求</w:t>
      </w:r>
      <w:bookmarkEnd w:id="39"/>
    </w:p>
    <w:p>
      <w:pPr>
        <w:rPr>
          <w:rFonts w:hint="eastAsia"/>
          <w:szCs w:val="21"/>
        </w:rPr>
      </w:pPr>
      <w:r>
        <w:rPr>
          <w:szCs w:val="21"/>
        </w:rPr>
        <w:t>1）投标人必须在上海设有常设办事机构，具有稳定的在职技术保障力量，能够提供及时的技术支援或服务，应针对本项目提供不少于</w:t>
      </w:r>
      <w:r>
        <w:rPr>
          <w:rFonts w:hint="eastAsia"/>
          <w:szCs w:val="21"/>
        </w:rPr>
        <w:t>22</w:t>
      </w:r>
      <w:r>
        <w:rPr>
          <w:szCs w:val="21"/>
        </w:rPr>
        <w:t>人的项目服务团队（包括项目</w:t>
      </w:r>
      <w:r>
        <w:rPr>
          <w:rFonts w:hint="eastAsia"/>
          <w:szCs w:val="21"/>
        </w:rPr>
        <w:t>负责人</w:t>
      </w:r>
      <w:r>
        <w:rPr>
          <w:szCs w:val="21"/>
        </w:rPr>
        <w:t>、产品经理、技术负责人、研发</w:t>
      </w:r>
      <w:r>
        <w:rPr>
          <w:rFonts w:hint="eastAsia"/>
          <w:szCs w:val="21"/>
        </w:rPr>
        <w:t>、网络安全工程师、系统集成工程师</w:t>
      </w:r>
      <w:r>
        <w:rPr>
          <w:szCs w:val="21"/>
        </w:rPr>
        <w:t>等），投标单位的相关服务人员需具备相应的服务能力，需提供相关证明（最近一个季度依法缴纳社保费的证明）。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436"/>
        <w:gridCol w:w="1340"/>
        <w:gridCol w:w="14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pPr>
              <w:widowControl/>
              <w:spacing w:line="240" w:lineRule="auto"/>
              <w:ind w:firstLine="0" w:firstLineChars="0"/>
              <w:jc w:val="center"/>
              <w:rPr>
                <w:rFonts w:hint="eastAsia"/>
                <w:b/>
              </w:rPr>
            </w:pPr>
            <w:r>
              <w:rPr>
                <w:rFonts w:hint="eastAsia"/>
                <w:b/>
              </w:rPr>
              <w:t>角色</w:t>
            </w:r>
          </w:p>
        </w:tc>
        <w:tc>
          <w:tcPr>
            <w:tcW w:w="2436" w:type="dxa"/>
            <w:noWrap/>
            <w:vAlign w:val="center"/>
          </w:tcPr>
          <w:p>
            <w:pPr>
              <w:widowControl/>
              <w:spacing w:line="240" w:lineRule="auto"/>
              <w:ind w:firstLine="0" w:firstLineChars="0"/>
              <w:jc w:val="center"/>
              <w:rPr>
                <w:rFonts w:hint="eastAsia"/>
                <w:b/>
              </w:rPr>
            </w:pPr>
            <w:r>
              <w:rPr>
                <w:rFonts w:hint="eastAsia"/>
                <w:b/>
              </w:rPr>
              <w:t>主要职责</w:t>
            </w:r>
          </w:p>
        </w:tc>
        <w:tc>
          <w:tcPr>
            <w:tcW w:w="1340" w:type="dxa"/>
            <w:noWrap/>
            <w:vAlign w:val="center"/>
          </w:tcPr>
          <w:p>
            <w:pPr>
              <w:widowControl/>
              <w:spacing w:line="240" w:lineRule="auto"/>
              <w:ind w:firstLine="0" w:firstLineChars="0"/>
              <w:jc w:val="center"/>
              <w:rPr>
                <w:rFonts w:hint="eastAsia"/>
                <w:b/>
              </w:rPr>
            </w:pPr>
            <w:r>
              <w:rPr>
                <w:rFonts w:hint="eastAsia"/>
                <w:b/>
              </w:rPr>
              <w:t>人员数量</w:t>
            </w:r>
          </w:p>
        </w:tc>
        <w:tc>
          <w:tcPr>
            <w:tcW w:w="1450" w:type="dxa"/>
            <w:vAlign w:val="center"/>
          </w:tcPr>
          <w:p>
            <w:pPr>
              <w:widowControl/>
              <w:spacing w:line="240" w:lineRule="auto"/>
              <w:ind w:firstLine="0" w:firstLineChars="0"/>
              <w:jc w:val="center"/>
              <w:rPr>
                <w:rFonts w:hint="eastAsia"/>
                <w:b/>
              </w:rPr>
            </w:pPr>
            <w:r>
              <w:rPr>
                <w:rFonts w:hint="eastAsia"/>
                <w:b/>
              </w:rPr>
              <w:t>人员要求</w:t>
            </w:r>
          </w:p>
        </w:tc>
        <w:tc>
          <w:tcPr>
            <w:tcW w:w="1180" w:type="dxa"/>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pPr>
              <w:widowControl/>
              <w:spacing w:line="240" w:lineRule="auto"/>
              <w:ind w:firstLine="0" w:firstLineChars="0"/>
              <w:jc w:val="center"/>
              <w:rPr>
                <w:rFonts w:hint="eastAsia"/>
              </w:rPr>
            </w:pPr>
            <w:r>
              <w:rPr>
                <w:rFonts w:hint="eastAsia"/>
              </w:rPr>
              <w:t>项目负责人</w:t>
            </w:r>
          </w:p>
        </w:tc>
        <w:tc>
          <w:tcPr>
            <w:tcW w:w="2436" w:type="dxa"/>
            <w:vAlign w:val="center"/>
          </w:tcPr>
          <w:p>
            <w:pPr>
              <w:widowControl/>
              <w:spacing w:line="240" w:lineRule="auto"/>
              <w:ind w:firstLine="0" w:firstLineChars="0"/>
              <w:jc w:val="center"/>
              <w:rPr>
                <w:rFonts w:hint="eastAsia"/>
              </w:rPr>
            </w:pPr>
            <w:r>
              <w:rPr>
                <w:rFonts w:hint="eastAsia"/>
              </w:rPr>
              <w:t>负责项目质量和进度控制</w:t>
            </w:r>
          </w:p>
        </w:tc>
        <w:tc>
          <w:tcPr>
            <w:tcW w:w="1340" w:type="dxa"/>
            <w:noWrap/>
            <w:vAlign w:val="center"/>
          </w:tcPr>
          <w:p>
            <w:pPr>
              <w:widowControl/>
              <w:spacing w:line="240" w:lineRule="auto"/>
              <w:ind w:firstLine="0" w:firstLineChars="0"/>
              <w:jc w:val="center"/>
              <w:rPr>
                <w:rFonts w:hint="eastAsia"/>
              </w:rPr>
            </w:pPr>
            <w:r>
              <w:t>1人</w:t>
            </w:r>
          </w:p>
        </w:tc>
        <w:tc>
          <w:tcPr>
            <w:tcW w:w="1450" w:type="dxa"/>
            <w:vAlign w:val="center"/>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pPr>
              <w:widowControl/>
              <w:spacing w:line="240" w:lineRule="auto"/>
              <w:ind w:firstLine="0" w:firstLineChars="0"/>
              <w:jc w:val="center"/>
              <w:rPr>
                <w:rFonts w:hint="eastAsia"/>
              </w:rPr>
            </w:pPr>
            <w:r>
              <w:rPr>
                <w:rFonts w:hint="eastAsia"/>
              </w:rPr>
              <w:t>产品经理</w:t>
            </w:r>
          </w:p>
        </w:tc>
        <w:tc>
          <w:tcPr>
            <w:tcW w:w="2436" w:type="dxa"/>
            <w:vAlign w:val="center"/>
          </w:tcPr>
          <w:p>
            <w:pPr>
              <w:widowControl/>
              <w:spacing w:line="240" w:lineRule="auto"/>
              <w:ind w:firstLine="0" w:firstLineChars="0"/>
              <w:jc w:val="center"/>
              <w:rPr>
                <w:rFonts w:hint="eastAsia"/>
              </w:rPr>
            </w:pPr>
            <w:r>
              <w:rPr>
                <w:rFonts w:hint="eastAsia"/>
              </w:rPr>
              <w:t>负责项目需求评估与产品设计</w:t>
            </w:r>
          </w:p>
        </w:tc>
        <w:tc>
          <w:tcPr>
            <w:tcW w:w="1340" w:type="dxa"/>
            <w:noWrap/>
            <w:vAlign w:val="center"/>
          </w:tcPr>
          <w:p>
            <w:pPr>
              <w:widowControl/>
              <w:spacing w:line="240" w:lineRule="auto"/>
              <w:ind w:firstLine="0" w:firstLineChars="0"/>
              <w:jc w:val="center"/>
              <w:rPr>
                <w:rFonts w:hint="eastAsia"/>
              </w:rPr>
            </w:pPr>
            <w:r>
              <w:t>1人</w:t>
            </w:r>
          </w:p>
        </w:tc>
        <w:tc>
          <w:tcPr>
            <w:tcW w:w="1450" w:type="dxa"/>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pPr>
              <w:widowControl/>
              <w:spacing w:line="240" w:lineRule="auto"/>
              <w:ind w:firstLine="0" w:firstLineChars="0"/>
              <w:jc w:val="center"/>
              <w:rPr>
                <w:rFonts w:hint="eastAsia"/>
              </w:rPr>
            </w:pPr>
            <w:r>
              <w:rPr>
                <w:rFonts w:hint="eastAsia"/>
              </w:rPr>
              <w:t>技术负责人</w:t>
            </w:r>
          </w:p>
        </w:tc>
        <w:tc>
          <w:tcPr>
            <w:tcW w:w="2436" w:type="dxa"/>
            <w:noWrap/>
            <w:vAlign w:val="center"/>
          </w:tcPr>
          <w:p>
            <w:pPr>
              <w:widowControl/>
              <w:spacing w:line="240" w:lineRule="auto"/>
              <w:ind w:firstLine="0" w:firstLineChars="0"/>
              <w:jc w:val="center"/>
              <w:rPr>
                <w:rFonts w:hint="eastAsia"/>
              </w:rPr>
            </w:pPr>
            <w:r>
              <w:rPr>
                <w:rFonts w:hint="eastAsia"/>
              </w:rPr>
              <w:t>负责项目具体开发、设计与实施</w:t>
            </w:r>
          </w:p>
        </w:tc>
        <w:tc>
          <w:tcPr>
            <w:tcW w:w="1340" w:type="dxa"/>
            <w:noWrap/>
            <w:vAlign w:val="center"/>
          </w:tcPr>
          <w:p>
            <w:pPr>
              <w:widowControl/>
              <w:spacing w:line="240" w:lineRule="auto"/>
              <w:ind w:firstLine="0" w:firstLineChars="0"/>
              <w:jc w:val="center"/>
              <w:rPr>
                <w:rFonts w:hint="eastAsia"/>
              </w:rPr>
            </w:pPr>
            <w:r>
              <w:t>1人</w:t>
            </w:r>
          </w:p>
        </w:tc>
        <w:tc>
          <w:tcPr>
            <w:tcW w:w="1450" w:type="dxa"/>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按需驻场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pPr>
              <w:widowControl/>
              <w:spacing w:line="240" w:lineRule="auto"/>
              <w:ind w:firstLine="0" w:firstLineChars="0"/>
              <w:jc w:val="center"/>
              <w:rPr>
                <w:rFonts w:hint="eastAsia"/>
              </w:rPr>
            </w:pPr>
            <w:r>
              <w:rPr>
                <w:rFonts w:hint="eastAsia"/>
              </w:rPr>
              <w:t>研发人员</w:t>
            </w:r>
          </w:p>
        </w:tc>
        <w:tc>
          <w:tcPr>
            <w:tcW w:w="2436" w:type="dxa"/>
            <w:noWrap/>
            <w:vAlign w:val="center"/>
          </w:tcPr>
          <w:p>
            <w:pPr>
              <w:widowControl/>
              <w:spacing w:line="240" w:lineRule="auto"/>
              <w:ind w:firstLine="0" w:firstLineChars="0"/>
              <w:jc w:val="center"/>
              <w:rPr>
                <w:rFonts w:hint="eastAsia"/>
              </w:rPr>
            </w:pPr>
            <w:r>
              <w:rPr>
                <w:rFonts w:hint="eastAsia"/>
              </w:rPr>
              <w:t>负责项目具体开发与实施</w:t>
            </w:r>
          </w:p>
        </w:tc>
        <w:tc>
          <w:tcPr>
            <w:tcW w:w="1340" w:type="dxa"/>
            <w:noWrap/>
            <w:vAlign w:val="center"/>
          </w:tcPr>
          <w:p>
            <w:pPr>
              <w:widowControl/>
              <w:spacing w:line="240" w:lineRule="auto"/>
              <w:ind w:firstLine="0" w:firstLineChars="0"/>
              <w:jc w:val="center"/>
              <w:rPr>
                <w:rFonts w:hint="eastAsia"/>
              </w:rPr>
            </w:pPr>
            <w:r>
              <w:rPr>
                <w:rFonts w:hint="eastAsia"/>
              </w:rPr>
              <w:t>15人</w:t>
            </w:r>
          </w:p>
        </w:tc>
        <w:tc>
          <w:tcPr>
            <w:tcW w:w="1450" w:type="dxa"/>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按需驻场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tcPr>
          <w:p>
            <w:pPr>
              <w:widowControl/>
              <w:spacing w:line="240" w:lineRule="auto"/>
              <w:ind w:firstLine="0" w:firstLineChars="0"/>
              <w:jc w:val="center"/>
              <w:rPr>
                <w:rFonts w:hint="eastAsia"/>
              </w:rPr>
            </w:pPr>
            <w:r>
              <w:rPr>
                <w:rFonts w:hint="eastAsia"/>
              </w:rPr>
              <w:t>网络安全工程师</w:t>
            </w:r>
          </w:p>
        </w:tc>
        <w:tc>
          <w:tcPr>
            <w:tcW w:w="2436" w:type="dxa"/>
            <w:noWrap/>
            <w:vAlign w:val="center"/>
          </w:tcPr>
          <w:p>
            <w:pPr>
              <w:widowControl/>
              <w:spacing w:line="240" w:lineRule="auto"/>
              <w:ind w:firstLine="0" w:firstLineChars="0"/>
              <w:jc w:val="center"/>
              <w:rPr>
                <w:rFonts w:hint="eastAsia"/>
              </w:rPr>
            </w:pPr>
            <w:r>
              <w:rPr>
                <w:rFonts w:hint="eastAsia"/>
              </w:rPr>
              <w:t>负责项目网络迁移的架构设计和安全管理</w:t>
            </w:r>
          </w:p>
        </w:tc>
        <w:tc>
          <w:tcPr>
            <w:tcW w:w="1340" w:type="dxa"/>
            <w:noWrap/>
            <w:vAlign w:val="center"/>
          </w:tcPr>
          <w:p>
            <w:pPr>
              <w:widowControl/>
              <w:spacing w:line="240" w:lineRule="auto"/>
              <w:ind w:firstLine="0" w:firstLineChars="0"/>
              <w:jc w:val="center"/>
              <w:rPr>
                <w:rFonts w:hint="eastAsia"/>
              </w:rPr>
            </w:pPr>
            <w:r>
              <w:rPr>
                <w:rFonts w:hint="eastAsia"/>
              </w:rPr>
              <w:t>1人</w:t>
            </w:r>
          </w:p>
        </w:tc>
        <w:tc>
          <w:tcPr>
            <w:tcW w:w="1450" w:type="dxa"/>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按需驻场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tcPr>
          <w:p>
            <w:pPr>
              <w:widowControl/>
              <w:spacing w:line="240" w:lineRule="auto"/>
              <w:ind w:firstLine="0" w:firstLineChars="0"/>
              <w:jc w:val="center"/>
              <w:rPr>
                <w:rFonts w:hint="eastAsia"/>
              </w:rPr>
            </w:pPr>
            <w:r>
              <w:rPr>
                <w:rFonts w:hint="eastAsia"/>
              </w:rPr>
              <w:t>系统集成工程师</w:t>
            </w:r>
          </w:p>
        </w:tc>
        <w:tc>
          <w:tcPr>
            <w:tcW w:w="2436" w:type="dxa"/>
            <w:noWrap/>
            <w:vAlign w:val="center"/>
          </w:tcPr>
          <w:p>
            <w:pPr>
              <w:widowControl/>
              <w:spacing w:line="240" w:lineRule="auto"/>
              <w:ind w:firstLine="0" w:firstLineChars="0"/>
              <w:jc w:val="center"/>
              <w:rPr>
                <w:rFonts w:hint="eastAsia"/>
              </w:rPr>
            </w:pPr>
            <w:r>
              <w:rPr>
                <w:rFonts w:hint="eastAsia"/>
              </w:rPr>
              <w:t>负责项目设备安装、调试</w:t>
            </w:r>
          </w:p>
        </w:tc>
        <w:tc>
          <w:tcPr>
            <w:tcW w:w="1340" w:type="dxa"/>
            <w:noWrap/>
            <w:vAlign w:val="center"/>
          </w:tcPr>
          <w:p>
            <w:pPr>
              <w:widowControl/>
              <w:spacing w:line="240" w:lineRule="auto"/>
              <w:ind w:firstLine="0" w:firstLineChars="0"/>
              <w:jc w:val="center"/>
              <w:rPr>
                <w:rFonts w:hint="eastAsia"/>
              </w:rPr>
            </w:pPr>
            <w:r>
              <w:rPr>
                <w:rFonts w:hint="eastAsia"/>
              </w:rPr>
              <w:t>3人</w:t>
            </w:r>
          </w:p>
        </w:tc>
        <w:tc>
          <w:tcPr>
            <w:tcW w:w="1450" w:type="dxa"/>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按需驻场</w:t>
            </w:r>
          </w:p>
        </w:tc>
      </w:tr>
    </w:tbl>
    <w:p>
      <w:pPr>
        <w:rPr>
          <w:rFonts w:hint="eastAsia"/>
          <w:szCs w:val="21"/>
        </w:rPr>
      </w:pPr>
      <w:r>
        <w:rPr>
          <w:rFonts w:hint="eastAsia"/>
          <w:szCs w:val="21"/>
        </w:rPr>
        <w:t>项目负责人：需具有计算机软件开发及应用相关（中级职称）及以上证书</w:t>
      </w:r>
      <w:r>
        <w:rPr>
          <w:szCs w:val="21"/>
        </w:rPr>
        <w:t>，具有类似的信息化项目建设经验目在项目建设过程中担任项目经理。</w:t>
      </w:r>
    </w:p>
    <w:p>
      <w:pPr>
        <w:rPr>
          <w:rFonts w:hint="eastAsia"/>
        </w:rPr>
      </w:pPr>
      <w:r>
        <w:rPr>
          <w:rFonts w:hint="eastAsia"/>
        </w:rPr>
        <w:t>项目团队人员：需具备本科及以上学历，具有信息系统项目设计、开发、测试、运维其中一个方向</w:t>
      </w:r>
      <w:r>
        <w:t>1年以上经验</w:t>
      </w:r>
      <w:r>
        <w:rPr>
          <w:rFonts w:hint="eastAsia"/>
        </w:rPr>
        <w:t>。</w:t>
      </w:r>
    </w:p>
    <w:p>
      <w:pPr>
        <w:rPr>
          <w:rFonts w:hint="eastAsia"/>
        </w:rPr>
      </w:pPr>
      <w:r>
        <w:t>2）供应商应针对本项目提供不少于</w:t>
      </w:r>
      <w:r>
        <w:rPr>
          <w:rFonts w:hint="eastAsia"/>
        </w:rPr>
        <w:t>5</w:t>
      </w:r>
      <w:r>
        <w:t>人的质保期间支撑团队（其中</w:t>
      </w:r>
      <w:r>
        <w:rPr>
          <w:rFonts w:hint="eastAsia"/>
        </w:rPr>
        <w:t>项目负责人</w:t>
      </w:r>
      <w:r>
        <w:t>1人，技术工程师不少于</w:t>
      </w:r>
      <w:r>
        <w:rPr>
          <w:rFonts w:hint="eastAsia"/>
        </w:rPr>
        <w:t>4</w:t>
      </w:r>
      <w:r>
        <w:t>人）；供应商的相关服务人员需具备相应的服务能力，需提供相关证明（最近一个季度</w:t>
      </w:r>
      <w:r>
        <w:rPr>
          <w:rFonts w:hint="eastAsia"/>
        </w:rPr>
        <w:t>任意一个月</w:t>
      </w:r>
      <w:r>
        <w:t>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407"/>
        <w:gridCol w:w="1180"/>
        <w:gridCol w:w="20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center"/>
              <w:rPr>
                <w:rFonts w:hint="eastAsia"/>
                <w:b/>
              </w:rPr>
            </w:pPr>
            <w:r>
              <w:rPr>
                <w:rFonts w:hint="eastAsia"/>
                <w:b/>
              </w:rPr>
              <w:t>角色</w:t>
            </w:r>
          </w:p>
        </w:tc>
        <w:tc>
          <w:tcPr>
            <w:tcW w:w="2407" w:type="dxa"/>
            <w:noWrap/>
            <w:vAlign w:val="center"/>
          </w:tcPr>
          <w:p>
            <w:pPr>
              <w:widowControl/>
              <w:spacing w:line="240" w:lineRule="auto"/>
              <w:ind w:firstLine="0" w:firstLineChars="0"/>
              <w:jc w:val="center"/>
              <w:rPr>
                <w:rFonts w:hint="eastAsia"/>
                <w:b/>
              </w:rPr>
            </w:pPr>
            <w:r>
              <w:rPr>
                <w:rFonts w:hint="eastAsia"/>
                <w:b/>
              </w:rPr>
              <w:t>主要职责</w:t>
            </w:r>
          </w:p>
        </w:tc>
        <w:tc>
          <w:tcPr>
            <w:tcW w:w="1180" w:type="dxa"/>
            <w:noWrap/>
            <w:vAlign w:val="center"/>
          </w:tcPr>
          <w:p>
            <w:pPr>
              <w:widowControl/>
              <w:spacing w:line="240" w:lineRule="auto"/>
              <w:ind w:firstLine="0" w:firstLineChars="0"/>
              <w:jc w:val="center"/>
              <w:rPr>
                <w:rFonts w:hint="eastAsia"/>
                <w:b/>
              </w:rPr>
            </w:pPr>
            <w:r>
              <w:rPr>
                <w:rFonts w:hint="eastAsia"/>
                <w:b/>
              </w:rPr>
              <w:t>人员数量</w:t>
            </w:r>
          </w:p>
        </w:tc>
        <w:tc>
          <w:tcPr>
            <w:tcW w:w="2080" w:type="dxa"/>
            <w:vAlign w:val="center"/>
          </w:tcPr>
          <w:p>
            <w:pPr>
              <w:widowControl/>
              <w:spacing w:line="240" w:lineRule="auto"/>
              <w:ind w:firstLine="0" w:firstLineChars="0"/>
              <w:jc w:val="center"/>
              <w:rPr>
                <w:rFonts w:hint="eastAsia"/>
                <w:b/>
              </w:rPr>
            </w:pPr>
            <w:r>
              <w:rPr>
                <w:rFonts w:hint="eastAsia"/>
                <w:b/>
              </w:rPr>
              <w:t>人员要求</w:t>
            </w:r>
          </w:p>
        </w:tc>
        <w:tc>
          <w:tcPr>
            <w:tcW w:w="1180" w:type="dxa"/>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center"/>
              <w:rPr>
                <w:rFonts w:hint="eastAsia"/>
              </w:rPr>
            </w:pPr>
            <w:r>
              <w:rPr>
                <w:rFonts w:hint="eastAsia"/>
              </w:rPr>
              <w:t>项目负责人</w:t>
            </w:r>
          </w:p>
        </w:tc>
        <w:tc>
          <w:tcPr>
            <w:tcW w:w="2407" w:type="dxa"/>
            <w:vAlign w:val="center"/>
          </w:tcPr>
          <w:p>
            <w:pPr>
              <w:widowControl/>
              <w:spacing w:line="240" w:lineRule="auto"/>
              <w:ind w:firstLine="0" w:firstLineChars="0"/>
              <w:jc w:val="center"/>
              <w:rPr>
                <w:rFonts w:hint="eastAsia"/>
              </w:rPr>
            </w:pPr>
            <w:r>
              <w:rPr>
                <w:rFonts w:hint="eastAsia"/>
              </w:rPr>
              <w:t>负责项目质量和进度控制</w:t>
            </w:r>
          </w:p>
        </w:tc>
        <w:tc>
          <w:tcPr>
            <w:tcW w:w="1180" w:type="dxa"/>
            <w:noWrap/>
            <w:vAlign w:val="center"/>
          </w:tcPr>
          <w:p>
            <w:pPr>
              <w:widowControl/>
              <w:spacing w:line="240" w:lineRule="auto"/>
              <w:ind w:firstLine="0" w:firstLineChars="0"/>
              <w:jc w:val="center"/>
              <w:rPr>
                <w:rFonts w:hint="eastAsia"/>
              </w:rPr>
            </w:pPr>
            <w:r>
              <w:t>1人</w:t>
            </w:r>
          </w:p>
        </w:tc>
        <w:tc>
          <w:tcPr>
            <w:tcW w:w="2080" w:type="dxa"/>
            <w:vAlign w:val="center"/>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center"/>
              <w:rPr>
                <w:rFonts w:hint="eastAsia"/>
              </w:rPr>
            </w:pPr>
            <w:r>
              <w:rPr>
                <w:rFonts w:hint="eastAsia"/>
              </w:rPr>
              <w:t>技术工程师</w:t>
            </w:r>
          </w:p>
        </w:tc>
        <w:tc>
          <w:tcPr>
            <w:tcW w:w="2407" w:type="dxa"/>
            <w:noWrap/>
            <w:vAlign w:val="center"/>
          </w:tcPr>
          <w:p>
            <w:pPr>
              <w:widowControl/>
              <w:spacing w:line="240" w:lineRule="auto"/>
              <w:ind w:firstLine="0" w:firstLineChars="0"/>
              <w:jc w:val="center"/>
              <w:rPr>
                <w:rFonts w:hint="eastAsia"/>
              </w:rPr>
            </w:pPr>
            <w:r>
              <w:rPr>
                <w:rFonts w:hint="eastAsia"/>
              </w:rPr>
              <w:t>负责政采云平台运行维护</w:t>
            </w:r>
          </w:p>
        </w:tc>
        <w:tc>
          <w:tcPr>
            <w:tcW w:w="1180" w:type="dxa"/>
            <w:noWrap/>
            <w:vAlign w:val="center"/>
          </w:tcPr>
          <w:p>
            <w:pPr>
              <w:widowControl/>
              <w:spacing w:line="240" w:lineRule="auto"/>
              <w:ind w:firstLine="0" w:firstLineChars="0"/>
              <w:jc w:val="center"/>
              <w:rPr>
                <w:rFonts w:hint="eastAsia"/>
              </w:rPr>
            </w:pPr>
            <w:r>
              <w:rPr>
                <w:rFonts w:hint="eastAsia"/>
              </w:rPr>
              <w:t>2人</w:t>
            </w:r>
          </w:p>
        </w:tc>
        <w:tc>
          <w:tcPr>
            <w:tcW w:w="2080" w:type="dxa"/>
            <w:vAlign w:val="center"/>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center"/>
              <w:rPr>
                <w:rFonts w:hint="eastAsia"/>
              </w:rPr>
            </w:pPr>
            <w:r>
              <w:rPr>
                <w:rFonts w:hint="eastAsia"/>
              </w:rPr>
              <w:t>技术工程师</w:t>
            </w:r>
          </w:p>
        </w:tc>
        <w:tc>
          <w:tcPr>
            <w:tcW w:w="2407" w:type="dxa"/>
            <w:noWrap/>
            <w:vAlign w:val="center"/>
          </w:tcPr>
          <w:p>
            <w:pPr>
              <w:widowControl/>
              <w:spacing w:line="240" w:lineRule="auto"/>
              <w:ind w:firstLine="0" w:firstLineChars="0"/>
              <w:jc w:val="center"/>
              <w:rPr>
                <w:rFonts w:hint="eastAsia"/>
              </w:rPr>
            </w:pPr>
            <w:r>
              <w:rPr>
                <w:rFonts w:hint="eastAsia"/>
              </w:rPr>
              <w:t>负责电子政务外网财政专区的运行维护</w:t>
            </w:r>
          </w:p>
        </w:tc>
        <w:tc>
          <w:tcPr>
            <w:tcW w:w="1180" w:type="dxa"/>
            <w:noWrap/>
            <w:vAlign w:val="center"/>
          </w:tcPr>
          <w:p>
            <w:pPr>
              <w:widowControl/>
              <w:spacing w:line="240" w:lineRule="auto"/>
              <w:ind w:firstLine="0" w:firstLineChars="0"/>
              <w:jc w:val="center"/>
              <w:rPr>
                <w:rFonts w:hint="eastAsia"/>
              </w:rPr>
            </w:pPr>
            <w:r>
              <w:rPr>
                <w:rFonts w:hint="eastAsia"/>
              </w:rPr>
              <w:t>2人</w:t>
            </w:r>
          </w:p>
        </w:tc>
        <w:tc>
          <w:tcPr>
            <w:tcW w:w="2080" w:type="dxa"/>
            <w:vAlign w:val="center"/>
          </w:tcPr>
          <w:p>
            <w:pPr>
              <w:widowControl/>
              <w:spacing w:line="240" w:lineRule="auto"/>
              <w:ind w:firstLine="0" w:firstLineChars="0"/>
              <w:jc w:val="center"/>
              <w:rPr>
                <w:rFonts w:hint="eastAsia"/>
              </w:rPr>
            </w:pPr>
            <w:r>
              <w:rPr>
                <w:rFonts w:hint="eastAsia"/>
              </w:rPr>
              <w:t>本科及以上学历</w:t>
            </w:r>
          </w:p>
        </w:tc>
        <w:tc>
          <w:tcPr>
            <w:tcW w:w="1180" w:type="dxa"/>
            <w:noWrap/>
            <w:vAlign w:val="center"/>
          </w:tcPr>
          <w:p>
            <w:pPr>
              <w:widowControl/>
              <w:spacing w:line="240" w:lineRule="auto"/>
              <w:ind w:firstLine="0" w:firstLineChars="0"/>
              <w:jc w:val="center"/>
              <w:rPr>
                <w:rFonts w:hint="eastAsia"/>
              </w:rPr>
            </w:pPr>
            <w:r>
              <w:rPr>
                <w:rFonts w:hint="eastAsia"/>
              </w:rPr>
              <w:t>按需驻场</w:t>
            </w:r>
          </w:p>
        </w:tc>
      </w:tr>
    </w:tbl>
    <w:p>
      <w:pPr>
        <w:rPr>
          <w:rFonts w:hint="eastAsia"/>
          <w:szCs w:val="21"/>
        </w:rPr>
      </w:pPr>
      <w:r>
        <w:rPr>
          <w:rFonts w:hint="eastAsia"/>
          <w:szCs w:val="21"/>
        </w:rPr>
        <w:t>项目负责人：需具有计算机软件开发及应用（中级）及以上证书</w:t>
      </w:r>
      <w:r>
        <w:rPr>
          <w:szCs w:val="21"/>
        </w:rPr>
        <w:t>，具有省级及以上类似的信息化项目建设经验目在项目建设过程中担任项目经理。</w:t>
      </w:r>
    </w:p>
    <w:p>
      <w:pPr>
        <w:rPr>
          <w:rFonts w:hint="eastAsia"/>
          <w:szCs w:val="21"/>
        </w:rPr>
      </w:pPr>
      <w:r>
        <w:rPr>
          <w:rFonts w:hint="eastAsia"/>
          <w:szCs w:val="21"/>
        </w:rPr>
        <w:t>项目团队人员：需具备本科及以上学历，具有省级及以上的信息系统项目设计、开发、测试、运维其中一个方向</w:t>
      </w:r>
      <w:r>
        <w:rPr>
          <w:szCs w:val="21"/>
        </w:rPr>
        <w:t>1年以上经验</w:t>
      </w:r>
      <w:r>
        <w:rPr>
          <w:rFonts w:hint="eastAsia"/>
          <w:szCs w:val="21"/>
        </w:rPr>
        <w:t>。</w:t>
      </w:r>
    </w:p>
    <w:p>
      <w:pPr>
        <w:pStyle w:val="3"/>
        <w:rPr>
          <w:rFonts w:hint="eastAsia"/>
        </w:rPr>
      </w:pPr>
      <w:r>
        <w:rPr>
          <w:rFonts w:hint="eastAsia"/>
        </w:rPr>
        <w:t>企业综合能力</w:t>
      </w:r>
    </w:p>
    <w:p>
      <w:pPr>
        <w:rPr>
          <w:rFonts w:hint="eastAsia"/>
        </w:rPr>
      </w:pPr>
      <w:r>
        <w:t>供应商具有ISO 9001质量管理体系认证证书、ISO 20000 IT服务管理体系认证证书、ISO 27001信息安全管理体系认证证书</w:t>
      </w:r>
      <w:r>
        <w:rPr>
          <w:rFonts w:hint="eastAsia"/>
        </w:rPr>
        <w:t>、</w:t>
      </w:r>
      <w:r>
        <w:t>信息系统建设和服务能力等级证书（CS）、ITSS信息技术服务标准证书的</w:t>
      </w:r>
      <w:r>
        <w:rPr>
          <w:rFonts w:hint="eastAsia"/>
        </w:rPr>
        <w:t>优先考虑。</w:t>
      </w:r>
    </w:p>
    <w:p>
      <w:pPr>
        <w:pStyle w:val="3"/>
        <w:rPr>
          <w:rFonts w:hint="eastAsia"/>
        </w:rPr>
      </w:pPr>
      <w:bookmarkStart w:id="40" w:name="_Toc63785511"/>
      <w:r>
        <w:t>等级保护要求</w:t>
      </w:r>
      <w:bookmarkEnd w:id="40"/>
    </w:p>
    <w:p>
      <w:pPr>
        <w:rPr>
          <w:rFonts w:hint="eastAsia"/>
          <w:szCs w:val="21"/>
        </w:rPr>
      </w:pPr>
      <w:r>
        <w:rPr>
          <w:szCs w:val="21"/>
        </w:rPr>
        <w:t>本项目等级保护要求：参照等保</w:t>
      </w:r>
      <w:r>
        <w:rPr>
          <w:rFonts w:hint="eastAsia"/>
          <w:szCs w:val="21"/>
        </w:rPr>
        <w:t>三</w:t>
      </w:r>
      <w:r>
        <w:rPr>
          <w:szCs w:val="21"/>
        </w:rPr>
        <w:t>级要求建设。</w:t>
      </w:r>
    </w:p>
    <w:p>
      <w:pPr>
        <w:pStyle w:val="3"/>
        <w:rPr>
          <w:rFonts w:hint="eastAsia"/>
        </w:rPr>
      </w:pPr>
      <w:r>
        <w:rPr>
          <w:rFonts w:hint="eastAsia"/>
        </w:rPr>
        <w:t>商业密码应用需求</w:t>
      </w:r>
    </w:p>
    <w:p>
      <w:pPr>
        <w:rPr>
          <w:rFonts w:hint="eastAsia"/>
        </w:rPr>
      </w:pPr>
      <w:r>
        <w:rPr>
          <w:rFonts w:hint="eastAsia"/>
        </w:rPr>
        <w:t>满足商业密码应用建设要求，并通过商业密码应用安全测评。</w:t>
      </w:r>
    </w:p>
    <w:p>
      <w:pPr>
        <w:pStyle w:val="3"/>
        <w:rPr>
          <w:rFonts w:hint="eastAsia"/>
        </w:rPr>
      </w:pPr>
      <w:r>
        <w:rPr>
          <w:rFonts w:hint="eastAsia"/>
        </w:rPr>
        <w:t>技术文件要求</w:t>
      </w:r>
    </w:p>
    <w:p>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pPr>
        <w:rPr>
          <w:rFonts w:hint="eastAsia"/>
        </w:rPr>
      </w:pPr>
      <w:r>
        <w:rPr>
          <w:rFonts w:hint="eastAsia"/>
        </w:rPr>
        <w:t>－</w:t>
      </w:r>
      <w:r>
        <w:t xml:space="preserve"> 系统说明文件； </w:t>
      </w:r>
    </w:p>
    <w:p>
      <w:pPr>
        <w:rPr>
          <w:rFonts w:hint="eastAsia"/>
        </w:rPr>
      </w:pPr>
      <w:r>
        <w:rPr>
          <w:rFonts w:hint="eastAsia"/>
        </w:rPr>
        <w:t>－</w:t>
      </w:r>
      <w:r>
        <w:t xml:space="preserve"> 技术手册(安装、测试、操作、维护、故障排除等)； </w:t>
      </w:r>
    </w:p>
    <w:p>
      <w:pPr>
        <w:rPr>
          <w:rFonts w:hint="eastAsia"/>
        </w:rPr>
      </w:pPr>
      <w:r>
        <w:rPr>
          <w:rFonts w:hint="eastAsia"/>
        </w:rPr>
        <w:t>－</w:t>
      </w:r>
      <w:r>
        <w:t xml:space="preserve"> 项目文档，应该包括：</w:t>
      </w:r>
    </w:p>
    <w:p>
      <w:pPr>
        <w:ind w:left="360"/>
        <w:rPr>
          <w:rFonts w:hint="eastAsia"/>
        </w:rPr>
      </w:pPr>
      <w:r>
        <w:t>(1)软件需求说明书</w:t>
      </w:r>
    </w:p>
    <w:p>
      <w:pPr>
        <w:ind w:left="360"/>
        <w:rPr>
          <w:rFonts w:hint="eastAsia"/>
        </w:rPr>
      </w:pPr>
      <w:r>
        <w:t>(2)</w:t>
      </w:r>
      <w:r>
        <w:tab/>
      </w:r>
      <w:r>
        <w:t>系统总体设计说明书</w:t>
      </w:r>
    </w:p>
    <w:p>
      <w:pPr>
        <w:ind w:left="360"/>
        <w:rPr>
          <w:rFonts w:hint="eastAsia"/>
        </w:rPr>
      </w:pPr>
      <w:r>
        <w:t>(3)</w:t>
      </w:r>
      <w:r>
        <w:tab/>
      </w:r>
      <w:r>
        <w:t>应用软件功能清单</w:t>
      </w:r>
    </w:p>
    <w:p>
      <w:pPr>
        <w:rPr>
          <w:rFonts w:hint="eastAsia"/>
        </w:rPr>
      </w:pPr>
      <w:r>
        <w:rPr>
          <w:rFonts w:hint="eastAsia"/>
        </w:rPr>
        <w:t>提供全套技术文件纸介质</w:t>
      </w:r>
      <w:r>
        <w:t>3套以及电子文件1套。</w:t>
      </w:r>
    </w:p>
    <w:p>
      <w:pPr>
        <w:pStyle w:val="3"/>
        <w:rPr>
          <w:rFonts w:hint="eastAsia"/>
        </w:rPr>
      </w:pPr>
      <w:r>
        <w:rPr>
          <w:rFonts w:hint="eastAsia"/>
        </w:rPr>
        <w:t>其他要求</w:t>
      </w:r>
    </w:p>
    <w:p>
      <w:pPr>
        <w:rPr>
          <w:rFonts w:hint="eastAsia"/>
        </w:rPr>
      </w:pPr>
      <w:r>
        <w:rPr>
          <w:rFonts w:hint="eastAsia"/>
        </w:rPr>
        <w:t>供应商需提供硬件产品及安全产品的原厂授权。</w:t>
      </w:r>
    </w:p>
    <w:p>
      <w:pPr>
        <w:pStyle w:val="2"/>
        <w:rPr>
          <w:rFonts w:hint="eastAsia"/>
        </w:rPr>
      </w:pPr>
      <w:r>
        <w:rPr>
          <w:rFonts w:hint="eastAsia"/>
        </w:rPr>
        <w:t>供应商资质要求</w:t>
      </w:r>
    </w:p>
    <w:p>
      <w:pPr>
        <w:rPr>
          <w:rFonts w:hint="eastAsia"/>
        </w:rPr>
      </w:pPr>
      <w:r>
        <w:t>1、符合《中华人民共和国政府采购法》第二十二条规定的供应商。</w:t>
      </w:r>
    </w:p>
    <w:p>
      <w:pPr>
        <w:rPr>
          <w:rFonts w:hint="eastAsia"/>
        </w:rPr>
      </w:pPr>
      <w:r>
        <w:t>2、根据《上海市政府采购供应商登记及诚信管理办法》已登记入库的供应商。</w:t>
      </w:r>
    </w:p>
    <w:p>
      <w:pPr>
        <w:rPr>
          <w:rFonts w:hint="eastAsia"/>
        </w:rPr>
      </w:pPr>
      <w:r>
        <w:t>3、其他资格要求：</w:t>
      </w:r>
    </w:p>
    <w:p>
      <w:pPr>
        <w:rPr>
          <w:rFonts w:hint="eastAsia"/>
        </w:rPr>
      </w:pPr>
      <w:r>
        <w:t>3.1本项目面向大、中、小、微型等各类供应商采购。</w:t>
      </w:r>
    </w:p>
    <w:p>
      <w:pPr>
        <w:rPr>
          <w:rFonts w:hint="eastAsia"/>
          <w:szCs w:val="21"/>
        </w:rPr>
      </w:pPr>
      <w:r>
        <w:rPr>
          <w:szCs w:val="21"/>
        </w:rPr>
        <w:t>3.2未被列入“信用中国”网站(www.creditchina.gov.cn)失信被执行人名单、重大税收违法案件当事人名单和中国政府采购网(www.ccgp.gov.cn)政府采购严重违法失信行为记录名单。</w:t>
      </w:r>
    </w:p>
    <w:bookmarkEnd w:id="24"/>
    <w:p>
      <w:pPr>
        <w:pStyle w:val="2"/>
        <w:rPr>
          <w:rFonts w:hint="eastAsia"/>
        </w:rPr>
      </w:pPr>
      <w:bookmarkStart w:id="41" w:name="_Toc63785513"/>
      <w:r>
        <w:rPr>
          <w:rFonts w:hint="eastAsia"/>
        </w:rPr>
        <w:t>供应商管理要求</w:t>
      </w:r>
    </w:p>
    <w:p>
      <w:pPr>
        <w:rPr>
          <w:rFonts w:hint="eastAsia"/>
          <w:szCs w:val="21"/>
        </w:rPr>
      </w:pPr>
      <w:r>
        <w:rPr>
          <w:szCs w:val="21"/>
        </w:rPr>
        <w:t>1、在项目实施期间，中标人应严格执行国家、地方、行业有关本项目业务管理和安全作业的法律、法规和制度并按规定承担相应的费用。中标人因违反规定等原因造成的一切损失和责任由中标人自行承担。</w:t>
      </w:r>
    </w:p>
    <w:p>
      <w:pPr>
        <w:rPr>
          <w:rFonts w:hint="eastAsia"/>
          <w:szCs w:val="21"/>
        </w:rPr>
      </w:pPr>
      <w:r>
        <w:rPr>
          <w:szCs w:val="21"/>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rPr>
          <w:rFonts w:hint="eastAsia"/>
          <w:szCs w:val="21"/>
        </w:rPr>
      </w:pPr>
      <w:r>
        <w:rPr>
          <w:szCs w:val="21"/>
        </w:rPr>
        <w:t>3、中标人在项目实施期间，应按项目实际进度与环节落实所对应项目整体及各环节管理工作，按照规范做好项目实施期间相关管理与实施记录。</w:t>
      </w:r>
    </w:p>
    <w:p>
      <w:pPr>
        <w:rPr>
          <w:rFonts w:hint="eastAsia"/>
          <w:szCs w:val="21"/>
        </w:rPr>
      </w:pPr>
      <w:r>
        <w:rPr>
          <w:szCs w:val="21"/>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rPr>
          <w:rFonts w:hint="eastAsia"/>
          <w:szCs w:val="21"/>
        </w:rPr>
      </w:pPr>
      <w:r>
        <w:rPr>
          <w:szCs w:val="21"/>
        </w:rPr>
        <w:t>5、中标人在项目实施期间必须遵守采购人的规章制度并提供实施人员名单。</w:t>
      </w:r>
    </w:p>
    <w:p>
      <w:pPr>
        <w:rPr>
          <w:rFonts w:hint="eastAsia"/>
          <w:szCs w:val="21"/>
        </w:rPr>
      </w:pPr>
      <w:r>
        <w:rPr>
          <w:szCs w:val="21"/>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rPr>
          <w:rFonts w:hint="eastAsia"/>
          <w:szCs w:val="21"/>
        </w:rPr>
      </w:pPr>
      <w:r>
        <w:rPr>
          <w:szCs w:val="21"/>
        </w:rPr>
        <w:t>7、本项目软件开发及调试将纳入采购人的管理范围，中标人在此过程中须服从上述单位的管理协调。</w:t>
      </w:r>
    </w:p>
    <w:p>
      <w:pPr>
        <w:pStyle w:val="2"/>
        <w:rPr>
          <w:rFonts w:hint="eastAsia"/>
        </w:rPr>
      </w:pPr>
      <w:r>
        <w:rPr>
          <w:rFonts w:hint="eastAsia"/>
        </w:rPr>
        <w:t>关于转让和分包的规定</w:t>
      </w:r>
    </w:p>
    <w:p>
      <w:pPr>
        <w:rPr>
          <w:rFonts w:hint="eastAsia"/>
          <w:szCs w:val="21"/>
        </w:rPr>
      </w:pPr>
      <w:r>
        <w:rPr>
          <w:rFonts w:hint="eastAsia"/>
          <w:szCs w:val="21"/>
        </w:rPr>
        <w:t>本项目不得转让不得分包。</w:t>
      </w:r>
    </w:p>
    <w:p>
      <w:pPr>
        <w:pStyle w:val="2"/>
        <w:rPr>
          <w:rFonts w:hint="eastAsia"/>
        </w:rPr>
      </w:pPr>
      <w:r>
        <w:rPr>
          <w:rFonts w:hint="eastAsia"/>
        </w:rPr>
        <w:t>知识产权及保密要求</w:t>
      </w:r>
      <w:bookmarkEnd w:id="41"/>
    </w:p>
    <w:p>
      <w:pPr>
        <w:ind w:firstLine="482"/>
        <w:rPr>
          <w:rFonts w:hint="eastAsia"/>
          <w:b/>
        </w:rPr>
      </w:pPr>
      <w:r>
        <w:rPr>
          <w:b/>
        </w:rPr>
        <w:t>1、中标人数据、文件、资料知识产权</w:t>
      </w:r>
    </w:p>
    <w:p>
      <w:pPr>
        <w:rPr>
          <w:rFonts w:hint="eastAsia"/>
          <w:szCs w:val="21"/>
        </w:rPr>
      </w:pPr>
      <w:r>
        <w:rPr>
          <w:rFonts w:hint="eastAsia"/>
          <w:szCs w:val="21"/>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rPr>
          <w:rFonts w:hint="eastAsia"/>
          <w:szCs w:val="21"/>
        </w:rPr>
      </w:pPr>
      <w:r>
        <w:rPr>
          <w:rFonts w:hint="eastAsia"/>
          <w:szCs w:val="21"/>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rPr>
          <w:rFonts w:hint="eastAsia"/>
          <w:szCs w:val="21"/>
        </w:rPr>
      </w:pPr>
      <w:r>
        <w:rPr>
          <w:rFonts w:hint="eastAsia"/>
          <w:szCs w:val="21"/>
        </w:rPr>
        <w:t>在不影响上述条款规定的由采购人取得所有成果的知识产权的前提下，双方因履行本项目而被授权接触或使用对方之知识产权（包括但不限于商标、专利、著作权等），和</w:t>
      </w:r>
      <w:r>
        <w:rPr>
          <w:szCs w:val="21"/>
        </w:rPr>
        <w:t>/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ind w:firstLine="482"/>
        <w:rPr>
          <w:rFonts w:hint="eastAsia"/>
          <w:b/>
        </w:rPr>
      </w:pPr>
      <w:r>
        <w:rPr>
          <w:b/>
        </w:rPr>
        <w:t>2、项目保密要求</w:t>
      </w:r>
    </w:p>
    <w:p>
      <w:pPr>
        <w:rPr>
          <w:rFonts w:hint="eastAsia"/>
          <w:szCs w:val="21"/>
        </w:rPr>
      </w:pPr>
      <w:r>
        <w:rPr>
          <w:rFonts w:hint="eastAsia"/>
          <w:szCs w:val="21"/>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w:t>
      </w:r>
      <w:r>
        <w:rPr>
          <w:szCs w:val="21"/>
        </w:rPr>
        <w:t>/仲裁费、调查费、公证费等。</w:t>
      </w:r>
    </w:p>
    <w:p>
      <w:pPr>
        <w:rPr>
          <w:rFonts w:hint="eastAsia"/>
          <w:szCs w:val="21"/>
        </w:rPr>
      </w:pPr>
      <w:r>
        <w:rPr>
          <w:rFonts w:hint="eastAsia"/>
          <w:szCs w:val="21"/>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rPr>
          <w:rFonts w:hint="eastAsia"/>
          <w:szCs w:val="21"/>
        </w:rPr>
      </w:pPr>
      <w:r>
        <w:rPr>
          <w:rFonts w:hint="eastAsia"/>
          <w:szCs w:val="21"/>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rPr>
          <w:rFonts w:hint="eastAsia"/>
          <w:szCs w:val="21"/>
        </w:rPr>
      </w:pPr>
      <w:r>
        <w:rPr>
          <w:rFonts w:hint="eastAsia"/>
          <w:szCs w:val="21"/>
        </w:rPr>
        <w:t>以上内容的保密期限自中标人知悉保密信息起始至保密信息被合法公开之日止。</w:t>
      </w:r>
    </w:p>
    <w:p>
      <w:pPr>
        <w:ind w:firstLine="482"/>
        <w:rPr>
          <w:rFonts w:hint="eastAsia"/>
          <w:b/>
        </w:rPr>
      </w:pPr>
      <w:r>
        <w:rPr>
          <w:b/>
        </w:rPr>
        <w:t>3、临时账号等使用要求</w:t>
      </w:r>
    </w:p>
    <w:p>
      <w:pPr>
        <w:rPr>
          <w:rFonts w:hint="eastAsia"/>
          <w:szCs w:val="21"/>
        </w:rPr>
      </w:pPr>
      <w:r>
        <w:rPr>
          <w:rFonts w:hint="eastAsia"/>
          <w:szCs w:val="21"/>
        </w:rPr>
        <w:t>中标人对采购人提拱的临时使用账号要保密，不得公开，对组件开发的账号密码需进行加密，避免信息安全的泄露。未经采购人的同意不得利用采购人的网络及平台进行短信、彩信、微信发送</w:t>
      </w:r>
      <w:r>
        <w:rPr>
          <w:szCs w:val="21"/>
        </w:rPr>
        <w:t>,造成的一切后果由中标人负责。</w:t>
      </w:r>
    </w:p>
    <w:p>
      <w:pPr>
        <w:pStyle w:val="2"/>
        <w:rPr>
          <w:rFonts w:hint="eastAsia"/>
        </w:rPr>
      </w:pPr>
      <w:bookmarkStart w:id="42" w:name="_Toc65170093"/>
      <w:r>
        <w:t>项目的变更、解除和终止</w:t>
      </w:r>
    </w:p>
    <w:p>
      <w:pPr>
        <w:rPr>
          <w:rFonts w:hint="eastAsia"/>
          <w:szCs w:val="21"/>
        </w:rPr>
      </w:pPr>
      <w:r>
        <w:rPr>
          <w:rFonts w:hint="eastAsia"/>
          <w:szCs w:val="21"/>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rPr>
          <w:rFonts w:hint="eastAsia"/>
          <w:szCs w:val="21"/>
        </w:rPr>
      </w:pPr>
      <w:r>
        <w:rPr>
          <w:rFonts w:hint="eastAsia"/>
          <w:szCs w:val="21"/>
        </w:rPr>
        <w:t>如遇国家、行业管理部门等机构的有关标准和规定调整的，导致本项目内容须做相应调整时，双方应按照公平、合理的原则共同协商修改本项目对应的合同的相关条款。</w:t>
      </w:r>
    </w:p>
    <w:bookmarkEnd w:id="42"/>
    <w:p>
      <w:pPr>
        <w:pStyle w:val="2"/>
        <w:rPr>
          <w:rFonts w:hint="eastAsia"/>
        </w:rPr>
      </w:pPr>
      <w:bookmarkStart w:id="43" w:name="_Toc63785514"/>
      <w:r>
        <w:rPr>
          <w:rFonts w:hint="eastAsia"/>
        </w:rPr>
        <w:t>付款</w:t>
      </w:r>
      <w:bookmarkEnd w:id="43"/>
      <w:r>
        <w:rPr>
          <w:rFonts w:hint="eastAsia"/>
        </w:rPr>
        <w:t>方式</w:t>
      </w:r>
    </w:p>
    <w:p>
      <w:pPr>
        <w:rPr>
          <w:rFonts w:hint="eastAsia"/>
        </w:rPr>
      </w:pPr>
      <w:r>
        <w:rPr>
          <w:rFonts w:hint="eastAsia"/>
        </w:rPr>
        <w:t>本合同总金额按三期分期付款</w:t>
      </w:r>
    </w:p>
    <w:p>
      <w:pPr>
        <w:pStyle w:val="138"/>
        <w:spacing w:line="600" w:lineRule="exact"/>
        <w:ind w:firstLine="480"/>
        <w:rPr>
          <w:rFonts w:hint="eastAsia" w:ascii="宋体" w:hAnsi="宋体"/>
          <w:sz w:val="24"/>
          <w:szCs w:val="24"/>
        </w:rPr>
      </w:pPr>
      <w:r>
        <w:rPr>
          <w:rFonts w:hint="eastAsia" w:ascii="宋体" w:hAnsi="宋体"/>
          <w:sz w:val="24"/>
          <w:szCs w:val="24"/>
        </w:rPr>
        <w:t>1.合同签订生效后且甲方收到乙方开具的等额发票后的 10 个工作日内,支付合同金额的50%;</w:t>
      </w:r>
    </w:p>
    <w:p>
      <w:pPr>
        <w:pStyle w:val="138"/>
        <w:spacing w:line="600" w:lineRule="exact"/>
        <w:ind w:firstLine="480"/>
        <w:rPr>
          <w:rFonts w:hint="eastAsia" w:ascii="宋体" w:hAnsi="宋体"/>
          <w:sz w:val="24"/>
          <w:szCs w:val="24"/>
        </w:rPr>
      </w:pPr>
      <w:r>
        <w:rPr>
          <w:rFonts w:hint="eastAsia" w:ascii="宋体" w:hAnsi="宋体"/>
          <w:sz w:val="24"/>
          <w:szCs w:val="24"/>
        </w:rPr>
        <w:t>2.中期验收(即初验)通过且甲方收到约定的项目工作成果、乙方开具的等额发票后的 10个工作日内,支付合同款至 8,662,000元(若中标价低于8,662,000元,则支付至合同金额的80%);</w:t>
      </w:r>
    </w:p>
    <w:p>
      <w:pPr>
        <w:pStyle w:val="138"/>
        <w:spacing w:line="600" w:lineRule="exact"/>
        <w:ind w:firstLine="480"/>
        <w:rPr>
          <w:rFonts w:hint="eastAsia" w:ascii="宋体" w:hAnsi="宋体"/>
          <w:sz w:val="24"/>
          <w:szCs w:val="24"/>
        </w:rPr>
      </w:pPr>
      <w:r>
        <w:rPr>
          <w:rFonts w:hint="eastAsia" w:ascii="宋体" w:hAnsi="宋体"/>
          <w:sz w:val="24"/>
          <w:szCs w:val="24"/>
        </w:rPr>
        <w:t>3.通过最终验收且甲方收到约定的项目工作成果、乙方开具的等额发票后的 10 个工作日内,支付剩余合同款。</w:t>
      </w:r>
    </w:p>
    <w:p>
      <w:pPr>
        <w:pStyle w:val="138"/>
        <w:spacing w:line="600" w:lineRule="exact"/>
        <w:ind w:firstLine="480"/>
        <w:rPr>
          <w:rFonts w:hint="eastAsia" w:ascii="宋体" w:hAnsi="宋体"/>
          <w:sz w:val="24"/>
          <w:szCs w:val="24"/>
        </w:rPr>
      </w:pPr>
      <w:r>
        <w:rPr>
          <w:rFonts w:hint="eastAsia" w:ascii="宋体" w:hAnsi="宋体"/>
          <w:sz w:val="24"/>
          <w:szCs w:val="24"/>
        </w:rPr>
        <w:t>付款条件备注：服务提供方应当在采购方每次付款前提前至少10个工作</w:t>
      </w:r>
      <w:r>
        <w:rPr>
          <w:rFonts w:ascii="宋体" w:hAnsi="宋体"/>
          <w:sz w:val="24"/>
          <w:szCs w:val="24"/>
        </w:rPr>
        <w:t>日向采购方提供有效发票。</w:t>
      </w:r>
    </w:p>
    <w:p>
      <w:pPr>
        <w:rPr>
          <w:rFonts w:hint="eastAsia"/>
        </w:rPr>
      </w:pPr>
    </w:p>
    <w:sectPr>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37</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00000003"/>
    <w:multiLevelType w:val="multilevel"/>
    <w:tmpl w:val="00000003"/>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00000007"/>
    <w:multiLevelType w:val="singleLevel"/>
    <w:tmpl w:val="00000007"/>
    <w:lvl w:ilvl="0" w:tentative="0">
      <w:start w:val="1"/>
      <w:numFmt w:val="decimal"/>
      <w:lvlText w:val="%1)"/>
      <w:lvlJc w:val="left"/>
      <w:pPr>
        <w:ind w:left="425" w:hanging="425"/>
      </w:pPr>
      <w:rPr>
        <w:rFonts w:hint="default"/>
      </w:rPr>
    </w:lvl>
  </w:abstractNum>
  <w:abstractNum w:abstractNumId="4">
    <w:nsid w:val="1C117E7C"/>
    <w:multiLevelType w:val="multilevel"/>
    <w:tmpl w:val="1C117E7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081436B"/>
    <w:multiLevelType w:val="multilevel"/>
    <w:tmpl w:val="7081436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WEyMDk0ZGYwZWJlMGVkMzY5OTBmMzc3MTZiOTUifQ=="/>
  </w:docVars>
  <w:rsids>
    <w:rsidRoot w:val="00A11820"/>
    <w:rsid w:val="00007159"/>
    <w:rsid w:val="00032B6F"/>
    <w:rsid w:val="00040CB8"/>
    <w:rsid w:val="00053A25"/>
    <w:rsid w:val="0008435F"/>
    <w:rsid w:val="000A6739"/>
    <w:rsid w:val="000E48EE"/>
    <w:rsid w:val="001424E4"/>
    <w:rsid w:val="001457E5"/>
    <w:rsid w:val="0016565A"/>
    <w:rsid w:val="0016674C"/>
    <w:rsid w:val="00174110"/>
    <w:rsid w:val="001777B4"/>
    <w:rsid w:val="001B7501"/>
    <w:rsid w:val="001D089E"/>
    <w:rsid w:val="0021459D"/>
    <w:rsid w:val="00221D0C"/>
    <w:rsid w:val="002775B0"/>
    <w:rsid w:val="002A314E"/>
    <w:rsid w:val="002A4CEE"/>
    <w:rsid w:val="002B4744"/>
    <w:rsid w:val="003070E8"/>
    <w:rsid w:val="0032689C"/>
    <w:rsid w:val="00347DEE"/>
    <w:rsid w:val="00364CF0"/>
    <w:rsid w:val="00372F79"/>
    <w:rsid w:val="00383FB3"/>
    <w:rsid w:val="003C3352"/>
    <w:rsid w:val="00431314"/>
    <w:rsid w:val="00437CFA"/>
    <w:rsid w:val="00451C87"/>
    <w:rsid w:val="00451E31"/>
    <w:rsid w:val="00484FCB"/>
    <w:rsid w:val="004A737F"/>
    <w:rsid w:val="004E2892"/>
    <w:rsid w:val="004F35E9"/>
    <w:rsid w:val="00503272"/>
    <w:rsid w:val="005163AE"/>
    <w:rsid w:val="00517D4E"/>
    <w:rsid w:val="005227F1"/>
    <w:rsid w:val="005355F7"/>
    <w:rsid w:val="005366B7"/>
    <w:rsid w:val="00565CAA"/>
    <w:rsid w:val="00571F4D"/>
    <w:rsid w:val="005C7472"/>
    <w:rsid w:val="00644FBA"/>
    <w:rsid w:val="006645F2"/>
    <w:rsid w:val="006921F6"/>
    <w:rsid w:val="006A282D"/>
    <w:rsid w:val="006B70D5"/>
    <w:rsid w:val="006D3EEE"/>
    <w:rsid w:val="006E43FA"/>
    <w:rsid w:val="00722DBF"/>
    <w:rsid w:val="007235A4"/>
    <w:rsid w:val="00750DFC"/>
    <w:rsid w:val="00763607"/>
    <w:rsid w:val="00766EC4"/>
    <w:rsid w:val="00773F35"/>
    <w:rsid w:val="0077479D"/>
    <w:rsid w:val="007B4511"/>
    <w:rsid w:val="007C1AC5"/>
    <w:rsid w:val="007C3020"/>
    <w:rsid w:val="007E189F"/>
    <w:rsid w:val="007F5702"/>
    <w:rsid w:val="00805B7D"/>
    <w:rsid w:val="00812392"/>
    <w:rsid w:val="00817574"/>
    <w:rsid w:val="00831D55"/>
    <w:rsid w:val="00834332"/>
    <w:rsid w:val="00851AE5"/>
    <w:rsid w:val="008717F9"/>
    <w:rsid w:val="0089740A"/>
    <w:rsid w:val="008A1043"/>
    <w:rsid w:val="008B6CFE"/>
    <w:rsid w:val="008D0158"/>
    <w:rsid w:val="008D4183"/>
    <w:rsid w:val="008D610D"/>
    <w:rsid w:val="008F1FFF"/>
    <w:rsid w:val="0090231D"/>
    <w:rsid w:val="0092527C"/>
    <w:rsid w:val="00925CE9"/>
    <w:rsid w:val="00934B10"/>
    <w:rsid w:val="00987D83"/>
    <w:rsid w:val="009A52A2"/>
    <w:rsid w:val="009A7BA8"/>
    <w:rsid w:val="009B6376"/>
    <w:rsid w:val="009C0E07"/>
    <w:rsid w:val="009D4F2B"/>
    <w:rsid w:val="009E0746"/>
    <w:rsid w:val="009F1B44"/>
    <w:rsid w:val="00A11820"/>
    <w:rsid w:val="00A328E8"/>
    <w:rsid w:val="00A6741A"/>
    <w:rsid w:val="00AA6D0A"/>
    <w:rsid w:val="00AC6FE0"/>
    <w:rsid w:val="00AD2364"/>
    <w:rsid w:val="00AF2B06"/>
    <w:rsid w:val="00B101FF"/>
    <w:rsid w:val="00B12BCE"/>
    <w:rsid w:val="00B1797E"/>
    <w:rsid w:val="00B26043"/>
    <w:rsid w:val="00B33CA6"/>
    <w:rsid w:val="00B56B77"/>
    <w:rsid w:val="00B67BE8"/>
    <w:rsid w:val="00B74DF6"/>
    <w:rsid w:val="00B845B9"/>
    <w:rsid w:val="00B86279"/>
    <w:rsid w:val="00BA4351"/>
    <w:rsid w:val="00BB3AAB"/>
    <w:rsid w:val="00BE2E3B"/>
    <w:rsid w:val="00C24D60"/>
    <w:rsid w:val="00C74A00"/>
    <w:rsid w:val="00C7721D"/>
    <w:rsid w:val="00CC5B0C"/>
    <w:rsid w:val="00CC6CB5"/>
    <w:rsid w:val="00CD4834"/>
    <w:rsid w:val="00CF02BB"/>
    <w:rsid w:val="00CF18B9"/>
    <w:rsid w:val="00D03861"/>
    <w:rsid w:val="00D059D8"/>
    <w:rsid w:val="00D0641A"/>
    <w:rsid w:val="00D21093"/>
    <w:rsid w:val="00D30FB6"/>
    <w:rsid w:val="00D32DE9"/>
    <w:rsid w:val="00D54C52"/>
    <w:rsid w:val="00D63402"/>
    <w:rsid w:val="00D75B88"/>
    <w:rsid w:val="00D77361"/>
    <w:rsid w:val="00D86B61"/>
    <w:rsid w:val="00DB24F1"/>
    <w:rsid w:val="00DD59F3"/>
    <w:rsid w:val="00DE0466"/>
    <w:rsid w:val="00E123E4"/>
    <w:rsid w:val="00E14EA0"/>
    <w:rsid w:val="00E26BFB"/>
    <w:rsid w:val="00E34872"/>
    <w:rsid w:val="00E35C24"/>
    <w:rsid w:val="00E56219"/>
    <w:rsid w:val="00E941D5"/>
    <w:rsid w:val="00F11B63"/>
    <w:rsid w:val="00F20D6F"/>
    <w:rsid w:val="00F221AE"/>
    <w:rsid w:val="00F5281A"/>
    <w:rsid w:val="00F5380B"/>
    <w:rsid w:val="00F97834"/>
    <w:rsid w:val="00FA2AC2"/>
    <w:rsid w:val="00FB36A7"/>
    <w:rsid w:val="00FE0408"/>
    <w:rsid w:val="00FE150B"/>
    <w:rsid w:val="00FE1516"/>
    <w:rsid w:val="00FF2083"/>
    <w:rsid w:val="23F64B02"/>
    <w:rsid w:val="43766457"/>
    <w:rsid w:val="57DEEC31"/>
    <w:rsid w:val="57DF41F7"/>
    <w:rsid w:val="64491ACB"/>
    <w:rsid w:val="6BA61D75"/>
    <w:rsid w:val="6BAB2A53"/>
    <w:rsid w:val="6FDE1B96"/>
    <w:rsid w:val="716438CD"/>
    <w:rsid w:val="7F6F5331"/>
    <w:rsid w:val="D4EF29F5"/>
    <w:rsid w:val="EFBB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unhideWhenUsed/>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unhideWhenUsed/>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unhideWhenUsed/>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unhideWhenUsed/>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unhideWhenUsed/>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等线" w:hAnsi="等线" w:eastAsia="等线"/>
      <w:szCs w:val="22"/>
    </w:rPr>
  </w:style>
  <w:style w:type="paragraph" w:styleId="12">
    <w:name w:val="Normal Indent"/>
    <w:basedOn w:val="1"/>
    <w:qFormat/>
    <w:uiPriority w:val="99"/>
    <w:pPr>
      <w:spacing w:line="240" w:lineRule="auto"/>
      <w:ind w:firstLine="420"/>
    </w:pPr>
    <w:rPr>
      <w:rFonts w:ascii="Calibri" w:hAnsi="Calibri"/>
      <w:sz w:val="21"/>
    </w:rPr>
  </w:style>
  <w:style w:type="paragraph" w:styleId="13">
    <w:name w:val="caption"/>
    <w:basedOn w:val="1"/>
    <w:next w:val="1"/>
    <w:link w:val="54"/>
    <w:qFormat/>
    <w:uiPriority w:val="35"/>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99"/>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qFormat/>
    <w:uiPriority w:val="39"/>
    <w:pPr>
      <w:ind w:left="1260" w:leftChars="600"/>
    </w:pPr>
    <w:rPr>
      <w:rFonts w:ascii="等线" w:hAnsi="等线" w:eastAsia="等线"/>
      <w:szCs w:val="22"/>
    </w:rPr>
  </w:style>
  <w:style w:type="paragraph" w:styleId="28">
    <w:name w:val="Subtitle"/>
    <w:basedOn w:val="1"/>
    <w:next w:val="1"/>
    <w:link w:val="87"/>
    <w:qFormat/>
    <w:uiPriority w:val="11"/>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1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qFormat/>
    <w:uiPriority w:val="9"/>
    <w:rPr>
      <w:rFonts w:ascii="宋体" w:hAnsi="宋体"/>
      <w:b/>
      <w:bCs/>
      <w:kern w:val="2"/>
      <w:sz w:val="28"/>
      <w:szCs w:val="28"/>
    </w:rPr>
  </w:style>
  <w:style w:type="character" w:customStyle="1" w:styleId="54">
    <w:name w:val="题注 字符"/>
    <w:link w:val="13"/>
    <w:qFormat/>
    <w:uiPriority w:val="0"/>
    <w:rPr>
      <w:rFonts w:ascii="Arial" w:hAnsi="Arial" w:eastAsia="黑体"/>
      <w:kern w:val="2"/>
    </w:rPr>
  </w:style>
  <w:style w:type="character" w:customStyle="1" w:styleId="55">
    <w:name w:val="标题 2 字符"/>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qFormat/>
    <w:uiPriority w:val="99"/>
    <w:rPr>
      <w:rFonts w:ascii="宋体" w:hAnsi="宋体"/>
      <w:kern w:val="2"/>
      <w:sz w:val="24"/>
      <w:szCs w:val="24"/>
    </w:rPr>
  </w:style>
  <w:style w:type="character" w:customStyle="1" w:styleId="66">
    <w:name w:val="纯文本 字符1"/>
    <w:link w:val="20"/>
    <w:qFormat/>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qFormat/>
    <w:uiPriority w:val="99"/>
    <w:rPr>
      <w:rFonts w:ascii="Microsoft YaHei UI" w:hAnsi="宋体" w:eastAsia="Microsoft YaHei UI"/>
      <w:kern w:val="2"/>
      <w:sz w:val="18"/>
      <w:szCs w:val="18"/>
    </w:rPr>
  </w:style>
  <w:style w:type="character" w:customStyle="1" w:styleId="78">
    <w:name w:val="标题 6 字符"/>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0"/>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5"/>
    <w:qFormat/>
    <w:uiPriority w:val="0"/>
    <w:pPr>
      <w:ind w:firstLine="560"/>
    </w:pPr>
    <w:rPr>
      <w:rFonts w:ascii="仿宋" w:hAnsi="仿宋" w:eastAsia="仿宋" w:cs="宋体"/>
      <w:color w:val="000000"/>
      <w:kern w:val="0"/>
      <w:sz w:val="28"/>
      <w:szCs w:val="28"/>
    </w:rPr>
  </w:style>
  <w:style w:type="character" w:customStyle="1" w:styleId="135">
    <w:name w:val="可研正文 Char"/>
    <w:link w:val="134"/>
    <w:qFormat/>
    <w:uiPriority w:val="0"/>
    <w:rPr>
      <w:rFonts w:ascii="仿宋" w:hAnsi="仿宋" w:eastAsia="仿宋" w:cs="宋体"/>
      <w:color w:val="000000"/>
      <w:sz w:val="28"/>
      <w:szCs w:val="28"/>
    </w:rPr>
  </w:style>
  <w:style w:type="character" w:customStyle="1" w:styleId="136">
    <w:name w:val="fontstyle01"/>
    <w:basedOn w:val="37"/>
    <w:qFormat/>
    <w:uiPriority w:val="0"/>
    <w:rPr>
      <w:rFonts w:hint="eastAsia" w:ascii="仿宋" w:hAnsi="仿宋" w:eastAsia="仿宋"/>
      <w:color w:val="000000"/>
      <w:sz w:val="20"/>
      <w:szCs w:val="20"/>
    </w:rPr>
  </w:style>
  <w:style w:type="table" w:customStyle="1" w:styleId="137">
    <w:name w:val="网格型2"/>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列出段落1"/>
    <w:basedOn w:val="1"/>
    <w:autoRedefine/>
    <w:qFormat/>
    <w:uiPriority w:val="34"/>
    <w:pPr>
      <w:spacing w:line="240" w:lineRule="auto"/>
      <w:ind w:firstLine="420"/>
    </w:pPr>
    <w:rPr>
      <w:rFonts w:ascii="Calibri" w:hAnsi="Calibri"/>
      <w:sz w:val="21"/>
      <w:szCs w:val="22"/>
    </w:rPr>
  </w:style>
  <w:style w:type="paragraph" w:customStyle="1" w:styleId="139">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mcd="http://www.wps.cn/android/officeDocument/2013/mofficeCustomData" version="2">
  <mcd:comments xmlns:mcd="http://www.wps.cn/android/officeDocument/2013/mofficeCustomData"/>
</mcd:customData>
</file>

<file path=customXml/item2.xml><?xml version="1.0" encoding="utf-8"?>
<b:Sources xmlns:b="http://schemas.openxmlformats.org/officeDocument/2006/bibliography" StyleName="APA" SelectedStyle="\APASixthEditionOfficeOnline.xsl" Version="6"/>
</file>

<file path=customXml/item3.xml><?xml version="1.0" encoding="utf-8"?>
<mcd:customData xmlns:mcd="http://www.wps.cn/android/officeDocument/2013/mofficeCustomData" version="2">
  <mcd:comments xmlns:mcd="http://www.wps.cn/android/officeDocument/2013/mofficeCustomData"/>
</mcd:customData>
</file>

<file path=customXml/item4.xml><?xml version="1.0" encoding="utf-8"?>
<mcd:customData xmlns:mcd="http://www.wps.cn/android/officeDocument/2013/mofficeCustomData" version="2">
  <mcd:comments xmlns:mcd="http://www.wps.cn/android/officeDocument/2013/mofficeCustomData"/>
</mcd:customData>
</file>

<file path=customXml/item5.xml><?xml version="1.0" encoding="utf-8"?>
<mcd:customData xmlns:mcd="http://www.wps.cn/android/officeDocument/2013/mofficeCustomData" version="2">
  <mcd:comments xmlns:mcd="http://www.wps.cn/android/officeDocument/2013/mofficeCustomData"/>
</mcd:customData>
</file>

<file path=customXml/item6.xml><?xml version="1.0" encoding="utf-8"?>
<mcd:customData xmlns:mcd="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5E27F92A-AEC9-4A5E-837F-5746E54D7BDC}">
  <ds:schemaRefs/>
</ds:datastoreItem>
</file>

<file path=customXml/itemProps2.xml><?xml version="1.0" encoding="utf-8"?>
<ds:datastoreItem xmlns:ds="http://schemas.openxmlformats.org/officeDocument/2006/customXml" ds:itemID="{3F473A13-A687-4154-8F37-174D466B7FEE}">
  <ds:schemaRefs/>
</ds:datastoreItem>
</file>

<file path=customXml/itemProps3.xml><?xml version="1.0" encoding="utf-8"?>
<ds:datastoreItem xmlns:ds="http://schemas.openxmlformats.org/officeDocument/2006/customXml" ds:itemID="{3578E023-23DB-4A22-9B4F-902B59DEE67C}">
  <ds:schemaRefs/>
</ds:datastoreItem>
</file>

<file path=customXml/itemProps4.xml><?xml version="1.0" encoding="utf-8"?>
<ds:datastoreItem xmlns:ds="http://schemas.openxmlformats.org/officeDocument/2006/customXml" ds:itemID="{DBB884CE-AAAC-48C4-8738-3AC9DF5EC3BD}">
  <ds:schemaRefs/>
</ds:datastoreItem>
</file>

<file path=customXml/itemProps5.xml><?xml version="1.0" encoding="utf-8"?>
<ds:datastoreItem xmlns:ds="http://schemas.openxmlformats.org/officeDocument/2006/customXml" ds:itemID="{66FF834F-8939-4A8D-A0C3-E219FE99049F}">
  <ds:schemaRefs/>
</ds:datastoreItem>
</file>

<file path=customXml/itemProps6.xml><?xml version="1.0" encoding="utf-8"?>
<ds:datastoreItem xmlns:ds="http://schemas.openxmlformats.org/officeDocument/2006/customXml" ds:itemID="{88A3188B-FE8C-4DE8-B816-199F1FB380A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48</Pages>
  <Words>6160</Words>
  <Characters>35113</Characters>
  <Lines>292</Lines>
  <Paragraphs>82</Paragraphs>
  <TotalTime>3</TotalTime>
  <ScaleCrop>false</ScaleCrop>
  <LinksUpToDate>false</LinksUpToDate>
  <CharactersWithSpaces>41191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2025-12-30T16:09:00Z</dcterms:created>
  <dc:creator>gtig_tzb</dc:creator>
  <cp:lastModifiedBy>朱  晨</cp:lastModifiedBy>
  <cp:lastPrinted>2020-08-08T12:08:00Z</cp:lastPrinted>
  <dcterms:modified xsi:type="dcterms:W3CDTF">2025-12-31T09:09:03Z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C296C05FAA8A9A3AAF7754696DF3BE92_43</vt:lpwstr>
  </property>
</Properties>
</file>