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84061F">
      <w:pPr>
        <w:ind w:firstLine="0" w:firstLineChars="0"/>
        <w:jc w:val="center"/>
        <w:rPr>
          <w:rFonts w:hint="eastAsia" w:ascii="黑体" w:hAnsi="黑体" w:eastAsia="黑体"/>
          <w:sz w:val="48"/>
          <w:szCs w:val="48"/>
        </w:rPr>
      </w:pPr>
    </w:p>
    <w:p w14:paraId="340C35FF">
      <w:pPr>
        <w:ind w:firstLine="0" w:firstLineChars="0"/>
        <w:jc w:val="center"/>
        <w:rPr>
          <w:rFonts w:hint="eastAsia" w:ascii="黑体" w:hAnsi="黑体" w:eastAsia="黑体"/>
          <w:sz w:val="48"/>
          <w:szCs w:val="48"/>
        </w:rPr>
      </w:pPr>
    </w:p>
    <w:p w14:paraId="435410CA">
      <w:pPr>
        <w:ind w:firstLine="0" w:firstLineChars="0"/>
        <w:jc w:val="center"/>
        <w:rPr>
          <w:rFonts w:hint="eastAsia" w:ascii="黑体" w:hAnsi="黑体" w:eastAsia="黑体"/>
          <w:sz w:val="52"/>
          <w:szCs w:val="52"/>
        </w:rPr>
      </w:pPr>
      <w:r>
        <w:rPr>
          <w:rFonts w:hint="eastAsia" w:ascii="黑体" w:hAnsi="黑体" w:eastAsia="黑体"/>
          <w:sz w:val="52"/>
          <w:szCs w:val="52"/>
        </w:rPr>
        <w:t>生态环境政务服务大系统建设项目</w:t>
      </w:r>
    </w:p>
    <w:p w14:paraId="39F216FC">
      <w:pPr>
        <w:ind w:firstLine="0" w:firstLineChars="0"/>
        <w:jc w:val="center"/>
        <w:rPr>
          <w:rFonts w:hint="eastAsia" w:ascii="黑体" w:hAnsi="黑体" w:eastAsia="黑体"/>
          <w:sz w:val="52"/>
          <w:szCs w:val="52"/>
        </w:rPr>
      </w:pPr>
      <w:r>
        <w:rPr>
          <w:rFonts w:hint="eastAsia" w:ascii="黑体" w:hAnsi="黑体" w:eastAsia="黑体"/>
          <w:sz w:val="52"/>
          <w:szCs w:val="52"/>
        </w:rPr>
        <w:t>（2026年升级改造）</w:t>
      </w:r>
    </w:p>
    <w:p w14:paraId="71326B23">
      <w:pPr>
        <w:ind w:firstLine="0" w:firstLineChars="0"/>
        <w:jc w:val="center"/>
        <w:rPr>
          <w:rFonts w:hint="eastAsia" w:ascii="黑体" w:hAnsi="黑体" w:eastAsia="黑体"/>
          <w:sz w:val="52"/>
          <w:szCs w:val="52"/>
        </w:rPr>
      </w:pPr>
      <w:r>
        <w:rPr>
          <w:rFonts w:hint="eastAsia" w:ascii="黑体" w:hAnsi="黑体" w:eastAsia="黑体"/>
          <w:sz w:val="52"/>
          <w:szCs w:val="52"/>
        </w:rPr>
        <w:t>采购需求</w:t>
      </w:r>
    </w:p>
    <w:p w14:paraId="02609BED">
      <w:pPr>
        <w:ind w:firstLine="0" w:firstLineChars="0"/>
        <w:jc w:val="center"/>
        <w:rPr>
          <w:rFonts w:hint="eastAsia" w:ascii="黑体" w:hAnsi="黑体" w:eastAsia="黑体"/>
          <w:sz w:val="72"/>
          <w:szCs w:val="72"/>
        </w:rPr>
      </w:pPr>
    </w:p>
    <w:p w14:paraId="7AD3A0A9">
      <w:pPr>
        <w:ind w:firstLine="0" w:firstLineChars="0"/>
        <w:jc w:val="center"/>
        <w:rPr>
          <w:rFonts w:hint="eastAsia" w:ascii="黑体" w:hAnsi="黑体" w:eastAsia="黑体"/>
          <w:sz w:val="48"/>
          <w:szCs w:val="48"/>
        </w:rPr>
      </w:pPr>
    </w:p>
    <w:p w14:paraId="5539E8F2">
      <w:pPr>
        <w:ind w:firstLine="0" w:firstLineChars="0"/>
        <w:jc w:val="center"/>
        <w:rPr>
          <w:rFonts w:hint="eastAsia" w:ascii="黑体" w:hAnsi="黑体" w:eastAsia="黑体"/>
          <w:sz w:val="52"/>
          <w:szCs w:val="52"/>
        </w:rPr>
      </w:pPr>
    </w:p>
    <w:p w14:paraId="1D429231">
      <w:pPr>
        <w:ind w:firstLine="1040"/>
        <w:rPr>
          <w:rFonts w:hint="eastAsia" w:ascii="黑体" w:hAnsi="黑体" w:eastAsia="黑体"/>
          <w:sz w:val="52"/>
          <w:szCs w:val="52"/>
        </w:rPr>
      </w:pPr>
    </w:p>
    <w:p w14:paraId="01ECF23C">
      <w:pPr>
        <w:rPr>
          <w:rFonts w:hint="eastAsia"/>
        </w:rPr>
      </w:pPr>
    </w:p>
    <w:p w14:paraId="6A8EC77F">
      <w:pPr>
        <w:rPr>
          <w:rFonts w:hint="eastAsia"/>
        </w:rPr>
      </w:pPr>
    </w:p>
    <w:p w14:paraId="515BDF10">
      <w:pPr>
        <w:rPr>
          <w:rFonts w:hint="eastAsia"/>
        </w:rPr>
      </w:pPr>
    </w:p>
    <w:p w14:paraId="28813771">
      <w:pPr>
        <w:rPr>
          <w:rFonts w:hint="eastAsia"/>
        </w:rPr>
      </w:pPr>
    </w:p>
    <w:p w14:paraId="0C663F4A">
      <w:pPr>
        <w:rPr>
          <w:rFonts w:hint="eastAsia"/>
        </w:rPr>
      </w:pPr>
    </w:p>
    <w:p w14:paraId="1D942159">
      <w:pPr>
        <w:ind w:firstLine="1040"/>
        <w:rPr>
          <w:rFonts w:hint="eastAsia" w:ascii="黑体" w:hAnsi="黑体" w:eastAsia="黑体"/>
          <w:sz w:val="52"/>
          <w:szCs w:val="52"/>
        </w:rPr>
      </w:pPr>
    </w:p>
    <w:p w14:paraId="149562E8">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79A59102">
      <w:pPr>
        <w:pStyle w:val="2"/>
        <w:rPr>
          <w:rFonts w:hint="eastAsia"/>
        </w:rPr>
      </w:pPr>
      <w:bookmarkStart w:id="0" w:name="_Toc63785461"/>
      <w:r>
        <w:rPr>
          <w:rFonts w:hint="eastAsia"/>
        </w:rPr>
        <w:t>项目概况</w:t>
      </w:r>
      <w:bookmarkEnd w:id="0"/>
    </w:p>
    <w:p w14:paraId="396F9BF6">
      <w:pPr>
        <w:spacing w:line="560" w:lineRule="exact"/>
        <w:rPr>
          <w:rFonts w:hint="eastAsia"/>
        </w:rPr>
      </w:pPr>
      <w:r>
        <w:rPr>
          <w:rFonts w:hint="eastAsia"/>
        </w:rPr>
        <w:t>项目背景&amp;现状：为贯彻落实党中央、国务院关于进一步优化政务服务提升行政效能推动“高效办成一件事”的决策部署，健全“高效办成一件事”常态化推进机制，持续深化“一网通办”“智慧好办”，加快“人工智能+政务服务”改革，提高政策服务整体性、清晰性、便利性，更好地服务经济社会高质量发展，对上海市生态环境局一网通办改革提出新的工作要求。上海市生态环境局将继续深化政务服务模式创新，加强政务服务渠道建设，优化惠企政策全流程服务，强化政务服务数智赋能，健全政务服务效能调度机制。推进生态环境领域事项关联集成办、政策服务免申办、容缺事项承诺办、异地事项跨域办等服务，全面提升生态环境政务整体性、清晰性和便利性。</w:t>
      </w:r>
    </w:p>
    <w:p w14:paraId="19CDE47D">
      <w:pPr>
        <w:spacing w:line="560" w:lineRule="exact"/>
        <w:rPr>
          <w:rFonts w:hint="eastAsia"/>
        </w:rPr>
      </w:pPr>
      <w:r>
        <w:rPr>
          <w:rFonts w:hint="eastAsia"/>
        </w:rPr>
        <w:t>建设期限：自合同签订之日起至2026年11月30日前</w:t>
      </w:r>
    </w:p>
    <w:p w14:paraId="64EEAC3A">
      <w:pPr>
        <w:spacing w:line="560" w:lineRule="exact"/>
        <w:rPr>
          <w:rFonts w:hint="eastAsia"/>
        </w:rPr>
      </w:pPr>
      <w:r>
        <w:rPr>
          <w:rFonts w:hint="eastAsia"/>
        </w:rPr>
        <w:t>建设地点：上海市生态环境局</w:t>
      </w:r>
    </w:p>
    <w:p w14:paraId="75693646">
      <w:pPr>
        <w:rPr>
          <w:rFonts w:hint="eastAsia"/>
        </w:rPr>
      </w:pPr>
      <w:r>
        <w:t>是否按</w:t>
      </w:r>
      <w:r>
        <w:rPr>
          <w:rFonts w:hint="eastAsia"/>
          <w:lang w:eastAsia="zh-CN"/>
        </w:rPr>
        <w:t>XC</w:t>
      </w:r>
      <w:r>
        <w:t>要求建设：是</w:t>
      </w:r>
    </w:p>
    <w:p w14:paraId="12FCBD44">
      <w:pPr>
        <w:rPr>
          <w:rFonts w:hint="eastAsia"/>
        </w:rPr>
      </w:pPr>
      <w:r>
        <w:rPr>
          <w:rFonts w:hint="eastAsia"/>
        </w:rPr>
        <w:t>运维后所属大系统：生态环境政务服务大系统</w:t>
      </w:r>
    </w:p>
    <w:p w14:paraId="3EB8D20A">
      <w:pPr>
        <w:pStyle w:val="2"/>
        <w:rPr>
          <w:rFonts w:hint="eastAsia"/>
        </w:rPr>
      </w:pPr>
      <w:bookmarkStart w:id="1" w:name="_Toc47533256"/>
      <w:bookmarkEnd w:id="1"/>
      <w:bookmarkStart w:id="2" w:name="_Toc47531634"/>
      <w:bookmarkEnd w:id="2"/>
      <w:bookmarkStart w:id="3" w:name="_Toc47536644"/>
      <w:bookmarkEnd w:id="3"/>
      <w:bookmarkStart w:id="4" w:name="_Toc47537134"/>
      <w:bookmarkEnd w:id="4"/>
      <w:bookmarkStart w:id="5" w:name="_Toc47536272"/>
      <w:bookmarkEnd w:id="5"/>
      <w:bookmarkStart w:id="6" w:name="_Toc47539070"/>
      <w:bookmarkEnd w:id="6"/>
      <w:bookmarkStart w:id="7" w:name="_Toc47532891"/>
      <w:bookmarkEnd w:id="7"/>
      <w:bookmarkStart w:id="8" w:name="_Toc47532255"/>
      <w:bookmarkEnd w:id="8"/>
      <w:bookmarkStart w:id="9" w:name="_Toc48223882"/>
      <w:bookmarkStart w:id="10" w:name="_Toc63785463"/>
      <w:r>
        <w:rPr>
          <w:rFonts w:hint="eastAsia"/>
        </w:rPr>
        <w:t>建设目标</w:t>
      </w:r>
      <w:bookmarkEnd w:id="9"/>
      <w:bookmarkEnd w:id="10"/>
    </w:p>
    <w:p w14:paraId="677436CC">
      <w:pPr>
        <w:rPr>
          <w:rFonts w:hint="eastAsia"/>
        </w:rPr>
      </w:pPr>
      <w:r>
        <w:rPr>
          <w:rFonts w:hint="eastAsia"/>
        </w:rPr>
        <w:t xml:space="preserve">本项目旨在打造“智能协同、数据融合、服务精准”的生态环境一体化政务服务平台，全面提升生态环境综合服务能力。实现：  </w:t>
      </w:r>
    </w:p>
    <w:p w14:paraId="2686FEFD">
      <w:pPr>
        <w:rPr>
          <w:rFonts w:hint="eastAsia"/>
        </w:rPr>
      </w:pPr>
      <w:r>
        <w:rPr>
          <w:rFonts w:hint="eastAsia"/>
        </w:rPr>
        <w:t xml:space="preserve">‌协同办‌：整合环保审批等跨部门业务流程，推行生态环境关联事项集成办；  </w:t>
      </w:r>
    </w:p>
    <w:p w14:paraId="329283E9">
      <w:pPr>
        <w:rPr>
          <w:rFonts w:hint="eastAsia"/>
        </w:rPr>
      </w:pPr>
      <w:r>
        <w:rPr>
          <w:rFonts w:hint="eastAsia"/>
        </w:rPr>
        <w:t xml:space="preserve">‌免申办‌：持续扩大生态环境领域免申即享服务场景覆盖范围，新增碳普惠减排项目申报“免申即享”服务；  </w:t>
      </w:r>
    </w:p>
    <w:p w14:paraId="56B1842A">
      <w:pPr>
        <w:rPr>
          <w:rFonts w:hint="eastAsia"/>
        </w:rPr>
      </w:pPr>
      <w:r>
        <w:rPr>
          <w:rFonts w:hint="eastAsia"/>
        </w:rPr>
        <w:t>‌智慧办‌：优化智能申报、智能评审等辅助决策模块，如危险废物跨省转移审批增加合规性自动审查、技术评估自动打分等功能，提升审批效率。</w:t>
      </w:r>
    </w:p>
    <w:p w14:paraId="0C4D1CB1">
      <w:pPr>
        <w:rPr>
          <w:rFonts w:hint="eastAsia"/>
        </w:rPr>
      </w:pPr>
      <w:r>
        <w:rPr>
          <w:rFonts w:hint="eastAsia"/>
        </w:rPr>
        <w:t>项目规划考核指标如下表所示：</w:t>
      </w:r>
    </w:p>
    <w:tbl>
      <w:tblPr>
        <w:tblStyle w:val="35"/>
        <w:tblW w:w="8314"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754"/>
        <w:gridCol w:w="1615"/>
        <w:gridCol w:w="3457"/>
        <w:gridCol w:w="1543"/>
      </w:tblGrid>
      <w:tr w14:paraId="68AC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Align w:val="center"/>
          </w:tcPr>
          <w:p w14:paraId="5AD2CC16">
            <w:pPr>
              <w:pStyle w:val="134"/>
            </w:pPr>
            <w:r>
              <w:rPr>
                <w:rFonts w:hint="eastAsia"/>
                <w:lang w:bidi="ar"/>
              </w:rPr>
              <w:t>一级指标</w:t>
            </w:r>
          </w:p>
        </w:tc>
        <w:tc>
          <w:tcPr>
            <w:tcW w:w="754" w:type="dxa"/>
            <w:vAlign w:val="center"/>
          </w:tcPr>
          <w:p w14:paraId="2B3B4907">
            <w:pPr>
              <w:pStyle w:val="134"/>
            </w:pPr>
            <w:r>
              <w:rPr>
                <w:rFonts w:hint="eastAsia"/>
                <w:lang w:bidi="ar"/>
              </w:rPr>
              <w:t>二级指标</w:t>
            </w:r>
          </w:p>
        </w:tc>
        <w:tc>
          <w:tcPr>
            <w:tcW w:w="1615" w:type="dxa"/>
            <w:vAlign w:val="center"/>
          </w:tcPr>
          <w:p w14:paraId="437996CD">
            <w:pPr>
              <w:pStyle w:val="134"/>
            </w:pPr>
            <w:r>
              <w:rPr>
                <w:rFonts w:hint="eastAsia"/>
                <w:lang w:bidi="ar"/>
              </w:rPr>
              <w:t>三级指标</w:t>
            </w:r>
          </w:p>
        </w:tc>
        <w:tc>
          <w:tcPr>
            <w:tcW w:w="3457" w:type="dxa"/>
            <w:vAlign w:val="center"/>
          </w:tcPr>
          <w:p w14:paraId="577BB3E4">
            <w:pPr>
              <w:pStyle w:val="134"/>
            </w:pPr>
            <w:r>
              <w:rPr>
                <w:rFonts w:hint="eastAsia"/>
                <w:lang w:bidi="ar"/>
              </w:rPr>
              <w:t>四级指标</w:t>
            </w:r>
          </w:p>
        </w:tc>
        <w:tc>
          <w:tcPr>
            <w:tcW w:w="1543" w:type="dxa"/>
            <w:vAlign w:val="center"/>
          </w:tcPr>
          <w:p w14:paraId="671CF7B6">
            <w:pPr>
              <w:pStyle w:val="134"/>
            </w:pPr>
            <w:r>
              <w:rPr>
                <w:rFonts w:hint="eastAsia"/>
                <w:lang w:bidi="ar"/>
              </w:rPr>
              <w:t>目标值</w:t>
            </w:r>
          </w:p>
        </w:tc>
      </w:tr>
      <w:tr w14:paraId="192D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restart"/>
            <w:vAlign w:val="center"/>
          </w:tcPr>
          <w:p w14:paraId="54B2BD22">
            <w:pPr>
              <w:pStyle w:val="134"/>
            </w:pPr>
            <w:r>
              <w:rPr>
                <w:rFonts w:hint="eastAsia"/>
                <w:lang w:bidi="ar"/>
              </w:rPr>
              <w:t>通用指标</w:t>
            </w:r>
          </w:p>
        </w:tc>
        <w:tc>
          <w:tcPr>
            <w:tcW w:w="754" w:type="dxa"/>
            <w:vMerge w:val="restart"/>
            <w:vAlign w:val="center"/>
          </w:tcPr>
          <w:p w14:paraId="7CE2AEA7">
            <w:pPr>
              <w:pStyle w:val="134"/>
            </w:pPr>
            <w:r>
              <w:rPr>
                <w:rFonts w:hint="eastAsia"/>
              </w:rPr>
              <w:t>产出指标</w:t>
            </w:r>
          </w:p>
        </w:tc>
        <w:tc>
          <w:tcPr>
            <w:tcW w:w="1615" w:type="dxa"/>
            <w:vAlign w:val="center"/>
          </w:tcPr>
          <w:p w14:paraId="28AB4AC1">
            <w:pPr>
              <w:pStyle w:val="134"/>
            </w:pPr>
            <w:r>
              <w:rPr>
                <w:rFonts w:hint="eastAsia"/>
                <w:lang w:bidi="ar"/>
              </w:rPr>
              <w:t>产出数量</w:t>
            </w:r>
          </w:p>
        </w:tc>
        <w:tc>
          <w:tcPr>
            <w:tcW w:w="3457" w:type="dxa"/>
            <w:vAlign w:val="center"/>
          </w:tcPr>
          <w:p w14:paraId="5B82B52C">
            <w:pPr>
              <w:pStyle w:val="134"/>
            </w:pPr>
            <w:r>
              <w:rPr>
                <w:rFonts w:hint="eastAsia"/>
                <w:lang w:bidi="ar"/>
              </w:rPr>
              <w:t>软件开发完成率</w:t>
            </w:r>
          </w:p>
        </w:tc>
        <w:tc>
          <w:tcPr>
            <w:tcW w:w="1543" w:type="dxa"/>
            <w:vAlign w:val="center"/>
          </w:tcPr>
          <w:p w14:paraId="6BF5A575">
            <w:pPr>
              <w:pStyle w:val="134"/>
            </w:pPr>
            <w:r>
              <w:rPr>
                <w:rFonts w:hint="eastAsia"/>
                <w:lang w:bidi="ar"/>
              </w:rPr>
              <w:t>=100</w:t>
            </w:r>
          </w:p>
        </w:tc>
      </w:tr>
      <w:tr w14:paraId="7073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0D601D80">
            <w:pPr>
              <w:pStyle w:val="134"/>
            </w:pPr>
            <w:r>
              <w:rPr>
                <w:rFonts w:hint="eastAsia"/>
                <w:lang w:bidi="ar"/>
              </w:rPr>
              <w:t>通用指标</w:t>
            </w:r>
          </w:p>
        </w:tc>
        <w:tc>
          <w:tcPr>
            <w:tcW w:w="754" w:type="dxa"/>
            <w:vMerge w:val="continue"/>
            <w:vAlign w:val="center"/>
          </w:tcPr>
          <w:p w14:paraId="2D30E251">
            <w:pPr>
              <w:pStyle w:val="134"/>
            </w:pPr>
            <w:r>
              <w:rPr>
                <w:rFonts w:hint="eastAsia"/>
              </w:rPr>
              <w:t>产出指标</w:t>
            </w:r>
          </w:p>
        </w:tc>
        <w:tc>
          <w:tcPr>
            <w:tcW w:w="1615" w:type="dxa"/>
            <w:vMerge w:val="restart"/>
            <w:vAlign w:val="center"/>
          </w:tcPr>
          <w:p w14:paraId="0CE5151B">
            <w:pPr>
              <w:pStyle w:val="134"/>
            </w:pPr>
            <w:r>
              <w:rPr>
                <w:rFonts w:hint="eastAsia"/>
                <w:lang w:bidi="ar"/>
              </w:rPr>
              <w:t>产出质量</w:t>
            </w:r>
          </w:p>
        </w:tc>
        <w:tc>
          <w:tcPr>
            <w:tcW w:w="3457" w:type="dxa"/>
            <w:vAlign w:val="center"/>
          </w:tcPr>
          <w:p w14:paraId="5A820BBE">
            <w:pPr>
              <w:pStyle w:val="134"/>
            </w:pPr>
            <w:r>
              <w:rPr>
                <w:rFonts w:hint="eastAsia"/>
                <w:lang w:bidi="ar"/>
              </w:rPr>
              <w:t>软件测试达标</w:t>
            </w:r>
          </w:p>
        </w:tc>
        <w:tc>
          <w:tcPr>
            <w:tcW w:w="1543" w:type="dxa"/>
            <w:vAlign w:val="center"/>
          </w:tcPr>
          <w:p w14:paraId="3BA9865D">
            <w:pPr>
              <w:pStyle w:val="134"/>
            </w:pPr>
            <w:r>
              <w:rPr>
                <w:rFonts w:hint="eastAsia"/>
                <w:lang w:bidi="ar"/>
              </w:rPr>
              <w:t>通过</w:t>
            </w:r>
          </w:p>
        </w:tc>
      </w:tr>
      <w:tr w14:paraId="64B6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40DA9680">
            <w:pPr>
              <w:pStyle w:val="134"/>
            </w:pPr>
            <w:r>
              <w:rPr>
                <w:rFonts w:hint="eastAsia"/>
                <w:lang w:bidi="ar"/>
              </w:rPr>
              <w:t>通用指标</w:t>
            </w:r>
          </w:p>
        </w:tc>
        <w:tc>
          <w:tcPr>
            <w:tcW w:w="754" w:type="dxa"/>
            <w:vMerge w:val="continue"/>
            <w:vAlign w:val="center"/>
          </w:tcPr>
          <w:p w14:paraId="73266AD2">
            <w:pPr>
              <w:pStyle w:val="134"/>
            </w:pPr>
            <w:r>
              <w:rPr>
                <w:rFonts w:hint="eastAsia"/>
              </w:rPr>
              <w:t>产出指标</w:t>
            </w:r>
          </w:p>
        </w:tc>
        <w:tc>
          <w:tcPr>
            <w:tcW w:w="1615" w:type="dxa"/>
            <w:vMerge w:val="continue"/>
            <w:vAlign w:val="center"/>
          </w:tcPr>
          <w:p w14:paraId="2679E497">
            <w:pPr>
              <w:pStyle w:val="134"/>
            </w:pPr>
            <w:r>
              <w:rPr>
                <w:rFonts w:hint="eastAsia"/>
                <w:lang w:bidi="ar"/>
              </w:rPr>
              <w:t>产出质量</w:t>
            </w:r>
          </w:p>
        </w:tc>
        <w:tc>
          <w:tcPr>
            <w:tcW w:w="3457" w:type="dxa"/>
            <w:vAlign w:val="center"/>
          </w:tcPr>
          <w:p w14:paraId="4E06AB49">
            <w:pPr>
              <w:pStyle w:val="134"/>
            </w:pPr>
            <w:r>
              <w:rPr>
                <w:rFonts w:hint="eastAsia"/>
                <w:lang w:bidi="ar"/>
              </w:rPr>
              <w:t>安全事件发生次数</w:t>
            </w:r>
          </w:p>
        </w:tc>
        <w:tc>
          <w:tcPr>
            <w:tcW w:w="1543" w:type="dxa"/>
            <w:vAlign w:val="center"/>
          </w:tcPr>
          <w:p w14:paraId="1A177187">
            <w:pPr>
              <w:pStyle w:val="134"/>
            </w:pPr>
            <w:r>
              <w:rPr>
                <w:rFonts w:hint="eastAsia"/>
                <w:lang w:bidi="ar"/>
              </w:rPr>
              <w:t>0</w:t>
            </w:r>
          </w:p>
        </w:tc>
      </w:tr>
      <w:tr w14:paraId="60BC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2310DD14">
            <w:pPr>
              <w:pStyle w:val="134"/>
            </w:pPr>
            <w:r>
              <w:rPr>
                <w:rFonts w:hint="eastAsia"/>
                <w:lang w:bidi="ar"/>
              </w:rPr>
              <w:t>通用指标</w:t>
            </w:r>
          </w:p>
        </w:tc>
        <w:tc>
          <w:tcPr>
            <w:tcW w:w="754" w:type="dxa"/>
            <w:vMerge w:val="continue"/>
            <w:vAlign w:val="center"/>
          </w:tcPr>
          <w:p w14:paraId="15E879E8">
            <w:pPr>
              <w:pStyle w:val="134"/>
            </w:pPr>
            <w:r>
              <w:rPr>
                <w:rFonts w:hint="eastAsia"/>
              </w:rPr>
              <w:t>产出指标</w:t>
            </w:r>
          </w:p>
        </w:tc>
        <w:tc>
          <w:tcPr>
            <w:tcW w:w="1615" w:type="dxa"/>
            <w:vMerge w:val="continue"/>
            <w:vAlign w:val="center"/>
          </w:tcPr>
          <w:p w14:paraId="2C3C1A1F">
            <w:pPr>
              <w:pStyle w:val="134"/>
            </w:pPr>
            <w:r>
              <w:rPr>
                <w:rFonts w:hint="eastAsia"/>
                <w:lang w:bidi="ar"/>
              </w:rPr>
              <w:t>产出质量</w:t>
            </w:r>
          </w:p>
        </w:tc>
        <w:tc>
          <w:tcPr>
            <w:tcW w:w="3457" w:type="dxa"/>
            <w:vAlign w:val="center"/>
          </w:tcPr>
          <w:p w14:paraId="702C3B33">
            <w:pPr>
              <w:pStyle w:val="134"/>
            </w:pPr>
            <w:r>
              <w:rPr>
                <w:rFonts w:hint="eastAsia"/>
                <w:lang w:bidi="ar"/>
              </w:rPr>
              <w:t>密码测试达标</w:t>
            </w:r>
          </w:p>
        </w:tc>
        <w:tc>
          <w:tcPr>
            <w:tcW w:w="1543" w:type="dxa"/>
            <w:vAlign w:val="center"/>
          </w:tcPr>
          <w:p w14:paraId="44B7C219">
            <w:pPr>
              <w:pStyle w:val="134"/>
            </w:pPr>
            <w:r>
              <w:rPr>
                <w:rFonts w:hint="eastAsia"/>
                <w:lang w:bidi="ar"/>
              </w:rPr>
              <w:t>通过</w:t>
            </w:r>
          </w:p>
        </w:tc>
      </w:tr>
      <w:tr w14:paraId="5DBD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1A64CA55">
            <w:pPr>
              <w:pStyle w:val="134"/>
            </w:pPr>
            <w:r>
              <w:rPr>
                <w:rFonts w:hint="eastAsia"/>
                <w:lang w:bidi="ar"/>
              </w:rPr>
              <w:t>通用指标</w:t>
            </w:r>
          </w:p>
        </w:tc>
        <w:tc>
          <w:tcPr>
            <w:tcW w:w="754" w:type="dxa"/>
            <w:vMerge w:val="continue"/>
            <w:vAlign w:val="center"/>
          </w:tcPr>
          <w:p w14:paraId="494049EA">
            <w:pPr>
              <w:pStyle w:val="134"/>
            </w:pPr>
            <w:r>
              <w:rPr>
                <w:rFonts w:hint="eastAsia"/>
              </w:rPr>
              <w:t>产出指标</w:t>
            </w:r>
          </w:p>
        </w:tc>
        <w:tc>
          <w:tcPr>
            <w:tcW w:w="1615" w:type="dxa"/>
            <w:vMerge w:val="continue"/>
            <w:vAlign w:val="center"/>
          </w:tcPr>
          <w:p w14:paraId="794EA309">
            <w:pPr>
              <w:pStyle w:val="134"/>
            </w:pPr>
            <w:r>
              <w:rPr>
                <w:rFonts w:hint="eastAsia"/>
                <w:lang w:bidi="ar"/>
              </w:rPr>
              <w:t>产出质量</w:t>
            </w:r>
          </w:p>
        </w:tc>
        <w:tc>
          <w:tcPr>
            <w:tcW w:w="3457" w:type="dxa"/>
            <w:vAlign w:val="center"/>
          </w:tcPr>
          <w:p w14:paraId="6C441E7C">
            <w:pPr>
              <w:pStyle w:val="134"/>
            </w:pPr>
            <w:r>
              <w:rPr>
                <w:rFonts w:hint="eastAsia"/>
                <w:lang w:bidi="ar"/>
              </w:rPr>
              <w:t>安全测试达标</w:t>
            </w:r>
          </w:p>
        </w:tc>
        <w:tc>
          <w:tcPr>
            <w:tcW w:w="1543" w:type="dxa"/>
            <w:vAlign w:val="center"/>
          </w:tcPr>
          <w:p w14:paraId="52F01FA7">
            <w:pPr>
              <w:pStyle w:val="134"/>
            </w:pPr>
            <w:r>
              <w:rPr>
                <w:rFonts w:hint="eastAsia"/>
                <w:lang w:bidi="ar"/>
              </w:rPr>
              <w:t>通过</w:t>
            </w:r>
          </w:p>
        </w:tc>
      </w:tr>
      <w:tr w14:paraId="313B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17533178">
            <w:pPr>
              <w:pStyle w:val="134"/>
            </w:pPr>
            <w:r>
              <w:rPr>
                <w:rFonts w:hint="eastAsia"/>
                <w:lang w:bidi="ar"/>
              </w:rPr>
              <w:t>通用指标</w:t>
            </w:r>
          </w:p>
        </w:tc>
        <w:tc>
          <w:tcPr>
            <w:tcW w:w="754" w:type="dxa"/>
            <w:vMerge w:val="continue"/>
            <w:vAlign w:val="center"/>
          </w:tcPr>
          <w:p w14:paraId="6A121B4C">
            <w:pPr>
              <w:pStyle w:val="134"/>
            </w:pPr>
            <w:r>
              <w:rPr>
                <w:rFonts w:hint="eastAsia"/>
              </w:rPr>
              <w:t>产出指标</w:t>
            </w:r>
          </w:p>
        </w:tc>
        <w:tc>
          <w:tcPr>
            <w:tcW w:w="1615" w:type="dxa"/>
            <w:vMerge w:val="continue"/>
            <w:vAlign w:val="center"/>
          </w:tcPr>
          <w:p w14:paraId="258D487A">
            <w:pPr>
              <w:pStyle w:val="134"/>
            </w:pPr>
            <w:r>
              <w:rPr>
                <w:rFonts w:hint="eastAsia"/>
                <w:lang w:bidi="ar"/>
              </w:rPr>
              <w:t>产出质量</w:t>
            </w:r>
          </w:p>
        </w:tc>
        <w:tc>
          <w:tcPr>
            <w:tcW w:w="3457" w:type="dxa"/>
            <w:vAlign w:val="center"/>
          </w:tcPr>
          <w:p w14:paraId="0EA64D59">
            <w:pPr>
              <w:pStyle w:val="134"/>
            </w:pPr>
            <w:r>
              <w:rPr>
                <w:rFonts w:hint="eastAsia"/>
                <w:lang w:bidi="ar"/>
              </w:rPr>
              <w:t>网络安全等级保护</w:t>
            </w:r>
          </w:p>
        </w:tc>
        <w:tc>
          <w:tcPr>
            <w:tcW w:w="1543" w:type="dxa"/>
            <w:vAlign w:val="center"/>
          </w:tcPr>
          <w:p w14:paraId="08264E44">
            <w:pPr>
              <w:pStyle w:val="134"/>
            </w:pPr>
            <w:r>
              <w:rPr>
                <w:rFonts w:hint="eastAsia"/>
                <w:lang w:bidi="ar"/>
              </w:rPr>
              <w:t>3级</w:t>
            </w:r>
          </w:p>
        </w:tc>
      </w:tr>
      <w:tr w14:paraId="4513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0B894088">
            <w:pPr>
              <w:pStyle w:val="134"/>
            </w:pPr>
            <w:r>
              <w:rPr>
                <w:rFonts w:hint="eastAsia"/>
                <w:lang w:bidi="ar"/>
              </w:rPr>
              <w:t>通用指标</w:t>
            </w:r>
          </w:p>
        </w:tc>
        <w:tc>
          <w:tcPr>
            <w:tcW w:w="754" w:type="dxa"/>
            <w:vMerge w:val="continue"/>
            <w:vAlign w:val="center"/>
          </w:tcPr>
          <w:p w14:paraId="653B1B11">
            <w:pPr>
              <w:pStyle w:val="134"/>
            </w:pPr>
            <w:r>
              <w:rPr>
                <w:rFonts w:hint="eastAsia"/>
              </w:rPr>
              <w:t>产出指标</w:t>
            </w:r>
          </w:p>
        </w:tc>
        <w:tc>
          <w:tcPr>
            <w:tcW w:w="1615" w:type="dxa"/>
            <w:vMerge w:val="continue"/>
            <w:vAlign w:val="center"/>
          </w:tcPr>
          <w:p w14:paraId="57A6AB9A">
            <w:pPr>
              <w:pStyle w:val="134"/>
            </w:pPr>
            <w:r>
              <w:rPr>
                <w:rFonts w:hint="eastAsia"/>
                <w:lang w:bidi="ar"/>
              </w:rPr>
              <w:t>产出质量</w:t>
            </w:r>
          </w:p>
        </w:tc>
        <w:tc>
          <w:tcPr>
            <w:tcW w:w="3457" w:type="dxa"/>
            <w:vAlign w:val="center"/>
          </w:tcPr>
          <w:p w14:paraId="51DB0FD9">
            <w:pPr>
              <w:pStyle w:val="134"/>
            </w:pPr>
            <w:r>
              <w:rPr>
                <w:rFonts w:hint="eastAsia"/>
                <w:lang w:bidi="ar"/>
              </w:rPr>
              <w:t>一次性验收合格率</w:t>
            </w:r>
          </w:p>
        </w:tc>
        <w:tc>
          <w:tcPr>
            <w:tcW w:w="1543" w:type="dxa"/>
            <w:vAlign w:val="center"/>
          </w:tcPr>
          <w:p w14:paraId="249BB9A9">
            <w:pPr>
              <w:pStyle w:val="134"/>
            </w:pPr>
            <w:r>
              <w:rPr>
                <w:rFonts w:hint="eastAsia"/>
                <w:lang w:bidi="ar"/>
              </w:rPr>
              <w:t>=100</w:t>
            </w:r>
          </w:p>
        </w:tc>
      </w:tr>
      <w:tr w14:paraId="0B6B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6FA6E54E">
            <w:pPr>
              <w:pStyle w:val="134"/>
            </w:pPr>
            <w:r>
              <w:rPr>
                <w:rFonts w:hint="eastAsia"/>
                <w:lang w:bidi="ar"/>
              </w:rPr>
              <w:t>通用指标</w:t>
            </w:r>
          </w:p>
        </w:tc>
        <w:tc>
          <w:tcPr>
            <w:tcW w:w="754" w:type="dxa"/>
            <w:vMerge w:val="continue"/>
            <w:vAlign w:val="center"/>
          </w:tcPr>
          <w:p w14:paraId="0EDD1393">
            <w:pPr>
              <w:pStyle w:val="134"/>
            </w:pPr>
            <w:r>
              <w:rPr>
                <w:rFonts w:hint="eastAsia"/>
              </w:rPr>
              <w:t>产出指标</w:t>
            </w:r>
          </w:p>
        </w:tc>
        <w:tc>
          <w:tcPr>
            <w:tcW w:w="1615" w:type="dxa"/>
            <w:vMerge w:val="continue"/>
            <w:vAlign w:val="center"/>
          </w:tcPr>
          <w:p w14:paraId="2AC4B7F1">
            <w:pPr>
              <w:pStyle w:val="134"/>
            </w:pPr>
            <w:r>
              <w:rPr>
                <w:rFonts w:hint="eastAsia"/>
                <w:lang w:bidi="ar"/>
              </w:rPr>
              <w:t>产出质量</w:t>
            </w:r>
          </w:p>
        </w:tc>
        <w:tc>
          <w:tcPr>
            <w:tcW w:w="3457" w:type="dxa"/>
            <w:vAlign w:val="center"/>
          </w:tcPr>
          <w:p w14:paraId="20088CBF">
            <w:pPr>
              <w:pStyle w:val="134"/>
            </w:pPr>
            <w:r>
              <w:rPr>
                <w:rFonts w:hint="eastAsia"/>
                <w:lang w:bidi="ar"/>
              </w:rPr>
              <w:t>系统可靠性</w:t>
            </w:r>
          </w:p>
        </w:tc>
        <w:tc>
          <w:tcPr>
            <w:tcW w:w="1543" w:type="dxa"/>
            <w:vAlign w:val="center"/>
          </w:tcPr>
          <w:p w14:paraId="4A53CC94">
            <w:pPr>
              <w:pStyle w:val="134"/>
            </w:pPr>
            <w:r>
              <w:rPr>
                <w:rFonts w:hint="eastAsia"/>
                <w:lang w:bidi="ar"/>
              </w:rPr>
              <w:t>≥99.99</w:t>
            </w:r>
          </w:p>
        </w:tc>
      </w:tr>
      <w:tr w14:paraId="2201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03D618B6">
            <w:pPr>
              <w:pStyle w:val="134"/>
            </w:pPr>
            <w:r>
              <w:rPr>
                <w:rFonts w:hint="eastAsia"/>
                <w:lang w:bidi="ar"/>
              </w:rPr>
              <w:t>通用指标</w:t>
            </w:r>
          </w:p>
        </w:tc>
        <w:tc>
          <w:tcPr>
            <w:tcW w:w="754" w:type="dxa"/>
            <w:vMerge w:val="continue"/>
            <w:vAlign w:val="center"/>
          </w:tcPr>
          <w:p w14:paraId="5A1AE20F">
            <w:pPr>
              <w:pStyle w:val="134"/>
            </w:pPr>
            <w:r>
              <w:rPr>
                <w:rFonts w:hint="eastAsia"/>
              </w:rPr>
              <w:t>产出指标</w:t>
            </w:r>
          </w:p>
        </w:tc>
        <w:tc>
          <w:tcPr>
            <w:tcW w:w="1615" w:type="dxa"/>
            <w:vAlign w:val="center"/>
          </w:tcPr>
          <w:p w14:paraId="415AC44E">
            <w:pPr>
              <w:pStyle w:val="134"/>
            </w:pPr>
            <w:r>
              <w:rPr>
                <w:rFonts w:hint="eastAsia"/>
                <w:lang w:bidi="ar"/>
              </w:rPr>
              <w:t>产出时效</w:t>
            </w:r>
          </w:p>
        </w:tc>
        <w:tc>
          <w:tcPr>
            <w:tcW w:w="3457" w:type="dxa"/>
            <w:vAlign w:val="center"/>
          </w:tcPr>
          <w:p w14:paraId="2173DF38">
            <w:pPr>
              <w:pStyle w:val="134"/>
            </w:pPr>
            <w:r>
              <w:rPr>
                <w:rFonts w:hint="eastAsia"/>
                <w:lang w:bidi="ar"/>
              </w:rPr>
              <w:t>项目建设周期</w:t>
            </w:r>
          </w:p>
        </w:tc>
        <w:tc>
          <w:tcPr>
            <w:tcW w:w="1543" w:type="dxa"/>
            <w:vAlign w:val="center"/>
          </w:tcPr>
          <w:p w14:paraId="6AA1CCD2">
            <w:pPr>
              <w:pStyle w:val="134"/>
            </w:pPr>
            <w:r>
              <w:rPr>
                <w:rFonts w:hint="eastAsia"/>
              </w:rPr>
              <w:t>10个月</w:t>
            </w:r>
          </w:p>
        </w:tc>
      </w:tr>
      <w:tr w14:paraId="1A39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70B4DE95">
            <w:pPr>
              <w:pStyle w:val="134"/>
            </w:pPr>
            <w:r>
              <w:rPr>
                <w:rFonts w:hint="eastAsia"/>
                <w:lang w:bidi="ar"/>
              </w:rPr>
              <w:t>通用指标</w:t>
            </w:r>
          </w:p>
        </w:tc>
        <w:tc>
          <w:tcPr>
            <w:tcW w:w="754" w:type="dxa"/>
            <w:vMerge w:val="restart"/>
            <w:vAlign w:val="center"/>
          </w:tcPr>
          <w:p w14:paraId="10ADC0EC">
            <w:pPr>
              <w:pStyle w:val="134"/>
            </w:pPr>
            <w:r>
              <w:rPr>
                <w:rFonts w:hint="eastAsia"/>
              </w:rPr>
              <w:t>应用系统</w:t>
            </w:r>
          </w:p>
        </w:tc>
        <w:tc>
          <w:tcPr>
            <w:tcW w:w="1615" w:type="dxa"/>
            <w:vMerge w:val="restart"/>
            <w:vAlign w:val="center"/>
          </w:tcPr>
          <w:p w14:paraId="401F0A82">
            <w:pPr>
              <w:pStyle w:val="134"/>
            </w:pPr>
            <w:r>
              <w:rPr>
                <w:rFonts w:hint="eastAsia"/>
                <w:lang w:bidi="ar"/>
              </w:rPr>
              <w:t>用户使用情况</w:t>
            </w:r>
          </w:p>
        </w:tc>
        <w:tc>
          <w:tcPr>
            <w:tcW w:w="3457" w:type="dxa"/>
            <w:vAlign w:val="center"/>
          </w:tcPr>
          <w:p w14:paraId="516235B6">
            <w:pPr>
              <w:pStyle w:val="134"/>
            </w:pPr>
            <w:r>
              <w:rPr>
                <w:rFonts w:hint="eastAsia"/>
                <w:lang w:bidi="ar"/>
              </w:rPr>
              <w:t>月活跃用户量</w:t>
            </w:r>
          </w:p>
        </w:tc>
        <w:tc>
          <w:tcPr>
            <w:tcW w:w="1543" w:type="dxa"/>
            <w:vAlign w:val="center"/>
          </w:tcPr>
          <w:p w14:paraId="5B42D411">
            <w:pPr>
              <w:pStyle w:val="134"/>
            </w:pPr>
            <w:r>
              <w:rPr>
                <w:rFonts w:hint="eastAsia"/>
                <w:lang w:bidi="ar"/>
              </w:rPr>
              <w:t>≥1000</w:t>
            </w:r>
          </w:p>
        </w:tc>
      </w:tr>
      <w:tr w14:paraId="47ED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6734DB3E">
            <w:pPr>
              <w:pStyle w:val="134"/>
            </w:pPr>
            <w:r>
              <w:rPr>
                <w:rFonts w:hint="eastAsia"/>
                <w:lang w:bidi="ar"/>
              </w:rPr>
              <w:t>通用指标</w:t>
            </w:r>
          </w:p>
        </w:tc>
        <w:tc>
          <w:tcPr>
            <w:tcW w:w="754" w:type="dxa"/>
            <w:vMerge w:val="continue"/>
            <w:vAlign w:val="center"/>
          </w:tcPr>
          <w:p w14:paraId="27497BA1">
            <w:pPr>
              <w:pStyle w:val="134"/>
            </w:pPr>
            <w:r>
              <w:rPr>
                <w:rFonts w:hint="eastAsia"/>
              </w:rPr>
              <w:t>应用系统</w:t>
            </w:r>
          </w:p>
        </w:tc>
        <w:tc>
          <w:tcPr>
            <w:tcW w:w="1615" w:type="dxa"/>
            <w:vMerge w:val="continue"/>
            <w:vAlign w:val="center"/>
          </w:tcPr>
          <w:p w14:paraId="3AF9CCBA">
            <w:pPr>
              <w:pStyle w:val="134"/>
            </w:pPr>
            <w:r>
              <w:rPr>
                <w:rFonts w:hint="eastAsia"/>
                <w:lang w:bidi="ar"/>
              </w:rPr>
              <w:t>用户使用情况</w:t>
            </w:r>
          </w:p>
        </w:tc>
        <w:tc>
          <w:tcPr>
            <w:tcW w:w="3457" w:type="dxa"/>
            <w:vAlign w:val="center"/>
          </w:tcPr>
          <w:p w14:paraId="575999B3">
            <w:pPr>
              <w:pStyle w:val="134"/>
            </w:pPr>
            <w:r>
              <w:rPr>
                <w:rFonts w:hint="eastAsia"/>
                <w:lang w:bidi="ar"/>
              </w:rPr>
              <w:t>系统用户量</w:t>
            </w:r>
          </w:p>
        </w:tc>
        <w:tc>
          <w:tcPr>
            <w:tcW w:w="1543" w:type="dxa"/>
            <w:vAlign w:val="center"/>
          </w:tcPr>
          <w:p w14:paraId="3AA38A4D">
            <w:pPr>
              <w:pStyle w:val="134"/>
            </w:pPr>
            <w:r>
              <w:rPr>
                <w:rFonts w:hint="eastAsia"/>
                <w:lang w:bidi="ar"/>
              </w:rPr>
              <w:t>≥4000</w:t>
            </w:r>
          </w:p>
        </w:tc>
      </w:tr>
      <w:tr w14:paraId="3E4B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restart"/>
            <w:vAlign w:val="center"/>
          </w:tcPr>
          <w:p w14:paraId="495492DB">
            <w:pPr>
              <w:pStyle w:val="134"/>
            </w:pPr>
            <w:r>
              <w:rPr>
                <w:rFonts w:hint="eastAsia"/>
                <w:lang w:bidi="ar"/>
              </w:rPr>
              <w:t>业务指标</w:t>
            </w:r>
          </w:p>
        </w:tc>
        <w:tc>
          <w:tcPr>
            <w:tcW w:w="754" w:type="dxa"/>
            <w:vMerge w:val="restart"/>
            <w:vAlign w:val="center"/>
          </w:tcPr>
          <w:p w14:paraId="6B6F026E">
            <w:pPr>
              <w:pStyle w:val="134"/>
            </w:pPr>
            <w:r>
              <w:rPr>
                <w:rFonts w:hint="eastAsia"/>
              </w:rPr>
              <w:t>效益指标</w:t>
            </w:r>
          </w:p>
        </w:tc>
        <w:tc>
          <w:tcPr>
            <w:tcW w:w="1615" w:type="dxa"/>
            <w:vAlign w:val="center"/>
          </w:tcPr>
          <w:p w14:paraId="3E82FC06">
            <w:pPr>
              <w:pStyle w:val="134"/>
            </w:pPr>
            <w:r>
              <w:rPr>
                <w:rFonts w:hint="eastAsia"/>
                <w:lang w:bidi="ar"/>
              </w:rPr>
              <w:t>经济效益</w:t>
            </w:r>
          </w:p>
        </w:tc>
        <w:tc>
          <w:tcPr>
            <w:tcW w:w="3457" w:type="dxa"/>
            <w:vAlign w:val="center"/>
          </w:tcPr>
          <w:p w14:paraId="5C2F65EE">
            <w:pPr>
              <w:pStyle w:val="134"/>
            </w:pPr>
            <w:r>
              <w:rPr>
                <w:rFonts w:hint="eastAsia"/>
              </w:rPr>
              <w:t>推进上海市生态环境局关联事项集成办，综合审批，打拥审批，一次审批，协助上海市其他委办及区局一件事建设，节省企业多次编制环评报告成本和时间成本，年办件量</w:t>
            </w:r>
          </w:p>
        </w:tc>
        <w:tc>
          <w:tcPr>
            <w:tcW w:w="1543" w:type="dxa"/>
            <w:vAlign w:val="center"/>
          </w:tcPr>
          <w:p w14:paraId="113C8F58">
            <w:pPr>
              <w:pStyle w:val="134"/>
            </w:pPr>
            <w:r>
              <w:rPr>
                <w:rFonts w:hint="eastAsia"/>
                <w:lang w:bidi="ar"/>
              </w:rPr>
              <w:t>≥50</w:t>
            </w:r>
          </w:p>
        </w:tc>
      </w:tr>
      <w:tr w14:paraId="2D3C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4720AC49">
            <w:pPr>
              <w:pStyle w:val="134"/>
            </w:pPr>
            <w:r>
              <w:rPr>
                <w:rFonts w:hint="eastAsia"/>
                <w:lang w:bidi="ar"/>
              </w:rPr>
              <w:t>业务指标</w:t>
            </w:r>
          </w:p>
        </w:tc>
        <w:tc>
          <w:tcPr>
            <w:tcW w:w="754" w:type="dxa"/>
            <w:vMerge w:val="continue"/>
            <w:vAlign w:val="center"/>
          </w:tcPr>
          <w:p w14:paraId="091796BB">
            <w:pPr>
              <w:pStyle w:val="134"/>
            </w:pPr>
            <w:r>
              <w:rPr>
                <w:rFonts w:hint="eastAsia"/>
              </w:rPr>
              <w:t>效益指标</w:t>
            </w:r>
          </w:p>
        </w:tc>
        <w:tc>
          <w:tcPr>
            <w:tcW w:w="1615" w:type="dxa"/>
            <w:vMerge w:val="restart"/>
            <w:vAlign w:val="center"/>
          </w:tcPr>
          <w:p w14:paraId="0448CC21">
            <w:pPr>
              <w:pStyle w:val="134"/>
            </w:pPr>
            <w:r>
              <w:rPr>
                <w:rFonts w:hint="eastAsia"/>
                <w:lang w:bidi="ar"/>
              </w:rPr>
              <w:t>社会效益</w:t>
            </w:r>
          </w:p>
        </w:tc>
        <w:tc>
          <w:tcPr>
            <w:tcW w:w="3457" w:type="dxa"/>
            <w:vAlign w:val="center"/>
          </w:tcPr>
          <w:p w14:paraId="5B737051">
            <w:pPr>
              <w:pStyle w:val="134"/>
            </w:pPr>
            <w:r>
              <w:rPr>
                <w:rFonts w:hint="eastAsia"/>
              </w:rPr>
              <w:t>生态环境免申办，年办件量</w:t>
            </w:r>
          </w:p>
        </w:tc>
        <w:tc>
          <w:tcPr>
            <w:tcW w:w="1543" w:type="dxa"/>
            <w:vAlign w:val="center"/>
          </w:tcPr>
          <w:p w14:paraId="3714EF1A">
            <w:pPr>
              <w:pStyle w:val="134"/>
            </w:pPr>
            <w:r>
              <w:rPr>
                <w:rFonts w:hint="eastAsia"/>
                <w:lang w:bidi="ar"/>
              </w:rPr>
              <w:t>≥1000</w:t>
            </w:r>
          </w:p>
        </w:tc>
      </w:tr>
      <w:tr w14:paraId="01B4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5860EFBF">
            <w:pPr>
              <w:pStyle w:val="134"/>
              <w:rPr>
                <w:lang w:bidi="ar"/>
              </w:rPr>
            </w:pPr>
          </w:p>
        </w:tc>
        <w:tc>
          <w:tcPr>
            <w:tcW w:w="754" w:type="dxa"/>
            <w:vMerge w:val="continue"/>
            <w:vAlign w:val="center"/>
          </w:tcPr>
          <w:p w14:paraId="27DD2549">
            <w:pPr>
              <w:pStyle w:val="134"/>
            </w:pPr>
          </w:p>
        </w:tc>
        <w:tc>
          <w:tcPr>
            <w:tcW w:w="1615" w:type="dxa"/>
            <w:vMerge w:val="continue"/>
            <w:vAlign w:val="center"/>
          </w:tcPr>
          <w:p w14:paraId="3E725384">
            <w:pPr>
              <w:pStyle w:val="134"/>
              <w:rPr>
                <w:lang w:bidi="ar"/>
              </w:rPr>
            </w:pPr>
          </w:p>
        </w:tc>
        <w:tc>
          <w:tcPr>
            <w:tcW w:w="3457" w:type="dxa"/>
            <w:vAlign w:val="center"/>
          </w:tcPr>
          <w:p w14:paraId="685491EB">
            <w:pPr>
              <w:pStyle w:val="134"/>
            </w:pPr>
            <w:r>
              <w:rPr>
                <w:rFonts w:hint="eastAsia"/>
              </w:rPr>
              <w:t>便捷危险废物跨省转移申请和运输单位变更，年办件量</w:t>
            </w:r>
          </w:p>
        </w:tc>
        <w:tc>
          <w:tcPr>
            <w:tcW w:w="1543" w:type="dxa"/>
            <w:vAlign w:val="center"/>
          </w:tcPr>
          <w:p w14:paraId="7BF446D4">
            <w:pPr>
              <w:pStyle w:val="134"/>
            </w:pPr>
            <w:r>
              <w:rPr>
                <w:rFonts w:hint="eastAsia"/>
                <w:lang w:bidi="ar"/>
              </w:rPr>
              <w:t>≥700</w:t>
            </w:r>
          </w:p>
        </w:tc>
      </w:tr>
      <w:tr w14:paraId="44A5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613D160C">
            <w:pPr>
              <w:pStyle w:val="134"/>
              <w:rPr>
                <w:lang w:bidi="ar"/>
              </w:rPr>
            </w:pPr>
          </w:p>
        </w:tc>
        <w:tc>
          <w:tcPr>
            <w:tcW w:w="754" w:type="dxa"/>
            <w:vMerge w:val="continue"/>
            <w:vAlign w:val="center"/>
          </w:tcPr>
          <w:p w14:paraId="3F0084AC">
            <w:pPr>
              <w:pStyle w:val="134"/>
            </w:pPr>
          </w:p>
        </w:tc>
        <w:tc>
          <w:tcPr>
            <w:tcW w:w="1615" w:type="dxa"/>
            <w:vMerge w:val="continue"/>
            <w:vAlign w:val="center"/>
          </w:tcPr>
          <w:p w14:paraId="52E79262">
            <w:pPr>
              <w:pStyle w:val="134"/>
              <w:rPr>
                <w:lang w:bidi="ar"/>
              </w:rPr>
            </w:pPr>
          </w:p>
        </w:tc>
        <w:tc>
          <w:tcPr>
            <w:tcW w:w="3457" w:type="dxa"/>
            <w:vAlign w:val="center"/>
          </w:tcPr>
          <w:p w14:paraId="35983008">
            <w:pPr>
              <w:pStyle w:val="134"/>
            </w:pPr>
            <w:r>
              <w:rPr>
                <w:rFonts w:hint="eastAsia"/>
              </w:rPr>
              <w:t>加强放射性同位素监管，便于企业年度报告提交，线上办理免于跑动，办件量</w:t>
            </w:r>
          </w:p>
        </w:tc>
        <w:tc>
          <w:tcPr>
            <w:tcW w:w="1543" w:type="dxa"/>
            <w:vAlign w:val="center"/>
          </w:tcPr>
          <w:p w14:paraId="2BCCF2B8">
            <w:pPr>
              <w:pStyle w:val="134"/>
            </w:pPr>
            <w:r>
              <w:rPr>
                <w:rFonts w:hint="eastAsia"/>
                <w:lang w:bidi="ar"/>
              </w:rPr>
              <w:t>≥4000</w:t>
            </w:r>
          </w:p>
        </w:tc>
      </w:tr>
      <w:tr w14:paraId="5563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0C834692">
            <w:pPr>
              <w:pStyle w:val="134"/>
              <w:rPr>
                <w:lang w:bidi="ar"/>
              </w:rPr>
            </w:pPr>
          </w:p>
        </w:tc>
        <w:tc>
          <w:tcPr>
            <w:tcW w:w="754" w:type="dxa"/>
            <w:vMerge w:val="continue"/>
            <w:vAlign w:val="center"/>
          </w:tcPr>
          <w:p w14:paraId="056194A9">
            <w:pPr>
              <w:pStyle w:val="134"/>
            </w:pPr>
          </w:p>
        </w:tc>
        <w:tc>
          <w:tcPr>
            <w:tcW w:w="1615" w:type="dxa"/>
            <w:vMerge w:val="continue"/>
            <w:vAlign w:val="center"/>
          </w:tcPr>
          <w:p w14:paraId="5C9B53BD">
            <w:pPr>
              <w:pStyle w:val="134"/>
              <w:rPr>
                <w:lang w:bidi="ar"/>
              </w:rPr>
            </w:pPr>
          </w:p>
        </w:tc>
        <w:tc>
          <w:tcPr>
            <w:tcW w:w="3457" w:type="dxa"/>
            <w:vAlign w:val="center"/>
          </w:tcPr>
          <w:p w14:paraId="3A547E24">
            <w:pPr>
              <w:pStyle w:val="134"/>
            </w:pPr>
            <w:r>
              <w:rPr>
                <w:rFonts w:hint="eastAsia"/>
              </w:rPr>
              <w:t>建设非道路移动机械环境申报登记移动端，便于企业随时办掌上办，年办性量</w:t>
            </w:r>
          </w:p>
        </w:tc>
        <w:tc>
          <w:tcPr>
            <w:tcW w:w="1543" w:type="dxa"/>
            <w:vAlign w:val="center"/>
          </w:tcPr>
          <w:p w14:paraId="37ACF62E">
            <w:pPr>
              <w:pStyle w:val="134"/>
            </w:pPr>
            <w:r>
              <w:rPr>
                <w:rFonts w:hint="eastAsia"/>
                <w:lang w:bidi="ar"/>
              </w:rPr>
              <w:t>≥2000</w:t>
            </w:r>
          </w:p>
        </w:tc>
      </w:tr>
      <w:tr w14:paraId="2F2B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01E65C50">
            <w:pPr>
              <w:pStyle w:val="134"/>
            </w:pPr>
            <w:r>
              <w:rPr>
                <w:rFonts w:hint="eastAsia"/>
                <w:lang w:bidi="ar"/>
              </w:rPr>
              <w:t>业务指标</w:t>
            </w:r>
          </w:p>
        </w:tc>
        <w:tc>
          <w:tcPr>
            <w:tcW w:w="754" w:type="dxa"/>
            <w:vMerge w:val="continue"/>
            <w:vAlign w:val="center"/>
          </w:tcPr>
          <w:p w14:paraId="27B2AB2A">
            <w:pPr>
              <w:pStyle w:val="134"/>
            </w:pPr>
            <w:r>
              <w:rPr>
                <w:rFonts w:hint="eastAsia"/>
              </w:rPr>
              <w:t>效益指标</w:t>
            </w:r>
          </w:p>
        </w:tc>
        <w:tc>
          <w:tcPr>
            <w:tcW w:w="1615" w:type="dxa"/>
            <w:vAlign w:val="center"/>
          </w:tcPr>
          <w:p w14:paraId="33EBB567">
            <w:pPr>
              <w:pStyle w:val="134"/>
            </w:pPr>
            <w:r>
              <w:rPr>
                <w:rFonts w:hint="eastAsia"/>
                <w:lang w:bidi="ar"/>
              </w:rPr>
              <w:t>生态效益</w:t>
            </w:r>
          </w:p>
        </w:tc>
        <w:tc>
          <w:tcPr>
            <w:tcW w:w="3457" w:type="dxa"/>
            <w:vAlign w:val="center"/>
          </w:tcPr>
          <w:p w14:paraId="4E66C12E">
            <w:pPr>
              <w:pStyle w:val="134"/>
            </w:pPr>
            <w:r>
              <w:rPr>
                <w:rFonts w:hint="eastAsia"/>
              </w:rPr>
              <w:t>长三角跨域协同办，加强一般固体废物跨省监管，年办件量</w:t>
            </w:r>
          </w:p>
        </w:tc>
        <w:tc>
          <w:tcPr>
            <w:tcW w:w="1543" w:type="dxa"/>
            <w:vAlign w:val="center"/>
          </w:tcPr>
          <w:p w14:paraId="22514ECE">
            <w:pPr>
              <w:pStyle w:val="134"/>
            </w:pPr>
            <w:r>
              <w:rPr>
                <w:rFonts w:hint="eastAsia"/>
                <w:lang w:bidi="ar"/>
              </w:rPr>
              <w:t>≥800</w:t>
            </w:r>
          </w:p>
        </w:tc>
      </w:tr>
      <w:tr w14:paraId="2A3D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5" w:type="dxa"/>
            <w:vMerge w:val="continue"/>
            <w:vAlign w:val="center"/>
          </w:tcPr>
          <w:p w14:paraId="076F3EE6">
            <w:pPr>
              <w:pStyle w:val="134"/>
            </w:pPr>
            <w:r>
              <w:rPr>
                <w:rFonts w:hint="eastAsia"/>
                <w:lang w:bidi="ar"/>
              </w:rPr>
              <w:t>业务指标</w:t>
            </w:r>
          </w:p>
        </w:tc>
        <w:tc>
          <w:tcPr>
            <w:tcW w:w="754" w:type="dxa"/>
            <w:vAlign w:val="center"/>
          </w:tcPr>
          <w:p w14:paraId="061FFFF2">
            <w:pPr>
              <w:pStyle w:val="134"/>
            </w:pPr>
            <w:r>
              <w:rPr>
                <w:rFonts w:hint="eastAsia"/>
              </w:rPr>
              <w:t>产出指标</w:t>
            </w:r>
          </w:p>
        </w:tc>
        <w:tc>
          <w:tcPr>
            <w:tcW w:w="1615" w:type="dxa"/>
            <w:vAlign w:val="center"/>
          </w:tcPr>
          <w:p w14:paraId="5A54EEDC">
            <w:pPr>
              <w:pStyle w:val="134"/>
            </w:pPr>
            <w:r>
              <w:rPr>
                <w:rFonts w:hint="eastAsia"/>
                <w:lang w:bidi="ar"/>
              </w:rPr>
              <w:t>产出数量</w:t>
            </w:r>
          </w:p>
        </w:tc>
        <w:tc>
          <w:tcPr>
            <w:tcW w:w="3457" w:type="dxa"/>
            <w:vAlign w:val="center"/>
          </w:tcPr>
          <w:p w14:paraId="00853552">
            <w:pPr>
              <w:pStyle w:val="134"/>
            </w:pPr>
            <w:r>
              <w:rPr>
                <w:rFonts w:hint="eastAsia"/>
              </w:rPr>
              <w:t>完成集成办、免申办、跨域办工作推进</w:t>
            </w:r>
          </w:p>
        </w:tc>
        <w:tc>
          <w:tcPr>
            <w:tcW w:w="1543" w:type="dxa"/>
            <w:vAlign w:val="center"/>
          </w:tcPr>
          <w:p w14:paraId="794060E1">
            <w:pPr>
              <w:pStyle w:val="134"/>
            </w:pPr>
            <w:r>
              <w:rPr>
                <w:rFonts w:hint="eastAsia"/>
                <w:lang w:bidi="ar"/>
              </w:rPr>
              <w:t>=3</w:t>
            </w:r>
          </w:p>
        </w:tc>
      </w:tr>
    </w:tbl>
    <w:p w14:paraId="6DFF2208">
      <w:pPr>
        <w:ind w:firstLine="0" w:firstLineChars="0"/>
        <w:rPr>
          <w:rFonts w:hint="eastAsia"/>
        </w:rPr>
      </w:pPr>
    </w:p>
    <w:p w14:paraId="32E9E6FC">
      <w:pPr>
        <w:ind w:firstLine="482"/>
        <w:rPr>
          <w:rFonts w:hint="eastAsia"/>
          <w:b/>
          <w:color w:val="000000"/>
        </w:rPr>
      </w:pPr>
    </w:p>
    <w:p w14:paraId="11DCCD63">
      <w:pPr>
        <w:pStyle w:val="2"/>
        <w:rPr>
          <w:rFonts w:hint="eastAsia"/>
        </w:rPr>
      </w:pPr>
      <w:bookmarkStart w:id="11" w:name="_Toc47537166"/>
      <w:bookmarkEnd w:id="11"/>
      <w:bookmarkStart w:id="12" w:name="_Toc47532923"/>
      <w:bookmarkEnd w:id="12"/>
      <w:bookmarkStart w:id="13" w:name="_Toc47533288"/>
      <w:bookmarkEnd w:id="13"/>
      <w:bookmarkStart w:id="14" w:name="_Toc47536676"/>
      <w:bookmarkEnd w:id="14"/>
      <w:bookmarkStart w:id="15" w:name="_Toc47536304"/>
      <w:bookmarkEnd w:id="15"/>
      <w:bookmarkStart w:id="16" w:name="_Toc47539102"/>
      <w:bookmarkEnd w:id="16"/>
      <w:r>
        <w:rPr>
          <w:rFonts w:hint="eastAsia"/>
        </w:rPr>
        <w:t>项目建设内容</w:t>
      </w:r>
    </w:p>
    <w:p w14:paraId="29E02179">
      <w:pPr>
        <w:ind w:firstLine="0" w:firstLineChars="0"/>
        <w:rPr>
          <w:rFonts w:hint="eastAsia"/>
        </w:rPr>
      </w:pPr>
      <w:r>
        <w:drawing>
          <wp:inline distT="0" distB="0" distL="114300" distR="114300">
            <wp:extent cx="5144135" cy="3809365"/>
            <wp:effectExtent l="0" t="0" r="6985" b="6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3"/>
                    <a:stretch>
                      <a:fillRect/>
                    </a:stretch>
                  </pic:blipFill>
                  <pic:spPr>
                    <a:xfrm>
                      <a:off x="0" y="0"/>
                      <a:ext cx="5144135" cy="3809365"/>
                    </a:xfrm>
                    <a:prstGeom prst="rect">
                      <a:avLst/>
                    </a:prstGeom>
                    <a:noFill/>
                    <a:ln>
                      <a:noFill/>
                    </a:ln>
                  </pic:spPr>
                </pic:pic>
              </a:graphicData>
            </a:graphic>
          </wp:inline>
        </w:drawing>
      </w:r>
    </w:p>
    <w:p w14:paraId="30E31373">
      <w:pPr>
        <w:pStyle w:val="13"/>
        <w:spacing w:after="163"/>
        <w:ind w:firstLine="0" w:firstLineChars="0"/>
        <w:jc w:val="center"/>
      </w:pPr>
      <w:r>
        <w:t xml:space="preserve">图 </w:t>
      </w:r>
      <w:r>
        <w:fldChar w:fldCharType="begin"/>
      </w:r>
      <w:r>
        <w:instrText xml:space="preserve"> SEQ 图 \* ARABIC </w:instrText>
      </w:r>
      <w:r>
        <w:fldChar w:fldCharType="separate"/>
      </w:r>
      <w:r>
        <w:t>1</w:t>
      </w:r>
      <w:r>
        <w:fldChar w:fldCharType="end"/>
      </w:r>
      <w:r>
        <w:rPr>
          <w:rFonts w:hint="eastAsia"/>
        </w:rPr>
        <w:t xml:space="preserve"> 系统功能框架图</w:t>
      </w:r>
    </w:p>
    <w:p w14:paraId="07FE775E">
      <w:pPr>
        <w:ind w:firstLine="0" w:firstLineChars="0"/>
        <w:rPr>
          <w:rFonts w:hint="eastAsia"/>
        </w:rPr>
      </w:pPr>
      <w:r>
        <w:drawing>
          <wp:inline distT="0" distB="0" distL="114300" distR="114300">
            <wp:extent cx="5269865" cy="2916555"/>
            <wp:effectExtent l="0" t="0" r="317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269865" cy="2916555"/>
                    </a:xfrm>
                    <a:prstGeom prst="rect">
                      <a:avLst/>
                    </a:prstGeom>
                    <a:noFill/>
                    <a:ln>
                      <a:noFill/>
                    </a:ln>
                  </pic:spPr>
                </pic:pic>
              </a:graphicData>
            </a:graphic>
          </wp:inline>
        </w:drawing>
      </w:r>
    </w:p>
    <w:p w14:paraId="5C5E6171">
      <w:pPr>
        <w:pStyle w:val="13"/>
        <w:spacing w:after="163"/>
        <w:ind w:firstLine="0" w:firstLineChars="0"/>
        <w:jc w:val="center"/>
      </w:pPr>
      <w:r>
        <w:t xml:space="preserve">图 </w:t>
      </w:r>
      <w:r>
        <w:fldChar w:fldCharType="begin"/>
      </w:r>
      <w:r>
        <w:instrText xml:space="preserve"> SEQ 图 \* ARABIC </w:instrText>
      </w:r>
      <w:r>
        <w:fldChar w:fldCharType="separate"/>
      </w:r>
      <w:r>
        <w:t>2</w:t>
      </w:r>
      <w:r>
        <w:fldChar w:fldCharType="end"/>
      </w:r>
      <w:r>
        <w:rPr>
          <w:rFonts w:hint="eastAsia"/>
        </w:rPr>
        <w:t xml:space="preserve"> 固废链框架图</w:t>
      </w:r>
    </w:p>
    <w:p w14:paraId="7839FD71">
      <w:pPr>
        <w:rPr>
          <w:rFonts w:hint="eastAsia"/>
        </w:rPr>
      </w:pPr>
      <w:r>
        <w:rPr>
          <w:rFonts w:hint="eastAsia"/>
        </w:rPr>
        <w:t>生态环境政务服务大系统为上海市生态环境局三大综合业务系统之一，该系统依托上海市电子政务云建设，选择国产化软件进行构建。该大系统包含上海市生态环境局“一网通办”服务系统、电子政务平台和应用支撑三个子系统。此次系统升级改造主要聚焦于‌上海市生态环境局的“一网通办”服务系统‌，其设计与实施涵盖两大核心部分：‌企业申请服务端‌与‌业务受理审批端‌。</w:t>
      </w:r>
    </w:p>
    <w:p w14:paraId="78D381EF">
      <w:pPr>
        <w:rPr>
          <w:rFonts w:hint="eastAsia"/>
        </w:rPr>
      </w:pPr>
      <w:r>
        <w:rPr>
          <w:rFonts w:hint="eastAsia"/>
        </w:rPr>
        <w:t>‌企业申请服务端‌：该部分主要涉及事项功能的开发，并与上海市“一网通办”平台进行深入对接。系统界面设计、流程设计需与市一网通办平台界面特点及用户行为习惯保持一致，能够充分理解“集成办”、“免申办”、“智慧好办”要求，数据复用实现智能预检、智能填表，切实方便企业和公众办事。</w:t>
      </w:r>
    </w:p>
    <w:p w14:paraId="7B6E3BF3">
      <w:pPr>
        <w:rPr>
          <w:rFonts w:hint="eastAsia"/>
        </w:rPr>
      </w:pPr>
      <w:r>
        <w:rPr>
          <w:rFonts w:hint="eastAsia"/>
        </w:rPr>
        <w:t>‌业务受理审批端‌：此部分与电子政务平台紧密相连，确保管理部门能够在电子政务平台上顺利地进行事项的受理和审批工作。在系统设计与实施过程中，需严格遵循“六个统一”的系统对接要求，即‌统一门户集成、统一接入管理、统一用户管理、统一授权管理、统一资源管理、统一安全防护‌，以确保系统的稳定性和安全性。</w:t>
      </w:r>
    </w:p>
    <w:p w14:paraId="0ACE3467">
      <w:pPr>
        <w:rPr>
          <w:rFonts w:hint="eastAsia"/>
        </w:rPr>
      </w:pPr>
      <w:r>
        <w:rPr>
          <w:rFonts w:hint="eastAsia"/>
        </w:rPr>
        <w:t>项目建设内容如下：</w:t>
      </w:r>
    </w:p>
    <w:p w14:paraId="01CCB750">
      <w:pPr>
        <w:numPr>
          <w:ilvl w:val="0"/>
          <w:numId w:val="3"/>
        </w:numPr>
        <w:ind w:firstLineChars="0"/>
        <w:rPr>
          <w:rFonts w:hint="eastAsia"/>
        </w:rPr>
      </w:pPr>
      <w:r>
        <w:rPr>
          <w:rFonts w:hint="eastAsia"/>
        </w:rPr>
        <w:t>一网通办政务服务子系统升级改造：</w:t>
      </w:r>
    </w:p>
    <w:p w14:paraId="243C9D02">
      <w:pPr>
        <w:numPr>
          <w:ilvl w:val="0"/>
          <w:numId w:val="4"/>
        </w:numPr>
        <w:ind w:left="420"/>
        <w:rPr>
          <w:rFonts w:hint="eastAsia"/>
        </w:rPr>
      </w:pPr>
      <w:r>
        <w:rPr>
          <w:rFonts w:hint="eastAsia"/>
        </w:rPr>
        <w:t>生态环境关联事项集成办；</w:t>
      </w:r>
    </w:p>
    <w:p w14:paraId="2D92A131">
      <w:pPr>
        <w:numPr>
          <w:ilvl w:val="0"/>
          <w:numId w:val="4"/>
        </w:numPr>
        <w:ind w:left="420"/>
        <w:rPr>
          <w:rFonts w:hint="eastAsia"/>
        </w:rPr>
      </w:pPr>
      <w:r>
        <w:rPr>
          <w:rFonts w:hint="eastAsia"/>
        </w:rPr>
        <w:t>生态环境免申办；</w:t>
      </w:r>
    </w:p>
    <w:p w14:paraId="465B4F28">
      <w:pPr>
        <w:numPr>
          <w:ilvl w:val="0"/>
          <w:numId w:val="4"/>
        </w:numPr>
        <w:ind w:left="420"/>
        <w:rPr>
          <w:rFonts w:hint="eastAsia"/>
        </w:rPr>
      </w:pPr>
      <w:r>
        <w:rPr>
          <w:rFonts w:hint="eastAsia"/>
        </w:rPr>
        <w:t>长三角跨域协同办；</w:t>
      </w:r>
    </w:p>
    <w:p w14:paraId="501F6C55">
      <w:pPr>
        <w:numPr>
          <w:ilvl w:val="0"/>
          <w:numId w:val="4"/>
        </w:numPr>
        <w:ind w:left="420"/>
        <w:rPr>
          <w:rFonts w:hint="eastAsia"/>
        </w:rPr>
      </w:pPr>
      <w:r>
        <w:rPr>
          <w:rFonts w:hint="eastAsia"/>
        </w:rPr>
        <w:t>新建及520事项政务服务数智赋能升级；</w:t>
      </w:r>
    </w:p>
    <w:p w14:paraId="14F514F7">
      <w:pPr>
        <w:numPr>
          <w:ilvl w:val="0"/>
          <w:numId w:val="4"/>
        </w:numPr>
        <w:ind w:left="420"/>
        <w:rPr>
          <w:rFonts w:hint="eastAsia"/>
        </w:rPr>
      </w:pPr>
      <w:r>
        <w:rPr>
          <w:rFonts w:hint="eastAsia"/>
        </w:rPr>
        <w:t>新建生态环境办件质量质检管理模块；</w:t>
      </w:r>
    </w:p>
    <w:p w14:paraId="76DCF4E3">
      <w:pPr>
        <w:numPr>
          <w:ilvl w:val="0"/>
          <w:numId w:val="4"/>
        </w:numPr>
        <w:ind w:left="420"/>
        <w:rPr>
          <w:rFonts w:hint="eastAsia"/>
        </w:rPr>
      </w:pPr>
      <w:r>
        <w:rPr>
          <w:rFonts w:hint="eastAsia"/>
        </w:rPr>
        <w:t>新增绿色项目公示模块。</w:t>
      </w:r>
    </w:p>
    <w:p w14:paraId="0FBA32DB">
      <w:pPr>
        <w:numPr>
          <w:ilvl w:val="0"/>
          <w:numId w:val="3"/>
        </w:numPr>
        <w:ind w:firstLineChars="0"/>
        <w:rPr>
          <w:rFonts w:hint="eastAsia"/>
        </w:rPr>
      </w:pPr>
      <w:r>
        <w:rPr>
          <w:rFonts w:hint="eastAsia"/>
        </w:rPr>
        <w:t>长三角固废跨省转移区块链应用场景</w:t>
      </w:r>
    </w:p>
    <w:p w14:paraId="542BA3B2">
      <w:pPr>
        <w:numPr>
          <w:ilvl w:val="0"/>
          <w:numId w:val="5"/>
        </w:numPr>
        <w:ind w:left="420"/>
        <w:rPr>
          <w:rFonts w:hint="eastAsia"/>
        </w:rPr>
      </w:pPr>
      <w:r>
        <w:rPr>
          <w:rFonts w:hint="eastAsia"/>
        </w:rPr>
        <w:t>一般固体废物跨省转移利用备案申请表存证智能合约与</w:t>
      </w:r>
      <w:r>
        <w:t>撤销业务处理智能合约</w:t>
      </w:r>
      <w:r>
        <w:rPr>
          <w:rFonts w:hint="eastAsia"/>
        </w:rPr>
        <w:t>；</w:t>
      </w:r>
    </w:p>
    <w:p w14:paraId="6D665E33">
      <w:pPr>
        <w:numPr>
          <w:ilvl w:val="0"/>
          <w:numId w:val="5"/>
        </w:numPr>
        <w:ind w:left="420"/>
        <w:rPr>
          <w:rFonts w:hint="eastAsia"/>
        </w:rPr>
      </w:pPr>
      <w:r>
        <w:t>一般固体废物跨省贮存、处置业务处理智能合约</w:t>
      </w:r>
      <w:r>
        <w:rPr>
          <w:rFonts w:hint="eastAsia"/>
        </w:rPr>
        <w:t>与申请表存证智能合约；</w:t>
      </w:r>
    </w:p>
    <w:p w14:paraId="418BF45E">
      <w:pPr>
        <w:numPr>
          <w:ilvl w:val="0"/>
          <w:numId w:val="5"/>
        </w:numPr>
        <w:ind w:left="420"/>
        <w:rPr>
          <w:rFonts w:hint="eastAsia"/>
          <w:b/>
        </w:rPr>
      </w:pPr>
      <w:r>
        <w:t>SDK接入应用对接服务</w:t>
      </w:r>
      <w:r>
        <w:rPr>
          <w:rFonts w:hint="eastAsia"/>
        </w:rPr>
        <w:t>；</w:t>
      </w:r>
    </w:p>
    <w:p w14:paraId="7AC693DC">
      <w:pPr>
        <w:numPr>
          <w:ilvl w:val="0"/>
          <w:numId w:val="5"/>
        </w:numPr>
        <w:ind w:left="420"/>
        <w:rPr>
          <w:rFonts w:hint="eastAsia"/>
          <w:b/>
        </w:rPr>
      </w:pPr>
      <w:r>
        <w:t>链上数据大屏展示</w:t>
      </w:r>
      <w:r>
        <w:rPr>
          <w:rFonts w:hint="eastAsia"/>
        </w:rPr>
        <w:t>；</w:t>
      </w:r>
    </w:p>
    <w:p w14:paraId="533CB171">
      <w:pPr>
        <w:ind w:firstLine="482"/>
        <w:rPr>
          <w:rFonts w:hint="eastAsia"/>
          <w:b/>
        </w:rPr>
      </w:pPr>
      <w:r>
        <w:rPr>
          <w:rFonts w:hint="eastAsia"/>
          <w:b/>
        </w:rPr>
        <w:t>1、软件开发清单：</w:t>
      </w:r>
    </w:p>
    <w:p w14:paraId="67731865">
      <w:pPr>
        <w:ind w:firstLine="482"/>
        <w:rPr>
          <w:rFonts w:hint="eastAsia"/>
          <w:b/>
        </w:rPr>
      </w:pPr>
    </w:p>
    <w:tbl>
      <w:tblPr>
        <w:tblStyle w:val="35"/>
        <w:tblW w:w="8430" w:type="dxa"/>
        <w:tblInd w:w="96" w:type="dxa"/>
        <w:tblLayout w:type="autofit"/>
        <w:tblCellMar>
          <w:top w:w="0" w:type="dxa"/>
          <w:left w:w="108" w:type="dxa"/>
          <w:bottom w:w="0" w:type="dxa"/>
          <w:right w:w="108" w:type="dxa"/>
        </w:tblCellMar>
      </w:tblPr>
      <w:tblGrid>
        <w:gridCol w:w="637"/>
        <w:gridCol w:w="1259"/>
        <w:gridCol w:w="2484"/>
        <w:gridCol w:w="4050"/>
      </w:tblGrid>
      <w:tr w14:paraId="666D180A">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shd w:val="clear" w:color="000000" w:fill="F3F8FC"/>
            <w:vAlign w:val="center"/>
          </w:tcPr>
          <w:p w14:paraId="39C30D51">
            <w:pPr>
              <w:widowControl/>
              <w:spacing w:line="240" w:lineRule="auto"/>
              <w:ind w:firstLine="0" w:firstLineChars="0"/>
              <w:rPr>
                <w:rFonts w:hint="eastAsia" w:cs="宋体"/>
                <w:b/>
                <w:color w:val="000000"/>
                <w:kern w:val="0"/>
                <w:sz w:val="22"/>
                <w:szCs w:val="22"/>
              </w:rPr>
            </w:pPr>
            <w:r>
              <w:rPr>
                <w:rFonts w:hint="eastAsia" w:cs="宋体"/>
                <w:b/>
                <w:color w:val="000000"/>
                <w:kern w:val="0"/>
                <w:sz w:val="22"/>
                <w:szCs w:val="22"/>
              </w:rPr>
              <w:t>序号</w:t>
            </w:r>
          </w:p>
        </w:tc>
        <w:tc>
          <w:tcPr>
            <w:tcW w:w="1259" w:type="dxa"/>
            <w:tcBorders>
              <w:top w:val="single" w:color="000000" w:sz="4" w:space="0"/>
              <w:left w:val="single" w:color="000000" w:sz="4" w:space="0"/>
              <w:bottom w:val="single" w:color="000000" w:sz="4" w:space="0"/>
              <w:right w:val="single" w:color="000000" w:sz="4" w:space="0"/>
            </w:tcBorders>
            <w:shd w:val="clear" w:color="000000" w:fill="F3F8FC"/>
            <w:vAlign w:val="center"/>
          </w:tcPr>
          <w:p w14:paraId="5B146EF2">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应用系统名称</w:t>
            </w:r>
          </w:p>
        </w:tc>
        <w:tc>
          <w:tcPr>
            <w:tcW w:w="2484" w:type="dxa"/>
            <w:tcBorders>
              <w:top w:val="single" w:color="000000" w:sz="4" w:space="0"/>
              <w:left w:val="single" w:color="000000" w:sz="4" w:space="0"/>
              <w:bottom w:val="single" w:color="000000" w:sz="4" w:space="0"/>
              <w:right w:val="single" w:color="000000" w:sz="4" w:space="0"/>
            </w:tcBorders>
            <w:shd w:val="clear" w:color="000000" w:fill="F3F8FC"/>
            <w:vAlign w:val="center"/>
          </w:tcPr>
          <w:p w14:paraId="59714D0A">
            <w:pPr>
              <w:rPr>
                <w:rFonts w:hint="eastAsia"/>
              </w:rPr>
            </w:pPr>
            <w:r>
              <w:rPr>
                <w:rFonts w:hint="eastAsia"/>
              </w:rPr>
              <w:t>模块名称</w:t>
            </w:r>
          </w:p>
        </w:tc>
        <w:tc>
          <w:tcPr>
            <w:tcW w:w="4050" w:type="dxa"/>
            <w:tcBorders>
              <w:top w:val="single" w:color="000000" w:sz="4" w:space="0"/>
              <w:left w:val="single" w:color="000000" w:sz="4" w:space="0"/>
              <w:bottom w:val="single" w:color="000000" w:sz="4" w:space="0"/>
              <w:right w:val="single" w:color="000000" w:sz="4" w:space="0"/>
            </w:tcBorders>
            <w:shd w:val="clear" w:color="000000" w:fill="F3F8FC"/>
          </w:tcPr>
          <w:p w14:paraId="044F749E">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模块描述</w:t>
            </w:r>
          </w:p>
        </w:tc>
      </w:tr>
      <w:tr w14:paraId="5B6CE9B8">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149F297">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restart"/>
            <w:tcBorders>
              <w:top w:val="single" w:color="000000" w:sz="4" w:space="0"/>
              <w:left w:val="single" w:color="000000" w:sz="4" w:space="0"/>
              <w:right w:val="single" w:color="000000" w:sz="4" w:space="0"/>
            </w:tcBorders>
            <w:vAlign w:val="center"/>
          </w:tcPr>
          <w:p w14:paraId="033F0B7F">
            <w:pPr>
              <w:pStyle w:val="135"/>
              <w:spacing w:line="240" w:lineRule="auto"/>
            </w:pPr>
            <w:r>
              <w:rPr>
                <w:rFonts w:hint="eastAsia"/>
              </w:rPr>
              <w:t>一网通办政务服务子系统升级改造</w:t>
            </w:r>
          </w:p>
          <w:p w14:paraId="5D8BD270">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B90980D">
            <w:pPr>
              <w:pStyle w:val="135"/>
              <w:spacing w:line="240" w:lineRule="auto"/>
            </w:pPr>
            <w:r>
              <w:rPr>
                <w:rFonts w:hint="eastAsia"/>
              </w:rPr>
              <w:t>生态环境关联事项集成办-环评、排污、入河、危废许可证综合审批-综合审批智能导引</w:t>
            </w:r>
          </w:p>
        </w:tc>
        <w:tc>
          <w:tcPr>
            <w:tcW w:w="4050" w:type="dxa"/>
            <w:tcBorders>
              <w:top w:val="single" w:color="000000" w:sz="4" w:space="0"/>
              <w:left w:val="single" w:color="000000" w:sz="4" w:space="0"/>
              <w:bottom w:val="single" w:color="000000" w:sz="4" w:space="0"/>
              <w:right w:val="single" w:color="000000" w:sz="4" w:space="0"/>
            </w:tcBorders>
            <w:vAlign w:val="center"/>
          </w:tcPr>
          <w:p w14:paraId="164E175E">
            <w:pPr>
              <w:pStyle w:val="135"/>
              <w:spacing w:line="240" w:lineRule="auto"/>
            </w:pPr>
            <w:r>
              <w:rPr>
                <w:rFonts w:hint="eastAsia"/>
              </w:rPr>
              <w:t>提供智能导引服务，可对环评、排污、入河、危废许可证其中2个或3个或4个许可证综合办理，如选择环评-危废许可证综合办理，或入海-入河-环评综合办理。</w:t>
            </w:r>
          </w:p>
        </w:tc>
      </w:tr>
      <w:tr w14:paraId="3BFB0DD6">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E951AFF">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595F39F">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0DF45837">
            <w:pPr>
              <w:pStyle w:val="135"/>
              <w:spacing w:line="240" w:lineRule="auto"/>
            </w:pPr>
            <w:r>
              <w:rPr>
                <w:rFonts w:hint="eastAsia"/>
              </w:rPr>
              <w:t>生态环境关联事项集成办-环评、排污、入河、危废许可证综合审批-综合审批智能填表</w:t>
            </w:r>
          </w:p>
        </w:tc>
        <w:tc>
          <w:tcPr>
            <w:tcW w:w="4050" w:type="dxa"/>
            <w:tcBorders>
              <w:top w:val="single" w:color="000000" w:sz="4" w:space="0"/>
              <w:left w:val="single" w:color="000000" w:sz="4" w:space="0"/>
              <w:bottom w:val="single" w:color="000000" w:sz="4" w:space="0"/>
              <w:right w:val="single" w:color="000000" w:sz="4" w:space="0"/>
            </w:tcBorders>
            <w:vAlign w:val="center"/>
          </w:tcPr>
          <w:p w14:paraId="31899E64">
            <w:pPr>
              <w:pStyle w:val="135"/>
              <w:spacing w:line="240" w:lineRule="auto"/>
            </w:pPr>
            <w:r>
              <w:rPr>
                <w:rFonts w:hint="eastAsia"/>
              </w:rPr>
              <w:t>对一网通办事项（一般建设项目环境影响评价审批、核与辐射类建设项目环境影响评价审批、海洋工程建设项目环境影响评价审批、排污许可、江河/湖泊新建/改建或者扩大排污口审批、危险废物综合经营许可）填报表单信息进行模块化设计并可自由组合，多表合一，用户根据其办理需求进行多证申请，提供智能预填服务。</w:t>
            </w:r>
          </w:p>
        </w:tc>
      </w:tr>
      <w:tr w14:paraId="7488F341">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4D3113A">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942262C">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3778E71">
            <w:pPr>
              <w:pStyle w:val="135"/>
              <w:spacing w:line="240" w:lineRule="auto"/>
            </w:pPr>
            <w:r>
              <w:rPr>
                <w:rFonts w:hint="eastAsia"/>
              </w:rPr>
              <w:t>生态环境关联事项集成办-环评、排污、入河、危废许可证综合审批-并联审批</w:t>
            </w:r>
          </w:p>
        </w:tc>
        <w:tc>
          <w:tcPr>
            <w:tcW w:w="4050" w:type="dxa"/>
            <w:tcBorders>
              <w:top w:val="single" w:color="000000" w:sz="4" w:space="0"/>
              <w:left w:val="single" w:color="000000" w:sz="4" w:space="0"/>
              <w:bottom w:val="single" w:color="000000" w:sz="4" w:space="0"/>
              <w:right w:val="single" w:color="000000" w:sz="4" w:space="0"/>
            </w:tcBorders>
            <w:vAlign w:val="center"/>
          </w:tcPr>
          <w:p w14:paraId="67F0D78E">
            <w:pPr>
              <w:pStyle w:val="135"/>
              <w:spacing w:line="240" w:lineRule="auto"/>
            </w:pPr>
            <w:r>
              <w:rPr>
                <w:rFonts w:hint="eastAsia"/>
              </w:rPr>
              <w:t>改造内部审批端，可对一般建设项目环境影响评价审批、核与辐射类建设项目环境影响评价审批、海洋工程建设项目环境影响评价审批、排污许可、江河/湖泊新建/改建或者扩大排污口审批、危险废物综合经营许可办件进行自动拆分，多头审批。</w:t>
            </w:r>
          </w:p>
        </w:tc>
      </w:tr>
      <w:tr w14:paraId="2E9881FC">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DDDBCD0">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639C2C0">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05B40E89">
            <w:pPr>
              <w:pStyle w:val="135"/>
              <w:spacing w:line="240" w:lineRule="auto"/>
            </w:pPr>
            <w:r>
              <w:rPr>
                <w:rFonts w:hint="eastAsia"/>
              </w:rPr>
              <w:t>生态环境关联事项集成办-环评、排污、入河、危废许可证综合审批-电子证照改造</w:t>
            </w:r>
          </w:p>
        </w:tc>
        <w:tc>
          <w:tcPr>
            <w:tcW w:w="4050" w:type="dxa"/>
            <w:tcBorders>
              <w:top w:val="single" w:color="000000" w:sz="4" w:space="0"/>
              <w:left w:val="single" w:color="000000" w:sz="4" w:space="0"/>
              <w:bottom w:val="single" w:color="000000" w:sz="4" w:space="0"/>
              <w:right w:val="single" w:color="000000" w:sz="4" w:space="0"/>
            </w:tcBorders>
            <w:vAlign w:val="center"/>
          </w:tcPr>
          <w:p w14:paraId="67A73AEF">
            <w:pPr>
              <w:pStyle w:val="135"/>
              <w:spacing w:line="240" w:lineRule="auto"/>
            </w:pPr>
            <w:r>
              <w:rPr>
                <w:rFonts w:hint="eastAsia"/>
              </w:rPr>
              <w:t>电子证照，实现环评-排污-入河-危废综合审批电子证照自动制证，归集至市一网通办。</w:t>
            </w:r>
          </w:p>
        </w:tc>
      </w:tr>
      <w:tr w14:paraId="2692587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2A3CB9B">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F73D27D">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33A4D8B">
            <w:pPr>
              <w:pStyle w:val="135"/>
              <w:spacing w:line="240" w:lineRule="auto"/>
            </w:pPr>
            <w:r>
              <w:rPr>
                <w:rFonts w:hint="eastAsia"/>
              </w:rPr>
              <w:t>生态环境关联事项集成办-环评、排污、入河、危废许可证综合审批-技术评估</w:t>
            </w:r>
          </w:p>
        </w:tc>
        <w:tc>
          <w:tcPr>
            <w:tcW w:w="4050" w:type="dxa"/>
            <w:tcBorders>
              <w:top w:val="single" w:color="000000" w:sz="4" w:space="0"/>
              <w:left w:val="single" w:color="000000" w:sz="4" w:space="0"/>
              <w:bottom w:val="single" w:color="000000" w:sz="4" w:space="0"/>
              <w:right w:val="single" w:color="000000" w:sz="4" w:space="0"/>
            </w:tcBorders>
            <w:vAlign w:val="center"/>
          </w:tcPr>
          <w:p w14:paraId="1E594C65">
            <w:pPr>
              <w:pStyle w:val="135"/>
              <w:spacing w:line="240" w:lineRule="auto"/>
            </w:pPr>
            <w:r>
              <w:rPr>
                <w:rFonts w:hint="eastAsia"/>
              </w:rPr>
              <w:t>1.技术评估专家抽取：技术评估环节定制专家抽取规则，设置回避规则、指定规则、按行业领域的比例进行抽取。</w:t>
            </w:r>
            <w:r>
              <w:rPr>
                <w:rFonts w:hint="eastAsia"/>
              </w:rPr>
              <w:br w:type="textWrapping"/>
            </w:r>
            <w:r>
              <w:rPr>
                <w:rFonts w:hint="eastAsia"/>
              </w:rPr>
              <w:t>2.技术评估绿色通道：技术评估前置，开设绿色通道，完成技术评估工作。</w:t>
            </w:r>
            <w:r>
              <w:rPr>
                <w:rFonts w:hint="eastAsia"/>
              </w:rPr>
              <w:br w:type="textWrapping"/>
            </w:r>
            <w:r>
              <w:rPr>
                <w:rFonts w:hint="eastAsia"/>
              </w:rPr>
              <w:t>3.技术评估评价：对技术评估进行打分评价，计算总分。</w:t>
            </w:r>
            <w:r>
              <w:rPr>
                <w:rFonts w:hint="eastAsia"/>
              </w:rPr>
              <w:br w:type="textWrapping"/>
            </w:r>
            <w:r>
              <w:rPr>
                <w:rFonts w:hint="eastAsia"/>
              </w:rPr>
              <w:t>4.技术评估绩效跟踪：综合对技术评估完成情况进行综合绩效评估，记录参与会议次数并排序。</w:t>
            </w:r>
          </w:p>
        </w:tc>
      </w:tr>
      <w:tr w14:paraId="1516D2EA">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E764A0D">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B4D8332">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5CA8610D">
            <w:pPr>
              <w:pStyle w:val="135"/>
              <w:spacing w:line="240" w:lineRule="auto"/>
            </w:pPr>
            <w:r>
              <w:rPr>
                <w:rFonts w:hint="eastAsia"/>
              </w:rPr>
              <w:t>生态环境关联事项集成办-环评排污许可一次审批-主动研判</w:t>
            </w:r>
          </w:p>
        </w:tc>
        <w:tc>
          <w:tcPr>
            <w:tcW w:w="4050" w:type="dxa"/>
            <w:tcBorders>
              <w:top w:val="single" w:color="000000" w:sz="4" w:space="0"/>
              <w:left w:val="single" w:color="000000" w:sz="4" w:space="0"/>
              <w:bottom w:val="single" w:color="000000" w:sz="4" w:space="0"/>
              <w:right w:val="single" w:color="000000" w:sz="4" w:space="0"/>
            </w:tcBorders>
            <w:vAlign w:val="center"/>
          </w:tcPr>
          <w:p w14:paraId="0A66DCFE">
            <w:pPr>
              <w:pStyle w:val="135"/>
              <w:spacing w:line="240" w:lineRule="auto"/>
            </w:pPr>
            <w:r>
              <w:rPr>
                <w:rFonts w:hint="eastAsia"/>
              </w:rPr>
              <w:t>打通部排污许可证审批数据，实现环评一次审批主动识别、研判。</w:t>
            </w:r>
          </w:p>
        </w:tc>
      </w:tr>
      <w:tr w14:paraId="191C4EA8">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8EEAD3C">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5597A50">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5B2913C5">
            <w:pPr>
              <w:pStyle w:val="135"/>
              <w:spacing w:line="240" w:lineRule="auto"/>
            </w:pPr>
            <w:r>
              <w:rPr>
                <w:rFonts w:hint="eastAsia"/>
              </w:rPr>
              <w:t>生态环境关联事项集成办-环评排污许可一次审批-自动生成办件及电子材料</w:t>
            </w:r>
          </w:p>
        </w:tc>
        <w:tc>
          <w:tcPr>
            <w:tcW w:w="4050" w:type="dxa"/>
            <w:tcBorders>
              <w:top w:val="single" w:color="000000" w:sz="4" w:space="0"/>
              <w:left w:val="single" w:color="000000" w:sz="4" w:space="0"/>
              <w:bottom w:val="single" w:color="000000" w:sz="4" w:space="0"/>
              <w:right w:val="single" w:color="000000" w:sz="4" w:space="0"/>
            </w:tcBorders>
            <w:vAlign w:val="center"/>
          </w:tcPr>
          <w:p w14:paraId="33D7B59A">
            <w:pPr>
              <w:pStyle w:val="135"/>
              <w:spacing w:line="240" w:lineRule="auto"/>
            </w:pPr>
            <w:r>
              <w:rPr>
                <w:rFonts w:hint="eastAsia"/>
              </w:rPr>
              <w:t>1.自动生成一次审批办件信息。</w:t>
            </w:r>
            <w:r>
              <w:rPr>
                <w:rFonts w:hint="eastAsia"/>
              </w:rPr>
              <w:br w:type="textWrapping"/>
            </w:r>
            <w:r>
              <w:rPr>
                <w:rFonts w:hint="eastAsia"/>
              </w:rPr>
              <w:t>2.自动生成审批电子材料。</w:t>
            </w:r>
          </w:p>
        </w:tc>
      </w:tr>
      <w:tr w14:paraId="1751495E">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B86CB4E">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551752F">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71C57E99">
            <w:pPr>
              <w:pStyle w:val="135"/>
              <w:spacing w:line="240" w:lineRule="auto"/>
            </w:pPr>
            <w:r>
              <w:rPr>
                <w:rFonts w:hint="eastAsia"/>
              </w:rPr>
              <w:t>生态环境关联事项集成办-环评排污许可一次审批-一次审批统计</w:t>
            </w:r>
          </w:p>
        </w:tc>
        <w:tc>
          <w:tcPr>
            <w:tcW w:w="4050" w:type="dxa"/>
            <w:tcBorders>
              <w:top w:val="single" w:color="000000" w:sz="4" w:space="0"/>
              <w:left w:val="single" w:color="000000" w:sz="4" w:space="0"/>
              <w:bottom w:val="single" w:color="000000" w:sz="4" w:space="0"/>
              <w:right w:val="single" w:color="000000" w:sz="4" w:space="0"/>
            </w:tcBorders>
            <w:vAlign w:val="center"/>
          </w:tcPr>
          <w:p w14:paraId="7C7576DE">
            <w:pPr>
              <w:pStyle w:val="135"/>
              <w:spacing w:line="240" w:lineRule="auto"/>
            </w:pPr>
            <w:r>
              <w:rPr>
                <w:rFonts w:hint="eastAsia"/>
              </w:rPr>
              <w:t>对一次审批办件标签化管理，统计一次审批数量。</w:t>
            </w:r>
          </w:p>
        </w:tc>
      </w:tr>
      <w:tr w14:paraId="781E7FB7">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771D968">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FD48ECA">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5BFB532C">
            <w:pPr>
              <w:pStyle w:val="135"/>
              <w:spacing w:line="240" w:lineRule="auto"/>
            </w:pPr>
            <w:r>
              <w:rPr>
                <w:rFonts w:hint="eastAsia"/>
              </w:rPr>
              <w:t>生态环境关联事项集成办-环评打捆审批-打捆审批填报-公示改造</w:t>
            </w:r>
          </w:p>
        </w:tc>
        <w:tc>
          <w:tcPr>
            <w:tcW w:w="4050" w:type="dxa"/>
            <w:tcBorders>
              <w:top w:val="single" w:color="000000" w:sz="4" w:space="0"/>
              <w:left w:val="single" w:color="000000" w:sz="4" w:space="0"/>
              <w:bottom w:val="single" w:color="000000" w:sz="4" w:space="0"/>
              <w:right w:val="single" w:color="000000" w:sz="4" w:space="0"/>
            </w:tcBorders>
            <w:vAlign w:val="center"/>
          </w:tcPr>
          <w:p w14:paraId="42E63584">
            <w:pPr>
              <w:pStyle w:val="135"/>
              <w:spacing w:line="240" w:lineRule="auto"/>
            </w:pPr>
            <w:r>
              <w:rPr>
                <w:rFonts w:hint="eastAsia"/>
              </w:rPr>
              <w:t>1.改造报批前公示企业填报及公示相关功能，实现打捆审批标签化，多个建设主体一次填报。</w:t>
            </w:r>
            <w:r>
              <w:rPr>
                <w:rFonts w:hint="eastAsia"/>
              </w:rPr>
              <w:br w:type="textWrapping"/>
            </w:r>
            <w:r>
              <w:rPr>
                <w:rFonts w:hint="eastAsia"/>
              </w:rPr>
              <w:t>2.打捆审批类项目许可申请填报改造，改造环评审批企业填报端相关功能，预填打捆审批专业信息。</w:t>
            </w:r>
          </w:p>
        </w:tc>
      </w:tr>
      <w:tr w14:paraId="4903EEDB">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E0F82C2">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661BDB6">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5A2ECA90">
            <w:pPr>
              <w:pStyle w:val="135"/>
              <w:spacing w:line="240" w:lineRule="auto"/>
            </w:pPr>
            <w:r>
              <w:rPr>
                <w:rFonts w:hint="eastAsia"/>
              </w:rPr>
              <w:t>生态环境关联事项集成办-环评打捆审批-打捆审批类项目审批端改造</w:t>
            </w:r>
          </w:p>
        </w:tc>
        <w:tc>
          <w:tcPr>
            <w:tcW w:w="4050" w:type="dxa"/>
            <w:tcBorders>
              <w:top w:val="single" w:color="000000" w:sz="4" w:space="0"/>
              <w:left w:val="single" w:color="000000" w:sz="4" w:space="0"/>
              <w:bottom w:val="single" w:color="000000" w:sz="4" w:space="0"/>
              <w:right w:val="single" w:color="000000" w:sz="4" w:space="0"/>
            </w:tcBorders>
            <w:vAlign w:val="center"/>
          </w:tcPr>
          <w:p w14:paraId="56536E87">
            <w:pPr>
              <w:pStyle w:val="135"/>
              <w:spacing w:line="240" w:lineRule="auto"/>
            </w:pPr>
            <w:r>
              <w:rPr>
                <w:rFonts w:hint="eastAsia"/>
              </w:rPr>
              <w:t>改造环评审批端相关功能，改造电子证照生成机制，读取多个建设主体。</w:t>
            </w:r>
          </w:p>
        </w:tc>
      </w:tr>
      <w:tr w14:paraId="6B6EC928">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47336E14">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712AF55">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35A1DDF">
            <w:pPr>
              <w:pStyle w:val="135"/>
              <w:spacing w:line="240" w:lineRule="auto"/>
            </w:pPr>
            <w:r>
              <w:rPr>
                <w:rFonts w:hint="eastAsia"/>
              </w:rPr>
              <w:t>生态环境关联事项集成办-环评打捆审批-打捆审批类项目中后期验收填报-公示改造</w:t>
            </w:r>
          </w:p>
        </w:tc>
        <w:tc>
          <w:tcPr>
            <w:tcW w:w="4050" w:type="dxa"/>
            <w:tcBorders>
              <w:top w:val="single" w:color="000000" w:sz="4" w:space="0"/>
              <w:left w:val="single" w:color="000000" w:sz="4" w:space="0"/>
              <w:bottom w:val="single" w:color="000000" w:sz="4" w:space="0"/>
              <w:right w:val="single" w:color="000000" w:sz="4" w:space="0"/>
            </w:tcBorders>
            <w:vAlign w:val="center"/>
          </w:tcPr>
          <w:p w14:paraId="01567840">
            <w:pPr>
              <w:pStyle w:val="135"/>
              <w:spacing w:line="240" w:lineRule="auto"/>
            </w:pPr>
            <w:r>
              <w:rPr>
                <w:rFonts w:hint="eastAsia"/>
              </w:rPr>
              <w:t>改造建设项目中后期相关功能，实现按多个建设主体，可多次进行验收填报。</w:t>
            </w:r>
          </w:p>
        </w:tc>
      </w:tr>
      <w:tr w14:paraId="455C98F0">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445A7BD">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469C0C5">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5D5E15D2">
            <w:pPr>
              <w:pStyle w:val="135"/>
              <w:spacing w:line="240" w:lineRule="auto"/>
            </w:pPr>
            <w:r>
              <w:rPr>
                <w:rFonts w:hint="eastAsia"/>
              </w:rPr>
              <w:t>生态环境关联事项集成办-固定资产投资项目审批一件事改造-一件事前置流程预填</w:t>
            </w:r>
          </w:p>
        </w:tc>
        <w:tc>
          <w:tcPr>
            <w:tcW w:w="4050" w:type="dxa"/>
            <w:tcBorders>
              <w:top w:val="single" w:color="000000" w:sz="4" w:space="0"/>
              <w:left w:val="single" w:color="000000" w:sz="4" w:space="0"/>
              <w:bottom w:val="single" w:color="000000" w:sz="4" w:space="0"/>
              <w:right w:val="single" w:color="000000" w:sz="4" w:space="0"/>
            </w:tcBorders>
            <w:vAlign w:val="center"/>
          </w:tcPr>
          <w:p w14:paraId="6D5777EF">
            <w:pPr>
              <w:pStyle w:val="135"/>
              <w:spacing w:line="240" w:lineRule="auto"/>
            </w:pPr>
            <w:r>
              <w:rPr>
                <w:rFonts w:hint="eastAsia"/>
              </w:rPr>
              <w:t>通过一件事编码完成数据对接，对环评报批前公示填报提供数据预填服务。</w:t>
            </w:r>
          </w:p>
        </w:tc>
      </w:tr>
      <w:tr w14:paraId="25343E62">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21D71C3">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47C165E">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EBFB4A4">
            <w:pPr>
              <w:pStyle w:val="135"/>
              <w:spacing w:line="240" w:lineRule="auto"/>
            </w:pPr>
            <w:r>
              <w:rPr>
                <w:rFonts w:hint="eastAsia"/>
              </w:rPr>
              <w:t>生态环境关联事项集成办-固定资产投资项目审批一件事改造-环境影响评价审批对接</w:t>
            </w:r>
          </w:p>
        </w:tc>
        <w:tc>
          <w:tcPr>
            <w:tcW w:w="4050" w:type="dxa"/>
            <w:tcBorders>
              <w:top w:val="single" w:color="000000" w:sz="4" w:space="0"/>
              <w:left w:val="single" w:color="000000" w:sz="4" w:space="0"/>
              <w:bottom w:val="single" w:color="000000" w:sz="4" w:space="0"/>
              <w:right w:val="single" w:color="000000" w:sz="4" w:space="0"/>
            </w:tcBorders>
            <w:vAlign w:val="center"/>
          </w:tcPr>
          <w:p w14:paraId="6122211B">
            <w:pPr>
              <w:pStyle w:val="135"/>
              <w:spacing w:line="240" w:lineRule="auto"/>
            </w:pPr>
            <w:r>
              <w:rPr>
                <w:rFonts w:hint="eastAsia"/>
              </w:rPr>
              <w:t>通过一件事编码和固定资产编码数据衔接打通</w:t>
            </w:r>
          </w:p>
        </w:tc>
      </w:tr>
      <w:tr w14:paraId="033B07E7">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D69103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6687680E">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0134B8A3">
            <w:pPr>
              <w:pStyle w:val="135"/>
              <w:spacing w:line="240" w:lineRule="auto"/>
            </w:pPr>
            <w:r>
              <w:rPr>
                <w:rFonts w:hint="eastAsia"/>
              </w:rPr>
              <w:t>生态环境关联事项集成办-固定资产投资项目审批一件事改造-一件事办件流程管理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66D7B0F7">
            <w:pPr>
              <w:pStyle w:val="135"/>
              <w:spacing w:line="240" w:lineRule="auto"/>
            </w:pPr>
            <w:r>
              <w:rPr>
                <w:rFonts w:hint="eastAsia"/>
              </w:rPr>
              <w:t>按照一件事标准开发联调，完成一件事办件流程对接和消息推送。</w:t>
            </w:r>
          </w:p>
        </w:tc>
      </w:tr>
      <w:tr w14:paraId="6D4FD797">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6C9F0DA">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30ADBA6">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F433654">
            <w:pPr>
              <w:pStyle w:val="135"/>
              <w:spacing w:line="240" w:lineRule="auto"/>
            </w:pPr>
            <w:r>
              <w:rPr>
                <w:rFonts w:hint="eastAsia"/>
              </w:rPr>
              <w:t>生态环境免申办-新增“碳普惠减排项目申报-新办”免申即享-智能导引</w:t>
            </w:r>
          </w:p>
        </w:tc>
        <w:tc>
          <w:tcPr>
            <w:tcW w:w="4050" w:type="dxa"/>
            <w:tcBorders>
              <w:top w:val="single" w:color="000000" w:sz="4" w:space="0"/>
              <w:left w:val="single" w:color="000000" w:sz="4" w:space="0"/>
              <w:bottom w:val="single" w:color="000000" w:sz="4" w:space="0"/>
              <w:right w:val="single" w:color="000000" w:sz="4" w:space="0"/>
            </w:tcBorders>
            <w:vAlign w:val="center"/>
          </w:tcPr>
          <w:p w14:paraId="3DECB5CE">
            <w:pPr>
              <w:pStyle w:val="135"/>
              <w:spacing w:line="240" w:lineRule="auto"/>
            </w:pPr>
            <w:r>
              <w:rPr>
                <w:rFonts w:hint="eastAsia"/>
              </w:rPr>
              <w:t>梳理前置提醒，提供办理须知、办件情形导引服务</w:t>
            </w:r>
          </w:p>
        </w:tc>
      </w:tr>
      <w:tr w14:paraId="7B6F5C77">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B10904B">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DC7587D">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33EC774">
            <w:pPr>
              <w:pStyle w:val="135"/>
              <w:spacing w:line="240" w:lineRule="auto"/>
            </w:pPr>
            <w:r>
              <w:rPr>
                <w:rFonts w:hint="eastAsia"/>
              </w:rPr>
              <w:t>生态环境免申办-新增“碳普惠减排项目申报-新办”免申即享-扫码上传、材料预审</w:t>
            </w:r>
          </w:p>
        </w:tc>
        <w:tc>
          <w:tcPr>
            <w:tcW w:w="4050" w:type="dxa"/>
            <w:tcBorders>
              <w:top w:val="single" w:color="000000" w:sz="4" w:space="0"/>
              <w:left w:val="single" w:color="000000" w:sz="4" w:space="0"/>
              <w:bottom w:val="single" w:color="000000" w:sz="4" w:space="0"/>
              <w:right w:val="single" w:color="000000" w:sz="4" w:space="0"/>
            </w:tcBorders>
            <w:vAlign w:val="center"/>
          </w:tcPr>
          <w:p w14:paraId="7FACFD93">
            <w:pPr>
              <w:pStyle w:val="135"/>
              <w:spacing w:line="240" w:lineRule="auto"/>
            </w:pPr>
            <w:r>
              <w:rPr>
                <w:rFonts w:hint="eastAsia"/>
              </w:rPr>
              <w:t>开发扫码上传功能，支持用户通过手机扫码方式便捷上传申报材料。</w:t>
            </w:r>
          </w:p>
        </w:tc>
      </w:tr>
      <w:tr w14:paraId="44833C10">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E04DB51">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52FB394">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CBC880A">
            <w:pPr>
              <w:pStyle w:val="135"/>
              <w:spacing w:line="240" w:lineRule="auto"/>
            </w:pPr>
            <w:r>
              <w:rPr>
                <w:rFonts w:hint="eastAsia"/>
              </w:rPr>
              <w:t>生态环境免申办-新增“碳普惠减排项目申报-新办”免申即享-智能填表</w:t>
            </w:r>
          </w:p>
        </w:tc>
        <w:tc>
          <w:tcPr>
            <w:tcW w:w="4050" w:type="dxa"/>
            <w:tcBorders>
              <w:top w:val="single" w:color="000000" w:sz="4" w:space="0"/>
              <w:left w:val="single" w:color="000000" w:sz="4" w:space="0"/>
              <w:bottom w:val="single" w:color="000000" w:sz="4" w:space="0"/>
              <w:right w:val="single" w:color="000000" w:sz="4" w:space="0"/>
            </w:tcBorders>
            <w:vAlign w:val="center"/>
          </w:tcPr>
          <w:p w14:paraId="154CF467">
            <w:pPr>
              <w:pStyle w:val="135"/>
              <w:spacing w:line="240" w:lineRule="auto"/>
            </w:pPr>
            <w:r>
              <w:rPr>
                <w:rFonts w:hint="eastAsia"/>
              </w:rPr>
              <w:t>通过对接“一网通办”平台的数据资源，实现对“碳普惠减排项目申报-新办”事项相关数据的自动调取和共享</w:t>
            </w:r>
          </w:p>
        </w:tc>
      </w:tr>
      <w:tr w14:paraId="0D188347">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043A4C3">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34D8A68">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0658018">
            <w:pPr>
              <w:pStyle w:val="135"/>
              <w:spacing w:line="240" w:lineRule="auto"/>
            </w:pPr>
            <w:r>
              <w:rPr>
                <w:rFonts w:hint="eastAsia"/>
              </w:rPr>
              <w:t>长三角跨域协同办-新增“一般固体废物跨省级行政区域贮存、处置审批”行政许可事项申请和审批-办理须知、智能填表、材料预检</w:t>
            </w:r>
          </w:p>
        </w:tc>
        <w:tc>
          <w:tcPr>
            <w:tcW w:w="4050" w:type="dxa"/>
            <w:tcBorders>
              <w:top w:val="single" w:color="000000" w:sz="4" w:space="0"/>
              <w:left w:val="single" w:color="000000" w:sz="4" w:space="0"/>
              <w:bottom w:val="single" w:color="000000" w:sz="4" w:space="0"/>
              <w:right w:val="single" w:color="000000" w:sz="4" w:space="0"/>
            </w:tcBorders>
            <w:vAlign w:val="center"/>
          </w:tcPr>
          <w:p w14:paraId="0C63AD0D">
            <w:pPr>
              <w:pStyle w:val="135"/>
              <w:spacing w:line="240" w:lineRule="auto"/>
            </w:pPr>
            <w:r>
              <w:rPr>
                <w:rFonts w:hint="eastAsia"/>
              </w:rPr>
              <w:t>1.办理须知提醒：梳理业务办理审查细则和办件适用情形，为企业提供政策解读办理须知服务，明确该事项的办理条件及相关注意事项。倒计时提醒，倒计时结束方可进行继续办理。</w:t>
            </w:r>
            <w:r>
              <w:rPr>
                <w:rFonts w:hint="eastAsia"/>
              </w:rPr>
              <w:br w:type="textWrapping"/>
            </w:r>
            <w:r>
              <w:rPr>
                <w:rFonts w:hint="eastAsia"/>
              </w:rPr>
              <w:t>2.智能填表：对企业基础信息进行预填，在线填报一般固体废物贮存、处置等相关专业信息。</w:t>
            </w:r>
            <w:r>
              <w:rPr>
                <w:rFonts w:hint="eastAsia"/>
              </w:rPr>
              <w:br w:type="textWrapping"/>
            </w:r>
            <w:r>
              <w:rPr>
                <w:rFonts w:hint="eastAsia"/>
              </w:rPr>
              <w:t>3.材料预检：对企业提交的一般固体废物跨省转移处置或贮存申报表；固体废物转移单位与运输单位、处置或贮存单位签订的合同（合同中应当约定污染防治要求（盖章电子扫描件）等附件完备性进行校验。</w:t>
            </w:r>
          </w:p>
        </w:tc>
      </w:tr>
      <w:tr w14:paraId="0CBCE4E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1A587B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2EFAE7D">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5B786E5">
            <w:pPr>
              <w:pStyle w:val="135"/>
              <w:spacing w:line="240" w:lineRule="auto"/>
            </w:pPr>
            <w:r>
              <w:rPr>
                <w:rFonts w:hint="eastAsia"/>
              </w:rPr>
              <w:t>长三角跨域协同办-新增“一般固体废物跨省级行政区域贮存、处置审批”行政许可事项申请和审批-在线签章、补正等便民服务</w:t>
            </w:r>
          </w:p>
        </w:tc>
        <w:tc>
          <w:tcPr>
            <w:tcW w:w="4050" w:type="dxa"/>
            <w:tcBorders>
              <w:top w:val="single" w:color="000000" w:sz="4" w:space="0"/>
              <w:left w:val="single" w:color="000000" w:sz="4" w:space="0"/>
              <w:bottom w:val="single" w:color="000000" w:sz="4" w:space="0"/>
              <w:right w:val="single" w:color="000000" w:sz="4" w:space="0"/>
            </w:tcBorders>
            <w:vAlign w:val="center"/>
          </w:tcPr>
          <w:p w14:paraId="6E759BE4">
            <w:pPr>
              <w:pStyle w:val="135"/>
              <w:spacing w:line="240" w:lineRule="auto"/>
            </w:pPr>
            <w:r>
              <w:rPr>
                <w:rFonts w:hint="eastAsia"/>
              </w:rPr>
              <w:t>提供在线签章服务。提供在线补正功能，企业可在企业主页-企业办件查阅补正意见继续办件，及时补正。对接一网通办办件库和企业主页，实时推送审批节点信息，方便企业知晓审批进度。提供电子证照，可在企业主页-企业证照查阅批复证照。</w:t>
            </w:r>
          </w:p>
        </w:tc>
      </w:tr>
      <w:tr w14:paraId="3BA2B733">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EE92098">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243FA44D">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78685424">
            <w:pPr>
              <w:pStyle w:val="135"/>
              <w:spacing w:line="240" w:lineRule="auto"/>
            </w:pPr>
            <w:r>
              <w:rPr>
                <w:rFonts w:hint="eastAsia"/>
              </w:rPr>
              <w:t>长三角跨域协同办-新增“一般固体废物跨省级行政区域贮存、处置审批”行政许可事项申请和审批-转移审批智能合约数据上链改造</w:t>
            </w:r>
          </w:p>
        </w:tc>
        <w:tc>
          <w:tcPr>
            <w:tcW w:w="4050" w:type="dxa"/>
            <w:tcBorders>
              <w:top w:val="single" w:color="000000" w:sz="4" w:space="0"/>
              <w:left w:val="single" w:color="000000" w:sz="4" w:space="0"/>
              <w:bottom w:val="single" w:color="000000" w:sz="4" w:space="0"/>
              <w:right w:val="single" w:color="000000" w:sz="4" w:space="0"/>
            </w:tcBorders>
            <w:vAlign w:val="center"/>
          </w:tcPr>
          <w:p w14:paraId="462AEB89">
            <w:pPr>
              <w:pStyle w:val="135"/>
              <w:spacing w:line="240" w:lineRule="auto"/>
            </w:pPr>
            <w:r>
              <w:rPr>
                <w:rFonts w:hint="eastAsia"/>
              </w:rPr>
              <w:t>适配固废链，实现转移审批业务数据、审批数据、电子材料等数据上链。</w:t>
            </w:r>
          </w:p>
        </w:tc>
      </w:tr>
      <w:tr w14:paraId="48D3AC46">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92ADE33">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6578E2E">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991D2E9">
            <w:pPr>
              <w:pStyle w:val="135"/>
              <w:spacing w:line="240" w:lineRule="auto"/>
            </w:pPr>
            <w:r>
              <w:rPr>
                <w:rFonts w:hint="eastAsia"/>
              </w:rPr>
              <w:t>长三角跨域协同办-新增“一般固体废物跨省级行政区域贮存、处置审批”行政许可事项申请和审批-转移审批智能合约数据查询改造</w:t>
            </w:r>
          </w:p>
        </w:tc>
        <w:tc>
          <w:tcPr>
            <w:tcW w:w="4050" w:type="dxa"/>
            <w:tcBorders>
              <w:top w:val="single" w:color="000000" w:sz="4" w:space="0"/>
              <w:left w:val="single" w:color="000000" w:sz="4" w:space="0"/>
              <w:bottom w:val="single" w:color="000000" w:sz="4" w:space="0"/>
              <w:right w:val="single" w:color="000000" w:sz="4" w:space="0"/>
            </w:tcBorders>
            <w:vAlign w:val="center"/>
          </w:tcPr>
          <w:p w14:paraId="5FAF8A0C">
            <w:pPr>
              <w:pStyle w:val="135"/>
              <w:spacing w:line="240" w:lineRule="auto"/>
            </w:pPr>
            <w:r>
              <w:rPr>
                <w:rFonts w:hint="eastAsia"/>
              </w:rPr>
              <w:t>适配固废链，实现转移审批表数据上链、备案表数据查询</w:t>
            </w:r>
          </w:p>
        </w:tc>
      </w:tr>
      <w:tr w14:paraId="2BB6CB80">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E8C2CE4">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9FADAE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5D34E58">
            <w:pPr>
              <w:pStyle w:val="135"/>
              <w:spacing w:line="240" w:lineRule="auto"/>
            </w:pPr>
            <w:r>
              <w:rPr>
                <w:rFonts w:hint="eastAsia"/>
              </w:rPr>
              <w:t>长三角跨域协同办-新增“一般固体废物跨省级行政区域贮存、处置审批”行政许可事项申请和审批-转移审批字段调整</w:t>
            </w:r>
          </w:p>
        </w:tc>
        <w:tc>
          <w:tcPr>
            <w:tcW w:w="4050" w:type="dxa"/>
            <w:tcBorders>
              <w:top w:val="single" w:color="000000" w:sz="4" w:space="0"/>
              <w:left w:val="single" w:color="000000" w:sz="4" w:space="0"/>
              <w:bottom w:val="single" w:color="000000" w:sz="4" w:space="0"/>
              <w:right w:val="single" w:color="000000" w:sz="4" w:space="0"/>
            </w:tcBorders>
            <w:vAlign w:val="center"/>
          </w:tcPr>
          <w:p w14:paraId="7DAB02C3">
            <w:pPr>
              <w:pStyle w:val="135"/>
              <w:spacing w:line="240" w:lineRule="auto"/>
            </w:pPr>
            <w:r>
              <w:rPr>
                <w:rFonts w:hint="eastAsia"/>
              </w:rPr>
              <w:t>适配固废链，对转移审批业务信息按危废链要求进行调整</w:t>
            </w:r>
          </w:p>
        </w:tc>
      </w:tr>
      <w:tr w14:paraId="1717399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459EB44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6BA6743">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AF7BBA8">
            <w:pPr>
              <w:pStyle w:val="135"/>
              <w:spacing w:line="240" w:lineRule="auto"/>
            </w:pPr>
            <w:r>
              <w:rPr>
                <w:rFonts w:hint="eastAsia"/>
              </w:rPr>
              <w:t>长三角跨域协同办-新增“一般固体废物跨省级行政区域贮存、处置审批”行政许可事项申请和审批-办件审批</w:t>
            </w:r>
          </w:p>
        </w:tc>
        <w:tc>
          <w:tcPr>
            <w:tcW w:w="4050" w:type="dxa"/>
            <w:tcBorders>
              <w:top w:val="single" w:color="000000" w:sz="4" w:space="0"/>
              <w:left w:val="single" w:color="000000" w:sz="4" w:space="0"/>
              <w:bottom w:val="single" w:color="000000" w:sz="4" w:space="0"/>
              <w:right w:val="single" w:color="000000" w:sz="4" w:space="0"/>
            </w:tcBorders>
            <w:vAlign w:val="center"/>
          </w:tcPr>
          <w:p w14:paraId="7816D966">
            <w:pPr>
              <w:pStyle w:val="135"/>
              <w:spacing w:line="240" w:lineRule="auto"/>
            </w:pPr>
            <w:r>
              <w:rPr>
                <w:rFonts w:hint="eastAsia"/>
              </w:rPr>
              <w:t>生态环境业务人员可在电子政务平台对企业申请办件进行审批，在线拟函，签章、批复。</w:t>
            </w:r>
          </w:p>
        </w:tc>
      </w:tr>
      <w:tr w14:paraId="5D3F8E73">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A8F54AB">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7A231E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F3C455B">
            <w:pPr>
              <w:pStyle w:val="135"/>
              <w:spacing w:line="240" w:lineRule="auto"/>
            </w:pPr>
            <w:r>
              <w:rPr>
                <w:rFonts w:hint="eastAsia"/>
              </w:rPr>
              <w:t>长三角跨域协同办-一般固体废物跨省转移备案智慧好办升级改造-转移备案办理须知提醒、智能预填服务</w:t>
            </w:r>
          </w:p>
        </w:tc>
        <w:tc>
          <w:tcPr>
            <w:tcW w:w="4050" w:type="dxa"/>
            <w:tcBorders>
              <w:top w:val="single" w:color="000000" w:sz="4" w:space="0"/>
              <w:left w:val="single" w:color="000000" w:sz="4" w:space="0"/>
              <w:bottom w:val="single" w:color="000000" w:sz="4" w:space="0"/>
              <w:right w:val="single" w:color="000000" w:sz="4" w:space="0"/>
            </w:tcBorders>
            <w:vAlign w:val="center"/>
          </w:tcPr>
          <w:p w14:paraId="619B8C6A">
            <w:pPr>
              <w:pStyle w:val="135"/>
              <w:spacing w:line="240" w:lineRule="auto"/>
            </w:pPr>
            <w:r>
              <w:rPr>
                <w:rFonts w:hint="eastAsia"/>
              </w:rPr>
              <w:t>1.办理须知主要是为告知申请人需满足办理条件和具备资质。</w:t>
            </w:r>
            <w:r>
              <w:rPr>
                <w:rFonts w:hint="eastAsia"/>
              </w:rPr>
              <w:br w:type="textWrapping"/>
            </w:r>
            <w:r>
              <w:rPr>
                <w:rFonts w:hint="eastAsia"/>
              </w:rPr>
              <w:t>2.智能预填：通过企业社会信用统一代码识别企业ID，为其预填企业基础信息，如企业名称、地址、法人姓名等。</w:t>
            </w:r>
          </w:p>
        </w:tc>
      </w:tr>
      <w:tr w14:paraId="64F6B76D">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23B894C">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B805475">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B4374C0">
            <w:pPr>
              <w:pStyle w:val="135"/>
              <w:spacing w:line="240" w:lineRule="auto"/>
            </w:pPr>
            <w:r>
              <w:rPr>
                <w:rFonts w:hint="eastAsia"/>
              </w:rPr>
              <w:t>长三角跨域协同办-一般固体废物跨省转移备案智慧好办升级改造-废物产废源头/转移过程/利用末端管控</w:t>
            </w:r>
          </w:p>
        </w:tc>
        <w:tc>
          <w:tcPr>
            <w:tcW w:w="4050" w:type="dxa"/>
            <w:tcBorders>
              <w:top w:val="single" w:color="000000" w:sz="4" w:space="0"/>
              <w:left w:val="single" w:color="000000" w:sz="4" w:space="0"/>
              <w:bottom w:val="single" w:color="000000" w:sz="4" w:space="0"/>
              <w:right w:val="single" w:color="000000" w:sz="4" w:space="0"/>
            </w:tcBorders>
            <w:vAlign w:val="center"/>
          </w:tcPr>
          <w:p w14:paraId="06BBDFEB">
            <w:pPr>
              <w:pStyle w:val="135"/>
              <w:spacing w:line="240" w:lineRule="auto"/>
            </w:pPr>
            <w:r>
              <w:rPr>
                <w:rFonts w:hint="eastAsia"/>
              </w:rPr>
              <w:t>1.源头监管：包含产废基本信息管理、废物说明参考管理：转移废物信息管理：产生过程及工艺说明：产废信息地址管理：产废备案期限自然年度限制等。</w:t>
            </w:r>
            <w:r>
              <w:rPr>
                <w:rFonts w:hint="eastAsia"/>
              </w:rPr>
              <w:br w:type="textWrapping"/>
            </w:r>
            <w:r>
              <w:rPr>
                <w:rFonts w:hint="eastAsia"/>
              </w:rPr>
              <w:t>2.废物转移过程监管：加强废物转移过程监管，运输方式管理可选择汽车、轮船、其他三种运输方式，并对运输路线管控，明确固体废物流转路径。如选择轮船运输方式，明确离岸码头信息。</w:t>
            </w:r>
            <w:r>
              <w:rPr>
                <w:rFonts w:hint="eastAsia"/>
              </w:rPr>
              <w:br w:type="textWrapping"/>
            </w:r>
            <w:r>
              <w:rPr>
                <w:rFonts w:hint="eastAsia"/>
              </w:rPr>
              <w:t>3.废物利用末端管控:利用单位信息管理：明确废物利用单位名称、社会统一信用代码、联系人及联系方式信息。</w:t>
            </w:r>
            <w:r>
              <w:rPr>
                <w:rFonts w:hint="eastAsia"/>
              </w:rPr>
              <w:br w:type="textWrapping"/>
            </w:r>
            <w:r>
              <w:rPr>
                <w:rFonts w:hint="eastAsia"/>
              </w:rPr>
              <w:t>利用设施备案记录：明确处置废物设备所在地详细信息，如设施所在市、县、街道、星系门牌号信息。</w:t>
            </w:r>
            <w:r>
              <w:rPr>
                <w:rFonts w:hint="eastAsia"/>
              </w:rPr>
              <w:br w:type="textWrapping"/>
            </w:r>
            <w:r>
              <w:rPr>
                <w:rFonts w:hint="eastAsia"/>
              </w:rPr>
              <w:t>4.处理利用方式说明：明确废物处置利用方式和工艺说明，确定废物末端处置方式是否满足要求。</w:t>
            </w:r>
          </w:p>
        </w:tc>
      </w:tr>
      <w:tr w14:paraId="5DB08759">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5882AA6">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EDB9C91">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C3C1AFB">
            <w:pPr>
              <w:pStyle w:val="135"/>
              <w:spacing w:line="240" w:lineRule="auto"/>
            </w:pPr>
            <w:r>
              <w:rPr>
                <w:rFonts w:hint="eastAsia"/>
              </w:rPr>
              <w:t>长三角跨域协同办-一般固体废物跨省转移备案智慧好办升级改造-办件列表再来一单服务</w:t>
            </w:r>
          </w:p>
        </w:tc>
        <w:tc>
          <w:tcPr>
            <w:tcW w:w="4050" w:type="dxa"/>
            <w:tcBorders>
              <w:top w:val="single" w:color="000000" w:sz="4" w:space="0"/>
              <w:left w:val="single" w:color="000000" w:sz="4" w:space="0"/>
              <w:bottom w:val="single" w:color="000000" w:sz="4" w:space="0"/>
              <w:right w:val="single" w:color="000000" w:sz="4" w:space="0"/>
            </w:tcBorders>
            <w:vAlign w:val="center"/>
          </w:tcPr>
          <w:p w14:paraId="118FC034">
            <w:pPr>
              <w:pStyle w:val="135"/>
              <w:spacing w:line="240" w:lineRule="auto"/>
            </w:pPr>
            <w:r>
              <w:rPr>
                <w:rFonts w:hint="eastAsia"/>
              </w:rPr>
              <w:t>对暂存件、已提交件生成办件记录。可继续对暂存件继续办理。对非首次办理用户，可在办件列表点击再来一单服务，直接预填最新一次已办件。</w:t>
            </w:r>
          </w:p>
        </w:tc>
      </w:tr>
      <w:tr w14:paraId="424DFEC0">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D7E82CC">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ADCDBC4">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F2865BB">
            <w:pPr>
              <w:pStyle w:val="135"/>
              <w:spacing w:line="240" w:lineRule="auto"/>
            </w:pPr>
            <w:r>
              <w:rPr>
                <w:rFonts w:hint="eastAsia"/>
              </w:rPr>
              <w:t>长三角跨域协同办-一般固体废物跨省转移备案智慧好办升级改造-备案撤销申请与审批</w:t>
            </w:r>
          </w:p>
        </w:tc>
        <w:tc>
          <w:tcPr>
            <w:tcW w:w="4050" w:type="dxa"/>
            <w:tcBorders>
              <w:top w:val="single" w:color="000000" w:sz="4" w:space="0"/>
              <w:left w:val="single" w:color="000000" w:sz="4" w:space="0"/>
              <w:bottom w:val="single" w:color="000000" w:sz="4" w:space="0"/>
              <w:right w:val="single" w:color="000000" w:sz="4" w:space="0"/>
            </w:tcBorders>
            <w:vAlign w:val="center"/>
          </w:tcPr>
          <w:p w14:paraId="0BDC5A51">
            <w:pPr>
              <w:pStyle w:val="135"/>
              <w:spacing w:line="240" w:lineRule="auto"/>
            </w:pPr>
            <w:r>
              <w:rPr>
                <w:rFonts w:hint="eastAsia"/>
              </w:rPr>
              <w:t>在审批端区生态环境局可新增备案批复证照撤销，市局审批同意后可对原备案撤销。</w:t>
            </w:r>
          </w:p>
        </w:tc>
      </w:tr>
      <w:tr w14:paraId="3795C207">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BB941B0">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118CAAE">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CFA1288">
            <w:pPr>
              <w:pStyle w:val="135"/>
              <w:spacing w:line="240" w:lineRule="auto"/>
            </w:pPr>
            <w:r>
              <w:rPr>
                <w:rFonts w:hint="eastAsia"/>
              </w:rPr>
              <w:t>长三角跨域协同办-一般固体废物跨省转移备案智慧好办升级改造-撤销备案证照失效</w:t>
            </w:r>
          </w:p>
        </w:tc>
        <w:tc>
          <w:tcPr>
            <w:tcW w:w="4050" w:type="dxa"/>
            <w:tcBorders>
              <w:top w:val="single" w:color="000000" w:sz="4" w:space="0"/>
              <w:left w:val="single" w:color="000000" w:sz="4" w:space="0"/>
              <w:bottom w:val="single" w:color="000000" w:sz="4" w:space="0"/>
              <w:right w:val="single" w:color="000000" w:sz="4" w:space="0"/>
            </w:tcBorders>
            <w:vAlign w:val="center"/>
          </w:tcPr>
          <w:p w14:paraId="1A692AA5">
            <w:pPr>
              <w:pStyle w:val="135"/>
              <w:spacing w:line="240" w:lineRule="auto"/>
            </w:pPr>
            <w:r>
              <w:rPr>
                <w:rFonts w:hint="eastAsia"/>
              </w:rPr>
              <w:t>对同意申请撤销的证照自动撤销，对二维码信息进行更新，扫一扫可显示该电子批复证照已失效，方便检查人员及时获取证照信息。</w:t>
            </w:r>
          </w:p>
        </w:tc>
      </w:tr>
      <w:tr w14:paraId="26A0DC5A">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33D0B47">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7EC731A">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4FDF5F5">
            <w:pPr>
              <w:pStyle w:val="135"/>
              <w:spacing w:line="240" w:lineRule="auto"/>
            </w:pPr>
            <w:r>
              <w:rPr>
                <w:rFonts w:hint="eastAsia"/>
              </w:rPr>
              <w:t>长三角跨域协同办-一般固体废物跨省转移备案智慧好办升级改造-转移备案智能合约数据上链改造</w:t>
            </w:r>
          </w:p>
        </w:tc>
        <w:tc>
          <w:tcPr>
            <w:tcW w:w="4050" w:type="dxa"/>
            <w:tcBorders>
              <w:top w:val="single" w:color="000000" w:sz="4" w:space="0"/>
              <w:left w:val="single" w:color="000000" w:sz="4" w:space="0"/>
              <w:bottom w:val="single" w:color="000000" w:sz="4" w:space="0"/>
              <w:right w:val="single" w:color="000000" w:sz="4" w:space="0"/>
            </w:tcBorders>
            <w:vAlign w:val="center"/>
          </w:tcPr>
          <w:p w14:paraId="5461EC7E">
            <w:pPr>
              <w:pStyle w:val="135"/>
              <w:spacing w:line="240" w:lineRule="auto"/>
            </w:pPr>
            <w:r>
              <w:rPr>
                <w:rFonts w:hint="eastAsia"/>
              </w:rPr>
              <w:t>适配固废链，实现转移备案业务、审批数据、电子材料等数据上链。</w:t>
            </w:r>
          </w:p>
        </w:tc>
      </w:tr>
      <w:tr w14:paraId="0A0FD337">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3F51701">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AE1125E">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1391232">
            <w:pPr>
              <w:pStyle w:val="135"/>
              <w:spacing w:line="240" w:lineRule="auto"/>
            </w:pPr>
            <w:r>
              <w:rPr>
                <w:rFonts w:hint="eastAsia"/>
              </w:rPr>
              <w:t>长三角跨域协同办-一般固体废物跨省转移备案智慧好办升级改造-转移备案智能合约数据查询改造</w:t>
            </w:r>
          </w:p>
        </w:tc>
        <w:tc>
          <w:tcPr>
            <w:tcW w:w="4050" w:type="dxa"/>
            <w:tcBorders>
              <w:top w:val="single" w:color="000000" w:sz="4" w:space="0"/>
              <w:left w:val="single" w:color="000000" w:sz="4" w:space="0"/>
              <w:bottom w:val="single" w:color="000000" w:sz="4" w:space="0"/>
              <w:right w:val="single" w:color="000000" w:sz="4" w:space="0"/>
            </w:tcBorders>
            <w:vAlign w:val="center"/>
          </w:tcPr>
          <w:p w14:paraId="06B97A2D">
            <w:pPr>
              <w:pStyle w:val="135"/>
              <w:spacing w:line="240" w:lineRule="auto"/>
            </w:pPr>
            <w:r>
              <w:rPr>
                <w:rFonts w:hint="eastAsia"/>
              </w:rPr>
              <w:t>适配固废链，实现转移备案表数据上链、备案表数据查询</w:t>
            </w:r>
          </w:p>
        </w:tc>
      </w:tr>
      <w:tr w14:paraId="7D6B76F9">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C8FF31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606B6B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32818D8">
            <w:pPr>
              <w:pStyle w:val="135"/>
              <w:spacing w:line="240" w:lineRule="auto"/>
            </w:pPr>
            <w:r>
              <w:rPr>
                <w:rFonts w:hint="eastAsia"/>
              </w:rPr>
              <w:t>长三角跨域协同办-一般固体废物跨省转移备案智慧好办升级改造-转移备案字段调整</w:t>
            </w:r>
          </w:p>
        </w:tc>
        <w:tc>
          <w:tcPr>
            <w:tcW w:w="4050" w:type="dxa"/>
            <w:tcBorders>
              <w:top w:val="single" w:color="000000" w:sz="4" w:space="0"/>
              <w:left w:val="single" w:color="000000" w:sz="4" w:space="0"/>
              <w:bottom w:val="single" w:color="000000" w:sz="4" w:space="0"/>
              <w:right w:val="single" w:color="000000" w:sz="4" w:space="0"/>
            </w:tcBorders>
            <w:vAlign w:val="center"/>
          </w:tcPr>
          <w:p w14:paraId="1E4DBC65">
            <w:pPr>
              <w:pStyle w:val="135"/>
              <w:spacing w:line="240" w:lineRule="auto"/>
            </w:pPr>
            <w:r>
              <w:rPr>
                <w:rFonts w:hint="eastAsia"/>
              </w:rPr>
              <w:t>适配固废链，对转移备案业务信息按危废链要求进行调整</w:t>
            </w:r>
          </w:p>
        </w:tc>
      </w:tr>
      <w:tr w14:paraId="649E33D8">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93C7234">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2613C3E2">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742F56D1">
            <w:pPr>
              <w:pStyle w:val="135"/>
              <w:spacing w:line="240" w:lineRule="auto"/>
            </w:pPr>
            <w:r>
              <w:rPr>
                <w:rFonts w:hint="eastAsia"/>
              </w:rPr>
              <w:t>新建及520事项政务服务数智赋能升级-危险废物跨省级行政区域转移许可事项（新办）智能改造-智能填表、材料预检、智能预检升级</w:t>
            </w:r>
          </w:p>
        </w:tc>
        <w:tc>
          <w:tcPr>
            <w:tcW w:w="4050" w:type="dxa"/>
            <w:tcBorders>
              <w:top w:val="single" w:color="000000" w:sz="4" w:space="0"/>
              <w:left w:val="single" w:color="000000" w:sz="4" w:space="0"/>
              <w:bottom w:val="single" w:color="000000" w:sz="4" w:space="0"/>
              <w:right w:val="single" w:color="000000" w:sz="4" w:space="0"/>
            </w:tcBorders>
            <w:vAlign w:val="center"/>
          </w:tcPr>
          <w:p w14:paraId="2BC14DBF">
            <w:pPr>
              <w:pStyle w:val="135"/>
              <w:spacing w:line="240" w:lineRule="auto"/>
            </w:pPr>
            <w:r>
              <w:rPr>
                <w:rFonts w:hint="eastAsia"/>
              </w:rPr>
              <w:t>建立运输单位库，提供运输单位选择功能，预填相关信息，并对资质有问题的运输单位进行备案提醒。</w:t>
            </w:r>
            <w:r>
              <w:rPr>
                <w:rFonts w:hint="eastAsia"/>
              </w:rPr>
              <w:br w:type="textWrapping"/>
            </w:r>
            <w:r>
              <w:rPr>
                <w:rFonts w:hint="eastAsia"/>
              </w:rPr>
              <w:t>对企业提交材料升级，一个类型文件支持对应上传多个附件，匹配处理。自动为企生成危险废物运输承诺书，支持在线签章。同时提供下载功能，对无电子章企业可上传线下盖章文件。</w:t>
            </w:r>
            <w:r>
              <w:rPr>
                <w:rFonts w:hint="eastAsia"/>
              </w:rPr>
              <w:br w:type="textWrapping"/>
            </w:r>
            <w:r>
              <w:rPr>
                <w:rFonts w:hint="eastAsia"/>
              </w:rPr>
              <w:t>对企业提交信息增加多条件交叉校验，包括申请许可期限的校验、接收单位许可日期、许可日期校验、转移日期与接收单位有效期比对校验等。</w:t>
            </w:r>
          </w:p>
        </w:tc>
      </w:tr>
      <w:tr w14:paraId="04C7D7D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1FE8124">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244E5C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5DD5F7E">
            <w:pPr>
              <w:pStyle w:val="135"/>
              <w:spacing w:line="240" w:lineRule="auto"/>
            </w:pPr>
            <w:r>
              <w:rPr>
                <w:rFonts w:hint="eastAsia"/>
              </w:rPr>
              <w:t>新建及520事项政务服务数智赋能升级-危险废物跨省级行政区域转移许可事项（新办）智能改造-合规性智能审查</w:t>
            </w:r>
          </w:p>
        </w:tc>
        <w:tc>
          <w:tcPr>
            <w:tcW w:w="4050" w:type="dxa"/>
            <w:tcBorders>
              <w:top w:val="single" w:color="000000" w:sz="4" w:space="0"/>
              <w:left w:val="single" w:color="000000" w:sz="4" w:space="0"/>
              <w:bottom w:val="single" w:color="000000" w:sz="4" w:space="0"/>
              <w:right w:val="single" w:color="000000" w:sz="4" w:space="0"/>
            </w:tcBorders>
            <w:vAlign w:val="center"/>
          </w:tcPr>
          <w:p w14:paraId="7160E189">
            <w:pPr>
              <w:pStyle w:val="135"/>
              <w:spacing w:line="240" w:lineRule="auto"/>
            </w:pPr>
            <w:r>
              <w:rPr>
                <w:rFonts w:hint="eastAsia"/>
              </w:rPr>
              <w:t>对接收单位、运输单位资质审查，如核对接收单位经营许可证经营范围，证书是否在有效期，废物处置方式是否合规性、跨省转移是否合理性和是否按照就近原则进行转移等行为进行判断。</w:t>
            </w:r>
          </w:p>
        </w:tc>
      </w:tr>
      <w:tr w14:paraId="69E488FE">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6053DA7">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6DD735F7">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5440746">
            <w:pPr>
              <w:pStyle w:val="135"/>
              <w:spacing w:line="240" w:lineRule="auto"/>
            </w:pPr>
            <w:r>
              <w:rPr>
                <w:rFonts w:hint="eastAsia"/>
              </w:rPr>
              <w:t>新建及520事项政务服务数智赋能升级-危险废物跨省级行政区域转移许可事项（新办）智能改造-技术评估智能升级</w:t>
            </w:r>
          </w:p>
        </w:tc>
        <w:tc>
          <w:tcPr>
            <w:tcW w:w="4050" w:type="dxa"/>
            <w:tcBorders>
              <w:top w:val="single" w:color="000000" w:sz="4" w:space="0"/>
              <w:left w:val="single" w:color="000000" w:sz="4" w:space="0"/>
              <w:bottom w:val="single" w:color="000000" w:sz="4" w:space="0"/>
              <w:right w:val="single" w:color="000000" w:sz="4" w:space="0"/>
            </w:tcBorders>
            <w:vAlign w:val="center"/>
          </w:tcPr>
          <w:p w14:paraId="4C800001">
            <w:pPr>
              <w:pStyle w:val="135"/>
              <w:spacing w:line="240" w:lineRule="auto"/>
            </w:pPr>
            <w:r>
              <w:rPr>
                <w:rFonts w:hint="eastAsia"/>
              </w:rPr>
              <w:t>运输风险评估智能评估：对运输距离、运输车辆轨迹、危险特性及废物形态进行判断，自动赋分。</w:t>
            </w:r>
            <w:r>
              <w:rPr>
                <w:rFonts w:hint="eastAsia"/>
              </w:rPr>
              <w:br w:type="textWrapping"/>
            </w:r>
            <w:r>
              <w:rPr>
                <w:rFonts w:hint="eastAsia"/>
              </w:rPr>
              <w:t>利用处置风险智能评估：对转移稳定性、利用处置方式、废物价值进行智能评估，给予赋分。</w:t>
            </w:r>
            <w:r>
              <w:rPr>
                <w:rFonts w:hint="eastAsia"/>
              </w:rPr>
              <w:br w:type="textWrapping"/>
            </w:r>
            <w:r>
              <w:rPr>
                <w:rFonts w:hint="eastAsia"/>
              </w:rPr>
              <w:t>规范高效智能评估：对接收单位许可证有效期、能力匹配性、转移量规模、跨省转移许可数进行判断，自动赋分。</w:t>
            </w:r>
            <w:r>
              <w:rPr>
                <w:rFonts w:hint="eastAsia"/>
              </w:rPr>
              <w:br w:type="textWrapping"/>
            </w:r>
            <w:r>
              <w:rPr>
                <w:rFonts w:hint="eastAsia"/>
              </w:rPr>
              <w:t>自动加分项计算：对长三角协同处置能力、白名单单位和清洁运输单位给予一定程度加分。长三角处置能力校验无此类办件跨省申请加5分，接收单位为国家或各省“白名单”利用处置单位的加3分，运输使用国六及以上柴油货车或新能源车的加2分。</w:t>
            </w:r>
          </w:p>
        </w:tc>
      </w:tr>
      <w:tr w14:paraId="358C0EDE">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80E6EF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EA22E6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04BAC62">
            <w:pPr>
              <w:pStyle w:val="135"/>
              <w:spacing w:line="240" w:lineRule="auto"/>
            </w:pPr>
            <w:r>
              <w:rPr>
                <w:rFonts w:hint="eastAsia"/>
              </w:rPr>
              <w:t>新建及520事项政务服务数智赋能升级-危险废物跨省级行政区域转移许可事项（新办）智能改造-人工修正得分</w:t>
            </w:r>
          </w:p>
        </w:tc>
        <w:tc>
          <w:tcPr>
            <w:tcW w:w="4050" w:type="dxa"/>
            <w:tcBorders>
              <w:top w:val="single" w:color="000000" w:sz="4" w:space="0"/>
              <w:left w:val="single" w:color="000000" w:sz="4" w:space="0"/>
              <w:bottom w:val="single" w:color="000000" w:sz="4" w:space="0"/>
              <w:right w:val="single" w:color="000000" w:sz="4" w:space="0"/>
            </w:tcBorders>
            <w:vAlign w:val="center"/>
          </w:tcPr>
          <w:p w14:paraId="61CDC50B">
            <w:pPr>
              <w:pStyle w:val="135"/>
              <w:spacing w:line="240" w:lineRule="auto"/>
            </w:pPr>
            <w:r>
              <w:rPr>
                <w:rFonts w:hint="eastAsia"/>
              </w:rPr>
              <w:t>支持人工修正得分。对于自动打分结果需要修正情况支持技术评估人员人工修改得分。可对修正结果重新计算得分。</w:t>
            </w:r>
          </w:p>
        </w:tc>
      </w:tr>
      <w:tr w14:paraId="5FD03AE1">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7BD68C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1961947">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8D2F351">
            <w:pPr>
              <w:pStyle w:val="135"/>
              <w:spacing w:line="240" w:lineRule="auto"/>
            </w:pPr>
            <w:r>
              <w:rPr>
                <w:rFonts w:hint="eastAsia"/>
              </w:rPr>
              <w:t>新建及520事项政务服务数智赋能升级-危险废物跨省级行政区域转移许可事项（新办）智能改造-统计分析和查询导出功能</w:t>
            </w:r>
          </w:p>
        </w:tc>
        <w:tc>
          <w:tcPr>
            <w:tcW w:w="4050" w:type="dxa"/>
            <w:tcBorders>
              <w:top w:val="single" w:color="000000" w:sz="4" w:space="0"/>
              <w:left w:val="single" w:color="000000" w:sz="4" w:space="0"/>
              <w:bottom w:val="single" w:color="000000" w:sz="4" w:space="0"/>
              <w:right w:val="single" w:color="000000" w:sz="4" w:space="0"/>
            </w:tcBorders>
            <w:vAlign w:val="center"/>
          </w:tcPr>
          <w:p w14:paraId="72471D77">
            <w:pPr>
              <w:pStyle w:val="135"/>
              <w:spacing w:line="240" w:lineRule="auto"/>
            </w:pPr>
            <w:r>
              <w:rPr>
                <w:rFonts w:hint="eastAsia"/>
              </w:rPr>
              <w:t>多维度综合统计和查询导出功能，包括不限于对技术审查的件数及涉及企业数量指标进行统计和展示；对受理-制证完成的时间进行统计，支持查询，等。</w:t>
            </w:r>
          </w:p>
        </w:tc>
      </w:tr>
      <w:tr w14:paraId="04B20CA1">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46F6EE0">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11D3620F">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A5E5795">
            <w:pPr>
              <w:pStyle w:val="135"/>
              <w:spacing w:line="240" w:lineRule="auto"/>
            </w:pPr>
            <w:r>
              <w:rPr>
                <w:rFonts w:hint="eastAsia"/>
              </w:rPr>
              <w:t>新建及520事项政务服务数智赋能升级-危险废物跨省级行政区域转移许可事项（新办）智能改造-批量发征询函、制证</w:t>
            </w:r>
          </w:p>
        </w:tc>
        <w:tc>
          <w:tcPr>
            <w:tcW w:w="4050" w:type="dxa"/>
            <w:tcBorders>
              <w:top w:val="single" w:color="000000" w:sz="4" w:space="0"/>
              <w:left w:val="single" w:color="000000" w:sz="4" w:space="0"/>
              <w:bottom w:val="single" w:color="000000" w:sz="4" w:space="0"/>
              <w:right w:val="single" w:color="000000" w:sz="4" w:space="0"/>
            </w:tcBorders>
            <w:vAlign w:val="center"/>
          </w:tcPr>
          <w:p w14:paraId="753DCA0F">
            <w:pPr>
              <w:pStyle w:val="135"/>
              <w:spacing w:line="240" w:lineRule="auto"/>
            </w:pPr>
            <w:r>
              <w:rPr>
                <w:rFonts w:hint="eastAsia"/>
              </w:rPr>
              <w:t>支持对外省批量发征询函、制证，提升审批效率。</w:t>
            </w:r>
          </w:p>
        </w:tc>
      </w:tr>
      <w:tr w14:paraId="5483BE81">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76C8C71">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73B2A11">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10A30AC">
            <w:pPr>
              <w:pStyle w:val="135"/>
              <w:spacing w:line="240" w:lineRule="auto"/>
            </w:pPr>
            <w:r>
              <w:rPr>
                <w:rFonts w:hint="eastAsia"/>
              </w:rPr>
              <w:t>新建及520事项政务服务数智赋能升级-危险废物跨省级行政区域转移许可事项（新办）智能改造-白名单动态管理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3F20B26E">
            <w:pPr>
              <w:pStyle w:val="135"/>
              <w:spacing w:line="240" w:lineRule="auto"/>
            </w:pPr>
            <w:r>
              <w:rPr>
                <w:rFonts w:hint="eastAsia"/>
              </w:rPr>
              <w:t>支持动态更新各省市废物跨省转移利用白名单企业。</w:t>
            </w:r>
          </w:p>
        </w:tc>
      </w:tr>
      <w:tr w14:paraId="7CA89FD9">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7BE5DF6">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39A4182">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34E883C">
            <w:pPr>
              <w:pStyle w:val="135"/>
              <w:spacing w:line="240" w:lineRule="auto"/>
            </w:pPr>
            <w:r>
              <w:rPr>
                <w:rFonts w:hint="eastAsia"/>
              </w:rPr>
              <w:t>新建及520事项政务服务数智赋能升级-危险废物跨省级行政区域转移许可事项（新办）智能改造-数据共享和协同</w:t>
            </w:r>
          </w:p>
        </w:tc>
        <w:tc>
          <w:tcPr>
            <w:tcW w:w="4050" w:type="dxa"/>
            <w:tcBorders>
              <w:top w:val="single" w:color="000000" w:sz="4" w:space="0"/>
              <w:left w:val="single" w:color="000000" w:sz="4" w:space="0"/>
              <w:bottom w:val="single" w:color="000000" w:sz="4" w:space="0"/>
              <w:right w:val="single" w:color="000000" w:sz="4" w:space="0"/>
            </w:tcBorders>
            <w:vAlign w:val="center"/>
          </w:tcPr>
          <w:p w14:paraId="22E83716">
            <w:pPr>
              <w:pStyle w:val="135"/>
              <w:spacing w:line="240" w:lineRule="auto"/>
            </w:pPr>
            <w:r>
              <w:rPr>
                <w:rFonts w:hint="eastAsia"/>
              </w:rPr>
              <w:t>对完成审批已归档的办件按照审批编码、许可文号、转出单位（企业ID、单位名称）、接收单位、转移信息等共享至其他业务系统，便于危险废物的全链路跟踪与监管协同。</w:t>
            </w:r>
          </w:p>
        </w:tc>
      </w:tr>
      <w:tr w14:paraId="6359C9A2">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6F995A7">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2668B747">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8521162">
            <w:pPr>
              <w:pStyle w:val="135"/>
              <w:spacing w:line="240" w:lineRule="auto"/>
            </w:pPr>
            <w:r>
              <w:rPr>
                <w:rFonts w:hint="eastAsia"/>
              </w:rPr>
              <w:t>新建及520事项政务服务数智赋能升级-新增危险废物跨省级行政区域转移审批-运输单位变更情形申请和审批-办理须知、自动预填服务</w:t>
            </w:r>
          </w:p>
        </w:tc>
        <w:tc>
          <w:tcPr>
            <w:tcW w:w="4050" w:type="dxa"/>
            <w:tcBorders>
              <w:top w:val="single" w:color="000000" w:sz="4" w:space="0"/>
              <w:left w:val="single" w:color="000000" w:sz="4" w:space="0"/>
              <w:bottom w:val="single" w:color="000000" w:sz="4" w:space="0"/>
              <w:right w:val="single" w:color="000000" w:sz="4" w:space="0"/>
            </w:tcBorders>
            <w:vAlign w:val="center"/>
          </w:tcPr>
          <w:p w14:paraId="6C274004">
            <w:pPr>
              <w:pStyle w:val="135"/>
              <w:spacing w:line="240" w:lineRule="auto"/>
            </w:pPr>
            <w:r>
              <w:rPr>
                <w:rFonts w:hint="eastAsia"/>
              </w:rPr>
              <w:t>1.办理须知：告知该事项办理适用条件和注意事项，是否完成管理计划变更等前置环节。</w:t>
            </w:r>
            <w:r>
              <w:rPr>
                <w:rFonts w:hint="eastAsia"/>
              </w:rPr>
              <w:br w:type="textWrapping"/>
            </w:r>
            <w:r>
              <w:rPr>
                <w:rFonts w:hint="eastAsia"/>
              </w:rPr>
              <w:t>2：自动预填：打通危废监管数据，可选择已申请办理的危跨省转移许可事项，自动预填相关信息，选择需要变更的运输单位，自动预填并校验是否符合该事项受理要求。</w:t>
            </w:r>
          </w:p>
        </w:tc>
      </w:tr>
      <w:tr w14:paraId="6649C222">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8CCD9E1">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0C05996">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ADB4665">
            <w:pPr>
              <w:pStyle w:val="135"/>
              <w:spacing w:line="240" w:lineRule="auto"/>
            </w:pPr>
            <w:r>
              <w:rPr>
                <w:rFonts w:hint="eastAsia"/>
              </w:rPr>
              <w:t>新建及520事项政务服务数智赋能升级-新增危险废物跨省级行政区域转移审批-运输单位变更情形申请和审批-运输单位选择</w:t>
            </w:r>
          </w:p>
        </w:tc>
        <w:tc>
          <w:tcPr>
            <w:tcW w:w="4050" w:type="dxa"/>
            <w:tcBorders>
              <w:top w:val="single" w:color="000000" w:sz="4" w:space="0"/>
              <w:left w:val="single" w:color="000000" w:sz="4" w:space="0"/>
              <w:bottom w:val="single" w:color="000000" w:sz="4" w:space="0"/>
              <w:right w:val="single" w:color="000000" w:sz="4" w:space="0"/>
            </w:tcBorders>
            <w:vAlign w:val="center"/>
          </w:tcPr>
          <w:p w14:paraId="6AB21DF1">
            <w:pPr>
              <w:pStyle w:val="135"/>
              <w:spacing w:line="240" w:lineRule="auto"/>
            </w:pPr>
            <w:r>
              <w:rPr>
                <w:rFonts w:hint="eastAsia"/>
              </w:rPr>
              <w:t>提供运输单位信息库供企业选择，规范运输单位信息，信息不全单位无法勾选，提示企业去办理运输单位信息备案。</w:t>
            </w:r>
          </w:p>
        </w:tc>
      </w:tr>
      <w:tr w14:paraId="01AAF089">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246584D">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EBCD2D5">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92891C6">
            <w:pPr>
              <w:pStyle w:val="135"/>
              <w:spacing w:line="240" w:lineRule="auto"/>
            </w:pPr>
            <w:r>
              <w:rPr>
                <w:rFonts w:hint="eastAsia"/>
              </w:rPr>
              <w:t>新建及520事项政务服务数智赋能升级-新增危险废物跨省级行政区域转移审批-运输单位变更情形申请和审批-变更审批</w:t>
            </w:r>
          </w:p>
        </w:tc>
        <w:tc>
          <w:tcPr>
            <w:tcW w:w="4050" w:type="dxa"/>
            <w:tcBorders>
              <w:top w:val="single" w:color="000000" w:sz="4" w:space="0"/>
              <w:left w:val="single" w:color="000000" w:sz="4" w:space="0"/>
              <w:bottom w:val="single" w:color="000000" w:sz="4" w:space="0"/>
              <w:right w:val="single" w:color="000000" w:sz="4" w:space="0"/>
            </w:tcBorders>
            <w:vAlign w:val="center"/>
          </w:tcPr>
          <w:p w14:paraId="392DB467">
            <w:pPr>
              <w:pStyle w:val="135"/>
              <w:spacing w:line="240" w:lineRule="auto"/>
            </w:pPr>
            <w:r>
              <w:rPr>
                <w:rFonts w:hint="eastAsia"/>
              </w:rPr>
              <w:t>对企业申请运输单位变更信息进行确认和审批。</w:t>
            </w:r>
          </w:p>
        </w:tc>
      </w:tr>
      <w:tr w14:paraId="3F0A1BC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43436509">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9F9300D">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0B6506CA">
            <w:pPr>
              <w:pStyle w:val="135"/>
              <w:spacing w:line="240" w:lineRule="auto"/>
            </w:pPr>
            <w:r>
              <w:rPr>
                <w:rFonts w:hint="eastAsia"/>
              </w:rPr>
              <w:t>新建及520事项政务服务数智赋能升级-新增危险废物跨省级行政区域转移审批-运输单位变更情形申请和审批-数据共享和协同</w:t>
            </w:r>
          </w:p>
        </w:tc>
        <w:tc>
          <w:tcPr>
            <w:tcW w:w="4050" w:type="dxa"/>
            <w:tcBorders>
              <w:top w:val="single" w:color="000000" w:sz="4" w:space="0"/>
              <w:left w:val="single" w:color="000000" w:sz="4" w:space="0"/>
              <w:bottom w:val="single" w:color="000000" w:sz="4" w:space="0"/>
              <w:right w:val="single" w:color="000000" w:sz="4" w:space="0"/>
            </w:tcBorders>
            <w:vAlign w:val="center"/>
          </w:tcPr>
          <w:p w14:paraId="092FBC7D">
            <w:pPr>
              <w:pStyle w:val="135"/>
              <w:spacing w:line="240" w:lineRule="auto"/>
            </w:pPr>
            <w:r>
              <w:rPr>
                <w:rFonts w:hint="eastAsia"/>
              </w:rPr>
              <w:t>变更信息共享通过数据中台回流至固废管理系统，便于危险废物跨省运输的全链路跟踪。同步更新一网通办运输单位库，实现信息联动，便利申请。</w:t>
            </w:r>
          </w:p>
        </w:tc>
      </w:tr>
      <w:tr w14:paraId="2DB58BFC">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58DCF9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73C61EA">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5731630">
            <w:pPr>
              <w:pStyle w:val="135"/>
              <w:spacing w:line="240" w:lineRule="auto"/>
            </w:pPr>
            <w:r>
              <w:rPr>
                <w:rFonts w:hint="eastAsia"/>
              </w:rPr>
              <w:t>新建及520事项政务服务数智赋能升级-新增危险废物跨省级行政区域转移转入审批-商请受理生成待办件</w:t>
            </w:r>
          </w:p>
        </w:tc>
        <w:tc>
          <w:tcPr>
            <w:tcW w:w="4050" w:type="dxa"/>
            <w:tcBorders>
              <w:top w:val="single" w:color="000000" w:sz="4" w:space="0"/>
              <w:left w:val="single" w:color="000000" w:sz="4" w:space="0"/>
              <w:bottom w:val="single" w:color="000000" w:sz="4" w:space="0"/>
              <w:right w:val="single" w:color="000000" w:sz="4" w:space="0"/>
            </w:tcBorders>
            <w:vAlign w:val="center"/>
          </w:tcPr>
          <w:p w14:paraId="5245B267">
            <w:pPr>
              <w:pStyle w:val="135"/>
              <w:spacing w:line="240" w:lineRule="auto"/>
            </w:pPr>
            <w:r>
              <w:rPr>
                <w:rFonts w:hint="eastAsia"/>
              </w:rPr>
              <w:t>与生态环境部系统对接，当有商请信息接入，自动生成危险转入申请待办。</w:t>
            </w:r>
          </w:p>
        </w:tc>
      </w:tr>
      <w:tr w14:paraId="3C4466DF">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25708EE">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A28C569">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06975DE2">
            <w:pPr>
              <w:pStyle w:val="135"/>
              <w:spacing w:line="240" w:lineRule="auto"/>
            </w:pPr>
            <w:r>
              <w:rPr>
                <w:rFonts w:hint="eastAsia"/>
              </w:rPr>
              <w:t>新建及520事项政务服务数智赋能升级-新增危险废物跨省级行政区域转移转入审批-转入技术审查及豁免管理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19D3BB21">
            <w:pPr>
              <w:pStyle w:val="135"/>
              <w:spacing w:line="240" w:lineRule="auto"/>
            </w:pPr>
            <w:r>
              <w:rPr>
                <w:rFonts w:hint="eastAsia"/>
              </w:rPr>
              <w:t>1.转入技术审查：根据外省市企业申请转入危险废物信息及上海市危险废物接收单位资质等进行综合评定，提供技术审查意见。</w:t>
            </w:r>
            <w:r>
              <w:rPr>
                <w:rFonts w:hint="eastAsia"/>
              </w:rPr>
              <w:br w:type="textWrapping"/>
            </w:r>
            <w:r>
              <w:rPr>
                <w:rFonts w:hint="eastAsia"/>
              </w:rPr>
              <w:t>2.豁免管理：根据一般豁免和点对点豁免结果，判定外省市申请转入上海市危险废物是否符合豁免要求。</w:t>
            </w:r>
          </w:p>
        </w:tc>
      </w:tr>
      <w:tr w14:paraId="2B77FD8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22475AA">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9A7CE0A">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BB21104">
            <w:pPr>
              <w:pStyle w:val="135"/>
              <w:spacing w:line="240" w:lineRule="auto"/>
            </w:pPr>
            <w:r>
              <w:rPr>
                <w:rFonts w:hint="eastAsia"/>
              </w:rPr>
              <w:t>新建及520事项政务服务数智赋能升级-新增危险废物跨省级行政区域转移转入审批-自动拟函、在线复函和抄送外省市单位</w:t>
            </w:r>
          </w:p>
        </w:tc>
        <w:tc>
          <w:tcPr>
            <w:tcW w:w="4050" w:type="dxa"/>
            <w:tcBorders>
              <w:top w:val="single" w:color="000000" w:sz="4" w:space="0"/>
              <w:left w:val="single" w:color="000000" w:sz="4" w:space="0"/>
              <w:bottom w:val="single" w:color="000000" w:sz="4" w:space="0"/>
              <w:right w:val="single" w:color="000000" w:sz="4" w:space="0"/>
            </w:tcBorders>
            <w:vAlign w:val="center"/>
          </w:tcPr>
          <w:p w14:paraId="0B9B3195">
            <w:pPr>
              <w:pStyle w:val="135"/>
              <w:spacing w:line="240" w:lineRule="auto"/>
            </w:pPr>
            <w:r>
              <w:rPr>
                <w:rFonts w:hint="eastAsia"/>
              </w:rPr>
              <w:t>提供拟函模版，自动预填相关信息，提升拟函工作效率。</w:t>
            </w:r>
            <w:r>
              <w:rPr>
                <w:rFonts w:hint="eastAsia"/>
              </w:rPr>
              <w:br w:type="textWrapping"/>
            </w:r>
            <w:r>
              <w:rPr>
                <w:rFonts w:hint="eastAsia"/>
              </w:rPr>
              <w:t>在线生成对外省的复函，并抄送至相关单位。</w:t>
            </w:r>
          </w:p>
        </w:tc>
      </w:tr>
      <w:tr w14:paraId="60EA52FE">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7AACBDD">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2CE5B72C">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03C2B202">
            <w:pPr>
              <w:pStyle w:val="135"/>
              <w:spacing w:line="240" w:lineRule="auto"/>
            </w:pPr>
            <w:r>
              <w:rPr>
                <w:rFonts w:hint="eastAsia"/>
              </w:rPr>
              <w:t>新建及520事项政务服务数智赋能升级-新增危险废物跨省级行政区域转移转入审批-外省审批意见回流、一键归档</w:t>
            </w:r>
          </w:p>
        </w:tc>
        <w:tc>
          <w:tcPr>
            <w:tcW w:w="4050" w:type="dxa"/>
            <w:tcBorders>
              <w:top w:val="single" w:color="000000" w:sz="4" w:space="0"/>
              <w:left w:val="single" w:color="000000" w:sz="4" w:space="0"/>
              <w:bottom w:val="single" w:color="000000" w:sz="4" w:space="0"/>
              <w:right w:val="single" w:color="000000" w:sz="4" w:space="0"/>
            </w:tcBorders>
            <w:vAlign w:val="center"/>
          </w:tcPr>
          <w:p w14:paraId="154260F8">
            <w:pPr>
              <w:pStyle w:val="135"/>
              <w:spacing w:line="240" w:lineRule="auto"/>
            </w:pPr>
            <w:r>
              <w:rPr>
                <w:rFonts w:hint="eastAsia"/>
              </w:rPr>
              <w:t>外省市审批意见同步至已办件，点击办件详情可查看许可详细信息。</w:t>
            </w:r>
            <w:r>
              <w:rPr>
                <w:rFonts w:hint="eastAsia"/>
              </w:rPr>
              <w:br w:type="textWrapping"/>
            </w:r>
            <w:r>
              <w:rPr>
                <w:rFonts w:hint="eastAsia"/>
              </w:rPr>
              <w:t>外省市已批复的许可，支持一键归档，办结</w:t>
            </w:r>
          </w:p>
        </w:tc>
      </w:tr>
      <w:tr w14:paraId="231AC20A">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48D60E38">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22EC0DBF">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5AD7F24F">
            <w:pPr>
              <w:pStyle w:val="135"/>
              <w:spacing w:line="240" w:lineRule="auto"/>
            </w:pPr>
            <w:r>
              <w:rPr>
                <w:rFonts w:hint="eastAsia"/>
              </w:rPr>
              <w:t>新建及520事项政务服务数智赋能升级-新建“放射性同位素与射线装置的安全防护年度评估报告填报”公共服务事项-填报须知及业务管理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184C2706">
            <w:pPr>
              <w:pStyle w:val="135"/>
              <w:spacing w:line="240" w:lineRule="auto"/>
            </w:pPr>
            <w:r>
              <w:rPr>
                <w:rFonts w:hint="eastAsia"/>
              </w:rPr>
              <w:t>倒计时提醒，企业须知在年度评估报告以及全国核技术利用辐射安全申报系统务必做到数据准确，不允许乱报瞒报，明确瞒报漏报或提供虚假信息的法律责任。</w:t>
            </w:r>
            <w:r>
              <w:rPr>
                <w:rFonts w:hint="eastAsia"/>
              </w:rPr>
              <w:br w:type="textWrapping"/>
            </w:r>
            <w:r>
              <w:rPr>
                <w:rFonts w:hint="eastAsia"/>
              </w:rPr>
              <w:t>对企业基本信息及辐射安全许可信息进行填报，可对企业单位名称、社会统一代码、填报年度等信息进行预填。企业可根据自身经营状况定义年度报告填报的业务模块，与放射源、非密封放射性物质、射线装置业务模块化组合申报。</w:t>
            </w:r>
            <w:r>
              <w:rPr>
                <w:rFonts w:hint="eastAsia"/>
              </w:rPr>
              <w:br w:type="textWrapping"/>
            </w:r>
            <w:r>
              <w:rPr>
                <w:rFonts w:hint="eastAsia"/>
              </w:rPr>
              <w:t>支持单选或者多选。选择不同业务模块对应不同填报表单。</w:t>
            </w:r>
          </w:p>
        </w:tc>
      </w:tr>
      <w:tr w14:paraId="2753E401">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799A391">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188C707">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439C774">
            <w:pPr>
              <w:pStyle w:val="135"/>
              <w:spacing w:line="240" w:lineRule="auto"/>
            </w:pPr>
            <w:r>
              <w:rPr>
                <w:rFonts w:hint="eastAsia"/>
              </w:rPr>
              <w:t>新建及520事项政务服务数智赋能升级-新建“放射性同位素与射线装置的安全防护年度评估报告填报”公共服务事项-放射源/非密封放射性物质/射线装置模块化管理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50DAA899">
            <w:pPr>
              <w:pStyle w:val="135"/>
              <w:spacing w:line="240" w:lineRule="auto"/>
            </w:pPr>
            <w:r>
              <w:rPr>
                <w:rFonts w:hint="eastAsia"/>
              </w:rPr>
              <w:t>放射源基础信息填报、放射源管理信息填报、放射源销售台账一键导入。</w:t>
            </w:r>
            <w:r>
              <w:rPr>
                <w:rFonts w:hint="eastAsia"/>
              </w:rPr>
              <w:br w:type="textWrapping"/>
            </w:r>
            <w:r>
              <w:rPr>
                <w:rFonts w:hint="eastAsia"/>
              </w:rPr>
              <w:t>非密封放射性物质类型填报、从事业务类型填报、非密封放射性物质生产、销售台账管理、放射性药品及其原料生产和销售情况年度报表管理。</w:t>
            </w:r>
            <w:r>
              <w:rPr>
                <w:rFonts w:hint="eastAsia"/>
              </w:rPr>
              <w:br w:type="textWrapping"/>
            </w:r>
            <w:r>
              <w:rPr>
                <w:rFonts w:hint="eastAsia"/>
              </w:rPr>
              <w:t>射线装置信息填报、射线装置管理信息填报、射线装置生产、销售台账管理、加速器活化固体废物管理台账管理</w:t>
            </w:r>
          </w:p>
        </w:tc>
      </w:tr>
      <w:tr w14:paraId="745D7D02">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44B4A90">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4DF049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5FAF089">
            <w:pPr>
              <w:pStyle w:val="135"/>
              <w:spacing w:line="240" w:lineRule="auto"/>
            </w:pPr>
            <w:r>
              <w:rPr>
                <w:rFonts w:hint="eastAsia"/>
              </w:rPr>
              <w:t>新建及520事项政务服务数智赋能升级-新建“放射性同位素与射线装置的安全防护年度评估报告填报”公共服务事项-辐射人员剂量等其他监管信息管理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4E331D6B">
            <w:pPr>
              <w:pStyle w:val="135"/>
              <w:spacing w:line="240" w:lineRule="auto"/>
            </w:pPr>
            <w:r>
              <w:rPr>
                <w:rFonts w:hint="eastAsia"/>
              </w:rPr>
              <w:t>对辐射工作人员、监测仪器、个人剂量情况进行填报；对全国核技术利用辐射安全申报系统的使用情况自查情况进行上报；对辐射事故应急工作情况进行填报，如是否按要求修订应急预案、是否配备必要应急物资、是否开展应急演练；对企业是否开展辐射安全与防护年度监测报告，明确资质监测单位名称、监测报告编号、监测结果、监测日期及详细报告信息进行上报。</w:t>
            </w:r>
          </w:p>
        </w:tc>
      </w:tr>
      <w:tr w14:paraId="3578EE2C">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23450C4">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1E3FB6B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712DDCF">
            <w:pPr>
              <w:pStyle w:val="135"/>
              <w:spacing w:line="240" w:lineRule="auto"/>
            </w:pPr>
            <w:r>
              <w:rPr>
                <w:rFonts w:hint="eastAsia"/>
              </w:rPr>
              <w:t>新建及520事项政务服务数智赋能升级-新建“放射性同位素与射线装置的安全防护年度评估报告填报”公共服务事项-企业便捷操作服务</w:t>
            </w:r>
          </w:p>
        </w:tc>
        <w:tc>
          <w:tcPr>
            <w:tcW w:w="4050" w:type="dxa"/>
            <w:tcBorders>
              <w:top w:val="single" w:color="000000" w:sz="4" w:space="0"/>
              <w:left w:val="single" w:color="000000" w:sz="4" w:space="0"/>
              <w:bottom w:val="single" w:color="000000" w:sz="4" w:space="0"/>
              <w:right w:val="single" w:color="000000" w:sz="4" w:space="0"/>
            </w:tcBorders>
            <w:vAlign w:val="center"/>
          </w:tcPr>
          <w:p w14:paraId="519BB669">
            <w:pPr>
              <w:pStyle w:val="135"/>
              <w:spacing w:line="240" w:lineRule="auto"/>
            </w:pPr>
            <w:r>
              <w:rPr>
                <w:rFonts w:hint="eastAsia"/>
              </w:rPr>
              <w:t>提供暂存、办件列表、暂存件继续编辑等功能，方便企业填报。</w:t>
            </w:r>
          </w:p>
        </w:tc>
      </w:tr>
      <w:tr w14:paraId="075D940E">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C956BE1">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6D66A6AC">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B2B3289">
            <w:pPr>
              <w:pStyle w:val="135"/>
              <w:spacing w:line="240" w:lineRule="auto"/>
            </w:pPr>
            <w:r>
              <w:rPr>
                <w:rFonts w:hint="eastAsia"/>
              </w:rPr>
              <w:t>新建及520事项政务服务数智赋能升级-新建“放射性同位素与射线装置的安全防护年度评估报告填报”公共服务事项-年度报告批量确认、年度报告自动生成</w:t>
            </w:r>
          </w:p>
        </w:tc>
        <w:tc>
          <w:tcPr>
            <w:tcW w:w="4050" w:type="dxa"/>
            <w:tcBorders>
              <w:top w:val="single" w:color="000000" w:sz="4" w:space="0"/>
              <w:left w:val="single" w:color="000000" w:sz="4" w:space="0"/>
              <w:bottom w:val="single" w:color="000000" w:sz="4" w:space="0"/>
              <w:right w:val="single" w:color="000000" w:sz="4" w:space="0"/>
            </w:tcBorders>
            <w:vAlign w:val="center"/>
          </w:tcPr>
          <w:p w14:paraId="31C28DEE">
            <w:pPr>
              <w:pStyle w:val="135"/>
              <w:spacing w:line="240" w:lineRule="auto"/>
            </w:pPr>
            <w:r>
              <w:rPr>
                <w:rFonts w:hint="eastAsia"/>
              </w:rPr>
              <w:t>1.支持一键导入检查表，自动读取检查编号，批量确认年度报告。支持单独对某一报告确认，支持手动录入检查编号确认。</w:t>
            </w:r>
            <w:r>
              <w:rPr>
                <w:rFonts w:hint="eastAsia"/>
              </w:rPr>
              <w:br w:type="textWrapping"/>
            </w:r>
            <w:r>
              <w:rPr>
                <w:rFonts w:hint="eastAsia"/>
              </w:rPr>
              <w:t>2.对企业提交的年度评估报告信息生成pdf文件，可一键下载报告。</w:t>
            </w:r>
          </w:p>
        </w:tc>
      </w:tr>
      <w:tr w14:paraId="4A5E331B">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A7212B8">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787D4CD">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F4845BE">
            <w:pPr>
              <w:pStyle w:val="135"/>
              <w:spacing w:line="240" w:lineRule="auto"/>
            </w:pPr>
            <w:r>
              <w:rPr>
                <w:rFonts w:hint="eastAsia"/>
              </w:rPr>
              <w:t>新建及520事项政务服务数智赋能升级-新建“放射性同位素与射线装置的安全防护年度评估报告填报”公共服务事项-查询导出</w:t>
            </w:r>
          </w:p>
        </w:tc>
        <w:tc>
          <w:tcPr>
            <w:tcW w:w="4050" w:type="dxa"/>
            <w:tcBorders>
              <w:top w:val="single" w:color="000000" w:sz="4" w:space="0"/>
              <w:left w:val="single" w:color="000000" w:sz="4" w:space="0"/>
              <w:bottom w:val="single" w:color="000000" w:sz="4" w:space="0"/>
              <w:right w:val="single" w:color="000000" w:sz="4" w:space="0"/>
            </w:tcBorders>
            <w:vAlign w:val="center"/>
          </w:tcPr>
          <w:p w14:paraId="13FF6FDF">
            <w:pPr>
              <w:pStyle w:val="135"/>
              <w:spacing w:line="240" w:lineRule="auto"/>
            </w:pPr>
            <w:r>
              <w:rPr>
                <w:rFonts w:hint="eastAsia"/>
              </w:rPr>
              <w:t>可根据单位名称关键字、年度、许可证号、所属区信息进行查询。</w:t>
            </w:r>
            <w:r>
              <w:rPr>
                <w:rFonts w:hint="eastAsia"/>
              </w:rPr>
              <w:br w:type="textWrapping"/>
            </w:r>
            <w:r>
              <w:rPr>
                <w:rFonts w:hint="eastAsia"/>
              </w:rPr>
              <w:t>支持对查询结果批量导出excel。支持对查询结果附件批量导出报告。</w:t>
            </w:r>
          </w:p>
        </w:tc>
      </w:tr>
      <w:tr w14:paraId="61D8BBB9">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49D92B98">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2AAD715A">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CDB126E">
            <w:pPr>
              <w:pStyle w:val="135"/>
              <w:spacing w:line="240" w:lineRule="auto"/>
            </w:pPr>
            <w:r>
              <w:rPr>
                <w:rFonts w:hint="eastAsia"/>
              </w:rPr>
              <w:t>新建及520事项政务服务数智赋能升级-新建“移动探伤当日作业报告”随申办移动端-智能预填、放射源具体作业时间报告及台账查看</w:t>
            </w:r>
          </w:p>
        </w:tc>
        <w:tc>
          <w:tcPr>
            <w:tcW w:w="4050" w:type="dxa"/>
            <w:tcBorders>
              <w:top w:val="single" w:color="000000" w:sz="4" w:space="0"/>
              <w:left w:val="single" w:color="000000" w:sz="4" w:space="0"/>
              <w:bottom w:val="single" w:color="000000" w:sz="4" w:space="0"/>
              <w:right w:val="single" w:color="000000" w:sz="4" w:space="0"/>
            </w:tcBorders>
            <w:vAlign w:val="center"/>
          </w:tcPr>
          <w:p w14:paraId="4A7AA618">
            <w:pPr>
              <w:pStyle w:val="135"/>
              <w:spacing w:line="240" w:lineRule="auto"/>
            </w:pPr>
            <w:r>
              <w:rPr>
                <w:rFonts w:hint="eastAsia"/>
              </w:rPr>
              <w:t>1.对放射性同位素市内转移备案事项内放射源进行选择，录入具体作业时间和作业人员信息。</w:t>
            </w:r>
            <w:r>
              <w:rPr>
                <w:rFonts w:hint="eastAsia"/>
              </w:rPr>
              <w:br w:type="textWrapping"/>
            </w:r>
            <w:r>
              <w:rPr>
                <w:rFonts w:hint="eastAsia"/>
              </w:rPr>
              <w:t>2.当日作业台账查看：可查看每次高风险作业信息台账信息。</w:t>
            </w:r>
          </w:p>
        </w:tc>
      </w:tr>
      <w:tr w14:paraId="37E91DCF">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6714E71">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FCFB706">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6FA5F7D">
            <w:pPr>
              <w:pStyle w:val="135"/>
              <w:spacing w:line="240" w:lineRule="auto"/>
            </w:pPr>
            <w:r>
              <w:rPr>
                <w:rFonts w:hint="eastAsia"/>
              </w:rPr>
              <w:t>新建及520事项政务服务数智赋能升级-新建“移动探伤当日作业报告”随申办移动端-再来一单</w:t>
            </w:r>
          </w:p>
        </w:tc>
        <w:tc>
          <w:tcPr>
            <w:tcW w:w="4050" w:type="dxa"/>
            <w:tcBorders>
              <w:top w:val="single" w:color="000000" w:sz="4" w:space="0"/>
              <w:left w:val="single" w:color="000000" w:sz="4" w:space="0"/>
              <w:bottom w:val="single" w:color="000000" w:sz="4" w:space="0"/>
              <w:right w:val="single" w:color="000000" w:sz="4" w:space="0"/>
            </w:tcBorders>
            <w:vAlign w:val="center"/>
          </w:tcPr>
          <w:p w14:paraId="7CD8017C">
            <w:pPr>
              <w:pStyle w:val="135"/>
              <w:spacing w:line="240" w:lineRule="auto"/>
            </w:pPr>
            <w:r>
              <w:rPr>
                <w:rFonts w:hint="eastAsia"/>
              </w:rPr>
              <w:t>数据复用，生成办件列表，支持再来一单服务快捷申报，点击再来一单可对某一作业报告重新生成。</w:t>
            </w:r>
          </w:p>
        </w:tc>
      </w:tr>
      <w:tr w14:paraId="7046A610">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0C980F8">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697E57F3">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0EF3FDBB">
            <w:pPr>
              <w:pStyle w:val="135"/>
              <w:spacing w:line="240" w:lineRule="auto"/>
            </w:pPr>
            <w:r>
              <w:rPr>
                <w:rFonts w:hint="eastAsia"/>
              </w:rPr>
              <w:t>新建及520事项政务服务数智赋能升级-新建“放射性废物报告”公共服务事项-诚信办理承诺须知、智能导引</w:t>
            </w:r>
          </w:p>
        </w:tc>
        <w:tc>
          <w:tcPr>
            <w:tcW w:w="4050" w:type="dxa"/>
            <w:tcBorders>
              <w:top w:val="single" w:color="000000" w:sz="4" w:space="0"/>
              <w:left w:val="single" w:color="000000" w:sz="4" w:space="0"/>
              <w:bottom w:val="single" w:color="000000" w:sz="4" w:space="0"/>
              <w:right w:val="single" w:color="000000" w:sz="4" w:space="0"/>
            </w:tcBorders>
            <w:vAlign w:val="center"/>
          </w:tcPr>
          <w:p w14:paraId="00A1767E">
            <w:pPr>
              <w:pStyle w:val="135"/>
              <w:spacing w:line="240" w:lineRule="auto"/>
            </w:pPr>
            <w:r>
              <w:rPr>
                <w:rFonts w:hint="eastAsia"/>
              </w:rPr>
              <w:t>倒计时提醒，企业须知放射性废物报告以及全国核技术利用辐射安全申报系统务必做到数据准确，不允许乱报瞒报，明确瞒报漏报或提供虚假信息的法律责任。对放射性废物监管要求进行勾选，如半衰期小于24小时废物解控报告、半衰期大于24小时废物解控前报告、豁免废物报告、收贮前报告，不同类型对应不同的后续填报要求。</w:t>
            </w:r>
          </w:p>
        </w:tc>
      </w:tr>
      <w:tr w14:paraId="2A0AC2A9">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4C0919D3">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1A7EF77">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592EB929">
            <w:pPr>
              <w:pStyle w:val="135"/>
              <w:spacing w:line="240" w:lineRule="auto"/>
            </w:pPr>
            <w:r>
              <w:rPr>
                <w:rFonts w:hint="eastAsia"/>
              </w:rPr>
              <w:t>新建及520事项政务服务数智赋能升级-新建“放射性废物报告”公共服务事项-智能判断</w:t>
            </w:r>
          </w:p>
        </w:tc>
        <w:tc>
          <w:tcPr>
            <w:tcW w:w="4050" w:type="dxa"/>
            <w:tcBorders>
              <w:top w:val="single" w:color="000000" w:sz="4" w:space="0"/>
              <w:left w:val="single" w:color="000000" w:sz="4" w:space="0"/>
              <w:bottom w:val="single" w:color="000000" w:sz="4" w:space="0"/>
              <w:right w:val="single" w:color="000000" w:sz="4" w:space="0"/>
            </w:tcBorders>
            <w:vAlign w:val="center"/>
          </w:tcPr>
          <w:p w14:paraId="0B0A8363">
            <w:pPr>
              <w:pStyle w:val="135"/>
              <w:spacing w:line="240" w:lineRule="auto"/>
            </w:pPr>
            <w:r>
              <w:rPr>
                <w:rFonts w:hint="eastAsia"/>
              </w:rPr>
              <w:t>半衰期小于24小时废物解控报告：根据核素自动判别半衰期和对应解控要求，如果不满足管理要求可在核与辐射监管系统触发联动任务。作为有效数据，纳入业务统计模块，进行汇总展示。</w:t>
            </w:r>
          </w:p>
        </w:tc>
      </w:tr>
      <w:tr w14:paraId="182F4A0E">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3BBDAAD">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13BA37D">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14F76AF">
            <w:pPr>
              <w:pStyle w:val="135"/>
              <w:spacing w:line="240" w:lineRule="auto"/>
            </w:pPr>
            <w:r>
              <w:rPr>
                <w:rFonts w:hint="eastAsia"/>
              </w:rPr>
              <w:t>新建及520事项政务服务数智赋能升级-新建“放射性废物报告”公共服务事项-半衰期校验及解控前报告</w:t>
            </w:r>
          </w:p>
        </w:tc>
        <w:tc>
          <w:tcPr>
            <w:tcW w:w="4050" w:type="dxa"/>
            <w:tcBorders>
              <w:top w:val="single" w:color="000000" w:sz="4" w:space="0"/>
              <w:left w:val="single" w:color="000000" w:sz="4" w:space="0"/>
              <w:bottom w:val="single" w:color="000000" w:sz="4" w:space="0"/>
              <w:right w:val="single" w:color="000000" w:sz="4" w:space="0"/>
            </w:tcBorders>
            <w:vAlign w:val="center"/>
          </w:tcPr>
          <w:p w14:paraId="629F0A9F">
            <w:pPr>
              <w:pStyle w:val="135"/>
              <w:spacing w:line="240" w:lineRule="auto"/>
            </w:pPr>
            <w:r>
              <w:rPr>
                <w:rFonts w:hint="eastAsia"/>
              </w:rPr>
              <w:t>1.半衰期小于24小时废物解控前报告：根据核素自动判别半衰期和对应解控要求，触发三监联动现场检查任务，符合解控要求，则同意企业解控。如不满足要求，则不允许解控，生成三监联动持续跟踪件。确认解控后纳入统计数据。</w:t>
            </w:r>
            <w:r>
              <w:rPr>
                <w:rFonts w:hint="eastAsia"/>
              </w:rPr>
              <w:br w:type="textWrapping"/>
            </w:r>
            <w:r>
              <w:rPr>
                <w:rFonts w:hint="eastAsia"/>
              </w:rPr>
              <w:t>2.半衰期大于24小时废物解控前报告：根据核素自动判别半衰期和对应解控要求，触发三监联动现场检查任务，符合解控要求，则同意企业解控。如不满足要求，则不允许解控，生成三监联动持续跟踪件。确认解控后纳入统计数据。</w:t>
            </w:r>
          </w:p>
        </w:tc>
      </w:tr>
      <w:tr w14:paraId="496F7ED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8D5D002">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874D5EA">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CB64D62">
            <w:pPr>
              <w:pStyle w:val="135"/>
              <w:spacing w:line="240" w:lineRule="auto"/>
            </w:pPr>
            <w:r>
              <w:rPr>
                <w:rFonts w:hint="eastAsia"/>
              </w:rPr>
              <w:t>新建及520事项政务服务数智赋能升级-新建“放射性废物报告”公共服务事项-豁免-收贮-废物管理报告</w:t>
            </w:r>
          </w:p>
        </w:tc>
        <w:tc>
          <w:tcPr>
            <w:tcW w:w="4050" w:type="dxa"/>
            <w:tcBorders>
              <w:top w:val="single" w:color="000000" w:sz="4" w:space="0"/>
              <w:left w:val="single" w:color="000000" w:sz="4" w:space="0"/>
              <w:bottom w:val="single" w:color="000000" w:sz="4" w:space="0"/>
              <w:right w:val="single" w:color="000000" w:sz="4" w:space="0"/>
            </w:tcBorders>
            <w:vAlign w:val="center"/>
          </w:tcPr>
          <w:p w14:paraId="3825862F">
            <w:pPr>
              <w:pStyle w:val="135"/>
              <w:spacing w:line="240" w:lineRule="auto"/>
            </w:pPr>
            <w:r>
              <w:rPr>
                <w:rFonts w:hint="eastAsia"/>
              </w:rPr>
              <w:t>1.豁免废物报告：通过企业组织信用代码关联企业已批复环评文件，通过批文号关联相关信息，输入废物豁免信息。作为有效数据，纳入业务统计模块，进行汇总展示。</w:t>
            </w:r>
            <w:r>
              <w:rPr>
                <w:rFonts w:hint="eastAsia"/>
              </w:rPr>
              <w:br w:type="textWrapping"/>
            </w:r>
            <w:r>
              <w:rPr>
                <w:rFonts w:hint="eastAsia"/>
              </w:rPr>
              <w:t>2.收贮前报告：企业可提交收贮申请，审批端对该申请进行确认并触发检查任务。确认收贮后生成纳入统计数据。</w:t>
            </w:r>
            <w:r>
              <w:rPr>
                <w:rFonts w:hint="eastAsia"/>
              </w:rPr>
              <w:br w:type="textWrapping"/>
            </w:r>
            <w:r>
              <w:rPr>
                <w:rFonts w:hint="eastAsia"/>
              </w:rPr>
              <w:t>3.放射性废物管理报告：将定期填报的放射性废物管理台账同步共享至年度报告填报，减少企业填报量。</w:t>
            </w:r>
          </w:p>
        </w:tc>
      </w:tr>
      <w:tr w14:paraId="43EE2566">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BC1419E">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637D219">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0B958627">
            <w:pPr>
              <w:pStyle w:val="135"/>
              <w:spacing w:line="240" w:lineRule="auto"/>
            </w:pPr>
            <w:r>
              <w:rPr>
                <w:rFonts w:hint="eastAsia"/>
              </w:rPr>
              <w:t>新建及520事项政务服务数智赋能升级-新建“放射性废物报告”公共服务事项-解控豁免前情形检查触发</w:t>
            </w:r>
          </w:p>
        </w:tc>
        <w:tc>
          <w:tcPr>
            <w:tcW w:w="4050" w:type="dxa"/>
            <w:tcBorders>
              <w:top w:val="single" w:color="000000" w:sz="4" w:space="0"/>
              <w:left w:val="single" w:color="000000" w:sz="4" w:space="0"/>
              <w:bottom w:val="single" w:color="000000" w:sz="4" w:space="0"/>
              <w:right w:val="single" w:color="000000" w:sz="4" w:space="0"/>
            </w:tcBorders>
            <w:vAlign w:val="center"/>
          </w:tcPr>
          <w:p w14:paraId="3F6C6175">
            <w:pPr>
              <w:pStyle w:val="135"/>
              <w:spacing w:line="240" w:lineRule="auto"/>
            </w:pPr>
            <w:r>
              <w:rPr>
                <w:rFonts w:hint="eastAsia"/>
              </w:rPr>
              <w:t>企业可在线申请解控豁免前检查，辐射监管系统触发三监联动任务。</w:t>
            </w:r>
          </w:p>
        </w:tc>
      </w:tr>
      <w:tr w14:paraId="6D1E4323">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CEA0D02">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A6DBC7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7F479BE">
            <w:pPr>
              <w:pStyle w:val="135"/>
              <w:spacing w:line="240" w:lineRule="auto"/>
            </w:pPr>
            <w:r>
              <w:rPr>
                <w:rFonts w:hint="eastAsia"/>
              </w:rPr>
              <w:t>新建及520事项政务服务数智赋能升级-新建“放射性废物报告”公共服务事项-便民服务</w:t>
            </w:r>
          </w:p>
        </w:tc>
        <w:tc>
          <w:tcPr>
            <w:tcW w:w="4050" w:type="dxa"/>
            <w:tcBorders>
              <w:top w:val="single" w:color="000000" w:sz="4" w:space="0"/>
              <w:left w:val="single" w:color="000000" w:sz="4" w:space="0"/>
              <w:bottom w:val="single" w:color="000000" w:sz="4" w:space="0"/>
              <w:right w:val="single" w:color="000000" w:sz="4" w:space="0"/>
            </w:tcBorders>
            <w:vAlign w:val="center"/>
          </w:tcPr>
          <w:p w14:paraId="34749DCA">
            <w:pPr>
              <w:pStyle w:val="135"/>
              <w:spacing w:line="240" w:lineRule="auto"/>
            </w:pPr>
            <w:r>
              <w:rPr>
                <w:rFonts w:hint="eastAsia"/>
              </w:rPr>
              <w:t>提供暂存、办件列表等功能可中途暂停申报，待相关信息完备后继续编辑，申报。审批信息实时推送企业主页，告知办件进度。</w:t>
            </w:r>
            <w:r>
              <w:rPr>
                <w:rFonts w:hint="eastAsia"/>
              </w:rPr>
              <w:br w:type="textWrapping"/>
            </w:r>
            <w:r>
              <w:rPr>
                <w:rFonts w:hint="eastAsia"/>
              </w:rPr>
              <w:t>对企业提交放射性废物报告提供在线查阅和下载功能。</w:t>
            </w:r>
          </w:p>
        </w:tc>
      </w:tr>
      <w:tr w14:paraId="2BE34142">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ED2452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B2F9A36">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1DDFD94">
            <w:pPr>
              <w:pStyle w:val="135"/>
              <w:spacing w:line="240" w:lineRule="auto"/>
            </w:pPr>
            <w:r>
              <w:rPr>
                <w:rFonts w:hint="eastAsia"/>
              </w:rPr>
              <w:t>新建及520事项政务服务数智赋能升级-新建“放射性废物报告”公共服务事项-企业放射性废物报告查询导出</w:t>
            </w:r>
          </w:p>
        </w:tc>
        <w:tc>
          <w:tcPr>
            <w:tcW w:w="4050" w:type="dxa"/>
            <w:tcBorders>
              <w:top w:val="single" w:color="000000" w:sz="4" w:space="0"/>
              <w:left w:val="single" w:color="000000" w:sz="4" w:space="0"/>
              <w:bottom w:val="single" w:color="000000" w:sz="4" w:space="0"/>
              <w:right w:val="single" w:color="000000" w:sz="4" w:space="0"/>
            </w:tcBorders>
            <w:vAlign w:val="center"/>
          </w:tcPr>
          <w:p w14:paraId="3E731F27">
            <w:pPr>
              <w:pStyle w:val="135"/>
              <w:spacing w:line="240" w:lineRule="auto"/>
            </w:pPr>
            <w:r>
              <w:rPr>
                <w:rFonts w:hint="eastAsia"/>
              </w:rPr>
              <w:t>支持按照企业名称、区进行查询，支持对查询结果导出。支持对查询结果批量导出报告附件。</w:t>
            </w:r>
          </w:p>
        </w:tc>
      </w:tr>
      <w:tr w14:paraId="417E048E">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5E5E489">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3DD9457">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2C77A62">
            <w:pPr>
              <w:pStyle w:val="135"/>
              <w:spacing w:line="240" w:lineRule="auto"/>
            </w:pPr>
            <w:r>
              <w:rPr>
                <w:rFonts w:hint="eastAsia"/>
              </w:rPr>
              <w:t>新建及520事项政务服务数智赋能升级-非道路移动机械环境申报登记事项升级/新建登记随申办端-随申办非道信息管理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654A3EAF">
            <w:pPr>
              <w:pStyle w:val="135"/>
              <w:spacing w:line="240" w:lineRule="auto"/>
            </w:pPr>
            <w:r>
              <w:rPr>
                <w:rFonts w:hint="eastAsia"/>
              </w:rPr>
              <w:t>在随申办界面通过AI预审申报材料、OCR智能识别预填表格等实现非道路移动机械的种类、型号、使用场所、发动机信息等情况申报登记，领取环保信息牌照并将机械贴牌照片上传，最终完成非道路移动机械上牌流程。</w:t>
            </w:r>
          </w:p>
        </w:tc>
      </w:tr>
      <w:tr w14:paraId="564E8DE2">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8D3B964">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22882AC">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5E10CCC">
            <w:pPr>
              <w:pStyle w:val="135"/>
              <w:spacing w:line="240" w:lineRule="auto"/>
            </w:pPr>
            <w:r>
              <w:rPr>
                <w:rFonts w:hint="eastAsia"/>
              </w:rPr>
              <w:t>新建及520事项政务服务数智赋能升级-非道路移动机械环境申报登记事项升级/新建登记随申办端-机械贴牌照片上传</w:t>
            </w:r>
          </w:p>
        </w:tc>
        <w:tc>
          <w:tcPr>
            <w:tcW w:w="4050" w:type="dxa"/>
            <w:tcBorders>
              <w:top w:val="single" w:color="000000" w:sz="4" w:space="0"/>
              <w:left w:val="single" w:color="000000" w:sz="4" w:space="0"/>
              <w:bottom w:val="single" w:color="000000" w:sz="4" w:space="0"/>
              <w:right w:val="single" w:color="000000" w:sz="4" w:space="0"/>
            </w:tcBorders>
            <w:vAlign w:val="center"/>
          </w:tcPr>
          <w:p w14:paraId="1A5C34C6">
            <w:pPr>
              <w:pStyle w:val="135"/>
              <w:spacing w:line="240" w:lineRule="auto"/>
            </w:pPr>
            <w:r>
              <w:rPr>
                <w:rFonts w:hint="eastAsia"/>
              </w:rPr>
              <w:t>在随申办提供机械贴牌照片上传功能。用户在领到环保号牌后，需将环保号牌挂到机械上并拍照，进入机械照片上传界面，选取照片上传，最终完成非道路移动机械上牌流程。</w:t>
            </w:r>
          </w:p>
        </w:tc>
      </w:tr>
      <w:tr w14:paraId="66A9218A">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E6F04F4">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14016BCD">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701DC536">
            <w:pPr>
              <w:pStyle w:val="135"/>
              <w:spacing w:line="240" w:lineRule="auto"/>
            </w:pPr>
            <w:r>
              <w:rPr>
                <w:rFonts w:hint="eastAsia"/>
              </w:rPr>
              <w:t>新建及520事项政务服务数智赋能升级-非道路移动机械环境申报登记事项升级/新建登记随申办端-随申码集成</w:t>
            </w:r>
          </w:p>
        </w:tc>
        <w:tc>
          <w:tcPr>
            <w:tcW w:w="4050" w:type="dxa"/>
            <w:tcBorders>
              <w:top w:val="single" w:color="000000" w:sz="4" w:space="0"/>
              <w:left w:val="single" w:color="000000" w:sz="4" w:space="0"/>
              <w:bottom w:val="single" w:color="000000" w:sz="4" w:space="0"/>
              <w:right w:val="single" w:color="000000" w:sz="4" w:space="0"/>
            </w:tcBorders>
            <w:vAlign w:val="center"/>
          </w:tcPr>
          <w:p w14:paraId="16ADE345">
            <w:pPr>
              <w:pStyle w:val="135"/>
              <w:spacing w:line="240" w:lineRule="auto"/>
            </w:pPr>
            <w:r>
              <w:rPr>
                <w:rFonts w:hint="eastAsia"/>
              </w:rPr>
              <w:t>集成随申码实现扫码查看机械基本信息，机械基本信息包括，机械环保号码、申报登记时间、机械类型、发动机信息、机械照片等。</w:t>
            </w:r>
          </w:p>
        </w:tc>
      </w:tr>
      <w:tr w14:paraId="4AFA323B">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C27E2DF">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F4B8D70">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9195C87">
            <w:pPr>
              <w:pStyle w:val="135"/>
              <w:spacing w:line="240" w:lineRule="auto"/>
            </w:pPr>
            <w:r>
              <w:rPr>
                <w:rFonts w:hint="eastAsia"/>
              </w:rPr>
              <w:t>新建及520事项政务服务数智赋能升级-非道路移动机械环境申报登记事项升级/新建登记随申办端-报废拆解过程管理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1DEB6AFC">
            <w:pPr>
              <w:pStyle w:val="135"/>
              <w:spacing w:line="240" w:lineRule="auto"/>
            </w:pPr>
            <w:r>
              <w:rPr>
                <w:rFonts w:hint="eastAsia"/>
              </w:rPr>
              <w:t>拆解人员，对机械机身和发动机完整性初步查验后，将机械拖运至拆解单位。拆解单位在拆解单位内固定位置拍摄进场照片、记录拆解前后机械全身照、发动机和铭牌等照片，并填写拆解过程说明等信息，上传到系统提交。</w:t>
            </w:r>
          </w:p>
        </w:tc>
      </w:tr>
      <w:tr w14:paraId="4128B262">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4A94A6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79378F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FBEF1EE">
            <w:pPr>
              <w:pStyle w:val="135"/>
              <w:spacing w:line="240" w:lineRule="auto"/>
            </w:pPr>
            <w:r>
              <w:rPr>
                <w:rFonts w:hint="eastAsia"/>
              </w:rPr>
              <w:t>新建及520事项政务服务数智赋能升级-非道路移动机械环境申报登记事项升级/新建登记随申办端-机械监销</w:t>
            </w:r>
          </w:p>
        </w:tc>
        <w:tc>
          <w:tcPr>
            <w:tcW w:w="4050" w:type="dxa"/>
            <w:tcBorders>
              <w:top w:val="single" w:color="000000" w:sz="4" w:space="0"/>
              <w:left w:val="single" w:color="000000" w:sz="4" w:space="0"/>
              <w:bottom w:val="single" w:color="000000" w:sz="4" w:space="0"/>
              <w:right w:val="single" w:color="000000" w:sz="4" w:space="0"/>
            </w:tcBorders>
            <w:vAlign w:val="center"/>
          </w:tcPr>
          <w:p w14:paraId="7777C247">
            <w:pPr>
              <w:pStyle w:val="135"/>
              <w:spacing w:line="240" w:lineRule="auto"/>
            </w:pPr>
            <w:r>
              <w:rPr>
                <w:rFonts w:hint="eastAsia"/>
              </w:rPr>
              <w:t>实现查验记录填写和上传。提交信息后，系统自动生成非道路移动机械注销查验记录表。</w:t>
            </w:r>
          </w:p>
        </w:tc>
      </w:tr>
      <w:tr w14:paraId="260EBA7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EF6E047">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395E7F7">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AA44497">
            <w:pPr>
              <w:pStyle w:val="135"/>
              <w:spacing w:line="240" w:lineRule="auto"/>
            </w:pPr>
            <w:r>
              <w:rPr>
                <w:rFonts w:hint="eastAsia"/>
              </w:rPr>
              <w:t>新建及520事项政务服务数智赋能升级-非道路移动机械环境申报登记事项升级/新建登记随申办端-回收及注销证明出具</w:t>
            </w:r>
          </w:p>
        </w:tc>
        <w:tc>
          <w:tcPr>
            <w:tcW w:w="4050" w:type="dxa"/>
            <w:tcBorders>
              <w:top w:val="single" w:color="000000" w:sz="4" w:space="0"/>
              <w:left w:val="single" w:color="000000" w:sz="4" w:space="0"/>
              <w:bottom w:val="single" w:color="000000" w:sz="4" w:space="0"/>
              <w:right w:val="single" w:color="000000" w:sz="4" w:space="0"/>
            </w:tcBorders>
            <w:vAlign w:val="center"/>
          </w:tcPr>
          <w:p w14:paraId="5A501F8C">
            <w:pPr>
              <w:pStyle w:val="135"/>
              <w:spacing w:line="240" w:lineRule="auto"/>
            </w:pPr>
            <w:r>
              <w:rPr>
                <w:rFonts w:hint="eastAsia"/>
              </w:rPr>
              <w:t>1.回收证明出具：自动关联拆解单位信息、报废机械信息，生成已填写的电子版回收证明，实现报废机械回收证明预填写，出具回收证明。</w:t>
            </w:r>
            <w:r>
              <w:rPr>
                <w:rFonts w:hint="eastAsia"/>
              </w:rPr>
              <w:br w:type="textWrapping"/>
            </w:r>
            <w:r>
              <w:rPr>
                <w:rFonts w:hint="eastAsia"/>
              </w:rPr>
              <w:t>2.注销证明出具：系统打印《上海市非道路移动机械注销证明》并盖章提交后，系统机械状态变为已注销。</w:t>
            </w:r>
          </w:p>
        </w:tc>
      </w:tr>
      <w:tr w14:paraId="430660C9">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440CB8D">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745E553">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7407718">
            <w:pPr>
              <w:pStyle w:val="135"/>
              <w:spacing w:line="240" w:lineRule="auto"/>
            </w:pPr>
            <w:r>
              <w:rPr>
                <w:rFonts w:hint="eastAsia"/>
              </w:rPr>
              <w:t>新建及520事项政务服务数智赋能升级-新建餐饮服务项目选址生态环境风险提示服务-餐饮禁设场所信息管理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284D083C">
            <w:pPr>
              <w:pStyle w:val="135"/>
              <w:spacing w:line="240" w:lineRule="auto"/>
            </w:pPr>
            <w:r>
              <w:rPr>
                <w:rFonts w:hint="eastAsia"/>
              </w:rPr>
              <w:t>禁设场所创建、禁设场所查询控制</w:t>
            </w:r>
          </w:p>
        </w:tc>
      </w:tr>
      <w:tr w14:paraId="5BCBE95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59F759C">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6ED5B574">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388F075">
            <w:pPr>
              <w:pStyle w:val="135"/>
              <w:spacing w:line="240" w:lineRule="auto"/>
            </w:pPr>
            <w:r>
              <w:rPr>
                <w:rFonts w:hint="eastAsia"/>
              </w:rPr>
              <w:t>新建及520事项政务服务数智赋能升级-新建餐饮服务项目选址生态环境风险提示服务-餐饮禁设场所查询服务</w:t>
            </w:r>
          </w:p>
        </w:tc>
        <w:tc>
          <w:tcPr>
            <w:tcW w:w="4050" w:type="dxa"/>
            <w:tcBorders>
              <w:top w:val="single" w:color="000000" w:sz="4" w:space="0"/>
              <w:left w:val="single" w:color="000000" w:sz="4" w:space="0"/>
              <w:bottom w:val="single" w:color="000000" w:sz="4" w:space="0"/>
              <w:right w:val="single" w:color="000000" w:sz="4" w:space="0"/>
            </w:tcBorders>
            <w:vAlign w:val="center"/>
          </w:tcPr>
          <w:p w14:paraId="6F5185E3">
            <w:pPr>
              <w:pStyle w:val="135"/>
              <w:spacing w:line="240" w:lineRule="auto"/>
            </w:pPr>
            <w:r>
              <w:rPr>
                <w:rFonts w:hint="eastAsia"/>
              </w:rPr>
              <w:t>企业通过地址输入，查询到餐饮禁设结果反馈</w:t>
            </w:r>
          </w:p>
        </w:tc>
      </w:tr>
      <w:tr w14:paraId="1700B7CC">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DDD9CBC">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94D6D38">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D84A233">
            <w:pPr>
              <w:pStyle w:val="135"/>
              <w:spacing w:line="240" w:lineRule="auto"/>
            </w:pPr>
            <w:r>
              <w:rPr>
                <w:rFonts w:hint="eastAsia"/>
              </w:rPr>
              <w:t>新建生态环境办件质量质检管理模块-新建生态环境办件质量质检管理模块-生态环境办件库标准建设</w:t>
            </w:r>
          </w:p>
        </w:tc>
        <w:tc>
          <w:tcPr>
            <w:tcW w:w="4050" w:type="dxa"/>
            <w:tcBorders>
              <w:top w:val="single" w:color="000000" w:sz="4" w:space="0"/>
              <w:left w:val="single" w:color="000000" w:sz="4" w:space="0"/>
              <w:bottom w:val="single" w:color="000000" w:sz="4" w:space="0"/>
              <w:right w:val="single" w:color="000000" w:sz="4" w:space="0"/>
            </w:tcBorders>
            <w:vAlign w:val="center"/>
          </w:tcPr>
          <w:p w14:paraId="7BAB4A53">
            <w:pPr>
              <w:pStyle w:val="135"/>
              <w:spacing w:line="240" w:lineRule="auto"/>
            </w:pPr>
            <w:r>
              <w:rPr>
                <w:rFonts w:hint="eastAsia"/>
              </w:rPr>
              <w:t>参照大数据中心运营管理及办件质量考核体系搭建生态环境办件质量指标体系，实现办件质量的在线初核。</w:t>
            </w:r>
          </w:p>
        </w:tc>
      </w:tr>
      <w:tr w14:paraId="275F6487">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9D3FBFE">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65F44F2">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943B171">
            <w:pPr>
              <w:pStyle w:val="135"/>
              <w:spacing w:line="240" w:lineRule="auto"/>
            </w:pPr>
            <w:r>
              <w:rPr>
                <w:rFonts w:hint="eastAsia"/>
              </w:rPr>
              <w:t>新建生态环境办件质量质检管理模块-新建生态环境办件质量质检管理模块-质检结果查阅</w:t>
            </w:r>
          </w:p>
        </w:tc>
        <w:tc>
          <w:tcPr>
            <w:tcW w:w="4050" w:type="dxa"/>
            <w:tcBorders>
              <w:top w:val="single" w:color="000000" w:sz="4" w:space="0"/>
              <w:left w:val="single" w:color="000000" w:sz="4" w:space="0"/>
              <w:bottom w:val="single" w:color="000000" w:sz="4" w:space="0"/>
              <w:right w:val="single" w:color="000000" w:sz="4" w:space="0"/>
            </w:tcBorders>
            <w:vAlign w:val="center"/>
          </w:tcPr>
          <w:p w14:paraId="03324688">
            <w:pPr>
              <w:pStyle w:val="135"/>
              <w:spacing w:line="240" w:lineRule="auto"/>
            </w:pPr>
            <w:r>
              <w:rPr>
                <w:rFonts w:hint="eastAsia"/>
              </w:rPr>
              <w:t>对生态环境办件进行质检，质检结果支持查阅每个办件的办件质量详细指标</w:t>
            </w:r>
          </w:p>
        </w:tc>
      </w:tr>
      <w:tr w14:paraId="6D3378FC">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2F2B31BD">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E827769">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9D6FD6E">
            <w:pPr>
              <w:pStyle w:val="135"/>
              <w:spacing w:line="240" w:lineRule="auto"/>
            </w:pPr>
            <w:r>
              <w:rPr>
                <w:rFonts w:hint="eastAsia"/>
              </w:rPr>
              <w:t>新建生态环境办件质量质检管理模块-新建生态环境办件质量质检管理模块-办件量分析</w:t>
            </w:r>
          </w:p>
        </w:tc>
        <w:tc>
          <w:tcPr>
            <w:tcW w:w="4050" w:type="dxa"/>
            <w:tcBorders>
              <w:top w:val="single" w:color="000000" w:sz="4" w:space="0"/>
              <w:left w:val="single" w:color="000000" w:sz="4" w:space="0"/>
              <w:bottom w:val="single" w:color="000000" w:sz="4" w:space="0"/>
              <w:right w:val="single" w:color="000000" w:sz="4" w:space="0"/>
            </w:tcBorders>
            <w:vAlign w:val="center"/>
          </w:tcPr>
          <w:p w14:paraId="38C2BBF2">
            <w:pPr>
              <w:pStyle w:val="135"/>
              <w:spacing w:line="240" w:lineRule="auto"/>
            </w:pPr>
            <w:r>
              <w:rPr>
                <w:rFonts w:hint="eastAsia"/>
              </w:rPr>
              <w:t>对市级一网通办事项每月生成办件质量月报分析，查找可提升点。</w:t>
            </w:r>
          </w:p>
        </w:tc>
      </w:tr>
      <w:tr w14:paraId="39854619">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6A1B0060">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8583B98">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56F9BF7B">
            <w:pPr>
              <w:pStyle w:val="135"/>
              <w:spacing w:line="240" w:lineRule="auto"/>
            </w:pPr>
            <w:r>
              <w:rPr>
                <w:rFonts w:hint="eastAsia"/>
              </w:rPr>
              <w:t>新建生态环境办件质量质检管理模块-新建生态环境办件质量质检管理模块-与市一网通办对接</w:t>
            </w:r>
          </w:p>
        </w:tc>
        <w:tc>
          <w:tcPr>
            <w:tcW w:w="4050" w:type="dxa"/>
            <w:tcBorders>
              <w:top w:val="single" w:color="000000" w:sz="4" w:space="0"/>
              <w:left w:val="single" w:color="000000" w:sz="4" w:space="0"/>
              <w:bottom w:val="single" w:color="000000" w:sz="4" w:space="0"/>
              <w:right w:val="single" w:color="000000" w:sz="4" w:space="0"/>
            </w:tcBorders>
            <w:vAlign w:val="center"/>
          </w:tcPr>
          <w:p w14:paraId="1E82C866">
            <w:pPr>
              <w:pStyle w:val="135"/>
              <w:spacing w:line="240" w:lineRule="auto"/>
            </w:pPr>
            <w:r>
              <w:rPr>
                <w:rFonts w:hint="eastAsia"/>
              </w:rPr>
              <w:t>与市一网通办办件量等指标进行对接，动态更新生态环境质量标准体系。</w:t>
            </w:r>
          </w:p>
        </w:tc>
      </w:tr>
      <w:tr w14:paraId="2F370B8B">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9AA5B93">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bottom w:val="single" w:color="000000" w:sz="4" w:space="0"/>
              <w:right w:val="single" w:color="000000" w:sz="4" w:space="0"/>
            </w:tcBorders>
            <w:vAlign w:val="center"/>
          </w:tcPr>
          <w:p w14:paraId="677A9702">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D41D9CD">
            <w:pPr>
              <w:pStyle w:val="135"/>
              <w:spacing w:line="240" w:lineRule="auto"/>
            </w:pPr>
            <w:r>
              <w:rPr>
                <w:rFonts w:hint="eastAsia"/>
              </w:rPr>
              <w:t>新增绿色项目公示模块</w:t>
            </w:r>
          </w:p>
        </w:tc>
        <w:tc>
          <w:tcPr>
            <w:tcW w:w="4050" w:type="dxa"/>
            <w:tcBorders>
              <w:top w:val="single" w:color="000000" w:sz="4" w:space="0"/>
              <w:left w:val="single" w:color="000000" w:sz="4" w:space="0"/>
              <w:bottom w:val="single" w:color="000000" w:sz="4" w:space="0"/>
              <w:right w:val="single" w:color="000000" w:sz="4" w:space="0"/>
            </w:tcBorders>
            <w:vAlign w:val="center"/>
          </w:tcPr>
          <w:p w14:paraId="3CC73F2A">
            <w:pPr>
              <w:pStyle w:val="135"/>
              <w:spacing w:line="240" w:lineRule="auto"/>
            </w:pPr>
            <w:r>
              <w:rPr>
                <w:rFonts w:hint="eastAsia"/>
              </w:rPr>
              <w:t>与市绿色金融平台对接，实现绿色项目自动公示，包括项目基础信息、项目主体等信息展示与查阅。</w:t>
            </w:r>
          </w:p>
        </w:tc>
      </w:tr>
      <w:tr w14:paraId="2EE6584C">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8BC28F1">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restart"/>
            <w:tcBorders>
              <w:top w:val="single" w:color="000000" w:sz="4" w:space="0"/>
              <w:left w:val="single" w:color="000000" w:sz="4" w:space="0"/>
              <w:right w:val="single" w:color="000000" w:sz="4" w:space="0"/>
            </w:tcBorders>
            <w:vAlign w:val="center"/>
          </w:tcPr>
          <w:p w14:paraId="03316807">
            <w:pPr>
              <w:pStyle w:val="135"/>
              <w:spacing w:line="240" w:lineRule="auto"/>
            </w:pPr>
            <w:r>
              <w:rPr>
                <w:rFonts w:hint="eastAsia"/>
              </w:rPr>
              <w:t>长三角固废跨省转移区块链应用场景</w:t>
            </w:r>
          </w:p>
        </w:tc>
        <w:tc>
          <w:tcPr>
            <w:tcW w:w="2484" w:type="dxa"/>
            <w:tcBorders>
              <w:top w:val="single" w:color="000000" w:sz="4" w:space="0"/>
              <w:left w:val="single" w:color="000000" w:sz="4" w:space="0"/>
              <w:bottom w:val="single" w:color="000000" w:sz="4" w:space="0"/>
              <w:right w:val="single" w:color="000000" w:sz="4" w:space="0"/>
            </w:tcBorders>
            <w:vAlign w:val="center"/>
          </w:tcPr>
          <w:p w14:paraId="52C2D173">
            <w:pPr>
              <w:pStyle w:val="135"/>
              <w:spacing w:line="240" w:lineRule="auto"/>
            </w:pPr>
            <w:r>
              <w:rPr>
                <w:rFonts w:hint="eastAsia"/>
              </w:rPr>
              <w:t>长三角固废跨省转移区块链应用场景-固体废物管理链-一般固体废物跨省转移利用备案申请表存证智能合约-备案申请信息存证新增</w:t>
            </w:r>
          </w:p>
        </w:tc>
        <w:tc>
          <w:tcPr>
            <w:tcW w:w="4050" w:type="dxa"/>
            <w:tcBorders>
              <w:top w:val="single" w:color="000000" w:sz="4" w:space="0"/>
              <w:left w:val="single" w:color="000000" w:sz="4" w:space="0"/>
              <w:bottom w:val="single" w:color="000000" w:sz="4" w:space="0"/>
              <w:right w:val="single" w:color="000000" w:sz="4" w:space="0"/>
            </w:tcBorders>
            <w:vAlign w:val="center"/>
          </w:tcPr>
          <w:p w14:paraId="2E4A2901">
            <w:pPr>
              <w:pStyle w:val="135"/>
              <w:spacing w:line="240" w:lineRule="auto"/>
            </w:pPr>
            <w:r>
              <w:rPr>
                <w:rFonts w:hint="eastAsia"/>
              </w:rPr>
              <w:t>开发备案申请信息智能合约将一般固体废物跨省转移利用备案申请表进行上链</w:t>
            </w:r>
          </w:p>
        </w:tc>
      </w:tr>
      <w:tr w14:paraId="2C306D18">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8E9890D">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11A00F8">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D4474C1">
            <w:pPr>
              <w:pStyle w:val="135"/>
              <w:spacing w:line="240" w:lineRule="auto"/>
            </w:pPr>
            <w:r>
              <w:rPr>
                <w:rFonts w:hint="eastAsia"/>
              </w:rPr>
              <w:t>固体废物管理链-一般固体废物跨省转移利用备案申请表存证智能合约-备案申请信息通知</w:t>
            </w:r>
          </w:p>
        </w:tc>
        <w:tc>
          <w:tcPr>
            <w:tcW w:w="4050" w:type="dxa"/>
            <w:tcBorders>
              <w:top w:val="single" w:color="000000" w:sz="4" w:space="0"/>
              <w:left w:val="single" w:color="000000" w:sz="4" w:space="0"/>
              <w:bottom w:val="single" w:color="000000" w:sz="4" w:space="0"/>
              <w:right w:val="single" w:color="000000" w:sz="4" w:space="0"/>
            </w:tcBorders>
            <w:vAlign w:val="center"/>
          </w:tcPr>
          <w:p w14:paraId="17966EF8">
            <w:pPr>
              <w:pStyle w:val="135"/>
              <w:spacing w:line="240" w:lineRule="auto"/>
            </w:pPr>
            <w:r>
              <w:rPr>
                <w:rFonts w:hint="eastAsia"/>
              </w:rPr>
              <w:t>提交上链后将备案申请信息推送给相关方</w:t>
            </w:r>
          </w:p>
        </w:tc>
      </w:tr>
      <w:tr w14:paraId="159C647B">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84ADE1C">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6B1301FC">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C51C03A">
            <w:pPr>
              <w:pStyle w:val="135"/>
              <w:spacing w:line="240" w:lineRule="auto"/>
            </w:pPr>
            <w:r>
              <w:rPr>
                <w:rFonts w:hint="eastAsia"/>
              </w:rPr>
              <w:t>固体废物管理链-一般固体废物跨省转移利用备案申请表存证智能合约-备案申请信息查询及哈希校验</w:t>
            </w:r>
          </w:p>
        </w:tc>
        <w:tc>
          <w:tcPr>
            <w:tcW w:w="4050" w:type="dxa"/>
            <w:tcBorders>
              <w:top w:val="single" w:color="000000" w:sz="4" w:space="0"/>
              <w:left w:val="single" w:color="000000" w:sz="4" w:space="0"/>
              <w:bottom w:val="single" w:color="000000" w:sz="4" w:space="0"/>
              <w:right w:val="single" w:color="000000" w:sz="4" w:space="0"/>
            </w:tcBorders>
            <w:vAlign w:val="center"/>
          </w:tcPr>
          <w:p w14:paraId="41094A8C">
            <w:pPr>
              <w:pStyle w:val="135"/>
              <w:spacing w:line="240" w:lineRule="auto"/>
            </w:pPr>
            <w:r>
              <w:rPr>
                <w:rFonts w:hint="eastAsia"/>
              </w:rPr>
              <w:t>1.备案申请信息查询：以主键为查询条件对备案申请信息进行查询，智能合约收到查询条件后对信息进行匹配，并返回信息</w:t>
            </w:r>
            <w:r>
              <w:rPr>
                <w:rFonts w:hint="eastAsia"/>
              </w:rPr>
              <w:br w:type="textWrapping"/>
            </w:r>
            <w:r>
              <w:rPr>
                <w:rFonts w:hint="eastAsia"/>
              </w:rPr>
              <w:t>2.备案申请信息哈希核验：定期对上链的数据，进行哈希验证数据是否被篡改</w:t>
            </w:r>
          </w:p>
        </w:tc>
      </w:tr>
      <w:tr w14:paraId="5662BB8B">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47F72F0C">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33F165F">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5E08F878">
            <w:pPr>
              <w:pStyle w:val="135"/>
              <w:spacing w:line="240" w:lineRule="auto"/>
            </w:pPr>
            <w:r>
              <w:rPr>
                <w:rFonts w:hint="eastAsia"/>
              </w:rPr>
              <w:t>固体废物管理链-一般固体废物跨省转移利用备案申请撤销业务处理智能合约-备案申请信息撤销新增</w:t>
            </w:r>
          </w:p>
        </w:tc>
        <w:tc>
          <w:tcPr>
            <w:tcW w:w="4050" w:type="dxa"/>
            <w:tcBorders>
              <w:top w:val="single" w:color="000000" w:sz="4" w:space="0"/>
              <w:left w:val="single" w:color="000000" w:sz="4" w:space="0"/>
              <w:bottom w:val="single" w:color="000000" w:sz="4" w:space="0"/>
              <w:right w:val="single" w:color="000000" w:sz="4" w:space="0"/>
            </w:tcBorders>
            <w:vAlign w:val="center"/>
          </w:tcPr>
          <w:p w14:paraId="1874203D">
            <w:pPr>
              <w:pStyle w:val="135"/>
              <w:spacing w:line="240" w:lineRule="auto"/>
            </w:pPr>
            <w:r>
              <w:rPr>
                <w:rFonts w:hint="eastAsia"/>
              </w:rPr>
              <w:t>开发备案申请信息智能合约将一般固体废物跨省转移利用备案申请表进行上链</w:t>
            </w:r>
          </w:p>
        </w:tc>
      </w:tr>
      <w:tr w14:paraId="6FEA1B54">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4F4FB2A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1DBB3C23">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44861C7">
            <w:pPr>
              <w:pStyle w:val="135"/>
              <w:spacing w:line="240" w:lineRule="auto"/>
            </w:pPr>
            <w:r>
              <w:rPr>
                <w:rFonts w:hint="eastAsia"/>
              </w:rPr>
              <w:t>固体废物管理链-一般固体废物跨省转移利用备案申请撤销业务处理智能合约-备案撤销申请信息通知</w:t>
            </w:r>
          </w:p>
        </w:tc>
        <w:tc>
          <w:tcPr>
            <w:tcW w:w="4050" w:type="dxa"/>
            <w:tcBorders>
              <w:top w:val="single" w:color="000000" w:sz="4" w:space="0"/>
              <w:left w:val="single" w:color="000000" w:sz="4" w:space="0"/>
              <w:bottom w:val="single" w:color="000000" w:sz="4" w:space="0"/>
              <w:right w:val="single" w:color="000000" w:sz="4" w:space="0"/>
            </w:tcBorders>
            <w:vAlign w:val="center"/>
          </w:tcPr>
          <w:p w14:paraId="07FAA6D5">
            <w:pPr>
              <w:pStyle w:val="135"/>
              <w:spacing w:line="240" w:lineRule="auto"/>
            </w:pPr>
            <w:r>
              <w:rPr>
                <w:rFonts w:hint="eastAsia"/>
              </w:rPr>
              <w:t>提交上链后将备案撤销申请信息推送给相关方</w:t>
            </w:r>
          </w:p>
        </w:tc>
      </w:tr>
      <w:tr w14:paraId="111AF19D">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0A13BCD">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B35380D">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396B1BD9">
            <w:pPr>
              <w:pStyle w:val="135"/>
              <w:spacing w:line="240" w:lineRule="auto"/>
            </w:pPr>
            <w:r>
              <w:rPr>
                <w:rFonts w:hint="eastAsia"/>
              </w:rPr>
              <w:t>固体废物管理链-一般固体废物跨省转移利用备案申请撤销业务处理智能合约-备案申请信息撤销信息查询</w:t>
            </w:r>
          </w:p>
        </w:tc>
        <w:tc>
          <w:tcPr>
            <w:tcW w:w="4050" w:type="dxa"/>
            <w:tcBorders>
              <w:top w:val="single" w:color="000000" w:sz="4" w:space="0"/>
              <w:left w:val="single" w:color="000000" w:sz="4" w:space="0"/>
              <w:bottom w:val="single" w:color="000000" w:sz="4" w:space="0"/>
              <w:right w:val="single" w:color="000000" w:sz="4" w:space="0"/>
            </w:tcBorders>
            <w:vAlign w:val="center"/>
          </w:tcPr>
          <w:p w14:paraId="35B6ACF0">
            <w:pPr>
              <w:pStyle w:val="135"/>
              <w:spacing w:line="240" w:lineRule="auto"/>
            </w:pPr>
            <w:r>
              <w:rPr>
                <w:rFonts w:hint="eastAsia"/>
              </w:rPr>
              <w:t>以主键和备案号为查询条件对备案申请信息进行查询，智能合约收到查询条件后对信息进行匹配，并返回信息</w:t>
            </w:r>
          </w:p>
        </w:tc>
      </w:tr>
      <w:tr w14:paraId="43F93C6B">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A7D0ACF">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6E7DB387">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6EED48F">
            <w:pPr>
              <w:pStyle w:val="135"/>
              <w:spacing w:line="240" w:lineRule="auto"/>
            </w:pPr>
            <w:r>
              <w:rPr>
                <w:rFonts w:hint="eastAsia"/>
              </w:rPr>
              <w:t>固体废物管理链-一般固体废物跨省贮存、处置业务处理智能合约-处置或贮存申请信息存证新增</w:t>
            </w:r>
          </w:p>
        </w:tc>
        <w:tc>
          <w:tcPr>
            <w:tcW w:w="4050" w:type="dxa"/>
            <w:tcBorders>
              <w:top w:val="single" w:color="000000" w:sz="4" w:space="0"/>
              <w:left w:val="single" w:color="000000" w:sz="4" w:space="0"/>
              <w:bottom w:val="single" w:color="000000" w:sz="4" w:space="0"/>
              <w:right w:val="single" w:color="000000" w:sz="4" w:space="0"/>
            </w:tcBorders>
            <w:vAlign w:val="center"/>
          </w:tcPr>
          <w:p w14:paraId="10165A32">
            <w:pPr>
              <w:pStyle w:val="135"/>
              <w:spacing w:line="240" w:lineRule="auto"/>
            </w:pPr>
            <w:r>
              <w:rPr>
                <w:rFonts w:hint="eastAsia"/>
              </w:rPr>
              <w:t>开发处置或贮存申请信息智能合约将一般固体废物跨省处置或贮存申请表进行上链</w:t>
            </w:r>
          </w:p>
        </w:tc>
      </w:tr>
      <w:tr w14:paraId="14E3D7C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831C3C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92C5034">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A8DAD0B">
            <w:pPr>
              <w:pStyle w:val="135"/>
              <w:spacing w:line="240" w:lineRule="auto"/>
            </w:pPr>
            <w:r>
              <w:rPr>
                <w:rFonts w:hint="eastAsia"/>
              </w:rPr>
              <w:t>固体废物管理链-一般固体废物跨省贮存、处置业务处理智能合约-处置或贮存申请业务处理</w:t>
            </w:r>
          </w:p>
        </w:tc>
        <w:tc>
          <w:tcPr>
            <w:tcW w:w="4050" w:type="dxa"/>
            <w:tcBorders>
              <w:top w:val="single" w:color="000000" w:sz="4" w:space="0"/>
              <w:left w:val="single" w:color="000000" w:sz="4" w:space="0"/>
              <w:bottom w:val="single" w:color="000000" w:sz="4" w:space="0"/>
              <w:right w:val="single" w:color="000000" w:sz="4" w:space="0"/>
            </w:tcBorders>
            <w:vAlign w:val="center"/>
          </w:tcPr>
          <w:p w14:paraId="6882BB28">
            <w:pPr>
              <w:pStyle w:val="135"/>
              <w:spacing w:line="240" w:lineRule="auto"/>
            </w:pPr>
            <w:r>
              <w:rPr>
                <w:rFonts w:hint="eastAsia"/>
              </w:rPr>
              <w:t>根据业务流程和审核状态变更，将处置或贮存申请信息推送给相关方进行业务处理</w:t>
            </w:r>
          </w:p>
        </w:tc>
      </w:tr>
      <w:tr w14:paraId="337EB0FE">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46B734A">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7138D8C1">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1304466">
            <w:pPr>
              <w:pStyle w:val="135"/>
              <w:spacing w:line="240" w:lineRule="auto"/>
            </w:pPr>
            <w:r>
              <w:rPr>
                <w:rFonts w:hint="eastAsia"/>
              </w:rPr>
              <w:t>固体废物管理链-一般固体废物跨省贮存、处置业务处理智能合约-处置或贮存申请信息更新、查询</w:t>
            </w:r>
          </w:p>
        </w:tc>
        <w:tc>
          <w:tcPr>
            <w:tcW w:w="4050" w:type="dxa"/>
            <w:tcBorders>
              <w:top w:val="single" w:color="000000" w:sz="4" w:space="0"/>
              <w:left w:val="single" w:color="000000" w:sz="4" w:space="0"/>
              <w:bottom w:val="single" w:color="000000" w:sz="4" w:space="0"/>
              <w:right w:val="single" w:color="000000" w:sz="4" w:space="0"/>
            </w:tcBorders>
            <w:vAlign w:val="center"/>
          </w:tcPr>
          <w:p w14:paraId="63133F31">
            <w:pPr>
              <w:pStyle w:val="135"/>
              <w:spacing w:line="240" w:lineRule="auto"/>
            </w:pPr>
            <w:r>
              <w:rPr>
                <w:rFonts w:hint="eastAsia"/>
              </w:rPr>
              <w:t>1.处置或贮存申请信息更新：将已上链的数据进行动态更新，形成时间戳数据链条</w:t>
            </w:r>
            <w:r>
              <w:rPr>
                <w:rFonts w:hint="eastAsia"/>
              </w:rPr>
              <w:br w:type="textWrapping"/>
            </w:r>
            <w:r>
              <w:rPr>
                <w:rFonts w:hint="eastAsia"/>
              </w:rPr>
              <w:t>2.处置或贮存申请信息查询：以主键为查询条件对备案申请信息进行查询，智能合约收到查询条件后对信息进行匹配，并返回信息</w:t>
            </w:r>
          </w:p>
        </w:tc>
      </w:tr>
      <w:tr w14:paraId="01F753D5">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C967AAB">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5CBF7AAF">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33ED170">
            <w:pPr>
              <w:pStyle w:val="135"/>
              <w:spacing w:line="240" w:lineRule="auto"/>
            </w:pPr>
            <w:r>
              <w:rPr>
                <w:rFonts w:hint="eastAsia"/>
              </w:rPr>
              <w:t>一般固体废物跨省贮存、处置业务处理智能合约-处置或贮存申请信息哈希核验</w:t>
            </w:r>
          </w:p>
        </w:tc>
        <w:tc>
          <w:tcPr>
            <w:tcW w:w="4050" w:type="dxa"/>
            <w:tcBorders>
              <w:top w:val="single" w:color="000000" w:sz="4" w:space="0"/>
              <w:left w:val="single" w:color="000000" w:sz="4" w:space="0"/>
              <w:bottom w:val="single" w:color="000000" w:sz="4" w:space="0"/>
              <w:right w:val="single" w:color="000000" w:sz="4" w:space="0"/>
            </w:tcBorders>
            <w:vAlign w:val="center"/>
          </w:tcPr>
          <w:p w14:paraId="2748BA29">
            <w:pPr>
              <w:pStyle w:val="135"/>
              <w:spacing w:line="240" w:lineRule="auto"/>
            </w:pPr>
            <w:r>
              <w:rPr>
                <w:rFonts w:hint="eastAsia"/>
              </w:rPr>
              <w:t>定期对上链的数据，进行哈希验证数据是否被篡改</w:t>
            </w:r>
          </w:p>
        </w:tc>
      </w:tr>
      <w:tr w14:paraId="647ED097">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13E12929">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0EC4D5E0">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48B128C1">
            <w:pPr>
              <w:pStyle w:val="135"/>
              <w:spacing w:line="240" w:lineRule="auto"/>
            </w:pPr>
            <w:r>
              <w:rPr>
                <w:rFonts w:hint="eastAsia"/>
              </w:rPr>
              <w:t>一般固体废物跨省贮存、处置申请表存证智能合约-处置或贮存申请信息存证新增</w:t>
            </w:r>
          </w:p>
        </w:tc>
        <w:tc>
          <w:tcPr>
            <w:tcW w:w="4050" w:type="dxa"/>
            <w:tcBorders>
              <w:top w:val="single" w:color="000000" w:sz="4" w:space="0"/>
              <w:left w:val="single" w:color="000000" w:sz="4" w:space="0"/>
              <w:bottom w:val="single" w:color="000000" w:sz="4" w:space="0"/>
              <w:right w:val="single" w:color="000000" w:sz="4" w:space="0"/>
            </w:tcBorders>
            <w:vAlign w:val="center"/>
          </w:tcPr>
          <w:p w14:paraId="73430AFA">
            <w:pPr>
              <w:pStyle w:val="135"/>
              <w:spacing w:line="240" w:lineRule="auto"/>
            </w:pPr>
            <w:r>
              <w:rPr>
                <w:rFonts w:hint="eastAsia"/>
              </w:rPr>
              <w:t>开发处置或贮存申请信息智能合约将一般固体废物跨省转移利用备案申请表进行上链</w:t>
            </w:r>
          </w:p>
        </w:tc>
      </w:tr>
      <w:tr w14:paraId="3F53EAC1">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3674AABC">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10A81B1">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6CA39A7B">
            <w:pPr>
              <w:pStyle w:val="135"/>
              <w:spacing w:line="240" w:lineRule="auto"/>
            </w:pPr>
            <w:r>
              <w:rPr>
                <w:rFonts w:hint="eastAsia"/>
              </w:rPr>
              <w:t>一般固体废物跨省贮存、处置申请表存证智能合约-处置或贮存申请信息更新</w:t>
            </w:r>
          </w:p>
        </w:tc>
        <w:tc>
          <w:tcPr>
            <w:tcW w:w="4050" w:type="dxa"/>
            <w:tcBorders>
              <w:top w:val="single" w:color="000000" w:sz="4" w:space="0"/>
              <w:left w:val="single" w:color="000000" w:sz="4" w:space="0"/>
              <w:bottom w:val="single" w:color="000000" w:sz="4" w:space="0"/>
              <w:right w:val="single" w:color="000000" w:sz="4" w:space="0"/>
            </w:tcBorders>
            <w:vAlign w:val="center"/>
          </w:tcPr>
          <w:p w14:paraId="0B8FD706">
            <w:pPr>
              <w:pStyle w:val="135"/>
              <w:spacing w:line="240" w:lineRule="auto"/>
            </w:pPr>
            <w:r>
              <w:rPr>
                <w:rFonts w:hint="eastAsia"/>
              </w:rPr>
              <w:t>将已上链的数据进行动态更新，形成时间戳数据链条</w:t>
            </w:r>
          </w:p>
        </w:tc>
      </w:tr>
      <w:tr w14:paraId="2FE3BBF0">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7B2707B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43463AB">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2691A0C">
            <w:pPr>
              <w:pStyle w:val="135"/>
              <w:spacing w:line="240" w:lineRule="auto"/>
            </w:pPr>
            <w:r>
              <w:rPr>
                <w:rFonts w:hint="eastAsia"/>
              </w:rPr>
              <w:t>一般固体废物跨省贮存、处置申请表存证智能合约-处置或贮存申请信息信息查询</w:t>
            </w:r>
          </w:p>
        </w:tc>
        <w:tc>
          <w:tcPr>
            <w:tcW w:w="4050" w:type="dxa"/>
            <w:tcBorders>
              <w:top w:val="single" w:color="000000" w:sz="4" w:space="0"/>
              <w:left w:val="single" w:color="000000" w:sz="4" w:space="0"/>
              <w:bottom w:val="single" w:color="000000" w:sz="4" w:space="0"/>
              <w:right w:val="single" w:color="000000" w:sz="4" w:space="0"/>
            </w:tcBorders>
            <w:vAlign w:val="center"/>
          </w:tcPr>
          <w:p w14:paraId="539528CD">
            <w:pPr>
              <w:pStyle w:val="135"/>
              <w:spacing w:line="240" w:lineRule="auto"/>
            </w:pPr>
            <w:r>
              <w:rPr>
                <w:rFonts w:hint="eastAsia"/>
              </w:rPr>
              <w:t>以主键为查询条件对备案申请信息进行查询，智能合约收到查询条件后对信息进行匹配，并返回信息</w:t>
            </w:r>
          </w:p>
        </w:tc>
      </w:tr>
      <w:tr w14:paraId="5CC0FCFC">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4CBB0855">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4DFFE988">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1564AD08">
            <w:pPr>
              <w:pStyle w:val="135"/>
              <w:spacing w:line="240" w:lineRule="auto"/>
            </w:pPr>
            <w:r>
              <w:rPr>
                <w:rFonts w:hint="eastAsia"/>
              </w:rPr>
              <w:t>固体废物管理链-SDK接入应用对接服务-业务系统接入应用</w:t>
            </w:r>
          </w:p>
        </w:tc>
        <w:tc>
          <w:tcPr>
            <w:tcW w:w="4050" w:type="dxa"/>
            <w:tcBorders>
              <w:top w:val="single" w:color="000000" w:sz="4" w:space="0"/>
              <w:left w:val="single" w:color="000000" w:sz="4" w:space="0"/>
              <w:bottom w:val="single" w:color="000000" w:sz="4" w:space="0"/>
              <w:right w:val="single" w:color="000000" w:sz="4" w:space="0"/>
            </w:tcBorders>
            <w:vAlign w:val="center"/>
          </w:tcPr>
          <w:p w14:paraId="2CA5CF5B">
            <w:pPr>
              <w:pStyle w:val="135"/>
              <w:spacing w:line="240" w:lineRule="auto"/>
            </w:pPr>
            <w:r>
              <w:rPr>
                <w:rFonts w:hint="eastAsia"/>
              </w:rPr>
              <w:t>1.上海市生环局：运用区块链技术开发上海市生环局业务系统区块链应用通过SDK完成推送数据上链</w:t>
            </w:r>
            <w:r>
              <w:rPr>
                <w:rFonts w:hint="eastAsia"/>
              </w:rPr>
              <w:br w:type="textWrapping"/>
            </w:r>
            <w:r>
              <w:rPr>
                <w:rFonts w:hint="eastAsia"/>
              </w:rPr>
              <w:t>2.安徽省生环局：运用区块链技术开发上海市生环局业务系统区块链应用通过SDK完成推送数据上链</w:t>
            </w:r>
            <w:r>
              <w:rPr>
                <w:rFonts w:hint="eastAsia"/>
              </w:rPr>
              <w:br w:type="textWrapping"/>
            </w:r>
            <w:r>
              <w:rPr>
                <w:rFonts w:hint="eastAsia"/>
              </w:rPr>
              <w:t>3.浙江省生环局：运用区块链技术开发上海市生环局业务系统通过SDK完成推送数据上链</w:t>
            </w:r>
            <w:r>
              <w:rPr>
                <w:rFonts w:hint="eastAsia"/>
              </w:rPr>
              <w:br w:type="textWrapping"/>
            </w:r>
            <w:r>
              <w:rPr>
                <w:rFonts w:hint="eastAsia"/>
              </w:rPr>
              <w:t>4.江苏省生环局：运用区块链技术开发上海市生环局业务系统区块链应用通过SDK完成推送数据上链</w:t>
            </w:r>
          </w:p>
        </w:tc>
      </w:tr>
      <w:tr w14:paraId="4625BE79">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0898C0E4">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right w:val="single" w:color="000000" w:sz="4" w:space="0"/>
            </w:tcBorders>
            <w:vAlign w:val="center"/>
          </w:tcPr>
          <w:p w14:paraId="372BB90A">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25A88A54">
            <w:pPr>
              <w:pStyle w:val="135"/>
              <w:spacing w:line="240" w:lineRule="auto"/>
            </w:pPr>
            <w:r>
              <w:rPr>
                <w:rFonts w:hint="eastAsia"/>
              </w:rPr>
              <w:t>固体废物管理链-SDK接入应用对接服务-权限管控、链上数据订阅及订阅推送</w:t>
            </w:r>
          </w:p>
        </w:tc>
        <w:tc>
          <w:tcPr>
            <w:tcW w:w="4050" w:type="dxa"/>
            <w:tcBorders>
              <w:top w:val="single" w:color="000000" w:sz="4" w:space="0"/>
              <w:left w:val="single" w:color="000000" w:sz="4" w:space="0"/>
              <w:bottom w:val="single" w:color="000000" w:sz="4" w:space="0"/>
              <w:right w:val="single" w:color="000000" w:sz="4" w:space="0"/>
            </w:tcBorders>
            <w:vAlign w:val="center"/>
          </w:tcPr>
          <w:p w14:paraId="648C4C9E">
            <w:pPr>
              <w:pStyle w:val="135"/>
              <w:spacing w:line="240" w:lineRule="auto"/>
            </w:pPr>
            <w:r>
              <w:rPr>
                <w:rFonts w:hint="eastAsia"/>
              </w:rPr>
              <w:t>1.权限管控：开发SDK身份权限管控服务，支持上链数据通过权限配置授权给对应接入应用，实现应用key、secret的发放，实现身份权限校验控制</w:t>
            </w:r>
            <w:r>
              <w:rPr>
                <w:rFonts w:hint="eastAsia"/>
              </w:rPr>
              <w:br w:type="textWrapping"/>
            </w:r>
            <w:r>
              <w:rPr>
                <w:rFonts w:hint="eastAsia"/>
              </w:rPr>
              <w:t>2.链上数据订阅：链节点订阅服务，支持接入应用通过SDK订阅上链的所有数据</w:t>
            </w:r>
            <w:r>
              <w:rPr>
                <w:rFonts w:hint="eastAsia"/>
              </w:rPr>
              <w:br w:type="textWrapping"/>
            </w:r>
            <w:r>
              <w:rPr>
                <w:rFonts w:hint="eastAsia"/>
              </w:rPr>
              <w:t>3.订阅推送：通过链节点订阅回调实时推送数据相关方应用系统</w:t>
            </w:r>
          </w:p>
        </w:tc>
      </w:tr>
      <w:tr w14:paraId="3FE2EE62">
        <w:tblPrEx>
          <w:tblCellMar>
            <w:top w:w="0" w:type="dxa"/>
            <w:left w:w="108" w:type="dxa"/>
            <w:bottom w:w="0" w:type="dxa"/>
            <w:right w:w="108" w:type="dxa"/>
          </w:tblCellMar>
        </w:tblPrEx>
        <w:trPr>
          <w:trHeight w:val="276" w:hRule="atLeast"/>
        </w:trPr>
        <w:tc>
          <w:tcPr>
            <w:tcW w:w="637" w:type="dxa"/>
            <w:tcBorders>
              <w:top w:val="single" w:color="000000" w:sz="4" w:space="0"/>
              <w:left w:val="single" w:color="000000" w:sz="4" w:space="0"/>
              <w:bottom w:val="single" w:color="000000" w:sz="4" w:space="0"/>
              <w:right w:val="single" w:color="000000" w:sz="4" w:space="0"/>
            </w:tcBorders>
            <w:vAlign w:val="center"/>
          </w:tcPr>
          <w:p w14:paraId="5384FD40">
            <w:pPr>
              <w:widowControl/>
              <w:numPr>
                <w:ilvl w:val="0"/>
                <w:numId w:val="6"/>
              </w:numPr>
              <w:ind w:firstLineChars="0"/>
              <w:jc w:val="center"/>
              <w:textAlignment w:val="center"/>
              <w:rPr>
                <w:rFonts w:hint="eastAsia" w:ascii="等线" w:hAnsi="等线" w:eastAsia="等线" w:cs="等线"/>
                <w:b/>
                <w:bCs/>
                <w:color w:val="000000"/>
                <w:kern w:val="0"/>
                <w:sz w:val="22"/>
                <w:szCs w:val="22"/>
                <w:lang w:bidi="ar"/>
              </w:rPr>
            </w:pPr>
          </w:p>
        </w:tc>
        <w:tc>
          <w:tcPr>
            <w:tcW w:w="1259" w:type="dxa"/>
            <w:vMerge w:val="continue"/>
            <w:tcBorders>
              <w:left w:val="single" w:color="000000" w:sz="4" w:space="0"/>
              <w:bottom w:val="single" w:color="000000" w:sz="4" w:space="0"/>
              <w:right w:val="single" w:color="000000" w:sz="4" w:space="0"/>
            </w:tcBorders>
            <w:vAlign w:val="center"/>
          </w:tcPr>
          <w:p w14:paraId="07AF2AE0">
            <w:pPr>
              <w:pStyle w:val="135"/>
              <w:spacing w:line="240" w:lineRule="auto"/>
            </w:pPr>
          </w:p>
        </w:tc>
        <w:tc>
          <w:tcPr>
            <w:tcW w:w="2484" w:type="dxa"/>
            <w:tcBorders>
              <w:top w:val="single" w:color="000000" w:sz="4" w:space="0"/>
              <w:left w:val="single" w:color="000000" w:sz="4" w:space="0"/>
              <w:bottom w:val="single" w:color="000000" w:sz="4" w:space="0"/>
              <w:right w:val="single" w:color="000000" w:sz="4" w:space="0"/>
            </w:tcBorders>
            <w:vAlign w:val="center"/>
          </w:tcPr>
          <w:p w14:paraId="79AF989E">
            <w:pPr>
              <w:pStyle w:val="135"/>
              <w:spacing w:line="240" w:lineRule="auto"/>
            </w:pPr>
            <w:r>
              <w:rPr>
                <w:rFonts w:hint="eastAsia"/>
              </w:rPr>
              <w:t>固体废物管理链-链上数据大屏展示-区块链数据获取服务、政务数据大屏展示</w:t>
            </w:r>
          </w:p>
        </w:tc>
        <w:tc>
          <w:tcPr>
            <w:tcW w:w="4050" w:type="dxa"/>
            <w:tcBorders>
              <w:top w:val="single" w:color="000000" w:sz="4" w:space="0"/>
              <w:left w:val="single" w:color="000000" w:sz="4" w:space="0"/>
              <w:bottom w:val="single" w:color="000000" w:sz="4" w:space="0"/>
              <w:right w:val="single" w:color="000000" w:sz="4" w:space="0"/>
            </w:tcBorders>
            <w:vAlign w:val="center"/>
          </w:tcPr>
          <w:p w14:paraId="3FF81F3A">
            <w:pPr>
              <w:pStyle w:val="135"/>
              <w:spacing w:line="240" w:lineRule="auto"/>
            </w:pPr>
            <w:r>
              <w:rPr>
                <w:rFonts w:hint="eastAsia"/>
              </w:rPr>
              <w:t>1.区块链数据获取服务：开发最新区块高度、累计交易数、节点数量、智能合约数、合约执行次数等数据接口与业务展示大屏对接</w:t>
            </w:r>
            <w:r>
              <w:rPr>
                <w:rFonts w:hint="eastAsia"/>
              </w:rPr>
              <w:br w:type="textWrapping"/>
            </w:r>
            <w:r>
              <w:rPr>
                <w:rFonts w:hint="eastAsia"/>
              </w:rPr>
              <w:t>2.政务数据大屏展示：开发区块链数据展示模块，对接上海市政务区块链大屏</w:t>
            </w:r>
          </w:p>
        </w:tc>
      </w:tr>
    </w:tbl>
    <w:p w14:paraId="2B0AD65E">
      <w:pPr>
        <w:rPr>
          <w:rFonts w:hint="eastAsia"/>
        </w:rPr>
      </w:pPr>
    </w:p>
    <w:p w14:paraId="403EEEEE">
      <w:pPr>
        <w:pStyle w:val="2"/>
        <w:rPr>
          <w:rFonts w:hint="eastAsia"/>
        </w:rPr>
      </w:pPr>
      <w:bookmarkStart w:id="17" w:name="_Toc63785502"/>
      <w:r>
        <w:rPr>
          <w:rFonts w:hint="eastAsia"/>
        </w:rPr>
        <w:t>电子政务云资源需求</w:t>
      </w:r>
      <w:bookmarkEnd w:id="17"/>
    </w:p>
    <w:p w14:paraId="59803533">
      <w:pPr>
        <w:rPr>
          <w:rFonts w:hint="eastAsia"/>
        </w:rPr>
      </w:pPr>
      <w:r>
        <w:rPr>
          <w:rFonts w:hint="eastAsia"/>
          <w:lang w:val="en-US" w:eastAsia="zh-CN"/>
        </w:rPr>
        <w:t>以实际批复情况为准。</w:t>
      </w:r>
    </w:p>
    <w:p w14:paraId="709BE550">
      <w:pPr>
        <w:pStyle w:val="2"/>
        <w:rPr>
          <w:rFonts w:hint="eastAsia"/>
        </w:rPr>
      </w:pPr>
      <w:bookmarkStart w:id="18" w:name="_Toc63785503"/>
      <w:r>
        <w:rPr>
          <w:rFonts w:hint="eastAsia"/>
        </w:rPr>
        <w:t>其他工作要求</w:t>
      </w:r>
      <w:bookmarkEnd w:id="18"/>
    </w:p>
    <w:p w14:paraId="1BBE0552">
      <w:pPr>
        <w:keepNext/>
        <w:keepLines/>
        <w:numPr>
          <w:ilvl w:val="1"/>
          <w:numId w:val="7"/>
        </w:numPr>
        <w:tabs>
          <w:tab w:val="left" w:pos="360"/>
        </w:tabs>
        <w:spacing w:before="120" w:line="240" w:lineRule="auto"/>
        <w:ind w:left="0" w:firstLine="0" w:firstLineChars="0"/>
        <w:outlineLvl w:val="1"/>
        <w:rPr>
          <w:rFonts w:hint="eastAsia" w:ascii="仿宋" w:hAnsi="仿宋" w:eastAsia="仿宋"/>
          <w:b/>
          <w:vanish/>
          <w:color w:val="000000"/>
          <w:sz w:val="28"/>
          <w:szCs w:val="20"/>
        </w:rPr>
      </w:pPr>
      <w:bookmarkStart w:id="19" w:name="_Toc63785504"/>
      <w:bookmarkEnd w:id="19"/>
      <w:bookmarkStart w:id="20" w:name="_Toc61968111"/>
      <w:bookmarkEnd w:id="20"/>
      <w:bookmarkStart w:id="21" w:name="_Toc63762370"/>
      <w:bookmarkEnd w:id="21"/>
      <w:bookmarkStart w:id="22" w:name="_Toc63785439"/>
      <w:bookmarkEnd w:id="22"/>
      <w:bookmarkStart w:id="23" w:name="_Toc63585480"/>
      <w:bookmarkEnd w:id="23"/>
      <w:bookmarkStart w:id="24" w:name="_Toc62209488"/>
      <w:bookmarkEnd w:id="24"/>
      <w:bookmarkStart w:id="25" w:name="_Toc63151871"/>
      <w:bookmarkEnd w:id="25"/>
      <w:bookmarkStart w:id="26" w:name="_Toc62219358"/>
      <w:bookmarkEnd w:id="26"/>
    </w:p>
    <w:p w14:paraId="7273C8F1">
      <w:pPr>
        <w:pStyle w:val="3"/>
        <w:rPr>
          <w:rFonts w:hint="eastAsia"/>
        </w:rPr>
      </w:pPr>
      <w:bookmarkStart w:id="27" w:name="_Toc63785505"/>
      <w:r>
        <w:rPr>
          <w:rFonts w:hint="eastAsia"/>
        </w:rPr>
        <w:t>售后服务要求</w:t>
      </w:r>
      <w:bookmarkEnd w:id="27"/>
    </w:p>
    <w:p w14:paraId="3D383AD1">
      <w:pPr>
        <w:pStyle w:val="106"/>
        <w:snapToGrid w:val="0"/>
        <w:spacing w:line="360" w:lineRule="auto"/>
        <w:ind w:firstLine="480"/>
        <w:rPr>
          <w:rFonts w:hint="eastAsia"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44DF3729">
      <w:pPr>
        <w:pStyle w:val="106"/>
        <w:snapToGrid w:val="0"/>
        <w:spacing w:line="360" w:lineRule="auto"/>
        <w:ind w:firstLine="480"/>
        <w:rPr>
          <w:rFonts w:hint="eastAsia"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3F0B5885">
      <w:pPr>
        <w:snapToGrid w:val="0"/>
        <w:ind w:firstLine="0" w:firstLineChars="0"/>
        <w:jc w:val="left"/>
        <w:rPr>
          <w:rFonts w:hint="eastAsia"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在质量保证期内，供应商负责信息系统的运行维护工作，确保信息系统安全、稳定、可靠地运行。本项目涉及的运行维护工作范围为：自项目验收之日起一年内按照售后服务承诺提供</w:t>
      </w:r>
      <w:r>
        <w:rPr>
          <w:rFonts w:hint="eastAsia" w:ascii="宋体" w:hAnsi="宋体" w:eastAsia="宋体"/>
          <w:sz w:val="24"/>
          <w:szCs w:val="24"/>
        </w:rPr>
        <w:t>生态环境政务服务大系统建设项目（2026年升级改造）</w:t>
      </w:r>
      <w:r>
        <w:rPr>
          <w:rFonts w:hint="eastAsia"/>
        </w:rPr>
        <w:t>采购范围的软件开发模块</w:t>
      </w:r>
      <w:r>
        <w:rPr>
          <w:rFonts w:hint="eastAsia"/>
          <w:sz w:val="24"/>
          <w:szCs w:val="24"/>
          <w:lang w:val="en-US" w:eastAsia="zh-CN"/>
        </w:rPr>
        <w:t>的</w:t>
      </w:r>
      <w:r>
        <w:rPr>
          <w:rFonts w:hint="eastAsia" w:ascii="宋体" w:hAnsi="宋体"/>
          <w:sz w:val="24"/>
          <w:szCs w:val="24"/>
        </w:rPr>
        <w:t>技术支持和售后服务，确保信息系统安全、稳定、可靠的运行。</w:t>
      </w:r>
    </w:p>
    <w:p w14:paraId="3D21D733">
      <w:pPr>
        <w:pStyle w:val="3"/>
        <w:rPr>
          <w:rFonts w:hint="eastAsia"/>
        </w:rPr>
      </w:pPr>
      <w:bookmarkStart w:id="28" w:name="_Toc63785506"/>
      <w:r>
        <w:rPr>
          <w:rFonts w:hint="eastAsia"/>
        </w:rPr>
        <w:t>应急响应要求</w:t>
      </w:r>
      <w:bookmarkEnd w:id="28"/>
    </w:p>
    <w:p w14:paraId="1FDB654C">
      <w:pPr>
        <w:pStyle w:val="106"/>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010399FA">
      <w:pPr>
        <w:pStyle w:val="106"/>
        <w:snapToGrid w:val="0"/>
        <w:spacing w:line="360" w:lineRule="auto"/>
        <w:ind w:firstLine="480"/>
        <w:rPr>
          <w:rFonts w:hint="eastAsia" w:ascii="宋体" w:hAnsi="宋体"/>
          <w:sz w:val="24"/>
          <w:szCs w:val="24"/>
        </w:rPr>
      </w:pPr>
      <w:r>
        <w:rPr>
          <w:rFonts w:hint="eastAsia" w:ascii="宋体" w:hAnsi="宋体"/>
          <w:sz w:val="24"/>
          <w:szCs w:val="24"/>
        </w:rPr>
        <w:t>具体故障级别及对应的应急响应要求如下：</w:t>
      </w:r>
    </w:p>
    <w:p w14:paraId="36A1BFC0">
      <w:pPr>
        <w:pStyle w:val="106"/>
        <w:snapToGrid w:val="0"/>
        <w:spacing w:line="360" w:lineRule="auto"/>
        <w:ind w:firstLine="480"/>
        <w:rPr>
          <w:rFonts w:hint="eastAsia"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2249EB5B">
      <w:pPr>
        <w:pStyle w:val="106"/>
        <w:snapToGrid w:val="0"/>
        <w:spacing w:line="360" w:lineRule="auto"/>
        <w:ind w:firstLine="480"/>
        <w:rPr>
          <w:rFonts w:hint="eastAsia"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4CF5E649">
      <w:pPr>
        <w:pStyle w:val="106"/>
        <w:snapToGrid w:val="0"/>
        <w:spacing w:line="360" w:lineRule="auto"/>
        <w:ind w:firstLine="480"/>
        <w:rPr>
          <w:rFonts w:hint="eastAsia"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71ACFA36">
      <w:pPr>
        <w:pStyle w:val="3"/>
        <w:rPr>
          <w:rFonts w:hint="eastAsia"/>
        </w:rPr>
      </w:pPr>
      <w:bookmarkStart w:id="29" w:name="_Toc63785507"/>
      <w:r>
        <w:rPr>
          <w:rFonts w:hint="eastAsia"/>
        </w:rPr>
        <w:t>培训要求</w:t>
      </w:r>
      <w:bookmarkEnd w:id="29"/>
    </w:p>
    <w:p w14:paraId="74BC04D3">
      <w:pPr>
        <w:rPr>
          <w:rFonts w:hint="eastAsia"/>
        </w:rPr>
      </w:pPr>
      <w:r>
        <w:rPr>
          <w:rFonts w:hint="eastAsia"/>
        </w:rPr>
        <w:t>对系统使用单位提供业务操作培训，应提供详细培训方案。</w:t>
      </w:r>
    </w:p>
    <w:p w14:paraId="4AC6D30D">
      <w:pPr>
        <w:rPr>
          <w:rFonts w:hint="eastAsia"/>
        </w:rPr>
      </w:pPr>
      <w:r>
        <w:rPr>
          <w:rFonts w:hint="eastAsia"/>
        </w:rPr>
        <w:t>(1)在12个月的质量保证期内，提供2次与项目相关的必要培训。</w:t>
      </w:r>
    </w:p>
    <w:p w14:paraId="062E4271">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14:paraId="617628AA">
      <w:pPr>
        <w:rPr>
          <w:rFonts w:hint="eastAsia"/>
        </w:rPr>
      </w:pPr>
      <w:r>
        <w:rPr>
          <w:rFonts w:hint="eastAsia"/>
        </w:rPr>
        <w:t>(3)供应商应提供一般用户的基础操作培训和部门信息管理员的日常应用维护的培训，确保用户对象能够掌握对应的操作技能。</w:t>
      </w:r>
    </w:p>
    <w:p w14:paraId="19B57CD0">
      <w:pPr>
        <w:pStyle w:val="3"/>
        <w:rPr>
          <w:rFonts w:hint="eastAsia"/>
        </w:rPr>
      </w:pPr>
      <w:bookmarkStart w:id="30" w:name="_Toc63785508"/>
      <w:r>
        <w:rPr>
          <w:rFonts w:hint="eastAsia"/>
        </w:rPr>
        <w:t>验收要求</w:t>
      </w:r>
      <w:bookmarkEnd w:id="30"/>
    </w:p>
    <w:p w14:paraId="4B07E276">
      <w:pPr>
        <w:rPr>
          <w:rFonts w:hint="eastAsia"/>
          <w:szCs w:val="21"/>
        </w:rPr>
      </w:pPr>
      <w:r>
        <w:rPr>
          <w:rFonts w:hint="eastAsia"/>
          <w:szCs w:val="21"/>
        </w:rPr>
        <w:t>本项目按下述方式开展验收。</w:t>
      </w:r>
    </w:p>
    <w:p w14:paraId="54FF4137">
      <w:pPr>
        <w:rPr>
          <w:rFonts w:hint="eastAsia"/>
          <w:szCs w:val="21"/>
        </w:rPr>
      </w:pPr>
      <w:r>
        <w:rPr>
          <w:rFonts w:hint="eastAsia"/>
          <w:szCs w:val="21"/>
        </w:rPr>
        <w:t>（</w:t>
      </w:r>
      <w:r>
        <w:rPr>
          <w:szCs w:val="21"/>
        </w:rPr>
        <w:t>1）终验。</w:t>
      </w:r>
    </w:p>
    <w:p w14:paraId="1E7C99CB">
      <w:pPr>
        <w:rPr>
          <w:rFonts w:hint="eastAsia"/>
          <w:szCs w:val="21"/>
        </w:rPr>
      </w:pPr>
      <w:r>
        <w:rPr>
          <w:rFonts w:hint="eastAsia"/>
          <w:szCs w:val="21"/>
        </w:rPr>
        <w:t>（</w:t>
      </w:r>
      <w:r>
        <w:rPr>
          <w:szCs w:val="21"/>
        </w:rPr>
        <w:t>2）终验前，供应商须完成软件开发、软硬件安装和信息系统的调试等，并对本项目进行功能和运行检测，确保所有信息系统功能模块能够正常运行且已达到本项目约定的各类标准要求。供应商应以书面形式向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szCs w:val="21"/>
          <w:lang w:eastAsia="zh-CN"/>
        </w:rPr>
        <w:t>采购</w:t>
      </w:r>
      <w:r>
        <w:rPr>
          <w:szCs w:val="21"/>
        </w:rPr>
        <w:t>方递交终验通知书。</w:t>
      </w:r>
      <w:r>
        <w:rPr>
          <w:rFonts w:hint="eastAsia"/>
          <w:szCs w:val="21"/>
          <w:lang w:eastAsia="zh-CN"/>
        </w:rPr>
        <w:t>采购</w:t>
      </w:r>
      <w:r>
        <w:rPr>
          <w:szCs w:val="21"/>
        </w:rPr>
        <w:t>方应当在接到通知后的5个工作日内确定初验的具体日期，由双方按照本项目的约定完成本项目的终验。</w:t>
      </w:r>
      <w:r>
        <w:rPr>
          <w:rFonts w:hint="eastAsia"/>
          <w:szCs w:val="21"/>
          <w:lang w:eastAsia="zh-CN"/>
        </w:rPr>
        <w:t>采购</w:t>
      </w:r>
      <w:r>
        <w:rPr>
          <w:szCs w:val="21"/>
        </w:rPr>
        <w:t>方有权委托第三方检测机构进行验收，对此供应商应当配合。</w:t>
      </w:r>
    </w:p>
    <w:p w14:paraId="501085B4">
      <w:pPr>
        <w:rPr>
          <w:rFonts w:hint="eastAsia"/>
          <w:szCs w:val="21"/>
        </w:rPr>
      </w:pPr>
      <w:r>
        <w:rPr>
          <w:rFonts w:hint="eastAsia"/>
          <w:szCs w:val="21"/>
        </w:rPr>
        <w:t>（</w:t>
      </w:r>
      <w:r>
        <w:rPr>
          <w:szCs w:val="21"/>
        </w:rPr>
        <w:t>3）终验时，供应商须提供软件文档包括《用户需求说明书》、《系统概要设计说明书》、《系统详细设计说明书》、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终验通过。如有缺陷，</w:t>
      </w:r>
      <w:r>
        <w:rPr>
          <w:rFonts w:hint="eastAsia"/>
          <w:szCs w:val="21"/>
          <w:lang w:eastAsia="zh-CN"/>
        </w:rPr>
        <w:t>采购</w:t>
      </w:r>
      <w:r>
        <w:rPr>
          <w:szCs w:val="21"/>
        </w:rPr>
        <w:t>方应向供应商出具书面报告，陈述需要改进的缺陷。供应商应立即严格依照</w:t>
      </w:r>
      <w:r>
        <w:rPr>
          <w:rFonts w:hint="eastAsia"/>
          <w:szCs w:val="21"/>
          <w:lang w:eastAsia="zh-CN"/>
        </w:rPr>
        <w:t>采购</w:t>
      </w:r>
      <w:r>
        <w:rPr>
          <w:szCs w:val="21"/>
        </w:rPr>
        <w:t>方的书面报告中的要求改进缺陷，并再次进行终验。</w:t>
      </w:r>
    </w:p>
    <w:p w14:paraId="4C015502">
      <w:pPr>
        <w:rPr>
          <w:rFonts w:hint="eastAsia"/>
          <w:szCs w:val="21"/>
        </w:rPr>
      </w:pPr>
      <w:r>
        <w:rPr>
          <w:rFonts w:hint="eastAsia"/>
          <w:szCs w:val="21"/>
        </w:rPr>
        <w:t>（</w:t>
      </w:r>
      <w:r>
        <w:rPr>
          <w:szCs w:val="21"/>
        </w:rPr>
        <w:t>4）自终验通过之日起，</w:t>
      </w:r>
      <w:r>
        <w:rPr>
          <w:rFonts w:hint="eastAsia"/>
          <w:szCs w:val="21"/>
          <w:lang w:eastAsia="zh-CN"/>
        </w:rPr>
        <w:t>采购人</w:t>
      </w:r>
      <w:r>
        <w:rPr>
          <w:szCs w:val="21"/>
        </w:rPr>
        <w:t>享有供应商免费提供的</w:t>
      </w:r>
      <w:r>
        <w:rPr>
          <w:rFonts w:hint="eastAsia"/>
          <w:szCs w:val="21"/>
        </w:rPr>
        <w:t>30</w:t>
      </w:r>
      <w:r>
        <w:rPr>
          <w:szCs w:val="21"/>
        </w:rPr>
        <w:t>天的信息系统试运行现场驻场服务期。该期间内，供应商应当按照</w:t>
      </w:r>
      <w:r>
        <w:rPr>
          <w:rFonts w:hint="eastAsia"/>
          <w:szCs w:val="21"/>
          <w:lang w:eastAsia="zh-CN"/>
        </w:rPr>
        <w:t>采购人</w:t>
      </w:r>
      <w:r>
        <w:rPr>
          <w:szCs w:val="21"/>
        </w:rPr>
        <w:t>的要求提供现场技术支持服务，解决信息系统试运行期间可能出现的各类问题，或进一步提高与完善信息系统运行水平。</w:t>
      </w:r>
    </w:p>
    <w:p w14:paraId="7FB4C4C4">
      <w:pPr>
        <w:rPr>
          <w:rFonts w:hint="eastAsia"/>
          <w:szCs w:val="21"/>
        </w:rPr>
      </w:pPr>
      <w:r>
        <w:rPr>
          <w:rFonts w:hint="eastAsia"/>
          <w:szCs w:val="21"/>
        </w:rPr>
        <w:t>（</w:t>
      </w:r>
      <w:r>
        <w:rPr>
          <w:szCs w:val="21"/>
        </w:rPr>
        <w:t>5）终验通过且信息系统试运行期已经达到本项目约定的时间，经供应商确认信息系统具备正常运行条件，且信息系统通过运行测试，供应商应以书面形式通知</w:t>
      </w:r>
      <w:r>
        <w:rPr>
          <w:rFonts w:hint="eastAsia"/>
          <w:szCs w:val="21"/>
          <w:lang w:eastAsia="zh-CN"/>
        </w:rPr>
        <w:t>采购人</w:t>
      </w:r>
      <w:r>
        <w:rPr>
          <w:szCs w:val="21"/>
        </w:rPr>
        <w:t>信息系统已准备就绪等待终验。</w:t>
      </w:r>
      <w:r>
        <w:rPr>
          <w:rFonts w:hint="eastAsia"/>
          <w:szCs w:val="21"/>
          <w:lang w:eastAsia="zh-CN"/>
        </w:rPr>
        <w:t>采购人</w:t>
      </w:r>
      <w:r>
        <w:rPr>
          <w:szCs w:val="21"/>
        </w:rPr>
        <w:t>在收到终验通知后的</w:t>
      </w:r>
      <w:r>
        <w:rPr>
          <w:rFonts w:hint="eastAsia"/>
          <w:szCs w:val="21"/>
        </w:rPr>
        <w:t>5</w:t>
      </w:r>
      <w:r>
        <w:rPr>
          <w:szCs w:val="21"/>
        </w:rPr>
        <w:t>个工作日内发起组织专家验收会。</w:t>
      </w:r>
    </w:p>
    <w:p w14:paraId="5FE35571">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15A82727">
      <w:pPr>
        <w:rPr>
          <w:rFonts w:hint="eastAsia"/>
          <w:szCs w:val="21"/>
        </w:rPr>
      </w:pPr>
      <w:r>
        <w:rPr>
          <w:rFonts w:hint="eastAsia"/>
          <w:szCs w:val="21"/>
        </w:rPr>
        <w:t>（7</w:t>
      </w:r>
      <w:r>
        <w:rPr>
          <w:szCs w:val="21"/>
        </w:rPr>
        <w:t>）如果由于</w:t>
      </w:r>
      <w:r>
        <w:rPr>
          <w:rFonts w:hint="eastAsia"/>
          <w:szCs w:val="21"/>
          <w:lang w:eastAsia="zh-CN"/>
        </w:rPr>
        <w:t>采购人</w:t>
      </w:r>
      <w:r>
        <w:rPr>
          <w:szCs w:val="21"/>
        </w:rPr>
        <w:t>原因导致本项目在终验通过前出现故障或问题，供应商应及时配合排除该方面的故障或问题。</w:t>
      </w:r>
    </w:p>
    <w:p w14:paraId="436E6C9F">
      <w:pPr>
        <w:rPr>
          <w:rFonts w:hint="eastAsia"/>
          <w:szCs w:val="21"/>
        </w:rPr>
      </w:pPr>
      <w:r>
        <w:rPr>
          <w:rFonts w:hint="eastAsia"/>
          <w:szCs w:val="21"/>
        </w:rPr>
        <w:t>（8</w:t>
      </w:r>
      <w:r>
        <w:rPr>
          <w:szCs w:val="21"/>
        </w:rPr>
        <w:t>）如本项目连续3次验收未通过，</w:t>
      </w:r>
      <w:r>
        <w:rPr>
          <w:rFonts w:hint="eastAsia"/>
          <w:szCs w:val="21"/>
          <w:lang w:eastAsia="zh-CN"/>
        </w:rPr>
        <w:t>采购人</w:t>
      </w:r>
      <w:r>
        <w:rPr>
          <w:szCs w:val="21"/>
        </w:rPr>
        <w:t>有权解除项目，并有权依照本项目约定的违约条款追究供应商的违约责任。</w:t>
      </w:r>
    </w:p>
    <w:p w14:paraId="2D3C600F">
      <w:pPr>
        <w:pStyle w:val="3"/>
        <w:rPr>
          <w:rFonts w:hint="eastAsia"/>
        </w:rPr>
      </w:pPr>
      <w:bookmarkStart w:id="31" w:name="_Toc63785509"/>
      <w:r>
        <w:rPr>
          <w:rFonts w:hint="eastAsia"/>
        </w:rPr>
        <w:t>进度要求</w:t>
      </w:r>
      <w:bookmarkEnd w:id="31"/>
    </w:p>
    <w:p w14:paraId="0914D7C5">
      <w:pPr>
        <w:rPr>
          <w:rFonts w:hint="eastAsia"/>
        </w:rPr>
      </w:pPr>
      <w:r>
        <w:rPr>
          <w:rFonts w:hint="eastAsia"/>
          <w:lang w:eastAsia="zh-CN"/>
        </w:rPr>
        <w:t>供应商</w:t>
      </w:r>
      <w:r>
        <w:rPr>
          <w:rFonts w:hint="eastAsia"/>
        </w:rPr>
        <w:t>应根据建设内容，分阶段制定合理的时间进度，并且应根据</w:t>
      </w:r>
      <w:r>
        <w:rPr>
          <w:rFonts w:hint="eastAsia"/>
          <w:lang w:eastAsia="zh-CN"/>
        </w:rPr>
        <w:t>采购人</w:t>
      </w:r>
      <w:r>
        <w:rPr>
          <w:rFonts w:hint="eastAsia"/>
        </w:rPr>
        <w:t>要求进行调整和细化。</w:t>
      </w:r>
    </w:p>
    <w:p w14:paraId="250AB4C4">
      <w:pPr>
        <w:rPr>
          <w:rFonts w:hint="eastAsia"/>
        </w:rPr>
      </w:pPr>
      <w:r>
        <w:rPr>
          <w:rFonts w:hint="eastAsia"/>
        </w:rPr>
        <w:t>总建设周期为</w:t>
      </w:r>
      <w:r>
        <w:rPr>
          <w:rFonts w:hint="eastAsia"/>
          <w:lang w:eastAsia="zh-CN"/>
        </w:rPr>
        <w:t>：</w:t>
      </w:r>
      <w:r>
        <w:rPr>
          <w:rFonts w:hint="eastAsia" w:asciiTheme="minorEastAsia" w:hAnsiTheme="minorEastAsia" w:eastAsiaTheme="minorEastAsia"/>
          <w:color w:val="auto"/>
          <w:szCs w:val="21"/>
          <w:lang w:eastAsia="zh-CN"/>
        </w:rPr>
        <w:t>自合同签订之日起至2026年11月30日前完成</w:t>
      </w:r>
      <w:r>
        <w:rPr>
          <w:rFonts w:hint="eastAsia"/>
          <w:color w:val="auto"/>
        </w:rPr>
        <w:t>，</w:t>
      </w:r>
      <w:r>
        <w:rPr>
          <w:rFonts w:hint="eastAsia"/>
        </w:rPr>
        <w:t>分为4个阶段。</w:t>
      </w:r>
    </w:p>
    <w:p w14:paraId="7AF32AF4">
      <w:pPr>
        <w:pStyle w:val="136"/>
        <w:ind w:firstLine="480"/>
        <w:rPr>
          <w:rFonts w:hint="eastAsia"/>
        </w:rPr>
      </w:pPr>
      <w:r>
        <w:rPr>
          <w:rFonts w:hint="eastAsia"/>
        </w:rPr>
        <w:t>项目规划设计阶段：</w:t>
      </w:r>
      <w:r>
        <w:rPr>
          <w:rFonts w:hint="eastAsia"/>
          <w:lang w:eastAsia="zh-CN"/>
        </w:rPr>
        <w:t>约</w:t>
      </w:r>
      <w:r>
        <w:rPr>
          <w:rFonts w:hint="eastAsia"/>
        </w:rPr>
        <w:t>2</w:t>
      </w:r>
      <w:r>
        <w:rPr>
          <w:rFonts w:hint="eastAsia"/>
          <w:lang w:eastAsia="zh-CN"/>
        </w:rPr>
        <w:t>个</w:t>
      </w:r>
      <w:r>
        <w:rPr>
          <w:rFonts w:hint="eastAsia"/>
        </w:rPr>
        <w:t>月</w:t>
      </w:r>
    </w:p>
    <w:p w14:paraId="7F72104F">
      <w:pPr>
        <w:pStyle w:val="136"/>
        <w:ind w:firstLine="480"/>
        <w:rPr>
          <w:rFonts w:hint="eastAsia"/>
        </w:rPr>
      </w:pPr>
      <w:r>
        <w:rPr>
          <w:rFonts w:hint="eastAsia"/>
        </w:rPr>
        <w:t>项目开发测试阶段：</w:t>
      </w:r>
      <w:r>
        <w:rPr>
          <w:rFonts w:hint="eastAsia"/>
          <w:lang w:eastAsia="zh-CN"/>
        </w:rPr>
        <w:t>约</w:t>
      </w:r>
      <w:r>
        <w:rPr>
          <w:rFonts w:hint="eastAsia"/>
        </w:rPr>
        <w:t>5</w:t>
      </w:r>
      <w:r>
        <w:rPr>
          <w:rFonts w:hint="eastAsia"/>
          <w:lang w:eastAsia="zh-CN"/>
        </w:rPr>
        <w:t>个</w:t>
      </w:r>
      <w:r>
        <w:rPr>
          <w:rFonts w:hint="eastAsia"/>
        </w:rPr>
        <w:t>月</w:t>
      </w:r>
    </w:p>
    <w:p w14:paraId="6039F888">
      <w:pPr>
        <w:pStyle w:val="136"/>
        <w:ind w:firstLine="480"/>
        <w:rPr>
          <w:rFonts w:hint="eastAsia"/>
        </w:rPr>
      </w:pPr>
      <w:r>
        <w:rPr>
          <w:rFonts w:hint="eastAsia"/>
        </w:rPr>
        <w:t>项目试运行和迭代开发阶段：</w:t>
      </w:r>
      <w:r>
        <w:rPr>
          <w:rFonts w:hint="eastAsia"/>
          <w:lang w:eastAsia="zh-CN"/>
        </w:rPr>
        <w:t>约</w:t>
      </w:r>
      <w:r>
        <w:rPr>
          <w:rFonts w:hint="eastAsia"/>
        </w:rPr>
        <w:t>2</w:t>
      </w:r>
      <w:r>
        <w:rPr>
          <w:rFonts w:hint="eastAsia"/>
          <w:lang w:eastAsia="zh-CN"/>
        </w:rPr>
        <w:t>个</w:t>
      </w:r>
      <w:r>
        <w:rPr>
          <w:rFonts w:hint="eastAsia"/>
        </w:rPr>
        <w:t>月</w:t>
      </w:r>
    </w:p>
    <w:p w14:paraId="3C0E4576">
      <w:pPr>
        <w:pStyle w:val="136"/>
        <w:ind w:firstLine="480"/>
        <w:rPr>
          <w:rFonts w:hint="eastAsia"/>
        </w:rPr>
      </w:pPr>
      <w:r>
        <w:rPr>
          <w:rFonts w:hint="eastAsia"/>
        </w:rPr>
        <w:t>项目验收阶段：</w:t>
      </w:r>
      <w:r>
        <w:rPr>
          <w:rFonts w:hint="eastAsia"/>
          <w:lang w:eastAsia="zh-CN"/>
        </w:rPr>
        <w:t>约</w:t>
      </w:r>
      <w:r>
        <w:rPr>
          <w:rFonts w:hint="eastAsia"/>
        </w:rPr>
        <w:t>1</w:t>
      </w:r>
      <w:r>
        <w:rPr>
          <w:rFonts w:hint="eastAsia"/>
          <w:lang w:eastAsia="zh-CN"/>
        </w:rPr>
        <w:t>个</w:t>
      </w:r>
      <w:r>
        <w:rPr>
          <w:rFonts w:hint="eastAsia"/>
        </w:rPr>
        <w:t>月</w:t>
      </w:r>
    </w:p>
    <w:p w14:paraId="12FFA663">
      <w:pPr>
        <w:pStyle w:val="3"/>
        <w:rPr>
          <w:rFonts w:hint="eastAsia"/>
        </w:rPr>
      </w:pPr>
      <w:bookmarkStart w:id="32" w:name="_Toc63785510"/>
      <w:r>
        <w:rPr>
          <w:rFonts w:hint="eastAsia"/>
        </w:rPr>
        <w:t>项目团队及驻场人员要求</w:t>
      </w:r>
      <w:bookmarkEnd w:id="32"/>
    </w:p>
    <w:p w14:paraId="47A06E6D">
      <w:pPr>
        <w:numPr>
          <w:ilvl w:val="0"/>
          <w:numId w:val="8"/>
        </w:numPr>
        <w:rPr>
          <w:rFonts w:hint="eastAsia"/>
        </w:rPr>
      </w:pPr>
      <w:r>
        <w:rPr>
          <w:rFonts w:hint="eastAsia"/>
          <w:lang w:eastAsia="zh-CN"/>
        </w:rPr>
        <w:t>供应商</w:t>
      </w:r>
      <w:r>
        <w:t>须具有稳定的在职技术保障力量，能够提供及时的技术支援或服务，应针对本项目提供不少于</w:t>
      </w:r>
      <w:r>
        <w:rPr>
          <w:rFonts w:hint="eastAsia"/>
        </w:rPr>
        <w:t>1</w:t>
      </w:r>
      <w:r>
        <w:rPr>
          <w:rFonts w:hint="eastAsia"/>
          <w:lang w:val="en-US" w:eastAsia="zh-CN"/>
        </w:rPr>
        <w:t>0</w:t>
      </w:r>
      <w:r>
        <w:t>人的项目服务团队（包括项目经理、产品经理、技术负责人、研发</w:t>
      </w:r>
      <w:r>
        <w:rPr>
          <w:rFonts w:hint="eastAsia"/>
          <w:lang w:eastAsia="zh-CN"/>
        </w:rPr>
        <w:t>人员</w:t>
      </w:r>
      <w:r>
        <w:t>等），</w:t>
      </w:r>
      <w:r>
        <w:rPr>
          <w:rFonts w:hint="eastAsia"/>
          <w:lang w:eastAsia="zh-CN"/>
        </w:rPr>
        <w:t>响应</w:t>
      </w:r>
      <w:r>
        <w:t>单位的相关服务人员</w:t>
      </w:r>
      <w:r>
        <w:rPr>
          <w:rFonts w:hint="eastAsia"/>
        </w:rPr>
        <w:t>须具备</w:t>
      </w:r>
      <w:r>
        <w:t>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812"/>
        <w:gridCol w:w="1288"/>
        <w:gridCol w:w="3075"/>
        <w:gridCol w:w="1357"/>
      </w:tblGrid>
      <w:tr w14:paraId="3E9F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6" w:type="dxa"/>
            <w:noWrap/>
            <w:vAlign w:val="center"/>
          </w:tcPr>
          <w:p w14:paraId="6B5CAD6E">
            <w:pPr>
              <w:widowControl/>
              <w:spacing w:line="240" w:lineRule="auto"/>
              <w:ind w:firstLine="0" w:firstLineChars="0"/>
              <w:jc w:val="center"/>
              <w:rPr>
                <w:rFonts w:hint="eastAsia"/>
                <w:b/>
              </w:rPr>
            </w:pPr>
            <w:r>
              <w:rPr>
                <w:rFonts w:hint="eastAsia"/>
                <w:b/>
              </w:rPr>
              <w:t>角色</w:t>
            </w:r>
          </w:p>
        </w:tc>
        <w:tc>
          <w:tcPr>
            <w:tcW w:w="1812" w:type="dxa"/>
            <w:noWrap/>
            <w:vAlign w:val="center"/>
          </w:tcPr>
          <w:p w14:paraId="489A22B1">
            <w:pPr>
              <w:widowControl/>
              <w:spacing w:line="240" w:lineRule="auto"/>
              <w:ind w:firstLine="0" w:firstLineChars="0"/>
              <w:jc w:val="center"/>
              <w:rPr>
                <w:rFonts w:hint="eastAsia"/>
                <w:b/>
              </w:rPr>
            </w:pPr>
            <w:r>
              <w:rPr>
                <w:rFonts w:hint="eastAsia"/>
                <w:b/>
              </w:rPr>
              <w:t>主要职责</w:t>
            </w:r>
          </w:p>
        </w:tc>
        <w:tc>
          <w:tcPr>
            <w:tcW w:w="1288" w:type="dxa"/>
            <w:noWrap/>
            <w:vAlign w:val="center"/>
          </w:tcPr>
          <w:p w14:paraId="6616C8BF">
            <w:pPr>
              <w:widowControl/>
              <w:spacing w:line="240" w:lineRule="auto"/>
              <w:ind w:firstLine="0" w:firstLineChars="0"/>
              <w:jc w:val="center"/>
              <w:rPr>
                <w:rFonts w:hint="eastAsia"/>
                <w:b/>
              </w:rPr>
            </w:pPr>
            <w:r>
              <w:rPr>
                <w:rFonts w:hint="eastAsia"/>
                <w:b/>
              </w:rPr>
              <w:t>人员数量</w:t>
            </w:r>
          </w:p>
        </w:tc>
        <w:tc>
          <w:tcPr>
            <w:tcW w:w="3075" w:type="dxa"/>
            <w:vAlign w:val="center"/>
          </w:tcPr>
          <w:p w14:paraId="4E981B4A">
            <w:pPr>
              <w:widowControl/>
              <w:spacing w:line="240" w:lineRule="auto"/>
              <w:ind w:firstLine="0" w:firstLineChars="0"/>
              <w:jc w:val="center"/>
              <w:rPr>
                <w:rFonts w:hint="eastAsia"/>
                <w:b/>
              </w:rPr>
            </w:pPr>
            <w:r>
              <w:rPr>
                <w:rFonts w:hint="eastAsia"/>
                <w:b/>
              </w:rPr>
              <w:t>人员要求</w:t>
            </w:r>
          </w:p>
        </w:tc>
        <w:tc>
          <w:tcPr>
            <w:tcW w:w="1357" w:type="dxa"/>
            <w:noWrap/>
            <w:vAlign w:val="center"/>
          </w:tcPr>
          <w:p w14:paraId="243B0D80">
            <w:pPr>
              <w:widowControl/>
              <w:spacing w:line="240" w:lineRule="auto"/>
              <w:ind w:firstLine="0" w:firstLineChars="0"/>
              <w:jc w:val="center"/>
              <w:rPr>
                <w:rFonts w:hint="eastAsia"/>
                <w:b/>
              </w:rPr>
            </w:pPr>
            <w:r>
              <w:rPr>
                <w:rFonts w:hint="eastAsia"/>
                <w:b/>
              </w:rPr>
              <w:t>驻场要求</w:t>
            </w:r>
          </w:p>
        </w:tc>
      </w:tr>
      <w:tr w14:paraId="5B70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6" w:type="dxa"/>
            <w:noWrap/>
            <w:vAlign w:val="center"/>
          </w:tcPr>
          <w:p w14:paraId="7B732F7D">
            <w:pPr>
              <w:widowControl/>
              <w:spacing w:line="240" w:lineRule="auto"/>
              <w:ind w:firstLine="0" w:firstLineChars="0"/>
              <w:jc w:val="center"/>
              <w:rPr>
                <w:rFonts w:hint="eastAsia"/>
              </w:rPr>
            </w:pPr>
            <w:r>
              <w:rPr>
                <w:rFonts w:hint="eastAsia"/>
              </w:rPr>
              <w:t>项目经理</w:t>
            </w:r>
          </w:p>
        </w:tc>
        <w:tc>
          <w:tcPr>
            <w:tcW w:w="1812" w:type="dxa"/>
            <w:vAlign w:val="center"/>
          </w:tcPr>
          <w:p w14:paraId="376007AF">
            <w:pPr>
              <w:widowControl/>
              <w:spacing w:line="240" w:lineRule="auto"/>
              <w:ind w:firstLine="0" w:firstLineChars="0"/>
              <w:jc w:val="center"/>
              <w:rPr>
                <w:rFonts w:hint="eastAsia"/>
              </w:rPr>
            </w:pPr>
            <w:r>
              <w:rPr>
                <w:rFonts w:hint="eastAsia"/>
              </w:rPr>
              <w:t>负责项目质量和进度控制</w:t>
            </w:r>
          </w:p>
        </w:tc>
        <w:tc>
          <w:tcPr>
            <w:tcW w:w="1288" w:type="dxa"/>
            <w:noWrap/>
            <w:vAlign w:val="center"/>
          </w:tcPr>
          <w:p w14:paraId="6A288F93">
            <w:pPr>
              <w:widowControl/>
              <w:spacing w:line="240" w:lineRule="auto"/>
              <w:ind w:firstLine="0" w:firstLineChars="0"/>
              <w:jc w:val="center"/>
              <w:rPr>
                <w:rFonts w:hint="eastAsia"/>
              </w:rPr>
            </w:pPr>
            <w:r>
              <w:rPr>
                <w:rFonts w:hint="eastAsia"/>
              </w:rPr>
              <w:t>1人</w:t>
            </w:r>
          </w:p>
        </w:tc>
        <w:tc>
          <w:tcPr>
            <w:tcW w:w="3075" w:type="dxa"/>
            <w:vAlign w:val="center"/>
          </w:tcPr>
          <w:p w14:paraId="45B191B2">
            <w:pPr>
              <w:widowControl/>
              <w:spacing w:line="240" w:lineRule="auto"/>
              <w:ind w:firstLine="0" w:firstLineChars="0"/>
              <w:jc w:val="center"/>
              <w:rPr>
                <w:rFonts w:hint="eastAsia"/>
              </w:rPr>
            </w:pPr>
            <w:r>
              <w:rPr>
                <w:rFonts w:hint="eastAsia"/>
              </w:rPr>
              <w:t>本科及以上学历，具备计算机技术与软件专业技术高级资格证书</w:t>
            </w:r>
            <w:r>
              <w:rPr>
                <w:rFonts w:hint="eastAsia"/>
                <w:lang w:eastAsia="zh-CN"/>
              </w:rPr>
              <w:t>（如</w:t>
            </w:r>
            <w:r>
              <w:rPr>
                <w:rFonts w:hint="eastAsia"/>
              </w:rPr>
              <w:t>信息系统项目管理师证书</w:t>
            </w:r>
            <w:r>
              <w:rPr>
                <w:rFonts w:hint="eastAsia"/>
                <w:lang w:eastAsia="zh-CN"/>
              </w:rPr>
              <w:t>）</w:t>
            </w:r>
            <w:r>
              <w:rPr>
                <w:rFonts w:hint="eastAsia"/>
              </w:rPr>
              <w:t>。类似项目5年以上经历。</w:t>
            </w:r>
          </w:p>
        </w:tc>
        <w:tc>
          <w:tcPr>
            <w:tcW w:w="1357" w:type="dxa"/>
            <w:noWrap/>
            <w:vAlign w:val="center"/>
          </w:tcPr>
          <w:p w14:paraId="3BA19EFD">
            <w:pPr>
              <w:widowControl/>
              <w:spacing w:line="240" w:lineRule="auto"/>
              <w:ind w:firstLine="0" w:firstLineChars="0"/>
              <w:jc w:val="center"/>
              <w:rPr>
                <w:rFonts w:hint="eastAsia"/>
              </w:rPr>
            </w:pPr>
            <w:r>
              <w:rPr>
                <w:rFonts w:hint="eastAsia"/>
              </w:rPr>
              <w:t>项目建设全阶段驻场</w:t>
            </w:r>
          </w:p>
        </w:tc>
      </w:tr>
      <w:tr w14:paraId="561A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6" w:type="dxa"/>
            <w:noWrap/>
            <w:vAlign w:val="center"/>
          </w:tcPr>
          <w:p w14:paraId="36C2B8C2">
            <w:pPr>
              <w:widowControl/>
              <w:spacing w:line="240" w:lineRule="auto"/>
              <w:ind w:firstLine="0" w:firstLineChars="0"/>
              <w:jc w:val="center"/>
              <w:rPr>
                <w:rFonts w:hint="eastAsia"/>
              </w:rPr>
            </w:pPr>
            <w:r>
              <w:rPr>
                <w:rFonts w:hint="eastAsia"/>
              </w:rPr>
              <w:t>产品经理</w:t>
            </w:r>
          </w:p>
        </w:tc>
        <w:tc>
          <w:tcPr>
            <w:tcW w:w="1812" w:type="dxa"/>
            <w:vAlign w:val="center"/>
          </w:tcPr>
          <w:p w14:paraId="7F55AD10">
            <w:pPr>
              <w:widowControl/>
              <w:spacing w:line="240" w:lineRule="auto"/>
              <w:ind w:firstLine="0" w:firstLineChars="0"/>
              <w:jc w:val="center"/>
              <w:rPr>
                <w:rFonts w:hint="eastAsia"/>
              </w:rPr>
            </w:pPr>
            <w:r>
              <w:rPr>
                <w:rFonts w:hint="eastAsia"/>
              </w:rPr>
              <w:t>负责项目需求评估与产品设计</w:t>
            </w:r>
          </w:p>
        </w:tc>
        <w:tc>
          <w:tcPr>
            <w:tcW w:w="1288" w:type="dxa"/>
            <w:noWrap/>
            <w:vAlign w:val="center"/>
          </w:tcPr>
          <w:p w14:paraId="7C20056E">
            <w:pPr>
              <w:widowControl/>
              <w:spacing w:line="240" w:lineRule="auto"/>
              <w:ind w:firstLine="0" w:firstLineChars="0"/>
              <w:jc w:val="center"/>
              <w:rPr>
                <w:rFonts w:hint="eastAsia"/>
              </w:rPr>
            </w:pPr>
            <w:r>
              <w:rPr>
                <w:rFonts w:hint="eastAsia"/>
              </w:rPr>
              <w:t>1人</w:t>
            </w:r>
          </w:p>
        </w:tc>
        <w:tc>
          <w:tcPr>
            <w:tcW w:w="3075" w:type="dxa"/>
            <w:vAlign w:val="center"/>
          </w:tcPr>
          <w:p w14:paraId="0586421C">
            <w:pPr>
              <w:widowControl/>
              <w:spacing w:line="240" w:lineRule="auto"/>
              <w:ind w:firstLine="0" w:firstLineChars="0"/>
              <w:jc w:val="center"/>
              <w:rPr>
                <w:rFonts w:hint="eastAsia"/>
              </w:rPr>
            </w:pPr>
            <w:r>
              <w:rPr>
                <w:rFonts w:hint="eastAsia"/>
              </w:rPr>
              <w:t>本科及以上学历，具有计算机技术与软件专业技术</w:t>
            </w:r>
            <w:r>
              <w:rPr>
                <w:rFonts w:hint="eastAsia"/>
                <w:lang w:eastAsia="zh-CN"/>
              </w:rPr>
              <w:t>中级及以上</w:t>
            </w:r>
            <w:r>
              <w:rPr>
                <w:rFonts w:hint="eastAsia"/>
              </w:rPr>
              <w:t>资格证书，类似项目5年以上经历。</w:t>
            </w:r>
          </w:p>
        </w:tc>
        <w:tc>
          <w:tcPr>
            <w:tcW w:w="1357" w:type="dxa"/>
            <w:noWrap/>
            <w:vAlign w:val="center"/>
          </w:tcPr>
          <w:p w14:paraId="01596E1E">
            <w:pPr>
              <w:widowControl/>
              <w:spacing w:line="240" w:lineRule="auto"/>
              <w:ind w:firstLine="0" w:firstLineChars="0"/>
              <w:jc w:val="center"/>
              <w:rPr>
                <w:rFonts w:hint="eastAsia"/>
              </w:rPr>
            </w:pPr>
            <w:r>
              <w:rPr>
                <w:rFonts w:hint="eastAsia"/>
              </w:rPr>
              <w:t>需求评估与产品设计阶段驻场驻场</w:t>
            </w:r>
          </w:p>
        </w:tc>
      </w:tr>
      <w:tr w14:paraId="70F4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6" w:type="dxa"/>
            <w:noWrap/>
            <w:vAlign w:val="center"/>
          </w:tcPr>
          <w:p w14:paraId="2E6179D0">
            <w:pPr>
              <w:widowControl/>
              <w:spacing w:line="240" w:lineRule="auto"/>
              <w:ind w:firstLine="0" w:firstLineChars="0"/>
              <w:jc w:val="center"/>
              <w:rPr>
                <w:rFonts w:hint="eastAsia"/>
              </w:rPr>
            </w:pPr>
            <w:r>
              <w:t>技术负责人</w:t>
            </w:r>
          </w:p>
        </w:tc>
        <w:tc>
          <w:tcPr>
            <w:tcW w:w="1812" w:type="dxa"/>
            <w:vAlign w:val="center"/>
          </w:tcPr>
          <w:p w14:paraId="615C1783">
            <w:pPr>
              <w:widowControl/>
              <w:spacing w:line="240" w:lineRule="auto"/>
              <w:ind w:firstLine="0" w:firstLineChars="0"/>
              <w:jc w:val="center"/>
              <w:rPr>
                <w:rFonts w:hint="eastAsia"/>
              </w:rPr>
            </w:pPr>
            <w:r>
              <w:rPr>
                <w:rFonts w:hint="eastAsia"/>
              </w:rPr>
              <w:t>负责项目质量和进度控制</w:t>
            </w:r>
          </w:p>
        </w:tc>
        <w:tc>
          <w:tcPr>
            <w:tcW w:w="1288" w:type="dxa"/>
            <w:noWrap/>
            <w:vAlign w:val="center"/>
          </w:tcPr>
          <w:p w14:paraId="1D1DD24E">
            <w:pPr>
              <w:widowControl/>
              <w:spacing w:line="240" w:lineRule="auto"/>
              <w:ind w:firstLine="0" w:firstLineChars="0"/>
              <w:jc w:val="center"/>
              <w:rPr>
                <w:rFonts w:hint="eastAsia"/>
              </w:rPr>
            </w:pPr>
            <w:r>
              <w:t>1</w:t>
            </w:r>
            <w:r>
              <w:rPr>
                <w:rFonts w:hint="eastAsia"/>
              </w:rPr>
              <w:t>人</w:t>
            </w:r>
          </w:p>
        </w:tc>
        <w:tc>
          <w:tcPr>
            <w:tcW w:w="3075" w:type="dxa"/>
            <w:vAlign w:val="center"/>
          </w:tcPr>
          <w:p w14:paraId="1FC87892">
            <w:pPr>
              <w:widowControl/>
              <w:spacing w:line="240" w:lineRule="auto"/>
              <w:ind w:firstLine="0" w:firstLineChars="0"/>
              <w:jc w:val="center"/>
              <w:rPr>
                <w:rFonts w:hint="eastAsia"/>
              </w:rPr>
            </w:pPr>
            <w:r>
              <w:rPr>
                <w:rFonts w:hint="eastAsia"/>
              </w:rPr>
              <w:t>本科及以上学历，</w:t>
            </w:r>
            <w:r>
              <w:rPr>
                <w:rFonts w:hint="eastAsia"/>
                <w:highlight w:val="none"/>
              </w:rPr>
              <w:t>具有</w:t>
            </w:r>
            <w:r>
              <w:rPr>
                <w:rFonts w:hint="eastAsia"/>
              </w:rPr>
              <w:t>计算机技术与软件专业技术</w:t>
            </w:r>
            <w:r>
              <w:rPr>
                <w:rFonts w:hint="eastAsia"/>
                <w:lang w:eastAsia="zh-CN"/>
              </w:rPr>
              <w:t>中级及以上</w:t>
            </w:r>
            <w:r>
              <w:rPr>
                <w:rFonts w:hint="eastAsia"/>
              </w:rPr>
              <w:t>资格证书，类似项目5年以上经历。</w:t>
            </w:r>
          </w:p>
        </w:tc>
        <w:tc>
          <w:tcPr>
            <w:tcW w:w="1357" w:type="dxa"/>
            <w:noWrap/>
            <w:vAlign w:val="center"/>
          </w:tcPr>
          <w:p w14:paraId="21D3F5B9">
            <w:pPr>
              <w:widowControl/>
              <w:spacing w:line="240" w:lineRule="auto"/>
              <w:ind w:firstLine="0" w:firstLineChars="0"/>
              <w:jc w:val="center"/>
              <w:rPr>
                <w:rFonts w:hint="eastAsia"/>
              </w:rPr>
            </w:pPr>
            <w:r>
              <w:rPr>
                <w:rFonts w:hint="eastAsia"/>
              </w:rPr>
              <w:t>开发阶段驻场驻场</w:t>
            </w:r>
          </w:p>
        </w:tc>
      </w:tr>
      <w:tr w14:paraId="3208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6" w:type="dxa"/>
            <w:noWrap/>
            <w:vAlign w:val="center"/>
          </w:tcPr>
          <w:p w14:paraId="687BC282">
            <w:pPr>
              <w:widowControl/>
              <w:spacing w:line="240" w:lineRule="auto"/>
              <w:ind w:firstLine="0" w:firstLineChars="0"/>
              <w:jc w:val="center"/>
              <w:rPr>
                <w:rFonts w:hint="eastAsia" w:eastAsia="宋体"/>
                <w:lang w:eastAsia="zh-CN"/>
              </w:rPr>
            </w:pPr>
            <w:r>
              <w:rPr>
                <w:rFonts w:hint="eastAsia"/>
              </w:rPr>
              <w:t>研发</w:t>
            </w:r>
            <w:r>
              <w:rPr>
                <w:rFonts w:hint="eastAsia"/>
                <w:lang w:eastAsia="zh-CN"/>
              </w:rPr>
              <w:t>人员</w:t>
            </w:r>
          </w:p>
        </w:tc>
        <w:tc>
          <w:tcPr>
            <w:tcW w:w="1812" w:type="dxa"/>
            <w:noWrap/>
            <w:vAlign w:val="center"/>
          </w:tcPr>
          <w:p w14:paraId="3E61B62B">
            <w:pPr>
              <w:widowControl/>
              <w:spacing w:line="240" w:lineRule="auto"/>
              <w:ind w:firstLine="0" w:firstLineChars="0"/>
              <w:jc w:val="center"/>
              <w:rPr>
                <w:rFonts w:hint="eastAsia"/>
              </w:rPr>
            </w:pPr>
            <w:r>
              <w:rPr>
                <w:rFonts w:hint="eastAsia"/>
              </w:rPr>
              <w:t>负责项目具体开发与实施</w:t>
            </w:r>
          </w:p>
        </w:tc>
        <w:tc>
          <w:tcPr>
            <w:tcW w:w="1288" w:type="dxa"/>
            <w:noWrap/>
            <w:vAlign w:val="center"/>
          </w:tcPr>
          <w:p w14:paraId="4B749D5C">
            <w:pPr>
              <w:widowControl/>
              <w:spacing w:line="240" w:lineRule="auto"/>
              <w:ind w:firstLine="0" w:firstLineChars="0"/>
              <w:jc w:val="center"/>
              <w:rPr>
                <w:rFonts w:hint="eastAsia"/>
              </w:rPr>
            </w:pPr>
            <w:r>
              <w:rPr>
                <w:rFonts w:hint="eastAsia"/>
                <w:lang w:val="en-US" w:eastAsia="zh-CN"/>
              </w:rPr>
              <w:t>7</w:t>
            </w:r>
            <w:r>
              <w:rPr>
                <w:rFonts w:hint="eastAsia"/>
              </w:rPr>
              <w:t>人</w:t>
            </w:r>
          </w:p>
        </w:tc>
        <w:tc>
          <w:tcPr>
            <w:tcW w:w="3075" w:type="dxa"/>
            <w:vAlign w:val="center"/>
          </w:tcPr>
          <w:p w14:paraId="6303B5F4">
            <w:pPr>
              <w:widowControl/>
              <w:spacing w:line="240" w:lineRule="auto"/>
              <w:ind w:firstLine="0" w:firstLineChars="0"/>
              <w:jc w:val="center"/>
              <w:rPr>
                <w:rFonts w:hint="eastAsia"/>
              </w:rPr>
            </w:pPr>
            <w:r>
              <w:rPr>
                <w:rFonts w:hint="eastAsia"/>
              </w:rPr>
              <w:t>本科及以上学历，类似项目5年以上经历。</w:t>
            </w:r>
          </w:p>
        </w:tc>
        <w:tc>
          <w:tcPr>
            <w:tcW w:w="1357" w:type="dxa"/>
            <w:noWrap/>
            <w:vAlign w:val="center"/>
          </w:tcPr>
          <w:p w14:paraId="442A5A28">
            <w:pPr>
              <w:widowControl/>
              <w:spacing w:line="240" w:lineRule="auto"/>
              <w:ind w:firstLine="0" w:firstLineChars="0"/>
              <w:jc w:val="center"/>
              <w:rPr>
                <w:rFonts w:hint="eastAsia"/>
              </w:rPr>
            </w:pPr>
            <w:r>
              <w:rPr>
                <w:rFonts w:hint="eastAsia"/>
              </w:rPr>
              <w:t>项目建设全阶段至少2人驻场</w:t>
            </w:r>
          </w:p>
        </w:tc>
      </w:tr>
    </w:tbl>
    <w:p w14:paraId="11107EEB">
      <w:pPr>
        <w:ind w:firstLine="0" w:firstLineChars="0"/>
        <w:rPr>
          <w:rFonts w:hint="eastAsia"/>
        </w:rPr>
      </w:pPr>
    </w:p>
    <w:p w14:paraId="035A2DD3">
      <w:pPr>
        <w:numPr>
          <w:ilvl w:val="0"/>
          <w:numId w:val="8"/>
        </w:numPr>
        <w:rPr>
          <w:rFonts w:hint="eastAsia"/>
        </w:rPr>
      </w:pPr>
      <w:r>
        <w:rPr>
          <w:rFonts w:hint="eastAsia"/>
          <w:lang w:eastAsia="zh-CN"/>
        </w:rPr>
        <w:t>供应商</w:t>
      </w:r>
      <w:r>
        <w:t>应针对本项目提供不少于</w:t>
      </w:r>
      <w:r>
        <w:rPr>
          <w:rFonts w:hint="eastAsia"/>
        </w:rPr>
        <w:t>4</w:t>
      </w:r>
      <w:r>
        <w:t>人的质保期间支撑团队（其中技术经理</w:t>
      </w:r>
      <w:r>
        <w:rPr>
          <w:rFonts w:hint="eastAsia"/>
        </w:rPr>
        <w:t>1</w:t>
      </w:r>
      <w:r>
        <w:t>人，产品经理</w:t>
      </w:r>
      <w:r>
        <w:rPr>
          <w:rFonts w:hint="eastAsia"/>
        </w:rPr>
        <w:t>1</w:t>
      </w:r>
      <w:r>
        <w:t>人，技术工程师不少于</w:t>
      </w:r>
      <w:r>
        <w:rPr>
          <w:rFonts w:hint="eastAsia"/>
        </w:rPr>
        <w:t>2</w:t>
      </w:r>
      <w:r>
        <w:t>人）。</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867"/>
        <w:gridCol w:w="1225"/>
        <w:gridCol w:w="2725"/>
        <w:gridCol w:w="1295"/>
      </w:tblGrid>
      <w:tr w14:paraId="6C06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5EE54C84">
            <w:pPr>
              <w:widowControl/>
              <w:spacing w:line="240" w:lineRule="auto"/>
              <w:ind w:firstLine="0" w:firstLineChars="0"/>
              <w:jc w:val="center"/>
              <w:rPr>
                <w:rFonts w:hint="eastAsia"/>
                <w:b/>
              </w:rPr>
            </w:pPr>
            <w:r>
              <w:rPr>
                <w:rFonts w:hint="eastAsia"/>
                <w:b/>
              </w:rPr>
              <w:t>角色</w:t>
            </w:r>
          </w:p>
        </w:tc>
        <w:tc>
          <w:tcPr>
            <w:tcW w:w="1867" w:type="dxa"/>
            <w:noWrap/>
            <w:vAlign w:val="center"/>
          </w:tcPr>
          <w:p w14:paraId="02A52AC5">
            <w:pPr>
              <w:widowControl/>
              <w:spacing w:line="240" w:lineRule="auto"/>
              <w:ind w:firstLine="0" w:firstLineChars="0"/>
              <w:jc w:val="center"/>
              <w:rPr>
                <w:rFonts w:hint="eastAsia"/>
                <w:b/>
              </w:rPr>
            </w:pPr>
            <w:r>
              <w:rPr>
                <w:rFonts w:hint="eastAsia"/>
                <w:b/>
              </w:rPr>
              <w:t>主要职责</w:t>
            </w:r>
          </w:p>
        </w:tc>
        <w:tc>
          <w:tcPr>
            <w:tcW w:w="1225" w:type="dxa"/>
            <w:noWrap/>
            <w:vAlign w:val="center"/>
          </w:tcPr>
          <w:p w14:paraId="4BC4387E">
            <w:pPr>
              <w:widowControl/>
              <w:spacing w:line="240" w:lineRule="auto"/>
              <w:ind w:firstLine="0" w:firstLineChars="0"/>
              <w:jc w:val="center"/>
              <w:rPr>
                <w:rFonts w:hint="eastAsia"/>
                <w:b/>
              </w:rPr>
            </w:pPr>
            <w:r>
              <w:rPr>
                <w:rFonts w:hint="eastAsia"/>
                <w:b/>
              </w:rPr>
              <w:t>人员数量</w:t>
            </w:r>
          </w:p>
        </w:tc>
        <w:tc>
          <w:tcPr>
            <w:tcW w:w="2725" w:type="dxa"/>
            <w:vAlign w:val="center"/>
          </w:tcPr>
          <w:p w14:paraId="09CFF35A">
            <w:pPr>
              <w:widowControl/>
              <w:spacing w:line="240" w:lineRule="auto"/>
              <w:ind w:firstLine="0" w:firstLineChars="0"/>
              <w:jc w:val="center"/>
              <w:rPr>
                <w:rFonts w:hint="eastAsia"/>
                <w:b/>
              </w:rPr>
            </w:pPr>
            <w:r>
              <w:rPr>
                <w:rFonts w:hint="eastAsia"/>
                <w:b/>
              </w:rPr>
              <w:t>人员要求</w:t>
            </w:r>
          </w:p>
        </w:tc>
        <w:tc>
          <w:tcPr>
            <w:tcW w:w="1295" w:type="dxa"/>
            <w:noWrap/>
            <w:vAlign w:val="center"/>
          </w:tcPr>
          <w:p w14:paraId="0DB79D16">
            <w:pPr>
              <w:widowControl/>
              <w:spacing w:line="240" w:lineRule="auto"/>
              <w:ind w:firstLine="0" w:firstLineChars="0"/>
              <w:jc w:val="center"/>
              <w:rPr>
                <w:rFonts w:hint="eastAsia"/>
                <w:b/>
              </w:rPr>
            </w:pPr>
            <w:r>
              <w:rPr>
                <w:rFonts w:hint="eastAsia"/>
                <w:b/>
              </w:rPr>
              <w:t>驻场要求</w:t>
            </w:r>
          </w:p>
        </w:tc>
      </w:tr>
      <w:tr w14:paraId="5F9C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15CDF390">
            <w:pPr>
              <w:widowControl/>
              <w:spacing w:line="240" w:lineRule="auto"/>
              <w:ind w:firstLine="0" w:firstLineChars="0"/>
              <w:jc w:val="center"/>
              <w:rPr>
                <w:rFonts w:hint="eastAsia"/>
              </w:rPr>
            </w:pPr>
            <w:r>
              <w:rPr>
                <w:rFonts w:hint="eastAsia"/>
                <w:lang w:val="en-US" w:eastAsia="zh-CN"/>
              </w:rPr>
              <w:t>技术</w:t>
            </w:r>
            <w:r>
              <w:rPr>
                <w:rFonts w:hint="eastAsia"/>
              </w:rPr>
              <w:t>经理</w:t>
            </w:r>
          </w:p>
        </w:tc>
        <w:tc>
          <w:tcPr>
            <w:tcW w:w="1867" w:type="dxa"/>
            <w:vAlign w:val="center"/>
          </w:tcPr>
          <w:p w14:paraId="50DAB37E">
            <w:pPr>
              <w:widowControl/>
              <w:spacing w:line="240" w:lineRule="auto"/>
              <w:ind w:firstLine="0" w:firstLineChars="0"/>
              <w:jc w:val="center"/>
              <w:rPr>
                <w:rFonts w:hint="eastAsia"/>
              </w:rPr>
            </w:pPr>
            <w:r>
              <w:rPr>
                <w:rFonts w:hint="eastAsia"/>
              </w:rPr>
              <w:t>负责项目质量和进度控制</w:t>
            </w:r>
          </w:p>
        </w:tc>
        <w:tc>
          <w:tcPr>
            <w:tcW w:w="1225" w:type="dxa"/>
            <w:noWrap/>
            <w:vAlign w:val="center"/>
          </w:tcPr>
          <w:p w14:paraId="4F18F577">
            <w:pPr>
              <w:widowControl/>
              <w:spacing w:line="240" w:lineRule="auto"/>
              <w:ind w:firstLine="0" w:firstLineChars="0"/>
              <w:jc w:val="center"/>
              <w:rPr>
                <w:rFonts w:hint="eastAsia"/>
              </w:rPr>
            </w:pPr>
            <w:r>
              <w:t>1</w:t>
            </w:r>
            <w:r>
              <w:rPr>
                <w:rFonts w:hint="eastAsia"/>
              </w:rPr>
              <w:t>人</w:t>
            </w:r>
          </w:p>
        </w:tc>
        <w:tc>
          <w:tcPr>
            <w:tcW w:w="2725" w:type="dxa"/>
            <w:vAlign w:val="center"/>
          </w:tcPr>
          <w:p w14:paraId="6C7A4B7C">
            <w:pPr>
              <w:widowControl/>
              <w:spacing w:line="240" w:lineRule="auto"/>
              <w:ind w:firstLine="0" w:firstLineChars="0"/>
              <w:jc w:val="center"/>
              <w:rPr>
                <w:rFonts w:hint="eastAsia"/>
              </w:rPr>
            </w:pPr>
            <w:r>
              <w:rPr>
                <w:rFonts w:hint="eastAsia"/>
              </w:rPr>
              <w:t>本科及以上学历，</w:t>
            </w:r>
            <w:r>
              <w:rPr>
                <w:rFonts w:hint="eastAsia"/>
                <w:highlight w:val="none"/>
              </w:rPr>
              <w:t>具有</w:t>
            </w:r>
            <w:r>
              <w:rPr>
                <w:rFonts w:hint="eastAsia"/>
              </w:rPr>
              <w:t>计算机技术与软件专业技术</w:t>
            </w:r>
            <w:r>
              <w:rPr>
                <w:rFonts w:hint="eastAsia"/>
                <w:lang w:eastAsia="zh-CN"/>
              </w:rPr>
              <w:t>中级及以上</w:t>
            </w:r>
            <w:r>
              <w:rPr>
                <w:rFonts w:hint="eastAsia"/>
              </w:rPr>
              <w:t>资格证书，类似项目5年以上经历。</w:t>
            </w:r>
          </w:p>
        </w:tc>
        <w:tc>
          <w:tcPr>
            <w:tcW w:w="1295" w:type="dxa"/>
            <w:noWrap/>
            <w:vAlign w:val="center"/>
          </w:tcPr>
          <w:p w14:paraId="766859E0">
            <w:pPr>
              <w:widowControl/>
              <w:spacing w:line="240" w:lineRule="auto"/>
              <w:ind w:firstLine="0" w:firstLineChars="0"/>
              <w:jc w:val="center"/>
              <w:rPr>
                <w:rFonts w:hint="eastAsia"/>
              </w:rPr>
            </w:pPr>
          </w:p>
        </w:tc>
      </w:tr>
      <w:tr w14:paraId="5930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03A4F267">
            <w:pPr>
              <w:widowControl/>
              <w:spacing w:line="240" w:lineRule="auto"/>
              <w:ind w:firstLine="0" w:firstLineChars="0"/>
              <w:jc w:val="center"/>
              <w:rPr>
                <w:rFonts w:hint="eastAsia"/>
              </w:rPr>
            </w:pPr>
            <w:r>
              <w:rPr>
                <w:rFonts w:hint="eastAsia"/>
              </w:rPr>
              <w:t>产品经理</w:t>
            </w:r>
          </w:p>
        </w:tc>
        <w:tc>
          <w:tcPr>
            <w:tcW w:w="1867" w:type="dxa"/>
            <w:vAlign w:val="center"/>
          </w:tcPr>
          <w:p w14:paraId="3D8EC386">
            <w:pPr>
              <w:widowControl/>
              <w:spacing w:line="240" w:lineRule="auto"/>
              <w:ind w:firstLine="0" w:firstLineChars="0"/>
              <w:jc w:val="center"/>
              <w:rPr>
                <w:rFonts w:hint="eastAsia"/>
              </w:rPr>
            </w:pPr>
            <w:r>
              <w:rPr>
                <w:rFonts w:hint="eastAsia"/>
              </w:rPr>
              <w:t>负责项目需求评估与产品设计</w:t>
            </w:r>
          </w:p>
        </w:tc>
        <w:tc>
          <w:tcPr>
            <w:tcW w:w="1225" w:type="dxa"/>
            <w:noWrap/>
            <w:vAlign w:val="center"/>
          </w:tcPr>
          <w:p w14:paraId="0E358F73">
            <w:pPr>
              <w:widowControl/>
              <w:spacing w:line="240" w:lineRule="auto"/>
              <w:ind w:firstLine="0" w:firstLineChars="0"/>
              <w:jc w:val="center"/>
              <w:rPr>
                <w:rFonts w:hint="eastAsia"/>
              </w:rPr>
            </w:pPr>
            <w:r>
              <w:t>1</w:t>
            </w:r>
            <w:r>
              <w:rPr>
                <w:rFonts w:hint="eastAsia"/>
              </w:rPr>
              <w:t>人</w:t>
            </w:r>
          </w:p>
        </w:tc>
        <w:tc>
          <w:tcPr>
            <w:tcW w:w="2725" w:type="dxa"/>
            <w:vAlign w:val="center"/>
          </w:tcPr>
          <w:p w14:paraId="09D95A55">
            <w:pPr>
              <w:widowControl/>
              <w:spacing w:line="240" w:lineRule="auto"/>
              <w:ind w:firstLine="0" w:firstLineChars="0"/>
              <w:jc w:val="center"/>
              <w:rPr>
                <w:rFonts w:hint="eastAsia"/>
              </w:rPr>
            </w:pPr>
            <w:r>
              <w:rPr>
                <w:rFonts w:hint="eastAsia"/>
              </w:rPr>
              <w:t>本科及以上学历，类似项目5年以上经历。</w:t>
            </w:r>
          </w:p>
        </w:tc>
        <w:tc>
          <w:tcPr>
            <w:tcW w:w="1295" w:type="dxa"/>
            <w:noWrap/>
            <w:vAlign w:val="center"/>
          </w:tcPr>
          <w:p w14:paraId="421E1190">
            <w:pPr>
              <w:widowControl/>
              <w:spacing w:line="240" w:lineRule="auto"/>
              <w:ind w:firstLine="0" w:firstLineChars="0"/>
              <w:jc w:val="center"/>
              <w:rPr>
                <w:rFonts w:hint="eastAsia"/>
              </w:rPr>
            </w:pPr>
          </w:p>
        </w:tc>
      </w:tr>
      <w:tr w14:paraId="5AEF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6FCBD2AF">
            <w:pPr>
              <w:widowControl/>
              <w:spacing w:line="240" w:lineRule="auto"/>
              <w:ind w:firstLine="0" w:firstLineChars="0"/>
              <w:jc w:val="center"/>
              <w:rPr>
                <w:rFonts w:hint="eastAsia"/>
              </w:rPr>
            </w:pPr>
            <w:r>
              <w:rPr>
                <w:rFonts w:hint="eastAsia"/>
              </w:rPr>
              <w:t>技术工程师</w:t>
            </w:r>
          </w:p>
        </w:tc>
        <w:tc>
          <w:tcPr>
            <w:tcW w:w="1867" w:type="dxa"/>
            <w:noWrap/>
            <w:vAlign w:val="center"/>
          </w:tcPr>
          <w:p w14:paraId="5E71A02C">
            <w:pPr>
              <w:widowControl/>
              <w:spacing w:line="240" w:lineRule="auto"/>
              <w:ind w:firstLine="0" w:firstLineChars="0"/>
              <w:jc w:val="center"/>
              <w:rPr>
                <w:rFonts w:hint="eastAsia"/>
              </w:rPr>
            </w:pPr>
            <w:r>
              <w:rPr>
                <w:rFonts w:hint="eastAsia"/>
              </w:rPr>
              <w:t>负责项目运行维护</w:t>
            </w:r>
          </w:p>
        </w:tc>
        <w:tc>
          <w:tcPr>
            <w:tcW w:w="1225" w:type="dxa"/>
            <w:noWrap/>
            <w:vAlign w:val="center"/>
          </w:tcPr>
          <w:p w14:paraId="02DE2CAC">
            <w:pPr>
              <w:widowControl/>
              <w:spacing w:line="240" w:lineRule="auto"/>
              <w:ind w:firstLine="0" w:firstLineChars="0"/>
              <w:jc w:val="center"/>
              <w:rPr>
                <w:rFonts w:hint="eastAsia"/>
              </w:rPr>
            </w:pPr>
            <w:r>
              <w:t>2</w:t>
            </w:r>
            <w:r>
              <w:rPr>
                <w:rFonts w:hint="eastAsia"/>
              </w:rPr>
              <w:t>人</w:t>
            </w:r>
          </w:p>
        </w:tc>
        <w:tc>
          <w:tcPr>
            <w:tcW w:w="2725" w:type="dxa"/>
            <w:vAlign w:val="center"/>
          </w:tcPr>
          <w:p w14:paraId="684D0B74">
            <w:pPr>
              <w:widowControl/>
              <w:spacing w:line="240" w:lineRule="auto"/>
              <w:ind w:firstLine="0" w:firstLineChars="0"/>
              <w:jc w:val="center"/>
              <w:rPr>
                <w:rFonts w:hint="eastAsia"/>
              </w:rPr>
            </w:pPr>
            <w:r>
              <w:rPr>
                <w:rFonts w:hint="eastAsia"/>
              </w:rPr>
              <w:t>本科及以上学历，类似项目5年以上经历。</w:t>
            </w:r>
          </w:p>
        </w:tc>
        <w:tc>
          <w:tcPr>
            <w:tcW w:w="1295" w:type="dxa"/>
            <w:noWrap/>
            <w:vAlign w:val="center"/>
          </w:tcPr>
          <w:p w14:paraId="791FEF1E">
            <w:pPr>
              <w:widowControl/>
              <w:spacing w:line="240" w:lineRule="auto"/>
              <w:ind w:firstLine="0" w:firstLineChars="0"/>
              <w:jc w:val="center"/>
              <w:rPr>
                <w:rFonts w:hint="eastAsia"/>
              </w:rPr>
            </w:pPr>
            <w:r>
              <w:rPr>
                <w:rFonts w:hint="eastAsia"/>
              </w:rPr>
              <w:t>驻场</w:t>
            </w:r>
          </w:p>
        </w:tc>
      </w:tr>
    </w:tbl>
    <w:p w14:paraId="2813E0B2">
      <w:pPr>
        <w:pStyle w:val="3"/>
        <w:rPr>
          <w:rFonts w:hint="eastAsia"/>
        </w:rPr>
      </w:pPr>
      <w:bookmarkStart w:id="33" w:name="_Toc63785511"/>
      <w:r>
        <w:t>等级保护要求</w:t>
      </w:r>
      <w:bookmarkEnd w:id="33"/>
    </w:p>
    <w:p w14:paraId="06988518">
      <w:pPr>
        <w:rPr>
          <w:rFonts w:hint="eastAsia" w:ascii="仿宋_GB2312" w:eastAsia="仿宋_GB2312" w:cs="仿宋_GB2312"/>
          <w:color w:val="000000"/>
          <w:kern w:val="0"/>
          <w:sz w:val="28"/>
          <w:szCs w:val="28"/>
          <w:highlight w:val="none"/>
        </w:rPr>
      </w:pPr>
      <w:r>
        <w:rPr>
          <w:rFonts w:hint="eastAsia"/>
        </w:rPr>
        <w:t>本系统将架构在市电子政务云上，依托市电子政务云的安全系统，保证互联网应用三级安全等级，政</w:t>
      </w:r>
      <w:r>
        <w:rPr>
          <w:rFonts w:hint="eastAsia"/>
          <w:highlight w:val="none"/>
        </w:rPr>
        <w:t>务外网应用三级安全等级。</w:t>
      </w:r>
    </w:p>
    <w:p w14:paraId="0E1995CA">
      <w:pPr>
        <w:pStyle w:val="3"/>
        <w:rPr>
          <w:rFonts w:hint="eastAsia"/>
        </w:rPr>
      </w:pPr>
      <w:r>
        <w:rPr>
          <w:rFonts w:hint="eastAsia"/>
        </w:rPr>
        <w:t>商业密码应用需求</w:t>
      </w:r>
      <w:bookmarkStart w:id="37" w:name="_GoBack"/>
      <w:bookmarkEnd w:id="37"/>
    </w:p>
    <w:p w14:paraId="34B56669">
      <w:pPr>
        <w:rPr>
          <w:rFonts w:hint="eastAsia"/>
        </w:rPr>
      </w:pPr>
      <w:r>
        <w:rPr>
          <w:rFonts w:hint="eastAsia"/>
        </w:rPr>
        <w:t>商业密码应用需求：参照商业</w:t>
      </w:r>
      <w:r>
        <w:rPr>
          <w:rFonts w:hint="eastAsia"/>
          <w:highlight w:val="none"/>
        </w:rPr>
        <w:t>密码应用第三级建设。</w:t>
      </w:r>
    </w:p>
    <w:p w14:paraId="4020B8B5">
      <w:pPr>
        <w:rPr>
          <w:rFonts w:hint="eastAsia"/>
        </w:rPr>
      </w:pPr>
      <w:r>
        <w:rPr>
          <w:rFonts w:hint="eastAsia"/>
        </w:rPr>
        <w:t>基于云平台提供的安全认证网关、签名验签、数据库加密等密码服务以及系统的应用功能，需开发适配若干密码应用功能模块，以实现网络和通信、设备和计算、应用和数据等层面的各密码应用功能。</w:t>
      </w:r>
    </w:p>
    <w:tbl>
      <w:tblPr>
        <w:tblStyle w:val="35"/>
        <w:tblW w:w="5500" w:type="pct"/>
        <w:jc w:val="center"/>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634"/>
        <w:gridCol w:w="2775"/>
        <w:gridCol w:w="1606"/>
        <w:gridCol w:w="2091"/>
      </w:tblGrid>
      <w:tr w14:paraId="02A539F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238" w:type="dxa"/>
            <w:shd w:val="clear" w:color="auto" w:fill="D9D9D9"/>
            <w:vAlign w:val="center"/>
          </w:tcPr>
          <w:p w14:paraId="2E16CB4A">
            <w:pPr>
              <w:widowControl/>
              <w:spacing w:line="240" w:lineRule="auto"/>
              <w:ind w:firstLine="0" w:firstLineChars="0"/>
              <w:jc w:val="center"/>
              <w:rPr>
                <w:rFonts w:ascii="宋体" w:hAnsi="宋体"/>
                <w:b/>
                <w:bCs/>
                <w:kern w:val="0"/>
                <w:sz w:val="18"/>
                <w:szCs w:val="18"/>
              </w:rPr>
            </w:pPr>
            <w:r>
              <w:rPr>
                <w:rFonts w:ascii="宋体" w:hAnsi="宋体"/>
                <w:b/>
                <w:bCs/>
                <w:kern w:val="0"/>
                <w:sz w:val="18"/>
                <w:szCs w:val="18"/>
              </w:rPr>
              <w:t>指标要求</w:t>
            </w:r>
          </w:p>
        </w:tc>
        <w:tc>
          <w:tcPr>
            <w:tcW w:w="1587" w:type="dxa"/>
            <w:shd w:val="clear" w:color="auto" w:fill="D9D9D9"/>
            <w:vAlign w:val="center"/>
          </w:tcPr>
          <w:p w14:paraId="56A4B16B">
            <w:pPr>
              <w:widowControl/>
              <w:spacing w:line="240" w:lineRule="auto"/>
              <w:ind w:firstLine="0" w:firstLineChars="0"/>
              <w:jc w:val="center"/>
              <w:rPr>
                <w:rFonts w:ascii="宋体" w:hAnsi="宋体"/>
                <w:b/>
                <w:bCs/>
                <w:kern w:val="0"/>
                <w:sz w:val="18"/>
                <w:szCs w:val="18"/>
              </w:rPr>
            </w:pPr>
            <w:r>
              <w:rPr>
                <w:rFonts w:ascii="宋体" w:hAnsi="宋体"/>
                <w:b/>
                <w:bCs/>
                <w:kern w:val="0"/>
                <w:sz w:val="18"/>
                <w:szCs w:val="18"/>
              </w:rPr>
              <w:t>密码技术应用点</w:t>
            </w:r>
          </w:p>
        </w:tc>
        <w:tc>
          <w:tcPr>
            <w:tcW w:w="2694" w:type="dxa"/>
            <w:shd w:val="clear" w:color="auto" w:fill="D9D9D9"/>
            <w:vAlign w:val="center"/>
          </w:tcPr>
          <w:p w14:paraId="4F625FFB">
            <w:pPr>
              <w:widowControl/>
              <w:spacing w:line="240" w:lineRule="auto"/>
              <w:ind w:firstLine="0" w:firstLineChars="0"/>
              <w:jc w:val="center"/>
              <w:rPr>
                <w:rFonts w:ascii="宋体" w:hAnsi="宋体"/>
                <w:b/>
                <w:bCs/>
                <w:kern w:val="0"/>
                <w:sz w:val="18"/>
                <w:szCs w:val="18"/>
              </w:rPr>
            </w:pPr>
            <w:r>
              <w:rPr>
                <w:rFonts w:ascii="宋体" w:hAnsi="宋体"/>
                <w:b/>
                <w:bCs/>
                <w:kern w:val="0"/>
                <w:sz w:val="18"/>
                <w:szCs w:val="18"/>
              </w:rPr>
              <w:t>采取措施</w:t>
            </w:r>
          </w:p>
        </w:tc>
        <w:tc>
          <w:tcPr>
            <w:tcW w:w="1559" w:type="dxa"/>
            <w:shd w:val="clear" w:color="auto" w:fill="D9D9D9"/>
            <w:vAlign w:val="center"/>
          </w:tcPr>
          <w:p w14:paraId="6F8EF12C">
            <w:pPr>
              <w:widowControl/>
              <w:spacing w:line="240" w:lineRule="auto"/>
              <w:ind w:firstLine="0" w:firstLineChars="0"/>
              <w:jc w:val="center"/>
              <w:rPr>
                <w:rFonts w:ascii="宋体" w:hAnsi="宋体"/>
                <w:b/>
                <w:bCs/>
                <w:kern w:val="0"/>
                <w:sz w:val="18"/>
                <w:szCs w:val="18"/>
              </w:rPr>
            </w:pPr>
            <w:r>
              <w:rPr>
                <w:rFonts w:ascii="宋体" w:hAnsi="宋体"/>
                <w:b/>
                <w:bCs/>
                <w:kern w:val="0"/>
                <w:sz w:val="18"/>
                <w:szCs w:val="18"/>
              </w:rPr>
              <w:t>标准符合性</w:t>
            </w:r>
          </w:p>
          <w:p w14:paraId="311BCAA9">
            <w:pPr>
              <w:widowControl/>
              <w:spacing w:line="240" w:lineRule="auto"/>
              <w:ind w:firstLine="0" w:firstLineChars="0"/>
              <w:jc w:val="center"/>
              <w:rPr>
                <w:rFonts w:ascii="宋体" w:hAnsi="宋体"/>
                <w:b/>
                <w:bCs/>
                <w:kern w:val="0"/>
                <w:sz w:val="18"/>
                <w:szCs w:val="18"/>
              </w:rPr>
            </w:pPr>
            <w:r>
              <w:rPr>
                <w:rFonts w:ascii="宋体" w:hAnsi="宋体"/>
                <w:kern w:val="0"/>
                <w:sz w:val="18"/>
                <w:szCs w:val="18"/>
              </w:rPr>
              <w:t>（符合/</w:t>
            </w:r>
            <w:r>
              <w:rPr>
                <w:rFonts w:hint="eastAsia" w:ascii="宋体" w:hAnsi="宋体"/>
                <w:kern w:val="0"/>
                <w:sz w:val="18"/>
                <w:szCs w:val="18"/>
              </w:rPr>
              <w:t>部分符合</w:t>
            </w:r>
            <w:r>
              <w:rPr>
                <w:rFonts w:ascii="宋体" w:hAnsi="宋体"/>
                <w:kern w:val="0"/>
                <w:sz w:val="18"/>
                <w:szCs w:val="18"/>
              </w:rPr>
              <w:t>/</w:t>
            </w:r>
            <w:r>
              <w:rPr>
                <w:rFonts w:hint="eastAsia" w:ascii="宋体" w:hAnsi="宋体"/>
                <w:kern w:val="0"/>
                <w:sz w:val="18"/>
                <w:szCs w:val="18"/>
              </w:rPr>
              <w:t>不符合</w:t>
            </w:r>
            <w:r>
              <w:rPr>
                <w:rFonts w:ascii="宋体" w:hAnsi="宋体"/>
                <w:kern w:val="0"/>
                <w:sz w:val="18"/>
                <w:szCs w:val="18"/>
              </w:rPr>
              <w:t>/不适用）</w:t>
            </w:r>
          </w:p>
        </w:tc>
        <w:tc>
          <w:tcPr>
            <w:tcW w:w="2030" w:type="dxa"/>
            <w:shd w:val="clear" w:color="auto" w:fill="D9D9D9"/>
            <w:vAlign w:val="center"/>
          </w:tcPr>
          <w:p w14:paraId="383331DF">
            <w:pPr>
              <w:widowControl/>
              <w:spacing w:line="240" w:lineRule="auto"/>
              <w:ind w:firstLine="0" w:firstLineChars="0"/>
              <w:jc w:val="center"/>
              <w:rPr>
                <w:rFonts w:ascii="宋体" w:hAnsi="宋体"/>
                <w:b/>
                <w:bCs/>
                <w:kern w:val="0"/>
                <w:sz w:val="18"/>
                <w:szCs w:val="18"/>
              </w:rPr>
            </w:pPr>
            <w:r>
              <w:rPr>
                <w:rFonts w:ascii="宋体" w:hAnsi="宋体"/>
                <w:b/>
                <w:bCs/>
                <w:kern w:val="0"/>
                <w:sz w:val="18"/>
                <w:szCs w:val="18"/>
              </w:rPr>
              <w:t>说明</w:t>
            </w:r>
          </w:p>
          <w:p w14:paraId="3B2B8937">
            <w:pPr>
              <w:widowControl/>
              <w:spacing w:line="240" w:lineRule="auto"/>
              <w:ind w:firstLine="0" w:firstLineChars="0"/>
              <w:jc w:val="center"/>
              <w:rPr>
                <w:rFonts w:ascii="宋体" w:hAnsi="宋体"/>
                <w:b/>
                <w:bCs/>
                <w:kern w:val="0"/>
                <w:sz w:val="18"/>
                <w:szCs w:val="18"/>
              </w:rPr>
            </w:pPr>
            <w:r>
              <w:rPr>
                <w:rFonts w:ascii="宋体" w:hAnsi="宋体"/>
                <w:kern w:val="0"/>
                <w:sz w:val="18"/>
                <w:szCs w:val="18"/>
              </w:rPr>
              <w:t>（针对不适用项说明原因及替代性措施）</w:t>
            </w:r>
          </w:p>
        </w:tc>
      </w:tr>
      <w:tr w14:paraId="59DC8F7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restart"/>
            <w:vAlign w:val="center"/>
          </w:tcPr>
          <w:p w14:paraId="0A6A9ED4">
            <w:pPr>
              <w:widowControl/>
              <w:spacing w:line="240" w:lineRule="auto"/>
              <w:ind w:firstLine="0" w:firstLineChars="0"/>
              <w:jc w:val="center"/>
              <w:rPr>
                <w:rFonts w:ascii="宋体" w:hAnsi="宋体"/>
                <w:kern w:val="0"/>
                <w:sz w:val="18"/>
                <w:szCs w:val="18"/>
              </w:rPr>
            </w:pPr>
            <w:r>
              <w:rPr>
                <w:rFonts w:ascii="宋体" w:hAnsi="宋体"/>
                <w:kern w:val="0"/>
                <w:sz w:val="18"/>
                <w:szCs w:val="18"/>
              </w:rPr>
              <w:t>物理和环境安全</w:t>
            </w:r>
          </w:p>
        </w:tc>
        <w:tc>
          <w:tcPr>
            <w:tcW w:w="1587" w:type="dxa"/>
            <w:vAlign w:val="center"/>
          </w:tcPr>
          <w:p w14:paraId="1E1A3842">
            <w:pPr>
              <w:pStyle w:val="115"/>
              <w:spacing w:after="0" w:line="240" w:lineRule="auto"/>
              <w:ind w:firstLine="0" w:firstLineChars="0"/>
              <w:rPr>
                <w:rFonts w:hAnsi="宋体"/>
                <w:sz w:val="18"/>
                <w:szCs w:val="18"/>
              </w:rPr>
            </w:pPr>
            <w:r>
              <w:rPr>
                <w:rFonts w:hint="eastAsia" w:hAnsi="宋体"/>
                <w:sz w:val="18"/>
                <w:szCs w:val="18"/>
              </w:rPr>
              <w:t>身份鉴别</w:t>
            </w:r>
          </w:p>
        </w:tc>
        <w:tc>
          <w:tcPr>
            <w:tcW w:w="2694" w:type="dxa"/>
            <w:vMerge w:val="restart"/>
            <w:vAlign w:val="center"/>
          </w:tcPr>
          <w:p w14:paraId="51C4E859">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系统部署于云平台，其物理和环境安全由云平台提供保障。</w:t>
            </w:r>
          </w:p>
        </w:tc>
        <w:tc>
          <w:tcPr>
            <w:tcW w:w="1559" w:type="dxa"/>
            <w:vAlign w:val="center"/>
          </w:tcPr>
          <w:p w14:paraId="459CAFFB">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Merge w:val="restart"/>
            <w:vAlign w:val="center"/>
          </w:tcPr>
          <w:p w14:paraId="657446BA">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云平台通过密评，已被完全评估。</w:t>
            </w:r>
          </w:p>
        </w:tc>
      </w:tr>
      <w:tr w14:paraId="10BCD77A">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593625B8">
            <w:pPr>
              <w:widowControl/>
              <w:spacing w:line="240" w:lineRule="auto"/>
              <w:ind w:firstLine="0" w:firstLineChars="0"/>
              <w:jc w:val="left"/>
              <w:rPr>
                <w:rFonts w:ascii="宋体" w:hAnsi="宋体"/>
                <w:kern w:val="0"/>
                <w:sz w:val="18"/>
                <w:szCs w:val="18"/>
              </w:rPr>
            </w:pPr>
          </w:p>
        </w:tc>
        <w:tc>
          <w:tcPr>
            <w:tcW w:w="1587" w:type="dxa"/>
            <w:vAlign w:val="center"/>
          </w:tcPr>
          <w:p w14:paraId="3DFA5124">
            <w:pPr>
              <w:pStyle w:val="115"/>
              <w:spacing w:after="0" w:line="240" w:lineRule="auto"/>
              <w:ind w:firstLine="0" w:firstLineChars="0"/>
              <w:rPr>
                <w:rFonts w:hAnsi="宋体"/>
                <w:sz w:val="18"/>
                <w:szCs w:val="18"/>
              </w:rPr>
            </w:pPr>
            <w:r>
              <w:rPr>
                <w:rFonts w:hint="eastAsia" w:hAnsi="宋体"/>
                <w:sz w:val="18"/>
                <w:szCs w:val="18"/>
              </w:rPr>
              <w:t>电子门禁记录数据存储完整性</w:t>
            </w:r>
          </w:p>
        </w:tc>
        <w:tc>
          <w:tcPr>
            <w:tcW w:w="2694" w:type="dxa"/>
            <w:vMerge w:val="continue"/>
            <w:vAlign w:val="center"/>
          </w:tcPr>
          <w:p w14:paraId="15D64D9C">
            <w:pPr>
              <w:widowControl/>
              <w:spacing w:line="240" w:lineRule="auto"/>
              <w:ind w:firstLine="0" w:firstLineChars="0"/>
              <w:jc w:val="center"/>
              <w:rPr>
                <w:rFonts w:ascii="宋体" w:hAnsi="宋体"/>
                <w:kern w:val="0"/>
                <w:sz w:val="18"/>
                <w:szCs w:val="18"/>
              </w:rPr>
            </w:pPr>
          </w:p>
        </w:tc>
        <w:tc>
          <w:tcPr>
            <w:tcW w:w="1559" w:type="dxa"/>
            <w:vAlign w:val="center"/>
          </w:tcPr>
          <w:p w14:paraId="3737A4B3">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Merge w:val="continue"/>
            <w:vAlign w:val="center"/>
          </w:tcPr>
          <w:p w14:paraId="753D2D03">
            <w:pPr>
              <w:widowControl/>
              <w:spacing w:line="240" w:lineRule="auto"/>
              <w:ind w:firstLine="0" w:firstLineChars="0"/>
              <w:jc w:val="center"/>
              <w:rPr>
                <w:rFonts w:ascii="宋体" w:hAnsi="宋体"/>
                <w:kern w:val="0"/>
                <w:sz w:val="18"/>
                <w:szCs w:val="18"/>
              </w:rPr>
            </w:pPr>
          </w:p>
        </w:tc>
      </w:tr>
      <w:tr w14:paraId="64B81DE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5E473A15">
            <w:pPr>
              <w:widowControl/>
              <w:spacing w:line="240" w:lineRule="auto"/>
              <w:ind w:firstLine="0" w:firstLineChars="0"/>
              <w:jc w:val="left"/>
              <w:rPr>
                <w:rFonts w:ascii="宋体" w:hAnsi="宋体"/>
                <w:kern w:val="0"/>
                <w:sz w:val="18"/>
                <w:szCs w:val="18"/>
              </w:rPr>
            </w:pPr>
          </w:p>
        </w:tc>
        <w:tc>
          <w:tcPr>
            <w:tcW w:w="1587" w:type="dxa"/>
            <w:vAlign w:val="center"/>
          </w:tcPr>
          <w:p w14:paraId="7A81E71F">
            <w:pPr>
              <w:pStyle w:val="115"/>
              <w:spacing w:after="0" w:line="240" w:lineRule="auto"/>
              <w:ind w:firstLine="0" w:firstLineChars="0"/>
              <w:rPr>
                <w:rFonts w:hAnsi="宋体"/>
                <w:sz w:val="18"/>
                <w:szCs w:val="18"/>
              </w:rPr>
            </w:pPr>
            <w:r>
              <w:rPr>
                <w:rFonts w:hint="eastAsia" w:hAnsi="宋体"/>
                <w:sz w:val="18"/>
                <w:szCs w:val="18"/>
              </w:rPr>
              <w:t>视频监控记录数据存储完整性</w:t>
            </w:r>
          </w:p>
        </w:tc>
        <w:tc>
          <w:tcPr>
            <w:tcW w:w="2694" w:type="dxa"/>
            <w:vMerge w:val="continue"/>
            <w:vAlign w:val="center"/>
          </w:tcPr>
          <w:p w14:paraId="32C7B6AD">
            <w:pPr>
              <w:widowControl/>
              <w:spacing w:line="240" w:lineRule="auto"/>
              <w:ind w:firstLine="0" w:firstLineChars="0"/>
              <w:jc w:val="center"/>
              <w:rPr>
                <w:rFonts w:ascii="宋体" w:hAnsi="宋体"/>
                <w:kern w:val="0"/>
                <w:sz w:val="18"/>
                <w:szCs w:val="18"/>
              </w:rPr>
            </w:pPr>
          </w:p>
        </w:tc>
        <w:tc>
          <w:tcPr>
            <w:tcW w:w="1559" w:type="dxa"/>
            <w:vAlign w:val="center"/>
          </w:tcPr>
          <w:p w14:paraId="0937A06D">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Merge w:val="continue"/>
            <w:vAlign w:val="center"/>
          </w:tcPr>
          <w:p w14:paraId="2F051C9A">
            <w:pPr>
              <w:widowControl/>
              <w:spacing w:line="240" w:lineRule="auto"/>
              <w:ind w:firstLine="0" w:firstLineChars="0"/>
              <w:jc w:val="center"/>
              <w:rPr>
                <w:rFonts w:ascii="宋体" w:hAnsi="宋体"/>
                <w:kern w:val="0"/>
                <w:sz w:val="18"/>
                <w:szCs w:val="18"/>
              </w:rPr>
            </w:pPr>
          </w:p>
        </w:tc>
      </w:tr>
      <w:tr w14:paraId="2C6BB37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restart"/>
            <w:vAlign w:val="center"/>
          </w:tcPr>
          <w:p w14:paraId="024F9858">
            <w:pPr>
              <w:widowControl/>
              <w:spacing w:line="240" w:lineRule="auto"/>
              <w:ind w:firstLine="0" w:firstLineChars="0"/>
              <w:jc w:val="center"/>
              <w:rPr>
                <w:rFonts w:ascii="宋体" w:hAnsi="宋体"/>
                <w:kern w:val="0"/>
                <w:sz w:val="18"/>
                <w:szCs w:val="18"/>
              </w:rPr>
            </w:pPr>
            <w:r>
              <w:rPr>
                <w:rFonts w:ascii="宋体" w:hAnsi="宋体"/>
                <w:kern w:val="0"/>
                <w:sz w:val="18"/>
                <w:szCs w:val="18"/>
              </w:rPr>
              <w:t>网络和通信安全</w:t>
            </w:r>
          </w:p>
        </w:tc>
        <w:tc>
          <w:tcPr>
            <w:tcW w:w="1587" w:type="dxa"/>
            <w:vAlign w:val="center"/>
          </w:tcPr>
          <w:p w14:paraId="0D20B405">
            <w:pPr>
              <w:pStyle w:val="115"/>
              <w:spacing w:after="0" w:line="240" w:lineRule="auto"/>
              <w:ind w:firstLine="0" w:firstLineChars="0"/>
              <w:rPr>
                <w:rFonts w:hAnsi="宋体"/>
                <w:sz w:val="18"/>
                <w:szCs w:val="18"/>
              </w:rPr>
            </w:pPr>
            <w:r>
              <w:rPr>
                <w:rFonts w:hint="eastAsia" w:hAnsi="宋体"/>
                <w:sz w:val="18"/>
                <w:szCs w:val="18"/>
              </w:rPr>
              <w:t>身份鉴别</w:t>
            </w:r>
          </w:p>
        </w:tc>
        <w:tc>
          <w:tcPr>
            <w:tcW w:w="2694" w:type="dxa"/>
            <w:vAlign w:val="center"/>
          </w:tcPr>
          <w:p w14:paraId="5B10DF62">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采用安全认证网关，结合SM</w:t>
            </w:r>
            <w:r>
              <w:rPr>
                <w:rFonts w:ascii="宋体" w:hAnsi="宋体"/>
                <w:kern w:val="0"/>
                <w:sz w:val="18"/>
                <w:szCs w:val="18"/>
              </w:rPr>
              <w:t>2</w:t>
            </w:r>
            <w:r>
              <w:rPr>
                <w:rFonts w:hint="eastAsia" w:ascii="宋体" w:hAnsi="宋体"/>
                <w:kern w:val="0"/>
                <w:sz w:val="18"/>
                <w:szCs w:val="18"/>
              </w:rPr>
              <w:t>算法的数字证书访问认证实现身份鉴别</w:t>
            </w:r>
          </w:p>
        </w:tc>
        <w:tc>
          <w:tcPr>
            <w:tcW w:w="1559" w:type="dxa"/>
            <w:vAlign w:val="center"/>
          </w:tcPr>
          <w:p w14:paraId="5108CED8">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2DFFA57B">
            <w:pPr>
              <w:widowControl/>
              <w:spacing w:line="240" w:lineRule="auto"/>
              <w:ind w:firstLine="0" w:firstLineChars="0"/>
              <w:jc w:val="center"/>
              <w:rPr>
                <w:rFonts w:ascii="宋体" w:hAnsi="宋体"/>
                <w:kern w:val="0"/>
                <w:sz w:val="18"/>
                <w:szCs w:val="18"/>
              </w:rPr>
            </w:pPr>
          </w:p>
        </w:tc>
      </w:tr>
      <w:tr w14:paraId="479DB82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117E10B9">
            <w:pPr>
              <w:widowControl/>
              <w:spacing w:line="240" w:lineRule="auto"/>
              <w:ind w:firstLine="0" w:firstLineChars="0"/>
              <w:jc w:val="left"/>
              <w:rPr>
                <w:rFonts w:ascii="宋体" w:hAnsi="宋体"/>
                <w:kern w:val="0"/>
                <w:sz w:val="18"/>
                <w:szCs w:val="18"/>
              </w:rPr>
            </w:pPr>
          </w:p>
        </w:tc>
        <w:tc>
          <w:tcPr>
            <w:tcW w:w="1587" w:type="dxa"/>
            <w:vAlign w:val="center"/>
          </w:tcPr>
          <w:p w14:paraId="7788199E">
            <w:pPr>
              <w:pStyle w:val="115"/>
              <w:spacing w:after="0" w:line="240" w:lineRule="auto"/>
              <w:ind w:firstLine="0" w:firstLineChars="0"/>
              <w:rPr>
                <w:rFonts w:hAnsi="宋体"/>
                <w:sz w:val="18"/>
                <w:szCs w:val="18"/>
              </w:rPr>
            </w:pPr>
            <w:r>
              <w:rPr>
                <w:rFonts w:hint="eastAsia" w:hAnsi="宋体"/>
                <w:sz w:val="18"/>
                <w:szCs w:val="18"/>
              </w:rPr>
              <w:t>通信数据完整性</w:t>
            </w:r>
          </w:p>
        </w:tc>
        <w:tc>
          <w:tcPr>
            <w:tcW w:w="2694" w:type="dxa"/>
            <w:vAlign w:val="center"/>
          </w:tcPr>
          <w:p w14:paraId="746A2541">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采用安全认证网关，建立GMSSL安全信道结合数字签名技术保证数据完整性</w:t>
            </w:r>
          </w:p>
        </w:tc>
        <w:tc>
          <w:tcPr>
            <w:tcW w:w="1559" w:type="dxa"/>
            <w:vAlign w:val="center"/>
          </w:tcPr>
          <w:p w14:paraId="6B8EA969">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5CCC7D3C">
            <w:pPr>
              <w:widowControl/>
              <w:spacing w:line="240" w:lineRule="auto"/>
              <w:ind w:firstLine="0" w:firstLineChars="0"/>
              <w:jc w:val="center"/>
              <w:rPr>
                <w:rFonts w:ascii="宋体" w:hAnsi="宋体"/>
                <w:kern w:val="0"/>
                <w:sz w:val="18"/>
                <w:szCs w:val="18"/>
              </w:rPr>
            </w:pPr>
          </w:p>
        </w:tc>
      </w:tr>
      <w:tr w14:paraId="3E86B35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016586B8">
            <w:pPr>
              <w:widowControl/>
              <w:spacing w:line="240" w:lineRule="auto"/>
              <w:ind w:firstLine="0" w:firstLineChars="0"/>
              <w:jc w:val="left"/>
              <w:rPr>
                <w:rFonts w:ascii="宋体" w:hAnsi="宋体"/>
                <w:kern w:val="0"/>
                <w:sz w:val="18"/>
                <w:szCs w:val="18"/>
              </w:rPr>
            </w:pPr>
          </w:p>
        </w:tc>
        <w:tc>
          <w:tcPr>
            <w:tcW w:w="1587" w:type="dxa"/>
            <w:vAlign w:val="center"/>
          </w:tcPr>
          <w:p w14:paraId="6E5EA25E">
            <w:pPr>
              <w:pStyle w:val="115"/>
              <w:spacing w:after="0" w:line="240" w:lineRule="auto"/>
              <w:ind w:firstLine="0" w:firstLineChars="0"/>
              <w:rPr>
                <w:rFonts w:hAnsi="宋体"/>
                <w:sz w:val="18"/>
                <w:szCs w:val="18"/>
              </w:rPr>
            </w:pPr>
            <w:r>
              <w:rPr>
                <w:rFonts w:hint="eastAsia" w:hAnsi="宋体"/>
                <w:sz w:val="18"/>
                <w:szCs w:val="18"/>
              </w:rPr>
              <w:t>通信过程中重要数据的机密性</w:t>
            </w:r>
          </w:p>
        </w:tc>
        <w:tc>
          <w:tcPr>
            <w:tcW w:w="2694" w:type="dxa"/>
            <w:vAlign w:val="center"/>
          </w:tcPr>
          <w:p w14:paraId="5FBD2C6E">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采用安全认证网关，建立GMSSL安全信道实现机密性</w:t>
            </w:r>
          </w:p>
        </w:tc>
        <w:tc>
          <w:tcPr>
            <w:tcW w:w="1559" w:type="dxa"/>
            <w:vAlign w:val="center"/>
          </w:tcPr>
          <w:p w14:paraId="579B0F5C">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23DF8305">
            <w:pPr>
              <w:widowControl/>
              <w:spacing w:line="240" w:lineRule="auto"/>
              <w:ind w:firstLine="0" w:firstLineChars="0"/>
              <w:jc w:val="center"/>
              <w:rPr>
                <w:rFonts w:ascii="宋体" w:hAnsi="宋体"/>
                <w:kern w:val="0"/>
                <w:sz w:val="18"/>
                <w:szCs w:val="18"/>
              </w:rPr>
            </w:pPr>
          </w:p>
        </w:tc>
      </w:tr>
      <w:tr w14:paraId="3724553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07FE9BDF">
            <w:pPr>
              <w:widowControl/>
              <w:spacing w:line="240" w:lineRule="auto"/>
              <w:ind w:firstLine="0" w:firstLineChars="0"/>
              <w:jc w:val="left"/>
              <w:rPr>
                <w:rFonts w:ascii="宋体" w:hAnsi="宋体"/>
                <w:kern w:val="0"/>
                <w:sz w:val="18"/>
                <w:szCs w:val="18"/>
              </w:rPr>
            </w:pPr>
          </w:p>
        </w:tc>
        <w:tc>
          <w:tcPr>
            <w:tcW w:w="1587" w:type="dxa"/>
            <w:vAlign w:val="center"/>
          </w:tcPr>
          <w:p w14:paraId="5940577F">
            <w:pPr>
              <w:pStyle w:val="115"/>
              <w:spacing w:after="0" w:line="240" w:lineRule="auto"/>
              <w:ind w:firstLine="0" w:firstLineChars="0"/>
              <w:rPr>
                <w:rFonts w:hAnsi="宋体"/>
                <w:sz w:val="18"/>
                <w:szCs w:val="18"/>
              </w:rPr>
            </w:pPr>
            <w:r>
              <w:rPr>
                <w:rFonts w:hint="eastAsia" w:hAnsi="宋体"/>
                <w:sz w:val="18"/>
                <w:szCs w:val="18"/>
              </w:rPr>
              <w:t>网络边界访问控制信息的完整性</w:t>
            </w:r>
          </w:p>
        </w:tc>
        <w:tc>
          <w:tcPr>
            <w:tcW w:w="2694" w:type="dxa"/>
            <w:vAlign w:val="center"/>
          </w:tcPr>
          <w:p w14:paraId="3D8DBED8">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系统部署于云平台，其网络</w:t>
            </w:r>
          </w:p>
          <w:p w14:paraId="5164CC30">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边界访问控制信息的完整性</w:t>
            </w:r>
          </w:p>
          <w:p w14:paraId="762196F0">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由安全认证网关提供保障。</w:t>
            </w:r>
          </w:p>
        </w:tc>
        <w:tc>
          <w:tcPr>
            <w:tcW w:w="1559" w:type="dxa"/>
            <w:vAlign w:val="center"/>
          </w:tcPr>
          <w:p w14:paraId="767C6138">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7142D71C">
            <w:pPr>
              <w:widowControl/>
              <w:spacing w:line="240" w:lineRule="auto"/>
              <w:ind w:firstLine="0" w:firstLineChars="0"/>
              <w:jc w:val="center"/>
              <w:rPr>
                <w:rFonts w:ascii="宋体" w:hAnsi="宋体"/>
                <w:kern w:val="0"/>
                <w:sz w:val="18"/>
                <w:szCs w:val="18"/>
              </w:rPr>
            </w:pPr>
          </w:p>
        </w:tc>
      </w:tr>
      <w:tr w14:paraId="2267FDC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53DE7162">
            <w:pPr>
              <w:widowControl/>
              <w:spacing w:line="240" w:lineRule="auto"/>
              <w:ind w:firstLine="0" w:firstLineChars="0"/>
              <w:jc w:val="left"/>
              <w:rPr>
                <w:rFonts w:ascii="宋体" w:hAnsi="宋体"/>
                <w:kern w:val="0"/>
                <w:sz w:val="18"/>
                <w:szCs w:val="18"/>
              </w:rPr>
            </w:pPr>
          </w:p>
        </w:tc>
        <w:tc>
          <w:tcPr>
            <w:tcW w:w="1587" w:type="dxa"/>
            <w:vAlign w:val="center"/>
          </w:tcPr>
          <w:p w14:paraId="5E1E5E46">
            <w:pPr>
              <w:pStyle w:val="115"/>
              <w:spacing w:after="0" w:line="240" w:lineRule="auto"/>
              <w:ind w:firstLine="0" w:firstLineChars="0"/>
              <w:rPr>
                <w:rFonts w:hAnsi="宋体"/>
                <w:sz w:val="18"/>
                <w:szCs w:val="18"/>
              </w:rPr>
            </w:pPr>
            <w:r>
              <w:rPr>
                <w:rFonts w:hint="eastAsia" w:hAnsi="宋体"/>
                <w:sz w:val="18"/>
                <w:szCs w:val="18"/>
              </w:rPr>
              <w:t>安全接入认证</w:t>
            </w:r>
          </w:p>
        </w:tc>
        <w:tc>
          <w:tcPr>
            <w:tcW w:w="2694" w:type="dxa"/>
            <w:vAlign w:val="center"/>
          </w:tcPr>
          <w:p w14:paraId="18A8607A">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本系统无外部设备的</w:t>
            </w:r>
          </w:p>
          <w:p w14:paraId="004DB535">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接入认证需求</w:t>
            </w:r>
          </w:p>
        </w:tc>
        <w:tc>
          <w:tcPr>
            <w:tcW w:w="1559" w:type="dxa"/>
            <w:vAlign w:val="center"/>
          </w:tcPr>
          <w:p w14:paraId="59FE78C8">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不适用</w:t>
            </w:r>
          </w:p>
        </w:tc>
        <w:tc>
          <w:tcPr>
            <w:tcW w:w="2030" w:type="dxa"/>
            <w:vAlign w:val="center"/>
          </w:tcPr>
          <w:p w14:paraId="776374EE">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无外部接入设备</w:t>
            </w:r>
          </w:p>
        </w:tc>
      </w:tr>
      <w:tr w14:paraId="03860EB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restart"/>
            <w:vAlign w:val="center"/>
          </w:tcPr>
          <w:p w14:paraId="377FDD99">
            <w:pPr>
              <w:widowControl/>
              <w:spacing w:line="240" w:lineRule="auto"/>
              <w:ind w:firstLine="0" w:firstLineChars="0"/>
              <w:jc w:val="center"/>
              <w:rPr>
                <w:rFonts w:ascii="宋体" w:hAnsi="宋体"/>
                <w:kern w:val="0"/>
                <w:sz w:val="18"/>
                <w:szCs w:val="18"/>
              </w:rPr>
            </w:pPr>
            <w:r>
              <w:rPr>
                <w:rFonts w:ascii="宋体" w:hAnsi="宋体"/>
                <w:kern w:val="0"/>
                <w:sz w:val="18"/>
                <w:szCs w:val="18"/>
              </w:rPr>
              <w:t>设备和计算安全</w:t>
            </w:r>
          </w:p>
        </w:tc>
        <w:tc>
          <w:tcPr>
            <w:tcW w:w="1587" w:type="dxa"/>
            <w:vAlign w:val="center"/>
          </w:tcPr>
          <w:p w14:paraId="5481BB22">
            <w:pPr>
              <w:pStyle w:val="115"/>
              <w:spacing w:after="0" w:line="240" w:lineRule="auto"/>
              <w:ind w:firstLine="0" w:firstLineChars="0"/>
              <w:rPr>
                <w:rFonts w:hAnsi="宋体"/>
                <w:sz w:val="18"/>
                <w:szCs w:val="18"/>
              </w:rPr>
            </w:pPr>
            <w:r>
              <w:rPr>
                <w:rFonts w:hint="eastAsia" w:hAnsi="宋体"/>
                <w:sz w:val="18"/>
                <w:szCs w:val="18"/>
              </w:rPr>
              <w:t>身份鉴别</w:t>
            </w:r>
          </w:p>
        </w:tc>
        <w:tc>
          <w:tcPr>
            <w:tcW w:w="2694" w:type="dxa"/>
            <w:vAlign w:val="center"/>
          </w:tcPr>
          <w:p w14:paraId="01C089D6">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利用SSL</w:t>
            </w:r>
            <w:r>
              <w:rPr>
                <w:rFonts w:ascii="宋体" w:hAnsi="宋体"/>
                <w:kern w:val="0"/>
                <w:sz w:val="18"/>
                <w:szCs w:val="18"/>
              </w:rPr>
              <w:t xml:space="preserve"> </w:t>
            </w:r>
            <w:r>
              <w:rPr>
                <w:rFonts w:hint="eastAsia" w:ascii="宋体" w:hAnsi="宋体"/>
                <w:kern w:val="0"/>
                <w:sz w:val="18"/>
                <w:szCs w:val="18"/>
              </w:rPr>
              <w:t>VPN和堡垒机实现管理端的身份鉴别，服务器虚拟机、数据库未采用密码技术实现身份鉴别。</w:t>
            </w:r>
          </w:p>
        </w:tc>
        <w:tc>
          <w:tcPr>
            <w:tcW w:w="1559" w:type="dxa"/>
            <w:vAlign w:val="center"/>
          </w:tcPr>
          <w:p w14:paraId="309F2F5E">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部分符合</w:t>
            </w:r>
          </w:p>
        </w:tc>
        <w:tc>
          <w:tcPr>
            <w:tcW w:w="2030" w:type="dxa"/>
            <w:vAlign w:val="center"/>
          </w:tcPr>
          <w:p w14:paraId="0ED0EBD6">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服务器虚拟机指定堡垒机远程登录运维，通过运维用户S</w:t>
            </w:r>
            <w:r>
              <w:rPr>
                <w:rFonts w:ascii="宋体" w:hAnsi="宋体"/>
                <w:kern w:val="0"/>
                <w:sz w:val="18"/>
                <w:szCs w:val="18"/>
              </w:rPr>
              <w:t>M2</w:t>
            </w:r>
            <w:r>
              <w:rPr>
                <w:rFonts w:hint="eastAsia" w:ascii="宋体" w:hAnsi="宋体"/>
                <w:kern w:val="0"/>
                <w:sz w:val="18"/>
                <w:szCs w:val="18"/>
              </w:rPr>
              <w:t>算法数字证书及S</w:t>
            </w:r>
            <w:r>
              <w:rPr>
                <w:rFonts w:ascii="宋体" w:hAnsi="宋体"/>
                <w:kern w:val="0"/>
                <w:sz w:val="18"/>
                <w:szCs w:val="18"/>
              </w:rPr>
              <w:t>SLVPN</w:t>
            </w:r>
            <w:r>
              <w:rPr>
                <w:rFonts w:hint="eastAsia" w:ascii="宋体" w:hAnsi="宋体"/>
                <w:kern w:val="0"/>
                <w:sz w:val="18"/>
                <w:szCs w:val="18"/>
              </w:rPr>
              <w:t>进行双向认证以降低风险</w:t>
            </w:r>
          </w:p>
        </w:tc>
      </w:tr>
      <w:tr w14:paraId="65E855A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3406A4BD">
            <w:pPr>
              <w:widowControl/>
              <w:spacing w:line="240" w:lineRule="auto"/>
              <w:ind w:firstLine="0" w:firstLineChars="0"/>
              <w:jc w:val="left"/>
              <w:rPr>
                <w:rFonts w:ascii="宋体" w:hAnsi="宋体"/>
                <w:kern w:val="0"/>
                <w:sz w:val="18"/>
                <w:szCs w:val="18"/>
              </w:rPr>
            </w:pPr>
          </w:p>
        </w:tc>
        <w:tc>
          <w:tcPr>
            <w:tcW w:w="1587" w:type="dxa"/>
            <w:vAlign w:val="center"/>
          </w:tcPr>
          <w:p w14:paraId="034AFE3D">
            <w:pPr>
              <w:pStyle w:val="115"/>
              <w:spacing w:after="0" w:line="240" w:lineRule="auto"/>
              <w:ind w:firstLine="0" w:firstLineChars="0"/>
              <w:rPr>
                <w:rFonts w:hAnsi="宋体"/>
                <w:sz w:val="18"/>
                <w:szCs w:val="18"/>
              </w:rPr>
            </w:pPr>
            <w:r>
              <w:rPr>
                <w:rFonts w:hint="eastAsia" w:hAnsi="宋体"/>
                <w:sz w:val="18"/>
                <w:szCs w:val="18"/>
              </w:rPr>
              <w:t>远程管理通道安全</w:t>
            </w:r>
          </w:p>
        </w:tc>
        <w:tc>
          <w:tcPr>
            <w:tcW w:w="2694" w:type="dxa"/>
            <w:vAlign w:val="center"/>
          </w:tcPr>
          <w:p w14:paraId="6B6BF579">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通过SSL</w:t>
            </w:r>
            <w:r>
              <w:rPr>
                <w:rFonts w:ascii="宋体" w:hAnsi="宋体"/>
                <w:kern w:val="0"/>
                <w:sz w:val="18"/>
                <w:szCs w:val="18"/>
              </w:rPr>
              <w:t xml:space="preserve"> </w:t>
            </w:r>
            <w:r>
              <w:rPr>
                <w:rFonts w:hint="eastAsia" w:ascii="宋体" w:hAnsi="宋体"/>
                <w:kern w:val="0"/>
                <w:sz w:val="18"/>
                <w:szCs w:val="18"/>
              </w:rPr>
              <w:t>VPN建立安全信道登录堡垒机实现远程运维，服务器虚拟机、数据库未采用合规的密码技术实现远程管理通道安全。</w:t>
            </w:r>
          </w:p>
        </w:tc>
        <w:tc>
          <w:tcPr>
            <w:tcW w:w="1559" w:type="dxa"/>
            <w:vAlign w:val="center"/>
          </w:tcPr>
          <w:p w14:paraId="706470DB">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部分符合</w:t>
            </w:r>
          </w:p>
        </w:tc>
        <w:tc>
          <w:tcPr>
            <w:tcW w:w="2030" w:type="dxa"/>
            <w:vAlign w:val="center"/>
          </w:tcPr>
          <w:p w14:paraId="00DF5F67">
            <w:pPr>
              <w:widowControl/>
              <w:spacing w:line="240" w:lineRule="auto"/>
              <w:ind w:firstLine="0" w:firstLineChars="0"/>
              <w:jc w:val="center"/>
              <w:rPr>
                <w:rFonts w:ascii="宋体" w:hAnsi="宋体"/>
                <w:kern w:val="0"/>
                <w:sz w:val="18"/>
                <w:szCs w:val="18"/>
              </w:rPr>
            </w:pPr>
          </w:p>
        </w:tc>
      </w:tr>
      <w:tr w14:paraId="6B53381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2C440EAB">
            <w:pPr>
              <w:widowControl/>
              <w:spacing w:line="240" w:lineRule="auto"/>
              <w:ind w:firstLine="0" w:firstLineChars="0"/>
              <w:jc w:val="left"/>
              <w:rPr>
                <w:rFonts w:ascii="宋体" w:hAnsi="宋体"/>
                <w:kern w:val="0"/>
                <w:sz w:val="18"/>
                <w:szCs w:val="18"/>
              </w:rPr>
            </w:pPr>
          </w:p>
        </w:tc>
        <w:tc>
          <w:tcPr>
            <w:tcW w:w="1587" w:type="dxa"/>
            <w:vAlign w:val="center"/>
          </w:tcPr>
          <w:p w14:paraId="7E2F7FAB">
            <w:pPr>
              <w:pStyle w:val="115"/>
              <w:spacing w:after="0" w:line="240" w:lineRule="auto"/>
              <w:ind w:firstLine="0" w:firstLineChars="0"/>
              <w:rPr>
                <w:rFonts w:hAnsi="宋体"/>
                <w:sz w:val="18"/>
                <w:szCs w:val="18"/>
              </w:rPr>
            </w:pPr>
            <w:r>
              <w:rPr>
                <w:rFonts w:hint="eastAsia" w:hAnsi="宋体"/>
                <w:sz w:val="18"/>
                <w:szCs w:val="18"/>
              </w:rPr>
              <w:t>系统资源访问控制信息完整性</w:t>
            </w:r>
          </w:p>
        </w:tc>
        <w:tc>
          <w:tcPr>
            <w:tcW w:w="2694" w:type="dxa"/>
            <w:vAlign w:val="center"/>
          </w:tcPr>
          <w:p w14:paraId="08F83188">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采用签名验签技术保证服务器、数据库访问控制信息的完整性</w:t>
            </w:r>
          </w:p>
        </w:tc>
        <w:tc>
          <w:tcPr>
            <w:tcW w:w="1559" w:type="dxa"/>
            <w:vAlign w:val="center"/>
          </w:tcPr>
          <w:p w14:paraId="55B1DE15">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2F6304AA">
            <w:pPr>
              <w:widowControl/>
              <w:spacing w:line="240" w:lineRule="auto"/>
              <w:ind w:firstLine="0" w:firstLineChars="0"/>
              <w:jc w:val="center"/>
              <w:rPr>
                <w:rFonts w:ascii="宋体" w:hAnsi="宋体"/>
                <w:kern w:val="0"/>
                <w:sz w:val="18"/>
                <w:szCs w:val="18"/>
              </w:rPr>
            </w:pPr>
          </w:p>
        </w:tc>
      </w:tr>
      <w:tr w14:paraId="44B662B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64FE8D6B">
            <w:pPr>
              <w:widowControl/>
              <w:spacing w:line="240" w:lineRule="auto"/>
              <w:ind w:firstLine="0" w:firstLineChars="0"/>
              <w:jc w:val="left"/>
              <w:rPr>
                <w:rFonts w:ascii="宋体" w:hAnsi="宋体"/>
                <w:kern w:val="0"/>
                <w:sz w:val="18"/>
                <w:szCs w:val="18"/>
              </w:rPr>
            </w:pPr>
          </w:p>
        </w:tc>
        <w:tc>
          <w:tcPr>
            <w:tcW w:w="1587" w:type="dxa"/>
            <w:vAlign w:val="center"/>
          </w:tcPr>
          <w:p w14:paraId="41E6A495">
            <w:pPr>
              <w:pStyle w:val="115"/>
              <w:spacing w:after="0" w:line="240" w:lineRule="auto"/>
              <w:ind w:firstLine="0" w:firstLineChars="0"/>
              <w:rPr>
                <w:rFonts w:hAnsi="宋体"/>
                <w:sz w:val="18"/>
                <w:szCs w:val="18"/>
              </w:rPr>
            </w:pPr>
            <w:r>
              <w:rPr>
                <w:rFonts w:hint="eastAsia" w:hAnsi="宋体"/>
                <w:sz w:val="18"/>
                <w:szCs w:val="18"/>
              </w:rPr>
              <w:t>重要信息资源安全标记的完整性</w:t>
            </w:r>
          </w:p>
        </w:tc>
        <w:tc>
          <w:tcPr>
            <w:tcW w:w="2694" w:type="dxa"/>
            <w:vAlign w:val="center"/>
          </w:tcPr>
          <w:p w14:paraId="0E70059A">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本系统不涉及重要信息资源安</w:t>
            </w:r>
          </w:p>
          <w:p w14:paraId="6DFCF706">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全标记。</w:t>
            </w:r>
          </w:p>
        </w:tc>
        <w:tc>
          <w:tcPr>
            <w:tcW w:w="1559" w:type="dxa"/>
            <w:vAlign w:val="center"/>
          </w:tcPr>
          <w:p w14:paraId="2D7E9533">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不适用</w:t>
            </w:r>
          </w:p>
        </w:tc>
        <w:tc>
          <w:tcPr>
            <w:tcW w:w="2030" w:type="dxa"/>
            <w:vAlign w:val="center"/>
          </w:tcPr>
          <w:p w14:paraId="589015CE">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无重要信息资源安全标记</w:t>
            </w:r>
          </w:p>
        </w:tc>
      </w:tr>
      <w:tr w14:paraId="34C462F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71FED3ED">
            <w:pPr>
              <w:widowControl/>
              <w:spacing w:line="240" w:lineRule="auto"/>
              <w:ind w:firstLine="0" w:firstLineChars="0"/>
              <w:jc w:val="left"/>
              <w:rPr>
                <w:rFonts w:ascii="宋体" w:hAnsi="宋体"/>
                <w:kern w:val="0"/>
                <w:sz w:val="18"/>
                <w:szCs w:val="18"/>
              </w:rPr>
            </w:pPr>
          </w:p>
        </w:tc>
        <w:tc>
          <w:tcPr>
            <w:tcW w:w="1587" w:type="dxa"/>
            <w:vAlign w:val="center"/>
          </w:tcPr>
          <w:p w14:paraId="61DD6609">
            <w:pPr>
              <w:pStyle w:val="115"/>
              <w:spacing w:after="0" w:line="240" w:lineRule="auto"/>
              <w:ind w:firstLine="0" w:firstLineChars="0"/>
              <w:rPr>
                <w:rFonts w:hAnsi="宋体"/>
                <w:sz w:val="18"/>
                <w:szCs w:val="18"/>
              </w:rPr>
            </w:pPr>
            <w:r>
              <w:rPr>
                <w:rFonts w:hint="eastAsia" w:hAnsi="宋体"/>
                <w:sz w:val="18"/>
                <w:szCs w:val="18"/>
              </w:rPr>
              <w:t>日志记录完整性</w:t>
            </w:r>
          </w:p>
        </w:tc>
        <w:tc>
          <w:tcPr>
            <w:tcW w:w="2694" w:type="dxa"/>
            <w:vAlign w:val="center"/>
          </w:tcPr>
          <w:p w14:paraId="02411BD6">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采用签名验签技术保证服务器、数据库日志记录的完整性</w:t>
            </w:r>
          </w:p>
        </w:tc>
        <w:tc>
          <w:tcPr>
            <w:tcW w:w="1559" w:type="dxa"/>
            <w:vAlign w:val="center"/>
          </w:tcPr>
          <w:p w14:paraId="7C5BDBFE">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757A7AC3">
            <w:pPr>
              <w:widowControl/>
              <w:spacing w:line="240" w:lineRule="auto"/>
              <w:ind w:firstLine="0" w:firstLineChars="0"/>
              <w:jc w:val="center"/>
              <w:rPr>
                <w:rFonts w:ascii="宋体" w:hAnsi="宋体"/>
                <w:kern w:val="0"/>
                <w:sz w:val="18"/>
                <w:szCs w:val="18"/>
              </w:rPr>
            </w:pPr>
          </w:p>
        </w:tc>
      </w:tr>
      <w:tr w14:paraId="74F832C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010062F2">
            <w:pPr>
              <w:widowControl/>
              <w:spacing w:line="240" w:lineRule="auto"/>
              <w:ind w:firstLine="0" w:firstLineChars="0"/>
              <w:jc w:val="left"/>
              <w:rPr>
                <w:rFonts w:ascii="宋体" w:hAnsi="宋体"/>
                <w:kern w:val="0"/>
                <w:sz w:val="18"/>
                <w:szCs w:val="18"/>
              </w:rPr>
            </w:pPr>
          </w:p>
        </w:tc>
        <w:tc>
          <w:tcPr>
            <w:tcW w:w="1587" w:type="dxa"/>
            <w:vAlign w:val="center"/>
          </w:tcPr>
          <w:p w14:paraId="773204A6">
            <w:pPr>
              <w:pStyle w:val="115"/>
              <w:spacing w:after="0" w:line="240" w:lineRule="auto"/>
              <w:ind w:firstLine="0" w:firstLineChars="0"/>
              <w:rPr>
                <w:rFonts w:hAnsi="宋体"/>
                <w:sz w:val="18"/>
                <w:szCs w:val="18"/>
              </w:rPr>
            </w:pPr>
            <w:r>
              <w:rPr>
                <w:rFonts w:hint="eastAsia" w:hAnsi="宋体"/>
                <w:sz w:val="18"/>
                <w:szCs w:val="18"/>
              </w:rPr>
              <w:t>重要可执行程序完整性、重要可执行程序来源真实性</w:t>
            </w:r>
          </w:p>
        </w:tc>
        <w:tc>
          <w:tcPr>
            <w:tcW w:w="2694" w:type="dxa"/>
            <w:vAlign w:val="center"/>
          </w:tcPr>
          <w:p w14:paraId="71FDFB29">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服务器虚拟机调用签名验签服务实现重要可执行程序完整</w:t>
            </w:r>
          </w:p>
          <w:p w14:paraId="123E97C7">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性、来源真实性保护。</w:t>
            </w:r>
          </w:p>
        </w:tc>
        <w:tc>
          <w:tcPr>
            <w:tcW w:w="1559" w:type="dxa"/>
            <w:vAlign w:val="center"/>
          </w:tcPr>
          <w:p w14:paraId="4DA74394">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73BD5B96">
            <w:pPr>
              <w:widowControl/>
              <w:spacing w:line="240" w:lineRule="auto"/>
              <w:ind w:firstLine="0" w:firstLineChars="0"/>
              <w:jc w:val="center"/>
              <w:rPr>
                <w:rFonts w:ascii="宋体" w:hAnsi="宋体"/>
                <w:kern w:val="0"/>
                <w:sz w:val="18"/>
                <w:szCs w:val="18"/>
              </w:rPr>
            </w:pPr>
          </w:p>
        </w:tc>
      </w:tr>
      <w:tr w14:paraId="1E205D6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restart"/>
            <w:vAlign w:val="center"/>
          </w:tcPr>
          <w:p w14:paraId="575052C1">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应用和数据安全</w:t>
            </w:r>
          </w:p>
        </w:tc>
        <w:tc>
          <w:tcPr>
            <w:tcW w:w="1587" w:type="dxa"/>
            <w:vAlign w:val="center"/>
          </w:tcPr>
          <w:p w14:paraId="1A75D334">
            <w:pPr>
              <w:pStyle w:val="115"/>
              <w:spacing w:after="0" w:line="240" w:lineRule="auto"/>
              <w:ind w:firstLine="0" w:firstLineChars="0"/>
              <w:rPr>
                <w:rFonts w:hAnsi="宋体"/>
                <w:sz w:val="18"/>
                <w:szCs w:val="18"/>
              </w:rPr>
            </w:pPr>
            <w:r>
              <w:rPr>
                <w:rFonts w:hint="eastAsia" w:hAnsi="宋体"/>
                <w:sz w:val="18"/>
                <w:szCs w:val="18"/>
              </w:rPr>
              <w:t>身份鉴别</w:t>
            </w:r>
          </w:p>
        </w:tc>
        <w:tc>
          <w:tcPr>
            <w:tcW w:w="2694" w:type="dxa"/>
            <w:vAlign w:val="center"/>
          </w:tcPr>
          <w:p w14:paraId="434FBB25">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互联网企业用户通过调随申办身份认证服务实现身份鉴别；</w:t>
            </w:r>
          </w:p>
          <w:p w14:paraId="32C91787">
            <w:pPr>
              <w:widowControl/>
              <w:spacing w:line="240" w:lineRule="auto"/>
              <w:ind w:firstLine="0" w:firstLineChars="0"/>
              <w:jc w:val="center"/>
              <w:rPr>
                <w:rFonts w:ascii="Times New Roman" w:hAnsi="Times New Roman" w:eastAsia="仿宋"/>
                <w:sz w:val="28"/>
              </w:rPr>
            </w:pPr>
            <w:r>
              <w:rPr>
                <w:rFonts w:hint="eastAsia" w:ascii="宋体" w:hAnsi="宋体"/>
                <w:kern w:val="0"/>
                <w:sz w:val="18"/>
                <w:szCs w:val="18"/>
              </w:rPr>
              <w:t>互联网</w:t>
            </w:r>
            <w:r>
              <w:rPr>
                <w:rFonts w:ascii="宋体" w:hAnsi="宋体"/>
                <w:kern w:val="0"/>
                <w:sz w:val="18"/>
                <w:szCs w:val="18"/>
              </w:rPr>
              <w:t>管理</w:t>
            </w:r>
            <w:r>
              <w:rPr>
                <w:rFonts w:hint="eastAsia" w:ascii="宋体" w:hAnsi="宋体"/>
                <w:kern w:val="0"/>
                <w:sz w:val="18"/>
                <w:szCs w:val="18"/>
              </w:rPr>
              <w:t>用户通过搭载SM2算法数字证书的USBKEY、国密浏览器与安全认证网关进行基于国密SSL协议的双向认证，实现PC端用户的身份鉴别。</w:t>
            </w:r>
          </w:p>
          <w:p w14:paraId="444E2B0A">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政务外网用户通过搭载SM2算法数字证书的USBKEY与安全认证网关进行基于国密SSL协议的双向认证，实现PC端用户的身份鉴别</w:t>
            </w:r>
          </w:p>
        </w:tc>
        <w:tc>
          <w:tcPr>
            <w:tcW w:w="1559" w:type="dxa"/>
            <w:vAlign w:val="center"/>
          </w:tcPr>
          <w:p w14:paraId="27F00B3E">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部分符合</w:t>
            </w:r>
          </w:p>
        </w:tc>
        <w:tc>
          <w:tcPr>
            <w:tcW w:w="2030" w:type="dxa"/>
            <w:vAlign w:val="center"/>
          </w:tcPr>
          <w:p w14:paraId="6410ACFE">
            <w:pPr>
              <w:widowControl/>
              <w:spacing w:line="240" w:lineRule="auto"/>
              <w:ind w:firstLine="0" w:firstLineChars="0"/>
              <w:jc w:val="center"/>
              <w:rPr>
                <w:rFonts w:ascii="宋体" w:hAnsi="宋体"/>
                <w:kern w:val="0"/>
                <w:sz w:val="18"/>
                <w:szCs w:val="18"/>
              </w:rPr>
            </w:pPr>
          </w:p>
        </w:tc>
      </w:tr>
      <w:tr w14:paraId="588B84C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7942CEDB">
            <w:pPr>
              <w:widowControl/>
              <w:spacing w:line="240" w:lineRule="auto"/>
              <w:ind w:firstLine="0" w:firstLineChars="0"/>
              <w:jc w:val="left"/>
              <w:rPr>
                <w:rFonts w:ascii="宋体" w:hAnsi="宋体"/>
                <w:kern w:val="0"/>
                <w:sz w:val="18"/>
                <w:szCs w:val="18"/>
              </w:rPr>
            </w:pPr>
          </w:p>
        </w:tc>
        <w:tc>
          <w:tcPr>
            <w:tcW w:w="1587" w:type="dxa"/>
            <w:vAlign w:val="center"/>
          </w:tcPr>
          <w:p w14:paraId="6FD2E3C0">
            <w:pPr>
              <w:pStyle w:val="115"/>
              <w:spacing w:after="0" w:line="240" w:lineRule="auto"/>
              <w:ind w:firstLine="0" w:firstLineChars="0"/>
              <w:rPr>
                <w:rFonts w:hAnsi="宋体"/>
                <w:sz w:val="18"/>
                <w:szCs w:val="18"/>
              </w:rPr>
            </w:pPr>
            <w:r>
              <w:rPr>
                <w:rFonts w:hint="eastAsia" w:hAnsi="宋体"/>
                <w:sz w:val="18"/>
                <w:szCs w:val="18"/>
              </w:rPr>
              <w:t>访问控制信息完整性</w:t>
            </w:r>
          </w:p>
        </w:tc>
        <w:tc>
          <w:tcPr>
            <w:tcW w:w="2694" w:type="dxa"/>
            <w:vAlign w:val="center"/>
          </w:tcPr>
          <w:p w14:paraId="526E6860">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基于签名验签服务，采用SM</w:t>
            </w:r>
            <w:r>
              <w:rPr>
                <w:rFonts w:ascii="宋体" w:hAnsi="宋体"/>
                <w:kern w:val="0"/>
                <w:sz w:val="18"/>
                <w:szCs w:val="18"/>
              </w:rPr>
              <w:t>2</w:t>
            </w:r>
            <w:r>
              <w:rPr>
                <w:rFonts w:hint="eastAsia" w:ascii="宋体" w:hAnsi="宋体"/>
                <w:kern w:val="0"/>
                <w:sz w:val="18"/>
                <w:szCs w:val="18"/>
              </w:rPr>
              <w:t>算法数字签名对权限控制列表进行完整性保护</w:t>
            </w:r>
          </w:p>
        </w:tc>
        <w:tc>
          <w:tcPr>
            <w:tcW w:w="1559" w:type="dxa"/>
            <w:vAlign w:val="center"/>
          </w:tcPr>
          <w:p w14:paraId="446E7BEA">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551AF545">
            <w:pPr>
              <w:widowControl/>
              <w:spacing w:line="240" w:lineRule="auto"/>
              <w:ind w:firstLine="0" w:firstLineChars="0"/>
              <w:jc w:val="center"/>
              <w:rPr>
                <w:rFonts w:ascii="宋体" w:hAnsi="宋体"/>
                <w:kern w:val="0"/>
                <w:sz w:val="18"/>
                <w:szCs w:val="18"/>
              </w:rPr>
            </w:pPr>
          </w:p>
        </w:tc>
      </w:tr>
      <w:tr w14:paraId="67A1819F">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242D756B">
            <w:pPr>
              <w:widowControl/>
              <w:spacing w:line="240" w:lineRule="auto"/>
              <w:ind w:firstLine="0" w:firstLineChars="0"/>
              <w:jc w:val="left"/>
              <w:rPr>
                <w:rFonts w:ascii="宋体" w:hAnsi="宋体"/>
                <w:kern w:val="0"/>
                <w:sz w:val="18"/>
                <w:szCs w:val="18"/>
              </w:rPr>
            </w:pPr>
          </w:p>
        </w:tc>
        <w:tc>
          <w:tcPr>
            <w:tcW w:w="1587" w:type="dxa"/>
            <w:vAlign w:val="center"/>
          </w:tcPr>
          <w:p w14:paraId="57468672">
            <w:pPr>
              <w:pStyle w:val="115"/>
              <w:spacing w:after="0" w:line="240" w:lineRule="auto"/>
              <w:ind w:firstLine="0" w:firstLineChars="0"/>
              <w:rPr>
                <w:rFonts w:hAnsi="宋体"/>
                <w:sz w:val="18"/>
                <w:szCs w:val="18"/>
              </w:rPr>
            </w:pPr>
            <w:r>
              <w:rPr>
                <w:rFonts w:hint="eastAsia" w:hAnsi="宋体"/>
                <w:sz w:val="18"/>
                <w:szCs w:val="18"/>
              </w:rPr>
              <w:t>重要信息资源安全标记完整性</w:t>
            </w:r>
          </w:p>
        </w:tc>
        <w:tc>
          <w:tcPr>
            <w:tcW w:w="2694" w:type="dxa"/>
            <w:vAlign w:val="center"/>
          </w:tcPr>
          <w:p w14:paraId="4E0A9099">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本系统不涉及重要信息资源安</w:t>
            </w:r>
          </w:p>
          <w:p w14:paraId="61D665B3">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全标记。</w:t>
            </w:r>
          </w:p>
        </w:tc>
        <w:tc>
          <w:tcPr>
            <w:tcW w:w="1559" w:type="dxa"/>
            <w:vAlign w:val="center"/>
          </w:tcPr>
          <w:p w14:paraId="5F78F1DD">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不适用</w:t>
            </w:r>
          </w:p>
        </w:tc>
        <w:tc>
          <w:tcPr>
            <w:tcW w:w="2030" w:type="dxa"/>
            <w:vAlign w:val="center"/>
          </w:tcPr>
          <w:p w14:paraId="5B40A435">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无重要信息资源安全标记</w:t>
            </w:r>
          </w:p>
        </w:tc>
      </w:tr>
      <w:tr w14:paraId="55BCE1C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6D272328">
            <w:pPr>
              <w:widowControl/>
              <w:spacing w:line="240" w:lineRule="auto"/>
              <w:ind w:firstLine="0" w:firstLineChars="0"/>
              <w:jc w:val="left"/>
              <w:rPr>
                <w:rFonts w:ascii="宋体" w:hAnsi="宋体"/>
                <w:kern w:val="0"/>
                <w:sz w:val="18"/>
                <w:szCs w:val="18"/>
              </w:rPr>
            </w:pPr>
          </w:p>
        </w:tc>
        <w:tc>
          <w:tcPr>
            <w:tcW w:w="1587" w:type="dxa"/>
            <w:vAlign w:val="center"/>
          </w:tcPr>
          <w:p w14:paraId="6BD912E6">
            <w:pPr>
              <w:pStyle w:val="115"/>
              <w:spacing w:after="0" w:line="240" w:lineRule="auto"/>
              <w:ind w:firstLine="0" w:firstLineChars="0"/>
              <w:rPr>
                <w:rFonts w:hAnsi="宋体"/>
                <w:sz w:val="18"/>
                <w:szCs w:val="18"/>
              </w:rPr>
            </w:pPr>
            <w:r>
              <w:rPr>
                <w:rFonts w:hint="eastAsia" w:hAnsi="宋体"/>
                <w:sz w:val="18"/>
                <w:szCs w:val="18"/>
              </w:rPr>
              <w:t>重要数据传输机密性</w:t>
            </w:r>
          </w:p>
        </w:tc>
        <w:tc>
          <w:tcPr>
            <w:tcW w:w="2694" w:type="dxa"/>
            <w:vAlign w:val="center"/>
          </w:tcPr>
          <w:p w14:paraId="00E19011">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基于安全认证网关，建立GMSSL安全信道保护重要数据传输机密性。</w:t>
            </w:r>
          </w:p>
        </w:tc>
        <w:tc>
          <w:tcPr>
            <w:tcW w:w="1559" w:type="dxa"/>
            <w:vAlign w:val="center"/>
          </w:tcPr>
          <w:p w14:paraId="61A1D68F">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部分符合</w:t>
            </w:r>
          </w:p>
        </w:tc>
        <w:tc>
          <w:tcPr>
            <w:tcW w:w="2030" w:type="dxa"/>
            <w:vAlign w:val="center"/>
          </w:tcPr>
          <w:p w14:paraId="581037DD">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通过网络和通信层面的密码技术来弥补和降低风险。</w:t>
            </w:r>
          </w:p>
        </w:tc>
      </w:tr>
      <w:tr w14:paraId="3F927F2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361C658C">
            <w:pPr>
              <w:widowControl/>
              <w:spacing w:line="240" w:lineRule="auto"/>
              <w:ind w:firstLine="0" w:firstLineChars="0"/>
              <w:jc w:val="left"/>
              <w:rPr>
                <w:rFonts w:ascii="宋体" w:hAnsi="宋体"/>
                <w:kern w:val="0"/>
                <w:sz w:val="18"/>
                <w:szCs w:val="18"/>
              </w:rPr>
            </w:pPr>
          </w:p>
        </w:tc>
        <w:tc>
          <w:tcPr>
            <w:tcW w:w="1587" w:type="dxa"/>
            <w:vAlign w:val="center"/>
          </w:tcPr>
          <w:p w14:paraId="21BDD559">
            <w:pPr>
              <w:pStyle w:val="115"/>
              <w:spacing w:after="0" w:line="240" w:lineRule="auto"/>
              <w:ind w:firstLine="0" w:firstLineChars="0"/>
              <w:rPr>
                <w:rFonts w:hAnsi="宋体"/>
                <w:sz w:val="18"/>
                <w:szCs w:val="18"/>
              </w:rPr>
            </w:pPr>
            <w:r>
              <w:rPr>
                <w:rFonts w:hint="eastAsia" w:hAnsi="宋体"/>
                <w:sz w:val="18"/>
                <w:szCs w:val="18"/>
              </w:rPr>
              <w:t>重要数据存储机密性</w:t>
            </w:r>
          </w:p>
        </w:tc>
        <w:tc>
          <w:tcPr>
            <w:tcW w:w="2694" w:type="dxa"/>
            <w:vAlign w:val="center"/>
          </w:tcPr>
          <w:p w14:paraId="4D8D0757">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采用可信密码服务实现结构化数据加密存储</w:t>
            </w:r>
          </w:p>
        </w:tc>
        <w:tc>
          <w:tcPr>
            <w:tcW w:w="1559" w:type="dxa"/>
            <w:vAlign w:val="center"/>
          </w:tcPr>
          <w:p w14:paraId="1ACD912F">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23224DF5">
            <w:pPr>
              <w:widowControl/>
              <w:spacing w:line="240" w:lineRule="auto"/>
              <w:ind w:firstLine="0" w:firstLineChars="0"/>
              <w:jc w:val="center"/>
              <w:rPr>
                <w:rFonts w:ascii="宋体" w:hAnsi="宋体"/>
                <w:kern w:val="0"/>
                <w:sz w:val="18"/>
                <w:szCs w:val="18"/>
              </w:rPr>
            </w:pPr>
          </w:p>
        </w:tc>
      </w:tr>
      <w:tr w14:paraId="72637E7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0F1917C6">
            <w:pPr>
              <w:widowControl/>
              <w:spacing w:line="240" w:lineRule="auto"/>
              <w:ind w:firstLine="0" w:firstLineChars="0"/>
              <w:jc w:val="left"/>
              <w:rPr>
                <w:rFonts w:ascii="宋体" w:hAnsi="宋体"/>
                <w:kern w:val="0"/>
                <w:sz w:val="18"/>
                <w:szCs w:val="18"/>
              </w:rPr>
            </w:pPr>
          </w:p>
        </w:tc>
        <w:tc>
          <w:tcPr>
            <w:tcW w:w="1587" w:type="dxa"/>
            <w:vAlign w:val="center"/>
          </w:tcPr>
          <w:p w14:paraId="596B3AB7">
            <w:pPr>
              <w:pStyle w:val="115"/>
              <w:spacing w:after="0" w:line="240" w:lineRule="auto"/>
              <w:ind w:firstLine="0" w:firstLineChars="0"/>
              <w:rPr>
                <w:rFonts w:hAnsi="宋体"/>
                <w:sz w:val="18"/>
                <w:szCs w:val="18"/>
              </w:rPr>
            </w:pPr>
            <w:r>
              <w:rPr>
                <w:rFonts w:hint="eastAsia" w:hAnsi="宋体"/>
                <w:sz w:val="18"/>
                <w:szCs w:val="18"/>
              </w:rPr>
              <w:t>重要数据传输完整性</w:t>
            </w:r>
          </w:p>
        </w:tc>
        <w:tc>
          <w:tcPr>
            <w:tcW w:w="2694" w:type="dxa"/>
            <w:vAlign w:val="center"/>
          </w:tcPr>
          <w:p w14:paraId="3B89A662">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基于安全认证网关，建立GMSSL安全信道保证重要数据传输完整性。</w:t>
            </w:r>
          </w:p>
        </w:tc>
        <w:tc>
          <w:tcPr>
            <w:tcW w:w="1559" w:type="dxa"/>
            <w:vAlign w:val="center"/>
          </w:tcPr>
          <w:p w14:paraId="4ABAD0C8">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部分符合</w:t>
            </w:r>
          </w:p>
        </w:tc>
        <w:tc>
          <w:tcPr>
            <w:tcW w:w="2030" w:type="dxa"/>
            <w:vAlign w:val="center"/>
          </w:tcPr>
          <w:p w14:paraId="58B44F25">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通过网络和通信层面的密码技术来弥补和降低风险。</w:t>
            </w:r>
          </w:p>
        </w:tc>
      </w:tr>
      <w:tr w14:paraId="47ADAB6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219EAADC">
            <w:pPr>
              <w:widowControl/>
              <w:spacing w:line="240" w:lineRule="auto"/>
              <w:ind w:firstLine="0" w:firstLineChars="0"/>
              <w:jc w:val="left"/>
              <w:rPr>
                <w:rFonts w:ascii="宋体" w:hAnsi="宋体"/>
                <w:kern w:val="0"/>
                <w:sz w:val="18"/>
                <w:szCs w:val="18"/>
              </w:rPr>
            </w:pPr>
          </w:p>
        </w:tc>
        <w:tc>
          <w:tcPr>
            <w:tcW w:w="1587" w:type="dxa"/>
            <w:vAlign w:val="center"/>
          </w:tcPr>
          <w:p w14:paraId="4ED52D18">
            <w:pPr>
              <w:pStyle w:val="115"/>
              <w:spacing w:after="0" w:line="240" w:lineRule="auto"/>
              <w:ind w:firstLine="0" w:firstLineChars="0"/>
              <w:rPr>
                <w:rFonts w:hAnsi="宋体"/>
                <w:sz w:val="18"/>
                <w:szCs w:val="18"/>
              </w:rPr>
            </w:pPr>
            <w:r>
              <w:rPr>
                <w:rFonts w:hint="eastAsia" w:hAnsi="宋体"/>
                <w:sz w:val="18"/>
                <w:szCs w:val="18"/>
              </w:rPr>
              <w:t>重要数据存储完整性</w:t>
            </w:r>
          </w:p>
        </w:tc>
        <w:tc>
          <w:tcPr>
            <w:tcW w:w="2694" w:type="dxa"/>
            <w:vAlign w:val="center"/>
          </w:tcPr>
          <w:p w14:paraId="0AA5605D">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基于签名验签服务，采用SM</w:t>
            </w:r>
            <w:r>
              <w:rPr>
                <w:rFonts w:ascii="宋体" w:hAnsi="宋体"/>
                <w:kern w:val="0"/>
                <w:sz w:val="18"/>
                <w:szCs w:val="18"/>
              </w:rPr>
              <w:t>2</w:t>
            </w:r>
            <w:r>
              <w:rPr>
                <w:rFonts w:hint="eastAsia" w:ascii="宋体" w:hAnsi="宋体"/>
                <w:kern w:val="0"/>
                <w:sz w:val="18"/>
                <w:szCs w:val="18"/>
              </w:rPr>
              <w:t>算法数字签名对重要数据进行完整性保护</w:t>
            </w:r>
          </w:p>
        </w:tc>
        <w:tc>
          <w:tcPr>
            <w:tcW w:w="1559" w:type="dxa"/>
            <w:vAlign w:val="center"/>
          </w:tcPr>
          <w:p w14:paraId="239F6956">
            <w:pPr>
              <w:widowControl/>
              <w:spacing w:line="240" w:lineRule="auto"/>
              <w:ind w:firstLine="0" w:firstLineChars="0"/>
              <w:jc w:val="center"/>
              <w:rPr>
                <w:rFonts w:ascii="宋体" w:hAnsi="宋体"/>
                <w:kern w:val="0"/>
                <w:sz w:val="18"/>
                <w:szCs w:val="18"/>
              </w:rPr>
            </w:pPr>
            <w:r>
              <w:rPr>
                <w:rFonts w:hint="eastAsia" w:ascii="宋体" w:hAnsi="宋体"/>
                <w:kern w:val="0"/>
                <w:sz w:val="18"/>
                <w:szCs w:val="18"/>
              </w:rPr>
              <w:t>符合</w:t>
            </w:r>
          </w:p>
        </w:tc>
        <w:tc>
          <w:tcPr>
            <w:tcW w:w="2030" w:type="dxa"/>
            <w:vAlign w:val="center"/>
          </w:tcPr>
          <w:p w14:paraId="5AD118AE">
            <w:pPr>
              <w:widowControl/>
              <w:spacing w:line="240" w:lineRule="auto"/>
              <w:ind w:firstLine="0" w:firstLineChars="0"/>
              <w:jc w:val="center"/>
              <w:rPr>
                <w:rFonts w:ascii="宋体" w:hAnsi="宋体"/>
                <w:kern w:val="0"/>
                <w:sz w:val="18"/>
                <w:szCs w:val="18"/>
              </w:rPr>
            </w:pPr>
          </w:p>
        </w:tc>
      </w:tr>
      <w:tr w14:paraId="6E338BF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1CB34871">
            <w:pPr>
              <w:widowControl/>
              <w:spacing w:line="240" w:lineRule="auto"/>
              <w:ind w:firstLine="0" w:firstLineChars="0"/>
              <w:jc w:val="left"/>
              <w:rPr>
                <w:rFonts w:ascii="宋体" w:hAnsi="宋体"/>
                <w:kern w:val="0"/>
                <w:sz w:val="18"/>
                <w:szCs w:val="18"/>
              </w:rPr>
            </w:pPr>
          </w:p>
        </w:tc>
        <w:tc>
          <w:tcPr>
            <w:tcW w:w="1587" w:type="dxa"/>
            <w:vAlign w:val="center"/>
          </w:tcPr>
          <w:p w14:paraId="372D0BC9">
            <w:pPr>
              <w:pStyle w:val="115"/>
              <w:spacing w:after="0" w:line="240" w:lineRule="auto"/>
              <w:ind w:firstLine="0" w:firstLineChars="0"/>
              <w:rPr>
                <w:rFonts w:hAnsi="宋体"/>
                <w:sz w:val="18"/>
                <w:szCs w:val="18"/>
              </w:rPr>
            </w:pPr>
            <w:r>
              <w:rPr>
                <w:rFonts w:hint="eastAsia" w:hAnsi="宋体"/>
                <w:sz w:val="18"/>
                <w:szCs w:val="18"/>
              </w:rPr>
              <w:t>不可否认性</w:t>
            </w:r>
          </w:p>
        </w:tc>
        <w:tc>
          <w:tcPr>
            <w:tcW w:w="2694" w:type="dxa"/>
            <w:vAlign w:val="center"/>
          </w:tcPr>
          <w:p w14:paraId="639297BC">
            <w:pPr>
              <w:widowControl/>
              <w:spacing w:line="240" w:lineRule="auto"/>
              <w:ind w:firstLine="0" w:firstLineChars="0"/>
              <w:jc w:val="center"/>
              <w:rPr>
                <w:rFonts w:hint="eastAsia" w:ascii="宋体" w:hAnsi="宋体" w:cs="Times New Roman"/>
                <w:kern w:val="0"/>
                <w:sz w:val="18"/>
                <w:szCs w:val="18"/>
              </w:rPr>
            </w:pPr>
            <w:r>
              <w:rPr>
                <w:rFonts w:hint="eastAsia" w:ascii="宋体" w:hAnsi="宋体" w:cs="Times New Roman"/>
                <w:kern w:val="0"/>
                <w:sz w:val="18"/>
                <w:szCs w:val="18"/>
              </w:rPr>
              <w:t>不适用</w:t>
            </w:r>
          </w:p>
        </w:tc>
        <w:tc>
          <w:tcPr>
            <w:tcW w:w="1559" w:type="dxa"/>
            <w:vAlign w:val="center"/>
          </w:tcPr>
          <w:p w14:paraId="6976C8B5">
            <w:pPr>
              <w:widowControl/>
              <w:spacing w:line="240" w:lineRule="auto"/>
              <w:ind w:firstLine="0" w:firstLineChars="0"/>
              <w:jc w:val="center"/>
              <w:rPr>
                <w:rFonts w:hint="eastAsia" w:ascii="宋体" w:hAnsi="宋体" w:cs="Times New Roman"/>
                <w:kern w:val="0"/>
                <w:sz w:val="18"/>
                <w:szCs w:val="18"/>
              </w:rPr>
            </w:pPr>
            <w:r>
              <w:rPr>
                <w:rFonts w:hint="eastAsia" w:ascii="宋体" w:hAnsi="宋体" w:cs="Times New Roman"/>
                <w:kern w:val="0"/>
                <w:sz w:val="18"/>
                <w:szCs w:val="18"/>
              </w:rPr>
              <w:t>不适用</w:t>
            </w:r>
          </w:p>
        </w:tc>
        <w:tc>
          <w:tcPr>
            <w:tcW w:w="2030" w:type="dxa"/>
            <w:vAlign w:val="center"/>
          </w:tcPr>
          <w:p w14:paraId="30D97268">
            <w:pPr>
              <w:widowControl/>
              <w:spacing w:line="240" w:lineRule="auto"/>
              <w:ind w:firstLine="0" w:firstLineChars="0"/>
              <w:jc w:val="center"/>
              <w:rPr>
                <w:rFonts w:ascii="宋体" w:hAnsi="宋体"/>
                <w:kern w:val="0"/>
                <w:sz w:val="18"/>
                <w:szCs w:val="18"/>
              </w:rPr>
            </w:pPr>
          </w:p>
        </w:tc>
      </w:tr>
    </w:tbl>
    <w:p w14:paraId="4B0790D7">
      <w:pPr>
        <w:rPr>
          <w:rFonts w:hint="eastAsia"/>
        </w:rPr>
      </w:pPr>
    </w:p>
    <w:p w14:paraId="2F9FF120">
      <w:pPr>
        <w:pStyle w:val="3"/>
        <w:rPr>
          <w:rFonts w:hint="eastAsia"/>
        </w:rPr>
      </w:pPr>
      <w:bookmarkStart w:id="34" w:name="_Toc63785512"/>
      <w:r>
        <w:rPr>
          <w:rFonts w:hint="eastAsia"/>
        </w:rPr>
        <w:t>技术文件要求</w:t>
      </w:r>
    </w:p>
    <w:p w14:paraId="6ADA55AE">
      <w:pPr>
        <w:rPr>
          <w:rFonts w:hint="eastAsia"/>
        </w:rPr>
      </w:pPr>
      <w:r>
        <w:rPr>
          <w:rFonts w:hint="eastAsia"/>
          <w:lang w:eastAsia="zh-CN"/>
        </w:rPr>
        <w:t>供应商</w:t>
      </w:r>
      <w:r>
        <w:rPr>
          <w:rFonts w:hint="eastAsia"/>
        </w:rPr>
        <w:t>提供的书面技术资料应能确保系统正常运行所需的管理、运营及维护有关的全套文件。技术文件应该全面、完整、详细。</w:t>
      </w:r>
      <w:r>
        <w:rPr>
          <w:rFonts w:hint="eastAsia"/>
          <w:lang w:eastAsia="zh-CN"/>
        </w:rPr>
        <w:t>供应商</w:t>
      </w:r>
      <w:r>
        <w:rPr>
          <w:rFonts w:hint="eastAsia"/>
        </w:rPr>
        <w:t>提供的技术文件至少应包括：</w:t>
      </w:r>
    </w:p>
    <w:p w14:paraId="25902AAF">
      <w:pPr>
        <w:rPr>
          <w:rFonts w:hint="eastAsia"/>
        </w:rPr>
      </w:pPr>
      <w:r>
        <w:rPr>
          <w:rFonts w:hint="eastAsia"/>
        </w:rPr>
        <w:t>－</w:t>
      </w:r>
      <w:r>
        <w:t xml:space="preserve"> 系统说明文件； </w:t>
      </w:r>
    </w:p>
    <w:p w14:paraId="0C84602E">
      <w:pPr>
        <w:rPr>
          <w:rFonts w:hint="eastAsia"/>
        </w:rPr>
      </w:pPr>
      <w:r>
        <w:rPr>
          <w:rFonts w:hint="eastAsia"/>
        </w:rPr>
        <w:t>－</w:t>
      </w:r>
      <w:r>
        <w:t xml:space="preserve"> 技术手册(安装、测试、操作、维护、故障排除等)； </w:t>
      </w:r>
    </w:p>
    <w:p w14:paraId="0BFA932F">
      <w:pPr>
        <w:rPr>
          <w:rFonts w:hint="eastAsia"/>
        </w:rPr>
      </w:pPr>
      <w:r>
        <w:rPr>
          <w:rFonts w:hint="eastAsia"/>
        </w:rPr>
        <w:t>－</w:t>
      </w:r>
      <w:r>
        <w:t xml:space="preserve"> 项目文档，应该包括：</w:t>
      </w:r>
    </w:p>
    <w:p w14:paraId="650D83B2">
      <w:pPr>
        <w:ind w:left="360"/>
        <w:rPr>
          <w:rFonts w:hint="eastAsia"/>
        </w:rPr>
      </w:pPr>
      <w:r>
        <w:t>(1)软件需求说明书</w:t>
      </w:r>
    </w:p>
    <w:p w14:paraId="324457AA">
      <w:pPr>
        <w:ind w:left="360"/>
        <w:rPr>
          <w:rFonts w:hint="eastAsia"/>
        </w:rPr>
      </w:pPr>
      <w:r>
        <w:t>(2)</w:t>
      </w:r>
      <w:r>
        <w:tab/>
      </w:r>
      <w:r>
        <w:t>系统总体设计说明书</w:t>
      </w:r>
    </w:p>
    <w:p w14:paraId="364FBAD2">
      <w:pPr>
        <w:ind w:left="360"/>
        <w:rPr>
          <w:rFonts w:hint="eastAsia"/>
        </w:rPr>
      </w:pPr>
      <w:r>
        <w:t>(3)</w:t>
      </w:r>
      <w:r>
        <w:tab/>
      </w:r>
      <w:r>
        <w:t>应用软件功能清单</w:t>
      </w:r>
    </w:p>
    <w:p w14:paraId="134A41EA">
      <w:pPr>
        <w:rPr>
          <w:rFonts w:hint="eastAsia"/>
        </w:rPr>
      </w:pPr>
      <w:r>
        <w:rPr>
          <w:rFonts w:hint="eastAsia"/>
        </w:rPr>
        <w:t>提供全套技术文件纸介质</w:t>
      </w:r>
      <w:r>
        <w:t>3套以及电子文件1套。</w:t>
      </w:r>
    </w:p>
    <w:bookmarkEnd w:id="34"/>
    <w:p w14:paraId="48F19688">
      <w:pPr>
        <w:pStyle w:val="80"/>
        <w:ind w:firstLine="420"/>
        <w:rPr>
          <w:rFonts w:hint="eastAsia"/>
        </w:rPr>
      </w:pPr>
    </w:p>
    <w:p w14:paraId="30A11D4F">
      <w:pPr>
        <w:pStyle w:val="2"/>
        <w:rPr>
          <w:rFonts w:hint="eastAsia"/>
        </w:rPr>
      </w:pPr>
      <w:bookmarkStart w:id="35" w:name="_Toc63785513"/>
      <w:r>
        <w:rPr>
          <w:rFonts w:hint="eastAsia"/>
          <w:color w:val="auto"/>
          <w:lang w:eastAsia="zh-CN"/>
        </w:rPr>
        <w:t>供应商企业实力</w:t>
      </w:r>
    </w:p>
    <w:p w14:paraId="4B1ECA8C">
      <w:pPr>
        <w:rPr>
          <w:rFonts w:hint="eastAsia"/>
        </w:rPr>
      </w:pPr>
      <w:r>
        <w:rPr>
          <w:rFonts w:hint="eastAsia"/>
        </w:rPr>
        <w:t>供应商具有质量管理体系认证、信息安全管理体系认证、环境管理体系认证、DCMM数据管理能力成熟度等级证书</w:t>
      </w:r>
      <w:r>
        <w:rPr>
          <w:rFonts w:hint="eastAsia"/>
          <w:lang w:eastAsia="zh-CN"/>
        </w:rPr>
        <w:t>、</w:t>
      </w:r>
      <w:r>
        <w:rPr>
          <w:rFonts w:hint="eastAsia"/>
        </w:rPr>
        <w:t>信息系统建设和服务能力等级证书</w:t>
      </w:r>
      <w:r>
        <w:rPr>
          <w:rFonts w:hint="eastAsia" w:ascii="Times New Roman" w:hAnsi="Times New Roman" w:eastAsia="宋体"/>
          <w:color w:val="auto"/>
          <w:sz w:val="24"/>
          <w:szCs w:val="24"/>
          <w:lang w:val="en-US" w:eastAsia="zh-CN"/>
        </w:rPr>
        <w:t>的，优先考虑。</w:t>
      </w:r>
    </w:p>
    <w:bookmarkEnd w:id="35"/>
    <w:p w14:paraId="212904FE">
      <w:pPr>
        <w:pStyle w:val="2"/>
        <w:rPr>
          <w:rFonts w:hint="eastAsia"/>
        </w:rPr>
      </w:pPr>
      <w:bookmarkStart w:id="36" w:name="_Toc68798863"/>
      <w:r>
        <w:rPr>
          <w:rFonts w:hint="eastAsia"/>
        </w:rPr>
        <w:t>附录</w:t>
      </w:r>
      <w:bookmarkEnd w:id="36"/>
    </w:p>
    <w:p w14:paraId="2E1B7473">
      <w:pPr>
        <w:ind w:firstLine="482"/>
        <w:rPr>
          <w:rFonts w:hint="eastAsia"/>
          <w:b/>
        </w:rPr>
      </w:pPr>
      <w:r>
        <w:rPr>
          <w:rFonts w:hint="eastAsia"/>
          <w:b/>
        </w:rPr>
        <w:t>若项目建设过程中需符合相关技术标准或规范文件的要求，请将相关文件作为附件列出。</w:t>
      </w:r>
    </w:p>
    <w:p w14:paraId="14EA6865">
      <w:pPr>
        <w:ind w:firstLine="482"/>
        <w:rPr>
          <w:rFonts w:hint="eastAsia"/>
        </w:rPr>
      </w:pPr>
      <w:r>
        <w:rPr>
          <w:rFonts w:hint="eastAsia"/>
          <w:b/>
        </w:rPr>
        <w:t>参考如下：</w:t>
      </w:r>
    </w:p>
    <w:p w14:paraId="10C51483">
      <w:pPr>
        <w:ind w:firstLine="0" w:firstLineChars="0"/>
        <w:rPr>
          <w:rFonts w:hint="eastAsia"/>
        </w:rPr>
      </w:pPr>
      <w:r>
        <w:rPr>
          <w:rFonts w:hint="eastAsia"/>
        </w:rPr>
        <w:t>1、</w:t>
      </w:r>
      <w:r>
        <w:t>《政务网络安全监测平台总体技术要求》</w:t>
      </w:r>
    </w:p>
    <w:p w14:paraId="5AEBEB60">
      <w:pPr>
        <w:ind w:firstLine="0" w:firstLineChars="0"/>
        <w:rPr>
          <w:rFonts w:hint="eastAsia"/>
        </w:rPr>
      </w:pPr>
      <w:r>
        <w:object>
          <v:shape id="_x0000_i1025" o:spt="75" type="#_x0000_t75" style="height:55pt;width:76.5pt;" o:ole="t" filled="f" o:preferrelative="t" stroked="f" coordsize="21600,21600">
            <v:path/>
            <v:fill on="f" focussize="0,0"/>
            <v:stroke on="f" joinstyle="miter"/>
            <v:imagedata r:id="rId16" o:title=""/>
            <o:lock v:ext="edit" aspectratio="t"/>
            <w10:wrap type="none"/>
            <w10:anchorlock/>
          </v:shape>
          <o:OLEObject Type="Embed" ProgID="Package" ShapeID="_x0000_i1025" DrawAspect="Icon" ObjectID="_1468075725" r:id="rId15">
            <o:LockedField>false</o:LockedField>
          </o:OLEObject>
        </w:object>
      </w:r>
    </w:p>
    <w:p w14:paraId="07BC605F">
      <w:pPr>
        <w:ind w:firstLine="0" w:firstLineChars="0"/>
        <w:rPr>
          <w:rFonts w:hint="eastAsia"/>
        </w:rPr>
      </w:pPr>
    </w:p>
    <w:p w14:paraId="37397438">
      <w:pPr>
        <w:ind w:firstLine="0" w:firstLineChars="0"/>
        <w:jc w:val="left"/>
        <w:rPr>
          <w:rFonts w:hint="eastAsia"/>
        </w:rPr>
      </w:pPr>
      <w:r>
        <w:rPr>
          <w:rFonts w:hint="eastAsia"/>
        </w:rPr>
        <w:t>2、《上海市电子政务外网建设和运行管理指南（试行）》</w:t>
      </w:r>
    </w:p>
    <w:p w14:paraId="637AD6A4">
      <w:pPr>
        <w:ind w:firstLine="0" w:firstLineChars="0"/>
        <w:jc w:val="left"/>
        <w:rPr>
          <w:rFonts w:hint="eastAsia"/>
        </w:rPr>
      </w:pPr>
      <w:r>
        <w:object>
          <v:shape id="_x0000_i1026" o:spt="75" type="#_x0000_t75" style="height:55pt;width:76.5pt;" o:ole="t" filled="f" o:preferrelative="t" stroked="f" coordsize="21600,21600">
            <v:path/>
            <v:fill on="f" focussize="0,0"/>
            <v:stroke on="f" joinstyle="miter"/>
            <v:imagedata r:id="rId18" o:title=""/>
            <o:lock v:ext="edit" aspectratio="t"/>
            <w10:wrap type="none"/>
            <w10:anchorlock/>
          </v:shape>
          <o:OLEObject Type="Embed" ProgID="Package" ShapeID="_x0000_i1026" DrawAspect="Icon" ObjectID="_1468075726" r:id="rId17">
            <o:LockedField>false</o:LockedField>
          </o:OLEObject>
        </w:object>
      </w:r>
    </w:p>
    <w:p w14:paraId="5EC8B935">
      <w:pPr>
        <w:ind w:firstLine="0" w:firstLineChars="0"/>
        <w:jc w:val="left"/>
        <w:rPr>
          <w:rFonts w:hint="eastAsia"/>
          <w:b/>
          <w:bCs/>
        </w:rPr>
      </w:pPr>
      <w:r>
        <w:rPr>
          <w:rFonts w:hint="eastAsia"/>
        </w:rPr>
        <w:t>3、其他标准</w:t>
      </w:r>
    </w:p>
    <w:sectPr>
      <w:footerReference r:id="rId11" w:type="first"/>
      <w:pgSz w:w="11906" w:h="16838"/>
      <w:pgMar w:top="1134" w:right="1797" w:bottom="1135" w:left="1797" w:header="340" w:footer="7" w:gutter="0"/>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swiss"/>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8AFD0">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14:paraId="2C43A1E3">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47584">
    <w:pPr>
      <w:rPr>
        <w:rFonts w:hint="eastAsia"/>
      </w:rPr>
    </w:pPr>
  </w:p>
  <w:p w14:paraId="50F88037">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91118">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BF8C6">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735A1FA1">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BF898">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5C3B1">
    <w:pPr>
      <w:rPr>
        <w:rFonts w:hint="eastAsia"/>
      </w:rPr>
    </w:pPr>
  </w:p>
  <w:p w14:paraId="401C96FF">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CD68">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B2B24131"/>
    <w:multiLevelType w:val="singleLevel"/>
    <w:tmpl w:val="B2B24131"/>
    <w:lvl w:ilvl="0" w:tentative="0">
      <w:start w:val="1"/>
      <w:numFmt w:val="decimal"/>
      <w:lvlText w:val="%1."/>
      <w:lvlJc w:val="left"/>
      <w:pPr>
        <w:tabs>
          <w:tab w:val="left" w:pos="312"/>
        </w:tabs>
      </w:pPr>
    </w:lvl>
  </w:abstractNum>
  <w:abstractNum w:abstractNumId="2">
    <w:nsid w:val="C2253F69"/>
    <w:multiLevelType w:val="singleLevel"/>
    <w:tmpl w:val="C2253F69"/>
    <w:lvl w:ilvl="0" w:tentative="0">
      <w:start w:val="1"/>
      <w:numFmt w:val="decimal"/>
      <w:lvlText w:val="%1."/>
      <w:lvlJc w:val="left"/>
      <w:pPr>
        <w:ind w:left="425" w:hanging="425"/>
      </w:pPr>
      <w:rPr>
        <w:rFonts w:hint="default"/>
      </w:rPr>
    </w:lvl>
  </w:abstractNum>
  <w:abstractNum w:abstractNumId="3">
    <w:nsid w:val="CE8DD88E"/>
    <w:multiLevelType w:val="singleLevel"/>
    <w:tmpl w:val="CE8DD88E"/>
    <w:lvl w:ilvl="0" w:tentative="0">
      <w:start w:val="1"/>
      <w:numFmt w:val="decimal"/>
      <w:suff w:val="nothing"/>
      <w:lvlText w:val="%1）"/>
      <w:lvlJc w:val="left"/>
    </w:lvl>
  </w:abstractNum>
  <w:abstractNum w:abstractNumId="4">
    <w:nsid w:val="ED239CED"/>
    <w:multiLevelType w:val="singleLevel"/>
    <w:tmpl w:val="ED239CED"/>
    <w:lvl w:ilvl="0" w:tentative="0">
      <w:start w:val="1"/>
      <w:numFmt w:val="chineseCounting"/>
      <w:suff w:val="nothing"/>
      <w:lvlText w:val="（%1）"/>
      <w:lvlJc w:val="left"/>
      <w:pPr>
        <w:ind w:left="0" w:firstLine="420"/>
      </w:pPr>
      <w:rPr>
        <w:rFonts w:hint="eastAsia"/>
      </w:rPr>
    </w:lvl>
  </w:abstractNum>
  <w:abstractNum w:abstractNumId="5">
    <w:nsid w:val="F9C602C8"/>
    <w:multiLevelType w:val="singleLevel"/>
    <w:tmpl w:val="F9C602C8"/>
    <w:lvl w:ilvl="0" w:tentative="0">
      <w:start w:val="1"/>
      <w:numFmt w:val="decimal"/>
      <w:lvlText w:val="%1."/>
      <w:lvlJc w:val="left"/>
      <w:pPr>
        <w:tabs>
          <w:tab w:val="left" w:pos="312"/>
        </w:tabs>
      </w:pPr>
    </w:lvl>
  </w:abstractNum>
  <w:abstractNum w:abstractNumId="6">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7"/>
  </w:num>
  <w:num w:numId="2">
    <w:abstractNumId w:val="6"/>
  </w:num>
  <w:num w:numId="3">
    <w:abstractNumId w:val="4"/>
  </w:num>
  <w:num w:numId="4">
    <w:abstractNumId w:val="5"/>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0MGM4NDE3YWFlMzA0MWViNTY0Yjg0OThlOTIyYjU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029"/>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5735"/>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47119"/>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966B4"/>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2F9C"/>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0C30"/>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7F1"/>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C9D"/>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0C58"/>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27010"/>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2730C"/>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B540A"/>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12D9"/>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6B7C"/>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6B36"/>
    <w:rsid w:val="00EE742D"/>
    <w:rsid w:val="00EF0A22"/>
    <w:rsid w:val="00EF1267"/>
    <w:rsid w:val="00EF180C"/>
    <w:rsid w:val="00EF3B6B"/>
    <w:rsid w:val="00EF4047"/>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4E56"/>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430854"/>
    <w:rsid w:val="039F5FA6"/>
    <w:rsid w:val="09305ADA"/>
    <w:rsid w:val="0E8013B7"/>
    <w:rsid w:val="0FC629BF"/>
    <w:rsid w:val="10D604C6"/>
    <w:rsid w:val="11B515E0"/>
    <w:rsid w:val="12BD7917"/>
    <w:rsid w:val="13A53267"/>
    <w:rsid w:val="13F970D2"/>
    <w:rsid w:val="14AA4136"/>
    <w:rsid w:val="163A420B"/>
    <w:rsid w:val="17A56EDE"/>
    <w:rsid w:val="18724E23"/>
    <w:rsid w:val="19413B26"/>
    <w:rsid w:val="1A93529E"/>
    <w:rsid w:val="1C6D3688"/>
    <w:rsid w:val="1CC63D0A"/>
    <w:rsid w:val="1DC2081A"/>
    <w:rsid w:val="1DD94266"/>
    <w:rsid w:val="1F9D0947"/>
    <w:rsid w:val="1FFB29C6"/>
    <w:rsid w:val="20952404"/>
    <w:rsid w:val="22AF3620"/>
    <w:rsid w:val="22E70AD4"/>
    <w:rsid w:val="248A07E7"/>
    <w:rsid w:val="24F1508D"/>
    <w:rsid w:val="266F634F"/>
    <w:rsid w:val="28650375"/>
    <w:rsid w:val="291059EA"/>
    <w:rsid w:val="2B8541FC"/>
    <w:rsid w:val="2BBF12EC"/>
    <w:rsid w:val="2BC649D9"/>
    <w:rsid w:val="3515160D"/>
    <w:rsid w:val="373F5B16"/>
    <w:rsid w:val="3B023801"/>
    <w:rsid w:val="3BE81FCD"/>
    <w:rsid w:val="3C7D00D8"/>
    <w:rsid w:val="3CA06C0C"/>
    <w:rsid w:val="3D6D19B5"/>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FAF09C4"/>
    <w:rsid w:val="5FC64F29"/>
    <w:rsid w:val="608C4642"/>
    <w:rsid w:val="62795572"/>
    <w:rsid w:val="64DD6417"/>
    <w:rsid w:val="66004745"/>
    <w:rsid w:val="695747C6"/>
    <w:rsid w:val="6A567F20"/>
    <w:rsid w:val="6CD97953"/>
    <w:rsid w:val="6ED30FD7"/>
    <w:rsid w:val="6F2F7D3D"/>
    <w:rsid w:val="70FECE3B"/>
    <w:rsid w:val="727D78FD"/>
    <w:rsid w:val="72E2556D"/>
    <w:rsid w:val="73CC655F"/>
    <w:rsid w:val="75957445"/>
    <w:rsid w:val="75CF7E31"/>
    <w:rsid w:val="75D01AE1"/>
    <w:rsid w:val="77324189"/>
    <w:rsid w:val="77524363"/>
    <w:rsid w:val="775B6BE8"/>
    <w:rsid w:val="77B917B5"/>
    <w:rsid w:val="77F8E453"/>
    <w:rsid w:val="78703975"/>
    <w:rsid w:val="78BA4B81"/>
    <w:rsid w:val="79AA36F4"/>
    <w:rsid w:val="7B3EA784"/>
    <w:rsid w:val="7BE420FD"/>
    <w:rsid w:val="7D0D296B"/>
    <w:rsid w:val="7D4E0B54"/>
    <w:rsid w:val="7D503E78"/>
    <w:rsid w:val="7E0160D4"/>
    <w:rsid w:val="7FD58802"/>
    <w:rsid w:val="BF68738F"/>
    <w:rsid w:val="E57F0347"/>
    <w:rsid w:val="F3DABE0E"/>
    <w:rsid w:val="F5CF7D1E"/>
    <w:rsid w:val="F6F38997"/>
    <w:rsid w:val="FBEFE066"/>
    <w:rsid w:val="FFEF5125"/>
    <w:rsid w:val="FFFF6506"/>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表格内容"/>
    <w:qFormat/>
    <w:uiPriority w:val="0"/>
    <w:pPr>
      <w:spacing w:line="276" w:lineRule="auto"/>
    </w:pPr>
    <w:rPr>
      <w:rFonts w:ascii="Calibri" w:hAnsi="Calibri" w:eastAsia="宋体" w:cs="Times New Roman"/>
      <w:szCs w:val="24"/>
      <w:lang w:val="en-US" w:eastAsia="zh-CN" w:bidi="ar-SA"/>
    </w:rPr>
  </w:style>
  <w:style w:type="paragraph" w:customStyle="1" w:styleId="135">
    <w:name w:val="表"/>
    <w:basedOn w:val="1"/>
    <w:qFormat/>
    <w:uiPriority w:val="0"/>
    <w:pPr>
      <w:spacing w:line="312" w:lineRule="auto"/>
      <w:ind w:firstLine="0" w:firstLineChars="0"/>
    </w:pPr>
    <w:rPr>
      <w:rFonts w:ascii="Calibri" w:hAnsi="Calibri" w:eastAsia="仿宋" w:cs="宋体"/>
      <w:kern w:val="0"/>
      <w:sz w:val="21"/>
      <w:szCs w:val="22"/>
    </w:rPr>
  </w:style>
  <w:style w:type="paragraph" w:customStyle="1" w:styleId="136">
    <w:name w:val="可研正文"/>
    <w:basedOn w:val="1"/>
    <w:qFormat/>
    <w:uiPriority w:val="0"/>
    <w:pPr>
      <w:ind w:firstLine="200"/>
    </w:pPr>
    <w:rPr>
      <w:rFonts w:ascii="仿宋" w:hAnsi="仿宋"/>
      <w:szCs w:val="28"/>
    </w:rPr>
  </w:style>
  <w:style w:type="paragraph" w:customStyle="1" w:styleId="137">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Version="6" SelectedStyle="\APASixthEditionOfficeOnline.xsl"/>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7e5932bc-d1d3-4e05-b712-14f41891bf90</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63A111AA</paraID>
      <start xmlns="http://schemas.wps.cn/vas-ai-hub/contract-review">148</start>
      <end xmlns="http://schemas.wps.cn/vas-ai-hub/contract-review">152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99fd1c3a-7016-4543-a8b1-376ac1799ae2</errorID>
      <errorWord xmlns="http://schemas.wps.cn/vas-ai-hub/contract-review">打拥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打通</item>
      </candidateList>
      <explain xmlns="http://schemas.wps.cn/vas-ai-hub/contract-review">存在发音相近字词的误用。</explain>
      <paraID xmlns="http://schemas.wps.cn/vas-ai-hub/contract-review">7157640A</paraID>
      <start xmlns="http://schemas.wps.cn/vas-ai-hub/contract-review">23</start>
      <end xmlns="http://schemas.wps.cn/vas-ai-hub/contract-review">25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dab1d984-0b81-4553-85bf-9f8648180134</errorID>
      <errorWord xmlns="http://schemas.wps.cn/vas-ai-hub/contract-review">该大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item>
      </candidateList>
      <explain xmlns="http://schemas.wps.cn/vas-ai-hub/contract-review">（該）ɡāi同“赅”。</explain>
      <paraID xmlns="http://schemas.wps.cn/vas-ai-hub/contract-review">65AE32B9</paraID>
      <start xmlns="http://schemas.wps.cn/vas-ai-hub/contract-review">59</start>
      <end xmlns="http://schemas.wps.cn/vas-ai-hub/contract-review">61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0c76b844-2157-4715-932d-f3e15e8528ab</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66DCE1C2</paraID>
      <start xmlns="http://schemas.wps.cn/vas-ai-hub/contract-review">59</start>
      <end xmlns="http://schemas.wps.cn/vas-ai-hub/contract-review">63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cdd1ed35-099c-40da-8712-3f4976b8bcd9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66DCE1C2</paraID>
      <start xmlns="http://schemas.wps.cn/vas-ai-hub/contract-review">91</start>
      <end xmlns="http://schemas.wps.cn/vas-ai-hub/contract-review">94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6b299f3f-ee7a-44fb-868c-02b1779c54c3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66DCE1C2</paraID>
      <start xmlns="http://schemas.wps.cn/vas-ai-hub/contract-review">97</start>
      <end xmlns="http://schemas.wps.cn/vas-ai-hub/contract-review">100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13b1ff95-7c87-466d-96f3-de04b86ef8f0</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7D23D030</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44b4c970-2755-4d19-b19c-0d24e84a33fc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57540D17</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6b0bea49-31d6-4573-9112-0494b8643659</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4AFC7AF9</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8095affb-3253-482f-a559-19e4175a0155</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53068C08</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735da909-c731-4d3c-8cf1-c3130c092780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3D36E620</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5c08c3b2-c15b-4475-8f3e-613be134e2d4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7E271D95</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9397b3b3-ca88-471f-ba79-a5c7637a8a8a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7E271D95</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ca86576d-d1d5-403d-a3a5-576dceaf3330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3815FE4</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def54b22-d929-4942-b428-c0eadcec669f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3815FE4</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50a504aa-c486-4cf8-9115-a7ee039b0715</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15484DE6</paraID>
      <start xmlns="http://schemas.wps.cn/vas-ai-hub/contract-review">1</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6f9a8430-f742-4c69-8bc8-010657a90335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B983CD0</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70c71e9b-0341-4bb0-a777-be947a13ff3e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4BB648A1</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6f942f5d-fb5d-4205-a3a0-01fcbb6c1d07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2B0D313E</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1508a760-bafe-4e58-857d-06a85b6b608f</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2B0D313E</paraID>
      <start xmlns="http://schemas.wps.cn/vas-ai-hub/contract-review">35</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01129db3-a09f-4c6b-a5d5-b3380f5bb206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7EE8B9F4</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2a7746c6-9b8f-4d77-893e-bc67ebb7d3d3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DB6A5E2</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b63a1486-526e-4071-a479-b53b048c2971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DB6A5E2</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5e06a42d-e068-4cb7-9ad0-f046dbb43817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7B403848</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c97b2e89-0315-4c85-8940-b782c6ee1733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7B403848</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e27aab50-ce29-4aab-9dfa-d32b6fce724f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3D5B51C8</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5fef8600-5fba-4ed1-8eda-dfb6b45145bb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3D5B51C8</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9fa381f6-53ff-42ce-9cbe-aad2808414e7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1C493E2</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c1617231-15e9-48c7-95a1-2919f7b0acf3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1C493E2</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d1c72496-035a-4e87-9bf2-fe19038916a4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1C493E2</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d56c3499-3042-4f2b-97e0-33bce40a7483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218F4617</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dcf9632f-1ac0-477c-9985-3ec84e0f2152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218F4617</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d13c8315-c4f1-4e70-8bde-64559bde4d34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59D0B3D3</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57527e7b-3be5-4a97-824e-640a203ef3a1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59D0B3D3</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5061f2f2-c0ad-4245-8bb8-5239da8ab457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59D0B3D3</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eaef225d-1e04-4542-8817-fe6225f12af6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684A442B</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20f2d787-d111-4675-b162-488938990aed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684A442B</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6d738312-c9da-403e-bfb5-639f0f50a3b3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329E8ADD</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5882ea74-8b4f-4738-b026-e91e097c13a6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329E8ADD</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1aba2e6f-a511-46eb-9f73-5a9ee0420cc8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18E2B3AE</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c494ae27-ce08-4364-b55c-8dca412e1a2e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18E2B3AE</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53eb7c82-b83e-4044-ab6a-54d904444ffb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33841915</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18b063a0-21b1-480e-800a-ca66a61fcbce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33841915</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b5fa1be7-7e06-45bb-a629-15e1c6c8f95f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33841915</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e50a9b5d-4542-4713-9101-68b450fb2407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6081A883</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f3354545-5c41-4eb4-a723-c448bd0a95c9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6081A883</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9d420964-6f28-4445-a479-bc51048b3211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38EC292</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098e27b7-3452-4a8a-9907-c158971f6c88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38EC292</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02b971bf-aebf-480b-9cef-7e0b299d6b1c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38EC292</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6c14e453-8994-4bc6-bb0c-6b4965e01d8b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16CB08D3</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9f534203-8bc6-41e3-86e8-515054409324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69B2546B</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f5b65b76-365f-44e8-9e8c-be073486e1b7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69B2546B</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53347d65-601b-4bcb-adae-52530490c218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795D7851</paraID>
      <start xmlns="http://schemas.wps.cn/vas-ai-hub/contract-review">183</start>
      <end xmlns="http://schemas.wps.cn/vas-ai-hub/contract-review">184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b3dcd166-97e5-44a3-9f16-53a3cf9590b0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F9480E4</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df0513de-e24c-409f-878d-96831c90c1cd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F9480E4</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a36ea848-0919-4d6d-a6ce-161e91c131c1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4F216EB6</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24e1ef35-08f9-4d41-b84a-1be7d43445fe</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4F216EB6</paraID>
      <start xmlns="http://schemas.wps.cn/vas-ai-hub/contract-review">49</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1cbeed60-e37b-44c6-be08-e6eaaec96faa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4F216EB6</paraID>
      <start xmlns="http://schemas.wps.cn/vas-ai-hub/contract-review">97</start>
      <end xmlns="http://schemas.wps.cn/vas-ai-hub/contract-review">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f3d96730-3346-41b5-bbe2-4b7b9dcf0ea4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13DBEC31</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78c73977-c8fe-45bc-9e38-b54591a60985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13DBEC31</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927a139a-7ea2-4336-b03d-53548549d4db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744C7CD2</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0656c83b-f79e-43a9-b889-959c735dc573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744C7CD2</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db6f2220-bc20-44dd-ad21-a57cc54c018b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38ADBFD4</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72c8996c-403f-4573-927c-49dfc36f5973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38ADBFD4</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e8cc9a81-c6cd-4b59-9ce2-a2d32834afc6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6B0AE42B</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45881a8b-e33c-4a14-8559-a9d54ca1f4a1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6B0AE42B</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9a26bb72-6ed1-4309-b2db-5a9d8b476ff9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576E7DFF</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10f71e87-12d8-488d-99a5-d40ce572f641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576E7DFF</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214ac149-0e57-41fa-9d4f-2c60c8efc21d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53823DF</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1ad11916-e4df-4e5d-8676-2c37e22231de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53823DF</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d8dd22d9-2e63-4c39-a42b-0e8e69de35e1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55C4D44A</paraID>
      <start xmlns="http://schemas.wps.cn/vas-ai-hub/contract-review">166</start>
      <end xmlns="http://schemas.wps.cn/vas-ai-hub/contract-review">167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3a04fa9f-70a5-43ce-8139-247fd7d6bdf3</errorID>
      <errorWord xmlns="http://schemas.wps.cn/vas-ai-hub/contract-review">社会统一信用代码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55C4D44A</paraID>
      <start xmlns="http://schemas.wps.cn/vas-ai-hub/contract-review">187</start>
      <end xmlns="http://schemas.wps.cn/vas-ai-hub/contract-review">195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1e0b087c-7f58-429d-b040-e38860722dd6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14014EB8</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8786a427-b9cb-46d4-be63-7b5f0931ae3d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14014EB8</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9661e33e-56b1-480a-a380-43fd00290faa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4A73C342</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b20f903c-8a05-4aad-aed8-9eb6bbd6f674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4A73C342</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07d4640c-7ed8-4abc-b718-79414981d182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18157725</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cbaced7d-037f-451c-93f6-960b2c1efe7c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18157725</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42177252-1a11-43cc-81cf-a90477253707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1324EAE9</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1e02c668-ebd0-43ba-a88d-c2e1c3d697f6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1324EAE9</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c7db0079-87c3-4be1-8880-22d6ddc14436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1A2EDB8B</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d9ccdb43-63a8-439b-811b-60e7bcf739b0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1A2EDB8B</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c88b6309-d724-4724-bbd7-6f9470e1dee6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648CC61B</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bab3dfc9-f1c5-49a8-b41c-475292eda9c1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648CC61B</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11cf7231-92a0-4ec8-826d-846b01716915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92BFF10</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af5d1f2e-f3a1-4412-a81e-01955ec1d3de</errorID>
      <errorWord xmlns="http://schemas.wps.cn/vas-ai-hub/contract-review">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其</item>
      </candidateList>
      <explain xmlns="http://schemas.wps.cn/vas-ai-hub/contract-review">词缀：极～｜尤～｜如～。</explain>
      <paraID xmlns="http://schemas.wps.cn/vas-ai-hub/contract-review">77E4BB16</paraID>
      <start xmlns="http://schemas.wps.cn/vas-ai-hub/contract-review">81</start>
      <end xmlns="http://schemas.wps.cn/vas-ai-hub/contract-review">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9a910713-a365-4562-86c6-09014b82cc9c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1A932AFE</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7104f838-13fa-4c65-96ad-6c5c07bbcf0f</errorID>
      <errorWord xmlns="http://schemas.wps.cn/vas-ai-hub/contract-review">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期内</item>
      </candidateList>
      <explain xmlns="http://schemas.wps.cn/vas-ai-hub/contract-review"/>
      <paraID xmlns="http://schemas.wps.cn/vas-ai-hub/contract-review">1AE50F6B</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2cc492c3-f621-4cb9-b773-292427fc4844</errorID>
      <errorWord xmlns="http://schemas.wps.cn/vas-ai-hub/contract-review">合规性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合规</item>
      </candidateList>
      <explain xmlns="http://schemas.wps.cn/vas-ai-hub/contract-review"/>
      <paraID xmlns="http://schemas.wps.cn/vas-ai-hub/contract-review">1AE50F6B</paraID>
      <start xmlns="http://schemas.wps.cn/vas-ai-hub/contract-review">49</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f224b4e6-5198-47b2-9afd-cf3d521229b6</errorID>
      <errorWord xmlns="http://schemas.wps.cn/vas-ai-hub/contract-review">合理性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合理</item>
      </candidateList>
      <explain xmlns="http://schemas.wps.cn/vas-ai-hub/contract-review"/>
      <paraID xmlns="http://schemas.wps.cn/vas-ai-hub/contract-review">1AE50F6B</paraID>
      <start xmlns="http://schemas.wps.cn/vas-ai-hub/contract-review">59</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4de3942d-babe-4040-8621-236263f92d28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29AAC70D</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6fc1a148-af29-4f2e-b28a-ea080cbbab61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，运</item>
      </candidateList>
      <explain xmlns="http://schemas.wps.cn/vas-ai-hub/contract-review"/>
      <paraID xmlns="http://schemas.wps.cn/vas-ai-hub/contract-review">17A2FEB0</paraID>
      <start xmlns="http://schemas.wps.cn/vas-ai-hub/contract-review">224</start>
      <end xmlns="http://schemas.wps.cn/vas-ai-hub/contract-review">226</end>
      <status xmlns="http://schemas.wps.cn/vas-ai-hub/contract-review">modified</status>
      <modifiedWord xmlns="http://schemas.wps.cn/vas-ai-hub/contract-review">，运</modifiedWord>
      <trackRevisions xmlns="http://schemas.wps.cn/vas-ai-hub/contract-review">false</trackRevisions>
    </reviewItem>
    <reviewItem xmlns="http://schemas.wps.cn/vas-ai-hub/contract-review">
      <errorID xmlns="http://schemas.wps.cn/vas-ai-hub/contract-review">4687185c-2a5e-40f2-96c8-94a149d15101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2C5E2CC1</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ca98c1e8-826c-4138-a88f-3bd12e23f573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4CE12827</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82b5d12d-6664-483f-97df-a61bee932e6e</errorID>
      <errorWord xmlns="http://schemas.wps.cn/vas-ai-hub/contract-review">括</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括但</item>
      </candidateList>
      <explain xmlns="http://schemas.wps.cn/vas-ai-hub/contract-review"/>
      <paraID xmlns="http://schemas.wps.cn/vas-ai-hub/contract-review">74CE3702</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ddb94a57-38d7-4464-a677-5ee2fdbd4e7e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74CE3702</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4db1e67e-fd3c-4232-ba58-5e4eb76446da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3AB3A55A</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1a119ae7-667b-4a9a-bc93-140ae144abb7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169F3E7C</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2bbb34b4-58dd-4eab-a77c-60d0ab950d14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5486BD0E</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cff0524d-3e32-4992-b09e-00c6f1dd62e0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484A5EA</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ff36be51-c1b8-4435-a4ea-570d0ba7397a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484A5EA</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85067585-be0f-4f07-8536-855b56ec8c8b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484A5EA</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9346615b-bfa6-4f73-9e18-be1977ea820b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EF6E786</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af2e7891-1004-472b-a1b1-64f90f5d4e12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EF6E786</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8c7e8bc8-8e96-4a5a-a9d4-eb4ed987f398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EF6E786</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d14ddcb3-ba4d-43a2-ba8d-74fa108b9d2c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5EE76E84</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d8497af7-4339-45fc-bf83-3b16e9294f05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5EE76E84</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36dfc7b4-f18c-478a-bb23-c9d4265d2f9e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7479067A</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345ea9ee-0895-40a7-962c-ac65ea6a46a9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7479067A</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4eee6c16-7002-4006-be1e-5b1d1050b664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7479067A</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a33467fe-e833-4445-893d-ec04d5b5766f</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61FA7566</paraID>
      <start xmlns="http://schemas.wps.cn/vas-ai-hub/contract-review">43</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989b62eb-dcda-4f32-83db-1815ecf3f397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23D25D90</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efb77ee9-9765-4dd3-a500-8ff6278894bf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23D25D90</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365593b7-e1cc-4135-a42e-919db842a3be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742AC8F9</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244c8d4c-3a7f-4662-b49f-ae6907e897dc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742AC8F9</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a3c213a9-34e7-4b2c-8a1e-26546c51bbf1</errorID>
      <errorWord xmlns="http://schemas.wps.cn/vas-ai-hub/contract-review">接受单位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接收单位</item>
      </candidateList>
      <explain xmlns="http://schemas.wps.cn/vas-ai-hub/contract-review"/>
      <paraID xmlns="http://schemas.wps.cn/vas-ai-hub/contract-review">286CEE2C</paraID>
      <start xmlns="http://schemas.wps.cn/vas-ai-hub/contract-review">34</start>
      <end xmlns="http://schemas.wps.cn/vas-ai-hub/contract-review">38</end>
      <status xmlns="http://schemas.wps.cn/vas-ai-hub/contract-review">modified</status>
      <modifiedWord xmlns="http://schemas.wps.cn/vas-ai-hub/contract-review">接收单位</modifiedWord>
      <trackRevisions xmlns="http://schemas.wps.cn/vas-ai-hub/contract-review">false</trackRevisions>
    </reviewItem>
    <reviewItem xmlns="http://schemas.wps.cn/vas-ai-hub/contract-review">
      <errorID xmlns="http://schemas.wps.cn/vas-ai-hub/contract-review">eafb1e85-6ba9-41a0-9674-9c7e10a83e8a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1E5397F5</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28055d31-e74d-4ded-b16e-ec7071ad1ff4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1E5397F5</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8184745b-6973-423f-993a-dda424978658</errorID>
      <errorWord xmlns="http://schemas.wps.cn/vas-ai-hub/contract-review">模版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模板</item>
      </candidateList>
      <explain xmlns="http://schemas.wps.cn/vas-ai-hub/contract-review">&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 xmlns="http://schemas.wps.cn/vas-ai-hub/contract-review"> 7F959B7</paraID>
      <start xmlns="http://schemas.wps.cn/vas-ai-hub/contract-review">4</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02906153-0e13-406a-8f64-a76fdc5cf61f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604DAABE</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cb934346-ca2b-4eef-a958-f34d2f937a1c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604DAABE</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74484c97-209c-4425-9c82-af23a40f375f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6170F218</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2f898862-f6d1-41b3-ac50-3263bec93372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6170F218</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bb1e398a-d3cb-4e6b-ac73-664afb252624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68A71D8A</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933691b9-e291-4b78-a074-8895c1ece119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68A71D8A</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150e5427-bdf4-4aff-876b-c04b46fbea93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50DA5DDD</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6cf31f92-c89f-4875-b7cd-1a798c1015a6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50DA5DDD</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e4370d55-c1e0-433a-b248-794ecc16bd92</errorID>
      <errorWord xmlns="http://schemas.wps.cn/vas-ai-hub/contract-review">况</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况和</item>
      </candidateList>
      <explain xmlns="http://schemas.wps.cn/vas-ai-hub/contract-review"/>
      <paraID xmlns="http://schemas.wps.cn/vas-ai-hub/contract-review">644FB55C</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3675129d-35f7-497c-a5a8-399c16368d54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3F80C4E4</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eee0b849-398b-4d38-bddf-d1210d83e88f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3F80C4E4</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b4709807-f994-4ebe-bb62-4a65655f61cf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4A4E3AA9</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1055b126-271e-4fd2-b96e-5103aabbf703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4A4E3AA9</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e8d3c1df-4825-4b6c-a369-7298224c97e7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45DA3E9E</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d00c15d0-4118-4922-b299-fe7ef6ce8357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45DA3E9E</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9b714cfc-b65f-4f9a-9a18-7bdaf3fbb6ef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50C477F7</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d056cf49-25bb-4bf2-b362-5af8563012c4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50C477F7</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88016545-ea81-44b8-b00f-e83034ae0727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4FDF6CE8</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933f7ad3-a823-4def-aed6-31ee7f92d209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70871910</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1caa8dc9-4d41-4231-8ffb-72a384fec3dc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70871910</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431d26cb-2bb3-4d38-83d0-a7f3bf9f1b44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7A223B9E</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c7dbcfdf-d444-4251-8514-208de534ab4d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7A223B9E</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969330d9-b0f3-4d10-9a0a-8666de6a3ff1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47CCB91E</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4b054f3f-ad79-4089-be1d-adc67fd53959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47CCB91E</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1f18aaaa-80e7-44ff-b48f-14d4d46828a1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7B75F058</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e47e9308-a13d-415e-ada3-fc39f5c36568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7B75F058</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162b4880-a9ed-4253-a2b0-8be83ede7508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7B75F058</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79dc59ca-febf-4229-8af7-9ff772e0505c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7B75F058</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ed7d0695-e8b3-4423-b348-d875a7325949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686EE78</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240a0196-ebf0-495e-b030-8239ae2fac55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686EE78</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b7f11a5d-11f9-4f63-8f57-0cb1043d7e5d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6C141A3D</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46161384-92af-454f-8e87-48216953e09d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6C141A3D</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fbad7f83-f01e-4218-b29b-d6026e099449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3898B218</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90688a0a-738b-40d1-834b-276225fd31d2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3898B218</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67434ea4-ff9b-4894-a13b-501a3e4328ef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683D74FA</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8d5138fb-7977-4674-81a4-3116799c02f0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683D74FA</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864e5fd8-fa40-4378-acc1-f88a06ab2780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507BF448</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99d9ef23-4bdb-43ad-bcae-126d93a4913e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507BF448</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9eb87662-62ab-44a9-9695-a0cff45ea8c1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6C3C70B6</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7fbe093a-a8d5-4bea-aa9d-3bf79ef2a584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6C3C70B6</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245e3a94-84de-43a1-adb8-3ab94e8ff0d7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31B65711</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b12f6ff1-8300-4d81-8af8-71422d17dbb6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31B65711</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8c54dba0-282c-4332-8f27-b5fb9e7ccefc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38942B69</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9028b931-6ef1-4749-b8d3-6c69b5b54907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38942B69</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b3e68835-400f-4213-b41b-51c53cee9a18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10916999</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18680887-62a6-4f65-9460-97808fdb164f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10916999</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5deee012-0605-42e2-83ab-08df9b0f8b92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1505855A</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6e089ed0-50de-49ae-a497-09096c7f55da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1505855A</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1cb84af3-5b49-4ac1-98c3-987264061585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663DD0DC</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288fedfd-348a-48f4-9784-6fd3068739d8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663DD0DC</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363638a5-51b6-4c33-b1da-c1e2c7d200b4</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6C82667B</paraID>
      <start xmlns="http://schemas.wps.cn/vas-ai-hub/contract-review">3</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2bfa6781-5e45-4eab-ac01-c67378eac1ce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1DD6FE09</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8ce5846f-467d-46de-a679-bd62672cbaa2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1DD6FE09</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634ba62f-eff0-4ff8-98e3-a03b7f5ec191</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1DD6FE09</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671ffe87-e8ea-4849-acf5-8bc97ef70ed8</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5BDC71D7</paraID>
      <start xmlns="http://schemas.wps.cn/vas-ai-hub/contract-review">2</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da625066-afcf-4ef0-bd8f-058328f0ccca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1F999D3C</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8dc39df1-a97c-4067-a424-d609abd3b355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1F999D3C</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87d18ee5-45d0-43b8-bb26-12b8e07fc5c2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1F999D3C</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556792f3-9016-4bc4-a988-f4e99b6f2d24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3AE7B5B6</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f9ebc87e-a3a6-4869-8876-f5d4c66b8838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3AE7B5B6</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daec6175-bf9f-475f-a2c8-21e0591f306f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71BB7D80</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5715d55d-a22e-4401-a315-bce46a7987fc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71BB7D80</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53f25828-b5da-453b-b9f2-9beb592fd863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62A7D973</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7959a24a-9d04-44cc-abc8-748c8c0eb50f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62A7D973</paraID>
      <start xmlns="http://schemas.wps.cn/vas-ai-hub/contract-review">34</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936cc46f-6f05-4d8e-ae80-f8e5fad50d3f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8E391D1</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8d7cac88-a420-47f4-be17-f32a0a38a5cc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8E391D1</paraID>
      <start xmlns="http://schemas.wps.cn/vas-ai-hub/contract-review">34</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0cfac9c2-cbbb-4f35-8ae6-fe9f4250bbba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34C20016</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543b7106-c912-47ae-b586-04e5c3721c3b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34C20016</paraID>
      <start xmlns="http://schemas.wps.cn/vas-ai-hub/contract-review">34</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7dfbf322-fcfd-4fba-a246-8cffb89cbb23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7D954F0D</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36eec968-1854-4030-8c04-acbcd152bdd9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7D954F0D</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bf07f5d9-78ae-4935-b468-68b84a694119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18C33256</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51942623-04c6-4465-bfd8-ef2d2be128ec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18C33256</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f298a80b-2395-40b1-a3fb-46c25b369563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680EB921</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87c1c9f7-9823-497b-9e50-deb719808718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680EB921</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ce7ec08c-ecc4-4f3c-b559-b59e8d7658ce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EAE7960</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6d4e4d74-0ec2-4b26-a685-4092e0be6b10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2176BD75</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0b8f0701-913b-40be-87d7-7c94eb0209b7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C6E28AD</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b74c6d43-5752-4c35-a1c6-8a0bec334f30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48330C66</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3c4316e9-8c2a-48e7-b345-1fd1c4483dfc</errorID>
      <errorWord xmlns="http://schemas.wps.cn/vas-ai-hub/contract-review">信息信息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信息</item>
      </candidateList>
      <explain xmlns="http://schemas.wps.cn/vas-ai-hub/contract-review"/>
      <paraID xmlns="http://schemas.wps.cn/vas-ai-hub/contract-review">48330C66</paraID>
      <start xmlns="http://schemas.wps.cn/vas-ai-hub/contract-review">30</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9e77dcdf-2792-4a61-b2f4-2b341cf9236a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2FC6DE63</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add2b354-75c0-4448-bc50-d312542d9bee</errorID>
      <errorWord xmlns="http://schemas.wps.cn/vas-ai-hub/contract-review">上海市生环局</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上海市生态环境局</item>
      </candidateList>
      <explain xmlns="http://schemas.wps.cn/vas-ai-hub/contract-review">机关单位全简称表述错误</explain>
      <paraID xmlns="http://schemas.wps.cn/vas-ai-hub/contract-review">7B4E5354</paraID>
      <start xmlns="http://schemas.wps.cn/vas-ai-hub/contract-review">2</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eb8b6902-7725-405f-a07c-3400a9931d68</errorID>
      <errorWord xmlns="http://schemas.wps.cn/vas-ai-hub/contract-review">上海市生环局</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上海市生态环境局</item>
      </candidateList>
      <explain xmlns="http://schemas.wps.cn/vas-ai-hub/contract-review">机关单位全简称表述错误</explain>
      <paraID xmlns="http://schemas.wps.cn/vas-ai-hub/contract-review">7B4E5354</paraID>
      <start xmlns="http://schemas.wps.cn/vas-ai-hub/contract-review">18</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ce551b60-bb90-4ab2-9f56-babcee0d749b</errorID>
      <errorWord xmlns="http://schemas.wps.cn/vas-ai-hub/contract-review">上海市生环局</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上海市生态环境局</item>
      </candidateList>
      <explain xmlns="http://schemas.wps.cn/vas-ai-hub/contract-review">机关单位全简称表述错误</explain>
      <paraID xmlns="http://schemas.wps.cn/vas-ai-hub/contract-review">7B4E5354</paraID>
      <start xmlns="http://schemas.wps.cn/vas-ai-hub/contract-review">65</start>
      <end xmlns="http://schemas.wps.cn/vas-ai-hub/contract-review">71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f84da711-0ec3-4f4a-9af0-217e0f94eee2</errorID>
      <errorWord xmlns="http://schemas.wps.cn/vas-ai-hub/contract-review">上海市生环局</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上海市生态环境局</item>
      </candidateList>
      <explain xmlns="http://schemas.wps.cn/vas-ai-hub/contract-review">机关单位全简称表述错误</explain>
      <paraID xmlns="http://schemas.wps.cn/vas-ai-hub/contract-review">7B4E5354</paraID>
      <start xmlns="http://schemas.wps.cn/vas-ai-hub/contract-review">112</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68f239e0-1315-4743-9e73-7cc100612130</errorID>
      <errorWord xmlns="http://schemas.wps.cn/vas-ai-hub/contract-review">上海市生环局</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上海市生态环境局</item>
      </candidateList>
      <explain xmlns="http://schemas.wps.cn/vas-ai-hub/contract-review">机关单位全简称表述错误</explain>
      <paraID xmlns="http://schemas.wps.cn/vas-ai-hub/contract-review">7B4E5354</paraID>
      <start xmlns="http://schemas.wps.cn/vas-ai-hub/contract-review">154</start>
      <end xmlns="http://schemas.wps.cn/vas-ai-hub/contract-review">160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1643998a-b38b-4558-b749-d3de09e9f7b9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5418E497</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205b5433-90c0-49e5-9afd-cd1587a98773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7A64DB7E</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a784762c-c601-4f1e-a04c-4745e17603f4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7A64DB7E</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ede87e25-c48e-487f-904e-ad52a51bb717</errorID>
      <errorWord xmlns="http://schemas.wps.cn/vas-ai-hub/contract-review">系统故障应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系统故障</item>
      </candidateList>
      <explain xmlns="http://schemas.wps.cn/vas-ai-hub/contract-review"/>
      <paraID xmlns="http://schemas.wps.cn/vas-ai-hub/contract-review">5DDD9FB8</paraID>
      <start xmlns="http://schemas.wps.cn/vas-ai-hub/contract-review">4</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76b1335f-28ac-444b-8a42-0f1556f8b010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4F57DFCD</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af333613-318b-4d3a-bd21-ea0a2e072d19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7931A199</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90d03a80-5829-4a5b-8504-518d72b66205</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115A87</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c7fc03f2-5b77-4f0c-b2a8-552e7ef9a1f7</errorID>
      <errorWord xmlns="http://schemas.wps.cn/vas-ai-hub/contract-review">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理人</item>
      </candidateList>
      <explain xmlns="http://schemas.wps.cn/vas-ai-hub/contract-review"/>
      <paraID xmlns="http://schemas.wps.cn/vas-ai-hub/contract-review">  115A87</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cebd428f-3975-47ff-bb50-2c180e4a3c21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6A27AD60</paraID>
      <start xmlns="http://schemas.wps.cn/vas-ai-hub/contract-review">27</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5b8d12c6-da17-4539-bfdd-0d269d17bf93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6A27AD60</paraID>
      <start xmlns="http://schemas.wps.cn/vas-ai-hub/contract-review">39</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78cea48b-4260-489a-b386-28cd12a647c3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6A27AD60</paraID>
      <start xmlns="http://schemas.wps.cn/vas-ai-hub/contract-review">51</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a013b23f-51c3-45be-bdf8-4481a62e5870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6A27AD60</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c6c9914c-7fc7-4dcd-b361-e95b50a1669f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6A27AD60</paraID>
      <start xmlns="http://schemas.wps.cn/vas-ai-hub/contract-review">70</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d516a3e2-71d0-4af8-9768-b17f9fa391ac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6A27AD60</paraID>
      <start xmlns="http://schemas.wps.cn/vas-ai-hub/contract-review">79</start>
      <end xmlns="http://schemas.wps.cn/vas-ai-hub/contract-review">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8facff6f-9683-41c8-836e-3641faae6f94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1CF6D48D</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1c71589f-78a4-43bb-824c-882629af33c5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4444E463</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bb740d64-69eb-4bc5-9bf5-387eb6930527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21FA8887</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209be72c-b926-4e9e-9432-564d93702e04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23545F5D</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38e73a2d-ccde-4ffc-8487-bc91debe704d</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519C7B66</paraID>
      <start xmlns="http://schemas.wps.cn/vas-ai-hub/contract-review">89</start>
      <end xmlns="http://schemas.wps.cn/vas-ai-hub/contract-review">92</end>
      <status xmlns="http://schemas.wps.cn/vas-ai-hub/contract-review">modified</status>
      <modifiedWord xmlns="http://schemas.wps.cn/vas-ai-hub/contract-review">须具备</modifiedWord>
      <trackRevisions xmlns="http://schemas.wps.cn/vas-ai-hub/contract-review">false</trackRevisions>
    </reviewItem>
    <reviewItem xmlns="http://schemas.wps.cn/vas-ai-hub/contract-review">
      <errorID xmlns="http://schemas.wps.cn/vas-ai-hub/contract-review">3b89c62b-4fe4-40c6-bfda-6c3412faeda7</errorID>
      <errorWord xmlns="http://schemas.wps.cn/vas-ai-hub/contract-review">MM</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 FB05CFD</paraID>
      <start xmlns="http://schemas.wps.cn/vas-ai-hub/contract-review">46</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48da3f95-1820-4d01-ac90-6e4d27fda355</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70A05632</paraID>
      <start xmlns="http://schemas.wps.cn/vas-ai-hub/contract-review">64</start>
      <end xmlns="http://schemas.wps.cn/vas-ai-hub/contract-review">67</end>
      <status xmlns="http://schemas.wps.cn/vas-ai-hub/contract-review">modified</status>
      <modifiedWord xmlns="http://schemas.wps.cn/vas-ai-hub/contract-review">须具备</modifiedWord>
      <trackRevisions xmlns="http://schemas.wps.cn/vas-ai-hub/contract-review">false</trackRevisions>
    </reviewItem>
    <reviewItem xmlns="http://schemas.wps.cn/vas-ai-hub/contract-review">
      <errorID xmlns="http://schemas.wps.cn/vas-ai-hub/contract-review">b3215d05-e103-4561-b9f6-b163eb0fc5f2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5D837394</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7d5b3dc6-5242-40a2-a89b-ee044d54c0b4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5D837394</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f6397ae6-9f76-4cf9-b211-f560bc347f54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6E600959</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ce1a04d1-41f8-44d9-bae3-77c6f734d1e7</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75539FCD</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4fa2bb5c-2633-4e95-a306-d5dc52c42d9c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24268112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671cb5a8-6f13-4491-a60b-bdf0a2adcd33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5455FC95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03459191-25a4-486f-8829-6876a912c140</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1C7B192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52ac267d-a2a4-4e86-9f35-7b51be1d8e79</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64F3E33C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38058ab7-02a0-4be6-9a16-f12cbf0881f6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649EAC00</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75fb4e6c-f6c4-4476-8b18-5c52e7ff84fc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649EAC00</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781f8966-2e8f-4bc6-898d-8b6d4dc71299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649EAC00</paraID>
      <start xmlns="http://schemas.wps.cn/vas-ai-hub/contract-review">69</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a9e8f75f-ae92-48ed-b147-8c8d40d7dd75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649EAC00</paraID>
      <start xmlns="http://schemas.wps.cn/vas-ai-hub/contract-review">85</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81b0b85b-2823-4867-8147-f66a9ad36cdb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D7F282D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c2edeb0c-85dd-4c61-9050-43aecd450345</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 D7F282D</paraID>
      <start xmlns="http://schemas.wps.cn/vas-ai-hub/contract-review">41</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2c0f5466-e060-4b90-9c26-3d776651fd49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6235061C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83b49cd9-f891-418c-8efd-431da1e97b45</errorID>
      <errorWord xmlns="http://schemas.wps.cn/vas-ai-hub/contract-review">作出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做出</item>
      </candidateList>
      <explain xmlns="http://schemas.wps.cn/vas-ai-hub/contract-review"/>
      <paraID xmlns="http://schemas.wps.cn/vas-ai-hub/contract-review">6235061C</paraID>
      <start xmlns="http://schemas.wps.cn/vas-ai-hub/contract-review">158</start>
      <end xmlns="http://schemas.wps.cn/vas-ai-hub/contract-review">160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c920f796-8e5e-451b-838e-56e70e85058b</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2738501E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dd0305e1-be28-4763-bb19-a3f33bf73e22</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3666509D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99d66926-5543-4323-9099-3921e4862645</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E2F55FA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2dd1554f-1aa2-4ad6-bdac-1288b045d446</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49022179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7e23be5d-9206-4fd8-ad39-b39c67e6561b</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71CB0DFF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e4935b93-1f4e-48cc-8c6c-a747b9b0731b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670700D6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6e857f10-fe62-470c-8829-de621516a478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1B585740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6a0bb604-d33f-44e5-8a5d-0be79e6e064a</errorID>
      <errorWord xmlns="http://schemas.wps.cn/vas-ai-hub/contract-review">料</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料和</item>
      </candidateList>
      <explain xmlns="http://schemas.wps.cn/vas-ai-hub/contract-review"/>
      <paraID xmlns="http://schemas.wps.cn/vas-ai-hub/contract-review">1B585740</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8041cf01-eb2a-44c1-8ee2-5ec0c37f3e64</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2E4D450C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c1dfa51b-e380-4c1e-a0c2-cc5017b1fde1</errorID>
      <errorWord xmlns="http://schemas.wps.cn/vas-ai-hub/contract-review">起始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起</item>
      </candidateList>
      <explain xmlns="http://schemas.wps.cn/vas-ai-hub/contract-review">〈动〉趋向动词。❶用在动词后，表示向上：抬～箱子往外走。❷用在动词后，表示力量够得上或够不上：经得～考验｜太贵了，买不～。注意动词和“起”之间常有“得”字或“不”字。❸用在动词后，表示事物随动作出现：乐队奏～迎宾曲｜会场响～热烈掌声。❹用在动词后，表示动作涉及人或事：他多次问～过你｜想～一件事。</explain>
      <paraID xmlns="http://schemas.wps.cn/vas-ai-hub/contract-review">6252B3D1</paraID>
      <start xmlns="http://schemas.wps.cn/vas-ai-hub/contract-review">19</start>
      <end xmlns="http://schemas.wps.cn/vas-ai-hub/contract-review">20</end>
      <status xmlns="http://schemas.wps.cn/vas-ai-hub/contract-review">modified</status>
      <modifiedWord xmlns="http://schemas.wps.cn/vas-ai-hub/contract-review">起</modifiedWord>
      <trackRevisions xmlns="http://schemas.wps.cn/vas-ai-hub/contract-review">false</trackRevisions>
    </reviewItem>
    <reviewItem xmlns="http://schemas.wps.cn/vas-ai-hub/contract-review">
      <errorID xmlns="http://schemas.wps.cn/vas-ai-hub/contract-review">038c8c15-6641-4c01-bd4a-34c1b44bdab3</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19C94F77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608b2a07-87c6-424d-a65b-16493b6f87c3</errorID>
      <errorWord xmlns="http://schemas.wps.cn/vas-ai-hub/contract-review">提拱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提供</item>
      </candidateList>
      <explain xmlns="http://schemas.wps.cn/vas-ai-hub/contract-review"/>
      <paraID xmlns="http://schemas.wps.cn/vas-ai-hub/contract-review">5AFA4958</paraID>
      <start xmlns="http://schemas.wps.cn/vas-ai-hub/contract-review">7</start>
      <end xmlns="http://schemas.wps.cn/vas-ai-hub/contract-review">9</end>
      <status xmlns="http://schemas.wps.cn/vas-ai-hub/contract-review">modified</status>
      <modifiedWord xmlns="http://schemas.wps.cn/vas-ai-hub/contract-review">提供</modifiedWord>
      <trackRevisions xmlns="http://schemas.wps.cn/vas-ai-hub/contract-review">false</trackRevisions>
    </reviewItem>
    <reviewItem xmlns="http://schemas.wps.cn/vas-ai-hub/contract-review">
      <errorID xmlns="http://schemas.wps.cn/vas-ai-hub/contract-review">d8ef849a-a728-4b9f-a475-4e702da9a611</errorID>
      <errorWord xmlns="http://schemas.wps.cn/vas-ai-hub/contract-review">组件开发</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软件开发</item>
      </candidateList>
      <explain xmlns="http://schemas.wps.cn/vas-ai-hub/contract-review"/>
      <paraID xmlns="http://schemas.wps.cn/vas-ai-hub/contract-review">5AFA4958</paraID>
      <start xmlns="http://schemas.wps.cn/vas-ai-hub/contract-review">26</start>
      <end xmlns="http://schemas.wps.cn/vas-ai-hub/contract-review">30</end>
      <status xmlns="http://schemas.wps.cn/vas-ai-hub/contract-review">modified</status>
      <modifiedWord xmlns="http://schemas.wps.cn/vas-ai-hub/contract-review">软件开发</modifiedWord>
      <trackRevisions xmlns="http://schemas.wps.cn/vas-ai-hub/contract-review">false</trackRevisions>
    </reviewItem>
    <reviewItem xmlns="http://schemas.wps.cn/vas-ai-hub/contract-review">
      <errorID xmlns="http://schemas.wps.cn/vas-ai-hub/contract-review">f534eed0-e8b8-4759-9d56-c8a84d2e46ca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5AFA4958</paraID>
      <start xmlns="http://schemas.wps.cn/vas-ai-hub/contract-review">84</start>
      <end xmlns="http://schemas.wps.cn/vas-ai-hub/contract-review">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44aba07e-a704-49eb-9e2c-430f1b98ddf8</errorID>
      <errorWord xmlns="http://schemas.wps.cn/vas-ai-hub/contract-review">共同协商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协商</item>
      </candidateList>
      <explain xmlns="http://schemas.wps.cn/vas-ai-hub/contract-review"/>
      <paraID xmlns="http://schemas.wps.cn/vas-ai-hub/contract-review">2625D30A</paraID>
      <start xmlns="http://schemas.wps.cn/vas-ai-hub/contract-review">54</start>
      <end xmlns="http://schemas.wps.cn/vas-ai-hub/contract-review">56</end>
      <status xmlns="http://schemas.wps.cn/vas-ai-hub/contract-review">modified</status>
      <modifiedWord xmlns="http://schemas.wps.cn/vas-ai-hub/contract-review">协商</modifiedWord>
      <trackRevisions xmlns="http://schemas.wps.cn/vas-ai-hub/contract-review">false</trackRevisions>
    </reviewItem>
    <reviewItem xmlns="http://schemas.wps.cn/vas-ai-hub/contract-review">
      <errorID xmlns="http://schemas.wps.cn/vas-ai-hub/contract-review">fa73bb28-628c-4b49-9a69-f25577e671bc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5D9D7848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63b52713-c80e-47ae-a7eb-15fb2dba463e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7D1C5CCF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0cb6c4bf-3f08-4ca0-861b-88117fceaf5a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44217EAA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05453196-f36e-472b-8d48-305c4516d18f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54051733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8bdbdf4a-081d-4eea-b614-ef2e2f761bce</errorID>
      <errorWord xmlns="http://schemas.wps.cn/vas-ai-hub/contract-review">高于或等于</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小于或等于</item>
      </candidateList>
      <explain xmlns="http://schemas.wps.cn/vas-ai-hub/contract-review"/>
      <paraID xmlns="http://schemas.wps.cn/vas-ai-hub/contract-review">1DA81D2C</paraID>
      <start xmlns="http://schemas.wps.cn/vas-ai-hub/contract-review">15</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a95d3419-c02f-46ff-a307-f595c6345de7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20E2A19C</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380f8762-355e-490e-b48e-d3d9e822b2f2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20E2A19C</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011e70db-2107-4f7c-b460-04fc62d94555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20E2A19C</paraID>
      <start xmlns="http://schemas.wps.cn/vas-ai-hub/contract-review">51</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6901cbd4-d82a-49a4-b5aa-194c81766222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20E2A19C</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ffc62f9f-e3b8-47cb-a27d-fad55932e059</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20E2A19C</paraID>
      <start xmlns="http://schemas.wps.cn/vas-ai-hub/contract-review">60</start>
      <end xmlns="http://schemas.wps.cn/vas-ai-hub/contract-review">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59d1208f-edf5-49e9-8504-89f552d6ba3d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20E2A19C</paraID>
      <start xmlns="http://schemas.wps.cn/vas-ai-hub/contract-review">76</start>
      <end xmlns="http://schemas.wps.cn/vas-ai-hub/contract-review">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0586a0a8-898c-4d6e-9b2e-39a591514051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20E2A19C</paraID>
      <start xmlns="http://schemas.wps.cn/vas-ai-hub/contract-review">81</start>
      <end xmlns="http://schemas.wps.cn/vas-ai-hub/contract-review">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80bfa21d-62a9-41f7-b859-724330808284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688815F7</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3c464fba-219b-4a05-93fa-338120c84d33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688815F7</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bcd2f7c3-aa2d-4e24-9765-f956b7816d2a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688815F7</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fd3ab67a-07de-46f6-9c0d-ff7e51afc295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688815F7</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9eace345-c2cc-4c63-9002-66b4538842d3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688815F7</paraID>
      <start xmlns="http://schemas.wps.cn/vas-ai-hub/contract-review">69</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47b6688a-778b-4546-af24-8a0d0b2ac3cd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688815F7</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fd369fbd-0dd4-4ff6-b325-1e30da0c7c6c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47608B04</paraID>
      <start xmlns="http://schemas.wps.cn/vas-ai-hub/contract-review">56</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90cd87d4-631f-46f7-963b-97b0f1b16cb9</errorID>
      <errorWord xmlns="http://schemas.wps.cn/vas-ai-hub/contract-review">详实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翔实</item>
      </candidateList>
      <explain xmlns="http://schemas.wps.cn/vas-ai-hub/contract-review"/>
      <paraID xmlns="http://schemas.wps.cn/vas-ai-hub/contract-review">47608B04</paraID>
      <start xmlns="http://schemas.wps.cn/vas-ai-hub/contract-review">75</start>
      <end xmlns="http://schemas.wps.cn/vas-ai-hub/contract-review">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71d7956d-ceeb-4a6b-aa98-df1574f7af22</errorID>
      <errorWord xmlns="http://schemas.wps.cn/vas-ai-hub/contract-review">MM</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730A9998</paraID>
      <start xmlns="http://schemas.wps.cn/vas-ai-hub/contract-review">102</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6f4af18a-73d9-42c5-9248-fd00c0220dd0</errorID>
      <errorWord xmlns="http://schemas.wps.cn/vas-ai-hub/contract-review">缴纳近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缴纳</item>
      </candidateList>
      <explain xmlns="http://schemas.wps.cn/vas-ai-hub/contract-review">〈动〉交纳：～税款。</explain>
      <paraID xmlns="http://schemas.wps.cn/vas-ai-hub/contract-review">48A2AB43</paraID>
      <start xmlns="http://schemas.wps.cn/vas-ai-hub/contract-review">88</start>
      <end xmlns="http://schemas.wps.cn/vas-ai-hub/contract-review">90</end>
      <status xmlns="http://schemas.wps.cn/vas-ai-hub/contract-review">modified</status>
      <modifiedWord xmlns="http://schemas.wps.cn/vas-ai-hub/contract-review">缴纳</modifiedWord>
      <trackRevisions xmlns="http://schemas.wps.cn/vas-ai-hub/contract-review">false</trackRevisions>
    </reviewItem>
    <reviewItem xmlns="http://schemas.wps.cn/vas-ai-hub/contract-review">
      <errorID xmlns="http://schemas.wps.cn/vas-ai-hub/contract-review">a1406e74-2d62-483b-97bf-5212143c3411</errorID>
      <errorWord xmlns="http://schemas.wps.cn/vas-ai-hub/contract-review">MM</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7BBE6D8C</paraID>
      <start xmlns="http://schemas.wps.cn/vas-ai-hub/contract-review">82</start>
      <end xmlns="http://schemas.wps.cn/vas-ai-hub/contract-review">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e1b13a1f-8161-4db4-9da2-33625f2f18a9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7EEDFC4F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c55ce86a-bd23-4dc1-9691-f63bea5476a2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7D25E344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8d2b33a3-a692-4248-bc2c-fe6b83779ccc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7A1E1787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1D9AD641-0B16-48B9-B81A-C11DF304B1BF}">
  <ds:schemaRefs/>
</ds:datastoreItem>
</file>

<file path=customXml/itemProps2.xml><?xml version="1.0" encoding="utf-8"?>
<ds:datastoreItem xmlns:ds="http://schemas.openxmlformats.org/officeDocument/2006/customXml" ds:itemID="{4B54FDE6-2F24-4FC1-8A59-B86D78F8E34C}">
  <ds:schemaRefs/>
</ds:datastoreItem>
</file>

<file path=docProps/app.xml><?xml version="1.0" encoding="utf-8"?>
<Properties xmlns="http://schemas.openxmlformats.org/officeDocument/2006/extended-properties" xmlns:vt="http://schemas.openxmlformats.org/officeDocument/2006/docPropsVTypes">
  <Template>Normal</Template>
  <Pages>24</Pages>
  <Words>21770</Words>
  <Characters>22213</Characters>
  <Lines>157</Lines>
  <Paragraphs>44</Paragraphs>
  <TotalTime>1</TotalTime>
  <ScaleCrop>false</ScaleCrop>
  <LinksUpToDate>false</LinksUpToDate>
  <CharactersWithSpaces>22373</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2025-12-23T16:57:00Z</dcterms:created>
  <dc:creator>gtig_tzb</dc:creator>
  <cp:lastModifiedBy>user</cp:lastModifiedBy>
  <cp:lastPrinted>2020-08-07T20:08:00Z</cp:lastPrinted>
  <dcterms:modified xsi:type="dcterms:W3CDTF">2026-01-27T14:35:46Z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KSOTemplateDocerSaveRecord">
    <vt:lpwstr>eyJoZGlkIjoiZjA1MTMxYjczMDAzZjJiNjI4NjIyNjdlMzE5YjM0NDkiLCJ1c2VySWQiOiI0MTU0NDAxMDcifQ==</vt:lpwstr>
  </property>
  <property fmtid="{D5CDD505-2E9C-101B-9397-08002B2CF9AE}" pid="4" name="ICV">
    <vt:lpwstr>B7F6E219DFBC2E82965C7869B00A4F1B_43</vt:lpwstr>
  </property>
</Properties>
</file>