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center"/>
        <w:rPr>
          <w:rFonts w:hint="eastAsia"/>
          <w:color w:val="auto"/>
          <w:highlight w:val="none"/>
        </w:rPr>
      </w:pPr>
      <w:bookmarkStart w:id="33" w:name="_GoBack"/>
      <w:bookmarkStart w:id="0" w:name="_Toc63785461"/>
      <w:r>
        <w:rPr>
          <w:rFonts w:hint="eastAsia"/>
          <w:color w:val="auto"/>
          <w:highlight w:val="none"/>
        </w:rPr>
        <w:t>上海化学工业区公共事务中心“工业互联网+危化安全生产”信息系统项目建设项目（2025年升级改造）</w:t>
      </w:r>
    </w:p>
    <w:p>
      <w:pPr>
        <w:pStyle w:val="2"/>
        <w:numPr>
          <w:ilvl w:val="0"/>
          <w:numId w:val="0"/>
        </w:numPr>
        <w:jc w:val="center"/>
        <w:rPr>
          <w:rFonts w:hint="eastAsia"/>
          <w:color w:val="auto"/>
          <w:highlight w:val="none"/>
        </w:rPr>
      </w:pPr>
      <w:r>
        <w:rPr>
          <w:rFonts w:hint="eastAsia"/>
          <w:color w:val="auto"/>
          <w:highlight w:val="none"/>
        </w:rPr>
        <w:t>采购需求</w:t>
      </w:r>
    </w:p>
    <w:p>
      <w:pPr>
        <w:pStyle w:val="2"/>
        <w:rPr>
          <w:rFonts w:hint="eastAsia"/>
          <w:color w:val="auto"/>
          <w:highlight w:val="none"/>
        </w:rPr>
      </w:pPr>
      <w:r>
        <w:rPr>
          <w:rFonts w:hint="eastAsia"/>
          <w:color w:val="auto"/>
          <w:highlight w:val="none"/>
        </w:rPr>
        <w:t>项目概况</w:t>
      </w:r>
      <w:bookmarkEnd w:id="0"/>
    </w:p>
    <w:p>
      <w:pPr>
        <w:rPr>
          <w:rFonts w:hint="eastAsia"/>
          <w:color w:val="auto"/>
          <w:highlight w:val="none"/>
        </w:rPr>
      </w:pPr>
      <w:r>
        <w:rPr>
          <w:rFonts w:hint="eastAsia"/>
          <w:color w:val="auto"/>
          <w:highlight w:val="none"/>
        </w:rPr>
        <w:t>本项目围绕“工业互联网+危化安全生产”系统开展模块升级与功能扩展，共建设5个核心模块，涵盖人员定位、作业许可、承包商管理、治本攻坚三年行动、安全业务协同等重点领域。通过模块化建设，实现企业数据与园区及上海市应急管理局系统的互联互通，提升园区安全生产监管效能，构建全流程风险防控体系。</w:t>
      </w:r>
    </w:p>
    <w:p>
      <w:pPr>
        <w:pStyle w:val="2"/>
        <w:rPr>
          <w:rFonts w:hint="eastAsia"/>
          <w:color w:val="auto"/>
          <w:highlight w:val="none"/>
        </w:rPr>
      </w:pPr>
      <w:bookmarkStart w:id="1" w:name="_Toc47536272"/>
      <w:bookmarkEnd w:id="1"/>
      <w:bookmarkStart w:id="2" w:name="_Toc47537134"/>
      <w:bookmarkEnd w:id="2"/>
      <w:bookmarkStart w:id="3" w:name="_Toc47532255"/>
      <w:bookmarkEnd w:id="3"/>
      <w:bookmarkStart w:id="4" w:name="_Toc47533256"/>
      <w:bookmarkEnd w:id="4"/>
      <w:bookmarkStart w:id="5" w:name="_Toc47532891"/>
      <w:bookmarkEnd w:id="5"/>
      <w:bookmarkStart w:id="6" w:name="_Toc47539070"/>
      <w:bookmarkEnd w:id="6"/>
      <w:bookmarkStart w:id="7" w:name="_Toc47531634"/>
      <w:bookmarkEnd w:id="7"/>
      <w:bookmarkStart w:id="8" w:name="_Toc47536644"/>
      <w:bookmarkEnd w:id="8"/>
      <w:bookmarkStart w:id="9" w:name="_Toc63785463"/>
      <w:bookmarkStart w:id="10" w:name="_Toc48223882"/>
      <w:r>
        <w:rPr>
          <w:rFonts w:hint="eastAsia"/>
          <w:color w:val="auto"/>
          <w:highlight w:val="none"/>
        </w:rPr>
        <w:t>建设目标</w:t>
      </w:r>
      <w:bookmarkEnd w:id="9"/>
      <w:bookmarkEnd w:id="10"/>
    </w:p>
    <w:p>
      <w:pPr>
        <w:rPr>
          <w:rFonts w:hint="eastAsia"/>
          <w:color w:val="auto"/>
          <w:highlight w:val="none"/>
        </w:rPr>
      </w:pPr>
      <w:r>
        <w:rPr>
          <w:rFonts w:hint="eastAsia"/>
          <w:color w:val="auto"/>
          <w:highlight w:val="none"/>
        </w:rPr>
        <w:t>本项目通过将企业的人员定位数据和特殊作业的相关数据上传到并于现有工业互联网+危化安全生产系统进行融合。化工区通过本项目的建设能指导有关企业强化特殊作业审批与管理、人员定位、双重预防机制数字化等场景功能的融合应用，通过匹配人员定位信息、设定电子围栏及强化视频联动、智能分析等功能，实现重大危险源区域动火作业全过程视频监控，确保双重预防机制现场巡检和动火、受限空间等特殊作业现场审批、监护人脱岗预警、无关人员侵入预警等风险防控措施有效落实。</w:t>
      </w:r>
    </w:p>
    <w:p>
      <w:pPr>
        <w:rPr>
          <w:rFonts w:hint="eastAsia"/>
          <w:color w:val="auto"/>
          <w:highlight w:val="none"/>
        </w:rPr>
      </w:pPr>
      <w:r>
        <w:rPr>
          <w:rFonts w:hint="eastAsia"/>
          <w:color w:val="auto"/>
          <w:highlight w:val="none"/>
        </w:rPr>
        <w:t>该项目建设内容主要包括：拟建设人员定位模块、作业许可模块、治本攻坚三年行动模块、安全业务协同模块，对原“承包商安全管理信用平台及风险研判系统”部分业务功能进行优化，新增承包商安全培训、资质认证、承包商评价等功能。</w:t>
      </w:r>
    </w:p>
    <w:p>
      <w:pPr>
        <w:pStyle w:val="2"/>
        <w:rPr>
          <w:rFonts w:hint="eastAsia"/>
          <w:color w:val="auto"/>
          <w:highlight w:val="none"/>
        </w:rPr>
      </w:pPr>
      <w:r>
        <w:rPr>
          <w:rFonts w:hint="eastAsia"/>
          <w:color w:val="auto"/>
          <w:highlight w:val="none"/>
        </w:rPr>
        <w:t>交付时间</w:t>
      </w:r>
    </w:p>
    <w:p>
      <w:pPr>
        <w:rPr>
          <w:rFonts w:hint="eastAsia"/>
          <w:color w:val="auto"/>
          <w:highlight w:val="none"/>
        </w:rPr>
      </w:pPr>
      <w:r>
        <w:rPr>
          <w:rFonts w:hint="eastAsia"/>
          <w:color w:val="auto"/>
          <w:highlight w:val="none"/>
        </w:rPr>
        <w:t>自合同签订之日起</w:t>
      </w:r>
      <w:r>
        <w:rPr>
          <w:rFonts w:hint="eastAsia"/>
          <w:color w:val="auto"/>
          <w:highlight w:val="none"/>
          <w:lang w:val="en-US" w:eastAsia="zh-CN"/>
        </w:rPr>
        <w:t>6</w:t>
      </w:r>
      <w:r>
        <w:rPr>
          <w:rFonts w:hint="eastAsia"/>
          <w:color w:val="auto"/>
          <w:highlight w:val="none"/>
        </w:rPr>
        <w:t>个月内完成本项目的内容建设，包括30天试运行。</w:t>
      </w:r>
    </w:p>
    <w:p>
      <w:pPr>
        <w:pStyle w:val="2"/>
        <w:rPr>
          <w:rFonts w:hint="eastAsia"/>
          <w:color w:val="auto"/>
          <w:highlight w:val="none"/>
        </w:rPr>
      </w:pPr>
      <w:bookmarkStart w:id="11" w:name="_Toc47536676"/>
      <w:bookmarkEnd w:id="11"/>
      <w:bookmarkStart w:id="12" w:name="_Toc47532923"/>
      <w:bookmarkEnd w:id="12"/>
      <w:bookmarkStart w:id="13" w:name="_Toc47539102"/>
      <w:bookmarkEnd w:id="13"/>
      <w:bookmarkStart w:id="14" w:name="_Toc47536304"/>
      <w:bookmarkEnd w:id="14"/>
      <w:bookmarkStart w:id="15" w:name="_Toc47533288"/>
      <w:bookmarkEnd w:id="15"/>
      <w:bookmarkStart w:id="16" w:name="_Toc47537166"/>
      <w:bookmarkEnd w:id="16"/>
      <w:r>
        <w:rPr>
          <w:rFonts w:hint="eastAsia"/>
          <w:color w:val="auto"/>
          <w:highlight w:val="none"/>
        </w:rPr>
        <w:t>网络拓扑情况</w:t>
      </w:r>
    </w:p>
    <w:p>
      <w:pPr>
        <w:rPr>
          <w:rFonts w:hint="eastAsia"/>
          <w:color w:val="auto"/>
          <w:highlight w:val="none"/>
        </w:rPr>
      </w:pPr>
      <w:r>
        <w:rPr>
          <w:rFonts w:hint="eastAsia"/>
          <w:color w:val="auto"/>
          <w:highlight w:val="none"/>
        </w:rPr>
        <w:t>系统网络设计如下图所示，</w:t>
      </w:r>
      <w:r>
        <w:rPr>
          <w:rFonts w:hint="eastAsia"/>
          <w:color w:val="auto"/>
          <w:highlight w:val="none"/>
          <w:lang w:eastAsia="zh-CN"/>
        </w:rPr>
        <w:t>供应商</w:t>
      </w:r>
      <w:r>
        <w:rPr>
          <w:rFonts w:hint="eastAsia"/>
          <w:color w:val="auto"/>
          <w:highlight w:val="none"/>
        </w:rPr>
        <w:t>应结合实际情况，对系统设计及融合进行优化设计，以满足项目建设目标。</w:t>
      </w:r>
    </w:p>
    <w:p>
      <w:pPr>
        <w:ind w:firstLine="0" w:firstLineChars="0"/>
        <w:rPr>
          <w:rFonts w:hint="eastAsia"/>
          <w:color w:val="auto"/>
          <w:highlight w:val="none"/>
        </w:rPr>
      </w:pPr>
      <w:r>
        <w:rPr>
          <w:color w:val="auto"/>
          <w:highlight w:val="none"/>
        </w:rPr>
        <w:drawing>
          <wp:inline distT="0" distB="0" distL="0" distR="0">
            <wp:extent cx="5278120" cy="2377440"/>
            <wp:effectExtent l="0" t="0" r="0" b="3810"/>
            <wp:docPr id="1044" name="Picture 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2" descr="图示&#10;&#10;AI 生成的内容可能不正确。"/>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00320" cy="2387440"/>
                    </a:xfrm>
                    <a:prstGeom prst="rect">
                      <a:avLst/>
                    </a:prstGeom>
                    <a:noFill/>
                    <a:ln>
                      <a:noFill/>
                    </a:ln>
                  </pic:spPr>
                </pic:pic>
              </a:graphicData>
            </a:graphic>
          </wp:inline>
        </w:drawing>
      </w:r>
    </w:p>
    <w:p>
      <w:pPr>
        <w:pStyle w:val="2"/>
        <w:rPr>
          <w:rFonts w:hint="eastAsia"/>
          <w:color w:val="auto"/>
          <w:highlight w:val="none"/>
        </w:rPr>
      </w:pPr>
      <w:r>
        <w:rPr>
          <w:rFonts w:hint="eastAsia"/>
          <w:color w:val="auto"/>
          <w:highlight w:val="none"/>
        </w:rPr>
        <w:t>应用模块建设</w:t>
      </w:r>
    </w:p>
    <w:p>
      <w:pPr>
        <w:pStyle w:val="3"/>
        <w:rPr>
          <w:rFonts w:hint="eastAsia"/>
          <w:color w:val="auto"/>
          <w:highlight w:val="none"/>
        </w:rPr>
      </w:pPr>
      <w:r>
        <w:rPr>
          <w:rFonts w:hint="eastAsia"/>
          <w:color w:val="auto"/>
          <w:highlight w:val="none"/>
        </w:rPr>
        <w:t>软件开发模块清单</w:t>
      </w:r>
    </w:p>
    <w:p>
      <w:pPr>
        <w:rPr>
          <w:rFonts w:hint="eastAsia"/>
          <w:color w:val="auto"/>
          <w:highlight w:val="none"/>
        </w:rPr>
      </w:pPr>
      <w:r>
        <w:rPr>
          <w:rFonts w:hint="eastAsia"/>
          <w:color w:val="auto"/>
          <w:highlight w:val="none"/>
        </w:rPr>
        <w:t xml:space="preserve">以下为本项目主要软件开发参考清单，项目建设内容质保期1年。 </w:t>
      </w:r>
    </w:p>
    <w:p>
      <w:pPr>
        <w:rPr>
          <w:rFonts w:hint="eastAsia"/>
          <w:color w:val="auto"/>
          <w:highlight w:val="none"/>
        </w:rPr>
      </w:pPr>
      <w:r>
        <w:rPr>
          <w:rFonts w:hint="eastAsia"/>
          <w:color w:val="auto"/>
          <w:highlight w:val="none"/>
        </w:rPr>
        <w:t>（1）系统接口</w:t>
      </w:r>
    </w:p>
    <w:tbl>
      <w:tblPr>
        <w:tblStyle w:val="9"/>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54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序号</w:t>
            </w:r>
          </w:p>
        </w:tc>
        <w:tc>
          <w:tcPr>
            <w:tcW w:w="3544" w:type="dxa"/>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功能名称</w:t>
            </w:r>
          </w:p>
        </w:tc>
        <w:tc>
          <w:tcPr>
            <w:tcW w:w="4536" w:type="dxa"/>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w:t>
            </w:r>
          </w:p>
        </w:tc>
        <w:tc>
          <w:tcPr>
            <w:tcW w:w="3544" w:type="dxa"/>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作业许可企业上报接口</w:t>
            </w:r>
          </w:p>
        </w:tc>
        <w:tc>
          <w:tcPr>
            <w:tcW w:w="4536" w:type="dxa"/>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特殊作业企业上报接口包含以下4个接口</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1 特殊作业活动信息接口：获取企业上传特殊作业活动信息：获取企业上传特殊作业票证信息；</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2 特殊作业票证信息接口</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3 特殊作业和视频关联数据接口：获取企业上传特殊作业关联的视频；</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4 特殊作业附件数据接口：获取企业上传特殊作业附件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2</w:t>
            </w:r>
          </w:p>
        </w:tc>
        <w:tc>
          <w:tcPr>
            <w:tcW w:w="3544" w:type="dxa"/>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作业许可园区上报接口</w:t>
            </w:r>
          </w:p>
        </w:tc>
        <w:tc>
          <w:tcPr>
            <w:tcW w:w="4536" w:type="dxa"/>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特殊作业园区上报接口包含以下4个接口</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1 特殊作业活动信息接口：企业上传特殊作业活动信息上传到市应急管理局</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2 特殊作业票证信息接口：将取企业上传特殊作业票证信息上传到市应急管理局</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3 特殊作业和视频关联数据接口：将取企业上传特殊作业关联的视频上传到市应急管理局</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4 特殊作业附件数据接口：将取企业上传特殊作业附件上传到市应急管理局报警数据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3</w:t>
            </w:r>
          </w:p>
        </w:tc>
        <w:tc>
          <w:tcPr>
            <w:tcW w:w="3544" w:type="dxa"/>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人员定位企业上报接口</w:t>
            </w:r>
          </w:p>
        </w:tc>
        <w:tc>
          <w:tcPr>
            <w:tcW w:w="4536" w:type="dxa"/>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人员定位企业上报接口包含以下6个接口</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1 人员基础信息</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2 区域边界信息</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3 人员实时定位数据</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 xml:space="preserve">4 人员聚集数据 </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5 人员报警数据</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6 区域报警数据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4</w:t>
            </w:r>
          </w:p>
        </w:tc>
        <w:tc>
          <w:tcPr>
            <w:tcW w:w="3544" w:type="dxa"/>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人员定位园区上报接口</w:t>
            </w:r>
          </w:p>
        </w:tc>
        <w:tc>
          <w:tcPr>
            <w:tcW w:w="4536" w:type="dxa"/>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人员定位园区上报接口包含以下6个接口</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1 人员基础信息：将企业上传人员基础信息上传到市应急管理局</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2 区域边界信息：将企业上传区域边界信息上传到市应急管理局</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3 人员实时定位数据：将企业上传人员实时定位数据上传到市应急管理局</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4 人员聚集数据 ：将企业上传人员聚集数据上传到市应急管理局</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5 人员报警数据：将企业上传人员报警数据上传到市应急管理局</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6 区域报警数据：将企业上传区域报警数据上传到市应急管理局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5</w:t>
            </w:r>
          </w:p>
        </w:tc>
        <w:tc>
          <w:tcPr>
            <w:tcW w:w="3544" w:type="dxa"/>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重大危险源接口</w:t>
            </w:r>
          </w:p>
        </w:tc>
        <w:tc>
          <w:tcPr>
            <w:tcW w:w="4536" w:type="dxa"/>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包括重大危险源视频平台视频编码接口、重大危险源视频平台视频流接口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6</w:t>
            </w:r>
          </w:p>
        </w:tc>
        <w:tc>
          <w:tcPr>
            <w:tcW w:w="3544" w:type="dxa"/>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承包商接口</w:t>
            </w:r>
          </w:p>
        </w:tc>
        <w:tc>
          <w:tcPr>
            <w:tcW w:w="4536" w:type="dxa"/>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包含6个接口：</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1.承包商单位基本信息接口</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2.承包商单位车辆信息接口</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3.承包商单位人员信息接口</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4.承包商单位资质信息接口</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5.承包商系统培训接口</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6.承包商违规记录接口</w:t>
            </w:r>
          </w:p>
        </w:tc>
      </w:tr>
    </w:tbl>
    <w:p>
      <w:pPr>
        <w:pStyle w:val="12"/>
        <w:ind w:firstLine="420"/>
        <w:rPr>
          <w:rFonts w:hint="eastAsia"/>
          <w:color w:val="auto"/>
          <w:highlight w:val="none"/>
        </w:rPr>
      </w:pPr>
      <w:bookmarkStart w:id="17" w:name="_Toc63785503"/>
    </w:p>
    <w:p>
      <w:pPr>
        <w:pStyle w:val="12"/>
        <w:ind w:firstLine="420"/>
        <w:rPr>
          <w:rFonts w:hint="eastAsia"/>
          <w:color w:val="auto"/>
          <w:highlight w:val="none"/>
        </w:rPr>
      </w:pPr>
      <w:r>
        <w:rPr>
          <w:rFonts w:hint="eastAsia"/>
          <w:color w:val="auto"/>
          <w:highlight w:val="none"/>
        </w:rPr>
        <w:t>（2）作业许可</w:t>
      </w:r>
    </w:p>
    <w:tbl>
      <w:tblPr>
        <w:tblStyle w:val="8"/>
        <w:tblW w:w="9000" w:type="dxa"/>
        <w:tblInd w:w="0" w:type="dxa"/>
        <w:tblLayout w:type="autofit"/>
        <w:tblCellMar>
          <w:top w:w="0" w:type="dxa"/>
          <w:left w:w="108" w:type="dxa"/>
          <w:bottom w:w="0" w:type="dxa"/>
          <w:right w:w="108" w:type="dxa"/>
        </w:tblCellMar>
      </w:tblPr>
      <w:tblGrid>
        <w:gridCol w:w="840"/>
        <w:gridCol w:w="2160"/>
        <w:gridCol w:w="6000"/>
      </w:tblGrid>
      <w:tr>
        <w:tblPrEx>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序号</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功能名称</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功能描述</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作业许可数据推送</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内的企业将作业许可数据通过接口推送到系统的互联网区，本模块将订阅接受接口的数据，通过调用坐标转换模块之后，推送到政务外网区的中的作业许可GIS可视化模块中，并保持5秒钟一次的刷新频率，进行GIS地图的实时更新显示。</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2</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接口授权信息管理</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 园区为每家企业生成app_id、app_secret 和 company_code等身份信息</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2 企业侧显示该企业的接口身份信息，并把该信息提供给企业的供应商用于信息上报</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3</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作业许可数据看板</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创建特殊作业数据看板，统计当天特殊作业的作业数量、作业类型、作业级别。统计当年每个月份特殊作业的作业数量、作业类型数量、作业级别数量</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4</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GIS地图作业许可看板</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将企业上传作业许可数据进行各个维度的统计和汇总。汇总的维度如下：</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当日作业的总数量（八种特殊作业类型作业的数量、一般作业的总数量）</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当日作业类型的统计；</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当日状态为作业中的作业总数量；</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当日状态为暂停中的作业总数量；</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当日状态为完成的作业总数量；</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当日作业级别的统计</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切换到某一个企业时，统计该企业当日作业的总数量（八种特殊作业类型作业的数量、一般作业的总数量）</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切换到某一个企业时，统计该企业当日作业类型的统计；</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切换到某一个企业时，统计该企业当日状态为作业中的作业总数量；</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切换到某一个企业时，统计该企业当日状态为暂停中的作业总数量；</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切换到某一个企业时，统计该企业当日状态为完成的作业总数量；</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切换到某一个企业时，统计该企业当日作业级别的统计</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5</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GIS地图作业许可图层</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在3D倾斜摄影图上创建图层，并跟去作业的经纬度信息、作业票的类型（动火作业、受限空间作业、高处作业、临时用电作业、盲板抽堵作业、断路作业、吊装作业、动土安全作业）和作业票的状态显示特殊作业的图标，作业票的图标会根据不同的作业类型和作业状态显示不同的图标。</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作业图标的位置要根据企业上报的地理位置信息进行地图坐标系的转化并显示在企业实际作业的地理位置。</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6</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xml:space="preserve"> GIS地图作业许可详情</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在3D倾斜摄影图上，点击作业图标显示该作业的详细信息。包含作业内容、作业人员和气体检测等信息。</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7</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GIS地图作业许可视频</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在3D倾斜摄影图上，点击作业图标显示该作业期间的作业视频，作业视频需要通过级联配置进行统一管理和调用。</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8</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GIS地图作业许可报警</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如果企业在作业期间违反了国标GB30871-2022所定义的场景，需要在3D倾斜摄影图上展示作业许可报警；</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9</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作业许可承包商资质报警</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结合企业特殊作业票中的承包商信息和园区承包商管理系统，对于未经过化工园区认证通过或者未续证的承包商进行报警</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10</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作业许可承包商员工报警</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结合企业特殊作业票中的承包商员工信息和园区承包商管理系统，对于未经过化工园区认证通过的承包商员工或者未续证的进行报警</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11</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作业许可超时报警</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结合国标GB30871的要求，对于企业上传的特殊作业票超时未及时关闭验收或者停止作业的企业进行报警</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12</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作业许可视频报警</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结合国标GB30871和应急管理部《2025年危险化学品安全风险管控数字化智能化应用建设工作方案》的要求，对于企业上传的特殊作业票未关联作业票现场视频的作业票进行报警</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13</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作业许可报备报警</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结合企业每日承诺公告进行，对于未进行报备而出现特殊作业活动的企业进行报警</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14</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作业许可等级报警</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对于白天进行的特殊作业，夜间没有关闭还在继续作业但是并未进行等级升级的作业进行报警</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15</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作业许可位置报警</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结合特殊作业地点的经纬度和人员定位系统中边界信息，如果出现特殊作业位置不在本企业现场进行报警</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16</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作业许可报警工单</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所有的特殊作业报警，会通过特殊作业工单系统自动发送到相关管理部门和相关企业进行进一步的处理</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17</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作业许可数据上报监测报警</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监测29家重大危险源企业的作业许可数据上报的情况，建立数据上报监测模型，一旦系统监测模型输出企业数据上报离线，立即推送作业许可上报离线报警，并自动发送工单。</w:t>
            </w:r>
          </w:p>
        </w:tc>
      </w:tr>
    </w:tbl>
    <w:p>
      <w:pPr>
        <w:pStyle w:val="12"/>
        <w:ind w:firstLine="420"/>
        <w:rPr>
          <w:rFonts w:hint="eastAsia"/>
          <w:color w:val="auto"/>
          <w:highlight w:val="none"/>
        </w:rPr>
      </w:pPr>
    </w:p>
    <w:p>
      <w:pPr>
        <w:pStyle w:val="12"/>
        <w:ind w:firstLine="420"/>
        <w:rPr>
          <w:rFonts w:hint="eastAsia"/>
          <w:color w:val="auto"/>
          <w:highlight w:val="none"/>
        </w:rPr>
      </w:pPr>
      <w:r>
        <w:rPr>
          <w:rFonts w:hint="eastAsia"/>
          <w:color w:val="auto"/>
          <w:highlight w:val="none"/>
        </w:rPr>
        <w:t>（3）人员定位</w:t>
      </w:r>
    </w:p>
    <w:tbl>
      <w:tblPr>
        <w:tblStyle w:val="8"/>
        <w:tblW w:w="9000" w:type="dxa"/>
        <w:tblInd w:w="0" w:type="dxa"/>
        <w:tblLayout w:type="autofit"/>
        <w:tblCellMar>
          <w:top w:w="0" w:type="dxa"/>
          <w:left w:w="108" w:type="dxa"/>
          <w:bottom w:w="0" w:type="dxa"/>
          <w:right w:w="108" w:type="dxa"/>
        </w:tblCellMar>
      </w:tblPr>
      <w:tblGrid>
        <w:gridCol w:w="840"/>
        <w:gridCol w:w="2160"/>
        <w:gridCol w:w="6000"/>
      </w:tblGrid>
      <w:tr>
        <w:tblPrEx>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序号</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功能名称</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功能描述</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坐标转化模块</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系统支持将企业上传人员定位的经纬度信息进行处理，将大地2000的坐标系改成上海2000的坐标系下的坐标</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2</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人员定位数据推送</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内的企业将人员定位数据通过接口推送到系统的互联网区，本模块将订阅接受接口的数据，通过调用坐标转换模块之后，推送到政务外网区的中的人员定位GIS可视化模块中，并保持5秒钟一次的刷新频率，进行GIS地图的实时更新显示。</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3</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人员定位数据看板</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创建特殊作业数据看板，统计当天特殊作业的作业数量、作业类型、作业级别。统计当年每个月份特殊作业的作业数量、作业类型数量、作业级别数量</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4</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人员实时定位GIS可视化</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在3D倾斜摄影图上展示人员定位实时位置</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5</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人员定位报警GIS可视化</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在3D倾斜摄影图上显示人员报警；</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6</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人员聚集报警GIS可视化</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在3D倾斜摄影图上显示人员聚集报警；</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7</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区域报警GIS可视化</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在3D倾斜摄影图上显示区域报警；</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8</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人员聚集报警</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对人员sos报警、人员越界报警、人员滞留报警、人员静止报警、人员离场报警进行开发</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9</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区域报警</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对人员超员报警、人员缺员报警、人员缺岗报警、人员集聚报警进行开发</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10</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人员定位报警工单</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所有的特殊作业报警，会通过特殊作业工单系统自动发送到相关管理部门和相关企业进行进一步的处理</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11</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人员定位企业上报监测报警</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监测29家重大危险源企业的人员定位数据上报的情况，建立数据上报监测模型，一旦系统监测模型输出企业数据上报离线，立即推送人员定位上报离线报警，并自动发送工单。</w:t>
            </w:r>
          </w:p>
        </w:tc>
      </w:tr>
    </w:tbl>
    <w:p>
      <w:pPr>
        <w:pStyle w:val="12"/>
        <w:ind w:firstLine="420"/>
        <w:rPr>
          <w:rFonts w:hint="eastAsia"/>
          <w:color w:val="auto"/>
          <w:highlight w:val="none"/>
        </w:rPr>
      </w:pPr>
    </w:p>
    <w:p>
      <w:pPr>
        <w:pStyle w:val="12"/>
        <w:ind w:firstLine="420"/>
        <w:rPr>
          <w:rFonts w:hint="eastAsia"/>
          <w:color w:val="auto"/>
          <w:highlight w:val="none"/>
        </w:rPr>
      </w:pPr>
      <w:r>
        <w:rPr>
          <w:rFonts w:hint="eastAsia"/>
          <w:color w:val="auto"/>
          <w:highlight w:val="none"/>
        </w:rPr>
        <w:t>（4）承包商准入</w:t>
      </w:r>
    </w:p>
    <w:tbl>
      <w:tblPr>
        <w:tblStyle w:val="8"/>
        <w:tblW w:w="9000" w:type="dxa"/>
        <w:tblInd w:w="0" w:type="dxa"/>
        <w:tblLayout w:type="autofit"/>
        <w:tblCellMar>
          <w:top w:w="0" w:type="dxa"/>
          <w:left w:w="108" w:type="dxa"/>
          <w:bottom w:w="0" w:type="dxa"/>
          <w:right w:w="108" w:type="dxa"/>
        </w:tblCellMar>
      </w:tblPr>
      <w:tblGrid>
        <w:gridCol w:w="840"/>
        <w:gridCol w:w="2160"/>
        <w:gridCol w:w="6000"/>
      </w:tblGrid>
      <w:tr>
        <w:tblPrEx>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序号</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功能名称</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功能描述</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与工业互联网+危化安全生产系统融合</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XC改造后要融合到现有的工业互联网+危化安全生产系统中，当做工业互联网+危化安全生产系统中的一个模块，并能与其他模块进行数据互通。承包商系统要遵循工业互联网+危化安全生产系统的开发架构和页面风格。</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2</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承包商培训题库（新增功能）</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本项目中，在承包商模块中增加培训科目、培训素材这两个子模块。</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用户在可以创建培训课程的时候选定任意培训库素材进行培训。</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3</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承包商培训考试管理（新增）</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本项目中，在承包商模块中增加题库管理、和考试管理这两个子模块。</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在题库管理模块中，有以下几点功能：</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(1) 新增、修改、删除、导入、导出题库中的题目；</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(2) 题库中的题库可以属于不同的科目；</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(3) 题库中的题目支持：填空题、单选题、多选题和判断题；</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在考试管理模块中，有以下几点功能：</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(1) 支持用户自定义试卷；</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(2) 支持试卷随机出题和固定题目两种方式；</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(3) 支持用户自定义及格分数；</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(4) 支持用户重考次数；</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4</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承包商培训考试企业侧（新增功能）</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在承包商培训模块增加了管理端的线上培训和考试管理之后，为了支持用户在移动端进行培训，所以要新增承包商培训和考试的功能。</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5</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承包商预警园区端</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承包商预警园区端的功能包含如下：</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(1) 显示承包商取证到期预警；</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(2) 显示承包商员工取证到期预警；</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(3) 承包商末尾排名报警</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(4) 承包商企业项目未完全申报报警（承包商员工报备A企业却在B企业施工的报警）；</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6</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承包商预警企业端</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承包商预警企业端的功能包含：</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(1) 该企业的承包商出现了在企业违规或者评价得分低的情况；</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(2) 该企业的承包商企业取证快要到期；</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(3) 该企业的承包商员工取证快要到期；</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7</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承包商信用评价-企业侧（新增功能）</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承包商是跟园区的企业签订的合同，所以企业对承包商的管理和评价起主体责任。所以对承包商的评价功能主要就在企业侧；承包商评价企业侧的功能主要有：</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(1) 支持承包商评价分类（也叫评价类型）；</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(2) 支持承包商评价标准；</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(3) 支持对承包商项目的评价；</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(4) 支持对承包商员工的评价；</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8</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承包商信用评价-园区侧（新增功能）</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承包商管理在园区侧主要是结合每家企业对企业本年度所有的承包商的评价得分，通过承包商综合评价模型计算出本年度最终的评价得分。通过最终得分进行排名。主要功能如下：</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(1) 承包商得分排名；</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(2) 承包商扣分提醒；</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(3) 承包商得分每年清零；</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(4) 承包商黑名单功能；</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9</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承包商车辆信息</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增加承包商车辆信息报备。添加承包商有两种途径：一种是由企业添加，另外一个方式是企业提供给二维码，承包商扫二维码进行添加。</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 xml:space="preserve">    承包商自行添加完成承包商的车辆信息之后，必须要有企业进行确认提交。</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10</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承包商人员同步到封闭式系统</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化工区有一个封闭式系统，为了提高通行速度和减少窗口申请通行证的办事时间，封闭式系统需要将承包商的信息同步到封闭式系统中，以解决不同系统之间的数据壁垒。</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要创建一个中间数据库用来存储各个系统汇聚到封闭式系统的数据，改数据库作为封闭式系统的中间库。</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承包商模块人员出现信息的更新，这个数据就要同步到中间数据库中。</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11</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承包商车辆信息同步到封闭式系统</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承包商模块人员的车辆或者供应商的车辆出现信息的更新，这个数据就要同步到中间数据库中。</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12</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封闭式系统数据同步监测服务</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承包商模块的数据需要进行实时同步，不能超过5分钟的时间延迟。因此需要创建一个监测服务来监测数据同步服务是不是正常提供服务，一旦数据同步服务出现异常，监测服务需要给运维人员推送消息和自动重新服务。</w:t>
            </w:r>
          </w:p>
        </w:tc>
      </w:tr>
    </w:tbl>
    <w:p>
      <w:pPr>
        <w:pStyle w:val="12"/>
        <w:ind w:firstLine="420"/>
        <w:rPr>
          <w:rFonts w:hint="eastAsia"/>
          <w:color w:val="auto"/>
          <w:highlight w:val="none"/>
        </w:rPr>
      </w:pPr>
    </w:p>
    <w:p>
      <w:pPr>
        <w:pStyle w:val="12"/>
        <w:ind w:firstLine="420"/>
        <w:rPr>
          <w:rFonts w:hint="eastAsia"/>
          <w:color w:val="auto"/>
          <w:highlight w:val="none"/>
        </w:rPr>
      </w:pPr>
      <w:r>
        <w:rPr>
          <w:rFonts w:hint="eastAsia"/>
          <w:color w:val="auto"/>
          <w:highlight w:val="none"/>
        </w:rPr>
        <w:t>（5）治本攻坚三年行动</w:t>
      </w:r>
    </w:p>
    <w:tbl>
      <w:tblPr>
        <w:tblStyle w:val="8"/>
        <w:tblW w:w="9000" w:type="dxa"/>
        <w:tblInd w:w="0" w:type="dxa"/>
        <w:tblLayout w:type="autofit"/>
        <w:tblCellMar>
          <w:top w:w="0" w:type="dxa"/>
          <w:left w:w="108" w:type="dxa"/>
          <w:bottom w:w="0" w:type="dxa"/>
          <w:right w:w="108" w:type="dxa"/>
        </w:tblCellMar>
      </w:tblPr>
      <w:tblGrid>
        <w:gridCol w:w="840"/>
        <w:gridCol w:w="2160"/>
        <w:gridCol w:w="6000"/>
      </w:tblGrid>
      <w:tr>
        <w:tblPrEx>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序号</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功能名称</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功能描述</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安全教育培训行动</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侧：通过安全教育培训列表，园区随时查看企业填报的安全教育培训情况，通过企业填报的行业领域、培训主题、培训时间、培训参加人数等信息，实时掌握企业安全教育培训情况，为掌握与督导企业安全教育提供实时数据支撑。</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企业侧：填报自身安全教育培训记录，做到留痕处理，并督促自身落实企业安全主体责任，持续提升员工安全操作技能。</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2</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判定标准提升行动</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园区侧：园区实时收集企业对重大事故隐患判定标准的宣贯情况，了解企业宣贯主题、宣贯时间与参与人数等关键数据，为实施精准监管提供科学依据。</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企业侧：企业填报实行重大事故隐患判定标准的宣贯情况，不但做到留痕处理，而且提升企业管理人员及从业人员的安全意识，提升隐患排查治理能力，有效预防和减少生产安全事故。</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3</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企业主要负责人带队检查情况</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园区侧:汇总企业上报检查记录，对园区企业自查情况做可视化处理，为园区精准监管提供数据支持。</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企业侧：企业填写落实企业主体责任的内容，督促建立健全企业主体责任落实机制，通过标准化、流程化自查手段，提升风险识别与整改效率和企业自查效率，实现安全管理闭环。</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4</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重大事故隐患排查整改情况</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测：建立重大隐患分级管控系统，实现企业自主上报隐患，其中包含隐患时间、分类、图片、问题清单、整改时间等有效信息，便于园区跟踪整改进展，实现隐患闭环管理，有效降低事故风险，提升风险防控能力。</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企业侧：在定期开展隐患排查后，将发现重大隐患及时上报与处置，填报具体隐患内容、隐患整改完成时间，从而推动企业落实主体责任，让企业自身主动排查风险，实现事故预防的闭环管理，预防事故发生。</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5</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企业安全风险监测预警系统安装情况</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园区测：实时掌握园区内企业的风险监测能力，是否完成安装安全风险监测预警系统，有效推动技术防控手段普及，提升园区风险预警和应急响应能力。</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企业侧：企业填写增强企业自主风险防控能力的内容以及是否安装完成安全风险监测预警系统，间接督促企业完善强化自主风险防控体系建设。</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6</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落后产能及设备工艺淘汰改造情况</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园区测：建立落后产能清单数据库，对企业的改造升级进度实施跟踪与闭环管理，并加强督导考核确保淘汰改造任务按时完成。</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企业侧：通过定期上报有效地落实自身改造责任，保障生产安全性、可追溯化。</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7</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企业从业人员安全技能培训</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园区测：实时同步企业人员技能培训记录，如行业领域、培训时间、培训人数等信息，有效管控企业培训频率，提升培训效能。</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企业侧：通过实时填报自身企业人员技能培训记录，督促自身定期开展培训，强化员工安全意识和操作技能，减少操作失误引发的事故。</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8</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电焊等特种作业人员持证上岗</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园区测：实时联动查看企业持证上岗的特种作业人数，便于园区有效摸排企业安全生产的规范化。</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企业侧：定期上报自身持证上岗的特殊作业人员，杜绝无证上岗现象，规范特种作业管理。</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9</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企业应急逃生演练</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园区测：有效监督企业演练频次，掌握企业开展演练日期、参与人员数量，为事故预防提供数据支撑。</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企业侧：通过定期上报演练数据，加强自身演练频次，提高安全生产意识，增强企业和员工的应急逃生能力</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10</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企业安全生产应急救援队伍建设</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园区测：建立园区应急救援队伍数据库，管理队伍资质、装备清单、演练记录，实现突发事件一键调度。</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企业侧：建立专职或兼职应急救援队伍，与园区定期开展联合演练，提升园区整体应急救援能力。</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11</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企业安全管理体系建设行动</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园区测：实时掌握企业安全生产管理体系建设进度，如企业规模、标准化等级等基础信息，辅助开展线上合规性评估。</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企业侧：支持企业灵活创建安全生产管理体系，提高自身安全生产合理化、高效化。</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12</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安全生产精准执法</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园区测：利用数字化手段开展精准执法记录，展现企业员工举报奖励情况填报，通过奖励时间、奖励人数、奖励金额等信息，掌握企业自身建设机制情况，有效推动企业自查，督促企业建立相应机制。</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企业侧：开放自查整改端口，支持预检问题提前整改，并自觉建立员工举报奖励机制，调动员工自查积极性，减少安全生产事故。</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13</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全民安全素质提升</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园区测：建设园区安全宣传平台，推送安全知识、案例警示，并收集企业安全宣传情况。</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企业侧：定期组织并填报安全宣传情况，争做全员参与安全文化建设，提高全员安全素质。</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14</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保障措施</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园区测：定期收集企业安全生产治本攻坚资金投入情况，制定配套政策和资金补贴方案，支持企业落实治本攻坚任务，为企业提供资源保障，推动攻坚行动顺利实施。</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企业侧：定期上报安全生产治本攻坚资金投入情况，为园区制定配套政策和补贴方案提供数据支撑。</w:t>
            </w:r>
          </w:p>
        </w:tc>
      </w:tr>
    </w:tbl>
    <w:p>
      <w:pPr>
        <w:pStyle w:val="12"/>
        <w:ind w:firstLine="420"/>
        <w:rPr>
          <w:rFonts w:hint="eastAsia"/>
          <w:color w:val="auto"/>
          <w:highlight w:val="none"/>
        </w:rPr>
      </w:pPr>
    </w:p>
    <w:p>
      <w:pPr>
        <w:pStyle w:val="12"/>
        <w:ind w:firstLine="420"/>
        <w:rPr>
          <w:rFonts w:hint="eastAsia"/>
          <w:color w:val="auto"/>
          <w:highlight w:val="none"/>
        </w:rPr>
      </w:pPr>
      <w:r>
        <w:rPr>
          <w:rFonts w:hint="eastAsia"/>
          <w:color w:val="auto"/>
          <w:highlight w:val="none"/>
        </w:rPr>
        <w:t>（6）安全业务协同</w:t>
      </w:r>
    </w:p>
    <w:tbl>
      <w:tblPr>
        <w:tblStyle w:val="8"/>
        <w:tblW w:w="9000" w:type="dxa"/>
        <w:tblInd w:w="0" w:type="dxa"/>
        <w:tblLayout w:type="autofit"/>
        <w:tblCellMar>
          <w:top w:w="0" w:type="dxa"/>
          <w:left w:w="108" w:type="dxa"/>
          <w:bottom w:w="0" w:type="dxa"/>
          <w:right w:w="108" w:type="dxa"/>
        </w:tblCellMar>
      </w:tblPr>
      <w:tblGrid>
        <w:gridCol w:w="840"/>
        <w:gridCol w:w="2160"/>
        <w:gridCol w:w="6000"/>
      </w:tblGrid>
      <w:tr>
        <w:tblPrEx>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序号</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功能名称</w:t>
            </w:r>
          </w:p>
        </w:tc>
        <w:tc>
          <w:tcPr>
            <w:tcW w:w="600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功能描述</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1</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安全业务协同企业侧</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安全业务协同企业端的主要功能如下：</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(1) 发布通知；</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(2) 支持通知提醒；</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(3) 支持填写通知要求完成的内容上报；</w:t>
            </w:r>
          </w:p>
        </w:tc>
      </w:tr>
      <w:tr>
        <w:tblPrEx>
          <w:tblCellMar>
            <w:top w:w="0" w:type="dxa"/>
            <w:left w:w="108" w:type="dxa"/>
            <w:bottom w:w="0" w:type="dxa"/>
            <w:right w:w="108" w:type="dxa"/>
          </w:tblCellMar>
        </w:tblPrEx>
        <w:trPr>
          <w:trHeight w:val="280" w:hRule="atLeast"/>
        </w:trPr>
        <w:tc>
          <w:tcPr>
            <w:tcW w:w="840" w:type="dxa"/>
            <w:tcBorders>
              <w:top w:val="nil"/>
              <w:left w:val="single" w:color="000000" w:sz="4" w:space="0"/>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2</w:t>
            </w:r>
          </w:p>
        </w:tc>
        <w:tc>
          <w:tcPr>
            <w:tcW w:w="2160" w:type="dxa"/>
            <w:tcBorders>
              <w:top w:val="single" w:color="000000" w:sz="4" w:space="0"/>
              <w:left w:val="nil"/>
              <w:bottom w:val="single" w:color="000000" w:sz="4" w:space="0"/>
              <w:right w:val="single" w:color="000000" w:sz="4" w:space="0"/>
            </w:tcBorders>
            <w:vAlign w:val="center"/>
          </w:tcPr>
          <w:p>
            <w:pPr>
              <w:ind w:firstLine="0" w:firstLineChars="0"/>
              <w:jc w:val="center"/>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安全业务协同园区侧</w:t>
            </w:r>
          </w:p>
        </w:tc>
        <w:tc>
          <w:tcPr>
            <w:tcW w:w="6000" w:type="dxa"/>
            <w:tcBorders>
              <w:top w:val="single" w:color="000000" w:sz="4" w:space="0"/>
              <w:left w:val="nil"/>
              <w:bottom w:val="single" w:color="000000" w:sz="4" w:space="0"/>
              <w:right w:val="single" w:color="000000" w:sz="4" w:space="0"/>
            </w:tcBorders>
            <w:vAlign w:val="center"/>
          </w:tcPr>
          <w:p>
            <w:pPr>
              <w:ind w:firstLine="0" w:firstLineChars="0"/>
              <w:rPr>
                <w:rFonts w:hint="eastAsia"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安全业务协同园区端的主要功能如下：</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(1) 支持创建、修改、删除通知；</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(2) 支持创建多种类型的通知；</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(3) 支持查看通知下发的企业；</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(4) 支持查看企业上报的内容；</w:t>
            </w:r>
            <w:r>
              <w:rPr>
                <w:rFonts w:hint="eastAsia" w:asciiTheme="majorEastAsia" w:hAnsiTheme="majorEastAsia" w:eastAsiaTheme="majorEastAsia"/>
                <w:color w:val="auto"/>
                <w:sz w:val="21"/>
                <w:szCs w:val="21"/>
                <w:highlight w:val="none"/>
              </w:rPr>
              <w:br w:type="textWrapping"/>
            </w:r>
            <w:r>
              <w:rPr>
                <w:rFonts w:hint="eastAsia" w:asciiTheme="majorEastAsia" w:hAnsiTheme="majorEastAsia" w:eastAsiaTheme="majorEastAsia"/>
                <w:color w:val="auto"/>
                <w:sz w:val="21"/>
                <w:szCs w:val="21"/>
                <w:highlight w:val="none"/>
              </w:rPr>
              <w:t>(5) 支持查看通知列表</w:t>
            </w:r>
          </w:p>
        </w:tc>
      </w:tr>
    </w:tbl>
    <w:p>
      <w:pPr>
        <w:pStyle w:val="12"/>
        <w:ind w:firstLine="420"/>
        <w:rPr>
          <w:rFonts w:hint="eastAsia"/>
          <w:color w:val="auto"/>
          <w:highlight w:val="none"/>
        </w:rPr>
      </w:pPr>
    </w:p>
    <w:p>
      <w:pPr>
        <w:pStyle w:val="2"/>
        <w:rPr>
          <w:rFonts w:hint="eastAsia"/>
          <w:color w:val="auto"/>
          <w:highlight w:val="none"/>
        </w:rPr>
      </w:pPr>
      <w:r>
        <w:rPr>
          <w:rFonts w:hint="eastAsia"/>
          <w:color w:val="auto"/>
          <w:highlight w:val="none"/>
        </w:rPr>
        <w:t>其他工作要求</w:t>
      </w:r>
      <w:bookmarkEnd w:id="17"/>
      <w:bookmarkStart w:id="18" w:name="_Toc62209488"/>
      <w:bookmarkEnd w:id="18"/>
      <w:bookmarkStart w:id="19" w:name="_Toc62219358"/>
      <w:bookmarkEnd w:id="19"/>
      <w:bookmarkStart w:id="20" w:name="_Toc63785439"/>
      <w:bookmarkEnd w:id="20"/>
      <w:bookmarkStart w:id="21" w:name="_Toc63585480"/>
      <w:bookmarkEnd w:id="21"/>
      <w:bookmarkStart w:id="22" w:name="_Toc63151871"/>
      <w:bookmarkEnd w:id="22"/>
      <w:bookmarkStart w:id="23" w:name="_Toc61968111"/>
      <w:bookmarkEnd w:id="23"/>
      <w:bookmarkStart w:id="24" w:name="_Toc63785504"/>
      <w:bookmarkEnd w:id="24"/>
      <w:bookmarkStart w:id="25" w:name="_Toc63762370"/>
      <w:bookmarkEnd w:id="25"/>
    </w:p>
    <w:p>
      <w:pPr>
        <w:pStyle w:val="3"/>
        <w:rPr>
          <w:rFonts w:hint="eastAsia"/>
          <w:color w:val="auto"/>
          <w:highlight w:val="none"/>
        </w:rPr>
      </w:pPr>
      <w:bookmarkStart w:id="26" w:name="_Toc63785505"/>
      <w:r>
        <w:rPr>
          <w:rFonts w:hint="eastAsia"/>
          <w:color w:val="auto"/>
          <w:highlight w:val="none"/>
        </w:rPr>
        <w:t>售后服务要求</w:t>
      </w:r>
      <w:bookmarkEnd w:id="26"/>
    </w:p>
    <w:p>
      <w:pPr>
        <w:pStyle w:val="11"/>
        <w:snapToGrid w:val="0"/>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本项目从系统验收通过之日起1年内提供</w:t>
      </w:r>
      <w:r>
        <w:rPr>
          <w:rFonts w:ascii="宋体" w:hAnsi="宋体"/>
          <w:color w:val="auto"/>
          <w:sz w:val="24"/>
          <w:szCs w:val="24"/>
          <w:highlight w:val="none"/>
        </w:rPr>
        <w:t>7*24小时免费技术支持</w:t>
      </w:r>
      <w:r>
        <w:rPr>
          <w:rFonts w:hint="eastAsia" w:ascii="宋体" w:hAnsi="宋体"/>
          <w:color w:val="auto"/>
          <w:sz w:val="24"/>
          <w:szCs w:val="24"/>
          <w:highlight w:val="none"/>
        </w:rPr>
        <w:t>和售后服务，1年后进入有偿维护期。</w:t>
      </w:r>
    </w:p>
    <w:p>
      <w:pPr>
        <w:pStyle w:val="11"/>
        <w:snapToGrid w:val="0"/>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在质量保证期内，供应商将按照售后服务的承诺提供保修和运行维护服务，如果厂商对信息系统中软、硬件设备等产品中的部分保修期超过上述期限的，则按照厂商的规定进行免费保修。</w:t>
      </w:r>
    </w:p>
    <w:p>
      <w:pPr>
        <w:pStyle w:val="11"/>
        <w:snapToGrid w:val="0"/>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在质量保证期内，供应商负责信息系统的运行维护工作，确保信息系统安全、稳定、可靠地运行。本项目涉及的运行维护工作范围为：系统技术支持、系统使用支持、运行环境的维护及漏洞修复等。</w:t>
      </w:r>
    </w:p>
    <w:p>
      <w:pPr>
        <w:pStyle w:val="3"/>
        <w:rPr>
          <w:rFonts w:hint="eastAsia"/>
          <w:color w:val="auto"/>
          <w:highlight w:val="none"/>
        </w:rPr>
      </w:pPr>
      <w:bookmarkStart w:id="27" w:name="_Toc63785506"/>
      <w:r>
        <w:rPr>
          <w:rFonts w:hint="eastAsia"/>
          <w:color w:val="auto"/>
          <w:highlight w:val="none"/>
        </w:rPr>
        <w:t>应急响应要求</w:t>
      </w:r>
      <w:bookmarkEnd w:id="27"/>
    </w:p>
    <w:p>
      <w:pPr>
        <w:pStyle w:val="11"/>
        <w:snapToGrid w:val="0"/>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供应商对系统故障应能够实时响应，若系统发生故障，接到通知后</w:t>
      </w:r>
      <w:r>
        <w:rPr>
          <w:rFonts w:ascii="宋体" w:hAnsi="宋体"/>
          <w:color w:val="auto"/>
          <w:sz w:val="24"/>
          <w:szCs w:val="24"/>
          <w:highlight w:val="none"/>
        </w:rPr>
        <w:t>30分钟之内响应，专业工程师2小时内到达现场</w:t>
      </w:r>
      <w:r>
        <w:rPr>
          <w:rFonts w:hint="eastAsia" w:ascii="宋体" w:hAnsi="宋体"/>
          <w:color w:val="auto"/>
          <w:sz w:val="24"/>
          <w:szCs w:val="24"/>
          <w:highlight w:val="none"/>
        </w:rPr>
        <w:t>。特殊故障与客户沟通协商后，按照协商的方式制定解决方案并进行处理。</w:t>
      </w:r>
    </w:p>
    <w:p>
      <w:pPr>
        <w:pStyle w:val="11"/>
        <w:snapToGrid w:val="0"/>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具体故障级别及对应的应急响应要求如下：</w:t>
      </w:r>
    </w:p>
    <w:p>
      <w:pPr>
        <w:pStyle w:val="11"/>
        <w:snapToGrid w:val="0"/>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一级故障：在</w:t>
      </w:r>
      <w:r>
        <w:rPr>
          <w:rFonts w:ascii="宋体" w:hAnsi="宋体"/>
          <w:color w:val="auto"/>
          <w:sz w:val="24"/>
          <w:szCs w:val="24"/>
          <w:highlight w:val="none"/>
        </w:rPr>
        <w:t>1小时内确诊，总故障解决时间不超过4小时。</w:t>
      </w:r>
    </w:p>
    <w:p>
      <w:pPr>
        <w:pStyle w:val="11"/>
        <w:snapToGrid w:val="0"/>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二级故障：在</w:t>
      </w:r>
      <w:r>
        <w:rPr>
          <w:rFonts w:ascii="宋体" w:hAnsi="宋体"/>
          <w:color w:val="auto"/>
          <w:sz w:val="24"/>
          <w:szCs w:val="24"/>
          <w:highlight w:val="none"/>
        </w:rPr>
        <w:t>2小时内确诊，并在4小时内由专家到达现场确诊并解决，总故障解决时间不超过8小时；</w:t>
      </w:r>
    </w:p>
    <w:p>
      <w:pPr>
        <w:pStyle w:val="11"/>
        <w:snapToGrid w:val="0"/>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三、四级故障：在</w:t>
      </w:r>
      <w:r>
        <w:rPr>
          <w:rFonts w:ascii="宋体" w:hAnsi="宋体"/>
          <w:color w:val="auto"/>
          <w:sz w:val="24"/>
          <w:szCs w:val="24"/>
          <w:highlight w:val="none"/>
        </w:rPr>
        <w:t>4小时内确诊故障，总故障解决时间不超过16小时。</w:t>
      </w:r>
    </w:p>
    <w:p>
      <w:pPr>
        <w:pStyle w:val="3"/>
        <w:rPr>
          <w:rFonts w:hint="eastAsia"/>
          <w:color w:val="auto"/>
          <w:highlight w:val="none"/>
        </w:rPr>
      </w:pPr>
      <w:bookmarkStart w:id="28" w:name="_Toc63785507"/>
      <w:r>
        <w:rPr>
          <w:rFonts w:hint="eastAsia"/>
          <w:color w:val="auto"/>
          <w:highlight w:val="none"/>
        </w:rPr>
        <w:t>培训要求</w:t>
      </w:r>
      <w:bookmarkEnd w:id="28"/>
    </w:p>
    <w:p>
      <w:pPr>
        <w:tabs>
          <w:tab w:val="right" w:pos="8312"/>
        </w:tabs>
        <w:rPr>
          <w:rFonts w:hint="eastAsia"/>
          <w:color w:val="auto"/>
          <w:highlight w:val="none"/>
        </w:rPr>
      </w:pPr>
      <w:r>
        <w:rPr>
          <w:rFonts w:hint="eastAsia"/>
          <w:color w:val="auto"/>
          <w:highlight w:val="none"/>
        </w:rPr>
        <w:t>对系统使用单位提供业务操作培训，应提供详细培训方案。</w:t>
      </w:r>
      <w:r>
        <w:rPr>
          <w:rFonts w:hint="eastAsia"/>
          <w:color w:val="auto"/>
          <w:highlight w:val="none"/>
        </w:rPr>
        <w:tab/>
      </w:r>
    </w:p>
    <w:p>
      <w:pPr>
        <w:rPr>
          <w:rFonts w:hint="eastAsia"/>
          <w:color w:val="auto"/>
          <w:highlight w:val="none"/>
        </w:rPr>
      </w:pPr>
      <w:r>
        <w:rPr>
          <w:rFonts w:hint="eastAsia"/>
          <w:color w:val="auto"/>
          <w:highlight w:val="none"/>
        </w:rPr>
        <w:t>(1)在12个月的质量保证期内，提供2次与项目相关的必要培训。</w:t>
      </w:r>
    </w:p>
    <w:p>
      <w:pPr>
        <w:rPr>
          <w:rFonts w:hint="eastAsia"/>
          <w:color w:val="auto"/>
          <w:highlight w:val="none"/>
        </w:rPr>
      </w:pPr>
      <w:r>
        <w:rPr>
          <w:rFonts w:hint="eastAsia"/>
          <w:color w:val="auto"/>
          <w:highlight w:val="none"/>
        </w:rPr>
        <w:t>(2)供应商需要开展分层次的人员培训工作，每次培训后应对参加培训人员进行测试，评估培训成果。培训应具有培训教材、培训环境和高水平的培训讲师。</w:t>
      </w:r>
    </w:p>
    <w:p>
      <w:pPr>
        <w:rPr>
          <w:rFonts w:hint="eastAsia"/>
          <w:strike/>
          <w:color w:val="auto"/>
          <w:szCs w:val="21"/>
          <w:highlight w:val="none"/>
        </w:rPr>
      </w:pPr>
      <w:r>
        <w:rPr>
          <w:rFonts w:hint="eastAsia"/>
          <w:color w:val="auto"/>
          <w:highlight w:val="none"/>
        </w:rPr>
        <w:t>(3)供应商应提供一般用户的基础操作培训和部门信息管理员的日常应用维护的培训，确保用户对象能够掌握对应的操作技能。</w:t>
      </w:r>
    </w:p>
    <w:p>
      <w:pPr>
        <w:pStyle w:val="3"/>
        <w:rPr>
          <w:rFonts w:hint="eastAsia"/>
          <w:color w:val="auto"/>
          <w:highlight w:val="none"/>
        </w:rPr>
      </w:pPr>
      <w:bookmarkStart w:id="29" w:name="_Toc63785509"/>
      <w:r>
        <w:rPr>
          <w:rFonts w:hint="eastAsia"/>
          <w:color w:val="auto"/>
          <w:highlight w:val="none"/>
        </w:rPr>
        <w:t>进度要求</w:t>
      </w:r>
      <w:bookmarkEnd w:id="29"/>
    </w:p>
    <w:p>
      <w:pPr>
        <w:rPr>
          <w:rFonts w:hint="eastAsia"/>
          <w:color w:val="auto"/>
          <w:highlight w:val="none"/>
        </w:rPr>
      </w:pPr>
      <w:r>
        <w:rPr>
          <w:rFonts w:hint="eastAsia"/>
          <w:color w:val="auto"/>
          <w:highlight w:val="none"/>
          <w:lang w:eastAsia="zh-CN"/>
        </w:rPr>
        <w:t>供应商</w:t>
      </w:r>
      <w:r>
        <w:rPr>
          <w:rFonts w:hint="eastAsia"/>
          <w:color w:val="auto"/>
          <w:highlight w:val="none"/>
        </w:rPr>
        <w:t>应根据建设内容，分阶段制定合理的时间进度，并且应根据招标方要求进行调整和细化。</w:t>
      </w:r>
    </w:p>
    <w:p>
      <w:pPr>
        <w:rPr>
          <w:rFonts w:hint="eastAsia"/>
          <w:color w:val="auto"/>
          <w:highlight w:val="none"/>
        </w:rPr>
      </w:pPr>
      <w:r>
        <w:rPr>
          <w:rFonts w:hint="eastAsia"/>
          <w:color w:val="auto"/>
          <w:highlight w:val="none"/>
        </w:rPr>
        <w:t>自合同签订之日起</w:t>
      </w:r>
      <w:r>
        <w:rPr>
          <w:rFonts w:hint="eastAsia"/>
          <w:color w:val="auto"/>
          <w:highlight w:val="none"/>
          <w:lang w:val="en-US" w:eastAsia="zh-CN"/>
        </w:rPr>
        <w:t>6</w:t>
      </w:r>
      <w:r>
        <w:rPr>
          <w:rFonts w:hint="eastAsia"/>
          <w:color w:val="auto"/>
          <w:highlight w:val="none"/>
        </w:rPr>
        <w:t>个月内完成本项目的内容建设，包括30天试运行。</w:t>
      </w:r>
    </w:p>
    <w:p>
      <w:pPr>
        <w:pStyle w:val="3"/>
        <w:rPr>
          <w:rFonts w:hint="eastAsia"/>
          <w:color w:val="auto"/>
          <w:highlight w:val="none"/>
        </w:rPr>
      </w:pPr>
      <w:r>
        <w:rPr>
          <w:rFonts w:hint="eastAsia"/>
          <w:color w:val="auto"/>
          <w:highlight w:val="none"/>
        </w:rPr>
        <w:t>等级保护要求</w:t>
      </w:r>
    </w:p>
    <w:p>
      <w:pPr>
        <w:rPr>
          <w:rFonts w:hint="eastAsia"/>
          <w:color w:val="auto"/>
          <w:highlight w:val="none"/>
        </w:rPr>
      </w:pPr>
      <w:r>
        <w:rPr>
          <w:rFonts w:hint="eastAsia"/>
          <w:color w:val="auto"/>
          <w:highlight w:val="none"/>
        </w:rPr>
        <w:t>本项目软件开发部分按照等保2.0三级进行建设。</w:t>
      </w:r>
    </w:p>
    <w:p>
      <w:pPr>
        <w:pStyle w:val="3"/>
        <w:rPr>
          <w:rFonts w:hint="eastAsia"/>
          <w:color w:val="auto"/>
          <w:highlight w:val="none"/>
        </w:rPr>
      </w:pPr>
      <w:r>
        <w:rPr>
          <w:rFonts w:hint="eastAsia"/>
          <w:color w:val="auto"/>
          <w:highlight w:val="none"/>
        </w:rPr>
        <w:t>商业密码应用需求</w:t>
      </w:r>
    </w:p>
    <w:p>
      <w:pPr>
        <w:rPr>
          <w:rFonts w:hint="eastAsia"/>
          <w:color w:val="auto"/>
          <w:highlight w:val="none"/>
        </w:rPr>
      </w:pPr>
      <w:r>
        <w:rPr>
          <w:rFonts w:hint="eastAsia"/>
          <w:color w:val="auto"/>
          <w:highlight w:val="none"/>
        </w:rPr>
        <w:t>本项目软件开发部分依据商用密码应用三级信息系统要求建设。</w:t>
      </w:r>
    </w:p>
    <w:p>
      <w:pPr>
        <w:pStyle w:val="3"/>
        <w:rPr>
          <w:rFonts w:hint="eastAsia"/>
          <w:color w:val="auto"/>
          <w:highlight w:val="none"/>
        </w:rPr>
      </w:pPr>
      <w:bookmarkStart w:id="30" w:name="_Toc63785510"/>
      <w:r>
        <w:rPr>
          <w:rFonts w:hint="eastAsia"/>
          <w:color w:val="auto"/>
          <w:highlight w:val="none"/>
        </w:rPr>
        <w:t>项目团队及驻场人员要求</w:t>
      </w:r>
      <w:bookmarkEnd w:id="30"/>
    </w:p>
    <w:p>
      <w:pPr>
        <w:numPr>
          <w:ilvl w:val="0"/>
          <w:numId w:val="2"/>
        </w:numPr>
        <w:rPr>
          <w:rFonts w:hint="eastAsia"/>
          <w:color w:val="auto"/>
          <w:highlight w:val="none"/>
        </w:rPr>
      </w:pPr>
      <w:r>
        <w:rPr>
          <w:rFonts w:hint="eastAsia"/>
          <w:color w:val="auto"/>
          <w:highlight w:val="none"/>
          <w:lang w:eastAsia="zh-CN"/>
        </w:rPr>
        <w:t>供应商</w:t>
      </w:r>
      <w:r>
        <w:rPr>
          <w:color w:val="auto"/>
          <w:highlight w:val="none"/>
        </w:rPr>
        <w:t>须具有稳定的在职技术保障力量，能够提供及时的技术支援或服务，</w:t>
      </w:r>
      <w:r>
        <w:rPr>
          <w:rFonts w:hint="eastAsia"/>
          <w:color w:val="auto"/>
          <w:highlight w:val="none"/>
        </w:rPr>
        <w:t>供应商</w:t>
      </w:r>
      <w:bookmarkStart w:id="31" w:name="OLE_LINK4"/>
      <w:r>
        <w:rPr>
          <w:rFonts w:hint="eastAsia"/>
          <w:color w:val="auto"/>
          <w:highlight w:val="none"/>
        </w:rPr>
        <w:t>具有ISO20000IT信息技术服务管理体系认证、ISO27001信息安全管理体系认证、ISO9001质量管理体系认证的</w:t>
      </w:r>
      <w:bookmarkEnd w:id="31"/>
      <w:r>
        <w:rPr>
          <w:rFonts w:hint="eastAsia"/>
          <w:color w:val="auto"/>
          <w:highlight w:val="none"/>
        </w:rPr>
        <w:t>。</w:t>
      </w:r>
    </w:p>
    <w:p>
      <w:pPr>
        <w:numPr>
          <w:ilvl w:val="0"/>
          <w:numId w:val="2"/>
        </w:numPr>
        <w:rPr>
          <w:rFonts w:hint="eastAsia"/>
          <w:color w:val="auto"/>
          <w:highlight w:val="none"/>
        </w:rPr>
      </w:pPr>
      <w:r>
        <w:rPr>
          <w:rFonts w:hint="eastAsia"/>
          <w:color w:val="auto"/>
          <w:highlight w:val="none"/>
          <w:lang w:eastAsia="zh-CN"/>
        </w:rPr>
        <w:t>响应供应商</w:t>
      </w:r>
      <w:r>
        <w:rPr>
          <w:rFonts w:hint="eastAsia"/>
          <w:color w:val="auto"/>
          <w:highlight w:val="none"/>
        </w:rPr>
        <w:t>应</w:t>
      </w:r>
      <w:r>
        <w:rPr>
          <w:color w:val="auto"/>
          <w:highlight w:val="none"/>
        </w:rPr>
        <w:t>提供不少于</w:t>
      </w:r>
      <w:r>
        <w:rPr>
          <w:rFonts w:hint="eastAsia"/>
          <w:color w:val="auto"/>
          <w:highlight w:val="none"/>
        </w:rPr>
        <w:t>5</w:t>
      </w:r>
      <w:r>
        <w:rPr>
          <w:color w:val="auto"/>
          <w:highlight w:val="none"/>
        </w:rPr>
        <w:t>人的项目服务团队（包括项目</w:t>
      </w:r>
      <w:r>
        <w:rPr>
          <w:rFonts w:hint="eastAsia"/>
          <w:color w:val="auto"/>
          <w:highlight w:val="none"/>
          <w:lang w:eastAsia="zh-CN"/>
        </w:rPr>
        <w:t>负责人</w:t>
      </w:r>
      <w:r>
        <w:rPr>
          <w:color w:val="auto"/>
          <w:highlight w:val="none"/>
        </w:rPr>
        <w:t>、技术负责人、</w:t>
      </w:r>
      <w:r>
        <w:rPr>
          <w:rFonts w:hint="eastAsia"/>
          <w:color w:val="auto"/>
          <w:highlight w:val="none"/>
        </w:rPr>
        <w:t>工程师</w:t>
      </w:r>
      <w:r>
        <w:rPr>
          <w:color w:val="auto"/>
          <w:highlight w:val="none"/>
        </w:rPr>
        <w:t>等）</w:t>
      </w:r>
      <w:r>
        <w:rPr>
          <w:rFonts w:hint="eastAsia"/>
          <w:color w:val="auto"/>
          <w:highlight w:val="none"/>
        </w:rPr>
        <w:t>；其中项目负责人</w:t>
      </w:r>
      <w:r>
        <w:rPr>
          <w:rFonts w:hint="eastAsia"/>
          <w:color w:val="auto"/>
          <w:highlight w:val="none"/>
          <w:lang w:eastAsia="zh-CN"/>
        </w:rPr>
        <w:t>需</w:t>
      </w:r>
      <w:r>
        <w:rPr>
          <w:rFonts w:hint="eastAsia"/>
          <w:color w:val="auto"/>
          <w:highlight w:val="none"/>
        </w:rPr>
        <w:t>具备</w:t>
      </w:r>
      <w:r>
        <w:rPr>
          <w:rFonts w:hint="eastAsia"/>
          <w:color w:val="auto"/>
          <w:highlight w:val="none"/>
          <w:lang w:eastAsia="zh-CN"/>
        </w:rPr>
        <w:t>信息</w:t>
      </w:r>
      <w:r>
        <w:rPr>
          <w:rFonts w:hint="eastAsia"/>
          <w:color w:val="auto"/>
          <w:highlight w:val="none"/>
        </w:rPr>
        <w:t>系统项目管理师（高级）</w:t>
      </w:r>
      <w:r>
        <w:rPr>
          <w:rFonts w:hint="eastAsia"/>
          <w:color w:val="auto"/>
          <w:highlight w:val="none"/>
          <w:lang w:eastAsia="zh-CN"/>
        </w:rPr>
        <w:t>证书</w:t>
      </w:r>
      <w:r>
        <w:rPr>
          <w:rFonts w:hint="eastAsia"/>
          <w:color w:val="auto"/>
          <w:highlight w:val="none"/>
        </w:rPr>
        <w:t>，技术负责人</w:t>
      </w:r>
      <w:r>
        <w:rPr>
          <w:rFonts w:hint="eastAsia"/>
          <w:color w:val="auto"/>
          <w:highlight w:val="none"/>
          <w:lang w:eastAsia="zh-CN"/>
        </w:rPr>
        <w:t>需</w:t>
      </w:r>
      <w:r>
        <w:rPr>
          <w:rFonts w:hint="eastAsia"/>
          <w:color w:val="auto"/>
          <w:highlight w:val="none"/>
        </w:rPr>
        <w:t>具备系统分析师</w:t>
      </w:r>
      <w:r>
        <w:rPr>
          <w:rFonts w:hint="eastAsia"/>
          <w:color w:val="auto"/>
          <w:highlight w:val="none"/>
          <w:lang w:eastAsia="zh-CN"/>
        </w:rPr>
        <w:t>（高级）</w:t>
      </w:r>
      <w:r>
        <w:rPr>
          <w:rFonts w:hint="eastAsia"/>
          <w:color w:val="auto"/>
          <w:highlight w:val="none"/>
        </w:rPr>
        <w:t>、团队成员</w:t>
      </w:r>
      <w:r>
        <w:rPr>
          <w:rFonts w:hint="eastAsia"/>
          <w:color w:val="auto"/>
          <w:highlight w:val="none"/>
          <w:lang w:eastAsia="zh-CN"/>
        </w:rPr>
        <w:t>需</w:t>
      </w:r>
      <w:r>
        <w:rPr>
          <w:rFonts w:hint="eastAsia"/>
          <w:color w:val="auto"/>
          <w:highlight w:val="none"/>
        </w:rPr>
        <w:t>具备工程师资质</w:t>
      </w:r>
      <w:r>
        <w:rPr>
          <w:rFonts w:hint="eastAsia"/>
          <w:color w:val="auto"/>
          <w:highlight w:val="none"/>
          <w:lang w:eastAsia="zh-CN"/>
        </w:rPr>
        <w:t>（中级职称）</w:t>
      </w:r>
      <w:r>
        <w:rPr>
          <w:rFonts w:hint="eastAsia"/>
          <w:color w:val="auto"/>
          <w:highlight w:val="none"/>
        </w:rPr>
        <w:t>。</w:t>
      </w:r>
    </w:p>
    <w:p>
      <w:pPr>
        <w:pStyle w:val="3"/>
        <w:rPr>
          <w:rFonts w:hint="eastAsia"/>
          <w:color w:val="auto"/>
          <w:highlight w:val="none"/>
        </w:rPr>
      </w:pPr>
      <w:bookmarkStart w:id="32" w:name="_Toc63785512"/>
      <w:r>
        <w:rPr>
          <w:rFonts w:hint="eastAsia"/>
          <w:color w:val="auto"/>
          <w:highlight w:val="none"/>
        </w:rPr>
        <w:t>技术文件要求</w:t>
      </w:r>
    </w:p>
    <w:p>
      <w:pPr>
        <w:rPr>
          <w:rFonts w:hint="eastAsia"/>
          <w:color w:val="auto"/>
          <w:highlight w:val="none"/>
        </w:rPr>
      </w:pPr>
      <w:r>
        <w:rPr>
          <w:rFonts w:hint="eastAsia"/>
          <w:color w:val="auto"/>
          <w:highlight w:val="none"/>
          <w:lang w:eastAsia="zh-CN"/>
        </w:rPr>
        <w:t>供应商</w:t>
      </w:r>
      <w:r>
        <w:rPr>
          <w:rFonts w:hint="eastAsia"/>
          <w:color w:val="auto"/>
          <w:highlight w:val="none"/>
        </w:rPr>
        <w:t>提供的书面技术资料应能确保系统正常运行所需的管理、运营及维护有关的全套文件。技术文件应该全面、完整、详细。</w:t>
      </w:r>
      <w:r>
        <w:rPr>
          <w:rFonts w:hint="eastAsia"/>
          <w:color w:val="auto"/>
          <w:highlight w:val="none"/>
          <w:lang w:eastAsia="zh-CN"/>
        </w:rPr>
        <w:t>供应商</w:t>
      </w:r>
      <w:r>
        <w:rPr>
          <w:rFonts w:hint="eastAsia"/>
          <w:color w:val="auto"/>
          <w:highlight w:val="none"/>
        </w:rPr>
        <w:t>提供的技术文件至少应包括：</w:t>
      </w:r>
    </w:p>
    <w:p>
      <w:pPr>
        <w:rPr>
          <w:rFonts w:hint="eastAsia"/>
          <w:color w:val="auto"/>
          <w:highlight w:val="none"/>
        </w:rPr>
      </w:pPr>
      <w:r>
        <w:rPr>
          <w:rFonts w:hint="eastAsia"/>
          <w:color w:val="auto"/>
          <w:highlight w:val="none"/>
        </w:rPr>
        <w:t>－</w:t>
      </w:r>
      <w:r>
        <w:rPr>
          <w:color w:val="auto"/>
          <w:highlight w:val="none"/>
        </w:rPr>
        <w:t xml:space="preserve"> 系统说明文件； </w:t>
      </w:r>
    </w:p>
    <w:p>
      <w:pPr>
        <w:rPr>
          <w:rFonts w:hint="eastAsia"/>
          <w:color w:val="auto"/>
          <w:highlight w:val="none"/>
        </w:rPr>
      </w:pPr>
      <w:r>
        <w:rPr>
          <w:rFonts w:hint="eastAsia"/>
          <w:color w:val="auto"/>
          <w:highlight w:val="none"/>
        </w:rPr>
        <w:t>－</w:t>
      </w:r>
      <w:r>
        <w:rPr>
          <w:color w:val="auto"/>
          <w:highlight w:val="none"/>
        </w:rPr>
        <w:t xml:space="preserve"> 技术手册(安装、测试、操作、维护、故障排除等)； </w:t>
      </w:r>
    </w:p>
    <w:p>
      <w:pPr>
        <w:rPr>
          <w:rFonts w:hint="eastAsia"/>
          <w:color w:val="auto"/>
          <w:highlight w:val="none"/>
        </w:rPr>
      </w:pPr>
      <w:r>
        <w:rPr>
          <w:rFonts w:hint="eastAsia"/>
          <w:color w:val="auto"/>
          <w:highlight w:val="none"/>
        </w:rPr>
        <w:t>－</w:t>
      </w:r>
      <w:r>
        <w:rPr>
          <w:color w:val="auto"/>
          <w:highlight w:val="none"/>
        </w:rPr>
        <w:t xml:space="preserve"> 项目文档，应该包括：</w:t>
      </w:r>
    </w:p>
    <w:p>
      <w:pPr>
        <w:ind w:left="360"/>
        <w:rPr>
          <w:rFonts w:hint="eastAsia"/>
          <w:color w:val="auto"/>
          <w:highlight w:val="none"/>
        </w:rPr>
      </w:pPr>
      <w:r>
        <w:rPr>
          <w:color w:val="auto"/>
          <w:highlight w:val="none"/>
        </w:rPr>
        <w:t>(1)</w:t>
      </w:r>
      <w:r>
        <w:rPr>
          <w:rFonts w:hint="eastAsia"/>
          <w:color w:val="auto"/>
          <w:highlight w:val="none"/>
        </w:rPr>
        <w:t>产品使用说明书</w:t>
      </w:r>
    </w:p>
    <w:p>
      <w:pPr>
        <w:ind w:left="360"/>
        <w:rPr>
          <w:rFonts w:hint="eastAsia"/>
          <w:color w:val="auto"/>
          <w:highlight w:val="none"/>
        </w:rPr>
      </w:pPr>
      <w:r>
        <w:rPr>
          <w:color w:val="auto"/>
          <w:highlight w:val="none"/>
        </w:rPr>
        <w:t>(2)</w:t>
      </w:r>
      <w:r>
        <w:rPr>
          <w:color w:val="auto"/>
          <w:highlight w:val="none"/>
        </w:rPr>
        <w:tab/>
      </w:r>
      <w:r>
        <w:rPr>
          <w:color w:val="auto"/>
          <w:highlight w:val="none"/>
        </w:rPr>
        <w:t>系统总体设计说明书</w:t>
      </w:r>
    </w:p>
    <w:p>
      <w:pPr>
        <w:ind w:left="360"/>
        <w:rPr>
          <w:rFonts w:hint="eastAsia"/>
          <w:color w:val="auto"/>
          <w:highlight w:val="none"/>
        </w:rPr>
      </w:pPr>
      <w:r>
        <w:rPr>
          <w:color w:val="auto"/>
          <w:highlight w:val="none"/>
        </w:rPr>
        <w:t>(3)</w:t>
      </w:r>
      <w:r>
        <w:rPr>
          <w:rFonts w:hint="eastAsia"/>
          <w:color w:val="auto"/>
          <w:highlight w:val="none"/>
        </w:rPr>
        <w:t>软件产品功能清单</w:t>
      </w:r>
    </w:p>
    <w:p>
      <w:pPr>
        <w:ind w:left="360"/>
        <w:rPr>
          <w:rFonts w:hint="eastAsia"/>
          <w:color w:val="auto"/>
          <w:highlight w:val="none"/>
        </w:rPr>
      </w:pPr>
      <w:r>
        <w:rPr>
          <w:color w:val="auto"/>
          <w:highlight w:val="none"/>
        </w:rPr>
        <w:t>(</w:t>
      </w:r>
      <w:r>
        <w:rPr>
          <w:rFonts w:hint="eastAsia"/>
          <w:color w:val="auto"/>
          <w:highlight w:val="none"/>
        </w:rPr>
        <w:t>4</w:t>
      </w:r>
      <w:r>
        <w:rPr>
          <w:color w:val="auto"/>
          <w:highlight w:val="none"/>
        </w:rPr>
        <w:t>)</w:t>
      </w:r>
      <w:r>
        <w:rPr>
          <w:color w:val="auto"/>
          <w:highlight w:val="none"/>
        </w:rPr>
        <w:tab/>
      </w:r>
      <w:r>
        <w:rPr>
          <w:rFonts w:hint="eastAsia"/>
          <w:color w:val="auto"/>
          <w:highlight w:val="none"/>
        </w:rPr>
        <w:t>安全管理方案、应急方案</w:t>
      </w:r>
    </w:p>
    <w:p>
      <w:pPr>
        <w:pStyle w:val="12"/>
        <w:ind w:firstLine="480"/>
        <w:rPr>
          <w:rFonts w:hint="eastAsia"/>
          <w:strike/>
          <w:color w:val="auto"/>
          <w:highlight w:val="none"/>
        </w:rPr>
      </w:pPr>
      <w:r>
        <w:rPr>
          <w:rFonts w:hint="eastAsia"/>
          <w:color w:val="auto"/>
          <w:sz w:val="24"/>
          <w:szCs w:val="24"/>
          <w:highlight w:val="none"/>
        </w:rPr>
        <w:t>提供全套技术文件纸介质</w:t>
      </w:r>
      <w:r>
        <w:rPr>
          <w:color w:val="auto"/>
          <w:sz w:val="24"/>
          <w:szCs w:val="24"/>
          <w:highlight w:val="none"/>
        </w:rPr>
        <w:t>3套以及电子文件1套。</w:t>
      </w:r>
      <w:bookmarkEnd w:id="32"/>
    </w:p>
    <w:p>
      <w:pPr>
        <w:pStyle w:val="12"/>
        <w:ind w:firstLine="420"/>
        <w:rPr>
          <w:rFonts w:hint="eastAsia"/>
          <w:color w:val="auto"/>
          <w:highlight w:val="none"/>
        </w:rPr>
      </w:pPr>
    </w:p>
    <w:p>
      <w:pPr>
        <w:rPr>
          <w:rFonts w:hint="eastAsia"/>
          <w:color w:val="auto"/>
          <w:highlight w:val="none"/>
        </w:rPr>
      </w:pPr>
    </w:p>
    <w:bookmarkEnd w:id="33"/>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454"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6"/>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hint="eastAsia"/>
      </w:rPr>
    </w:pPr>
  </w:p>
  <w:p>
    <w:pPr>
      <w:rPr>
        <w:rFonts w:hint="eastAsia"/>
      </w:rPr>
    </w:pPr>
  </w:p>
  <w:p>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6"/>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p>
    <w:pPr>
      <w:rPr>
        <w:rFonts w:hint="eastAsia"/>
      </w:rPr>
    </w:pP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E74E3"/>
    <w:multiLevelType w:val="singleLevel"/>
    <w:tmpl w:val="F5AE74E3"/>
    <w:lvl w:ilvl="0" w:tentative="0">
      <w:start w:val="1"/>
      <w:numFmt w:val="decimal"/>
      <w:suff w:val="nothing"/>
      <w:lvlText w:val="%1）"/>
      <w:lvlJc w:val="left"/>
    </w:lvl>
  </w:abstractNum>
  <w:abstractNum w:abstractNumId="1">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rPr>
        <w:rFonts w:hint="eastAsia"/>
      </w:r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1OTMyYmVkNDBiZGZjOTJjNzg0ZTljMGM2NGM1NWEifQ=="/>
  </w:docVars>
  <w:rsids>
    <w:rsidRoot w:val="00F04040"/>
    <w:rsid w:val="00005EA8"/>
    <w:rsid w:val="00057DEF"/>
    <w:rsid w:val="0006749A"/>
    <w:rsid w:val="00076FBD"/>
    <w:rsid w:val="000B027E"/>
    <w:rsid w:val="000B3F3C"/>
    <w:rsid w:val="000D64C8"/>
    <w:rsid w:val="00101485"/>
    <w:rsid w:val="0013069B"/>
    <w:rsid w:val="0015194C"/>
    <w:rsid w:val="00153C55"/>
    <w:rsid w:val="001648E3"/>
    <w:rsid w:val="00173EFC"/>
    <w:rsid w:val="00180710"/>
    <w:rsid w:val="00192BBF"/>
    <w:rsid w:val="001A1EEE"/>
    <w:rsid w:val="001A7EDC"/>
    <w:rsid w:val="001E7C98"/>
    <w:rsid w:val="002B4B36"/>
    <w:rsid w:val="002E2C8A"/>
    <w:rsid w:val="0034638E"/>
    <w:rsid w:val="00352FAB"/>
    <w:rsid w:val="003738CD"/>
    <w:rsid w:val="003A6B66"/>
    <w:rsid w:val="003E40FB"/>
    <w:rsid w:val="004511A9"/>
    <w:rsid w:val="004557DB"/>
    <w:rsid w:val="0048513D"/>
    <w:rsid w:val="0048780E"/>
    <w:rsid w:val="004C3495"/>
    <w:rsid w:val="0050085F"/>
    <w:rsid w:val="005046BB"/>
    <w:rsid w:val="00514DFD"/>
    <w:rsid w:val="00542F05"/>
    <w:rsid w:val="005533ED"/>
    <w:rsid w:val="00576880"/>
    <w:rsid w:val="005A6C5C"/>
    <w:rsid w:val="005B7ACB"/>
    <w:rsid w:val="005F7DBB"/>
    <w:rsid w:val="0063010C"/>
    <w:rsid w:val="006B0787"/>
    <w:rsid w:val="006D0234"/>
    <w:rsid w:val="007052A3"/>
    <w:rsid w:val="00724455"/>
    <w:rsid w:val="0072575B"/>
    <w:rsid w:val="0076415C"/>
    <w:rsid w:val="007841F4"/>
    <w:rsid w:val="0078545F"/>
    <w:rsid w:val="0079031C"/>
    <w:rsid w:val="007A3888"/>
    <w:rsid w:val="008C7675"/>
    <w:rsid w:val="008F0D90"/>
    <w:rsid w:val="008F4407"/>
    <w:rsid w:val="009114D6"/>
    <w:rsid w:val="0093054F"/>
    <w:rsid w:val="009314B3"/>
    <w:rsid w:val="00944E55"/>
    <w:rsid w:val="00A05E3F"/>
    <w:rsid w:val="00A44B7B"/>
    <w:rsid w:val="00A61824"/>
    <w:rsid w:val="00A72D36"/>
    <w:rsid w:val="00AA1A08"/>
    <w:rsid w:val="00AA79D5"/>
    <w:rsid w:val="00AE4BC0"/>
    <w:rsid w:val="00B11392"/>
    <w:rsid w:val="00B86696"/>
    <w:rsid w:val="00BC5FBA"/>
    <w:rsid w:val="00C4254A"/>
    <w:rsid w:val="00C84B5D"/>
    <w:rsid w:val="00CC4C43"/>
    <w:rsid w:val="00CD2748"/>
    <w:rsid w:val="00CD7D04"/>
    <w:rsid w:val="00CE29CE"/>
    <w:rsid w:val="00CE33B9"/>
    <w:rsid w:val="00CE56BA"/>
    <w:rsid w:val="00D2478B"/>
    <w:rsid w:val="00D62F73"/>
    <w:rsid w:val="00D87580"/>
    <w:rsid w:val="00DF6795"/>
    <w:rsid w:val="00E01FBE"/>
    <w:rsid w:val="00EB1374"/>
    <w:rsid w:val="00EC22D2"/>
    <w:rsid w:val="00ED26AC"/>
    <w:rsid w:val="00EF031B"/>
    <w:rsid w:val="00F04040"/>
    <w:rsid w:val="00F15A8D"/>
    <w:rsid w:val="00FD6797"/>
    <w:rsid w:val="00FF587E"/>
    <w:rsid w:val="023C4E17"/>
    <w:rsid w:val="02EC0F13"/>
    <w:rsid w:val="02F94AB6"/>
    <w:rsid w:val="0457672F"/>
    <w:rsid w:val="045D72C7"/>
    <w:rsid w:val="04BD7D66"/>
    <w:rsid w:val="05E35C98"/>
    <w:rsid w:val="06CB676A"/>
    <w:rsid w:val="08CA7B52"/>
    <w:rsid w:val="092C1016"/>
    <w:rsid w:val="0FA25CB6"/>
    <w:rsid w:val="10D10E21"/>
    <w:rsid w:val="10F468BD"/>
    <w:rsid w:val="12AC38F3"/>
    <w:rsid w:val="16BE59A3"/>
    <w:rsid w:val="192468F6"/>
    <w:rsid w:val="194D74B2"/>
    <w:rsid w:val="1B6B3C20"/>
    <w:rsid w:val="1C0425E7"/>
    <w:rsid w:val="1CDC3027"/>
    <w:rsid w:val="1E05035C"/>
    <w:rsid w:val="1EA307B4"/>
    <w:rsid w:val="209D2ACD"/>
    <w:rsid w:val="20A025BE"/>
    <w:rsid w:val="20A53730"/>
    <w:rsid w:val="2217240B"/>
    <w:rsid w:val="222D60D3"/>
    <w:rsid w:val="25EF04B4"/>
    <w:rsid w:val="27473793"/>
    <w:rsid w:val="2BB3B465"/>
    <w:rsid w:val="2CBD0053"/>
    <w:rsid w:val="347B4A7C"/>
    <w:rsid w:val="34847DD4"/>
    <w:rsid w:val="36851BE2"/>
    <w:rsid w:val="37AB5678"/>
    <w:rsid w:val="37E167BB"/>
    <w:rsid w:val="385B0E4C"/>
    <w:rsid w:val="389F8787"/>
    <w:rsid w:val="3A23599A"/>
    <w:rsid w:val="3D5B369C"/>
    <w:rsid w:val="3DB167DC"/>
    <w:rsid w:val="3DB334D8"/>
    <w:rsid w:val="3F60143E"/>
    <w:rsid w:val="4044666A"/>
    <w:rsid w:val="42764AD5"/>
    <w:rsid w:val="469519CD"/>
    <w:rsid w:val="46EC4416"/>
    <w:rsid w:val="471843AC"/>
    <w:rsid w:val="47D06A35"/>
    <w:rsid w:val="485E2293"/>
    <w:rsid w:val="48945CB4"/>
    <w:rsid w:val="4BE362EB"/>
    <w:rsid w:val="4F922F4F"/>
    <w:rsid w:val="4FBF7ABB"/>
    <w:rsid w:val="4FCE5F50"/>
    <w:rsid w:val="4FDA66A3"/>
    <w:rsid w:val="500B2D00"/>
    <w:rsid w:val="50F96FFC"/>
    <w:rsid w:val="51CE38FA"/>
    <w:rsid w:val="529214B7"/>
    <w:rsid w:val="544E58B1"/>
    <w:rsid w:val="554F21C6"/>
    <w:rsid w:val="559A4897"/>
    <w:rsid w:val="55B55BE8"/>
    <w:rsid w:val="55D3606E"/>
    <w:rsid w:val="56A97331"/>
    <w:rsid w:val="57DF519E"/>
    <w:rsid w:val="58FE78A6"/>
    <w:rsid w:val="5C090159"/>
    <w:rsid w:val="5D1F603D"/>
    <w:rsid w:val="5E2F0501"/>
    <w:rsid w:val="5FD96977"/>
    <w:rsid w:val="60892B28"/>
    <w:rsid w:val="60F65306"/>
    <w:rsid w:val="615A5895"/>
    <w:rsid w:val="620138DD"/>
    <w:rsid w:val="63041F5D"/>
    <w:rsid w:val="64430863"/>
    <w:rsid w:val="645D785C"/>
    <w:rsid w:val="680B0829"/>
    <w:rsid w:val="68747C2B"/>
    <w:rsid w:val="6A002D52"/>
    <w:rsid w:val="6ACB3360"/>
    <w:rsid w:val="6C384A25"/>
    <w:rsid w:val="6F2F0361"/>
    <w:rsid w:val="6FE80510"/>
    <w:rsid w:val="70E07092"/>
    <w:rsid w:val="71C31235"/>
    <w:rsid w:val="736305DA"/>
    <w:rsid w:val="753501C6"/>
    <w:rsid w:val="76FD6F97"/>
    <w:rsid w:val="7863107C"/>
    <w:rsid w:val="795C61F7"/>
    <w:rsid w:val="799519AA"/>
    <w:rsid w:val="7A7F8FE2"/>
    <w:rsid w:val="7AFF6635"/>
    <w:rsid w:val="7B8F387E"/>
    <w:rsid w:val="7C3C5E6C"/>
    <w:rsid w:val="7C63164A"/>
    <w:rsid w:val="7CAF2317"/>
    <w:rsid w:val="7DFD696E"/>
    <w:rsid w:val="7ED1449D"/>
    <w:rsid w:val="7EE36A72"/>
    <w:rsid w:val="7FD3F51D"/>
    <w:rsid w:val="D167C51C"/>
    <w:rsid w:val="D7BFA4A7"/>
    <w:rsid w:val="DFFF75A8"/>
    <w:rsid w:val="EEEF460E"/>
    <w:rsid w:val="EEFF9B31"/>
    <w:rsid w:val="F9DF2A50"/>
    <w:rsid w:val="FF57D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left="0"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left="0" w:firstLine="0" w:firstLineChars="0"/>
      <w:outlineLvl w:val="1"/>
    </w:pPr>
    <w:rPr>
      <w:b/>
      <w:bCs/>
      <w:sz w:val="30"/>
      <w:szCs w:val="32"/>
    </w:rPr>
  </w:style>
  <w:style w:type="paragraph" w:styleId="4">
    <w:name w:val="heading 3"/>
    <w:basedOn w:val="3"/>
    <w:next w:val="1"/>
    <w:link w:val="19"/>
    <w:unhideWhenUsed/>
    <w:qFormat/>
    <w:uiPriority w:val="0"/>
    <w:pPr>
      <w:numPr>
        <w:ilvl w:val="2"/>
      </w:numPr>
      <w:outlineLvl w:val="2"/>
    </w:pPr>
  </w:style>
  <w:style w:type="paragraph" w:styleId="5">
    <w:name w:val="heading 6"/>
    <w:basedOn w:val="1"/>
    <w:next w:val="1"/>
    <w:qFormat/>
    <w:uiPriority w:val="9"/>
    <w:pPr>
      <w:keepNext/>
      <w:keepLines/>
      <w:spacing w:before="240" w:after="64" w:line="320" w:lineRule="auto"/>
      <w:outlineLvl w:val="5"/>
    </w:pPr>
    <w:rPr>
      <w:rFonts w:ascii="Cambria" w:hAnsi="Cambria"/>
      <w:b/>
      <w:bCs/>
      <w:kern w:val="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qFormat/>
    <w:uiPriority w:val="99"/>
    <w:pPr>
      <w:tabs>
        <w:tab w:val="center" w:pos="4153"/>
        <w:tab w:val="right" w:pos="8306"/>
      </w:tabs>
      <w:snapToGrid w:val="0"/>
      <w:spacing w:line="240" w:lineRule="auto"/>
      <w:jc w:val="left"/>
    </w:pPr>
    <w:rPr>
      <w:sz w:val="18"/>
      <w:szCs w:val="18"/>
    </w:rPr>
  </w:style>
  <w:style w:type="paragraph" w:styleId="7">
    <w:name w:val="header"/>
    <w:basedOn w:val="1"/>
    <w:link w:val="18"/>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2">
    <w:name w:val="正文正文2"/>
    <w:basedOn w:val="1"/>
    <w:autoRedefine/>
    <w:qFormat/>
    <w:uiPriority w:val="0"/>
    <w:pPr>
      <w:ind w:firstLine="460"/>
    </w:pPr>
    <w:rPr>
      <w:sz w:val="21"/>
      <w:szCs w:val="21"/>
    </w:rPr>
  </w:style>
  <w:style w:type="paragraph" w:customStyle="1" w:styleId="13">
    <w:name w:val="四级"/>
    <w:basedOn w:val="14"/>
    <w:qFormat/>
    <w:uiPriority w:val="0"/>
    <w:pPr>
      <w:spacing w:line="240" w:lineRule="auto"/>
      <w:ind w:firstLine="0" w:firstLineChars="0"/>
      <w:outlineLvl w:val="3"/>
    </w:pPr>
    <w:rPr>
      <w:rFonts w:ascii="仿宋_GB2312" w:eastAsia="仿宋_GB2312"/>
      <w:b/>
      <w:bCs/>
      <w:sz w:val="28"/>
      <w:szCs w:val="28"/>
    </w:rPr>
  </w:style>
  <w:style w:type="paragraph" w:customStyle="1" w:styleId="14">
    <w:name w:val="样式2"/>
    <w:basedOn w:val="1"/>
    <w:link w:val="16"/>
    <w:qFormat/>
    <w:uiPriority w:val="0"/>
    <w:pPr>
      <w:widowControl/>
      <w:adjustRightInd w:val="0"/>
      <w:ind w:firstLine="200"/>
    </w:pPr>
    <w:rPr>
      <w:kern w:val="0"/>
      <w:lang w:eastAsia="en-US"/>
    </w:rPr>
  </w:style>
  <w:style w:type="character" w:customStyle="1" w:styleId="15">
    <w:name w:val="页脚 字符"/>
    <w:basedOn w:val="10"/>
    <w:link w:val="6"/>
    <w:qFormat/>
    <w:uiPriority w:val="99"/>
    <w:rPr>
      <w:rFonts w:ascii="宋体" w:hAnsi="宋体" w:eastAsia="宋体" w:cs="Times New Roman"/>
      <w:kern w:val="2"/>
      <w:sz w:val="18"/>
      <w:szCs w:val="18"/>
    </w:rPr>
  </w:style>
  <w:style w:type="character" w:customStyle="1" w:styleId="16">
    <w:name w:val="样式2 字符"/>
    <w:basedOn w:val="10"/>
    <w:link w:val="14"/>
    <w:qFormat/>
    <w:uiPriority w:val="0"/>
    <w:rPr>
      <w:rFonts w:ascii="宋体" w:hAnsi="宋体" w:eastAsia="宋体" w:cs="Times New Roman"/>
      <w:sz w:val="24"/>
      <w:szCs w:val="24"/>
      <w:lang w:eastAsia="en-US"/>
    </w:rPr>
  </w:style>
  <w:style w:type="paragraph" w:styleId="17">
    <w:name w:val="List Paragraph"/>
    <w:basedOn w:val="1"/>
    <w:unhideWhenUsed/>
    <w:qFormat/>
    <w:uiPriority w:val="99"/>
    <w:pPr>
      <w:ind w:firstLine="420"/>
    </w:pPr>
  </w:style>
  <w:style w:type="character" w:customStyle="1" w:styleId="18">
    <w:name w:val="页眉 字符"/>
    <w:basedOn w:val="10"/>
    <w:link w:val="7"/>
    <w:qFormat/>
    <w:uiPriority w:val="99"/>
    <w:rPr>
      <w:rFonts w:ascii="Times New Roman" w:hAnsi="Times New Roman" w:eastAsia="宋体" w:cs="Times New Roman"/>
      <w:kern w:val="2"/>
      <w:sz w:val="18"/>
      <w:szCs w:val="18"/>
    </w:rPr>
  </w:style>
  <w:style w:type="character" w:customStyle="1" w:styleId="19">
    <w:name w:val="标题 3 字符"/>
    <w:basedOn w:val="10"/>
    <w:link w:val="4"/>
    <w:qFormat/>
    <w:uiPriority w:val="0"/>
    <w:rPr>
      <w:rFonts w:ascii="宋体" w:hAnsi="宋体" w:eastAsia="宋体" w:cs="Times New Roman"/>
      <w:b/>
      <w:bCs/>
      <w:kern w:val="2"/>
      <w:sz w:val="3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1297</Words>
  <Characters>7396</Characters>
  <Lines>61</Lines>
  <Paragraphs>17</Paragraphs>
  <TotalTime>10</TotalTime>
  <ScaleCrop>false</ScaleCrop>
  <LinksUpToDate>false</LinksUpToDate>
  <CharactersWithSpaces>8676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2025-12-26T02:37:00Z</dcterms:created>
  <dc:creator>user</dc:creator>
  <cp:lastModifiedBy>user</cp:lastModifiedBy>
  <dcterms:modified xsi:type="dcterms:W3CDTF">2026-01-09T10:35:36Z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696D7B374B6D43BAB1FA25D1B2F99EAF_13</vt:lpwstr>
  </property>
  <property fmtid="{D5CDD505-2E9C-101B-9397-08002B2CF9AE}" pid="4" name="KSOTemplateDocerSaveRecord">
    <vt:lpwstr>eyJoZGlkIjoiNGM3MmY0OTNjM2FiYjM2YjE2NGRhZTljZmIyMTQyNWMiLCJ1c2VySWQiOiIxNjQzMTc3ODEwIn0=</vt:lpwstr>
  </property>
</Properties>
</file>