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79EBB2"/>
    <w:p w14:paraId="6A27E629">
      <w:pPr>
        <w:jc w:val="center"/>
        <w:rPr>
          <w:sz w:val="72"/>
        </w:rPr>
      </w:pPr>
    </w:p>
    <w:p w14:paraId="5B14B190">
      <w:pPr>
        <w:jc w:val="center"/>
        <w:rPr>
          <w:sz w:val="72"/>
        </w:rPr>
      </w:pPr>
      <w:r>
        <w:rPr>
          <w:rFonts w:hint="eastAsia"/>
          <w:sz w:val="72"/>
        </w:rPr>
        <w:t>上海市口腔医院网络安全专项检查加固项目</w:t>
      </w:r>
    </w:p>
    <w:p w14:paraId="287EB09D">
      <w:pPr>
        <w:jc w:val="center"/>
        <w:rPr>
          <w:sz w:val="72"/>
        </w:rPr>
      </w:pPr>
    </w:p>
    <w:p w14:paraId="57899E24">
      <w:pPr>
        <w:jc w:val="center"/>
        <w:rPr>
          <w:sz w:val="72"/>
        </w:rPr>
      </w:pPr>
      <w:r>
        <w:rPr>
          <w:rFonts w:hint="eastAsia"/>
          <w:sz w:val="72"/>
        </w:rPr>
        <w:t>需求文件</w:t>
      </w:r>
    </w:p>
    <w:p w14:paraId="15E2304B">
      <w:pPr>
        <w:jc w:val="center"/>
        <w:rPr>
          <w:sz w:val="72"/>
        </w:rPr>
      </w:pPr>
    </w:p>
    <w:p w14:paraId="7548D2CA">
      <w:pPr>
        <w:jc w:val="center"/>
        <w:rPr>
          <w:sz w:val="72"/>
        </w:rPr>
      </w:pPr>
    </w:p>
    <w:p w14:paraId="6C248280">
      <w:pPr>
        <w:jc w:val="center"/>
        <w:rPr>
          <w:sz w:val="72"/>
        </w:rPr>
      </w:pPr>
    </w:p>
    <w:p w14:paraId="0B8A0AB4">
      <w:pPr>
        <w:jc w:val="center"/>
        <w:rPr>
          <w:sz w:val="72"/>
        </w:rPr>
      </w:pPr>
    </w:p>
    <w:p w14:paraId="2B259778">
      <w:pPr>
        <w:jc w:val="center"/>
        <w:rPr>
          <w:sz w:val="72"/>
        </w:rPr>
      </w:pPr>
      <w:r>
        <w:rPr>
          <w:sz w:val="72"/>
        </w:rPr>
        <w:br w:type="page"/>
      </w:r>
    </w:p>
    <w:p w14:paraId="119A5D7A">
      <w:pPr>
        <w:pStyle w:val="2"/>
      </w:pPr>
      <w:r>
        <w:rPr>
          <w:rFonts w:hint="eastAsia"/>
        </w:rPr>
        <w:t>项目简介</w:t>
      </w:r>
    </w:p>
    <w:p w14:paraId="02E52B9F">
      <w:pPr>
        <w:ind w:firstLine="480" w:firstLineChars="200"/>
      </w:pPr>
      <w:r>
        <w:t>上海市口腔医院始建于1946年，时名上海牙病中心防治所，是上海最早的公立口腔医疗机构。自上世纪50年代起，受上海市卫生健康委员会委托，指导全市口腔病防控工作，拥有全国最完整的口腔公共卫生三级防治网络，是本市口腔科普总召集人单位。医院设有北京东路院区、复兴中路院区、浦锦院区、永嘉路门诊部和天津路科研教学中心。年门急诊服务量70余万人次，是上海市口腔质量控制中心分中心，牵头上海市口腔病防治联合体及复旦大学口腔医疗联合体。</w:t>
      </w:r>
    </w:p>
    <w:p w14:paraId="2CDD6D67">
      <w:pPr>
        <w:ind w:firstLine="480" w:firstLineChars="200"/>
      </w:pPr>
      <w:r>
        <w:rPr>
          <w:rFonts w:hint="eastAsia"/>
        </w:rPr>
        <w:t>随着医院</w:t>
      </w:r>
      <w:r>
        <w:t>信息化</w:t>
      </w:r>
      <w:r>
        <w:rPr>
          <w:rFonts w:hint="eastAsia"/>
        </w:rPr>
        <w:t>、数字化的加速</w:t>
      </w:r>
      <w:r>
        <w:t>发展，为</w:t>
      </w:r>
      <w:r>
        <w:rPr>
          <w:rFonts w:hint="eastAsia"/>
        </w:rPr>
        <w:t>提升</w:t>
      </w:r>
      <w:r>
        <w:t>患者</w:t>
      </w:r>
      <w:r>
        <w:rPr>
          <w:rFonts w:hint="eastAsia"/>
        </w:rPr>
        <w:t>的就诊体验奠定了坚实基础</w:t>
      </w:r>
      <w:r>
        <w:t>，但是医疗信息的</w:t>
      </w:r>
      <w:r>
        <w:rPr>
          <w:rFonts w:hint="eastAsia"/>
        </w:rPr>
        <w:t>网络</w:t>
      </w:r>
      <w:r>
        <w:t>安全</w:t>
      </w:r>
      <w:r>
        <w:rPr>
          <w:rFonts w:hint="eastAsia"/>
        </w:rPr>
        <w:t>以及数据安全</w:t>
      </w:r>
      <w:r>
        <w:t>问题也伴随而来</w:t>
      </w:r>
      <w:r>
        <w:rPr>
          <w:rFonts w:hint="eastAsia"/>
        </w:rPr>
        <w:t>。在每年</w:t>
      </w:r>
      <w:r>
        <w:t>度上海市卫生健康行业网络安全管理绩效考核工作方案</w:t>
      </w:r>
      <w:r>
        <w:rPr>
          <w:rFonts w:hint="eastAsia"/>
        </w:rPr>
        <w:t>中明确提出，将</w:t>
      </w:r>
      <w:r>
        <w:t>网络安全管理工作纳入市管党政领导班于年度绩效考核内容。</w:t>
      </w:r>
      <w:r>
        <w:rPr>
          <w:rFonts w:hint="eastAsia"/>
        </w:rPr>
        <w:t>在此大背景下，结合各类法律法规指南，</w:t>
      </w:r>
      <w:r>
        <w:t>我院</w:t>
      </w:r>
      <w:r>
        <w:rPr>
          <w:rFonts w:hint="eastAsia"/>
        </w:rPr>
        <w:t>需要从信息安全保障体系建设的多个角度进行差距分析，并确定了本次项目需求。</w:t>
      </w:r>
    </w:p>
    <w:p w14:paraId="2A9C8BA6">
      <w:pPr>
        <w:ind w:firstLine="480" w:firstLineChars="200"/>
      </w:pPr>
    </w:p>
    <w:p w14:paraId="0793DE05">
      <w:pPr>
        <w:pStyle w:val="3"/>
      </w:pPr>
      <w:r>
        <w:rPr>
          <w:rFonts w:hint="eastAsia"/>
        </w:rPr>
        <w:t>项目目标</w:t>
      </w:r>
    </w:p>
    <w:p w14:paraId="7EECA02D">
      <w:pPr>
        <w:pStyle w:val="69"/>
        <w:ind w:firstLine="480" w:firstLineChars="200"/>
      </w:pPr>
      <w:r>
        <w:rPr>
          <w:rFonts w:hint="eastAsia"/>
        </w:rPr>
        <w:t>依据国家信息安全等级保护制度，遵循国家及</w:t>
      </w:r>
      <w:r>
        <w:t>上海市相关</w:t>
      </w:r>
      <w:r>
        <w:rPr>
          <w:rFonts w:hint="eastAsia"/>
        </w:rPr>
        <w:t>标准规范，明确信息安全保障重点，建立信息安全等级保护工作机制，切实提高中心信息安全防护能力、隐患发现能力、应急处置能力，有效满足系统的可靠性、安全性、稳定性和先进性要求，为中心信息化健康发展提供可靠保障，全面维护患者</w:t>
      </w:r>
      <w:r>
        <w:t>利益、</w:t>
      </w:r>
      <w:r>
        <w:rPr>
          <w:rFonts w:hint="eastAsia"/>
        </w:rPr>
        <w:t>公共利益和社会秩序。</w:t>
      </w:r>
    </w:p>
    <w:p w14:paraId="7BAA57F3">
      <w:pPr>
        <w:ind w:firstLine="480" w:firstLineChars="200"/>
      </w:pPr>
    </w:p>
    <w:p w14:paraId="23A7ACC5">
      <w:pPr>
        <w:pStyle w:val="3"/>
      </w:pPr>
      <w:r>
        <w:rPr>
          <w:rFonts w:hint="eastAsia"/>
        </w:rPr>
        <w:t>项目依据</w:t>
      </w:r>
    </w:p>
    <w:p w14:paraId="68F407AE">
      <w:pPr>
        <w:pStyle w:val="31"/>
        <w:numPr>
          <w:ilvl w:val="0"/>
          <w:numId w:val="2"/>
        </w:numPr>
        <w:ind w:firstLineChars="0"/>
        <w:jc w:val="left"/>
      </w:pPr>
      <w:r>
        <w:rPr>
          <w:rFonts w:hint="eastAsia"/>
        </w:rPr>
        <w:t>《信息安全技术</w:t>
      </w:r>
      <w:r>
        <w:t>关键信息基础设施安全检查评估指南</w:t>
      </w:r>
      <w:r>
        <w:rPr>
          <w:rFonts w:hint="eastAsia"/>
        </w:rPr>
        <w:t>》；</w:t>
      </w:r>
    </w:p>
    <w:p w14:paraId="5851D1F3">
      <w:pPr>
        <w:pStyle w:val="31"/>
        <w:numPr>
          <w:ilvl w:val="0"/>
          <w:numId w:val="2"/>
        </w:numPr>
        <w:ind w:firstLineChars="0"/>
        <w:jc w:val="left"/>
      </w:pPr>
      <w:r>
        <w:rPr>
          <w:rFonts w:hint="eastAsia"/>
        </w:rPr>
        <w:t>《信息安全技术</w:t>
      </w:r>
      <w:r>
        <w:t>关键信息基础设施安全保障评价指标体系》</w:t>
      </w:r>
      <w:r>
        <w:rPr>
          <w:rFonts w:hint="eastAsia"/>
        </w:rPr>
        <w:t>;</w:t>
      </w:r>
    </w:p>
    <w:p w14:paraId="282FB362">
      <w:pPr>
        <w:pStyle w:val="31"/>
        <w:numPr>
          <w:ilvl w:val="0"/>
          <w:numId w:val="2"/>
        </w:numPr>
        <w:ind w:firstLineChars="0"/>
        <w:jc w:val="left"/>
      </w:pPr>
      <w:r>
        <w:rPr>
          <w:rFonts w:hint="eastAsia"/>
        </w:rPr>
        <w:t>《关键信息基础设施安全保护条例》(国务院令第</w:t>
      </w:r>
      <w:r>
        <w:t>745号);</w:t>
      </w:r>
    </w:p>
    <w:p w14:paraId="7B68AACF">
      <w:pPr>
        <w:pStyle w:val="31"/>
        <w:numPr>
          <w:ilvl w:val="0"/>
          <w:numId w:val="2"/>
        </w:numPr>
        <w:ind w:firstLineChars="0"/>
        <w:jc w:val="left"/>
      </w:pPr>
      <w:r>
        <w:rPr>
          <w:rFonts w:hint="eastAsia"/>
        </w:rPr>
        <w:t>《计算机信息系统安全保护等级划分准则》（GB17859-1999）；</w:t>
      </w:r>
    </w:p>
    <w:p w14:paraId="550F5B28">
      <w:pPr>
        <w:pStyle w:val="31"/>
        <w:numPr>
          <w:ilvl w:val="0"/>
          <w:numId w:val="2"/>
        </w:numPr>
        <w:ind w:firstLineChars="0"/>
        <w:jc w:val="left"/>
      </w:pPr>
      <w:r>
        <w:rPr>
          <w:rFonts w:hint="eastAsia"/>
        </w:rPr>
        <w:t>《信息安全技术 信息安全等级保护定级指南》（GB/T22240-20</w:t>
      </w:r>
      <w:r>
        <w:t>20</w:t>
      </w:r>
      <w:r>
        <w:rPr>
          <w:rFonts w:hint="eastAsia"/>
        </w:rPr>
        <w:t>）；</w:t>
      </w:r>
    </w:p>
    <w:p w14:paraId="3A4EF725">
      <w:pPr>
        <w:pStyle w:val="31"/>
        <w:numPr>
          <w:ilvl w:val="0"/>
          <w:numId w:val="2"/>
        </w:numPr>
        <w:ind w:firstLineChars="0"/>
        <w:jc w:val="left"/>
      </w:pPr>
      <w:r>
        <w:rPr>
          <w:rFonts w:hint="eastAsia"/>
        </w:rPr>
        <w:t>《信息安全技术 信息安全等级保护基本要求》（GB/T22239-20</w:t>
      </w:r>
      <w:r>
        <w:t>19</w:t>
      </w:r>
      <w:r>
        <w:rPr>
          <w:rFonts w:hint="eastAsia"/>
        </w:rPr>
        <w:t>）；</w:t>
      </w:r>
    </w:p>
    <w:p w14:paraId="075E6F0B">
      <w:pPr>
        <w:pStyle w:val="31"/>
        <w:numPr>
          <w:ilvl w:val="0"/>
          <w:numId w:val="2"/>
        </w:numPr>
        <w:ind w:firstLineChars="0"/>
        <w:jc w:val="left"/>
      </w:pPr>
      <w:r>
        <w:rPr>
          <w:rFonts w:hint="eastAsia"/>
        </w:rPr>
        <w:t>《信息安全技术 信息系统通用安全技术要求》（GB/T20271-2006）；</w:t>
      </w:r>
    </w:p>
    <w:p w14:paraId="09134FD3">
      <w:pPr>
        <w:pStyle w:val="31"/>
        <w:numPr>
          <w:ilvl w:val="0"/>
          <w:numId w:val="2"/>
        </w:numPr>
        <w:ind w:firstLineChars="0"/>
        <w:jc w:val="left"/>
      </w:pPr>
      <w:r>
        <w:rPr>
          <w:rFonts w:hint="eastAsia"/>
        </w:rPr>
        <w:t>《信息安全技术 网络安全等级保护安全设计技术要求》（GB/T2</w:t>
      </w:r>
      <w:r>
        <w:t>5070</w:t>
      </w:r>
      <w:r>
        <w:rPr>
          <w:rFonts w:hint="eastAsia"/>
        </w:rPr>
        <w:t>-</w:t>
      </w:r>
      <w:r>
        <w:t>2019</w:t>
      </w:r>
      <w:r>
        <w:rPr>
          <w:rFonts w:hint="eastAsia"/>
        </w:rPr>
        <w:t>）。</w:t>
      </w:r>
    </w:p>
    <w:p w14:paraId="3A0FB238">
      <w:pPr>
        <w:widowControl/>
        <w:spacing w:line="240" w:lineRule="auto"/>
        <w:jc w:val="left"/>
      </w:pPr>
    </w:p>
    <w:p w14:paraId="3F7DA57B">
      <w:pPr>
        <w:pStyle w:val="2"/>
      </w:pPr>
      <w:r>
        <w:rPr>
          <w:rFonts w:hint="eastAsia"/>
        </w:rPr>
        <w:t>项目建设内容</w:t>
      </w:r>
    </w:p>
    <w:p w14:paraId="6FB1A745">
      <w:pPr>
        <w:pStyle w:val="3"/>
        <w:rPr>
          <w:rFonts w:ascii="宋体" w:hAnsi="宋体" w:eastAsia="宋体"/>
        </w:rPr>
      </w:pPr>
      <w:r>
        <w:rPr>
          <w:rFonts w:hint="eastAsia" w:ascii="宋体" w:hAnsi="宋体" w:eastAsia="宋体"/>
        </w:rPr>
        <w:t>项目清单</w:t>
      </w:r>
    </w:p>
    <w:tbl>
      <w:tblPr>
        <w:tblStyle w:val="17"/>
        <w:tblW w:w="9309" w:type="dxa"/>
        <w:tblInd w:w="-3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2409"/>
        <w:gridCol w:w="4905"/>
        <w:gridCol w:w="623"/>
        <w:gridCol w:w="567"/>
      </w:tblGrid>
      <w:tr w14:paraId="6448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05" w:type="dxa"/>
            <w:vAlign w:val="center"/>
          </w:tcPr>
          <w:p w14:paraId="7F0749FC">
            <w:pPr>
              <w:widowControl/>
              <w:jc w:val="center"/>
              <w:textAlignment w:val="center"/>
              <w:rPr>
                <w:rFonts w:cs="宋体"/>
                <w:szCs w:val="24"/>
              </w:rPr>
            </w:pPr>
            <w:r>
              <w:rPr>
                <w:rFonts w:hint="eastAsia" w:cs="宋体"/>
                <w:kern w:val="0"/>
                <w:szCs w:val="24"/>
                <w:lang w:bidi="ar"/>
              </w:rPr>
              <w:t>序号</w:t>
            </w:r>
          </w:p>
        </w:tc>
        <w:tc>
          <w:tcPr>
            <w:tcW w:w="2409" w:type="dxa"/>
            <w:vAlign w:val="center"/>
          </w:tcPr>
          <w:p w14:paraId="3CBB23AA">
            <w:pPr>
              <w:widowControl/>
              <w:jc w:val="center"/>
              <w:textAlignment w:val="center"/>
              <w:rPr>
                <w:rFonts w:cs="宋体"/>
                <w:szCs w:val="24"/>
              </w:rPr>
            </w:pPr>
            <w:r>
              <w:rPr>
                <w:rFonts w:hint="eastAsia" w:cs="宋体"/>
                <w:kern w:val="0"/>
                <w:szCs w:val="24"/>
                <w:lang w:bidi="ar"/>
              </w:rPr>
              <w:t>产品/服务名称</w:t>
            </w:r>
          </w:p>
        </w:tc>
        <w:tc>
          <w:tcPr>
            <w:tcW w:w="4905" w:type="dxa"/>
            <w:vAlign w:val="center"/>
          </w:tcPr>
          <w:p w14:paraId="6DB4AA6A">
            <w:pPr>
              <w:widowControl/>
              <w:jc w:val="center"/>
              <w:textAlignment w:val="center"/>
              <w:rPr>
                <w:rFonts w:cs="宋体"/>
                <w:szCs w:val="24"/>
              </w:rPr>
            </w:pPr>
            <w:r>
              <w:rPr>
                <w:rFonts w:hint="eastAsia" w:cs="宋体"/>
                <w:kern w:val="0"/>
                <w:szCs w:val="24"/>
                <w:lang w:bidi="ar"/>
              </w:rPr>
              <w:t>产品规格-描述内容</w:t>
            </w:r>
          </w:p>
        </w:tc>
        <w:tc>
          <w:tcPr>
            <w:tcW w:w="623" w:type="dxa"/>
            <w:vAlign w:val="center"/>
          </w:tcPr>
          <w:p w14:paraId="028FBB09">
            <w:pPr>
              <w:widowControl/>
              <w:jc w:val="center"/>
              <w:textAlignment w:val="center"/>
              <w:rPr>
                <w:rFonts w:cs="宋体"/>
                <w:szCs w:val="24"/>
              </w:rPr>
            </w:pPr>
            <w:r>
              <w:rPr>
                <w:rFonts w:hint="eastAsia" w:cs="宋体"/>
                <w:kern w:val="0"/>
                <w:szCs w:val="24"/>
                <w:lang w:bidi="ar"/>
              </w:rPr>
              <w:t>单位</w:t>
            </w:r>
          </w:p>
        </w:tc>
        <w:tc>
          <w:tcPr>
            <w:tcW w:w="567" w:type="dxa"/>
            <w:vAlign w:val="center"/>
          </w:tcPr>
          <w:p w14:paraId="0C2A0EB2">
            <w:pPr>
              <w:widowControl/>
              <w:jc w:val="center"/>
              <w:textAlignment w:val="center"/>
              <w:rPr>
                <w:rFonts w:cs="宋体"/>
                <w:szCs w:val="24"/>
              </w:rPr>
            </w:pPr>
            <w:r>
              <w:rPr>
                <w:rFonts w:hint="eastAsia" w:cs="宋体"/>
                <w:kern w:val="0"/>
                <w:szCs w:val="24"/>
                <w:lang w:bidi="ar"/>
              </w:rPr>
              <w:t>数量</w:t>
            </w:r>
          </w:p>
        </w:tc>
      </w:tr>
      <w:tr w14:paraId="0801D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05" w:type="dxa"/>
            <w:vAlign w:val="center"/>
          </w:tcPr>
          <w:p w14:paraId="52F3BB4C">
            <w:pPr>
              <w:widowControl/>
              <w:jc w:val="center"/>
              <w:textAlignment w:val="center"/>
              <w:rPr>
                <w:rFonts w:cs="宋体"/>
                <w:kern w:val="0"/>
                <w:szCs w:val="24"/>
                <w:lang w:bidi="ar"/>
              </w:rPr>
            </w:pPr>
            <w:r>
              <w:rPr>
                <w:rFonts w:hint="eastAsia" w:cs="宋体"/>
                <w:kern w:val="0"/>
                <w:szCs w:val="24"/>
                <w:lang w:bidi="ar"/>
              </w:rPr>
              <w:t>1</w:t>
            </w:r>
          </w:p>
        </w:tc>
        <w:tc>
          <w:tcPr>
            <w:tcW w:w="2409" w:type="dxa"/>
            <w:vAlign w:val="center"/>
          </w:tcPr>
          <w:p w14:paraId="39571ADE">
            <w:pPr>
              <w:widowControl/>
              <w:jc w:val="center"/>
              <w:textAlignment w:val="center"/>
              <w:rPr>
                <w:rFonts w:cs="宋体"/>
                <w:kern w:val="0"/>
                <w:szCs w:val="24"/>
                <w:lang w:bidi="ar"/>
              </w:rPr>
            </w:pPr>
            <w:r>
              <w:rPr>
                <w:rFonts w:hint="eastAsia"/>
                <w:sz w:val="22"/>
                <w:szCs w:val="22"/>
              </w:rPr>
              <w:t>杀毒软件</w:t>
            </w:r>
          </w:p>
        </w:tc>
        <w:tc>
          <w:tcPr>
            <w:tcW w:w="4905" w:type="dxa"/>
            <w:vAlign w:val="center"/>
          </w:tcPr>
          <w:p w14:paraId="7E1DE985">
            <w:pPr>
              <w:widowControl/>
              <w:jc w:val="center"/>
              <w:textAlignment w:val="center"/>
              <w:rPr>
                <w:sz w:val="22"/>
                <w:szCs w:val="22"/>
              </w:rPr>
            </w:pPr>
            <w:r>
              <w:rPr>
                <w:rFonts w:hint="eastAsia"/>
                <w:sz w:val="22"/>
                <w:szCs w:val="22"/>
              </w:rPr>
              <w:t>支持XC、Windows、Linux等主流操作系统。</w:t>
            </w:r>
          </w:p>
          <w:p w14:paraId="65B9EF96">
            <w:pPr>
              <w:widowControl/>
              <w:jc w:val="center"/>
              <w:textAlignment w:val="center"/>
              <w:rPr>
                <w:rFonts w:cs="宋体"/>
                <w:kern w:val="0"/>
                <w:szCs w:val="24"/>
                <w:lang w:bidi="ar"/>
              </w:rPr>
            </w:pPr>
            <w:r>
              <w:rPr>
                <w:rFonts w:hint="eastAsia"/>
                <w:sz w:val="22"/>
                <w:szCs w:val="22"/>
              </w:rPr>
              <w:t>2年软件升级及维保。</w:t>
            </w:r>
          </w:p>
        </w:tc>
        <w:tc>
          <w:tcPr>
            <w:tcW w:w="623" w:type="dxa"/>
            <w:vAlign w:val="center"/>
          </w:tcPr>
          <w:p w14:paraId="2BF1BB0F">
            <w:pPr>
              <w:widowControl/>
              <w:jc w:val="center"/>
              <w:textAlignment w:val="center"/>
              <w:rPr>
                <w:rFonts w:cs="宋体"/>
                <w:kern w:val="0"/>
                <w:szCs w:val="24"/>
                <w:lang w:bidi="ar"/>
              </w:rPr>
            </w:pPr>
            <w:r>
              <w:rPr>
                <w:rFonts w:hint="eastAsia"/>
                <w:sz w:val="22"/>
                <w:szCs w:val="22"/>
              </w:rPr>
              <w:t>套</w:t>
            </w:r>
          </w:p>
        </w:tc>
        <w:tc>
          <w:tcPr>
            <w:tcW w:w="567" w:type="dxa"/>
            <w:vAlign w:val="center"/>
          </w:tcPr>
          <w:p w14:paraId="1191D784">
            <w:pPr>
              <w:widowControl/>
              <w:jc w:val="center"/>
              <w:textAlignment w:val="center"/>
              <w:rPr>
                <w:rFonts w:cs="宋体"/>
                <w:kern w:val="0"/>
                <w:szCs w:val="24"/>
                <w:lang w:bidi="ar"/>
              </w:rPr>
            </w:pPr>
            <w:r>
              <w:rPr>
                <w:rFonts w:hint="eastAsia"/>
                <w:sz w:val="22"/>
                <w:szCs w:val="22"/>
              </w:rPr>
              <w:t>1</w:t>
            </w:r>
          </w:p>
        </w:tc>
      </w:tr>
      <w:tr w14:paraId="2F40E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05" w:type="dxa"/>
            <w:vAlign w:val="center"/>
          </w:tcPr>
          <w:p w14:paraId="63EC50B1">
            <w:pPr>
              <w:widowControl/>
              <w:jc w:val="center"/>
              <w:textAlignment w:val="center"/>
              <w:rPr>
                <w:rFonts w:cs="宋体"/>
                <w:kern w:val="0"/>
                <w:szCs w:val="24"/>
                <w:lang w:bidi="ar"/>
              </w:rPr>
            </w:pPr>
            <w:bookmarkStart w:id="0" w:name="_Hlk228787941"/>
            <w:r>
              <w:rPr>
                <w:rFonts w:hint="eastAsia" w:cs="宋体"/>
                <w:kern w:val="0"/>
                <w:szCs w:val="24"/>
                <w:lang w:bidi="ar"/>
              </w:rPr>
              <w:t>2</w:t>
            </w:r>
          </w:p>
        </w:tc>
        <w:tc>
          <w:tcPr>
            <w:tcW w:w="2409" w:type="dxa"/>
            <w:vAlign w:val="center"/>
          </w:tcPr>
          <w:p w14:paraId="5E2FCC2E">
            <w:pPr>
              <w:widowControl/>
              <w:jc w:val="center"/>
              <w:textAlignment w:val="center"/>
              <w:rPr>
                <w:rFonts w:cs="宋体"/>
                <w:kern w:val="0"/>
                <w:szCs w:val="24"/>
                <w:lang w:bidi="ar"/>
              </w:rPr>
            </w:pPr>
            <w:r>
              <w:rPr>
                <w:sz w:val="22"/>
                <w:szCs w:val="22"/>
              </w:rPr>
              <w:t>API资产探测与安全管理系统</w:t>
            </w:r>
          </w:p>
        </w:tc>
        <w:tc>
          <w:tcPr>
            <w:tcW w:w="4905" w:type="dxa"/>
            <w:vAlign w:val="center"/>
          </w:tcPr>
          <w:p w14:paraId="72AB9A38">
            <w:pPr>
              <w:widowControl/>
              <w:jc w:val="center"/>
              <w:textAlignment w:val="center"/>
              <w:rPr>
                <w:sz w:val="22"/>
                <w:szCs w:val="22"/>
              </w:rPr>
            </w:pPr>
            <w:r>
              <w:rPr>
                <w:rFonts w:hint="eastAsia"/>
                <w:sz w:val="22"/>
                <w:szCs w:val="22"/>
              </w:rPr>
              <w:t>提供可视化的</w:t>
            </w:r>
            <w:r>
              <w:rPr>
                <w:sz w:val="22"/>
                <w:szCs w:val="22"/>
              </w:rPr>
              <w:t>API安全风险展示，通过流量监测分析实现对API生命周期的可视化管理，帮助企业实现API脆弱性分析、异常访问行为预警、敏感数据监测、线索追踪溯源等，从而全方位提升企业安全防护能力</w:t>
            </w:r>
            <w:r>
              <w:rPr>
                <w:rFonts w:hint="eastAsia"/>
                <w:sz w:val="22"/>
                <w:szCs w:val="22"/>
              </w:rPr>
              <w:t>。</w:t>
            </w:r>
          </w:p>
          <w:p w14:paraId="66D3CE99">
            <w:pPr>
              <w:widowControl/>
              <w:jc w:val="center"/>
              <w:textAlignment w:val="center"/>
              <w:rPr>
                <w:rFonts w:cs="宋体"/>
                <w:kern w:val="0"/>
                <w:szCs w:val="24"/>
                <w:lang w:bidi="ar"/>
              </w:rPr>
            </w:pPr>
            <w:r>
              <w:rPr>
                <w:rFonts w:hint="eastAsia"/>
                <w:sz w:val="22"/>
                <w:szCs w:val="22"/>
              </w:rPr>
              <w:t>软硬件3年维保。</w:t>
            </w:r>
          </w:p>
        </w:tc>
        <w:tc>
          <w:tcPr>
            <w:tcW w:w="623" w:type="dxa"/>
            <w:vAlign w:val="center"/>
          </w:tcPr>
          <w:p w14:paraId="7DC5EBF1">
            <w:pPr>
              <w:widowControl/>
              <w:jc w:val="center"/>
              <w:textAlignment w:val="center"/>
              <w:rPr>
                <w:rFonts w:cs="宋体"/>
                <w:kern w:val="0"/>
                <w:szCs w:val="24"/>
                <w:lang w:bidi="ar"/>
              </w:rPr>
            </w:pPr>
            <w:r>
              <w:rPr>
                <w:rFonts w:hint="eastAsia" w:cs="宋体"/>
                <w:kern w:val="0"/>
                <w:szCs w:val="22"/>
                <w:lang w:bidi="ar"/>
              </w:rPr>
              <w:t>台</w:t>
            </w:r>
          </w:p>
        </w:tc>
        <w:tc>
          <w:tcPr>
            <w:tcW w:w="567" w:type="dxa"/>
            <w:vAlign w:val="center"/>
          </w:tcPr>
          <w:p w14:paraId="498F7D5D">
            <w:pPr>
              <w:widowControl/>
              <w:jc w:val="center"/>
              <w:textAlignment w:val="center"/>
              <w:rPr>
                <w:rFonts w:cs="宋体"/>
                <w:kern w:val="0"/>
                <w:szCs w:val="24"/>
                <w:lang w:bidi="ar"/>
              </w:rPr>
            </w:pPr>
            <w:r>
              <w:rPr>
                <w:rFonts w:hint="eastAsia" w:cs="宋体"/>
                <w:kern w:val="0"/>
                <w:szCs w:val="22"/>
                <w:lang w:bidi="ar"/>
              </w:rPr>
              <w:t>1</w:t>
            </w:r>
          </w:p>
        </w:tc>
      </w:tr>
      <w:bookmarkEnd w:id="0"/>
      <w:tr w14:paraId="675C2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805" w:type="dxa"/>
            <w:vAlign w:val="center"/>
          </w:tcPr>
          <w:p w14:paraId="38EBDED0">
            <w:pPr>
              <w:widowControl/>
              <w:jc w:val="center"/>
              <w:textAlignment w:val="center"/>
              <w:rPr>
                <w:rFonts w:cs="宋体"/>
                <w:szCs w:val="24"/>
              </w:rPr>
            </w:pPr>
            <w:r>
              <w:rPr>
                <w:rFonts w:cs="宋体"/>
                <w:szCs w:val="24"/>
              </w:rPr>
              <w:t>3</w:t>
            </w:r>
          </w:p>
        </w:tc>
        <w:tc>
          <w:tcPr>
            <w:tcW w:w="2409" w:type="dxa"/>
            <w:vAlign w:val="center"/>
          </w:tcPr>
          <w:p w14:paraId="196C0D36">
            <w:pPr>
              <w:widowControl/>
              <w:jc w:val="center"/>
              <w:textAlignment w:val="center"/>
              <w:rPr>
                <w:rFonts w:cs="宋体"/>
                <w:szCs w:val="24"/>
              </w:rPr>
            </w:pPr>
            <w:r>
              <w:rPr>
                <w:rFonts w:hint="eastAsia" w:cs="宋体"/>
                <w:kern w:val="0"/>
                <w:szCs w:val="24"/>
                <w:lang w:bidi="ar"/>
              </w:rPr>
              <w:t>WEB全栈加密安全防护订阅服务</w:t>
            </w:r>
          </w:p>
        </w:tc>
        <w:tc>
          <w:tcPr>
            <w:tcW w:w="4905" w:type="dxa"/>
            <w:vAlign w:val="center"/>
          </w:tcPr>
          <w:p w14:paraId="203B22D7">
            <w:pPr>
              <w:widowControl/>
              <w:jc w:val="center"/>
              <w:textAlignment w:val="center"/>
              <w:rPr>
                <w:rFonts w:cs="宋体"/>
                <w:kern w:val="0"/>
                <w:szCs w:val="24"/>
                <w:lang w:bidi="ar"/>
              </w:rPr>
            </w:pPr>
            <w:r>
              <w:rPr>
                <w:rFonts w:hint="eastAsia" w:cs="宋体"/>
                <w:kern w:val="0"/>
                <w:szCs w:val="24"/>
                <w:lang w:bidi="ar"/>
              </w:rPr>
              <w:t>服务形式使用授权。</w:t>
            </w:r>
          </w:p>
          <w:p w14:paraId="7C73B237">
            <w:pPr>
              <w:widowControl/>
              <w:jc w:val="center"/>
              <w:textAlignment w:val="center"/>
              <w:rPr>
                <w:rFonts w:cs="宋体"/>
                <w:kern w:val="0"/>
                <w:szCs w:val="24"/>
                <w:lang w:bidi="ar"/>
              </w:rPr>
            </w:pPr>
            <w:r>
              <w:rPr>
                <w:rFonts w:hint="eastAsia" w:cs="宋体"/>
                <w:kern w:val="0"/>
                <w:szCs w:val="24"/>
                <w:lang w:bidi="ar"/>
              </w:rPr>
              <w:t>1年</w:t>
            </w:r>
            <w:r>
              <w:rPr>
                <w:rFonts w:hint="eastAsia"/>
                <w:sz w:val="22"/>
                <w:szCs w:val="22"/>
              </w:rPr>
              <w:t>软件升级及维保</w:t>
            </w:r>
            <w:r>
              <w:rPr>
                <w:rFonts w:hint="eastAsia" w:cs="宋体"/>
                <w:kern w:val="0"/>
                <w:szCs w:val="24"/>
                <w:lang w:bidi="ar"/>
              </w:rPr>
              <w:t>。</w:t>
            </w:r>
          </w:p>
        </w:tc>
        <w:tc>
          <w:tcPr>
            <w:tcW w:w="623" w:type="dxa"/>
            <w:vAlign w:val="center"/>
          </w:tcPr>
          <w:p w14:paraId="6A0949E4">
            <w:pPr>
              <w:widowControl/>
              <w:jc w:val="center"/>
              <w:textAlignment w:val="center"/>
              <w:rPr>
                <w:rFonts w:cs="宋体"/>
                <w:szCs w:val="24"/>
              </w:rPr>
            </w:pPr>
            <w:r>
              <w:rPr>
                <w:rFonts w:hint="eastAsia" w:cs="宋体"/>
                <w:kern w:val="0"/>
                <w:szCs w:val="24"/>
                <w:lang w:bidi="ar"/>
              </w:rPr>
              <w:t>年</w:t>
            </w:r>
          </w:p>
        </w:tc>
        <w:tc>
          <w:tcPr>
            <w:tcW w:w="567" w:type="dxa"/>
            <w:vAlign w:val="center"/>
          </w:tcPr>
          <w:p w14:paraId="4756EC4B">
            <w:pPr>
              <w:widowControl/>
              <w:jc w:val="center"/>
              <w:textAlignment w:val="center"/>
              <w:rPr>
                <w:rFonts w:cs="宋体"/>
                <w:szCs w:val="24"/>
              </w:rPr>
            </w:pPr>
            <w:r>
              <w:rPr>
                <w:rFonts w:hint="eastAsia" w:cs="宋体"/>
                <w:kern w:val="0"/>
                <w:szCs w:val="24"/>
                <w:lang w:bidi="ar"/>
              </w:rPr>
              <w:t>1</w:t>
            </w:r>
          </w:p>
        </w:tc>
      </w:tr>
      <w:tr w14:paraId="23301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05" w:type="dxa"/>
            <w:vAlign w:val="center"/>
          </w:tcPr>
          <w:p w14:paraId="6E4CF932">
            <w:pPr>
              <w:widowControl/>
              <w:jc w:val="center"/>
              <w:textAlignment w:val="center"/>
              <w:rPr>
                <w:rFonts w:cs="宋体"/>
                <w:szCs w:val="24"/>
              </w:rPr>
            </w:pPr>
            <w:r>
              <w:rPr>
                <w:rFonts w:cs="宋体"/>
                <w:szCs w:val="24"/>
              </w:rPr>
              <w:t>4</w:t>
            </w:r>
          </w:p>
        </w:tc>
        <w:tc>
          <w:tcPr>
            <w:tcW w:w="2409" w:type="dxa"/>
            <w:vAlign w:val="center"/>
          </w:tcPr>
          <w:p w14:paraId="0A5A0FC4">
            <w:pPr>
              <w:widowControl/>
              <w:jc w:val="center"/>
              <w:textAlignment w:val="center"/>
              <w:rPr>
                <w:rFonts w:cs="宋体"/>
                <w:kern w:val="0"/>
                <w:szCs w:val="24"/>
                <w:lang w:bidi="ar"/>
              </w:rPr>
            </w:pPr>
            <w:r>
              <w:rPr>
                <w:rFonts w:hint="eastAsia" w:cs="宋体"/>
                <w:kern w:val="0"/>
                <w:szCs w:val="24"/>
                <w:lang w:bidi="ar"/>
              </w:rPr>
              <w:t>I</w:t>
            </w:r>
            <w:r>
              <w:rPr>
                <w:rFonts w:cs="宋体"/>
                <w:kern w:val="0"/>
                <w:szCs w:val="24"/>
                <w:lang w:bidi="ar"/>
              </w:rPr>
              <w:t>PV6</w:t>
            </w:r>
            <w:r>
              <w:rPr>
                <w:rFonts w:hint="eastAsia" w:cs="宋体"/>
                <w:kern w:val="0"/>
                <w:szCs w:val="24"/>
                <w:lang w:bidi="ar"/>
              </w:rPr>
              <w:t>防护订阅服务</w:t>
            </w:r>
          </w:p>
        </w:tc>
        <w:tc>
          <w:tcPr>
            <w:tcW w:w="4905" w:type="dxa"/>
            <w:vAlign w:val="center"/>
          </w:tcPr>
          <w:p w14:paraId="5EBE9358">
            <w:pPr>
              <w:widowControl/>
              <w:jc w:val="center"/>
              <w:textAlignment w:val="center"/>
              <w:rPr>
                <w:rFonts w:cs="宋体"/>
                <w:szCs w:val="24"/>
              </w:rPr>
            </w:pPr>
            <w:r>
              <w:rPr>
                <w:rFonts w:hint="eastAsia" w:cs="宋体"/>
                <w:kern w:val="0"/>
                <w:szCs w:val="24"/>
                <w:lang w:bidi="ar"/>
              </w:rPr>
              <w:t>服务形式使用授权。</w:t>
            </w:r>
          </w:p>
        </w:tc>
        <w:tc>
          <w:tcPr>
            <w:tcW w:w="623" w:type="dxa"/>
            <w:vAlign w:val="center"/>
          </w:tcPr>
          <w:p w14:paraId="25F13FDF">
            <w:pPr>
              <w:widowControl/>
              <w:jc w:val="center"/>
              <w:textAlignment w:val="center"/>
              <w:rPr>
                <w:rFonts w:cs="宋体"/>
                <w:szCs w:val="24"/>
              </w:rPr>
            </w:pPr>
            <w:r>
              <w:rPr>
                <w:rFonts w:hint="eastAsia" w:cs="宋体"/>
                <w:kern w:val="0"/>
                <w:szCs w:val="24"/>
                <w:lang w:bidi="ar"/>
              </w:rPr>
              <w:t>年</w:t>
            </w:r>
          </w:p>
        </w:tc>
        <w:tc>
          <w:tcPr>
            <w:tcW w:w="567" w:type="dxa"/>
            <w:vAlign w:val="center"/>
          </w:tcPr>
          <w:p w14:paraId="4ECBF1A5">
            <w:pPr>
              <w:widowControl/>
              <w:jc w:val="center"/>
              <w:textAlignment w:val="center"/>
              <w:rPr>
                <w:rFonts w:cs="宋体"/>
                <w:szCs w:val="24"/>
              </w:rPr>
            </w:pPr>
            <w:r>
              <w:rPr>
                <w:rFonts w:hint="eastAsia" w:cs="宋体"/>
                <w:kern w:val="0"/>
                <w:szCs w:val="24"/>
                <w:lang w:bidi="ar"/>
              </w:rPr>
              <w:t>1</w:t>
            </w:r>
          </w:p>
        </w:tc>
      </w:tr>
      <w:tr w14:paraId="0C5CF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05" w:type="dxa"/>
            <w:noWrap/>
            <w:vAlign w:val="center"/>
          </w:tcPr>
          <w:p w14:paraId="2122498D">
            <w:pPr>
              <w:widowControl/>
              <w:jc w:val="center"/>
              <w:textAlignment w:val="center"/>
              <w:rPr>
                <w:rFonts w:cs="宋体"/>
                <w:szCs w:val="24"/>
              </w:rPr>
            </w:pPr>
            <w:r>
              <w:rPr>
                <w:rFonts w:cs="宋体"/>
                <w:szCs w:val="24"/>
              </w:rPr>
              <w:t>5</w:t>
            </w:r>
          </w:p>
        </w:tc>
        <w:tc>
          <w:tcPr>
            <w:tcW w:w="2409" w:type="dxa"/>
            <w:vAlign w:val="center"/>
          </w:tcPr>
          <w:p w14:paraId="202E6E05">
            <w:pPr>
              <w:widowControl/>
              <w:jc w:val="center"/>
              <w:textAlignment w:val="center"/>
              <w:rPr>
                <w:rFonts w:cs="宋体"/>
                <w:szCs w:val="24"/>
              </w:rPr>
            </w:pPr>
            <w:r>
              <w:rPr>
                <w:rFonts w:hint="eastAsia" w:cs="宋体"/>
                <w:kern w:val="0"/>
                <w:szCs w:val="24"/>
                <w:lang w:bidi="ar"/>
              </w:rPr>
              <w:t>医疗文档云订阅服务</w:t>
            </w:r>
          </w:p>
        </w:tc>
        <w:tc>
          <w:tcPr>
            <w:tcW w:w="4905" w:type="dxa"/>
            <w:vAlign w:val="center"/>
          </w:tcPr>
          <w:p w14:paraId="68C88E9F">
            <w:pPr>
              <w:widowControl/>
              <w:jc w:val="center"/>
              <w:textAlignment w:val="center"/>
              <w:rPr>
                <w:rFonts w:cs="宋体"/>
                <w:kern w:val="0"/>
                <w:szCs w:val="24"/>
                <w:lang w:bidi="ar"/>
              </w:rPr>
            </w:pPr>
            <w:r>
              <w:rPr>
                <w:rFonts w:hint="eastAsia" w:cs="宋体"/>
                <w:kern w:val="0"/>
                <w:szCs w:val="24"/>
                <w:lang w:bidi="ar"/>
              </w:rPr>
              <w:t>服务形式使用授权。</w:t>
            </w:r>
          </w:p>
          <w:p w14:paraId="4A29FB49">
            <w:pPr>
              <w:widowControl/>
              <w:jc w:val="center"/>
              <w:textAlignment w:val="center"/>
              <w:rPr>
                <w:rFonts w:cs="宋体"/>
                <w:kern w:val="0"/>
                <w:szCs w:val="24"/>
                <w:lang w:bidi="ar"/>
              </w:rPr>
            </w:pPr>
            <w:r>
              <w:rPr>
                <w:rFonts w:hint="eastAsia" w:cs="宋体"/>
                <w:kern w:val="0"/>
                <w:szCs w:val="24"/>
                <w:lang w:bidi="ar"/>
              </w:rPr>
              <w:t>1年</w:t>
            </w:r>
            <w:r>
              <w:rPr>
                <w:rFonts w:hint="eastAsia"/>
                <w:sz w:val="22"/>
                <w:szCs w:val="22"/>
              </w:rPr>
              <w:t>软件升级及维保</w:t>
            </w:r>
            <w:r>
              <w:rPr>
                <w:rFonts w:hint="eastAsia" w:cs="宋体"/>
                <w:kern w:val="0"/>
                <w:szCs w:val="24"/>
                <w:lang w:bidi="ar"/>
              </w:rPr>
              <w:t>。</w:t>
            </w:r>
          </w:p>
        </w:tc>
        <w:tc>
          <w:tcPr>
            <w:tcW w:w="623" w:type="dxa"/>
            <w:vAlign w:val="center"/>
          </w:tcPr>
          <w:p w14:paraId="617FD649">
            <w:pPr>
              <w:widowControl/>
              <w:jc w:val="center"/>
              <w:textAlignment w:val="center"/>
              <w:rPr>
                <w:rFonts w:cs="宋体"/>
                <w:szCs w:val="24"/>
              </w:rPr>
            </w:pPr>
            <w:r>
              <w:rPr>
                <w:rFonts w:hint="eastAsia" w:cs="宋体"/>
                <w:kern w:val="0"/>
                <w:szCs w:val="24"/>
                <w:lang w:bidi="ar"/>
              </w:rPr>
              <w:t>年</w:t>
            </w:r>
          </w:p>
        </w:tc>
        <w:tc>
          <w:tcPr>
            <w:tcW w:w="567" w:type="dxa"/>
            <w:vAlign w:val="center"/>
          </w:tcPr>
          <w:p w14:paraId="496B9A6C">
            <w:pPr>
              <w:widowControl/>
              <w:jc w:val="center"/>
              <w:textAlignment w:val="center"/>
              <w:rPr>
                <w:rFonts w:cs="宋体"/>
                <w:szCs w:val="24"/>
              </w:rPr>
            </w:pPr>
            <w:r>
              <w:rPr>
                <w:rFonts w:hint="eastAsia" w:cs="宋体"/>
                <w:kern w:val="0"/>
                <w:szCs w:val="24"/>
                <w:lang w:bidi="ar"/>
              </w:rPr>
              <w:t>1</w:t>
            </w:r>
          </w:p>
        </w:tc>
      </w:tr>
      <w:tr w14:paraId="1382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05" w:type="dxa"/>
            <w:noWrap/>
            <w:vAlign w:val="center"/>
          </w:tcPr>
          <w:p w14:paraId="7C12BE53">
            <w:pPr>
              <w:widowControl/>
              <w:jc w:val="center"/>
              <w:textAlignment w:val="center"/>
              <w:rPr>
                <w:rFonts w:cs="宋体"/>
                <w:szCs w:val="24"/>
              </w:rPr>
            </w:pPr>
            <w:r>
              <w:rPr>
                <w:rFonts w:hint="eastAsia" w:cs="宋体"/>
                <w:szCs w:val="24"/>
              </w:rPr>
              <w:t>6</w:t>
            </w:r>
          </w:p>
        </w:tc>
        <w:tc>
          <w:tcPr>
            <w:tcW w:w="2409" w:type="dxa"/>
            <w:vAlign w:val="center"/>
          </w:tcPr>
          <w:p w14:paraId="325F36B6">
            <w:pPr>
              <w:widowControl/>
              <w:jc w:val="center"/>
              <w:textAlignment w:val="center"/>
              <w:rPr>
                <w:rFonts w:cs="宋体"/>
                <w:kern w:val="0"/>
                <w:szCs w:val="24"/>
                <w:lang w:bidi="ar"/>
              </w:rPr>
            </w:pPr>
            <w:r>
              <w:rPr>
                <w:rFonts w:hint="eastAsia" w:cs="宋体"/>
                <w:kern w:val="0"/>
                <w:szCs w:val="24"/>
                <w:lang w:bidi="ar"/>
              </w:rPr>
              <w:t>MSS服务</w:t>
            </w:r>
          </w:p>
        </w:tc>
        <w:tc>
          <w:tcPr>
            <w:tcW w:w="4905" w:type="dxa"/>
            <w:vAlign w:val="center"/>
          </w:tcPr>
          <w:p w14:paraId="4876D177">
            <w:pPr>
              <w:widowControl/>
              <w:jc w:val="center"/>
              <w:textAlignment w:val="center"/>
              <w:rPr>
                <w:rFonts w:cs="宋体"/>
                <w:kern w:val="0"/>
                <w:szCs w:val="24"/>
                <w:lang w:bidi="ar"/>
              </w:rPr>
            </w:pPr>
            <w:r>
              <w:rPr>
                <w:rFonts w:hint="eastAsia" w:cs="宋体"/>
                <w:kern w:val="0"/>
                <w:szCs w:val="24"/>
                <w:lang w:bidi="ar"/>
              </w:rPr>
              <w:t>提供基础的网端、终端侧的检测数据接入和处理。</w:t>
            </w:r>
          </w:p>
        </w:tc>
        <w:tc>
          <w:tcPr>
            <w:tcW w:w="623" w:type="dxa"/>
            <w:vAlign w:val="center"/>
          </w:tcPr>
          <w:p w14:paraId="49E940CA">
            <w:pPr>
              <w:widowControl/>
              <w:jc w:val="center"/>
              <w:textAlignment w:val="center"/>
              <w:rPr>
                <w:rFonts w:cs="宋体"/>
                <w:kern w:val="0"/>
                <w:szCs w:val="24"/>
                <w:lang w:bidi="ar"/>
              </w:rPr>
            </w:pPr>
            <w:r>
              <w:rPr>
                <w:rFonts w:hint="eastAsia" w:cs="宋体"/>
                <w:kern w:val="0"/>
                <w:szCs w:val="24"/>
                <w:lang w:bidi="ar"/>
              </w:rPr>
              <w:t>年</w:t>
            </w:r>
          </w:p>
        </w:tc>
        <w:tc>
          <w:tcPr>
            <w:tcW w:w="567" w:type="dxa"/>
            <w:vAlign w:val="center"/>
          </w:tcPr>
          <w:p w14:paraId="338AF3B4">
            <w:pPr>
              <w:widowControl/>
              <w:jc w:val="center"/>
              <w:textAlignment w:val="center"/>
              <w:rPr>
                <w:rFonts w:cs="宋体"/>
                <w:kern w:val="0"/>
                <w:szCs w:val="24"/>
                <w:lang w:bidi="ar"/>
              </w:rPr>
            </w:pPr>
            <w:r>
              <w:rPr>
                <w:rFonts w:hint="eastAsia" w:cs="宋体"/>
                <w:kern w:val="0"/>
                <w:szCs w:val="24"/>
                <w:lang w:bidi="ar"/>
              </w:rPr>
              <w:t>1</w:t>
            </w:r>
          </w:p>
        </w:tc>
      </w:tr>
      <w:tr w14:paraId="288AF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05" w:type="dxa"/>
            <w:noWrap/>
            <w:vAlign w:val="center"/>
          </w:tcPr>
          <w:p w14:paraId="2A00D393">
            <w:pPr>
              <w:jc w:val="center"/>
              <w:rPr>
                <w:szCs w:val="24"/>
              </w:rPr>
            </w:pPr>
            <w:r>
              <w:rPr>
                <w:rFonts w:hint="eastAsia"/>
                <w:szCs w:val="24"/>
              </w:rPr>
              <w:t>7</w:t>
            </w:r>
          </w:p>
        </w:tc>
        <w:tc>
          <w:tcPr>
            <w:tcW w:w="2409" w:type="dxa"/>
            <w:vAlign w:val="center"/>
          </w:tcPr>
          <w:p w14:paraId="532C2928">
            <w:pPr>
              <w:jc w:val="center"/>
              <w:rPr>
                <w:szCs w:val="24"/>
              </w:rPr>
            </w:pPr>
            <w:r>
              <w:rPr>
                <w:rFonts w:hint="eastAsia"/>
                <w:szCs w:val="24"/>
              </w:rPr>
              <w:t>安全运维服务</w:t>
            </w:r>
          </w:p>
        </w:tc>
        <w:tc>
          <w:tcPr>
            <w:tcW w:w="4905" w:type="dxa"/>
            <w:vAlign w:val="center"/>
          </w:tcPr>
          <w:p w14:paraId="10CA3DF2">
            <w:pPr>
              <w:jc w:val="center"/>
              <w:rPr>
                <w:szCs w:val="24"/>
              </w:rPr>
            </w:pPr>
            <w:r>
              <w:rPr>
                <w:rFonts w:hint="eastAsia"/>
                <w:szCs w:val="24"/>
              </w:rPr>
              <w:t>信息安全风险评估</w:t>
            </w:r>
          </w:p>
        </w:tc>
        <w:tc>
          <w:tcPr>
            <w:tcW w:w="623" w:type="dxa"/>
            <w:vAlign w:val="center"/>
          </w:tcPr>
          <w:p w14:paraId="73EB92F4">
            <w:pPr>
              <w:jc w:val="center"/>
              <w:rPr>
                <w:szCs w:val="24"/>
              </w:rPr>
            </w:pPr>
            <w:r>
              <w:rPr>
                <w:rFonts w:hint="eastAsia"/>
                <w:szCs w:val="24"/>
              </w:rPr>
              <w:t>套</w:t>
            </w:r>
          </w:p>
        </w:tc>
        <w:tc>
          <w:tcPr>
            <w:tcW w:w="567" w:type="dxa"/>
            <w:vAlign w:val="center"/>
          </w:tcPr>
          <w:p w14:paraId="1B93402E">
            <w:pPr>
              <w:jc w:val="center"/>
              <w:rPr>
                <w:szCs w:val="24"/>
              </w:rPr>
            </w:pPr>
            <w:r>
              <w:rPr>
                <w:rFonts w:hint="eastAsia"/>
                <w:szCs w:val="24"/>
              </w:rPr>
              <w:t>1</w:t>
            </w:r>
          </w:p>
        </w:tc>
      </w:tr>
    </w:tbl>
    <w:p w14:paraId="14A41416">
      <w:pPr>
        <w:pStyle w:val="3"/>
        <w:rPr>
          <w:rFonts w:ascii="宋体" w:hAnsi="宋体" w:eastAsia="宋体"/>
        </w:rPr>
      </w:pPr>
      <w:r>
        <w:rPr>
          <w:rFonts w:hint="eastAsia" w:ascii="宋体" w:hAnsi="宋体" w:eastAsia="宋体"/>
        </w:rPr>
        <w:t>技</w:t>
      </w:r>
      <w:r>
        <w:rPr>
          <w:rFonts w:hint="eastAsia" w:ascii="宋体" w:hAnsi="宋体" w:eastAsia="宋体" w:cs="微软雅黑"/>
        </w:rPr>
        <w:t>术</w:t>
      </w:r>
      <w:r>
        <w:rPr>
          <w:rFonts w:hint="eastAsia" w:ascii="宋体" w:hAnsi="宋体" w:eastAsia="宋体"/>
        </w:rPr>
        <w:t>参数</w:t>
      </w:r>
    </w:p>
    <w:p w14:paraId="5FA01CCA">
      <w:pPr>
        <w:pStyle w:val="4"/>
      </w:pPr>
      <w:r>
        <w:rPr>
          <w:rFonts w:hint="eastAsia"/>
        </w:rPr>
        <w:t>杀毒软件</w:t>
      </w:r>
    </w:p>
    <w:tbl>
      <w:tblPr>
        <w:tblStyle w:val="17"/>
        <w:tblW w:w="859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0"/>
        <w:gridCol w:w="7496"/>
      </w:tblGrid>
      <w:tr w14:paraId="357B3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Align w:val="center"/>
          </w:tcPr>
          <w:p w14:paraId="4F6130ED">
            <w:pPr>
              <w:widowControl/>
              <w:jc w:val="center"/>
              <w:rPr>
                <w:rFonts w:cs="宋体"/>
                <w:kern w:val="0"/>
                <w:sz w:val="22"/>
                <w:szCs w:val="22"/>
              </w:rPr>
            </w:pPr>
            <w:r>
              <w:rPr>
                <w:rFonts w:hint="eastAsia" w:cs="宋体"/>
                <w:kern w:val="0"/>
                <w:sz w:val="22"/>
                <w:szCs w:val="22"/>
              </w:rPr>
              <w:t>指标项</w:t>
            </w:r>
          </w:p>
        </w:tc>
        <w:tc>
          <w:tcPr>
            <w:tcW w:w="7496" w:type="dxa"/>
            <w:vAlign w:val="center"/>
          </w:tcPr>
          <w:p w14:paraId="71567B21">
            <w:pPr>
              <w:widowControl/>
              <w:jc w:val="center"/>
              <w:rPr>
                <w:rFonts w:cs="宋体"/>
                <w:kern w:val="0"/>
                <w:sz w:val="22"/>
                <w:szCs w:val="22"/>
              </w:rPr>
            </w:pPr>
            <w:r>
              <w:rPr>
                <w:rFonts w:hint="eastAsia" w:cs="宋体"/>
                <w:kern w:val="0"/>
                <w:sz w:val="22"/>
                <w:szCs w:val="22"/>
              </w:rPr>
              <w:t>指标要求</w:t>
            </w:r>
          </w:p>
        </w:tc>
      </w:tr>
      <w:tr w14:paraId="5EE94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restart"/>
            <w:vAlign w:val="center"/>
          </w:tcPr>
          <w:p w14:paraId="334ACD28">
            <w:pPr>
              <w:widowControl/>
              <w:jc w:val="center"/>
              <w:rPr>
                <w:rFonts w:cs="宋体"/>
                <w:kern w:val="0"/>
                <w:sz w:val="22"/>
                <w:szCs w:val="22"/>
              </w:rPr>
            </w:pPr>
            <w:r>
              <w:rPr>
                <w:rFonts w:hint="eastAsia" w:cs="宋体"/>
                <w:kern w:val="0"/>
                <w:sz w:val="22"/>
                <w:szCs w:val="22"/>
              </w:rPr>
              <w:t>服务端基础功能</w:t>
            </w:r>
          </w:p>
        </w:tc>
        <w:tc>
          <w:tcPr>
            <w:tcW w:w="7496" w:type="dxa"/>
            <w:vAlign w:val="center"/>
          </w:tcPr>
          <w:p w14:paraId="592B669A">
            <w:pPr>
              <w:widowControl/>
              <w:jc w:val="left"/>
              <w:rPr>
                <w:rFonts w:cs="宋体"/>
                <w:kern w:val="0"/>
                <w:sz w:val="22"/>
                <w:szCs w:val="22"/>
              </w:rPr>
            </w:pPr>
            <w:r>
              <w:rPr>
                <w:rFonts w:hint="eastAsia" w:cs="宋体" w:asciiTheme="minorEastAsia" w:hAnsiTheme="minorEastAsia" w:eastAsiaTheme="minorEastAsia"/>
                <w:kern w:val="0"/>
                <w:sz w:val="22"/>
                <w:szCs w:val="22"/>
                <w:lang w:val="en-US" w:eastAsia="zh-CN"/>
              </w:rPr>
              <w:t>1</w:t>
            </w:r>
            <w:r>
              <w:rPr>
                <w:rFonts w:hint="eastAsia" w:cs="宋体" w:asciiTheme="minorEastAsia" w:hAnsiTheme="minorEastAsia" w:eastAsiaTheme="minorEastAsia"/>
                <w:kern w:val="0"/>
                <w:sz w:val="22"/>
                <w:szCs w:val="22"/>
              </w:rPr>
              <w:t>▲</w:t>
            </w:r>
            <w:r>
              <w:rPr>
                <w:rFonts w:hint="eastAsia" w:cs="宋体"/>
                <w:kern w:val="0"/>
                <w:sz w:val="22"/>
                <w:szCs w:val="22"/>
              </w:rPr>
              <w:t>支持一个管理控制台同时管理Linux、Windows 及国产操作系统，同时支持这些操作系统的服务器版和客户端版。</w:t>
            </w:r>
          </w:p>
        </w:tc>
      </w:tr>
      <w:tr w14:paraId="099DA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3E73799E">
            <w:pPr>
              <w:widowControl/>
              <w:jc w:val="center"/>
              <w:rPr>
                <w:rFonts w:cs="宋体"/>
                <w:kern w:val="0"/>
                <w:sz w:val="22"/>
                <w:szCs w:val="22"/>
              </w:rPr>
            </w:pPr>
          </w:p>
        </w:tc>
        <w:tc>
          <w:tcPr>
            <w:tcW w:w="7496" w:type="dxa"/>
            <w:vAlign w:val="center"/>
          </w:tcPr>
          <w:p w14:paraId="2F2467B0">
            <w:pPr>
              <w:widowControl/>
              <w:jc w:val="left"/>
              <w:rPr>
                <w:rFonts w:cs="宋体" w:asciiTheme="minorEastAsia" w:hAnsiTheme="minorEastAsia" w:eastAsiaTheme="minorEastAsia"/>
                <w:kern w:val="0"/>
                <w:sz w:val="22"/>
                <w:szCs w:val="22"/>
              </w:rPr>
            </w:pPr>
            <w:r>
              <w:rPr>
                <w:rFonts w:hint="eastAsia" w:cs="宋体"/>
                <w:kern w:val="0"/>
                <w:sz w:val="22"/>
                <w:szCs w:val="22"/>
              </w:rPr>
              <w:t>如不兼容涉及重装，厂商需要负责完成全部点位重装并建议派驻两名工程师</w:t>
            </w:r>
            <w:r>
              <w:rPr>
                <w:rFonts w:hint="eastAsia" w:cs="宋体"/>
                <w:kern w:val="0"/>
                <w:sz w:val="22"/>
                <w:szCs w:val="22"/>
                <w:lang w:eastAsia="zh-CN"/>
              </w:rPr>
              <w:t>（</w:t>
            </w:r>
            <w:r>
              <w:rPr>
                <w:rFonts w:hint="eastAsia" w:cs="宋体"/>
                <w:kern w:val="0"/>
                <w:sz w:val="22"/>
                <w:szCs w:val="22"/>
              </w:rPr>
              <w:t>须经甲方单位认可</w:t>
            </w:r>
            <w:r>
              <w:rPr>
                <w:rFonts w:hint="eastAsia" w:cs="宋体"/>
                <w:kern w:val="0"/>
                <w:sz w:val="22"/>
                <w:szCs w:val="22"/>
                <w:lang w:eastAsia="zh-CN"/>
              </w:rPr>
              <w:t>）</w:t>
            </w:r>
            <w:r>
              <w:rPr>
                <w:rFonts w:hint="eastAsia" w:cs="宋体"/>
                <w:kern w:val="0"/>
                <w:sz w:val="22"/>
                <w:szCs w:val="22"/>
              </w:rPr>
              <w:t>，现场提供1 年期技术保障。</w:t>
            </w:r>
          </w:p>
        </w:tc>
      </w:tr>
      <w:tr w14:paraId="059A4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70A67AB2">
            <w:pPr>
              <w:widowControl/>
              <w:jc w:val="center"/>
              <w:rPr>
                <w:rFonts w:cs="宋体"/>
                <w:kern w:val="0"/>
                <w:sz w:val="22"/>
                <w:szCs w:val="22"/>
              </w:rPr>
            </w:pPr>
          </w:p>
        </w:tc>
        <w:tc>
          <w:tcPr>
            <w:tcW w:w="7496" w:type="dxa"/>
            <w:vAlign w:val="center"/>
          </w:tcPr>
          <w:p w14:paraId="35FF55A9">
            <w:pPr>
              <w:widowControl/>
              <w:jc w:val="left"/>
              <w:rPr>
                <w:rFonts w:cs="宋体"/>
                <w:kern w:val="0"/>
                <w:sz w:val="22"/>
                <w:szCs w:val="22"/>
              </w:rPr>
            </w:pPr>
            <w:r>
              <w:rPr>
                <w:rFonts w:hint="eastAsia" w:cs="宋体"/>
                <w:kern w:val="0"/>
                <w:sz w:val="22"/>
                <w:szCs w:val="22"/>
              </w:rPr>
              <w:t>服务控制端应能够管控医院存量杀毒客户端，确保医院后期终端杀毒运维一体化，包括但不限于病毒库更新等。</w:t>
            </w:r>
          </w:p>
        </w:tc>
      </w:tr>
      <w:tr w14:paraId="581B2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6E4B3BFE">
            <w:pPr>
              <w:widowControl/>
              <w:jc w:val="left"/>
              <w:rPr>
                <w:rFonts w:cs="宋体"/>
                <w:kern w:val="0"/>
                <w:sz w:val="22"/>
                <w:szCs w:val="22"/>
              </w:rPr>
            </w:pPr>
          </w:p>
        </w:tc>
        <w:tc>
          <w:tcPr>
            <w:tcW w:w="7496" w:type="dxa"/>
            <w:vAlign w:val="center"/>
          </w:tcPr>
          <w:p w14:paraId="737C4DA1">
            <w:pPr>
              <w:widowControl/>
              <w:jc w:val="left"/>
              <w:rPr>
                <w:rFonts w:cs="宋体"/>
                <w:kern w:val="0"/>
                <w:sz w:val="22"/>
                <w:szCs w:val="22"/>
              </w:rPr>
            </w:pPr>
            <w:r>
              <w:rPr>
                <w:rFonts w:hint="eastAsia" w:cs="宋体"/>
                <w:kern w:val="0"/>
                <w:sz w:val="22"/>
                <w:szCs w:val="22"/>
              </w:rPr>
              <w:t>支持编辑资产管理信息，包括：资产等级，负责人，负责人邮箱，机房位置，固定资产编号，并支持填写其他备注信息</w:t>
            </w:r>
          </w:p>
        </w:tc>
      </w:tr>
      <w:tr w14:paraId="253B5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09CE8B45">
            <w:pPr>
              <w:widowControl/>
              <w:jc w:val="left"/>
              <w:rPr>
                <w:rFonts w:cs="宋体"/>
                <w:kern w:val="0"/>
                <w:sz w:val="22"/>
                <w:szCs w:val="22"/>
              </w:rPr>
            </w:pPr>
          </w:p>
        </w:tc>
        <w:tc>
          <w:tcPr>
            <w:tcW w:w="7496" w:type="dxa"/>
            <w:vAlign w:val="center"/>
          </w:tcPr>
          <w:p w14:paraId="4F49439B">
            <w:pPr>
              <w:widowControl/>
              <w:jc w:val="left"/>
              <w:rPr>
                <w:rFonts w:cs="宋体"/>
                <w:kern w:val="0"/>
                <w:sz w:val="22"/>
                <w:szCs w:val="22"/>
              </w:rPr>
            </w:pPr>
            <w:r>
              <w:rPr>
                <w:rFonts w:hint="eastAsia" w:cs="宋体"/>
                <w:kern w:val="0"/>
                <w:sz w:val="22"/>
                <w:szCs w:val="22"/>
              </w:rPr>
              <w:t>支持配置服务端备用IP地址，避免其中一个IP与客户端无法连接情况下，采用备用服务器进行通信。</w:t>
            </w:r>
          </w:p>
        </w:tc>
      </w:tr>
      <w:tr w14:paraId="3E223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4652FCA6">
            <w:pPr>
              <w:widowControl/>
              <w:jc w:val="left"/>
              <w:rPr>
                <w:rFonts w:cs="宋体"/>
                <w:kern w:val="0"/>
                <w:sz w:val="22"/>
                <w:szCs w:val="22"/>
              </w:rPr>
            </w:pPr>
          </w:p>
        </w:tc>
        <w:tc>
          <w:tcPr>
            <w:tcW w:w="7496" w:type="dxa"/>
            <w:vAlign w:val="center"/>
          </w:tcPr>
          <w:p w14:paraId="5D32AC35">
            <w:pPr>
              <w:widowControl/>
              <w:jc w:val="left"/>
              <w:rPr>
                <w:rFonts w:cs="宋体"/>
                <w:kern w:val="0"/>
                <w:sz w:val="22"/>
                <w:szCs w:val="22"/>
              </w:rPr>
            </w:pPr>
            <w:r>
              <w:rPr>
                <w:rFonts w:hint="eastAsia" w:cs="宋体"/>
                <w:kern w:val="0"/>
                <w:sz w:val="22"/>
                <w:szCs w:val="22"/>
              </w:rPr>
              <w:t>支持配置服务端总下载带宽，避免大量客户端同一时间从服务端更新，造成带宽拥堵。</w:t>
            </w:r>
          </w:p>
        </w:tc>
      </w:tr>
      <w:tr w14:paraId="6935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restart"/>
            <w:vAlign w:val="center"/>
          </w:tcPr>
          <w:p w14:paraId="48062AE8">
            <w:pPr>
              <w:widowControl/>
              <w:jc w:val="center"/>
              <w:rPr>
                <w:rFonts w:cs="宋体"/>
                <w:kern w:val="0"/>
                <w:sz w:val="22"/>
                <w:szCs w:val="22"/>
              </w:rPr>
            </w:pPr>
            <w:r>
              <w:rPr>
                <w:rFonts w:hint="eastAsia" w:cs="宋体"/>
                <w:kern w:val="0"/>
                <w:sz w:val="22"/>
                <w:szCs w:val="22"/>
              </w:rPr>
              <w:t>病毒检测能力</w:t>
            </w:r>
          </w:p>
        </w:tc>
        <w:tc>
          <w:tcPr>
            <w:tcW w:w="7496" w:type="dxa"/>
            <w:vAlign w:val="center"/>
          </w:tcPr>
          <w:p w14:paraId="2370F645">
            <w:pPr>
              <w:widowControl/>
              <w:jc w:val="left"/>
              <w:rPr>
                <w:rFonts w:cs="宋体"/>
                <w:kern w:val="0"/>
                <w:sz w:val="22"/>
                <w:szCs w:val="22"/>
              </w:rPr>
            </w:pPr>
            <w:r>
              <w:rPr>
                <w:rFonts w:hint="eastAsia" w:cs="宋体"/>
                <w:kern w:val="0"/>
                <w:sz w:val="22"/>
                <w:szCs w:val="22"/>
              </w:rPr>
              <w:t>提供防病毒引擎；</w:t>
            </w:r>
          </w:p>
        </w:tc>
      </w:tr>
      <w:tr w14:paraId="3FAC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69ADD917">
            <w:pPr>
              <w:widowControl/>
              <w:jc w:val="left"/>
              <w:rPr>
                <w:rFonts w:cs="宋体"/>
                <w:kern w:val="0"/>
                <w:sz w:val="22"/>
                <w:szCs w:val="22"/>
              </w:rPr>
            </w:pPr>
          </w:p>
        </w:tc>
        <w:tc>
          <w:tcPr>
            <w:tcW w:w="7496" w:type="dxa"/>
            <w:vAlign w:val="center"/>
          </w:tcPr>
          <w:p w14:paraId="5AACCB51">
            <w:pPr>
              <w:widowControl/>
              <w:jc w:val="left"/>
              <w:rPr>
                <w:rFonts w:cs="宋体"/>
                <w:kern w:val="0"/>
                <w:sz w:val="22"/>
                <w:szCs w:val="22"/>
              </w:rPr>
            </w:pPr>
            <w:r>
              <w:rPr>
                <w:rFonts w:hint="eastAsia" w:cs="宋体"/>
                <w:kern w:val="0"/>
                <w:sz w:val="22"/>
                <w:szCs w:val="22"/>
              </w:rPr>
              <w:t>提供基于程序行为的独立恶意行为监控引擎，基于进程的操作行为和序列组合来应对未知威胁，包括：重复的系统文件，Hosets文件修改，可疑行为，新IE插件，IE设置修改，安全策略修改，动态链接库注入，Shell修改，新服务，系统文件修改，防火墙策略修改，系统进程修改，新启动程序等</w:t>
            </w:r>
          </w:p>
        </w:tc>
      </w:tr>
      <w:tr w14:paraId="4ACB5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0584AA70">
            <w:pPr>
              <w:widowControl/>
              <w:jc w:val="left"/>
              <w:rPr>
                <w:rFonts w:cs="宋体"/>
                <w:kern w:val="0"/>
                <w:sz w:val="22"/>
                <w:szCs w:val="22"/>
              </w:rPr>
            </w:pPr>
          </w:p>
        </w:tc>
        <w:tc>
          <w:tcPr>
            <w:tcW w:w="7496" w:type="dxa"/>
            <w:vAlign w:val="center"/>
          </w:tcPr>
          <w:p w14:paraId="5EA03529">
            <w:pPr>
              <w:widowControl/>
              <w:jc w:val="left"/>
              <w:rPr>
                <w:rFonts w:cs="宋体"/>
                <w:kern w:val="0"/>
                <w:sz w:val="22"/>
                <w:szCs w:val="22"/>
              </w:rPr>
            </w:pPr>
            <w:r>
              <w:rPr>
                <w:rFonts w:hint="eastAsia" w:cs="宋体"/>
                <w:kern w:val="0"/>
                <w:sz w:val="22"/>
                <w:szCs w:val="22"/>
              </w:rPr>
              <w:t>具备预测机器学习技术，可检测可疑进程中或来自可移动存储、Web邮件等各渠道的文件中的新兴未知安全风险威胁。</w:t>
            </w:r>
          </w:p>
        </w:tc>
      </w:tr>
      <w:tr w14:paraId="4232A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14FB22AD">
            <w:pPr>
              <w:widowControl/>
              <w:jc w:val="left"/>
              <w:rPr>
                <w:rFonts w:cs="宋体"/>
                <w:kern w:val="0"/>
                <w:sz w:val="22"/>
                <w:szCs w:val="22"/>
              </w:rPr>
            </w:pPr>
          </w:p>
        </w:tc>
        <w:tc>
          <w:tcPr>
            <w:tcW w:w="7496" w:type="dxa"/>
            <w:vAlign w:val="center"/>
          </w:tcPr>
          <w:p w14:paraId="0A22BE40">
            <w:pPr>
              <w:widowControl/>
              <w:jc w:val="left"/>
              <w:rPr>
                <w:rFonts w:cs="宋体"/>
                <w:kern w:val="0"/>
                <w:sz w:val="22"/>
                <w:szCs w:val="22"/>
              </w:rPr>
            </w:pPr>
            <w:r>
              <w:rPr>
                <w:rFonts w:hint="eastAsia" w:cs="宋体"/>
                <w:kern w:val="0"/>
                <w:sz w:val="22"/>
                <w:szCs w:val="22"/>
              </w:rPr>
              <w:t>产品能够实时监控并清除来自各种途径的病毒、木马、蠕虫、恶意软件、勒索软件、黑客工具等恶意威胁；</w:t>
            </w:r>
          </w:p>
        </w:tc>
      </w:tr>
      <w:tr w14:paraId="25FE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36B8DF03">
            <w:pPr>
              <w:widowControl/>
              <w:jc w:val="left"/>
              <w:rPr>
                <w:rFonts w:cs="宋体"/>
                <w:kern w:val="0"/>
                <w:sz w:val="22"/>
                <w:szCs w:val="22"/>
              </w:rPr>
            </w:pPr>
          </w:p>
        </w:tc>
        <w:tc>
          <w:tcPr>
            <w:tcW w:w="7496" w:type="dxa"/>
            <w:vAlign w:val="center"/>
          </w:tcPr>
          <w:p w14:paraId="5CC8B174">
            <w:pPr>
              <w:widowControl/>
              <w:jc w:val="left"/>
              <w:rPr>
                <w:rFonts w:cs="宋体"/>
                <w:kern w:val="0"/>
                <w:sz w:val="22"/>
                <w:szCs w:val="22"/>
              </w:rPr>
            </w:pPr>
            <w:r>
              <w:rPr>
                <w:rFonts w:hint="eastAsia" w:cs="宋体"/>
                <w:kern w:val="0"/>
                <w:sz w:val="22"/>
                <w:szCs w:val="22"/>
              </w:rPr>
              <w:t>Linux ELF UPX脱壳深度扫描能力</w:t>
            </w:r>
          </w:p>
        </w:tc>
      </w:tr>
      <w:tr w14:paraId="2B1A4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restart"/>
            <w:vAlign w:val="center"/>
          </w:tcPr>
          <w:p w14:paraId="40827CDE">
            <w:pPr>
              <w:widowControl/>
              <w:jc w:val="center"/>
              <w:rPr>
                <w:rFonts w:cs="宋体"/>
                <w:kern w:val="0"/>
                <w:sz w:val="22"/>
                <w:szCs w:val="22"/>
              </w:rPr>
            </w:pPr>
            <w:r>
              <w:rPr>
                <w:rFonts w:hint="eastAsia" w:cs="宋体"/>
                <w:kern w:val="0"/>
                <w:sz w:val="22"/>
                <w:szCs w:val="22"/>
              </w:rPr>
              <w:t>病毒防护能力</w:t>
            </w:r>
          </w:p>
        </w:tc>
        <w:tc>
          <w:tcPr>
            <w:tcW w:w="7496" w:type="dxa"/>
            <w:vAlign w:val="center"/>
          </w:tcPr>
          <w:p w14:paraId="13B09851">
            <w:pPr>
              <w:widowControl/>
              <w:jc w:val="left"/>
              <w:rPr>
                <w:rFonts w:cs="宋体"/>
                <w:kern w:val="0"/>
                <w:sz w:val="22"/>
                <w:szCs w:val="22"/>
              </w:rPr>
            </w:pPr>
            <w:r>
              <w:rPr>
                <w:rFonts w:hint="eastAsia" w:cs="宋体"/>
                <w:kern w:val="0"/>
                <w:sz w:val="22"/>
                <w:szCs w:val="22"/>
              </w:rPr>
              <w:t>支持对压缩文件扫描，并可设定最大的压缩层数为6</w:t>
            </w:r>
          </w:p>
        </w:tc>
      </w:tr>
      <w:tr w14:paraId="3470A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633CB3F3">
            <w:pPr>
              <w:widowControl/>
              <w:jc w:val="left"/>
              <w:rPr>
                <w:rFonts w:cs="宋体"/>
                <w:kern w:val="0"/>
                <w:sz w:val="22"/>
                <w:szCs w:val="22"/>
              </w:rPr>
            </w:pPr>
          </w:p>
        </w:tc>
        <w:tc>
          <w:tcPr>
            <w:tcW w:w="7496" w:type="dxa"/>
            <w:vAlign w:val="center"/>
          </w:tcPr>
          <w:p w14:paraId="0E399A11">
            <w:pPr>
              <w:widowControl/>
              <w:jc w:val="left"/>
              <w:rPr>
                <w:rFonts w:cs="宋体"/>
                <w:kern w:val="0"/>
                <w:sz w:val="22"/>
                <w:szCs w:val="22"/>
              </w:rPr>
            </w:pPr>
            <w:r>
              <w:rPr>
                <w:rFonts w:hint="eastAsia" w:cs="宋体"/>
                <w:kern w:val="0"/>
                <w:sz w:val="22"/>
                <w:szCs w:val="22"/>
              </w:rPr>
              <w:t>提供压缩文件扫描功能，可以对超过固定大小文件不予扫描，以减少扫描时间；</w:t>
            </w:r>
          </w:p>
        </w:tc>
      </w:tr>
      <w:tr w14:paraId="1AC62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22CD0BF7">
            <w:pPr>
              <w:widowControl/>
              <w:jc w:val="left"/>
              <w:rPr>
                <w:rFonts w:cs="宋体"/>
                <w:kern w:val="0"/>
                <w:sz w:val="22"/>
                <w:szCs w:val="22"/>
              </w:rPr>
            </w:pPr>
          </w:p>
        </w:tc>
        <w:tc>
          <w:tcPr>
            <w:tcW w:w="7496" w:type="dxa"/>
            <w:vAlign w:val="center"/>
          </w:tcPr>
          <w:p w14:paraId="63E198F4">
            <w:pPr>
              <w:widowControl/>
              <w:jc w:val="left"/>
              <w:rPr>
                <w:rFonts w:cs="宋体"/>
                <w:kern w:val="0"/>
                <w:sz w:val="22"/>
                <w:szCs w:val="22"/>
              </w:rPr>
            </w:pPr>
            <w:r>
              <w:rPr>
                <w:rFonts w:hint="eastAsia" w:cs="宋体"/>
                <w:kern w:val="0"/>
                <w:sz w:val="22"/>
                <w:szCs w:val="22"/>
              </w:rPr>
              <w:t>支持针对不同病毒类型针对性设置处置措施，可设定清除动作前，备份文件</w:t>
            </w:r>
          </w:p>
        </w:tc>
      </w:tr>
      <w:tr w14:paraId="689DA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7FB28657">
            <w:pPr>
              <w:widowControl/>
              <w:jc w:val="left"/>
              <w:rPr>
                <w:rFonts w:cs="宋体"/>
                <w:kern w:val="0"/>
                <w:sz w:val="22"/>
                <w:szCs w:val="22"/>
              </w:rPr>
            </w:pPr>
          </w:p>
        </w:tc>
        <w:tc>
          <w:tcPr>
            <w:tcW w:w="7496" w:type="dxa"/>
            <w:vAlign w:val="center"/>
          </w:tcPr>
          <w:p w14:paraId="7DBF7B15">
            <w:pPr>
              <w:widowControl/>
              <w:jc w:val="left"/>
              <w:rPr>
                <w:rFonts w:cs="宋体"/>
                <w:kern w:val="0"/>
                <w:sz w:val="22"/>
                <w:szCs w:val="22"/>
              </w:rPr>
            </w:pPr>
            <w:r>
              <w:rPr>
                <w:rFonts w:hint="eastAsia" w:cs="宋体"/>
                <w:kern w:val="0"/>
                <w:sz w:val="22"/>
                <w:szCs w:val="22"/>
              </w:rPr>
              <w:t>为适应配置低的终端需求，不影响生产办公，终端在进行手动以及预设扫描时必须可以设置扫描时CPU占用比例，分高、中、低三个级别。低消耗下CPU高于20%则暂停扫描以保证正常办公要求</w:t>
            </w:r>
          </w:p>
        </w:tc>
      </w:tr>
      <w:tr w14:paraId="62E3E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48C9BA8C">
            <w:pPr>
              <w:widowControl/>
              <w:jc w:val="left"/>
              <w:rPr>
                <w:rFonts w:cs="宋体"/>
                <w:kern w:val="0"/>
                <w:sz w:val="22"/>
                <w:szCs w:val="22"/>
              </w:rPr>
            </w:pPr>
          </w:p>
        </w:tc>
        <w:tc>
          <w:tcPr>
            <w:tcW w:w="7496" w:type="dxa"/>
            <w:vAlign w:val="center"/>
          </w:tcPr>
          <w:p w14:paraId="288FCE19">
            <w:pPr>
              <w:widowControl/>
              <w:jc w:val="left"/>
              <w:rPr>
                <w:rFonts w:cs="宋体"/>
                <w:kern w:val="0"/>
                <w:sz w:val="22"/>
                <w:szCs w:val="22"/>
              </w:rPr>
            </w:pPr>
            <w:bookmarkStart w:id="1" w:name="OLE_LINK3"/>
            <w:r>
              <w:rPr>
                <w:rFonts w:hint="eastAsia" w:cs="宋体" w:asciiTheme="minorEastAsia" w:hAnsiTheme="minorEastAsia" w:eastAsiaTheme="minorEastAsia"/>
                <w:kern w:val="0"/>
                <w:sz w:val="22"/>
                <w:szCs w:val="22"/>
                <w:lang w:val="en-US" w:eastAsia="zh-CN"/>
              </w:rPr>
              <w:t>2</w:t>
            </w:r>
            <w:r>
              <w:rPr>
                <w:rFonts w:hint="eastAsia" w:cs="宋体" w:asciiTheme="minorEastAsia" w:hAnsiTheme="minorEastAsia" w:eastAsiaTheme="minorEastAsia"/>
                <w:kern w:val="0"/>
                <w:sz w:val="22"/>
                <w:szCs w:val="22"/>
              </w:rPr>
              <w:t>▲</w:t>
            </w:r>
            <w:bookmarkEnd w:id="1"/>
            <w:r>
              <w:rPr>
                <w:rFonts w:hint="eastAsia" w:cs="宋体"/>
                <w:kern w:val="0"/>
                <w:sz w:val="22"/>
                <w:szCs w:val="22"/>
              </w:rPr>
              <w:t>具备爆发阻止功能，管理端可配置爆发阻止策略，封堵共享目录。</w:t>
            </w:r>
          </w:p>
        </w:tc>
      </w:tr>
      <w:tr w14:paraId="1B8E0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48C25864">
            <w:pPr>
              <w:widowControl/>
              <w:jc w:val="left"/>
              <w:rPr>
                <w:rFonts w:cs="宋体"/>
                <w:kern w:val="0"/>
                <w:sz w:val="22"/>
                <w:szCs w:val="22"/>
              </w:rPr>
            </w:pPr>
          </w:p>
        </w:tc>
        <w:tc>
          <w:tcPr>
            <w:tcW w:w="7496" w:type="dxa"/>
            <w:vAlign w:val="center"/>
          </w:tcPr>
          <w:p w14:paraId="5987EBD4">
            <w:pPr>
              <w:widowControl/>
              <w:jc w:val="left"/>
              <w:rPr>
                <w:rFonts w:cs="宋体"/>
                <w:kern w:val="0"/>
                <w:sz w:val="22"/>
                <w:szCs w:val="22"/>
              </w:rPr>
            </w:pPr>
            <w:r>
              <w:rPr>
                <w:rFonts w:hint="eastAsia" w:cs="宋体"/>
                <w:kern w:val="0"/>
                <w:sz w:val="22"/>
                <w:szCs w:val="22"/>
              </w:rPr>
              <w:t>具备机器学习能力</w:t>
            </w:r>
          </w:p>
        </w:tc>
      </w:tr>
      <w:tr w14:paraId="0EBC6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714E76F6">
            <w:pPr>
              <w:widowControl/>
              <w:jc w:val="left"/>
              <w:rPr>
                <w:rFonts w:cs="宋体"/>
                <w:kern w:val="0"/>
                <w:sz w:val="22"/>
                <w:szCs w:val="22"/>
              </w:rPr>
            </w:pPr>
          </w:p>
        </w:tc>
        <w:tc>
          <w:tcPr>
            <w:tcW w:w="7496" w:type="dxa"/>
            <w:vAlign w:val="center"/>
          </w:tcPr>
          <w:p w14:paraId="2904F4EA">
            <w:pPr>
              <w:widowControl/>
              <w:jc w:val="left"/>
              <w:rPr>
                <w:rFonts w:cs="宋体"/>
                <w:kern w:val="0"/>
                <w:sz w:val="22"/>
                <w:szCs w:val="22"/>
              </w:rPr>
            </w:pPr>
            <w:r>
              <w:rPr>
                <w:rFonts w:hint="eastAsia" w:cs="宋体"/>
                <w:kern w:val="0"/>
                <w:sz w:val="22"/>
                <w:szCs w:val="22"/>
              </w:rPr>
              <w:t>支持配置客户端的隔离恢复权限，避免客户端可以随意恢复隔离的病毒文件，造成病毒感染和传播。</w:t>
            </w:r>
          </w:p>
        </w:tc>
      </w:tr>
      <w:tr w14:paraId="3E8E3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75AB00D5">
            <w:pPr>
              <w:widowControl/>
              <w:jc w:val="left"/>
              <w:rPr>
                <w:rFonts w:cs="宋体"/>
                <w:kern w:val="0"/>
                <w:sz w:val="22"/>
                <w:szCs w:val="22"/>
              </w:rPr>
            </w:pPr>
          </w:p>
        </w:tc>
        <w:tc>
          <w:tcPr>
            <w:tcW w:w="7496" w:type="dxa"/>
            <w:vAlign w:val="center"/>
          </w:tcPr>
          <w:p w14:paraId="4A952F4A">
            <w:pPr>
              <w:widowControl/>
              <w:jc w:val="left"/>
              <w:rPr>
                <w:rFonts w:cs="宋体"/>
                <w:kern w:val="0"/>
                <w:sz w:val="22"/>
                <w:szCs w:val="22"/>
              </w:rPr>
            </w:pPr>
            <w:r>
              <w:rPr>
                <w:rFonts w:hint="eastAsia" w:cs="宋体"/>
                <w:kern w:val="0"/>
                <w:sz w:val="22"/>
                <w:szCs w:val="22"/>
              </w:rPr>
              <w:t>具备Web信誉评估功能，包含HTTPS通信扫描，结合云安全架构自动识别并屏蔽恶意站点，阻止病毒自动更新</w:t>
            </w:r>
          </w:p>
        </w:tc>
      </w:tr>
      <w:tr w14:paraId="3DF62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01B36FF6">
            <w:pPr>
              <w:widowControl/>
              <w:jc w:val="left"/>
              <w:rPr>
                <w:rFonts w:cs="宋体"/>
                <w:kern w:val="0"/>
                <w:sz w:val="22"/>
                <w:szCs w:val="22"/>
              </w:rPr>
            </w:pPr>
          </w:p>
        </w:tc>
        <w:tc>
          <w:tcPr>
            <w:tcW w:w="7496" w:type="dxa"/>
            <w:vAlign w:val="center"/>
          </w:tcPr>
          <w:p w14:paraId="274EBEC6">
            <w:pPr>
              <w:widowControl/>
              <w:jc w:val="left"/>
              <w:rPr>
                <w:rFonts w:cs="宋体"/>
                <w:kern w:val="0"/>
                <w:sz w:val="22"/>
                <w:szCs w:val="22"/>
              </w:rPr>
            </w:pPr>
            <w:r>
              <w:rPr>
                <w:rFonts w:hint="eastAsia" w:cs="宋体"/>
                <w:kern w:val="0"/>
                <w:sz w:val="22"/>
                <w:szCs w:val="22"/>
              </w:rPr>
              <w:t>具备将可疑文件提交沙盒设备的联动能力，可自动提交可疑恶意文件，并可接收；</w:t>
            </w:r>
          </w:p>
        </w:tc>
      </w:tr>
      <w:tr w14:paraId="11298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043B297C">
            <w:pPr>
              <w:widowControl/>
              <w:jc w:val="left"/>
              <w:rPr>
                <w:rFonts w:cs="宋体"/>
                <w:kern w:val="0"/>
                <w:sz w:val="22"/>
                <w:szCs w:val="22"/>
              </w:rPr>
            </w:pPr>
          </w:p>
        </w:tc>
        <w:tc>
          <w:tcPr>
            <w:tcW w:w="7496" w:type="dxa"/>
            <w:vAlign w:val="center"/>
          </w:tcPr>
          <w:p w14:paraId="178044B3">
            <w:pPr>
              <w:widowControl/>
              <w:jc w:val="left"/>
              <w:rPr>
                <w:rFonts w:cs="宋体"/>
                <w:kern w:val="0"/>
                <w:sz w:val="22"/>
                <w:szCs w:val="22"/>
              </w:rPr>
            </w:pPr>
            <w:r>
              <w:rPr>
                <w:rFonts w:hint="eastAsia" w:cs="宋体"/>
                <w:kern w:val="0"/>
                <w:sz w:val="22"/>
                <w:szCs w:val="22"/>
              </w:rPr>
              <w:t>支持检测全局可疑站点(C&amp;C)识别，监控可疑站点的连接，并提供记录或者阻止的处理措施；</w:t>
            </w:r>
          </w:p>
        </w:tc>
      </w:tr>
      <w:tr w14:paraId="70596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7508870D">
            <w:pPr>
              <w:widowControl/>
              <w:jc w:val="left"/>
              <w:rPr>
                <w:rFonts w:cs="宋体"/>
                <w:kern w:val="0"/>
                <w:sz w:val="22"/>
                <w:szCs w:val="22"/>
              </w:rPr>
            </w:pPr>
          </w:p>
        </w:tc>
        <w:tc>
          <w:tcPr>
            <w:tcW w:w="7496" w:type="dxa"/>
            <w:vAlign w:val="center"/>
          </w:tcPr>
          <w:p w14:paraId="6BDE3344">
            <w:pPr>
              <w:widowControl/>
              <w:jc w:val="left"/>
              <w:rPr>
                <w:rFonts w:cs="宋体"/>
                <w:kern w:val="0"/>
                <w:sz w:val="22"/>
                <w:szCs w:val="22"/>
              </w:rPr>
            </w:pPr>
            <w:r>
              <w:rPr>
                <w:rFonts w:hint="eastAsia" w:cs="宋体"/>
                <w:kern w:val="0"/>
                <w:sz w:val="22"/>
                <w:szCs w:val="22"/>
              </w:rPr>
              <w:t>支持POC高检出配置，可动态切换检测模式，可提升在打标环境下检测率</w:t>
            </w:r>
          </w:p>
        </w:tc>
      </w:tr>
      <w:tr w14:paraId="5A6CC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restart"/>
            <w:vAlign w:val="center"/>
          </w:tcPr>
          <w:p w14:paraId="330E1EBA">
            <w:pPr>
              <w:widowControl/>
              <w:jc w:val="center"/>
              <w:rPr>
                <w:rFonts w:cs="宋体"/>
                <w:kern w:val="0"/>
                <w:sz w:val="22"/>
                <w:szCs w:val="22"/>
              </w:rPr>
            </w:pPr>
            <w:r>
              <w:rPr>
                <w:rFonts w:hint="eastAsia" w:cs="宋体"/>
                <w:kern w:val="0"/>
                <w:sz w:val="22"/>
                <w:szCs w:val="22"/>
              </w:rPr>
              <w:t>客户端基础功能</w:t>
            </w:r>
          </w:p>
        </w:tc>
        <w:tc>
          <w:tcPr>
            <w:tcW w:w="7496" w:type="dxa"/>
            <w:vAlign w:val="center"/>
          </w:tcPr>
          <w:p w14:paraId="591BDA13">
            <w:pPr>
              <w:widowControl/>
              <w:jc w:val="left"/>
              <w:rPr>
                <w:rFonts w:cs="宋体"/>
                <w:kern w:val="0"/>
                <w:sz w:val="22"/>
                <w:szCs w:val="22"/>
              </w:rPr>
            </w:pPr>
            <w:r>
              <w:rPr>
                <w:rFonts w:hint="eastAsia" w:cs="宋体"/>
                <w:kern w:val="0"/>
                <w:sz w:val="22"/>
                <w:szCs w:val="22"/>
              </w:rPr>
              <w:t>windows客户端全功能支持英文版（包含软件商店、软件弹窗等）</w:t>
            </w:r>
          </w:p>
        </w:tc>
      </w:tr>
      <w:tr w14:paraId="224F1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24D3FA5C">
            <w:pPr>
              <w:widowControl/>
              <w:jc w:val="left"/>
              <w:rPr>
                <w:rFonts w:cs="宋体"/>
                <w:kern w:val="0"/>
                <w:sz w:val="22"/>
                <w:szCs w:val="22"/>
              </w:rPr>
            </w:pPr>
          </w:p>
        </w:tc>
        <w:tc>
          <w:tcPr>
            <w:tcW w:w="7496" w:type="dxa"/>
            <w:vAlign w:val="center"/>
          </w:tcPr>
          <w:p w14:paraId="720E7256">
            <w:pPr>
              <w:widowControl/>
              <w:jc w:val="left"/>
              <w:rPr>
                <w:rFonts w:cs="宋体"/>
                <w:kern w:val="0"/>
                <w:sz w:val="22"/>
                <w:szCs w:val="22"/>
              </w:rPr>
            </w:pPr>
            <w:r>
              <w:rPr>
                <w:rFonts w:hint="eastAsia" w:cs="宋体"/>
                <w:kern w:val="0"/>
                <w:sz w:val="22"/>
                <w:szCs w:val="22"/>
              </w:rPr>
              <w:t>支持以“普通模式”和“调试模式”收集客户端的故障信息，可以将收集的故障信息方便地反馈至安全厂商的服务人员进行故障排查分析。</w:t>
            </w:r>
          </w:p>
        </w:tc>
      </w:tr>
      <w:tr w14:paraId="72479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5D08F269">
            <w:pPr>
              <w:widowControl/>
              <w:jc w:val="left"/>
              <w:rPr>
                <w:rFonts w:cs="宋体"/>
                <w:kern w:val="0"/>
                <w:sz w:val="22"/>
                <w:szCs w:val="22"/>
              </w:rPr>
            </w:pPr>
          </w:p>
        </w:tc>
        <w:tc>
          <w:tcPr>
            <w:tcW w:w="7496" w:type="dxa"/>
            <w:vAlign w:val="center"/>
          </w:tcPr>
          <w:p w14:paraId="24250BA2">
            <w:pPr>
              <w:widowControl/>
              <w:jc w:val="left"/>
              <w:rPr>
                <w:rFonts w:cs="宋体"/>
                <w:kern w:val="0"/>
                <w:sz w:val="22"/>
                <w:szCs w:val="22"/>
              </w:rPr>
            </w:pPr>
            <w:r>
              <w:rPr>
                <w:rFonts w:hint="eastAsia" w:cs="宋体"/>
                <w:kern w:val="0"/>
                <w:sz w:val="22"/>
                <w:szCs w:val="22"/>
              </w:rPr>
              <w:t>可支持客户端在线实时迁移至指定的另一台服务器</w:t>
            </w:r>
          </w:p>
        </w:tc>
      </w:tr>
      <w:tr w14:paraId="0DD2B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6B91212B">
            <w:pPr>
              <w:widowControl/>
              <w:jc w:val="left"/>
              <w:rPr>
                <w:rFonts w:cs="宋体"/>
                <w:kern w:val="0"/>
                <w:sz w:val="22"/>
                <w:szCs w:val="22"/>
              </w:rPr>
            </w:pPr>
          </w:p>
        </w:tc>
        <w:tc>
          <w:tcPr>
            <w:tcW w:w="7496" w:type="dxa"/>
            <w:vAlign w:val="center"/>
          </w:tcPr>
          <w:p w14:paraId="6E2D76E7">
            <w:pPr>
              <w:widowControl/>
              <w:jc w:val="left"/>
              <w:rPr>
                <w:rFonts w:cs="宋体"/>
                <w:kern w:val="0"/>
                <w:sz w:val="22"/>
                <w:szCs w:val="22"/>
              </w:rPr>
            </w:pPr>
            <w:r>
              <w:rPr>
                <w:rFonts w:hint="eastAsia" w:cs="宋体"/>
                <w:kern w:val="0"/>
                <w:sz w:val="22"/>
                <w:szCs w:val="22"/>
              </w:rPr>
              <w:t>支持客户端资源占用自动降级，当客户端CPU和内存使用率超过设定值时，将自动暂时关闭资源占用高的功能，待资源稳定时再开启。</w:t>
            </w:r>
          </w:p>
        </w:tc>
      </w:tr>
      <w:tr w14:paraId="26D13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5D023A0F">
            <w:pPr>
              <w:widowControl/>
              <w:jc w:val="left"/>
              <w:rPr>
                <w:rFonts w:cs="宋体"/>
                <w:kern w:val="0"/>
                <w:sz w:val="22"/>
                <w:szCs w:val="22"/>
              </w:rPr>
            </w:pPr>
          </w:p>
        </w:tc>
        <w:tc>
          <w:tcPr>
            <w:tcW w:w="7496" w:type="dxa"/>
            <w:vAlign w:val="center"/>
          </w:tcPr>
          <w:p w14:paraId="78E0CD82">
            <w:pPr>
              <w:widowControl/>
              <w:jc w:val="left"/>
              <w:rPr>
                <w:rFonts w:cs="宋体"/>
                <w:kern w:val="0"/>
                <w:sz w:val="22"/>
                <w:szCs w:val="22"/>
              </w:rPr>
            </w:pPr>
            <w:r>
              <w:rPr>
                <w:rFonts w:hint="eastAsia" w:cs="宋体"/>
                <w:kern w:val="0"/>
                <w:sz w:val="22"/>
                <w:szCs w:val="22"/>
              </w:rPr>
              <w:t>支持设置客户端右下角托盘的展示与隐藏</w:t>
            </w:r>
          </w:p>
        </w:tc>
      </w:tr>
      <w:tr w14:paraId="2896E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restart"/>
            <w:vAlign w:val="center"/>
          </w:tcPr>
          <w:p w14:paraId="43D6F37C">
            <w:pPr>
              <w:widowControl/>
              <w:jc w:val="center"/>
              <w:rPr>
                <w:rFonts w:cs="宋体"/>
                <w:kern w:val="0"/>
                <w:sz w:val="22"/>
                <w:szCs w:val="22"/>
              </w:rPr>
            </w:pPr>
            <w:r>
              <w:rPr>
                <w:rFonts w:hint="eastAsia" w:cs="宋体"/>
                <w:kern w:val="0"/>
                <w:sz w:val="22"/>
                <w:szCs w:val="22"/>
              </w:rPr>
              <w:t>产品更新及证书</w:t>
            </w:r>
          </w:p>
        </w:tc>
        <w:tc>
          <w:tcPr>
            <w:tcW w:w="7496" w:type="dxa"/>
            <w:vAlign w:val="center"/>
          </w:tcPr>
          <w:p w14:paraId="08361B33">
            <w:pPr>
              <w:widowControl/>
              <w:jc w:val="left"/>
              <w:rPr>
                <w:rFonts w:cs="宋体"/>
                <w:kern w:val="0"/>
                <w:sz w:val="22"/>
                <w:szCs w:val="22"/>
              </w:rPr>
            </w:pPr>
            <w:r>
              <w:rPr>
                <w:rFonts w:hint="eastAsia" w:cs="宋体"/>
                <w:kern w:val="0"/>
                <w:sz w:val="22"/>
                <w:szCs w:val="22"/>
              </w:rPr>
              <w:t>支持管理员选择客户端立即更新或回退至上一版本</w:t>
            </w:r>
          </w:p>
        </w:tc>
      </w:tr>
      <w:tr w14:paraId="1DF86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45626BE6">
            <w:pPr>
              <w:widowControl/>
              <w:jc w:val="left"/>
              <w:rPr>
                <w:rFonts w:cs="宋体"/>
                <w:kern w:val="0"/>
                <w:sz w:val="22"/>
                <w:szCs w:val="22"/>
              </w:rPr>
            </w:pPr>
          </w:p>
        </w:tc>
        <w:tc>
          <w:tcPr>
            <w:tcW w:w="7496" w:type="dxa"/>
            <w:vAlign w:val="center"/>
          </w:tcPr>
          <w:p w14:paraId="7F82BAB3">
            <w:pPr>
              <w:widowControl/>
              <w:jc w:val="left"/>
              <w:rPr>
                <w:rFonts w:cs="宋体"/>
                <w:kern w:val="0"/>
                <w:sz w:val="22"/>
                <w:szCs w:val="22"/>
              </w:rPr>
            </w:pPr>
            <w:r>
              <w:rPr>
                <w:rFonts w:hint="eastAsia" w:cs="宋体"/>
                <w:kern w:val="0"/>
                <w:sz w:val="22"/>
                <w:szCs w:val="22"/>
              </w:rPr>
              <w:t>支持服务器端病毒码及引擎的还原功能；</w:t>
            </w:r>
          </w:p>
        </w:tc>
      </w:tr>
      <w:tr w14:paraId="688B5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Merge w:val="continue"/>
            <w:vAlign w:val="center"/>
          </w:tcPr>
          <w:p w14:paraId="4EBDCCBA">
            <w:pPr>
              <w:widowControl/>
              <w:jc w:val="left"/>
              <w:rPr>
                <w:rFonts w:cs="宋体"/>
                <w:kern w:val="0"/>
                <w:sz w:val="22"/>
                <w:szCs w:val="22"/>
              </w:rPr>
            </w:pPr>
          </w:p>
        </w:tc>
        <w:tc>
          <w:tcPr>
            <w:tcW w:w="7496" w:type="dxa"/>
            <w:vAlign w:val="center"/>
          </w:tcPr>
          <w:p w14:paraId="03B31D00">
            <w:pPr>
              <w:widowControl/>
              <w:jc w:val="left"/>
              <w:rPr>
                <w:rFonts w:cs="宋体"/>
                <w:kern w:val="0"/>
                <w:sz w:val="22"/>
                <w:szCs w:val="22"/>
              </w:rPr>
            </w:pPr>
            <w:r>
              <w:rPr>
                <w:rFonts w:hint="eastAsia" w:cs="宋体"/>
                <w:kern w:val="0"/>
                <w:sz w:val="22"/>
                <w:szCs w:val="22"/>
              </w:rPr>
              <w:t>支持IOC，IOA情报的单独更新和各自版本信息</w:t>
            </w:r>
          </w:p>
        </w:tc>
      </w:tr>
      <w:tr w14:paraId="13D8A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0" w:type="dxa"/>
            <w:vAlign w:val="center"/>
          </w:tcPr>
          <w:p w14:paraId="40AE95ED">
            <w:pPr>
              <w:widowControl/>
              <w:jc w:val="center"/>
              <w:rPr>
                <w:rFonts w:cs="宋体"/>
                <w:kern w:val="0"/>
                <w:sz w:val="22"/>
                <w:szCs w:val="22"/>
              </w:rPr>
            </w:pPr>
            <w:r>
              <w:rPr>
                <w:rFonts w:hint="eastAsia" w:cs="宋体"/>
                <w:kern w:val="0"/>
                <w:sz w:val="22"/>
                <w:szCs w:val="22"/>
              </w:rPr>
              <w:t>授权数量</w:t>
            </w:r>
          </w:p>
        </w:tc>
        <w:tc>
          <w:tcPr>
            <w:tcW w:w="7496" w:type="dxa"/>
            <w:vAlign w:val="center"/>
          </w:tcPr>
          <w:p w14:paraId="311BC420">
            <w:pPr>
              <w:widowControl/>
              <w:jc w:val="left"/>
              <w:rPr>
                <w:rFonts w:cs="宋体"/>
                <w:kern w:val="0"/>
                <w:sz w:val="22"/>
                <w:szCs w:val="22"/>
              </w:rPr>
            </w:pPr>
            <w:r>
              <w:rPr>
                <w:rFonts w:hint="eastAsia" w:cs="宋体"/>
                <w:kern w:val="0"/>
                <w:sz w:val="22"/>
                <w:szCs w:val="22"/>
              </w:rPr>
              <w:t>含</w:t>
            </w:r>
            <w:r>
              <w:rPr>
                <w:rFonts w:hint="eastAsia"/>
                <w:sz w:val="22"/>
                <w:szCs w:val="22"/>
              </w:rPr>
              <w:t>300点服务器</w:t>
            </w:r>
            <w:r>
              <w:rPr>
                <w:rFonts w:hint="eastAsia" w:cs="宋体"/>
                <w:kern w:val="0"/>
                <w:sz w:val="22"/>
                <w:szCs w:val="22"/>
              </w:rPr>
              <w:t>+2</w:t>
            </w:r>
            <w:r>
              <w:rPr>
                <w:rFonts w:cs="宋体"/>
                <w:kern w:val="0"/>
                <w:sz w:val="22"/>
                <w:szCs w:val="22"/>
              </w:rPr>
              <w:t>00</w:t>
            </w:r>
            <w:r>
              <w:rPr>
                <w:rFonts w:hint="eastAsia" w:cs="宋体"/>
                <w:kern w:val="0"/>
                <w:sz w:val="22"/>
                <w:szCs w:val="22"/>
              </w:rPr>
              <w:t>点客户端授权，2年软件</w:t>
            </w:r>
            <w:r>
              <w:rPr>
                <w:rFonts w:hint="eastAsia" w:cs="宋体"/>
                <w:kern w:val="0"/>
                <w:sz w:val="22"/>
                <w:szCs w:val="22"/>
                <w:lang w:eastAsia="zh-CN"/>
              </w:rPr>
              <w:t>升级维保</w:t>
            </w:r>
            <w:r>
              <w:rPr>
                <w:rFonts w:hint="eastAsia" w:cs="宋体"/>
                <w:kern w:val="0"/>
                <w:sz w:val="22"/>
                <w:szCs w:val="22"/>
              </w:rPr>
              <w:t>及病毒库升级</w:t>
            </w:r>
          </w:p>
        </w:tc>
      </w:tr>
    </w:tbl>
    <w:p w14:paraId="0CF8F383"/>
    <w:p w14:paraId="496A013B">
      <w:pPr>
        <w:pStyle w:val="4"/>
      </w:pPr>
      <w:r>
        <w:t xml:space="preserve"> </w:t>
      </w:r>
      <w:r>
        <w:rPr>
          <w:rFonts w:hint="eastAsia"/>
        </w:rPr>
        <w:t>API资产探测与安全管理系统</w:t>
      </w:r>
    </w:p>
    <w:tbl>
      <w:tblPr>
        <w:tblStyle w:val="17"/>
        <w:tblW w:w="0" w:type="auto"/>
        <w:tblInd w:w="-5" w:type="dxa"/>
        <w:tblLayout w:type="autofit"/>
        <w:tblCellMar>
          <w:top w:w="0" w:type="dxa"/>
          <w:left w:w="108" w:type="dxa"/>
          <w:bottom w:w="0" w:type="dxa"/>
          <w:right w:w="108" w:type="dxa"/>
        </w:tblCellMar>
      </w:tblPr>
      <w:tblGrid>
        <w:gridCol w:w="2361"/>
        <w:gridCol w:w="6166"/>
      </w:tblGrid>
      <w:tr w14:paraId="2F71A759">
        <w:tblPrEx>
          <w:tblCellMar>
            <w:top w:w="0" w:type="dxa"/>
            <w:left w:w="108" w:type="dxa"/>
            <w:bottom w:w="0" w:type="dxa"/>
            <w:right w:w="108" w:type="dxa"/>
          </w:tblCellMar>
        </w:tblPrEx>
        <w:trPr>
          <w:trHeight w:val="27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2C4E96E">
            <w:pPr>
              <w:widowControl/>
              <w:spacing w:line="240" w:lineRule="auto"/>
              <w:jc w:val="center"/>
              <w:rPr>
                <w:rFonts w:cs="宋体"/>
                <w:kern w:val="0"/>
                <w:sz w:val="22"/>
                <w:szCs w:val="22"/>
              </w:rPr>
            </w:pPr>
            <w:r>
              <w:rPr>
                <w:rFonts w:hint="eastAsia" w:cs="宋体"/>
                <w:kern w:val="0"/>
                <w:sz w:val="22"/>
                <w:szCs w:val="22"/>
              </w:rPr>
              <w:t>指标项</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120F2881">
            <w:pPr>
              <w:widowControl/>
              <w:spacing w:line="240" w:lineRule="auto"/>
              <w:jc w:val="center"/>
              <w:rPr>
                <w:rFonts w:cs="宋体"/>
                <w:kern w:val="0"/>
                <w:sz w:val="22"/>
                <w:szCs w:val="22"/>
              </w:rPr>
            </w:pPr>
            <w:r>
              <w:rPr>
                <w:rFonts w:hint="eastAsia" w:cs="宋体"/>
                <w:kern w:val="0"/>
                <w:sz w:val="22"/>
                <w:szCs w:val="22"/>
              </w:rPr>
              <w:t>指标要求</w:t>
            </w:r>
          </w:p>
        </w:tc>
      </w:tr>
      <w:tr w14:paraId="36AB612D">
        <w:tblPrEx>
          <w:tblCellMar>
            <w:top w:w="0" w:type="dxa"/>
            <w:left w:w="108" w:type="dxa"/>
            <w:bottom w:w="0" w:type="dxa"/>
            <w:right w:w="108" w:type="dxa"/>
          </w:tblCellMar>
        </w:tblPrEx>
        <w:trPr>
          <w:trHeight w:val="1159"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0B11B063">
            <w:pPr>
              <w:widowControl/>
              <w:spacing w:line="240" w:lineRule="auto"/>
              <w:jc w:val="center"/>
              <w:rPr>
                <w:rFonts w:cs="宋体"/>
                <w:kern w:val="0"/>
                <w:sz w:val="22"/>
                <w:szCs w:val="22"/>
              </w:rPr>
            </w:pPr>
            <w:r>
              <w:rPr>
                <w:rFonts w:hint="eastAsia" w:cs="宋体"/>
                <w:kern w:val="0"/>
                <w:sz w:val="22"/>
                <w:szCs w:val="22"/>
              </w:rPr>
              <w:t>硬件要求</w:t>
            </w:r>
          </w:p>
        </w:tc>
        <w:tc>
          <w:tcPr>
            <w:tcW w:w="0" w:type="auto"/>
            <w:tcBorders>
              <w:top w:val="nil"/>
              <w:left w:val="nil"/>
              <w:bottom w:val="single" w:color="auto" w:sz="4" w:space="0"/>
              <w:right w:val="single" w:color="auto" w:sz="4" w:space="0"/>
            </w:tcBorders>
            <w:shd w:val="clear" w:color="auto" w:fill="auto"/>
            <w:vAlign w:val="center"/>
          </w:tcPr>
          <w:p w14:paraId="2CB0FFE7">
            <w:pPr>
              <w:widowControl/>
              <w:spacing w:line="240" w:lineRule="auto"/>
              <w:jc w:val="left"/>
              <w:rPr>
                <w:rFonts w:cs="宋体"/>
                <w:kern w:val="0"/>
                <w:sz w:val="22"/>
                <w:szCs w:val="22"/>
              </w:rPr>
            </w:pPr>
            <w:r>
              <w:rPr>
                <w:rFonts w:hint="eastAsia" w:cs="宋体"/>
                <w:kern w:val="0"/>
                <w:sz w:val="22"/>
                <w:szCs w:val="22"/>
              </w:rPr>
              <w:t>国产2U机型，含交流冗余电源模块，XC CPU≥64核；内存≥192G；≥2个万兆口、≥2个千兆GE管理口、≥1个USB口；配置≥8*4T HDD，2*1T SSD硬盘，具备国产化操作系统</w:t>
            </w:r>
          </w:p>
        </w:tc>
      </w:tr>
      <w:tr w14:paraId="5CECBB58">
        <w:tblPrEx>
          <w:tblCellMar>
            <w:top w:w="0" w:type="dxa"/>
            <w:left w:w="108" w:type="dxa"/>
            <w:bottom w:w="0" w:type="dxa"/>
            <w:right w:w="108" w:type="dxa"/>
          </w:tblCellMar>
        </w:tblPrEx>
        <w:trPr>
          <w:trHeight w:val="540" w:hRule="atLeast"/>
        </w:trPr>
        <w:tc>
          <w:tcPr>
            <w:tcW w:w="0" w:type="auto"/>
            <w:vMerge w:val="restart"/>
            <w:tcBorders>
              <w:top w:val="nil"/>
              <w:left w:val="single" w:color="auto" w:sz="4" w:space="0"/>
              <w:bottom w:val="nil"/>
              <w:right w:val="single" w:color="auto" w:sz="4" w:space="0"/>
            </w:tcBorders>
            <w:shd w:val="clear" w:color="auto" w:fill="auto"/>
            <w:noWrap/>
            <w:vAlign w:val="center"/>
          </w:tcPr>
          <w:p w14:paraId="638AFDEC">
            <w:pPr>
              <w:widowControl/>
              <w:spacing w:line="240" w:lineRule="auto"/>
              <w:jc w:val="center"/>
              <w:rPr>
                <w:rFonts w:cs="宋体"/>
                <w:kern w:val="0"/>
                <w:sz w:val="22"/>
                <w:szCs w:val="22"/>
              </w:rPr>
            </w:pPr>
            <w:r>
              <w:rPr>
                <w:rFonts w:hint="eastAsia" w:cs="宋体"/>
                <w:kern w:val="0"/>
                <w:sz w:val="22"/>
                <w:szCs w:val="22"/>
              </w:rPr>
              <w:t>API资产梳理</w:t>
            </w:r>
          </w:p>
        </w:tc>
        <w:tc>
          <w:tcPr>
            <w:tcW w:w="0" w:type="auto"/>
            <w:tcBorders>
              <w:top w:val="nil"/>
              <w:left w:val="nil"/>
              <w:bottom w:val="single" w:color="auto" w:sz="4" w:space="0"/>
              <w:right w:val="single" w:color="auto" w:sz="4" w:space="0"/>
            </w:tcBorders>
            <w:shd w:val="clear" w:color="auto" w:fill="auto"/>
            <w:vAlign w:val="center"/>
          </w:tcPr>
          <w:p w14:paraId="3429F8D8">
            <w:pPr>
              <w:widowControl/>
              <w:spacing w:line="240" w:lineRule="auto"/>
              <w:jc w:val="left"/>
              <w:rPr>
                <w:rFonts w:cs="宋体"/>
                <w:kern w:val="0"/>
                <w:sz w:val="22"/>
                <w:szCs w:val="22"/>
              </w:rPr>
            </w:pPr>
            <w:r>
              <w:rPr>
                <w:rFonts w:hint="eastAsia" w:cs="宋体"/>
                <w:kern w:val="0"/>
                <w:sz w:val="22"/>
                <w:szCs w:val="22"/>
                <w:lang w:val="en-US" w:eastAsia="zh-CN"/>
              </w:rPr>
              <w:t>3</w:t>
            </w:r>
            <w:r>
              <w:rPr>
                <w:rFonts w:cs="宋体"/>
                <w:kern w:val="0"/>
                <w:sz w:val="22"/>
                <w:szCs w:val="22"/>
              </w:rPr>
              <w:t>▲</w:t>
            </w:r>
            <w:r>
              <w:rPr>
                <w:rFonts w:hint="eastAsia" w:cs="宋体"/>
                <w:kern w:val="0"/>
                <w:sz w:val="22"/>
                <w:szCs w:val="22"/>
              </w:rPr>
              <w:t>支持过滤静态文件如css、js、html等多类静态资源，允许自定义过滤配置包括但不限于响应状态码、请求UA、API路径、响应内容、请求后缀</w:t>
            </w:r>
          </w:p>
        </w:tc>
      </w:tr>
      <w:tr w14:paraId="12BF41DA">
        <w:tblPrEx>
          <w:tblCellMar>
            <w:top w:w="0" w:type="dxa"/>
            <w:left w:w="108" w:type="dxa"/>
            <w:bottom w:w="0" w:type="dxa"/>
            <w:right w:w="108" w:type="dxa"/>
          </w:tblCellMar>
        </w:tblPrEx>
        <w:trPr>
          <w:trHeight w:val="540" w:hRule="atLeast"/>
        </w:trPr>
        <w:tc>
          <w:tcPr>
            <w:tcW w:w="0" w:type="auto"/>
            <w:vMerge w:val="continue"/>
            <w:tcBorders>
              <w:top w:val="nil"/>
              <w:left w:val="single" w:color="auto" w:sz="4" w:space="0"/>
              <w:bottom w:val="nil"/>
              <w:right w:val="single" w:color="auto" w:sz="4" w:space="0"/>
            </w:tcBorders>
            <w:vAlign w:val="center"/>
          </w:tcPr>
          <w:p w14:paraId="74A36FAE">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03E2988B">
            <w:pPr>
              <w:widowControl/>
              <w:spacing w:line="240" w:lineRule="auto"/>
              <w:jc w:val="left"/>
              <w:rPr>
                <w:rFonts w:cs="宋体"/>
                <w:color w:val="auto"/>
                <w:kern w:val="0"/>
                <w:sz w:val="22"/>
                <w:szCs w:val="22"/>
              </w:rPr>
            </w:pPr>
            <w:r>
              <w:rPr>
                <w:rFonts w:hint="eastAsia" w:cs="宋体"/>
                <w:color w:val="auto"/>
                <w:kern w:val="0"/>
                <w:sz w:val="22"/>
                <w:szCs w:val="22"/>
              </w:rPr>
              <w:t>支持接口协议类型包括但不限于restfulAPI、GraphQL、SOAP、gRPC、Jsonp、Json-RPC等</w:t>
            </w:r>
          </w:p>
        </w:tc>
      </w:tr>
      <w:tr w14:paraId="20C26184">
        <w:tblPrEx>
          <w:tblCellMar>
            <w:top w:w="0" w:type="dxa"/>
            <w:left w:w="108" w:type="dxa"/>
            <w:bottom w:w="0" w:type="dxa"/>
            <w:right w:w="108" w:type="dxa"/>
          </w:tblCellMar>
        </w:tblPrEx>
        <w:trPr>
          <w:trHeight w:val="540" w:hRule="atLeast"/>
        </w:trPr>
        <w:tc>
          <w:tcPr>
            <w:tcW w:w="0" w:type="auto"/>
            <w:vMerge w:val="continue"/>
            <w:tcBorders>
              <w:top w:val="nil"/>
              <w:left w:val="single" w:color="auto" w:sz="4" w:space="0"/>
              <w:bottom w:val="nil"/>
              <w:right w:val="single" w:color="auto" w:sz="4" w:space="0"/>
            </w:tcBorders>
            <w:vAlign w:val="center"/>
          </w:tcPr>
          <w:p w14:paraId="77CFB986">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2F7554A3">
            <w:pPr>
              <w:widowControl/>
              <w:spacing w:line="240" w:lineRule="auto"/>
              <w:jc w:val="left"/>
              <w:rPr>
                <w:rFonts w:cs="宋体"/>
                <w:color w:val="auto"/>
                <w:kern w:val="0"/>
                <w:sz w:val="22"/>
                <w:szCs w:val="22"/>
              </w:rPr>
            </w:pPr>
            <w:r>
              <w:rPr>
                <w:rFonts w:hint="eastAsia" w:cs="宋体"/>
                <w:color w:val="auto"/>
                <w:kern w:val="0"/>
                <w:sz w:val="22"/>
                <w:szCs w:val="22"/>
              </w:rPr>
              <w:t>支持HTTP请求类型包括但不限于POST,GET,PUT,DELETE,HEAD,CONNECT,OPTIONS,TRACE等</w:t>
            </w:r>
          </w:p>
        </w:tc>
      </w:tr>
      <w:tr w14:paraId="70BF64BB">
        <w:tblPrEx>
          <w:tblCellMar>
            <w:top w:w="0" w:type="dxa"/>
            <w:left w:w="108" w:type="dxa"/>
            <w:bottom w:w="0" w:type="dxa"/>
            <w:right w:w="108" w:type="dxa"/>
          </w:tblCellMar>
        </w:tblPrEx>
        <w:trPr>
          <w:trHeight w:val="810" w:hRule="atLeast"/>
        </w:trPr>
        <w:tc>
          <w:tcPr>
            <w:tcW w:w="0" w:type="auto"/>
            <w:vMerge w:val="continue"/>
            <w:tcBorders>
              <w:top w:val="nil"/>
              <w:left w:val="single" w:color="auto" w:sz="4" w:space="0"/>
              <w:bottom w:val="nil"/>
              <w:right w:val="single" w:color="auto" w:sz="4" w:space="0"/>
            </w:tcBorders>
            <w:vAlign w:val="center"/>
          </w:tcPr>
          <w:p w14:paraId="1579C5C1">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3D3BBF24">
            <w:pPr>
              <w:widowControl/>
              <w:spacing w:line="240" w:lineRule="auto"/>
              <w:jc w:val="left"/>
              <w:rPr>
                <w:rFonts w:cs="宋体"/>
                <w:color w:val="auto"/>
                <w:kern w:val="0"/>
                <w:sz w:val="22"/>
                <w:szCs w:val="22"/>
              </w:rPr>
            </w:pPr>
            <w:r>
              <w:rPr>
                <w:rFonts w:hint="eastAsia" w:cs="宋体"/>
                <w:color w:val="auto"/>
                <w:kern w:val="0"/>
                <w:sz w:val="22"/>
                <w:szCs w:val="22"/>
              </w:rPr>
              <w:t>支持识别Restful API并进行自动合并，支持按参数、IP、IP:端口、GUID、UUID、SHA算法、MD5算法、数字、日期、时间等多种自动聚合方式；同时支持按自定义聚合策略来聚合API</w:t>
            </w:r>
          </w:p>
        </w:tc>
      </w:tr>
      <w:tr w14:paraId="6E079520">
        <w:tblPrEx>
          <w:tblCellMar>
            <w:top w:w="0" w:type="dxa"/>
            <w:left w:w="108" w:type="dxa"/>
            <w:bottom w:w="0" w:type="dxa"/>
            <w:right w:w="108" w:type="dxa"/>
          </w:tblCellMar>
        </w:tblPrEx>
        <w:trPr>
          <w:trHeight w:val="540" w:hRule="atLeast"/>
        </w:trPr>
        <w:tc>
          <w:tcPr>
            <w:tcW w:w="0" w:type="auto"/>
            <w:vMerge w:val="continue"/>
            <w:tcBorders>
              <w:top w:val="nil"/>
              <w:left w:val="single" w:color="auto" w:sz="4" w:space="0"/>
              <w:bottom w:val="nil"/>
              <w:right w:val="single" w:color="auto" w:sz="4" w:space="0"/>
            </w:tcBorders>
            <w:vAlign w:val="center"/>
          </w:tcPr>
          <w:p w14:paraId="27E4346D">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03F9F4F2">
            <w:pPr>
              <w:widowControl/>
              <w:spacing w:line="240" w:lineRule="auto"/>
              <w:jc w:val="left"/>
              <w:rPr>
                <w:rFonts w:cs="宋体"/>
                <w:color w:val="auto"/>
                <w:kern w:val="0"/>
                <w:sz w:val="22"/>
                <w:szCs w:val="22"/>
              </w:rPr>
            </w:pPr>
            <w:r>
              <w:rPr>
                <w:rFonts w:hint="eastAsia" w:cs="宋体"/>
                <w:color w:val="auto"/>
                <w:kern w:val="0"/>
                <w:sz w:val="22"/>
                <w:szCs w:val="22"/>
              </w:rPr>
              <w:t>支持监测API全生命周期变化，自动发现新增API、活跃API、失活API及下线API，并通过可视化图表展示API生命周期变化趋势</w:t>
            </w:r>
          </w:p>
        </w:tc>
      </w:tr>
      <w:tr w14:paraId="2DBAE05E">
        <w:tblPrEx>
          <w:tblCellMar>
            <w:top w:w="0" w:type="dxa"/>
            <w:left w:w="108" w:type="dxa"/>
            <w:bottom w:w="0" w:type="dxa"/>
            <w:right w:w="108" w:type="dxa"/>
          </w:tblCellMar>
        </w:tblPrEx>
        <w:trPr>
          <w:trHeight w:val="540" w:hRule="atLeast"/>
        </w:trPr>
        <w:tc>
          <w:tcPr>
            <w:tcW w:w="0" w:type="auto"/>
            <w:vMerge w:val="continue"/>
            <w:tcBorders>
              <w:top w:val="nil"/>
              <w:left w:val="single" w:color="auto" w:sz="4" w:space="0"/>
              <w:bottom w:val="nil"/>
              <w:right w:val="single" w:color="auto" w:sz="4" w:space="0"/>
            </w:tcBorders>
            <w:vAlign w:val="center"/>
          </w:tcPr>
          <w:p w14:paraId="33359D90">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7C810FD6">
            <w:pPr>
              <w:widowControl/>
              <w:spacing w:line="240" w:lineRule="auto"/>
              <w:jc w:val="left"/>
              <w:rPr>
                <w:rFonts w:cs="宋体"/>
                <w:color w:val="auto"/>
                <w:kern w:val="0"/>
                <w:sz w:val="22"/>
                <w:szCs w:val="22"/>
              </w:rPr>
            </w:pPr>
            <w:r>
              <w:rPr>
                <w:rFonts w:hint="eastAsia" w:cs="宋体"/>
                <w:color w:val="auto"/>
                <w:kern w:val="0"/>
                <w:sz w:val="22"/>
                <w:szCs w:val="22"/>
              </w:rPr>
              <w:t>支持自动对API进行分类管理，可自动识别登录、注册、上传、下载、删除、查询等API分类，并且支持用户通过多维度指标自定义API分类。</w:t>
            </w:r>
          </w:p>
        </w:tc>
      </w:tr>
      <w:tr w14:paraId="6DC007E2">
        <w:tblPrEx>
          <w:tblCellMar>
            <w:top w:w="0" w:type="dxa"/>
            <w:left w:w="108" w:type="dxa"/>
            <w:bottom w:w="0" w:type="dxa"/>
            <w:right w:w="108" w:type="dxa"/>
          </w:tblCellMar>
        </w:tblPrEx>
        <w:trPr>
          <w:trHeight w:val="540" w:hRule="atLeast"/>
        </w:trPr>
        <w:tc>
          <w:tcPr>
            <w:tcW w:w="0" w:type="auto"/>
            <w:vMerge w:val="continue"/>
            <w:tcBorders>
              <w:top w:val="nil"/>
              <w:left w:val="single" w:color="auto" w:sz="4" w:space="0"/>
              <w:bottom w:val="nil"/>
              <w:right w:val="single" w:color="auto" w:sz="4" w:space="0"/>
            </w:tcBorders>
            <w:vAlign w:val="center"/>
          </w:tcPr>
          <w:p w14:paraId="51CF9972">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69E8F30F">
            <w:pPr>
              <w:widowControl/>
              <w:spacing w:line="240" w:lineRule="auto"/>
              <w:jc w:val="left"/>
              <w:rPr>
                <w:rFonts w:cs="宋体"/>
                <w:color w:val="auto"/>
                <w:kern w:val="0"/>
                <w:sz w:val="22"/>
                <w:szCs w:val="22"/>
              </w:rPr>
            </w:pPr>
            <w:r>
              <w:rPr>
                <w:rFonts w:hint="eastAsia" w:cs="宋体"/>
                <w:kern w:val="0"/>
                <w:sz w:val="22"/>
                <w:szCs w:val="22"/>
                <w:lang w:val="en-US" w:eastAsia="zh-CN"/>
              </w:rPr>
              <w:t>4</w:t>
            </w:r>
            <w:r>
              <w:rPr>
                <w:rFonts w:cs="宋体"/>
                <w:kern w:val="0"/>
                <w:sz w:val="22"/>
                <w:szCs w:val="22"/>
              </w:rPr>
              <w:t>▲</w:t>
            </w:r>
            <w:r>
              <w:rPr>
                <w:rFonts w:hint="eastAsia" w:cs="宋体"/>
                <w:color w:val="auto"/>
                <w:kern w:val="0"/>
                <w:sz w:val="22"/>
                <w:szCs w:val="22"/>
              </w:rPr>
              <w:t>支持自动对API进行风险评级，评价高、中、低、无风险等风险级别，并标注资产风险类型，包括被攻击API、漏洞（缺陷）API、涉敏API、僵尸API、影子API等</w:t>
            </w:r>
          </w:p>
        </w:tc>
      </w:tr>
      <w:tr w14:paraId="1C6061B3">
        <w:tblPrEx>
          <w:tblCellMar>
            <w:top w:w="0" w:type="dxa"/>
            <w:left w:w="108" w:type="dxa"/>
            <w:bottom w:w="0" w:type="dxa"/>
            <w:right w:w="108" w:type="dxa"/>
          </w:tblCellMar>
        </w:tblPrEx>
        <w:trPr>
          <w:trHeight w:val="270" w:hRule="atLeast"/>
        </w:trPr>
        <w:tc>
          <w:tcPr>
            <w:tcW w:w="0" w:type="auto"/>
            <w:vMerge w:val="continue"/>
            <w:tcBorders>
              <w:top w:val="nil"/>
              <w:left w:val="single" w:color="auto" w:sz="4" w:space="0"/>
              <w:bottom w:val="nil"/>
              <w:right w:val="single" w:color="auto" w:sz="4" w:space="0"/>
            </w:tcBorders>
            <w:vAlign w:val="center"/>
          </w:tcPr>
          <w:p w14:paraId="02B67C8F">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37EAC70D">
            <w:pPr>
              <w:widowControl/>
              <w:spacing w:line="240" w:lineRule="auto"/>
              <w:jc w:val="left"/>
              <w:rPr>
                <w:rFonts w:cs="宋体"/>
                <w:color w:val="auto"/>
                <w:kern w:val="0"/>
                <w:sz w:val="22"/>
                <w:szCs w:val="22"/>
              </w:rPr>
            </w:pPr>
            <w:r>
              <w:rPr>
                <w:rFonts w:hint="eastAsia" w:cs="宋体"/>
                <w:color w:val="auto"/>
                <w:kern w:val="0"/>
                <w:sz w:val="22"/>
                <w:szCs w:val="22"/>
              </w:rPr>
              <w:t>支持API资产清单的导入导出，格式至少包含Excel、Swagger</w:t>
            </w:r>
          </w:p>
        </w:tc>
      </w:tr>
      <w:tr w14:paraId="6E9E2B7B">
        <w:tblPrEx>
          <w:tblCellMar>
            <w:top w:w="0" w:type="dxa"/>
            <w:left w:w="108" w:type="dxa"/>
            <w:bottom w:w="0" w:type="dxa"/>
            <w:right w:w="108" w:type="dxa"/>
          </w:tblCellMar>
        </w:tblPrEx>
        <w:trPr>
          <w:trHeight w:val="540" w:hRule="atLeast"/>
        </w:trPr>
        <w:tc>
          <w:tcPr>
            <w:tcW w:w="0" w:type="auto"/>
            <w:vMerge w:val="continue"/>
            <w:tcBorders>
              <w:top w:val="nil"/>
              <w:left w:val="single" w:color="auto" w:sz="4" w:space="0"/>
              <w:bottom w:val="nil"/>
              <w:right w:val="single" w:color="auto" w:sz="4" w:space="0"/>
            </w:tcBorders>
            <w:vAlign w:val="center"/>
          </w:tcPr>
          <w:p w14:paraId="5FA65893">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72536081">
            <w:pPr>
              <w:widowControl/>
              <w:spacing w:line="240" w:lineRule="auto"/>
              <w:jc w:val="left"/>
              <w:rPr>
                <w:rFonts w:cs="宋体"/>
                <w:color w:val="auto"/>
                <w:kern w:val="0"/>
                <w:sz w:val="22"/>
                <w:szCs w:val="22"/>
              </w:rPr>
            </w:pPr>
            <w:r>
              <w:rPr>
                <w:rFonts w:hint="eastAsia" w:cs="宋体"/>
                <w:color w:val="auto"/>
                <w:kern w:val="0"/>
                <w:sz w:val="22"/>
                <w:szCs w:val="22"/>
              </w:rPr>
              <w:t>支持查看API基本信息、参数结构及日志样例。支持格式化展示日志样例信息，至少可保留10个日志样例。</w:t>
            </w:r>
          </w:p>
        </w:tc>
      </w:tr>
      <w:tr w14:paraId="779E3362">
        <w:tblPrEx>
          <w:tblCellMar>
            <w:top w:w="0" w:type="dxa"/>
            <w:left w:w="108" w:type="dxa"/>
            <w:bottom w:w="0" w:type="dxa"/>
            <w:right w:w="108" w:type="dxa"/>
          </w:tblCellMar>
        </w:tblPrEx>
        <w:trPr>
          <w:trHeight w:val="270" w:hRule="atLeast"/>
        </w:trPr>
        <w:tc>
          <w:tcPr>
            <w:tcW w:w="0" w:type="auto"/>
            <w:vMerge w:val="continue"/>
            <w:tcBorders>
              <w:top w:val="nil"/>
              <w:left w:val="single" w:color="auto" w:sz="4" w:space="0"/>
              <w:bottom w:val="nil"/>
              <w:right w:val="single" w:color="auto" w:sz="4" w:space="0"/>
            </w:tcBorders>
            <w:vAlign w:val="center"/>
          </w:tcPr>
          <w:p w14:paraId="38224AED">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118DD12C">
            <w:pPr>
              <w:widowControl/>
              <w:spacing w:line="240" w:lineRule="auto"/>
              <w:jc w:val="left"/>
              <w:rPr>
                <w:rFonts w:cs="宋体"/>
                <w:color w:val="auto"/>
                <w:kern w:val="0"/>
                <w:sz w:val="22"/>
                <w:szCs w:val="22"/>
              </w:rPr>
            </w:pPr>
            <w:r>
              <w:rPr>
                <w:rFonts w:hint="eastAsia" w:cs="宋体"/>
                <w:color w:val="auto"/>
                <w:kern w:val="0"/>
                <w:sz w:val="22"/>
                <w:szCs w:val="22"/>
              </w:rPr>
              <w:t>支持查看API访问统计信息，包括访问量、流量大小及访问趋势等。</w:t>
            </w:r>
          </w:p>
        </w:tc>
      </w:tr>
      <w:tr w14:paraId="0E98E45F">
        <w:tblPrEx>
          <w:tblCellMar>
            <w:top w:w="0" w:type="dxa"/>
            <w:left w:w="108" w:type="dxa"/>
            <w:bottom w:w="0" w:type="dxa"/>
            <w:right w:w="108" w:type="dxa"/>
          </w:tblCellMar>
        </w:tblPrEx>
        <w:trPr>
          <w:trHeight w:val="540" w:hRule="atLeast"/>
        </w:trPr>
        <w:tc>
          <w:tcPr>
            <w:tcW w:w="0" w:type="auto"/>
            <w:vMerge w:val="continue"/>
            <w:tcBorders>
              <w:top w:val="nil"/>
              <w:left w:val="single" w:color="auto" w:sz="4" w:space="0"/>
              <w:bottom w:val="nil"/>
              <w:right w:val="single" w:color="auto" w:sz="4" w:space="0"/>
            </w:tcBorders>
            <w:vAlign w:val="center"/>
          </w:tcPr>
          <w:p w14:paraId="31280E6C">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1D8846A3">
            <w:pPr>
              <w:widowControl/>
              <w:spacing w:line="240" w:lineRule="auto"/>
              <w:jc w:val="left"/>
              <w:rPr>
                <w:rFonts w:cs="宋体"/>
                <w:color w:val="auto"/>
                <w:kern w:val="0"/>
                <w:sz w:val="22"/>
                <w:szCs w:val="22"/>
              </w:rPr>
            </w:pPr>
            <w:r>
              <w:rPr>
                <w:rFonts w:hint="eastAsia" w:cs="宋体"/>
                <w:color w:val="auto"/>
                <w:kern w:val="0"/>
                <w:sz w:val="22"/>
                <w:szCs w:val="22"/>
              </w:rPr>
              <w:t>支持查看API风险信息，包括API检出的漏洞及敏感数据泄露等信息，并支持查看溯源，提供风险描述及处置建议，支持对风险进行处置标记</w:t>
            </w:r>
          </w:p>
        </w:tc>
      </w:tr>
      <w:tr w14:paraId="6306FD22">
        <w:tblPrEx>
          <w:tblCellMar>
            <w:top w:w="0" w:type="dxa"/>
            <w:left w:w="108" w:type="dxa"/>
            <w:bottom w:w="0" w:type="dxa"/>
            <w:right w:w="108" w:type="dxa"/>
          </w:tblCellMar>
        </w:tblPrEx>
        <w:trPr>
          <w:trHeight w:val="540" w:hRule="atLeast"/>
        </w:trPr>
        <w:tc>
          <w:tcPr>
            <w:tcW w:w="0" w:type="auto"/>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14:paraId="34380E21">
            <w:pPr>
              <w:widowControl/>
              <w:spacing w:line="240" w:lineRule="auto"/>
              <w:jc w:val="center"/>
              <w:rPr>
                <w:rFonts w:cs="宋体"/>
                <w:kern w:val="0"/>
                <w:sz w:val="22"/>
                <w:szCs w:val="22"/>
              </w:rPr>
            </w:pPr>
            <w:r>
              <w:rPr>
                <w:rFonts w:hint="eastAsia" w:cs="宋体"/>
                <w:kern w:val="0"/>
                <w:sz w:val="22"/>
                <w:szCs w:val="22"/>
              </w:rPr>
              <w:t>源IP资产梳理</w:t>
            </w:r>
          </w:p>
        </w:tc>
        <w:tc>
          <w:tcPr>
            <w:tcW w:w="0" w:type="auto"/>
            <w:tcBorders>
              <w:top w:val="nil"/>
              <w:left w:val="nil"/>
              <w:bottom w:val="single" w:color="auto" w:sz="4" w:space="0"/>
              <w:right w:val="single" w:color="auto" w:sz="4" w:space="0"/>
            </w:tcBorders>
            <w:shd w:val="clear" w:color="auto" w:fill="auto"/>
            <w:vAlign w:val="center"/>
          </w:tcPr>
          <w:p w14:paraId="735F980B">
            <w:pPr>
              <w:widowControl/>
              <w:spacing w:line="240" w:lineRule="auto"/>
              <w:jc w:val="left"/>
              <w:rPr>
                <w:rFonts w:cs="宋体"/>
                <w:kern w:val="0"/>
                <w:sz w:val="22"/>
                <w:szCs w:val="22"/>
              </w:rPr>
            </w:pPr>
            <w:r>
              <w:rPr>
                <w:rFonts w:hint="eastAsia" w:cs="宋体"/>
                <w:kern w:val="0"/>
                <w:sz w:val="22"/>
                <w:szCs w:val="22"/>
              </w:rPr>
              <w:t>支持提供自定义源IP识别，可通过目标地址、目标域名、目标IP添加正序和倒序的键值配置。</w:t>
            </w:r>
          </w:p>
        </w:tc>
      </w:tr>
      <w:tr w14:paraId="0382753A">
        <w:tblPrEx>
          <w:tblCellMar>
            <w:top w:w="0" w:type="dxa"/>
            <w:left w:w="108" w:type="dxa"/>
            <w:bottom w:w="0" w:type="dxa"/>
            <w:right w:w="108" w:type="dxa"/>
          </w:tblCellMar>
        </w:tblPrEx>
        <w:trPr>
          <w:trHeight w:val="270" w:hRule="atLeast"/>
        </w:trPr>
        <w:tc>
          <w:tcPr>
            <w:tcW w:w="0" w:type="auto"/>
            <w:vMerge w:val="continue"/>
            <w:tcBorders>
              <w:top w:val="single" w:color="auto" w:sz="4" w:space="0"/>
              <w:left w:val="single" w:color="auto" w:sz="4" w:space="0"/>
              <w:bottom w:val="single" w:color="000000" w:sz="4" w:space="0"/>
              <w:right w:val="single" w:color="auto" w:sz="4" w:space="0"/>
            </w:tcBorders>
            <w:vAlign w:val="center"/>
          </w:tcPr>
          <w:p w14:paraId="1329C8CE">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09B96D36">
            <w:pPr>
              <w:widowControl/>
              <w:spacing w:line="240" w:lineRule="auto"/>
              <w:jc w:val="left"/>
              <w:rPr>
                <w:rFonts w:cs="宋体"/>
                <w:kern w:val="0"/>
                <w:sz w:val="22"/>
                <w:szCs w:val="22"/>
              </w:rPr>
            </w:pPr>
            <w:r>
              <w:rPr>
                <w:rFonts w:hint="eastAsia" w:cs="宋体"/>
                <w:kern w:val="0"/>
                <w:sz w:val="22"/>
                <w:szCs w:val="22"/>
              </w:rPr>
              <w:t>支持提供源IP风险信息，包括源IP的异常行为及敏感数据泄露等信息</w:t>
            </w:r>
          </w:p>
        </w:tc>
      </w:tr>
      <w:tr w14:paraId="644676E4">
        <w:tblPrEx>
          <w:tblCellMar>
            <w:top w:w="0" w:type="dxa"/>
            <w:left w:w="108" w:type="dxa"/>
            <w:bottom w:w="0" w:type="dxa"/>
            <w:right w:w="108" w:type="dxa"/>
          </w:tblCellMar>
        </w:tblPrEx>
        <w:trPr>
          <w:trHeight w:val="810" w:hRule="atLeast"/>
        </w:trPr>
        <w:tc>
          <w:tcPr>
            <w:tcW w:w="0" w:type="auto"/>
            <w:vMerge w:val="continue"/>
            <w:tcBorders>
              <w:top w:val="single" w:color="auto" w:sz="4" w:space="0"/>
              <w:left w:val="single" w:color="auto" w:sz="4" w:space="0"/>
              <w:bottom w:val="single" w:color="000000" w:sz="4" w:space="0"/>
              <w:right w:val="single" w:color="auto" w:sz="4" w:space="0"/>
            </w:tcBorders>
            <w:vAlign w:val="center"/>
          </w:tcPr>
          <w:p w14:paraId="63F4EEC2">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6383583D">
            <w:pPr>
              <w:widowControl/>
              <w:spacing w:line="240" w:lineRule="auto"/>
              <w:jc w:val="left"/>
              <w:rPr>
                <w:rFonts w:cs="宋体"/>
                <w:kern w:val="0"/>
                <w:sz w:val="22"/>
                <w:szCs w:val="22"/>
              </w:rPr>
            </w:pPr>
            <w:r>
              <w:rPr>
                <w:rFonts w:hint="eastAsia" w:cs="宋体"/>
                <w:kern w:val="0"/>
                <w:sz w:val="22"/>
                <w:szCs w:val="22"/>
              </w:rPr>
              <w:t>支持提供源IP访问信息，包括访问次数及流量统计、访问应用、访问API、关联账号、近30天使用UA、访问涉敏API排行、访问涉敏数据分布、近30天响应状态分布、异常行为日志等</w:t>
            </w:r>
          </w:p>
        </w:tc>
      </w:tr>
      <w:tr w14:paraId="1BCECB2F">
        <w:tblPrEx>
          <w:tblCellMar>
            <w:top w:w="0" w:type="dxa"/>
            <w:left w:w="108" w:type="dxa"/>
            <w:bottom w:w="0" w:type="dxa"/>
            <w:right w:w="108" w:type="dxa"/>
          </w:tblCellMar>
        </w:tblPrEx>
        <w:trPr>
          <w:trHeight w:val="810" w:hRule="atLeast"/>
        </w:trPr>
        <w:tc>
          <w:tcPr>
            <w:tcW w:w="0" w:type="auto"/>
            <w:vMerge w:val="restart"/>
            <w:tcBorders>
              <w:top w:val="nil"/>
              <w:left w:val="single" w:color="auto" w:sz="4" w:space="0"/>
              <w:bottom w:val="single" w:color="000000" w:sz="4" w:space="0"/>
              <w:right w:val="single" w:color="auto" w:sz="4" w:space="0"/>
            </w:tcBorders>
            <w:shd w:val="clear" w:color="auto" w:fill="auto"/>
            <w:noWrap/>
            <w:vAlign w:val="center"/>
          </w:tcPr>
          <w:p w14:paraId="088224AB">
            <w:pPr>
              <w:widowControl/>
              <w:spacing w:line="240" w:lineRule="auto"/>
              <w:jc w:val="center"/>
              <w:rPr>
                <w:rFonts w:cs="宋体"/>
                <w:kern w:val="0"/>
                <w:sz w:val="22"/>
                <w:szCs w:val="22"/>
              </w:rPr>
            </w:pPr>
            <w:r>
              <w:rPr>
                <w:rFonts w:hint="eastAsia" w:cs="宋体"/>
                <w:kern w:val="0"/>
                <w:sz w:val="22"/>
                <w:szCs w:val="22"/>
              </w:rPr>
              <w:t>账号资产梳理</w:t>
            </w:r>
          </w:p>
        </w:tc>
        <w:tc>
          <w:tcPr>
            <w:tcW w:w="0" w:type="auto"/>
            <w:tcBorders>
              <w:top w:val="nil"/>
              <w:left w:val="nil"/>
              <w:bottom w:val="single" w:color="auto" w:sz="4" w:space="0"/>
              <w:right w:val="single" w:color="auto" w:sz="4" w:space="0"/>
            </w:tcBorders>
            <w:shd w:val="clear" w:color="auto" w:fill="auto"/>
            <w:vAlign w:val="center"/>
          </w:tcPr>
          <w:p w14:paraId="7C7A1A47">
            <w:pPr>
              <w:widowControl/>
              <w:spacing w:line="240" w:lineRule="auto"/>
              <w:jc w:val="left"/>
              <w:rPr>
                <w:rFonts w:cs="宋体"/>
                <w:kern w:val="0"/>
                <w:sz w:val="22"/>
                <w:szCs w:val="22"/>
              </w:rPr>
            </w:pPr>
            <w:r>
              <w:rPr>
                <w:rFonts w:hint="eastAsia" w:cs="宋体"/>
                <w:kern w:val="0"/>
                <w:sz w:val="22"/>
                <w:szCs w:val="22"/>
              </w:rPr>
              <w:t>支持提供账号访问信息，包括访问次数及流量统计、访问应用、访问API、关联IP、近30天使用UA、访问涉敏API排行、访问涉敏数据分布、近30天响应状态分布、异常行为日志等</w:t>
            </w:r>
          </w:p>
        </w:tc>
      </w:tr>
      <w:tr w14:paraId="60FA9578">
        <w:tblPrEx>
          <w:tblCellMar>
            <w:top w:w="0" w:type="dxa"/>
            <w:left w:w="108" w:type="dxa"/>
            <w:bottom w:w="0" w:type="dxa"/>
            <w:right w:w="108" w:type="dxa"/>
          </w:tblCellMar>
        </w:tblPrEx>
        <w:trPr>
          <w:trHeight w:val="540" w:hRule="atLeast"/>
        </w:trPr>
        <w:tc>
          <w:tcPr>
            <w:tcW w:w="0" w:type="auto"/>
            <w:vMerge w:val="continue"/>
            <w:tcBorders>
              <w:top w:val="nil"/>
              <w:left w:val="single" w:color="auto" w:sz="4" w:space="0"/>
              <w:bottom w:val="single" w:color="000000" w:sz="4" w:space="0"/>
              <w:right w:val="single" w:color="auto" w:sz="4" w:space="0"/>
            </w:tcBorders>
            <w:vAlign w:val="center"/>
          </w:tcPr>
          <w:p w14:paraId="66E19C3A">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56724727">
            <w:pPr>
              <w:widowControl/>
              <w:spacing w:line="240" w:lineRule="auto"/>
              <w:jc w:val="left"/>
              <w:rPr>
                <w:rFonts w:cs="宋体"/>
                <w:color w:val="auto"/>
                <w:kern w:val="0"/>
                <w:sz w:val="22"/>
                <w:szCs w:val="22"/>
              </w:rPr>
            </w:pPr>
            <w:r>
              <w:rPr>
                <w:rFonts w:hint="eastAsia" w:cs="宋体"/>
                <w:color w:val="auto"/>
                <w:kern w:val="0"/>
                <w:sz w:val="22"/>
                <w:szCs w:val="22"/>
              </w:rPr>
              <w:t>支持根据账号识别配置策略自动对日志操作的对象进行账号提取，支持手动配置账号提取策略，适配登录识别、SSO、简单参数识别等场景</w:t>
            </w:r>
          </w:p>
        </w:tc>
      </w:tr>
      <w:tr w14:paraId="1C39D60F">
        <w:tblPrEx>
          <w:tblCellMar>
            <w:top w:w="0" w:type="dxa"/>
            <w:left w:w="108" w:type="dxa"/>
            <w:bottom w:w="0" w:type="dxa"/>
            <w:right w:w="108" w:type="dxa"/>
          </w:tblCellMar>
        </w:tblPrEx>
        <w:trPr>
          <w:trHeight w:val="270" w:hRule="atLeast"/>
        </w:trPr>
        <w:tc>
          <w:tcPr>
            <w:tcW w:w="0" w:type="auto"/>
            <w:vMerge w:val="continue"/>
            <w:tcBorders>
              <w:top w:val="nil"/>
              <w:left w:val="single" w:color="auto" w:sz="4" w:space="0"/>
              <w:bottom w:val="single" w:color="000000" w:sz="4" w:space="0"/>
              <w:right w:val="single" w:color="auto" w:sz="4" w:space="0"/>
            </w:tcBorders>
            <w:vAlign w:val="center"/>
          </w:tcPr>
          <w:p w14:paraId="191D9D1A">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020D0853">
            <w:pPr>
              <w:widowControl/>
              <w:spacing w:line="240" w:lineRule="auto"/>
              <w:jc w:val="left"/>
              <w:rPr>
                <w:rFonts w:cs="宋体"/>
                <w:color w:val="auto"/>
                <w:kern w:val="0"/>
                <w:sz w:val="22"/>
                <w:szCs w:val="22"/>
              </w:rPr>
            </w:pPr>
            <w:r>
              <w:rPr>
                <w:rFonts w:hint="eastAsia" w:cs="宋体"/>
                <w:color w:val="auto"/>
                <w:kern w:val="0"/>
                <w:sz w:val="22"/>
                <w:szCs w:val="22"/>
              </w:rPr>
              <w:t>支持账号生命周期管理，支持新增、活跃、失活、复活状态的自定义配置</w:t>
            </w:r>
          </w:p>
        </w:tc>
      </w:tr>
      <w:tr w14:paraId="6EE61250">
        <w:tblPrEx>
          <w:tblCellMar>
            <w:top w:w="0" w:type="dxa"/>
            <w:left w:w="108" w:type="dxa"/>
            <w:bottom w:w="0" w:type="dxa"/>
            <w:right w:w="108" w:type="dxa"/>
          </w:tblCellMar>
        </w:tblPrEx>
        <w:trPr>
          <w:trHeight w:val="270" w:hRule="atLeast"/>
        </w:trPr>
        <w:tc>
          <w:tcPr>
            <w:tcW w:w="0" w:type="auto"/>
            <w:vMerge w:val="restart"/>
            <w:tcBorders>
              <w:top w:val="nil"/>
              <w:left w:val="single" w:color="auto" w:sz="4" w:space="0"/>
              <w:bottom w:val="single" w:color="000000" w:sz="4" w:space="0"/>
              <w:right w:val="single" w:color="auto" w:sz="4" w:space="0"/>
            </w:tcBorders>
            <w:shd w:val="clear" w:color="auto" w:fill="auto"/>
            <w:noWrap/>
            <w:vAlign w:val="center"/>
          </w:tcPr>
          <w:p w14:paraId="0DD4E73A">
            <w:pPr>
              <w:widowControl/>
              <w:spacing w:line="240" w:lineRule="auto"/>
              <w:jc w:val="center"/>
              <w:rPr>
                <w:rFonts w:cs="宋体"/>
                <w:kern w:val="0"/>
                <w:sz w:val="22"/>
                <w:szCs w:val="22"/>
              </w:rPr>
            </w:pPr>
            <w:r>
              <w:rPr>
                <w:rFonts w:hint="eastAsia" w:cs="宋体"/>
                <w:kern w:val="0"/>
                <w:sz w:val="22"/>
                <w:szCs w:val="22"/>
              </w:rPr>
              <w:t>API漏洞分析</w:t>
            </w:r>
          </w:p>
        </w:tc>
        <w:tc>
          <w:tcPr>
            <w:tcW w:w="0" w:type="auto"/>
            <w:tcBorders>
              <w:top w:val="nil"/>
              <w:left w:val="nil"/>
              <w:bottom w:val="single" w:color="auto" w:sz="4" w:space="0"/>
              <w:right w:val="single" w:color="auto" w:sz="4" w:space="0"/>
            </w:tcBorders>
            <w:shd w:val="clear" w:color="auto" w:fill="auto"/>
            <w:vAlign w:val="center"/>
          </w:tcPr>
          <w:p w14:paraId="65B35D49">
            <w:pPr>
              <w:widowControl/>
              <w:spacing w:line="240" w:lineRule="auto"/>
              <w:rPr>
                <w:rFonts w:cs="宋体"/>
                <w:color w:val="auto"/>
                <w:kern w:val="0"/>
                <w:sz w:val="22"/>
                <w:szCs w:val="22"/>
              </w:rPr>
            </w:pPr>
            <w:r>
              <w:rPr>
                <w:rFonts w:hint="eastAsia" w:cs="宋体"/>
                <w:color w:val="auto"/>
                <w:kern w:val="0"/>
                <w:sz w:val="22"/>
                <w:szCs w:val="22"/>
              </w:rPr>
              <w:t>支持通过规则检测和上下文分析方式识别API脆弱性，内置至少200种漏洞检测策略</w:t>
            </w:r>
          </w:p>
        </w:tc>
      </w:tr>
      <w:tr w14:paraId="3C291D5C">
        <w:tblPrEx>
          <w:tblCellMar>
            <w:top w:w="0" w:type="dxa"/>
            <w:left w:w="108" w:type="dxa"/>
            <w:bottom w:w="0" w:type="dxa"/>
            <w:right w:w="108" w:type="dxa"/>
          </w:tblCellMar>
        </w:tblPrEx>
        <w:trPr>
          <w:trHeight w:val="1080" w:hRule="atLeast"/>
        </w:trPr>
        <w:tc>
          <w:tcPr>
            <w:tcW w:w="0" w:type="auto"/>
            <w:vMerge w:val="continue"/>
            <w:tcBorders>
              <w:top w:val="nil"/>
              <w:left w:val="single" w:color="auto" w:sz="4" w:space="0"/>
              <w:bottom w:val="single" w:color="000000" w:sz="4" w:space="0"/>
              <w:right w:val="single" w:color="auto" w:sz="4" w:space="0"/>
            </w:tcBorders>
            <w:vAlign w:val="center"/>
          </w:tcPr>
          <w:p w14:paraId="467C1F52">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7AC379CA">
            <w:pPr>
              <w:widowControl/>
              <w:spacing w:line="240" w:lineRule="auto"/>
              <w:rPr>
                <w:rFonts w:cs="宋体"/>
                <w:color w:val="auto"/>
                <w:kern w:val="0"/>
                <w:sz w:val="22"/>
                <w:szCs w:val="22"/>
              </w:rPr>
            </w:pPr>
            <w:r>
              <w:rPr>
                <w:rFonts w:hint="eastAsia" w:cs="宋体"/>
                <w:color w:val="auto"/>
                <w:kern w:val="0"/>
                <w:sz w:val="22"/>
                <w:szCs w:val="22"/>
              </w:rPr>
              <w:t>支持自动识别API的疑似弱点或脆弱性，覆盖OWASP API Security Top10（2019或2023）至少包含对象级授权失效、用户身份验证失效、对象属性级授权失效、资源消耗不受限制、功能级授权失效、服务器端请求伪造、安全配置错误、存量资产管理不当、不安全的第三方API等</w:t>
            </w:r>
          </w:p>
        </w:tc>
      </w:tr>
      <w:tr w14:paraId="0C4DC0B3">
        <w:tblPrEx>
          <w:tblCellMar>
            <w:top w:w="0" w:type="dxa"/>
            <w:left w:w="108" w:type="dxa"/>
            <w:bottom w:w="0" w:type="dxa"/>
            <w:right w:w="108" w:type="dxa"/>
          </w:tblCellMar>
        </w:tblPrEx>
        <w:trPr>
          <w:trHeight w:val="1080" w:hRule="atLeast"/>
        </w:trPr>
        <w:tc>
          <w:tcPr>
            <w:tcW w:w="0" w:type="auto"/>
            <w:vMerge w:val="continue"/>
            <w:tcBorders>
              <w:top w:val="nil"/>
              <w:left w:val="single" w:color="auto" w:sz="4" w:space="0"/>
              <w:bottom w:val="single" w:color="000000" w:sz="4" w:space="0"/>
              <w:right w:val="single" w:color="auto" w:sz="4" w:space="0"/>
            </w:tcBorders>
            <w:vAlign w:val="center"/>
          </w:tcPr>
          <w:p w14:paraId="295F3AD4">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3C80100E">
            <w:pPr>
              <w:widowControl/>
              <w:spacing w:line="240" w:lineRule="auto"/>
              <w:rPr>
                <w:rFonts w:cs="宋体"/>
                <w:color w:val="auto"/>
                <w:kern w:val="0"/>
                <w:sz w:val="22"/>
                <w:szCs w:val="22"/>
              </w:rPr>
            </w:pPr>
            <w:r>
              <w:rPr>
                <w:rFonts w:hint="eastAsia" w:cs="宋体"/>
                <w:color w:val="auto"/>
                <w:kern w:val="0"/>
                <w:sz w:val="22"/>
                <w:szCs w:val="22"/>
              </w:rPr>
              <w:t>内置上下文漏洞分析模型包括但不限于弱密码登录、弱密码传输、API返回大量敏感数据、凭证长期生效、越权访问检测、不安全的HTTP请求、服务器信息泄露、返回调试信息、参数可遍历、登录认证不合理、明文密码传输、涉敏接口未授权访问、访问频率无限制等</w:t>
            </w:r>
          </w:p>
        </w:tc>
      </w:tr>
      <w:tr w14:paraId="7AFD1E2A">
        <w:tblPrEx>
          <w:tblCellMar>
            <w:top w:w="0" w:type="dxa"/>
            <w:left w:w="108" w:type="dxa"/>
            <w:bottom w:w="0" w:type="dxa"/>
            <w:right w:w="108" w:type="dxa"/>
          </w:tblCellMar>
        </w:tblPrEx>
        <w:trPr>
          <w:trHeight w:val="810" w:hRule="atLeast"/>
        </w:trPr>
        <w:tc>
          <w:tcPr>
            <w:tcW w:w="0" w:type="auto"/>
            <w:vMerge w:val="continue"/>
            <w:tcBorders>
              <w:top w:val="nil"/>
              <w:left w:val="single" w:color="auto" w:sz="4" w:space="0"/>
              <w:bottom w:val="single" w:color="000000" w:sz="4" w:space="0"/>
              <w:right w:val="single" w:color="auto" w:sz="4" w:space="0"/>
            </w:tcBorders>
            <w:vAlign w:val="center"/>
          </w:tcPr>
          <w:p w14:paraId="47E33824">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4B4E5226">
            <w:pPr>
              <w:widowControl/>
              <w:spacing w:line="240" w:lineRule="auto"/>
              <w:rPr>
                <w:rFonts w:cs="宋体"/>
                <w:color w:val="auto"/>
                <w:kern w:val="0"/>
                <w:sz w:val="22"/>
                <w:szCs w:val="22"/>
              </w:rPr>
            </w:pPr>
            <w:r>
              <w:rPr>
                <w:rFonts w:hint="eastAsia" w:cs="宋体"/>
                <w:kern w:val="0"/>
                <w:sz w:val="22"/>
                <w:szCs w:val="22"/>
                <w:lang w:val="en-US" w:eastAsia="zh-CN"/>
              </w:rPr>
              <w:t>5</w:t>
            </w:r>
            <w:r>
              <w:rPr>
                <w:rFonts w:cs="宋体"/>
                <w:kern w:val="0"/>
                <w:sz w:val="22"/>
                <w:szCs w:val="22"/>
              </w:rPr>
              <w:t>▲</w:t>
            </w:r>
            <w:r>
              <w:rPr>
                <w:rFonts w:hint="eastAsia" w:cs="宋体"/>
                <w:color w:val="auto"/>
                <w:kern w:val="0"/>
                <w:sz w:val="22"/>
                <w:szCs w:val="22"/>
              </w:rPr>
              <w:t>支持通过界面自定义新增漏洞检测策略，可细粒度配置到请求URL、请求头、请求体、响应码、响应头、响应体、Cookie、UA类型、内容类型等，支持对以上维度进行组合配置，且支持正则和关键字等匹配方式进行配置</w:t>
            </w:r>
          </w:p>
        </w:tc>
      </w:tr>
      <w:tr w14:paraId="74AE5A2F">
        <w:tblPrEx>
          <w:tblCellMar>
            <w:top w:w="0" w:type="dxa"/>
            <w:left w:w="108" w:type="dxa"/>
            <w:bottom w:w="0" w:type="dxa"/>
            <w:right w:w="108" w:type="dxa"/>
          </w:tblCellMar>
        </w:tblPrEx>
        <w:trPr>
          <w:trHeight w:val="540" w:hRule="atLeast"/>
        </w:trPr>
        <w:tc>
          <w:tcPr>
            <w:tcW w:w="0" w:type="auto"/>
            <w:vMerge w:val="continue"/>
            <w:tcBorders>
              <w:top w:val="nil"/>
              <w:left w:val="single" w:color="auto" w:sz="4" w:space="0"/>
              <w:bottom w:val="single" w:color="000000" w:sz="4" w:space="0"/>
              <w:right w:val="single" w:color="auto" w:sz="4" w:space="0"/>
            </w:tcBorders>
            <w:vAlign w:val="center"/>
          </w:tcPr>
          <w:p w14:paraId="09533160">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31FDF399">
            <w:pPr>
              <w:widowControl/>
              <w:spacing w:line="240" w:lineRule="auto"/>
              <w:rPr>
                <w:rFonts w:cs="宋体"/>
                <w:color w:val="auto"/>
                <w:kern w:val="0"/>
                <w:sz w:val="22"/>
                <w:szCs w:val="22"/>
              </w:rPr>
            </w:pPr>
            <w:r>
              <w:rPr>
                <w:rFonts w:hint="eastAsia" w:cs="宋体"/>
                <w:color w:val="auto"/>
                <w:kern w:val="0"/>
                <w:sz w:val="22"/>
                <w:szCs w:val="22"/>
              </w:rPr>
              <w:t>内置常见第三方组件漏洞检测规则，包含Springboot、Apache、WordPress、Elasticsearch、Nginx、用友、金蝶、泛微、致远、通达等</w:t>
            </w:r>
          </w:p>
        </w:tc>
      </w:tr>
      <w:tr w14:paraId="1784169E">
        <w:tblPrEx>
          <w:tblCellMar>
            <w:top w:w="0" w:type="dxa"/>
            <w:left w:w="108" w:type="dxa"/>
            <w:bottom w:w="0" w:type="dxa"/>
            <w:right w:w="108" w:type="dxa"/>
          </w:tblCellMar>
        </w:tblPrEx>
        <w:trPr>
          <w:trHeight w:val="270" w:hRule="atLeast"/>
        </w:trPr>
        <w:tc>
          <w:tcPr>
            <w:tcW w:w="0" w:type="auto"/>
            <w:vMerge w:val="continue"/>
            <w:tcBorders>
              <w:top w:val="nil"/>
              <w:left w:val="single" w:color="auto" w:sz="4" w:space="0"/>
              <w:bottom w:val="single" w:color="000000" w:sz="4" w:space="0"/>
              <w:right w:val="single" w:color="auto" w:sz="4" w:space="0"/>
            </w:tcBorders>
            <w:vAlign w:val="center"/>
          </w:tcPr>
          <w:p w14:paraId="47D910EF">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0F485ACA">
            <w:pPr>
              <w:widowControl/>
              <w:spacing w:line="240" w:lineRule="auto"/>
              <w:rPr>
                <w:rFonts w:cs="宋体"/>
                <w:color w:val="auto"/>
                <w:kern w:val="0"/>
                <w:sz w:val="22"/>
                <w:szCs w:val="22"/>
              </w:rPr>
            </w:pPr>
            <w:r>
              <w:rPr>
                <w:rFonts w:hint="eastAsia" w:cs="宋体"/>
                <w:color w:val="auto"/>
                <w:kern w:val="0"/>
                <w:sz w:val="22"/>
                <w:szCs w:val="22"/>
              </w:rPr>
              <w:t>提供弱点证据的展示，支持呈现弱点的描述、整改建议、弱点证据</w:t>
            </w:r>
          </w:p>
        </w:tc>
      </w:tr>
      <w:tr w14:paraId="1D7A69B9">
        <w:tblPrEx>
          <w:tblCellMar>
            <w:top w:w="0" w:type="dxa"/>
            <w:left w:w="108" w:type="dxa"/>
            <w:bottom w:w="0" w:type="dxa"/>
            <w:right w:w="108" w:type="dxa"/>
          </w:tblCellMar>
        </w:tblPrEx>
        <w:trPr>
          <w:trHeight w:val="270" w:hRule="atLeast"/>
        </w:trPr>
        <w:tc>
          <w:tcPr>
            <w:tcW w:w="0" w:type="auto"/>
            <w:vMerge w:val="continue"/>
            <w:tcBorders>
              <w:top w:val="nil"/>
              <w:left w:val="single" w:color="auto" w:sz="4" w:space="0"/>
              <w:bottom w:val="single" w:color="000000" w:sz="4" w:space="0"/>
              <w:right w:val="single" w:color="auto" w:sz="4" w:space="0"/>
            </w:tcBorders>
            <w:vAlign w:val="center"/>
          </w:tcPr>
          <w:p w14:paraId="323A089E">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7F98914E">
            <w:pPr>
              <w:widowControl/>
              <w:spacing w:line="240" w:lineRule="auto"/>
              <w:rPr>
                <w:rFonts w:cs="宋体"/>
                <w:color w:val="auto"/>
                <w:kern w:val="0"/>
                <w:sz w:val="22"/>
                <w:szCs w:val="22"/>
              </w:rPr>
            </w:pPr>
            <w:r>
              <w:rPr>
                <w:rFonts w:hint="eastAsia" w:cs="宋体"/>
                <w:color w:val="auto"/>
                <w:kern w:val="0"/>
                <w:sz w:val="22"/>
                <w:szCs w:val="22"/>
              </w:rPr>
              <w:t>支持批量标记漏洞处置状态</w:t>
            </w:r>
          </w:p>
        </w:tc>
      </w:tr>
      <w:tr w14:paraId="22C134F1">
        <w:tblPrEx>
          <w:tblCellMar>
            <w:top w:w="0" w:type="dxa"/>
            <w:left w:w="108" w:type="dxa"/>
            <w:bottom w:w="0" w:type="dxa"/>
            <w:right w:w="108" w:type="dxa"/>
          </w:tblCellMar>
        </w:tblPrEx>
        <w:trPr>
          <w:trHeight w:val="270" w:hRule="atLeast"/>
        </w:trPr>
        <w:tc>
          <w:tcPr>
            <w:tcW w:w="0" w:type="auto"/>
            <w:vMerge w:val="restart"/>
            <w:tcBorders>
              <w:top w:val="nil"/>
              <w:left w:val="single" w:color="auto" w:sz="4" w:space="0"/>
              <w:bottom w:val="single" w:color="000000" w:sz="4" w:space="0"/>
              <w:right w:val="single" w:color="auto" w:sz="4" w:space="0"/>
            </w:tcBorders>
            <w:shd w:val="clear" w:color="auto" w:fill="auto"/>
            <w:noWrap/>
            <w:vAlign w:val="center"/>
          </w:tcPr>
          <w:p w14:paraId="30740946">
            <w:pPr>
              <w:widowControl/>
              <w:spacing w:line="240" w:lineRule="auto"/>
              <w:jc w:val="center"/>
              <w:rPr>
                <w:rFonts w:cs="宋体"/>
                <w:kern w:val="0"/>
                <w:sz w:val="22"/>
                <w:szCs w:val="22"/>
              </w:rPr>
            </w:pPr>
            <w:r>
              <w:rPr>
                <w:rFonts w:hint="eastAsia" w:cs="宋体"/>
                <w:kern w:val="0"/>
                <w:sz w:val="22"/>
                <w:szCs w:val="22"/>
              </w:rPr>
              <w:t>数据安全分析</w:t>
            </w:r>
          </w:p>
        </w:tc>
        <w:tc>
          <w:tcPr>
            <w:tcW w:w="0" w:type="auto"/>
            <w:tcBorders>
              <w:top w:val="nil"/>
              <w:left w:val="nil"/>
              <w:bottom w:val="single" w:color="auto" w:sz="4" w:space="0"/>
              <w:right w:val="single" w:color="auto" w:sz="4" w:space="0"/>
            </w:tcBorders>
            <w:shd w:val="clear" w:color="auto" w:fill="auto"/>
            <w:vAlign w:val="center"/>
          </w:tcPr>
          <w:p w14:paraId="4675F5C8">
            <w:pPr>
              <w:widowControl/>
              <w:spacing w:line="240" w:lineRule="auto"/>
              <w:jc w:val="left"/>
              <w:rPr>
                <w:rFonts w:cs="宋体"/>
                <w:color w:val="auto"/>
                <w:kern w:val="0"/>
                <w:sz w:val="22"/>
                <w:szCs w:val="22"/>
              </w:rPr>
            </w:pPr>
            <w:r>
              <w:rPr>
                <w:rFonts w:hint="eastAsia" w:cs="宋体"/>
                <w:color w:val="auto"/>
                <w:kern w:val="0"/>
                <w:sz w:val="22"/>
                <w:szCs w:val="22"/>
              </w:rPr>
              <w:t>内置敏感数据标签行业分类</w:t>
            </w:r>
          </w:p>
        </w:tc>
      </w:tr>
      <w:tr w14:paraId="0B07DE29">
        <w:tblPrEx>
          <w:tblCellMar>
            <w:top w:w="0" w:type="dxa"/>
            <w:left w:w="108" w:type="dxa"/>
            <w:bottom w:w="0" w:type="dxa"/>
            <w:right w:w="108" w:type="dxa"/>
          </w:tblCellMar>
        </w:tblPrEx>
        <w:trPr>
          <w:trHeight w:val="810" w:hRule="atLeast"/>
        </w:trPr>
        <w:tc>
          <w:tcPr>
            <w:tcW w:w="0" w:type="auto"/>
            <w:vMerge w:val="continue"/>
            <w:tcBorders>
              <w:top w:val="nil"/>
              <w:left w:val="single" w:color="auto" w:sz="4" w:space="0"/>
              <w:bottom w:val="single" w:color="000000" w:sz="4" w:space="0"/>
              <w:right w:val="single" w:color="auto" w:sz="4" w:space="0"/>
            </w:tcBorders>
            <w:vAlign w:val="center"/>
          </w:tcPr>
          <w:p w14:paraId="36C2A37C">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3BA40732">
            <w:pPr>
              <w:widowControl/>
              <w:spacing w:line="240" w:lineRule="auto"/>
              <w:jc w:val="left"/>
              <w:rPr>
                <w:rFonts w:cs="宋体"/>
                <w:color w:val="auto"/>
                <w:kern w:val="0"/>
                <w:sz w:val="22"/>
                <w:szCs w:val="22"/>
              </w:rPr>
            </w:pPr>
            <w:r>
              <w:rPr>
                <w:rFonts w:hint="eastAsia" w:cs="宋体"/>
                <w:color w:val="auto"/>
                <w:kern w:val="0"/>
                <w:sz w:val="22"/>
                <w:szCs w:val="22"/>
              </w:rPr>
              <w:t xml:space="preserve">内置个人敏感信息检测规则，覆盖类别包含个人位置信息、个人身份信息、个人健康生理信息、个人财产信息、身份鉴别信息、其他信息等，不得低于6类，覆盖身份证、驾驶证、护照、银行卡号等，自动识别并形成数据资产台账 </w:t>
            </w:r>
          </w:p>
        </w:tc>
      </w:tr>
      <w:tr w14:paraId="4A134ED0">
        <w:tblPrEx>
          <w:tblCellMar>
            <w:top w:w="0" w:type="dxa"/>
            <w:left w:w="108" w:type="dxa"/>
            <w:bottom w:w="0" w:type="dxa"/>
            <w:right w:w="108" w:type="dxa"/>
          </w:tblCellMar>
        </w:tblPrEx>
        <w:trPr>
          <w:trHeight w:val="270" w:hRule="atLeast"/>
        </w:trPr>
        <w:tc>
          <w:tcPr>
            <w:tcW w:w="0" w:type="auto"/>
            <w:vMerge w:val="continue"/>
            <w:tcBorders>
              <w:top w:val="nil"/>
              <w:left w:val="single" w:color="auto" w:sz="4" w:space="0"/>
              <w:bottom w:val="single" w:color="000000" w:sz="4" w:space="0"/>
              <w:right w:val="single" w:color="auto" w:sz="4" w:space="0"/>
            </w:tcBorders>
            <w:vAlign w:val="center"/>
          </w:tcPr>
          <w:p w14:paraId="526EDE59">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6A4E6701">
            <w:pPr>
              <w:widowControl/>
              <w:spacing w:line="240" w:lineRule="auto"/>
              <w:jc w:val="left"/>
              <w:rPr>
                <w:rFonts w:cs="宋体"/>
                <w:color w:val="auto"/>
                <w:kern w:val="0"/>
                <w:sz w:val="22"/>
                <w:szCs w:val="22"/>
              </w:rPr>
            </w:pPr>
            <w:r>
              <w:rPr>
                <w:rFonts w:hint="eastAsia" w:cs="宋体"/>
                <w:color w:val="auto"/>
                <w:kern w:val="0"/>
                <w:sz w:val="22"/>
                <w:szCs w:val="22"/>
              </w:rPr>
              <w:t>支持自定义组合数据标签</w:t>
            </w:r>
          </w:p>
        </w:tc>
      </w:tr>
      <w:tr w14:paraId="501F6FAE">
        <w:tblPrEx>
          <w:tblCellMar>
            <w:top w:w="0" w:type="dxa"/>
            <w:left w:w="108" w:type="dxa"/>
            <w:bottom w:w="0" w:type="dxa"/>
            <w:right w:w="108" w:type="dxa"/>
          </w:tblCellMar>
        </w:tblPrEx>
        <w:trPr>
          <w:trHeight w:val="270" w:hRule="atLeast"/>
        </w:trPr>
        <w:tc>
          <w:tcPr>
            <w:tcW w:w="0" w:type="auto"/>
            <w:vMerge w:val="continue"/>
            <w:tcBorders>
              <w:top w:val="nil"/>
              <w:left w:val="single" w:color="auto" w:sz="4" w:space="0"/>
              <w:bottom w:val="single" w:color="000000" w:sz="4" w:space="0"/>
              <w:right w:val="single" w:color="auto" w:sz="4" w:space="0"/>
            </w:tcBorders>
            <w:vAlign w:val="center"/>
          </w:tcPr>
          <w:p w14:paraId="036931BE">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3F6DF4F3">
            <w:pPr>
              <w:widowControl/>
              <w:spacing w:line="240" w:lineRule="auto"/>
              <w:jc w:val="left"/>
              <w:rPr>
                <w:rFonts w:cs="宋体"/>
                <w:color w:val="auto"/>
                <w:kern w:val="0"/>
                <w:sz w:val="22"/>
                <w:szCs w:val="22"/>
              </w:rPr>
            </w:pPr>
            <w:r>
              <w:rPr>
                <w:rFonts w:hint="eastAsia" w:cs="宋体"/>
                <w:color w:val="auto"/>
                <w:kern w:val="0"/>
                <w:sz w:val="22"/>
                <w:szCs w:val="22"/>
              </w:rPr>
              <w:t>支持通过正则表达式、关键字、算法等方式设置识别规则</w:t>
            </w:r>
          </w:p>
        </w:tc>
      </w:tr>
      <w:tr w14:paraId="0105ACCA">
        <w:tblPrEx>
          <w:tblCellMar>
            <w:top w:w="0" w:type="dxa"/>
            <w:left w:w="108" w:type="dxa"/>
            <w:bottom w:w="0" w:type="dxa"/>
            <w:right w:w="108" w:type="dxa"/>
          </w:tblCellMar>
        </w:tblPrEx>
        <w:trPr>
          <w:trHeight w:val="270" w:hRule="atLeast"/>
        </w:trPr>
        <w:tc>
          <w:tcPr>
            <w:tcW w:w="0" w:type="auto"/>
            <w:vMerge w:val="continue"/>
            <w:tcBorders>
              <w:top w:val="nil"/>
              <w:left w:val="single" w:color="auto" w:sz="4" w:space="0"/>
              <w:bottom w:val="single" w:color="000000" w:sz="4" w:space="0"/>
              <w:right w:val="single" w:color="auto" w:sz="4" w:space="0"/>
            </w:tcBorders>
            <w:vAlign w:val="center"/>
          </w:tcPr>
          <w:p w14:paraId="7FF3420F">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5A8BE548">
            <w:pPr>
              <w:widowControl/>
              <w:spacing w:line="240" w:lineRule="auto"/>
              <w:jc w:val="left"/>
              <w:rPr>
                <w:rFonts w:cs="宋体"/>
                <w:color w:val="auto"/>
                <w:kern w:val="0"/>
                <w:sz w:val="22"/>
                <w:szCs w:val="22"/>
              </w:rPr>
            </w:pPr>
            <w:r>
              <w:rPr>
                <w:rFonts w:hint="eastAsia" w:cs="宋体"/>
                <w:kern w:val="0"/>
                <w:sz w:val="22"/>
                <w:szCs w:val="22"/>
                <w:lang w:val="en-US" w:eastAsia="zh-CN"/>
              </w:rPr>
              <w:t>6</w:t>
            </w:r>
            <w:r>
              <w:rPr>
                <w:rFonts w:cs="宋体"/>
                <w:kern w:val="0"/>
                <w:sz w:val="22"/>
                <w:szCs w:val="22"/>
              </w:rPr>
              <w:t>▲</w:t>
            </w:r>
            <w:r>
              <w:rPr>
                <w:rFonts w:hint="eastAsia" w:cs="宋体"/>
                <w:color w:val="auto"/>
                <w:kern w:val="0"/>
                <w:sz w:val="22"/>
                <w:szCs w:val="22"/>
              </w:rPr>
              <w:t>支持针对敏感数据绘制多维度的数据访问链路图</w:t>
            </w:r>
          </w:p>
        </w:tc>
      </w:tr>
      <w:tr w14:paraId="5D9D5D6D">
        <w:tblPrEx>
          <w:tblCellMar>
            <w:top w:w="0" w:type="dxa"/>
            <w:left w:w="108" w:type="dxa"/>
            <w:bottom w:w="0" w:type="dxa"/>
            <w:right w:w="108" w:type="dxa"/>
          </w:tblCellMar>
        </w:tblPrEx>
        <w:trPr>
          <w:trHeight w:val="540" w:hRule="atLeast"/>
        </w:trPr>
        <w:tc>
          <w:tcPr>
            <w:tcW w:w="0" w:type="auto"/>
            <w:vMerge w:val="continue"/>
            <w:tcBorders>
              <w:top w:val="nil"/>
              <w:left w:val="single" w:color="auto" w:sz="4" w:space="0"/>
              <w:bottom w:val="single" w:color="000000" w:sz="4" w:space="0"/>
              <w:right w:val="single" w:color="auto" w:sz="4" w:space="0"/>
            </w:tcBorders>
            <w:vAlign w:val="center"/>
          </w:tcPr>
          <w:p w14:paraId="599A9897">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4B889853">
            <w:pPr>
              <w:widowControl/>
              <w:spacing w:line="240" w:lineRule="auto"/>
              <w:jc w:val="left"/>
              <w:rPr>
                <w:rFonts w:cs="宋体"/>
                <w:color w:val="auto"/>
                <w:kern w:val="0"/>
                <w:sz w:val="22"/>
                <w:szCs w:val="22"/>
              </w:rPr>
            </w:pPr>
            <w:r>
              <w:rPr>
                <w:rFonts w:hint="eastAsia" w:cs="宋体"/>
                <w:color w:val="auto"/>
                <w:kern w:val="0"/>
                <w:sz w:val="22"/>
                <w:szCs w:val="22"/>
              </w:rPr>
              <w:t>支持智能发现泄露主体，依据敏感数据泄漏线索进行溯源，对访问敏感数据行为形成事件日志记录</w:t>
            </w:r>
          </w:p>
        </w:tc>
      </w:tr>
      <w:tr w14:paraId="4E1D585B">
        <w:tblPrEx>
          <w:tblCellMar>
            <w:top w:w="0" w:type="dxa"/>
            <w:left w:w="108" w:type="dxa"/>
            <w:bottom w:w="0" w:type="dxa"/>
            <w:right w:w="108" w:type="dxa"/>
          </w:tblCellMar>
        </w:tblPrEx>
        <w:trPr>
          <w:trHeight w:val="540" w:hRule="atLeast"/>
        </w:trPr>
        <w:tc>
          <w:tcPr>
            <w:tcW w:w="0" w:type="auto"/>
            <w:vMerge w:val="continue"/>
            <w:tcBorders>
              <w:top w:val="nil"/>
              <w:left w:val="single" w:color="auto" w:sz="4" w:space="0"/>
              <w:bottom w:val="single" w:color="000000" w:sz="4" w:space="0"/>
              <w:right w:val="single" w:color="auto" w:sz="4" w:space="0"/>
            </w:tcBorders>
            <w:vAlign w:val="center"/>
          </w:tcPr>
          <w:p w14:paraId="762B1575">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53C525C2">
            <w:pPr>
              <w:widowControl/>
              <w:spacing w:line="240" w:lineRule="auto"/>
              <w:jc w:val="left"/>
              <w:rPr>
                <w:rFonts w:cs="宋体"/>
                <w:color w:val="auto"/>
                <w:kern w:val="0"/>
                <w:sz w:val="22"/>
                <w:szCs w:val="22"/>
              </w:rPr>
            </w:pPr>
            <w:r>
              <w:rPr>
                <w:rFonts w:hint="eastAsia" w:cs="宋体"/>
                <w:color w:val="auto"/>
                <w:kern w:val="0"/>
                <w:sz w:val="22"/>
                <w:szCs w:val="22"/>
              </w:rPr>
              <w:t>支持关联检索分析多条泄漏线索，并对检索分析结果进行统计分析，如获取的敏感数据、获取数据的账号/IP清单、获取数据的日期分布、透露数据的接口清单等</w:t>
            </w:r>
          </w:p>
        </w:tc>
      </w:tr>
      <w:tr w14:paraId="14337806">
        <w:tblPrEx>
          <w:tblCellMar>
            <w:top w:w="0" w:type="dxa"/>
            <w:left w:w="108" w:type="dxa"/>
            <w:bottom w:w="0" w:type="dxa"/>
            <w:right w:w="108" w:type="dxa"/>
          </w:tblCellMar>
        </w:tblPrEx>
        <w:trPr>
          <w:trHeight w:val="270" w:hRule="atLeast"/>
        </w:trPr>
        <w:tc>
          <w:tcPr>
            <w:tcW w:w="0" w:type="auto"/>
            <w:vMerge w:val="continue"/>
            <w:tcBorders>
              <w:top w:val="nil"/>
              <w:left w:val="single" w:color="auto" w:sz="4" w:space="0"/>
              <w:bottom w:val="single" w:color="000000" w:sz="4" w:space="0"/>
              <w:right w:val="single" w:color="auto" w:sz="4" w:space="0"/>
            </w:tcBorders>
            <w:vAlign w:val="center"/>
          </w:tcPr>
          <w:p w14:paraId="444ECB31">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3DCB2414">
            <w:pPr>
              <w:widowControl/>
              <w:spacing w:line="240" w:lineRule="auto"/>
              <w:rPr>
                <w:rFonts w:cs="宋体"/>
                <w:color w:val="auto"/>
                <w:kern w:val="0"/>
                <w:sz w:val="22"/>
                <w:szCs w:val="22"/>
              </w:rPr>
            </w:pPr>
            <w:r>
              <w:rPr>
                <w:rFonts w:hint="eastAsia" w:cs="宋体"/>
                <w:color w:val="auto"/>
                <w:kern w:val="0"/>
                <w:sz w:val="22"/>
                <w:szCs w:val="22"/>
              </w:rPr>
              <w:t>支持批量处置标记数据泄露事件</w:t>
            </w:r>
          </w:p>
        </w:tc>
      </w:tr>
      <w:tr w14:paraId="6BF111A5">
        <w:tblPrEx>
          <w:tblCellMar>
            <w:top w:w="0" w:type="dxa"/>
            <w:left w:w="108" w:type="dxa"/>
            <w:bottom w:w="0" w:type="dxa"/>
            <w:right w:w="108" w:type="dxa"/>
          </w:tblCellMar>
        </w:tblPrEx>
        <w:trPr>
          <w:trHeight w:val="1350" w:hRule="atLeast"/>
        </w:trPr>
        <w:tc>
          <w:tcPr>
            <w:tcW w:w="0" w:type="auto"/>
            <w:vMerge w:val="restart"/>
            <w:tcBorders>
              <w:top w:val="nil"/>
              <w:left w:val="single" w:color="auto" w:sz="4" w:space="0"/>
              <w:bottom w:val="single" w:color="000000" w:sz="4" w:space="0"/>
              <w:right w:val="single" w:color="auto" w:sz="4" w:space="0"/>
            </w:tcBorders>
            <w:shd w:val="clear" w:color="auto" w:fill="auto"/>
            <w:noWrap/>
            <w:vAlign w:val="center"/>
          </w:tcPr>
          <w:p w14:paraId="6E04E85A">
            <w:pPr>
              <w:widowControl/>
              <w:spacing w:line="240" w:lineRule="auto"/>
              <w:jc w:val="center"/>
              <w:rPr>
                <w:rFonts w:cs="宋体"/>
                <w:kern w:val="0"/>
                <w:sz w:val="22"/>
                <w:szCs w:val="22"/>
              </w:rPr>
            </w:pPr>
            <w:r>
              <w:rPr>
                <w:rFonts w:hint="eastAsia" w:cs="宋体"/>
                <w:kern w:val="0"/>
                <w:sz w:val="22"/>
                <w:szCs w:val="22"/>
              </w:rPr>
              <w:t>异常行为分析</w:t>
            </w:r>
          </w:p>
        </w:tc>
        <w:tc>
          <w:tcPr>
            <w:tcW w:w="0" w:type="auto"/>
            <w:tcBorders>
              <w:top w:val="nil"/>
              <w:left w:val="nil"/>
              <w:bottom w:val="single" w:color="auto" w:sz="4" w:space="0"/>
              <w:right w:val="single" w:color="auto" w:sz="4" w:space="0"/>
            </w:tcBorders>
            <w:shd w:val="clear" w:color="auto" w:fill="auto"/>
            <w:vAlign w:val="center"/>
          </w:tcPr>
          <w:p w14:paraId="47421427">
            <w:pPr>
              <w:widowControl/>
              <w:spacing w:line="240" w:lineRule="auto"/>
              <w:jc w:val="left"/>
              <w:rPr>
                <w:rFonts w:cs="宋体"/>
                <w:kern w:val="0"/>
                <w:sz w:val="22"/>
                <w:szCs w:val="22"/>
              </w:rPr>
            </w:pPr>
            <w:r>
              <w:rPr>
                <w:rFonts w:hint="eastAsia" w:cs="宋体"/>
                <w:kern w:val="0"/>
                <w:sz w:val="22"/>
                <w:szCs w:val="22"/>
              </w:rPr>
              <w:t>支持自动识别流量中的风险行为，覆盖常见的数据泄露类、账号安全类、web攻击类的风险，内置的风险行为至少包括：账号暴力破解、弱密码登录、撞库攻击、GET方式登录、境外IP访问敏感数据、未授权访问、token盗用、越权访问、执行参数遍历、数据爬取、SQL注入、路径试探、逻辑异常、访问频率异常、批量注册、批量导出等API风险检测模型</w:t>
            </w:r>
          </w:p>
        </w:tc>
      </w:tr>
      <w:tr w14:paraId="02B32BA7">
        <w:tblPrEx>
          <w:tblCellMar>
            <w:top w:w="0" w:type="dxa"/>
            <w:left w:w="108" w:type="dxa"/>
            <w:bottom w:w="0" w:type="dxa"/>
            <w:right w:w="108" w:type="dxa"/>
          </w:tblCellMar>
        </w:tblPrEx>
        <w:trPr>
          <w:trHeight w:val="540" w:hRule="atLeast"/>
        </w:trPr>
        <w:tc>
          <w:tcPr>
            <w:tcW w:w="0" w:type="auto"/>
            <w:vMerge w:val="continue"/>
            <w:tcBorders>
              <w:top w:val="nil"/>
              <w:left w:val="single" w:color="auto" w:sz="4" w:space="0"/>
              <w:bottom w:val="single" w:color="000000" w:sz="4" w:space="0"/>
              <w:right w:val="single" w:color="auto" w:sz="4" w:space="0"/>
            </w:tcBorders>
            <w:vAlign w:val="center"/>
          </w:tcPr>
          <w:p w14:paraId="717F8474">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5FDE9ABE">
            <w:pPr>
              <w:widowControl/>
              <w:spacing w:line="240" w:lineRule="auto"/>
              <w:jc w:val="left"/>
              <w:rPr>
                <w:rFonts w:cs="宋体"/>
                <w:kern w:val="0"/>
                <w:sz w:val="22"/>
                <w:szCs w:val="22"/>
              </w:rPr>
            </w:pPr>
            <w:r>
              <w:rPr>
                <w:rFonts w:hint="eastAsia" w:cs="宋体"/>
                <w:kern w:val="0"/>
                <w:sz w:val="22"/>
                <w:szCs w:val="22"/>
              </w:rPr>
              <w:t>支持自定义检测模型，按设定参数检测异常访问行为参数包括但不限于：请求头、请求体、响应头、响应体、URL、cookie、请求类型、响应类型、UA等</w:t>
            </w:r>
          </w:p>
        </w:tc>
      </w:tr>
      <w:tr w14:paraId="0513F690">
        <w:tblPrEx>
          <w:tblCellMar>
            <w:top w:w="0" w:type="dxa"/>
            <w:left w:w="108" w:type="dxa"/>
            <w:bottom w:w="0" w:type="dxa"/>
            <w:right w:w="108" w:type="dxa"/>
          </w:tblCellMar>
        </w:tblPrEx>
        <w:trPr>
          <w:trHeight w:val="270" w:hRule="atLeast"/>
        </w:trPr>
        <w:tc>
          <w:tcPr>
            <w:tcW w:w="0" w:type="auto"/>
            <w:vMerge w:val="continue"/>
            <w:tcBorders>
              <w:top w:val="nil"/>
              <w:left w:val="single" w:color="auto" w:sz="4" w:space="0"/>
              <w:bottom w:val="single" w:color="000000" w:sz="4" w:space="0"/>
              <w:right w:val="single" w:color="auto" w:sz="4" w:space="0"/>
            </w:tcBorders>
            <w:vAlign w:val="center"/>
          </w:tcPr>
          <w:p w14:paraId="7BE11D9B">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5F1D4532">
            <w:pPr>
              <w:widowControl/>
              <w:spacing w:line="240" w:lineRule="auto"/>
              <w:jc w:val="left"/>
              <w:rPr>
                <w:rFonts w:cs="宋体"/>
                <w:color w:val="auto"/>
                <w:kern w:val="0"/>
                <w:sz w:val="22"/>
                <w:szCs w:val="22"/>
              </w:rPr>
            </w:pPr>
            <w:r>
              <w:rPr>
                <w:rFonts w:hint="eastAsia" w:cs="宋体"/>
                <w:color w:val="auto"/>
                <w:kern w:val="0"/>
                <w:sz w:val="22"/>
                <w:szCs w:val="22"/>
              </w:rPr>
              <w:t>支持自定义检测模型，按多维度指标设定异常访问行为检测策略</w:t>
            </w:r>
          </w:p>
        </w:tc>
      </w:tr>
      <w:tr w14:paraId="51731D93">
        <w:tblPrEx>
          <w:tblCellMar>
            <w:top w:w="0" w:type="dxa"/>
            <w:left w:w="108" w:type="dxa"/>
            <w:bottom w:w="0" w:type="dxa"/>
            <w:right w:w="108" w:type="dxa"/>
          </w:tblCellMar>
        </w:tblPrEx>
        <w:trPr>
          <w:trHeight w:val="270" w:hRule="atLeast"/>
        </w:trPr>
        <w:tc>
          <w:tcPr>
            <w:tcW w:w="0" w:type="auto"/>
            <w:vMerge w:val="continue"/>
            <w:tcBorders>
              <w:top w:val="nil"/>
              <w:left w:val="single" w:color="auto" w:sz="4" w:space="0"/>
              <w:bottom w:val="single" w:color="000000" w:sz="4" w:space="0"/>
              <w:right w:val="single" w:color="auto" w:sz="4" w:space="0"/>
            </w:tcBorders>
            <w:vAlign w:val="center"/>
          </w:tcPr>
          <w:p w14:paraId="5F0D94EA">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5BBFD8CB">
            <w:pPr>
              <w:widowControl/>
              <w:spacing w:line="240" w:lineRule="auto"/>
              <w:jc w:val="left"/>
              <w:rPr>
                <w:rFonts w:cs="宋体"/>
                <w:color w:val="auto"/>
                <w:kern w:val="0"/>
                <w:sz w:val="22"/>
                <w:szCs w:val="22"/>
              </w:rPr>
            </w:pPr>
            <w:r>
              <w:rPr>
                <w:rFonts w:hint="eastAsia" w:cs="宋体"/>
                <w:color w:val="auto"/>
                <w:kern w:val="0"/>
                <w:sz w:val="22"/>
                <w:szCs w:val="22"/>
              </w:rPr>
              <w:t>支持展示风险分析详情，提供详细的风险描述、攻击链路，并可查看溯源信息。</w:t>
            </w:r>
          </w:p>
        </w:tc>
      </w:tr>
      <w:tr w14:paraId="7F052643">
        <w:tblPrEx>
          <w:tblCellMar>
            <w:top w:w="0" w:type="dxa"/>
            <w:left w:w="108" w:type="dxa"/>
            <w:bottom w:w="0" w:type="dxa"/>
            <w:right w:w="108" w:type="dxa"/>
          </w:tblCellMar>
        </w:tblPrEx>
        <w:trPr>
          <w:trHeight w:val="270" w:hRule="atLeast"/>
        </w:trPr>
        <w:tc>
          <w:tcPr>
            <w:tcW w:w="0" w:type="auto"/>
            <w:vMerge w:val="continue"/>
            <w:tcBorders>
              <w:top w:val="nil"/>
              <w:left w:val="single" w:color="auto" w:sz="4" w:space="0"/>
              <w:bottom w:val="single" w:color="000000" w:sz="4" w:space="0"/>
              <w:right w:val="single" w:color="auto" w:sz="4" w:space="0"/>
            </w:tcBorders>
            <w:vAlign w:val="center"/>
          </w:tcPr>
          <w:p w14:paraId="77411C64">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3AA9550D">
            <w:pPr>
              <w:widowControl/>
              <w:spacing w:line="240" w:lineRule="auto"/>
              <w:jc w:val="left"/>
              <w:rPr>
                <w:rFonts w:cs="宋体"/>
                <w:color w:val="auto"/>
                <w:kern w:val="0"/>
                <w:sz w:val="22"/>
                <w:szCs w:val="22"/>
              </w:rPr>
            </w:pPr>
            <w:r>
              <w:rPr>
                <w:rFonts w:hint="eastAsia" w:cs="宋体"/>
                <w:color w:val="auto"/>
                <w:kern w:val="0"/>
                <w:sz w:val="22"/>
                <w:szCs w:val="22"/>
              </w:rPr>
              <w:t>支持风险事件去重显示，支持计算去重数据量进行风险的整体影响评估</w:t>
            </w:r>
          </w:p>
        </w:tc>
      </w:tr>
      <w:tr w14:paraId="1C73F8CF">
        <w:tblPrEx>
          <w:tblCellMar>
            <w:top w:w="0" w:type="dxa"/>
            <w:left w:w="108" w:type="dxa"/>
            <w:bottom w:w="0" w:type="dxa"/>
            <w:right w:w="108" w:type="dxa"/>
          </w:tblCellMar>
        </w:tblPrEx>
        <w:trPr>
          <w:trHeight w:val="540" w:hRule="atLeast"/>
        </w:trPr>
        <w:tc>
          <w:tcPr>
            <w:tcW w:w="0" w:type="auto"/>
            <w:vMerge w:val="restart"/>
            <w:tcBorders>
              <w:top w:val="nil"/>
              <w:left w:val="single" w:color="auto" w:sz="4" w:space="0"/>
              <w:bottom w:val="single" w:color="auto" w:sz="4" w:space="0"/>
              <w:right w:val="single" w:color="auto" w:sz="4" w:space="0"/>
            </w:tcBorders>
            <w:shd w:val="clear" w:color="auto" w:fill="auto"/>
            <w:noWrap/>
            <w:vAlign w:val="center"/>
          </w:tcPr>
          <w:p w14:paraId="4A4A3671">
            <w:pPr>
              <w:widowControl/>
              <w:spacing w:line="240" w:lineRule="auto"/>
              <w:jc w:val="center"/>
              <w:rPr>
                <w:rFonts w:cs="宋体"/>
                <w:kern w:val="0"/>
                <w:sz w:val="22"/>
                <w:szCs w:val="22"/>
              </w:rPr>
            </w:pPr>
            <w:r>
              <w:rPr>
                <w:rFonts w:hint="eastAsia" w:cs="宋体"/>
                <w:kern w:val="0"/>
                <w:sz w:val="22"/>
                <w:szCs w:val="22"/>
              </w:rPr>
              <w:t>接口攻防态势</w:t>
            </w:r>
          </w:p>
        </w:tc>
        <w:tc>
          <w:tcPr>
            <w:tcW w:w="0" w:type="auto"/>
            <w:tcBorders>
              <w:top w:val="nil"/>
              <w:left w:val="nil"/>
              <w:bottom w:val="single" w:color="auto" w:sz="4" w:space="0"/>
              <w:right w:val="single" w:color="auto" w:sz="4" w:space="0"/>
            </w:tcBorders>
            <w:shd w:val="clear" w:color="auto" w:fill="auto"/>
            <w:vAlign w:val="center"/>
          </w:tcPr>
          <w:p w14:paraId="56C945C6">
            <w:pPr>
              <w:widowControl/>
              <w:spacing w:line="240" w:lineRule="auto"/>
              <w:jc w:val="left"/>
              <w:rPr>
                <w:rFonts w:cs="宋体"/>
                <w:kern w:val="0"/>
                <w:sz w:val="22"/>
                <w:szCs w:val="22"/>
              </w:rPr>
            </w:pPr>
            <w:r>
              <w:rPr>
                <w:rFonts w:hint="eastAsia" w:cs="宋体"/>
                <w:kern w:val="0"/>
                <w:sz w:val="22"/>
                <w:szCs w:val="22"/>
              </w:rPr>
              <w:t>支持动态应用情报，结合历史数据对目标应用漏洞、攻击行为、数据涉敏情况等进行分析，梳理高风险API及重点防护目标对象</w:t>
            </w:r>
          </w:p>
        </w:tc>
      </w:tr>
      <w:tr w14:paraId="2A1127A4">
        <w:tblPrEx>
          <w:tblCellMar>
            <w:top w:w="0" w:type="dxa"/>
            <w:left w:w="108" w:type="dxa"/>
            <w:bottom w:w="0" w:type="dxa"/>
            <w:right w:w="108" w:type="dxa"/>
          </w:tblCellMar>
        </w:tblPrEx>
        <w:trPr>
          <w:trHeight w:val="540" w:hRule="atLeast"/>
        </w:trPr>
        <w:tc>
          <w:tcPr>
            <w:tcW w:w="0" w:type="auto"/>
            <w:vMerge w:val="continue"/>
            <w:tcBorders>
              <w:top w:val="nil"/>
              <w:left w:val="single" w:color="auto" w:sz="4" w:space="0"/>
              <w:bottom w:val="single" w:color="auto" w:sz="4" w:space="0"/>
              <w:right w:val="single" w:color="auto" w:sz="4" w:space="0"/>
            </w:tcBorders>
            <w:vAlign w:val="center"/>
          </w:tcPr>
          <w:p w14:paraId="6529A19D">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09493569">
            <w:pPr>
              <w:widowControl/>
              <w:spacing w:line="240" w:lineRule="auto"/>
              <w:jc w:val="left"/>
              <w:rPr>
                <w:rFonts w:cs="宋体"/>
                <w:kern w:val="0"/>
                <w:sz w:val="22"/>
                <w:szCs w:val="22"/>
              </w:rPr>
            </w:pPr>
            <w:r>
              <w:rPr>
                <w:rFonts w:hint="eastAsia" w:cs="宋体"/>
                <w:kern w:val="0"/>
                <w:sz w:val="22"/>
                <w:szCs w:val="22"/>
              </w:rPr>
              <w:t>支持攻防专用监控大屏，至少包含攻击告警、实时攻击播报、实时漏洞播报、数据泄露、数据流向、受攻击资产统计等；支持大屏页面内查看溯源详情</w:t>
            </w:r>
          </w:p>
        </w:tc>
      </w:tr>
      <w:tr w14:paraId="3E486E3E">
        <w:tblPrEx>
          <w:tblCellMar>
            <w:top w:w="0" w:type="dxa"/>
            <w:left w:w="108" w:type="dxa"/>
            <w:bottom w:w="0" w:type="dxa"/>
            <w:right w:w="108" w:type="dxa"/>
          </w:tblCellMar>
        </w:tblPrEx>
        <w:trPr>
          <w:trHeight w:val="270" w:hRule="atLeast"/>
        </w:trPr>
        <w:tc>
          <w:tcPr>
            <w:tcW w:w="0" w:type="auto"/>
            <w:vMerge w:val="restart"/>
            <w:tcBorders>
              <w:top w:val="nil"/>
              <w:left w:val="single" w:color="auto" w:sz="4" w:space="0"/>
              <w:bottom w:val="single" w:color="auto" w:sz="4" w:space="0"/>
              <w:right w:val="single" w:color="auto" w:sz="4" w:space="0"/>
            </w:tcBorders>
            <w:shd w:val="clear" w:color="auto" w:fill="auto"/>
            <w:noWrap/>
            <w:vAlign w:val="center"/>
          </w:tcPr>
          <w:p w14:paraId="15B1DBD8">
            <w:pPr>
              <w:widowControl/>
              <w:spacing w:line="240" w:lineRule="auto"/>
              <w:jc w:val="center"/>
              <w:rPr>
                <w:rFonts w:cs="宋体"/>
                <w:kern w:val="0"/>
                <w:sz w:val="22"/>
                <w:szCs w:val="22"/>
              </w:rPr>
            </w:pPr>
            <w:r>
              <w:rPr>
                <w:rFonts w:hint="eastAsia" w:cs="宋体"/>
                <w:kern w:val="0"/>
                <w:sz w:val="22"/>
                <w:szCs w:val="22"/>
              </w:rPr>
              <w:t>API串联防护</w:t>
            </w:r>
          </w:p>
        </w:tc>
        <w:tc>
          <w:tcPr>
            <w:tcW w:w="0" w:type="auto"/>
            <w:tcBorders>
              <w:top w:val="nil"/>
              <w:left w:val="nil"/>
              <w:bottom w:val="single" w:color="auto" w:sz="4" w:space="0"/>
              <w:right w:val="single" w:color="auto" w:sz="4" w:space="0"/>
            </w:tcBorders>
            <w:shd w:val="clear" w:color="auto" w:fill="auto"/>
            <w:vAlign w:val="center"/>
          </w:tcPr>
          <w:p w14:paraId="4B146924">
            <w:pPr>
              <w:widowControl/>
              <w:spacing w:line="240" w:lineRule="auto"/>
              <w:rPr>
                <w:rFonts w:cs="宋体"/>
                <w:color w:val="auto"/>
                <w:kern w:val="0"/>
                <w:sz w:val="22"/>
                <w:szCs w:val="22"/>
              </w:rPr>
            </w:pPr>
            <w:r>
              <w:rPr>
                <w:rFonts w:hint="eastAsia" w:cs="宋体"/>
                <w:color w:val="auto"/>
                <w:kern w:val="0"/>
                <w:sz w:val="22"/>
                <w:szCs w:val="22"/>
              </w:rPr>
              <w:t>统一外部接口路径，定义网关请求处理，支持反向代理或透明桥转发</w:t>
            </w:r>
          </w:p>
        </w:tc>
      </w:tr>
      <w:tr w14:paraId="54ABE8E6">
        <w:tblPrEx>
          <w:tblCellMar>
            <w:top w:w="0" w:type="dxa"/>
            <w:left w:w="108" w:type="dxa"/>
            <w:bottom w:w="0" w:type="dxa"/>
            <w:right w:w="108" w:type="dxa"/>
          </w:tblCellMar>
        </w:tblPrEx>
        <w:trPr>
          <w:trHeight w:val="270" w:hRule="atLeast"/>
        </w:trPr>
        <w:tc>
          <w:tcPr>
            <w:tcW w:w="0" w:type="auto"/>
            <w:vMerge w:val="continue"/>
            <w:tcBorders>
              <w:top w:val="nil"/>
              <w:left w:val="single" w:color="auto" w:sz="4" w:space="0"/>
              <w:bottom w:val="single" w:color="auto" w:sz="4" w:space="0"/>
              <w:right w:val="single" w:color="auto" w:sz="4" w:space="0"/>
            </w:tcBorders>
            <w:vAlign w:val="center"/>
          </w:tcPr>
          <w:p w14:paraId="184D3EBB">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7B613A95">
            <w:pPr>
              <w:widowControl/>
              <w:spacing w:line="240" w:lineRule="auto"/>
              <w:rPr>
                <w:rFonts w:cs="宋体"/>
                <w:color w:val="auto"/>
                <w:kern w:val="0"/>
                <w:sz w:val="22"/>
                <w:szCs w:val="22"/>
              </w:rPr>
            </w:pPr>
            <w:r>
              <w:rPr>
                <w:rFonts w:hint="eastAsia" w:cs="宋体"/>
                <w:color w:val="auto"/>
                <w:kern w:val="0"/>
                <w:sz w:val="22"/>
                <w:szCs w:val="22"/>
              </w:rPr>
              <w:t>支持AppID级别的自定义配置维护应用鉴权信息，可配置是否启用签名</w:t>
            </w:r>
          </w:p>
        </w:tc>
      </w:tr>
      <w:tr w14:paraId="002DA735">
        <w:tblPrEx>
          <w:tblCellMar>
            <w:top w:w="0" w:type="dxa"/>
            <w:left w:w="108" w:type="dxa"/>
            <w:bottom w:w="0" w:type="dxa"/>
            <w:right w:w="108" w:type="dxa"/>
          </w:tblCellMar>
        </w:tblPrEx>
        <w:trPr>
          <w:trHeight w:val="270" w:hRule="atLeast"/>
        </w:trPr>
        <w:tc>
          <w:tcPr>
            <w:tcW w:w="0" w:type="auto"/>
            <w:vMerge w:val="continue"/>
            <w:tcBorders>
              <w:top w:val="nil"/>
              <w:left w:val="single" w:color="auto" w:sz="4" w:space="0"/>
              <w:bottom w:val="single" w:color="auto" w:sz="4" w:space="0"/>
              <w:right w:val="single" w:color="auto" w:sz="4" w:space="0"/>
            </w:tcBorders>
            <w:vAlign w:val="center"/>
          </w:tcPr>
          <w:p w14:paraId="6854C999">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7755B3DF">
            <w:pPr>
              <w:widowControl/>
              <w:spacing w:line="240" w:lineRule="auto"/>
              <w:rPr>
                <w:rFonts w:cs="宋体"/>
                <w:color w:val="auto"/>
                <w:kern w:val="0"/>
                <w:sz w:val="22"/>
                <w:szCs w:val="22"/>
              </w:rPr>
            </w:pPr>
            <w:r>
              <w:rPr>
                <w:rFonts w:hint="eastAsia" w:cs="宋体"/>
                <w:color w:val="auto"/>
                <w:kern w:val="0"/>
                <w:sz w:val="22"/>
                <w:szCs w:val="22"/>
              </w:rPr>
              <w:t>支持静态、动态插件扩展，实现自定授权等扩展功能</w:t>
            </w:r>
          </w:p>
        </w:tc>
      </w:tr>
      <w:tr w14:paraId="0AF943E3">
        <w:tblPrEx>
          <w:tblCellMar>
            <w:top w:w="0" w:type="dxa"/>
            <w:left w:w="108" w:type="dxa"/>
            <w:bottom w:w="0" w:type="dxa"/>
            <w:right w:w="108" w:type="dxa"/>
          </w:tblCellMar>
        </w:tblPrEx>
        <w:trPr>
          <w:trHeight w:val="540" w:hRule="atLeast"/>
        </w:trPr>
        <w:tc>
          <w:tcPr>
            <w:tcW w:w="0" w:type="auto"/>
            <w:vMerge w:val="continue"/>
            <w:tcBorders>
              <w:top w:val="nil"/>
              <w:left w:val="single" w:color="auto" w:sz="4" w:space="0"/>
              <w:bottom w:val="single" w:color="auto" w:sz="4" w:space="0"/>
              <w:right w:val="single" w:color="auto" w:sz="4" w:space="0"/>
            </w:tcBorders>
            <w:vAlign w:val="center"/>
          </w:tcPr>
          <w:p w14:paraId="1F97FD08">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59E0FBD7">
            <w:pPr>
              <w:widowControl/>
              <w:spacing w:line="240" w:lineRule="auto"/>
              <w:rPr>
                <w:rFonts w:cs="宋体"/>
                <w:color w:val="auto"/>
                <w:kern w:val="0"/>
                <w:sz w:val="22"/>
                <w:szCs w:val="22"/>
              </w:rPr>
            </w:pPr>
            <w:r>
              <w:rPr>
                <w:rFonts w:hint="eastAsia" w:cs="宋体"/>
                <w:color w:val="auto"/>
                <w:kern w:val="0"/>
                <w:sz w:val="22"/>
                <w:szCs w:val="22"/>
              </w:rPr>
              <w:t>支持多级别流控：接口流控、appID流控、来源IP流控，可从QPS维度对流量进行限制，支持自定义触发限流后响应报文</w:t>
            </w:r>
          </w:p>
        </w:tc>
      </w:tr>
      <w:tr w14:paraId="698337DA">
        <w:tblPrEx>
          <w:tblCellMar>
            <w:top w:w="0" w:type="dxa"/>
            <w:left w:w="108" w:type="dxa"/>
            <w:bottom w:w="0" w:type="dxa"/>
            <w:right w:w="108" w:type="dxa"/>
          </w:tblCellMar>
        </w:tblPrEx>
        <w:trPr>
          <w:trHeight w:val="540" w:hRule="atLeast"/>
        </w:trPr>
        <w:tc>
          <w:tcPr>
            <w:tcW w:w="0" w:type="auto"/>
            <w:vMerge w:val="restart"/>
            <w:tcBorders>
              <w:top w:val="nil"/>
              <w:left w:val="single" w:color="auto" w:sz="4" w:space="0"/>
              <w:bottom w:val="single" w:color="auto" w:sz="4" w:space="0"/>
              <w:right w:val="single" w:color="auto" w:sz="4" w:space="0"/>
            </w:tcBorders>
            <w:shd w:val="clear" w:color="auto" w:fill="auto"/>
            <w:noWrap/>
            <w:vAlign w:val="center"/>
          </w:tcPr>
          <w:p w14:paraId="5659BE9A">
            <w:pPr>
              <w:widowControl/>
              <w:spacing w:line="240" w:lineRule="auto"/>
              <w:jc w:val="center"/>
              <w:rPr>
                <w:rFonts w:cs="宋体"/>
                <w:kern w:val="0"/>
                <w:sz w:val="22"/>
                <w:szCs w:val="22"/>
              </w:rPr>
            </w:pPr>
            <w:r>
              <w:rPr>
                <w:rFonts w:hint="eastAsia" w:cs="宋体"/>
                <w:kern w:val="0"/>
                <w:sz w:val="22"/>
                <w:szCs w:val="22"/>
              </w:rPr>
              <w:t>API漏洞主动扫描服务</w:t>
            </w:r>
          </w:p>
        </w:tc>
        <w:tc>
          <w:tcPr>
            <w:tcW w:w="0" w:type="auto"/>
            <w:tcBorders>
              <w:top w:val="nil"/>
              <w:left w:val="nil"/>
              <w:bottom w:val="single" w:color="auto" w:sz="4" w:space="0"/>
              <w:right w:val="single" w:color="auto" w:sz="4" w:space="0"/>
            </w:tcBorders>
            <w:shd w:val="clear" w:color="auto" w:fill="auto"/>
            <w:vAlign w:val="center"/>
          </w:tcPr>
          <w:p w14:paraId="540E64DD">
            <w:pPr>
              <w:widowControl/>
              <w:spacing w:line="240" w:lineRule="auto"/>
              <w:rPr>
                <w:rFonts w:cs="宋体"/>
                <w:color w:val="auto"/>
                <w:kern w:val="0"/>
                <w:sz w:val="22"/>
                <w:szCs w:val="22"/>
              </w:rPr>
            </w:pPr>
            <w:r>
              <w:rPr>
                <w:rFonts w:hint="eastAsia" w:cs="宋体"/>
                <w:color w:val="auto"/>
                <w:kern w:val="0"/>
                <w:sz w:val="22"/>
                <w:szCs w:val="22"/>
              </w:rPr>
              <w:t>支持主动爬取探测和被动人机交互两种检测模式，以适应无侵入快速自动检测和有侵入深度剖析的不同需求场景</w:t>
            </w:r>
          </w:p>
        </w:tc>
      </w:tr>
      <w:tr w14:paraId="122F5A48">
        <w:tblPrEx>
          <w:tblCellMar>
            <w:top w:w="0" w:type="dxa"/>
            <w:left w:w="108" w:type="dxa"/>
            <w:bottom w:w="0" w:type="dxa"/>
            <w:right w:w="108" w:type="dxa"/>
          </w:tblCellMar>
        </w:tblPrEx>
        <w:trPr>
          <w:trHeight w:val="270" w:hRule="atLeast"/>
        </w:trPr>
        <w:tc>
          <w:tcPr>
            <w:tcW w:w="0" w:type="auto"/>
            <w:vMerge w:val="continue"/>
            <w:tcBorders>
              <w:top w:val="nil"/>
              <w:left w:val="single" w:color="auto" w:sz="4" w:space="0"/>
              <w:bottom w:val="single" w:color="auto" w:sz="4" w:space="0"/>
              <w:right w:val="single" w:color="auto" w:sz="4" w:space="0"/>
            </w:tcBorders>
            <w:vAlign w:val="center"/>
          </w:tcPr>
          <w:p w14:paraId="5B85BD44">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46318610">
            <w:pPr>
              <w:widowControl/>
              <w:spacing w:line="240" w:lineRule="auto"/>
              <w:rPr>
                <w:rFonts w:cs="宋体"/>
                <w:color w:val="auto"/>
                <w:kern w:val="0"/>
                <w:sz w:val="22"/>
                <w:szCs w:val="22"/>
              </w:rPr>
            </w:pPr>
            <w:r>
              <w:rPr>
                <w:rFonts w:hint="eastAsia" w:cs="宋体"/>
                <w:color w:val="auto"/>
                <w:kern w:val="0"/>
                <w:sz w:val="22"/>
                <w:szCs w:val="22"/>
              </w:rPr>
              <w:t>支持自定义调整扫描速率、深度、策略强度</w:t>
            </w:r>
          </w:p>
        </w:tc>
      </w:tr>
      <w:tr w14:paraId="2E720138">
        <w:tblPrEx>
          <w:tblCellMar>
            <w:top w:w="0" w:type="dxa"/>
            <w:left w:w="108" w:type="dxa"/>
            <w:bottom w:w="0" w:type="dxa"/>
            <w:right w:w="108" w:type="dxa"/>
          </w:tblCellMar>
        </w:tblPrEx>
        <w:trPr>
          <w:trHeight w:val="810" w:hRule="atLeast"/>
        </w:trPr>
        <w:tc>
          <w:tcPr>
            <w:tcW w:w="0" w:type="auto"/>
            <w:vMerge w:val="continue"/>
            <w:tcBorders>
              <w:top w:val="nil"/>
              <w:left w:val="single" w:color="auto" w:sz="4" w:space="0"/>
              <w:bottom w:val="single" w:color="auto" w:sz="4" w:space="0"/>
              <w:right w:val="single" w:color="auto" w:sz="4" w:space="0"/>
            </w:tcBorders>
            <w:vAlign w:val="center"/>
          </w:tcPr>
          <w:p w14:paraId="03B70A41">
            <w:pPr>
              <w:widowControl/>
              <w:spacing w:line="240" w:lineRule="auto"/>
              <w:jc w:val="left"/>
              <w:rPr>
                <w:rFonts w:cs="宋体"/>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14:paraId="3EEB0635">
            <w:pPr>
              <w:widowControl/>
              <w:spacing w:line="240" w:lineRule="auto"/>
              <w:rPr>
                <w:rFonts w:cs="宋体"/>
                <w:color w:val="auto"/>
                <w:kern w:val="0"/>
                <w:sz w:val="22"/>
                <w:szCs w:val="22"/>
              </w:rPr>
            </w:pPr>
            <w:r>
              <w:rPr>
                <w:rFonts w:hint="eastAsia" w:cs="宋体"/>
                <w:color w:val="auto"/>
                <w:kern w:val="0"/>
                <w:sz w:val="22"/>
                <w:szCs w:val="22"/>
              </w:rPr>
              <w:t>支持智能爬虫抓取前端代码及链接，主动发现API资产；</w:t>
            </w:r>
            <w:r>
              <w:rPr>
                <w:rFonts w:hint="eastAsia" w:cs="宋体"/>
                <w:color w:val="auto"/>
                <w:kern w:val="0"/>
                <w:sz w:val="22"/>
                <w:szCs w:val="22"/>
              </w:rPr>
              <w:br w:type="textWrapping"/>
            </w:r>
            <w:r>
              <w:rPr>
                <w:rFonts w:hint="eastAsia" w:cs="宋体"/>
                <w:color w:val="auto"/>
                <w:kern w:val="0"/>
                <w:sz w:val="22"/>
                <w:szCs w:val="22"/>
              </w:rPr>
              <w:t>覆盖OWASP API Security Top 10、CWE Top 25等必备漏洞库；</w:t>
            </w:r>
            <w:r>
              <w:rPr>
                <w:rFonts w:hint="eastAsia" w:cs="宋体"/>
                <w:color w:val="auto"/>
                <w:kern w:val="0"/>
                <w:sz w:val="22"/>
                <w:szCs w:val="22"/>
              </w:rPr>
              <w:br w:type="textWrapping"/>
            </w:r>
            <w:r>
              <w:rPr>
                <w:rFonts w:hint="eastAsia" w:cs="宋体"/>
                <w:color w:val="auto"/>
                <w:kern w:val="0"/>
                <w:sz w:val="22"/>
                <w:szCs w:val="22"/>
              </w:rPr>
              <w:t>支持识别常见个人隐私信息等敏感数据</w:t>
            </w:r>
          </w:p>
        </w:tc>
      </w:tr>
      <w:tr w14:paraId="31D9E87C">
        <w:tblPrEx>
          <w:tblCellMar>
            <w:top w:w="0" w:type="dxa"/>
            <w:left w:w="108" w:type="dxa"/>
            <w:bottom w:w="0" w:type="dxa"/>
            <w:right w:w="108" w:type="dxa"/>
          </w:tblCellMar>
        </w:tblPrEx>
        <w:trPr>
          <w:trHeight w:val="540" w:hRule="atLeast"/>
        </w:trPr>
        <w:tc>
          <w:tcPr>
            <w:tcW w:w="0" w:type="auto"/>
            <w:vMerge w:val="continue"/>
            <w:tcBorders>
              <w:top w:val="nil"/>
              <w:left w:val="single" w:color="auto" w:sz="4" w:space="0"/>
              <w:bottom w:val="nil"/>
              <w:right w:val="single" w:color="auto" w:sz="4" w:space="0"/>
            </w:tcBorders>
            <w:vAlign w:val="center"/>
          </w:tcPr>
          <w:p w14:paraId="2F30793E">
            <w:pPr>
              <w:widowControl/>
              <w:spacing w:line="240" w:lineRule="auto"/>
              <w:jc w:val="left"/>
              <w:rPr>
                <w:rFonts w:cs="宋体"/>
                <w:kern w:val="0"/>
                <w:sz w:val="22"/>
                <w:szCs w:val="22"/>
              </w:rPr>
            </w:pPr>
          </w:p>
        </w:tc>
        <w:tc>
          <w:tcPr>
            <w:tcW w:w="0" w:type="auto"/>
            <w:tcBorders>
              <w:top w:val="nil"/>
              <w:left w:val="nil"/>
              <w:bottom w:val="nil"/>
              <w:right w:val="single" w:color="auto" w:sz="4" w:space="0"/>
            </w:tcBorders>
            <w:shd w:val="clear" w:color="auto" w:fill="auto"/>
            <w:vAlign w:val="center"/>
          </w:tcPr>
          <w:p w14:paraId="7DBFCD49">
            <w:pPr>
              <w:widowControl/>
              <w:spacing w:line="240" w:lineRule="auto"/>
              <w:rPr>
                <w:rFonts w:cs="宋体"/>
                <w:color w:val="auto"/>
                <w:kern w:val="0"/>
                <w:sz w:val="22"/>
                <w:szCs w:val="22"/>
              </w:rPr>
            </w:pPr>
            <w:r>
              <w:rPr>
                <w:rFonts w:hint="eastAsia" w:cs="宋体"/>
                <w:color w:val="auto"/>
                <w:kern w:val="0"/>
                <w:sz w:val="22"/>
                <w:szCs w:val="22"/>
              </w:rPr>
              <w:t>支持导出PDF、HTML等格式扫描报告，包含漏洞统计、风险等级、详情，以及复现步骤、修复建议等</w:t>
            </w:r>
          </w:p>
        </w:tc>
      </w:tr>
      <w:tr w14:paraId="49C847EB">
        <w:tblPrEx>
          <w:tblCellMar>
            <w:top w:w="0" w:type="dxa"/>
            <w:left w:w="108" w:type="dxa"/>
            <w:bottom w:w="0" w:type="dxa"/>
            <w:right w:w="108" w:type="dxa"/>
          </w:tblCellMar>
        </w:tblPrEx>
        <w:trPr>
          <w:trHeight w:val="540" w:hRule="atLeast"/>
        </w:trPr>
        <w:tc>
          <w:tcPr>
            <w:tcW w:w="0" w:type="auto"/>
            <w:tcBorders>
              <w:top w:val="nil"/>
              <w:left w:val="single" w:color="auto" w:sz="4" w:space="0"/>
              <w:bottom w:val="single" w:color="auto" w:sz="4" w:space="0"/>
              <w:right w:val="single" w:color="auto" w:sz="4" w:space="0"/>
            </w:tcBorders>
            <w:vAlign w:val="center"/>
          </w:tcPr>
          <w:p w14:paraId="67869A4F">
            <w:pPr>
              <w:widowControl/>
              <w:spacing w:line="240" w:lineRule="auto"/>
              <w:jc w:val="left"/>
              <w:rPr>
                <w:rFonts w:hint="eastAsia" w:eastAsia="宋体" w:cs="宋体"/>
                <w:kern w:val="0"/>
                <w:sz w:val="22"/>
                <w:szCs w:val="22"/>
                <w:lang w:eastAsia="zh-CN"/>
              </w:rPr>
            </w:pPr>
            <w:r>
              <w:rPr>
                <w:rFonts w:hint="eastAsia" w:cs="宋体"/>
                <w:kern w:val="0"/>
                <w:sz w:val="22"/>
                <w:szCs w:val="22"/>
                <w:lang w:eastAsia="zh-CN"/>
              </w:rPr>
              <w:t>质量保证</w:t>
            </w:r>
          </w:p>
        </w:tc>
        <w:tc>
          <w:tcPr>
            <w:tcW w:w="0" w:type="auto"/>
            <w:tcBorders>
              <w:top w:val="nil"/>
              <w:left w:val="nil"/>
              <w:bottom w:val="single" w:color="auto" w:sz="4" w:space="0"/>
              <w:right w:val="single" w:color="auto" w:sz="4" w:space="0"/>
            </w:tcBorders>
            <w:shd w:val="clear" w:color="auto" w:fill="auto"/>
            <w:vAlign w:val="center"/>
          </w:tcPr>
          <w:p w14:paraId="6948ED9A">
            <w:pPr>
              <w:widowControl/>
              <w:spacing w:line="240" w:lineRule="auto"/>
              <w:rPr>
                <w:rFonts w:hint="eastAsia" w:cs="宋体"/>
                <w:color w:val="auto"/>
                <w:kern w:val="0"/>
                <w:sz w:val="22"/>
                <w:szCs w:val="22"/>
              </w:rPr>
            </w:pPr>
            <w:r>
              <w:rPr>
                <w:rFonts w:hint="eastAsia" w:cs="宋体"/>
                <w:color w:val="auto"/>
                <w:kern w:val="0"/>
                <w:sz w:val="22"/>
                <w:szCs w:val="22"/>
              </w:rPr>
              <w:t>3年软硬件维保</w:t>
            </w:r>
          </w:p>
        </w:tc>
      </w:tr>
    </w:tbl>
    <w:p w14:paraId="20E94712"/>
    <w:p w14:paraId="02D58A9C">
      <w:pPr>
        <w:pStyle w:val="4"/>
      </w:pPr>
      <w:r>
        <w:t>WEB全栈加密安全防护</w:t>
      </w:r>
      <w:r>
        <w:rPr>
          <w:rFonts w:hint="eastAsia"/>
        </w:rPr>
        <w:t>订阅服务</w:t>
      </w:r>
    </w:p>
    <w:tbl>
      <w:tblPr>
        <w:tblStyle w:val="17"/>
        <w:tblW w:w="8580" w:type="dxa"/>
        <w:tblInd w:w="0" w:type="dxa"/>
        <w:tblLayout w:type="autofit"/>
        <w:tblCellMar>
          <w:top w:w="0" w:type="dxa"/>
          <w:left w:w="108" w:type="dxa"/>
          <w:bottom w:w="0" w:type="dxa"/>
          <w:right w:w="108" w:type="dxa"/>
        </w:tblCellMar>
      </w:tblPr>
      <w:tblGrid>
        <w:gridCol w:w="1479"/>
        <w:gridCol w:w="7101"/>
      </w:tblGrid>
      <w:tr w14:paraId="271BCA17">
        <w:tblPrEx>
          <w:tblCellMar>
            <w:top w:w="0" w:type="dxa"/>
            <w:left w:w="108" w:type="dxa"/>
            <w:bottom w:w="0" w:type="dxa"/>
            <w:right w:w="108" w:type="dxa"/>
          </w:tblCellMar>
        </w:tblPrEx>
        <w:trPr>
          <w:trHeight w:val="20" w:hRule="atLeast"/>
        </w:trPr>
        <w:tc>
          <w:tcPr>
            <w:tcW w:w="1479"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631923AF">
            <w:pPr>
              <w:widowControl/>
              <w:jc w:val="left"/>
            </w:pPr>
            <w:r>
              <w:rPr>
                <w:rFonts w:cs="宋体"/>
                <w:kern w:val="0"/>
                <w:szCs w:val="24"/>
              </w:rPr>
              <w:t>指标项</w:t>
            </w: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60AC1416">
            <w:pPr>
              <w:widowControl/>
              <w:jc w:val="left"/>
            </w:pPr>
            <w:r>
              <w:rPr>
                <w:rFonts w:cs="宋体"/>
                <w:kern w:val="0"/>
                <w:szCs w:val="24"/>
              </w:rPr>
              <w:t>指标要求</w:t>
            </w:r>
          </w:p>
        </w:tc>
      </w:tr>
      <w:tr w14:paraId="46C9DACC">
        <w:tblPrEx>
          <w:tblCellMar>
            <w:top w:w="0" w:type="dxa"/>
            <w:left w:w="108" w:type="dxa"/>
            <w:bottom w:w="0" w:type="dxa"/>
            <w:right w:w="108" w:type="dxa"/>
          </w:tblCellMar>
        </w:tblPrEx>
        <w:trPr>
          <w:trHeight w:val="20" w:hRule="atLeast"/>
        </w:trPr>
        <w:tc>
          <w:tcPr>
            <w:tcW w:w="1479"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07F41A76">
            <w:pPr>
              <w:widowControl/>
              <w:jc w:val="left"/>
            </w:pPr>
            <w:r>
              <w:rPr>
                <w:rFonts w:cs="宋体"/>
                <w:kern w:val="0"/>
                <w:sz w:val="22"/>
                <w:szCs w:val="22"/>
              </w:rPr>
              <w:t>授权</w:t>
            </w: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0067AB46">
            <w:pPr>
              <w:widowControl/>
              <w:jc w:val="left"/>
            </w:pPr>
            <w:r>
              <w:rPr>
                <w:rFonts w:cs="宋体"/>
                <w:kern w:val="0"/>
                <w:sz w:val="22"/>
                <w:szCs w:val="22"/>
              </w:rPr>
              <w:t>1年服务形式的使用授权：含10套系统域名License加密授权。与医院现有系统兼容</w:t>
            </w:r>
          </w:p>
        </w:tc>
      </w:tr>
      <w:tr w14:paraId="56D8CBE4">
        <w:tblPrEx>
          <w:tblCellMar>
            <w:top w:w="0" w:type="dxa"/>
            <w:left w:w="108" w:type="dxa"/>
            <w:bottom w:w="0" w:type="dxa"/>
            <w:right w:w="108" w:type="dxa"/>
          </w:tblCellMar>
        </w:tblPrEx>
        <w:trPr>
          <w:trHeight w:val="20" w:hRule="atLeast"/>
        </w:trPr>
        <w:tc>
          <w:tcPr>
            <w:tcW w:w="1479" w:type="dxa"/>
            <w:vMerge w:val="restart"/>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5BA1D64C">
            <w:pPr>
              <w:widowControl/>
              <w:jc w:val="left"/>
            </w:pPr>
            <w:r>
              <w:rPr>
                <w:rFonts w:cs="宋体"/>
                <w:kern w:val="0"/>
                <w:sz w:val="22"/>
                <w:szCs w:val="22"/>
              </w:rPr>
              <w:t>系统能力</w:t>
            </w: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2A254E9A">
            <w:pPr>
              <w:widowControl/>
              <w:jc w:val="left"/>
            </w:pPr>
            <w:r>
              <w:rPr>
                <w:rFonts w:cs="宋体"/>
                <w:kern w:val="0"/>
                <w:sz w:val="22"/>
                <w:szCs w:val="22"/>
              </w:rPr>
              <w:t>支持直通模式，流量经过系统，不做任何检测及拦截处理。</w:t>
            </w:r>
          </w:p>
        </w:tc>
      </w:tr>
      <w:tr w14:paraId="54094DA7">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524DB568">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4F53A5D0">
            <w:pPr>
              <w:widowControl/>
              <w:jc w:val="left"/>
            </w:pPr>
            <w:r>
              <w:rPr>
                <w:rFonts w:cs="宋体"/>
                <w:kern w:val="0"/>
                <w:sz w:val="22"/>
                <w:szCs w:val="22"/>
              </w:rPr>
              <w:t>支持中文域名的安全防护。</w:t>
            </w:r>
          </w:p>
        </w:tc>
      </w:tr>
      <w:tr w14:paraId="4D992607">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304A57AD">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38676C31">
            <w:pPr>
              <w:widowControl/>
              <w:jc w:val="left"/>
            </w:pPr>
            <w:r>
              <w:rPr>
                <w:rFonts w:cs="宋体"/>
                <w:kern w:val="0"/>
                <w:sz w:val="22"/>
                <w:szCs w:val="22"/>
              </w:rPr>
              <w:t>所投产品的防护配置和查询功能须支持IPv6。</w:t>
            </w:r>
          </w:p>
        </w:tc>
      </w:tr>
      <w:tr w14:paraId="1FA7C088">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5444B11F">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1E97BFB5">
            <w:pPr>
              <w:widowControl/>
              <w:jc w:val="left"/>
            </w:pPr>
            <w:r>
              <w:rPr>
                <w:rFonts w:cs="宋体"/>
                <w:kern w:val="0"/>
                <w:sz w:val="22"/>
                <w:szCs w:val="22"/>
              </w:rPr>
              <w:t>平台具备HA部署能力。能够进行在线状态检测，并根据检测结果自动切换，并保持配置同步、session同步。</w:t>
            </w:r>
          </w:p>
        </w:tc>
      </w:tr>
      <w:tr w14:paraId="01AD2DE7">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1052110E">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2F42B3C0">
            <w:pPr>
              <w:widowControl/>
              <w:jc w:val="left"/>
            </w:pPr>
            <w:r>
              <w:rPr>
                <w:rFonts w:cs="宋体"/>
                <w:kern w:val="0"/>
                <w:sz w:val="22"/>
                <w:szCs w:val="22"/>
              </w:rPr>
              <w:t>本项目中所投产品不应含有使用Flash技术用于访问重要策略控制的内容。</w:t>
            </w:r>
          </w:p>
        </w:tc>
      </w:tr>
      <w:tr w14:paraId="573E71B0">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39742A09">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73103B83">
            <w:pPr>
              <w:widowControl/>
              <w:jc w:val="left"/>
            </w:pPr>
            <w:r>
              <w:rPr>
                <w:rFonts w:cs="宋体"/>
                <w:kern w:val="0"/>
                <w:sz w:val="22"/>
                <w:szCs w:val="22"/>
              </w:rPr>
              <w:t>系统管理员具备账户管理功能，支持对口令复杂度和口令生存期的设置。</w:t>
            </w:r>
          </w:p>
        </w:tc>
      </w:tr>
      <w:tr w14:paraId="6A5F3789">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199BD8A8">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5A18DAAD">
            <w:pPr>
              <w:widowControl/>
              <w:jc w:val="left"/>
            </w:pPr>
            <w:r>
              <w:rPr>
                <w:rFonts w:cs="宋体"/>
                <w:kern w:val="0"/>
                <w:sz w:val="22"/>
                <w:szCs w:val="22"/>
              </w:rPr>
              <w:t>具备自检信息功能，可显示设备自身系统运行状态信息及异常告警。</w:t>
            </w:r>
          </w:p>
        </w:tc>
      </w:tr>
      <w:tr w14:paraId="116193BC">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7379FF55">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27F160ED">
            <w:pPr>
              <w:widowControl/>
              <w:jc w:val="left"/>
            </w:pPr>
            <w:r>
              <w:rPr>
                <w:rFonts w:cs="宋体"/>
                <w:kern w:val="0"/>
                <w:sz w:val="22"/>
                <w:szCs w:val="22"/>
              </w:rPr>
              <w:t>报警功能支持界面及邮件报警。</w:t>
            </w:r>
          </w:p>
        </w:tc>
      </w:tr>
      <w:tr w14:paraId="492AC795">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5853946C">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7107E63A">
            <w:pPr>
              <w:widowControl/>
              <w:jc w:val="left"/>
            </w:pPr>
            <w:r>
              <w:rPr>
                <w:rFonts w:cs="宋体"/>
                <w:kern w:val="0"/>
                <w:sz w:val="22"/>
                <w:szCs w:val="22"/>
              </w:rPr>
              <w:t>支持反向代理部署模式，逻辑串联。支持IP地址收敛效果，支持互联网端对非标端口收敛效果。</w:t>
            </w:r>
          </w:p>
        </w:tc>
      </w:tr>
      <w:tr w14:paraId="0C6C36B3">
        <w:tblPrEx>
          <w:tblCellMar>
            <w:top w:w="0" w:type="dxa"/>
            <w:left w:w="108" w:type="dxa"/>
            <w:bottom w:w="0" w:type="dxa"/>
            <w:right w:w="108" w:type="dxa"/>
          </w:tblCellMar>
        </w:tblPrEx>
        <w:trPr>
          <w:trHeight w:val="20" w:hRule="atLeast"/>
        </w:trPr>
        <w:tc>
          <w:tcPr>
            <w:tcW w:w="1479" w:type="dxa"/>
            <w:vMerge w:val="restart"/>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2184A7EC">
            <w:pPr>
              <w:widowControl/>
              <w:jc w:val="left"/>
            </w:pPr>
            <w:r>
              <w:rPr>
                <w:rFonts w:cs="宋体"/>
                <w:kern w:val="0"/>
                <w:sz w:val="22"/>
                <w:szCs w:val="22"/>
              </w:rPr>
              <w:t>安全防护</w:t>
            </w: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0A4A464B">
            <w:pPr>
              <w:widowControl/>
              <w:jc w:val="left"/>
            </w:pPr>
            <w:r>
              <w:rPr>
                <w:rFonts w:cs="宋体"/>
                <w:kern w:val="0"/>
                <w:sz w:val="22"/>
                <w:szCs w:val="22"/>
              </w:rPr>
              <w:t>支持对源站非80/443端口但为HTTP协议的防护，支持对HTTP协议的异常元素、异常参数、非法编码和解码的灵活控制与处理。</w:t>
            </w:r>
          </w:p>
        </w:tc>
      </w:tr>
      <w:tr w14:paraId="7713ADD1">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3E5B94AB">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5FBB017F">
            <w:pPr>
              <w:widowControl/>
              <w:jc w:val="left"/>
            </w:pPr>
            <w:r>
              <w:rPr>
                <w:rFonts w:cs="宋体"/>
                <w:kern w:val="0"/>
                <w:sz w:val="22"/>
                <w:szCs w:val="22"/>
              </w:rPr>
              <w:t>支持域名或IP地址及多端口形式访问防护。</w:t>
            </w:r>
          </w:p>
        </w:tc>
      </w:tr>
      <w:tr w14:paraId="539B45D6">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7BF12033">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1C5B7708">
            <w:pPr>
              <w:widowControl/>
              <w:jc w:val="left"/>
            </w:pPr>
            <w:r>
              <w:rPr>
                <w:rFonts w:cs="宋体"/>
                <w:kern w:val="0"/>
                <w:sz w:val="22"/>
                <w:szCs w:val="22"/>
              </w:rPr>
              <w:t>能基于多种HTTP方法执行访问控制，包括：GET、POST、HEAD、PUT等。</w:t>
            </w:r>
          </w:p>
        </w:tc>
      </w:tr>
      <w:tr w14:paraId="3E1F8F97">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7C16DDA1">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5B67877C">
            <w:pPr>
              <w:widowControl/>
              <w:jc w:val="left"/>
            </w:pPr>
            <w:r>
              <w:rPr>
                <w:rFonts w:cs="宋体"/>
                <w:kern w:val="0"/>
                <w:sz w:val="22"/>
                <w:szCs w:val="22"/>
              </w:rPr>
              <w:t>支持针对主流Web服务器及插件的已知漏洞防护。Web服务器应覆盖主流服务器：apache、tomcat、lightpd、NGINX、IIS等；插件应覆盖：dedecms、phpmuadmin、PHPWind、shopex、discuz、echsop、vbulletin、wordpress等。</w:t>
            </w:r>
          </w:p>
        </w:tc>
      </w:tr>
      <w:tr w14:paraId="1530BF38">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470BA17B">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137E1004">
            <w:pPr>
              <w:widowControl/>
              <w:jc w:val="left"/>
            </w:pPr>
            <w:r>
              <w:rPr>
                <w:rFonts w:cs="宋体"/>
                <w:kern w:val="0"/>
                <w:sz w:val="22"/>
                <w:szCs w:val="22"/>
              </w:rPr>
              <w:t>支持SQL注入、XSS、SSI指令、Webshell防护，路径穿越及远程文件包含的攻击防护。支持使HTTP头域中的Cookie、Referer、User-Agent，Except字段过防护策略。</w:t>
            </w:r>
          </w:p>
        </w:tc>
      </w:tr>
      <w:tr w14:paraId="05594402">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72606185">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28856AB5">
            <w:pPr>
              <w:widowControl/>
              <w:jc w:val="left"/>
            </w:pPr>
            <w:r>
              <w:rPr>
                <w:rFonts w:cs="宋体"/>
                <w:kern w:val="0"/>
                <w:sz w:val="22"/>
                <w:szCs w:val="22"/>
              </w:rPr>
              <w:t>支持CSRF（跨站请求伪造）防护。</w:t>
            </w:r>
          </w:p>
        </w:tc>
      </w:tr>
      <w:tr w14:paraId="65395FD6">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441FB144">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29558579">
            <w:pPr>
              <w:widowControl/>
              <w:jc w:val="left"/>
            </w:pPr>
            <w:r>
              <w:rPr>
                <w:rFonts w:cs="宋体"/>
                <w:kern w:val="0"/>
                <w:sz w:val="22"/>
                <w:szCs w:val="22"/>
              </w:rPr>
              <w:t>支持爬虫防护，实现对爬虫特征进行识别和阻断，防止页面因爬虫而引起信息泄露等问题。</w:t>
            </w:r>
          </w:p>
        </w:tc>
      </w:tr>
      <w:tr w14:paraId="504AC838">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355729A2">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515983ED">
            <w:pPr>
              <w:widowControl/>
              <w:jc w:val="left"/>
            </w:pPr>
            <w:r>
              <w:rPr>
                <w:rFonts w:cs="宋体"/>
                <w:kern w:val="0"/>
                <w:sz w:val="22"/>
                <w:szCs w:val="22"/>
              </w:rPr>
              <w:t>支持工具类软件对站点高频扫描的防护，并提供应用层人机识别的拦截手段。</w:t>
            </w:r>
          </w:p>
        </w:tc>
      </w:tr>
      <w:tr w14:paraId="7857C9AE">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1261153F">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776369A7">
            <w:pPr>
              <w:widowControl/>
              <w:jc w:val="left"/>
            </w:pPr>
            <w:r>
              <w:rPr>
                <w:rFonts w:cs="宋体"/>
                <w:kern w:val="0"/>
                <w:sz w:val="22"/>
                <w:szCs w:val="22"/>
              </w:rPr>
              <w:t>支持识别非法上传/下载行为，阻断敏感信息泄露、恶意代码攻击、错误配置攻击、隐藏字段攻击、会话劫持攻击、参数篡改攻击、弱口令攻击、Webshell行为拦截。</w:t>
            </w:r>
          </w:p>
        </w:tc>
      </w:tr>
      <w:tr w14:paraId="77A7305C">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26BA1A25">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58C3129F">
            <w:pPr>
              <w:widowControl/>
              <w:jc w:val="left"/>
            </w:pPr>
            <w:r>
              <w:rPr>
                <w:rFonts w:cs="宋体"/>
                <w:kern w:val="0"/>
                <w:sz w:val="22"/>
                <w:szCs w:val="22"/>
              </w:rPr>
              <w:t>支持识别并阻断自动化攻击及第三方引擎的访问。</w:t>
            </w:r>
          </w:p>
        </w:tc>
      </w:tr>
      <w:tr w14:paraId="53B902EF">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411ED5F7">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04B18856">
            <w:pPr>
              <w:widowControl/>
              <w:jc w:val="left"/>
            </w:pPr>
            <w:r>
              <w:rPr>
                <w:rFonts w:cs="宋体"/>
                <w:kern w:val="0"/>
                <w:sz w:val="22"/>
                <w:szCs w:val="22"/>
              </w:rPr>
              <w:t>防应用层 HTTP DDoS（CC）攻击。</w:t>
            </w:r>
          </w:p>
        </w:tc>
      </w:tr>
      <w:tr w14:paraId="452E84F0">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1164208E">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0972646F">
            <w:pPr>
              <w:widowControl/>
              <w:jc w:val="left"/>
            </w:pPr>
            <w:r>
              <w:rPr>
                <w:rFonts w:cs="宋体"/>
                <w:kern w:val="0"/>
                <w:sz w:val="22"/>
                <w:szCs w:val="22"/>
              </w:rPr>
              <w:t>支持白名单功能，可添加单个或一个段落的地址开放于白名单内，不受策略限制。</w:t>
            </w:r>
          </w:p>
        </w:tc>
      </w:tr>
      <w:tr w14:paraId="48F4FE7E">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2CDF50EA">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0AE6C4B8">
            <w:pPr>
              <w:widowControl/>
              <w:jc w:val="left"/>
            </w:pPr>
            <w:r>
              <w:rPr>
                <w:rFonts w:cs="宋体"/>
                <w:kern w:val="0"/>
                <w:sz w:val="22"/>
                <w:szCs w:val="22"/>
              </w:rPr>
              <w:t>支持攻击黑名单限制，可将识别到的黑IP加入黑名单内，并可设定黑名单时长，时间到后可自动解禁。</w:t>
            </w:r>
          </w:p>
        </w:tc>
      </w:tr>
      <w:tr w14:paraId="5592845D">
        <w:tblPrEx>
          <w:tblCellMar>
            <w:top w:w="0" w:type="dxa"/>
            <w:left w:w="108" w:type="dxa"/>
            <w:bottom w:w="0" w:type="dxa"/>
            <w:right w:w="108" w:type="dxa"/>
          </w:tblCellMar>
        </w:tblPrEx>
        <w:trPr>
          <w:trHeight w:val="20" w:hRule="atLeast"/>
        </w:trPr>
        <w:tc>
          <w:tcPr>
            <w:tcW w:w="1479" w:type="dxa"/>
            <w:vMerge w:val="restart"/>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50F2BFE0">
            <w:pPr>
              <w:widowControl/>
              <w:jc w:val="left"/>
            </w:pPr>
            <w:r>
              <w:rPr>
                <w:rFonts w:cs="宋体"/>
                <w:kern w:val="0"/>
                <w:sz w:val="22"/>
                <w:szCs w:val="22"/>
              </w:rPr>
              <w:t>安全加固</w:t>
            </w: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7982A412">
            <w:pPr>
              <w:widowControl/>
              <w:jc w:val="left"/>
            </w:pPr>
            <w:r>
              <w:rPr>
                <w:rFonts w:cs="宋体"/>
                <w:kern w:val="0"/>
                <w:sz w:val="22"/>
                <w:szCs w:val="22"/>
              </w:rPr>
              <w:t>支持Web站点隐藏和伪装的安全策略，包括操作系统类型、WEB服务器类型、HTTP响应报文头。</w:t>
            </w:r>
          </w:p>
        </w:tc>
      </w:tr>
      <w:tr w14:paraId="4BFA296F">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351E8011">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00E688CB">
            <w:pPr>
              <w:widowControl/>
              <w:jc w:val="left"/>
            </w:pPr>
            <w:r>
              <w:rPr>
                <w:rFonts w:cs="宋体"/>
                <w:kern w:val="0"/>
                <w:sz w:val="22"/>
                <w:szCs w:val="22"/>
              </w:rPr>
              <w:t>支持自定义错误页面的拦截，防止404、403、502等报错页面泄露敏感信息。</w:t>
            </w:r>
          </w:p>
        </w:tc>
      </w:tr>
      <w:tr w14:paraId="20E4D4A5">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1FE05603">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3E8CCB72">
            <w:pPr>
              <w:widowControl/>
              <w:jc w:val="left"/>
            </w:pPr>
            <w:r>
              <w:rPr>
                <w:rFonts w:cs="宋体"/>
                <w:kern w:val="0"/>
                <w:sz w:val="22"/>
                <w:szCs w:val="22"/>
              </w:rPr>
              <w:t>支持TLS加固策略，至少能够提供TLS1.2以上的安全加固措施。</w:t>
            </w:r>
          </w:p>
        </w:tc>
      </w:tr>
      <w:tr w14:paraId="5356597E">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1CBDCDEB">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2F4D8F32">
            <w:pPr>
              <w:widowControl/>
              <w:jc w:val="left"/>
            </w:pPr>
            <w:r>
              <w:rPr>
                <w:rFonts w:cs="宋体"/>
                <w:kern w:val="0"/>
                <w:sz w:val="22"/>
                <w:szCs w:val="22"/>
              </w:rPr>
              <w:t>支持HTTPS强制跳转。</w:t>
            </w:r>
          </w:p>
        </w:tc>
      </w:tr>
      <w:tr w14:paraId="5CF60450">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69B47CD3">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273F259E">
            <w:pPr>
              <w:widowControl/>
              <w:jc w:val="left"/>
            </w:pPr>
            <w:r>
              <w:rPr>
                <w:rFonts w:cs="宋体"/>
                <w:kern w:val="0"/>
                <w:sz w:val="22"/>
                <w:szCs w:val="22"/>
              </w:rPr>
              <w:t>支持站点锁定，可以将站点页面缓存到防护平台。</w:t>
            </w:r>
          </w:p>
        </w:tc>
      </w:tr>
      <w:tr w14:paraId="688E5BA9">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49E24F41">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58BBB0C2">
            <w:pPr>
              <w:widowControl/>
              <w:jc w:val="left"/>
            </w:pPr>
            <w:r>
              <w:rPr>
                <w:rFonts w:cs="宋体"/>
                <w:kern w:val="0"/>
                <w:sz w:val="22"/>
                <w:szCs w:val="22"/>
              </w:rPr>
              <w:t>支持对响应（POST）数据和响应（GET）代码进行脱敏。</w:t>
            </w:r>
          </w:p>
        </w:tc>
      </w:tr>
      <w:tr w14:paraId="6323432C">
        <w:tblPrEx>
          <w:tblCellMar>
            <w:top w:w="0" w:type="dxa"/>
            <w:left w:w="108" w:type="dxa"/>
            <w:bottom w:w="0" w:type="dxa"/>
            <w:right w:w="108" w:type="dxa"/>
          </w:tblCellMar>
        </w:tblPrEx>
        <w:trPr>
          <w:trHeight w:val="20" w:hRule="atLeast"/>
        </w:trPr>
        <w:tc>
          <w:tcPr>
            <w:tcW w:w="1479" w:type="dxa"/>
            <w:vMerge w:val="restart"/>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52FD4176">
            <w:pPr>
              <w:widowControl/>
              <w:jc w:val="left"/>
            </w:pPr>
            <w:r>
              <w:rPr>
                <w:rFonts w:hint="eastAsia" w:cs="宋体"/>
                <w:kern w:val="0"/>
                <w:sz w:val="22"/>
                <w:szCs w:val="22"/>
              </w:rPr>
              <w:t>W</w:t>
            </w:r>
            <w:r>
              <w:rPr>
                <w:rFonts w:cs="宋体"/>
                <w:kern w:val="0"/>
                <w:sz w:val="22"/>
                <w:szCs w:val="22"/>
              </w:rPr>
              <w:t>eb组件加密</w:t>
            </w: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14882C42">
            <w:pPr>
              <w:widowControl/>
              <w:jc w:val="left"/>
            </w:pPr>
            <w:r>
              <w:rPr>
                <w:rFonts w:cs="宋体"/>
                <w:kern w:val="0"/>
                <w:sz w:val="22"/>
                <w:szCs w:val="22"/>
              </w:rPr>
              <w:t>支持Cookie内容加密。</w:t>
            </w:r>
          </w:p>
        </w:tc>
      </w:tr>
      <w:tr w14:paraId="2F8DB9E7">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77788AC1">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747FBC9F">
            <w:pPr>
              <w:widowControl/>
              <w:jc w:val="left"/>
            </w:pPr>
            <w:r>
              <w:rPr>
                <w:rFonts w:cs="宋体"/>
                <w:kern w:val="0"/>
                <w:sz w:val="22"/>
                <w:szCs w:val="22"/>
              </w:rPr>
              <w:t>支持针对WEB站点中的代码文件名称进行加密。</w:t>
            </w:r>
          </w:p>
        </w:tc>
      </w:tr>
      <w:tr w14:paraId="17A6F424">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554C1811">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19F27010">
            <w:pPr>
              <w:widowControl/>
              <w:jc w:val="left"/>
            </w:pPr>
            <w:r>
              <w:rPr>
                <w:rFonts w:cs="宋体"/>
                <w:kern w:val="0"/>
                <w:sz w:val="22"/>
                <w:szCs w:val="22"/>
              </w:rPr>
              <w:t>支持 HTML 内容整体动态加密，可防站点目录爬取、防爬虫解析等。通过浏览器查看网络传输到应用层的页面代码应为密文。</w:t>
            </w:r>
          </w:p>
        </w:tc>
      </w:tr>
      <w:tr w14:paraId="52AB70C1">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7FA7CA2E">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6E5657E2">
            <w:pPr>
              <w:widowControl/>
              <w:jc w:val="left"/>
            </w:pPr>
            <w:r>
              <w:rPr>
                <w:rFonts w:hint="eastAsia" w:cs="宋体"/>
                <w:kern w:val="0"/>
                <w:sz w:val="22"/>
                <w:szCs w:val="22"/>
                <w:lang w:val="en-US" w:eastAsia="zh-CN"/>
              </w:rPr>
              <w:t>7</w:t>
            </w:r>
            <w:r>
              <w:rPr>
                <w:rFonts w:cs="宋体"/>
                <w:kern w:val="0"/>
                <w:sz w:val="22"/>
                <w:szCs w:val="22"/>
              </w:rPr>
              <w:t>▲支持 JS 文件源码实时动态加密，可防关键代码分析调试、可防 JS 开源框架漏洞。支持反馈给浏览器的源代码加密，阻止源代码浏览器端的代码分析调试。</w:t>
            </w:r>
          </w:p>
        </w:tc>
      </w:tr>
      <w:tr w14:paraId="078CFAB4">
        <w:tblPrEx>
          <w:tblCellMar>
            <w:top w:w="0" w:type="dxa"/>
            <w:left w:w="108" w:type="dxa"/>
            <w:bottom w:w="0" w:type="dxa"/>
            <w:right w:w="108" w:type="dxa"/>
          </w:tblCellMar>
        </w:tblPrEx>
        <w:trPr>
          <w:trHeight w:val="20" w:hRule="atLeast"/>
        </w:trPr>
        <w:tc>
          <w:tcPr>
            <w:tcW w:w="1479" w:type="dxa"/>
            <w:vMerge w:val="restart"/>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7038AF26">
            <w:pPr>
              <w:widowControl/>
              <w:jc w:val="left"/>
            </w:pPr>
            <w:r>
              <w:rPr>
                <w:rFonts w:cs="宋体"/>
                <w:kern w:val="0"/>
                <w:sz w:val="22"/>
                <w:szCs w:val="22"/>
              </w:rPr>
              <w:t>数据安全</w:t>
            </w: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0070DD50">
            <w:pPr>
              <w:widowControl/>
              <w:jc w:val="left"/>
            </w:pPr>
            <w:r>
              <w:rPr>
                <w:rFonts w:cs="宋体"/>
                <w:kern w:val="0"/>
                <w:sz w:val="22"/>
                <w:szCs w:val="22"/>
              </w:rPr>
              <w:t>支持WebAPI动态发现、监测、管理及加密等功能。</w:t>
            </w:r>
          </w:p>
        </w:tc>
      </w:tr>
      <w:tr w14:paraId="582A66D3">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7981401F">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05978155">
            <w:pPr>
              <w:widowControl/>
              <w:jc w:val="left"/>
            </w:pPr>
            <w:r>
              <w:rPr>
                <w:rFonts w:cs="宋体"/>
                <w:kern w:val="0"/>
                <w:sz w:val="22"/>
                <w:szCs w:val="22"/>
              </w:rPr>
              <w:t>支持针对请求数据进行安全检查，支持对SQL注入、XSS注入、CMD注入、自动化攻击、Webshell等场景进行安全防护。</w:t>
            </w:r>
          </w:p>
        </w:tc>
      </w:tr>
      <w:tr w14:paraId="7746A85A">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1F9AC097">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1539E748">
            <w:pPr>
              <w:widowControl/>
              <w:jc w:val="left"/>
            </w:pPr>
            <w:r>
              <w:rPr>
                <w:rFonts w:cs="宋体"/>
                <w:kern w:val="0"/>
                <w:sz w:val="22"/>
                <w:szCs w:val="22"/>
              </w:rPr>
              <w:t>支持对API接口名称进行动态加密，加密算法采用国密算法SM2/SM3/SM4标准。</w:t>
            </w:r>
          </w:p>
        </w:tc>
      </w:tr>
      <w:tr w14:paraId="13A41A5E">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4B2AFB09">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33E34D8F">
            <w:pPr>
              <w:widowControl/>
              <w:jc w:val="left"/>
            </w:pPr>
            <w:r>
              <w:rPr>
                <w:rFonts w:hint="eastAsia" w:cs="宋体"/>
                <w:kern w:val="0"/>
                <w:sz w:val="22"/>
                <w:szCs w:val="22"/>
                <w:lang w:val="en-US" w:eastAsia="zh-CN"/>
              </w:rPr>
              <w:t>8</w:t>
            </w:r>
            <w:r>
              <w:rPr>
                <w:rFonts w:cs="宋体"/>
                <w:kern w:val="0"/>
                <w:sz w:val="22"/>
                <w:szCs w:val="22"/>
              </w:rPr>
              <w:t>▲支持对API上行（POST）数据进行动态加密，加密算法采用国密算法SM2/SM3/SM4标准。</w:t>
            </w:r>
          </w:p>
        </w:tc>
      </w:tr>
      <w:tr w14:paraId="46AA20B7">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65D121E8">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3075A23A">
            <w:pPr>
              <w:widowControl/>
              <w:jc w:val="left"/>
            </w:pPr>
            <w:r>
              <w:rPr>
                <w:rFonts w:hint="eastAsia" w:cs="宋体"/>
                <w:kern w:val="0"/>
                <w:sz w:val="22"/>
                <w:szCs w:val="22"/>
                <w:lang w:val="en-US" w:eastAsia="zh-CN"/>
              </w:rPr>
              <w:t>9</w:t>
            </w:r>
            <w:r>
              <w:rPr>
                <w:rFonts w:cs="宋体"/>
                <w:kern w:val="0"/>
                <w:sz w:val="22"/>
                <w:szCs w:val="22"/>
              </w:rPr>
              <w:t>▲支持对API下行数据进行动态加密，加密算法采用国密算法SM2/SM3/SM4标准。</w:t>
            </w:r>
          </w:p>
        </w:tc>
      </w:tr>
      <w:tr w14:paraId="179DA465">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3C02282F">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64C96416">
            <w:pPr>
              <w:widowControl/>
              <w:jc w:val="left"/>
            </w:pPr>
            <w:r>
              <w:rPr>
                <w:rFonts w:cs="宋体"/>
                <w:kern w:val="0"/>
                <w:sz w:val="22"/>
                <w:szCs w:val="22"/>
              </w:rPr>
              <w:t>支持针对浏览器端WebAPI加密环境安全检查，针对拟爬虫浏览器检查。</w:t>
            </w:r>
          </w:p>
        </w:tc>
      </w:tr>
      <w:tr w14:paraId="1F026AEC">
        <w:tblPrEx>
          <w:tblCellMar>
            <w:top w:w="0" w:type="dxa"/>
            <w:left w:w="108" w:type="dxa"/>
            <w:bottom w:w="0" w:type="dxa"/>
            <w:right w:w="108" w:type="dxa"/>
          </w:tblCellMar>
        </w:tblPrEx>
        <w:trPr>
          <w:trHeight w:val="20" w:hRule="atLeast"/>
        </w:trPr>
        <w:tc>
          <w:tcPr>
            <w:tcW w:w="1479" w:type="dxa"/>
            <w:vMerge w:val="restart"/>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3B35EE8D">
            <w:pPr>
              <w:widowControl/>
              <w:jc w:val="left"/>
            </w:pPr>
            <w:r>
              <w:rPr>
                <w:rFonts w:cs="宋体"/>
                <w:kern w:val="0"/>
                <w:sz w:val="22"/>
                <w:szCs w:val="22"/>
              </w:rPr>
              <w:t>重保模式</w:t>
            </w: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4A3B137C">
            <w:pPr>
              <w:widowControl/>
              <w:jc w:val="left"/>
            </w:pPr>
            <w:r>
              <w:rPr>
                <w:rFonts w:cs="宋体"/>
                <w:kern w:val="0"/>
                <w:sz w:val="22"/>
                <w:szCs w:val="22"/>
              </w:rPr>
              <w:t>支持重点时期开启重保模式，业务系统对互联网显示重保模式页面。</w:t>
            </w:r>
          </w:p>
        </w:tc>
      </w:tr>
      <w:tr w14:paraId="65770ACA">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5D466071">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6962429B">
            <w:pPr>
              <w:widowControl/>
              <w:jc w:val="left"/>
            </w:pPr>
            <w:r>
              <w:rPr>
                <w:rFonts w:cs="宋体"/>
                <w:kern w:val="0"/>
                <w:sz w:val="22"/>
                <w:szCs w:val="22"/>
              </w:rPr>
              <w:t>重保模式页面支持对每个不同站点进行个性化自定义设置。</w:t>
            </w:r>
          </w:p>
        </w:tc>
      </w:tr>
      <w:tr w14:paraId="083676C2">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70E44FE8">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62417206">
            <w:pPr>
              <w:widowControl/>
              <w:jc w:val="left"/>
            </w:pPr>
            <w:r>
              <w:rPr>
                <w:rFonts w:cs="宋体"/>
                <w:kern w:val="0"/>
                <w:sz w:val="22"/>
                <w:szCs w:val="22"/>
              </w:rPr>
              <w:t>重保模式的页面内容支持用户自定义，上传自定义内容后实时生效。</w:t>
            </w:r>
          </w:p>
        </w:tc>
      </w:tr>
      <w:tr w14:paraId="55669659">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16E27383">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1E73AF00">
            <w:pPr>
              <w:widowControl/>
              <w:jc w:val="left"/>
            </w:pPr>
            <w:r>
              <w:rPr>
                <w:rFonts w:cs="宋体"/>
                <w:kern w:val="0"/>
                <w:sz w:val="22"/>
                <w:szCs w:val="22"/>
              </w:rPr>
              <w:t>重保模式支持用户对日期范围、时间段范围进行自定义，自定义后实时生效，其中日期支持周一至周日的复合选择自定义。</w:t>
            </w:r>
          </w:p>
        </w:tc>
      </w:tr>
      <w:tr w14:paraId="63BB5C1C">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61EE8060">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659EE676">
            <w:pPr>
              <w:widowControl/>
              <w:jc w:val="left"/>
            </w:pPr>
            <w:r>
              <w:rPr>
                <w:rFonts w:cs="宋体"/>
                <w:kern w:val="0"/>
                <w:sz w:val="22"/>
                <w:szCs w:val="22"/>
              </w:rPr>
              <w:t>重保模式支持用户自定义IP白名单，如白名单内的IP不显示重保模式。</w:t>
            </w:r>
          </w:p>
        </w:tc>
      </w:tr>
      <w:tr w14:paraId="43BFE20B">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21BDBD82">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34F12C2C">
            <w:pPr>
              <w:widowControl/>
              <w:jc w:val="left"/>
            </w:pPr>
            <w:r>
              <w:rPr>
                <w:rFonts w:cs="宋体"/>
                <w:kern w:val="0"/>
                <w:sz w:val="22"/>
                <w:szCs w:val="22"/>
              </w:rPr>
              <w:t>重保模式效果支持用户提前设置各种参数，时间到了后会自动生效。</w:t>
            </w:r>
          </w:p>
        </w:tc>
      </w:tr>
      <w:tr w14:paraId="5117AB40">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4F02160D">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44807F48">
            <w:pPr>
              <w:widowControl/>
              <w:jc w:val="left"/>
            </w:pPr>
            <w:r>
              <w:rPr>
                <w:rFonts w:cs="宋体"/>
                <w:kern w:val="0"/>
                <w:sz w:val="22"/>
                <w:szCs w:val="22"/>
              </w:rPr>
              <w:t>支持提供站点和策略的多对多的绑定关系，单个站点可以绑定多个重保策略，单个策略可以匹配多个站点</w:t>
            </w:r>
            <w:r>
              <w:rPr>
                <w:rFonts w:hint="eastAsia" w:cs="宋体"/>
                <w:kern w:val="0"/>
                <w:sz w:val="22"/>
                <w:szCs w:val="22"/>
              </w:rPr>
              <w:t>。</w:t>
            </w:r>
          </w:p>
        </w:tc>
      </w:tr>
      <w:tr w14:paraId="192EBC52">
        <w:tblPrEx>
          <w:tblCellMar>
            <w:top w:w="0" w:type="dxa"/>
            <w:left w:w="108" w:type="dxa"/>
            <w:bottom w:w="0" w:type="dxa"/>
            <w:right w:w="108" w:type="dxa"/>
          </w:tblCellMar>
        </w:tblPrEx>
        <w:trPr>
          <w:trHeight w:val="20" w:hRule="atLeast"/>
        </w:trPr>
        <w:tc>
          <w:tcPr>
            <w:tcW w:w="1479" w:type="dxa"/>
            <w:vMerge w:val="restart"/>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7C798F58">
            <w:pPr>
              <w:widowControl/>
              <w:jc w:val="left"/>
            </w:pPr>
            <w:r>
              <w:rPr>
                <w:rFonts w:cs="宋体"/>
                <w:kern w:val="0"/>
                <w:sz w:val="22"/>
                <w:szCs w:val="22"/>
              </w:rPr>
              <w:t>后台管理系统安全性</w:t>
            </w: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1BF9C0EA">
            <w:pPr>
              <w:widowControl/>
              <w:jc w:val="left"/>
            </w:pPr>
            <w:r>
              <w:rPr>
                <w:rFonts w:cs="宋体"/>
                <w:kern w:val="0"/>
                <w:sz w:val="22"/>
                <w:szCs w:val="22"/>
              </w:rPr>
              <w:t>后台Web管理界面须为中文界面显示。</w:t>
            </w:r>
          </w:p>
        </w:tc>
      </w:tr>
      <w:tr w14:paraId="59430935">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7AA89B19">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552E6D19">
            <w:pPr>
              <w:widowControl/>
              <w:jc w:val="left"/>
            </w:pPr>
            <w:r>
              <w:rPr>
                <w:rFonts w:cs="宋体"/>
                <w:kern w:val="0"/>
                <w:sz w:val="22"/>
                <w:szCs w:val="22"/>
              </w:rPr>
              <w:t>后台支持对保护的域名或IP资产进行管理及监测(包括状态及流量) 。</w:t>
            </w:r>
          </w:p>
        </w:tc>
      </w:tr>
      <w:tr w14:paraId="2B3D2B09">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54BCD2D7">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03568AEA">
            <w:pPr>
              <w:widowControl/>
              <w:jc w:val="left"/>
            </w:pPr>
            <w:r>
              <w:rPr>
                <w:rFonts w:cs="宋体"/>
                <w:kern w:val="0"/>
                <w:sz w:val="22"/>
                <w:szCs w:val="22"/>
              </w:rPr>
              <w:t>后台管理系统需要B/S架构，支持PC端机器访问时HTTPS双向身份认证，即只对安装了证书的系统才支持业务访问。</w:t>
            </w:r>
          </w:p>
        </w:tc>
      </w:tr>
      <w:tr w14:paraId="01924E8B">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6F1B68C8">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20E473D6">
            <w:pPr>
              <w:widowControl/>
              <w:jc w:val="left"/>
            </w:pPr>
            <w:r>
              <w:rPr>
                <w:rFonts w:cs="宋体"/>
                <w:kern w:val="0"/>
                <w:sz w:val="22"/>
                <w:szCs w:val="22"/>
              </w:rPr>
              <w:t>后台管理系统需要B/S架构，敏感数据或业务数据需要加密保护。</w:t>
            </w:r>
          </w:p>
        </w:tc>
      </w:tr>
      <w:tr w14:paraId="48FA8643">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2132E572">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1355466D">
            <w:pPr>
              <w:widowControl/>
              <w:jc w:val="left"/>
            </w:pPr>
            <w:r>
              <w:rPr>
                <w:rFonts w:cs="宋体"/>
                <w:kern w:val="0"/>
                <w:sz w:val="22"/>
                <w:szCs w:val="22"/>
              </w:rPr>
              <w:t>支持后台管理系统三权分立，包括系统管理员、策略管理员、审计管理员。</w:t>
            </w:r>
          </w:p>
        </w:tc>
      </w:tr>
      <w:tr w14:paraId="6B2AE57D">
        <w:tblPrEx>
          <w:tblCellMar>
            <w:top w:w="0" w:type="dxa"/>
            <w:left w:w="108" w:type="dxa"/>
            <w:bottom w:w="0" w:type="dxa"/>
            <w:right w:w="108" w:type="dxa"/>
          </w:tblCellMar>
        </w:tblPrEx>
        <w:trPr>
          <w:trHeight w:val="20" w:hRule="atLeast"/>
        </w:trPr>
        <w:tc>
          <w:tcPr>
            <w:tcW w:w="1479" w:type="dxa"/>
            <w:vMerge w:val="restart"/>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400F07AD">
            <w:pPr>
              <w:widowControl/>
              <w:jc w:val="left"/>
            </w:pPr>
            <w:r>
              <w:rPr>
                <w:rFonts w:cs="宋体"/>
                <w:kern w:val="0"/>
                <w:sz w:val="22"/>
                <w:szCs w:val="22"/>
              </w:rPr>
              <w:t>日志功能</w:t>
            </w: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01238100">
            <w:pPr>
              <w:widowControl/>
              <w:jc w:val="left"/>
            </w:pPr>
            <w:r>
              <w:rPr>
                <w:rFonts w:cs="宋体"/>
                <w:kern w:val="0"/>
                <w:sz w:val="22"/>
                <w:szCs w:val="22"/>
              </w:rPr>
              <w:t>支持基于时间、域名、动作、事件类型、URL、返回码等条件的日志查询。</w:t>
            </w:r>
          </w:p>
        </w:tc>
      </w:tr>
      <w:tr w14:paraId="42429E68">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6FDFBB9D">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4DCBAD8C">
            <w:pPr>
              <w:widowControl/>
              <w:jc w:val="left"/>
            </w:pPr>
            <w:r>
              <w:rPr>
                <w:rFonts w:cs="宋体"/>
                <w:kern w:val="0"/>
                <w:sz w:val="22"/>
                <w:szCs w:val="22"/>
              </w:rPr>
              <w:t>支持在安全日志中带有客户端真实IP地址，便于IP溯源。</w:t>
            </w:r>
          </w:p>
        </w:tc>
      </w:tr>
      <w:tr w14:paraId="6466DDB5">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595F90AB">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6B7F6C21">
            <w:pPr>
              <w:widowControl/>
              <w:jc w:val="left"/>
            </w:pPr>
            <w:r>
              <w:rPr>
                <w:rFonts w:cs="宋体"/>
                <w:kern w:val="0"/>
                <w:sz w:val="22"/>
                <w:szCs w:val="22"/>
              </w:rPr>
              <w:t>支持日志分时段导出、全部导出。</w:t>
            </w:r>
          </w:p>
        </w:tc>
      </w:tr>
      <w:tr w14:paraId="77D6E1BA">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3C857D79">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737FF359">
            <w:pPr>
              <w:widowControl/>
              <w:jc w:val="left"/>
            </w:pPr>
            <w:r>
              <w:rPr>
                <w:rFonts w:cs="宋体"/>
                <w:kern w:val="0"/>
                <w:sz w:val="22"/>
                <w:szCs w:val="22"/>
              </w:rPr>
              <w:t>支持以Syslog格式向指定统一Syslog日志中心推送本地日志信息。</w:t>
            </w:r>
          </w:p>
        </w:tc>
      </w:tr>
      <w:tr w14:paraId="4D5F171B">
        <w:tblPrEx>
          <w:tblCellMar>
            <w:top w:w="0" w:type="dxa"/>
            <w:left w:w="108" w:type="dxa"/>
            <w:bottom w:w="0" w:type="dxa"/>
            <w:right w:w="108" w:type="dxa"/>
          </w:tblCellMar>
        </w:tblPrEx>
        <w:trPr>
          <w:trHeight w:val="20" w:hRule="atLeast"/>
        </w:trPr>
        <w:tc>
          <w:tcPr>
            <w:tcW w:w="1479" w:type="dxa"/>
            <w:vMerge w:val="continue"/>
            <w:tcBorders>
              <w:top w:val="single" w:color="auto" w:sz="4" w:space="0"/>
              <w:left w:val="single" w:color="auto" w:sz="4" w:space="0"/>
              <w:bottom w:val="single" w:color="auto" w:sz="4" w:space="0"/>
              <w:right w:val="single" w:color="auto" w:sz="4" w:space="0"/>
            </w:tcBorders>
            <w:shd w:val="clear" w:color="FFFFFF" w:fill="auto"/>
            <w:vAlign w:val="center"/>
          </w:tcPr>
          <w:p w14:paraId="03DF8EC5">
            <w:pPr>
              <w:widowControl/>
              <w:jc w:val="left"/>
            </w:pP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5190F872">
            <w:pPr>
              <w:widowControl/>
              <w:jc w:val="left"/>
            </w:pPr>
            <w:r>
              <w:rPr>
                <w:rFonts w:cs="宋体"/>
                <w:kern w:val="0"/>
                <w:sz w:val="22"/>
                <w:szCs w:val="22"/>
              </w:rPr>
              <w:t>支持日志存放周期管理，须支持6个月及以上天数的存放，过期日志可配置自动清理。</w:t>
            </w:r>
          </w:p>
        </w:tc>
      </w:tr>
      <w:tr w14:paraId="31F55803">
        <w:tblPrEx>
          <w:tblCellMar>
            <w:top w:w="0" w:type="dxa"/>
            <w:left w:w="108" w:type="dxa"/>
            <w:bottom w:w="0" w:type="dxa"/>
            <w:right w:w="108" w:type="dxa"/>
          </w:tblCellMar>
        </w:tblPrEx>
        <w:trPr>
          <w:trHeight w:val="20" w:hRule="atLeast"/>
        </w:trPr>
        <w:tc>
          <w:tcPr>
            <w:tcW w:w="1479"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30EEBBBB">
            <w:pPr>
              <w:widowControl/>
              <w:jc w:val="left"/>
            </w:pPr>
            <w:r>
              <w:rPr>
                <w:rFonts w:cs="宋体"/>
                <w:kern w:val="0"/>
                <w:sz w:val="22"/>
                <w:szCs w:val="22"/>
              </w:rPr>
              <w:t>兼容性</w:t>
            </w: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56F8CF57">
            <w:pPr>
              <w:widowControl/>
              <w:jc w:val="left"/>
            </w:pPr>
            <w:r>
              <w:rPr>
                <w:rFonts w:cs="宋体"/>
                <w:kern w:val="0"/>
                <w:sz w:val="22"/>
                <w:szCs w:val="22"/>
              </w:rPr>
              <w:t>需完成在申威、龙芯、鲲鹏、飞腾、海光及兆芯平台的兼容性测试、功能性测试、性能测试、安全可靠性测试。</w:t>
            </w:r>
          </w:p>
        </w:tc>
      </w:tr>
      <w:tr w14:paraId="6450B7DF">
        <w:tblPrEx>
          <w:tblCellMar>
            <w:top w:w="0" w:type="dxa"/>
            <w:left w:w="108" w:type="dxa"/>
            <w:bottom w:w="0" w:type="dxa"/>
            <w:right w:w="108" w:type="dxa"/>
          </w:tblCellMar>
        </w:tblPrEx>
        <w:trPr>
          <w:trHeight w:val="20" w:hRule="atLeast"/>
        </w:trPr>
        <w:tc>
          <w:tcPr>
            <w:tcW w:w="1479"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06344D62">
            <w:pPr>
              <w:widowControl/>
              <w:jc w:val="left"/>
            </w:pPr>
            <w:r>
              <w:rPr>
                <w:rFonts w:cs="宋体"/>
                <w:kern w:val="0"/>
                <w:sz w:val="22"/>
                <w:szCs w:val="22"/>
              </w:rPr>
              <w:t>其他要求</w:t>
            </w:r>
          </w:p>
        </w:tc>
        <w:tc>
          <w:tcPr>
            <w:tcW w:w="7101"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vAlign w:val="center"/>
          </w:tcPr>
          <w:p w14:paraId="58A23EA2">
            <w:pPr>
              <w:widowControl/>
              <w:jc w:val="left"/>
            </w:pPr>
            <w:r>
              <w:rPr>
                <w:rFonts w:cs="宋体"/>
                <w:kern w:val="0"/>
                <w:sz w:val="22"/>
                <w:szCs w:val="22"/>
              </w:rPr>
              <w:t>提供一年软件升级</w:t>
            </w:r>
            <w:r>
              <w:rPr>
                <w:rFonts w:hint="eastAsia" w:cs="宋体"/>
                <w:kern w:val="0"/>
                <w:sz w:val="22"/>
                <w:szCs w:val="22"/>
                <w:lang w:eastAsia="zh-CN"/>
              </w:rPr>
              <w:t>维保</w:t>
            </w:r>
            <w:r>
              <w:rPr>
                <w:rFonts w:cs="宋体"/>
                <w:kern w:val="0"/>
                <w:sz w:val="22"/>
                <w:szCs w:val="22"/>
              </w:rPr>
              <w:t>服务及技术支持服务</w:t>
            </w:r>
          </w:p>
        </w:tc>
      </w:tr>
    </w:tbl>
    <w:p w14:paraId="40317189">
      <w:pPr>
        <w:widowControl/>
        <w:spacing w:line="240" w:lineRule="auto"/>
        <w:jc w:val="left"/>
      </w:pPr>
    </w:p>
    <w:p w14:paraId="0EC7810F">
      <w:pPr>
        <w:pStyle w:val="4"/>
      </w:pPr>
      <w:r>
        <w:rPr>
          <w:rFonts w:hint="eastAsia"/>
        </w:rPr>
        <w:t xml:space="preserve"> </w:t>
      </w:r>
      <w:r>
        <w:t>IPV6</w:t>
      </w:r>
      <w:r>
        <w:rPr>
          <w:rFonts w:hint="eastAsia"/>
        </w:rPr>
        <w:t>防护订阅服务</w:t>
      </w:r>
    </w:p>
    <w:tbl>
      <w:tblPr>
        <w:tblStyle w:val="17"/>
        <w:tblW w:w="8359" w:type="dxa"/>
        <w:tblInd w:w="0" w:type="dxa"/>
        <w:tblLayout w:type="autofit"/>
        <w:tblCellMar>
          <w:top w:w="0" w:type="dxa"/>
          <w:left w:w="108" w:type="dxa"/>
          <w:bottom w:w="0" w:type="dxa"/>
          <w:right w:w="108" w:type="dxa"/>
        </w:tblCellMar>
      </w:tblPr>
      <w:tblGrid>
        <w:gridCol w:w="960"/>
        <w:gridCol w:w="7399"/>
      </w:tblGrid>
      <w:tr w14:paraId="1DEA4DB8">
        <w:tblPrEx>
          <w:tblCellMar>
            <w:top w:w="0" w:type="dxa"/>
            <w:left w:w="108" w:type="dxa"/>
            <w:bottom w:w="0" w:type="dxa"/>
            <w:right w:w="108" w:type="dxa"/>
          </w:tblCellMar>
        </w:tblPrEx>
        <w:trPr>
          <w:trHeight w:val="280" w:hRule="atLeast"/>
        </w:trPr>
        <w:tc>
          <w:tcPr>
            <w:tcW w:w="960" w:type="dxa"/>
            <w:tcBorders>
              <w:top w:val="single" w:color="auto" w:sz="4" w:space="0"/>
              <w:left w:val="single" w:color="auto" w:sz="4" w:space="0"/>
              <w:bottom w:val="single" w:color="auto" w:sz="4" w:space="0"/>
              <w:right w:val="single" w:color="auto" w:sz="4" w:space="0"/>
            </w:tcBorders>
            <w:vAlign w:val="center"/>
          </w:tcPr>
          <w:p w14:paraId="39EB518B">
            <w:pPr>
              <w:widowControl/>
              <w:spacing w:line="240" w:lineRule="auto"/>
              <w:jc w:val="left"/>
              <w:rPr>
                <w:rFonts w:cs="宋体"/>
                <w:kern w:val="0"/>
                <w:sz w:val="22"/>
                <w:szCs w:val="22"/>
              </w:rPr>
            </w:pPr>
            <w:r>
              <w:rPr>
                <w:rFonts w:hint="eastAsia" w:cs="宋体"/>
                <w:kern w:val="0"/>
                <w:sz w:val="22"/>
                <w:szCs w:val="22"/>
              </w:rPr>
              <w:t>指标项</w:t>
            </w:r>
          </w:p>
        </w:tc>
        <w:tc>
          <w:tcPr>
            <w:tcW w:w="7399" w:type="dxa"/>
            <w:tcBorders>
              <w:top w:val="single" w:color="auto" w:sz="4" w:space="0"/>
              <w:left w:val="nil"/>
              <w:bottom w:val="single" w:color="auto" w:sz="4" w:space="0"/>
              <w:right w:val="single" w:color="auto" w:sz="4" w:space="0"/>
            </w:tcBorders>
            <w:vAlign w:val="center"/>
          </w:tcPr>
          <w:p w14:paraId="07B80033">
            <w:pPr>
              <w:widowControl/>
              <w:spacing w:line="240" w:lineRule="auto"/>
              <w:jc w:val="center"/>
              <w:rPr>
                <w:rFonts w:cs="宋体"/>
                <w:kern w:val="0"/>
                <w:sz w:val="22"/>
                <w:szCs w:val="22"/>
              </w:rPr>
            </w:pPr>
            <w:r>
              <w:rPr>
                <w:rFonts w:hint="eastAsia" w:cs="宋体"/>
                <w:kern w:val="0"/>
                <w:sz w:val="22"/>
                <w:szCs w:val="22"/>
              </w:rPr>
              <w:t>指标要求</w:t>
            </w:r>
          </w:p>
        </w:tc>
      </w:tr>
      <w:tr w14:paraId="288EC5BC">
        <w:tblPrEx>
          <w:tblCellMar>
            <w:top w:w="0" w:type="dxa"/>
            <w:left w:w="108" w:type="dxa"/>
            <w:bottom w:w="0" w:type="dxa"/>
            <w:right w:w="108" w:type="dxa"/>
          </w:tblCellMar>
        </w:tblPrEx>
        <w:trPr>
          <w:trHeight w:val="280" w:hRule="atLeast"/>
        </w:trPr>
        <w:tc>
          <w:tcPr>
            <w:tcW w:w="960" w:type="dxa"/>
            <w:tcBorders>
              <w:top w:val="nil"/>
              <w:left w:val="single" w:color="auto" w:sz="4" w:space="0"/>
              <w:bottom w:val="single" w:color="auto" w:sz="4" w:space="0"/>
              <w:right w:val="single" w:color="auto" w:sz="4" w:space="0"/>
            </w:tcBorders>
            <w:vAlign w:val="center"/>
          </w:tcPr>
          <w:p w14:paraId="357196A6">
            <w:pPr>
              <w:widowControl/>
              <w:spacing w:line="240" w:lineRule="auto"/>
              <w:jc w:val="left"/>
              <w:rPr>
                <w:rFonts w:cs="宋体"/>
                <w:kern w:val="0"/>
                <w:sz w:val="22"/>
                <w:szCs w:val="22"/>
              </w:rPr>
            </w:pPr>
            <w:r>
              <w:rPr>
                <w:rFonts w:hint="eastAsia" w:cs="宋体"/>
                <w:kern w:val="0"/>
                <w:sz w:val="22"/>
                <w:szCs w:val="22"/>
              </w:rPr>
              <w:t>授权数量</w:t>
            </w:r>
          </w:p>
        </w:tc>
        <w:tc>
          <w:tcPr>
            <w:tcW w:w="7399" w:type="dxa"/>
            <w:tcBorders>
              <w:top w:val="nil"/>
              <w:left w:val="nil"/>
              <w:bottom w:val="single" w:color="auto" w:sz="4" w:space="0"/>
              <w:right w:val="single" w:color="auto" w:sz="4" w:space="0"/>
            </w:tcBorders>
            <w:vAlign w:val="center"/>
          </w:tcPr>
          <w:p w14:paraId="74AF5A37">
            <w:pPr>
              <w:widowControl/>
              <w:spacing w:line="240" w:lineRule="auto"/>
              <w:jc w:val="left"/>
              <w:rPr>
                <w:rFonts w:cs="宋体"/>
                <w:kern w:val="0"/>
                <w:sz w:val="22"/>
                <w:szCs w:val="22"/>
              </w:rPr>
            </w:pPr>
            <w:r>
              <w:rPr>
                <w:rFonts w:hint="eastAsia" w:cs="宋体"/>
                <w:kern w:val="0"/>
                <w:sz w:val="22"/>
                <w:szCs w:val="22"/>
              </w:rPr>
              <w:t>1年服务形式的使用授权，与医院现有系统兼容</w:t>
            </w:r>
          </w:p>
        </w:tc>
      </w:tr>
      <w:tr w14:paraId="3B059218">
        <w:tblPrEx>
          <w:tblCellMar>
            <w:top w:w="0" w:type="dxa"/>
            <w:left w:w="108" w:type="dxa"/>
            <w:bottom w:w="0" w:type="dxa"/>
            <w:right w:w="108" w:type="dxa"/>
          </w:tblCellMar>
        </w:tblPrEx>
        <w:trPr>
          <w:trHeight w:val="560" w:hRule="atLeast"/>
        </w:trPr>
        <w:tc>
          <w:tcPr>
            <w:tcW w:w="960" w:type="dxa"/>
            <w:vMerge w:val="restart"/>
            <w:tcBorders>
              <w:top w:val="nil"/>
              <w:left w:val="single" w:color="auto" w:sz="4" w:space="0"/>
              <w:bottom w:val="single" w:color="auto" w:sz="4" w:space="0"/>
              <w:right w:val="single" w:color="auto" w:sz="4" w:space="0"/>
            </w:tcBorders>
            <w:vAlign w:val="center"/>
          </w:tcPr>
          <w:p w14:paraId="0DF06E6B">
            <w:pPr>
              <w:widowControl/>
              <w:spacing w:line="240" w:lineRule="auto"/>
              <w:jc w:val="left"/>
              <w:rPr>
                <w:rFonts w:cs="宋体"/>
                <w:kern w:val="0"/>
                <w:sz w:val="22"/>
                <w:szCs w:val="22"/>
              </w:rPr>
            </w:pPr>
            <w:r>
              <w:rPr>
                <w:rFonts w:hint="eastAsia" w:cs="宋体"/>
                <w:kern w:val="0"/>
                <w:sz w:val="22"/>
                <w:szCs w:val="22"/>
              </w:rPr>
              <w:t>集中管控</w:t>
            </w:r>
          </w:p>
        </w:tc>
        <w:tc>
          <w:tcPr>
            <w:tcW w:w="7399" w:type="dxa"/>
            <w:tcBorders>
              <w:top w:val="nil"/>
              <w:left w:val="nil"/>
              <w:bottom w:val="single" w:color="auto" w:sz="4" w:space="0"/>
              <w:right w:val="single" w:color="auto" w:sz="4" w:space="0"/>
            </w:tcBorders>
            <w:vAlign w:val="center"/>
          </w:tcPr>
          <w:p w14:paraId="1E61F731">
            <w:pPr>
              <w:widowControl/>
              <w:spacing w:line="240" w:lineRule="auto"/>
              <w:jc w:val="left"/>
              <w:rPr>
                <w:rFonts w:cs="宋体"/>
                <w:kern w:val="0"/>
                <w:sz w:val="22"/>
                <w:szCs w:val="22"/>
              </w:rPr>
            </w:pPr>
            <w:r>
              <w:rPr>
                <w:rFonts w:hint="eastAsia" w:cs="宋体"/>
                <w:kern w:val="0"/>
                <w:sz w:val="22"/>
                <w:szCs w:val="22"/>
              </w:rPr>
              <w:t>1.支持配置全局IP黑名单，所配置黑名单IP针对账号所有域名生效，从而实现在重保等特殊期间快速处置威胁IP；</w:t>
            </w:r>
          </w:p>
        </w:tc>
      </w:tr>
      <w:tr w14:paraId="0052C04A">
        <w:tblPrEx>
          <w:tblCellMar>
            <w:top w:w="0" w:type="dxa"/>
            <w:left w:w="108" w:type="dxa"/>
            <w:bottom w:w="0" w:type="dxa"/>
            <w:right w:w="108" w:type="dxa"/>
          </w:tblCellMar>
        </w:tblPrEx>
        <w:trPr>
          <w:trHeight w:val="560" w:hRule="atLeast"/>
        </w:trPr>
        <w:tc>
          <w:tcPr>
            <w:tcW w:w="960" w:type="dxa"/>
            <w:vMerge w:val="continue"/>
            <w:tcBorders>
              <w:top w:val="nil"/>
              <w:left w:val="single" w:color="auto" w:sz="4" w:space="0"/>
              <w:bottom w:val="single" w:color="auto" w:sz="4" w:space="0"/>
              <w:right w:val="single" w:color="auto" w:sz="4" w:space="0"/>
            </w:tcBorders>
            <w:vAlign w:val="center"/>
          </w:tcPr>
          <w:p w14:paraId="3C91CACD">
            <w:pPr>
              <w:widowControl/>
              <w:spacing w:line="240" w:lineRule="auto"/>
              <w:jc w:val="left"/>
              <w:rPr>
                <w:rFonts w:cs="宋体"/>
                <w:kern w:val="0"/>
                <w:sz w:val="22"/>
                <w:szCs w:val="22"/>
              </w:rPr>
            </w:pPr>
          </w:p>
        </w:tc>
        <w:tc>
          <w:tcPr>
            <w:tcW w:w="7399" w:type="dxa"/>
            <w:tcBorders>
              <w:top w:val="nil"/>
              <w:left w:val="nil"/>
              <w:bottom w:val="single" w:color="auto" w:sz="4" w:space="0"/>
              <w:right w:val="single" w:color="auto" w:sz="4" w:space="0"/>
            </w:tcBorders>
            <w:vAlign w:val="center"/>
          </w:tcPr>
          <w:p w14:paraId="458FC509">
            <w:pPr>
              <w:widowControl/>
              <w:spacing w:line="240" w:lineRule="auto"/>
              <w:jc w:val="left"/>
              <w:rPr>
                <w:rFonts w:cs="宋体"/>
                <w:kern w:val="0"/>
                <w:sz w:val="22"/>
                <w:szCs w:val="22"/>
              </w:rPr>
            </w:pPr>
            <w:r>
              <w:rPr>
                <w:rFonts w:hint="eastAsia" w:cs="宋体"/>
                <w:kern w:val="0"/>
                <w:sz w:val="22"/>
                <w:szCs w:val="22"/>
              </w:rPr>
              <w:t>2.支持独立的黑白名单IP维护页面，可以被具体域名引用，从而实现快速访问控制处置；</w:t>
            </w:r>
          </w:p>
        </w:tc>
      </w:tr>
      <w:tr w14:paraId="2A097E76">
        <w:tblPrEx>
          <w:tblCellMar>
            <w:top w:w="0" w:type="dxa"/>
            <w:left w:w="108" w:type="dxa"/>
            <w:bottom w:w="0" w:type="dxa"/>
            <w:right w:w="108" w:type="dxa"/>
          </w:tblCellMar>
        </w:tblPrEx>
        <w:trPr>
          <w:trHeight w:val="280" w:hRule="atLeast"/>
        </w:trPr>
        <w:tc>
          <w:tcPr>
            <w:tcW w:w="960" w:type="dxa"/>
            <w:vMerge w:val="continue"/>
            <w:tcBorders>
              <w:top w:val="nil"/>
              <w:left w:val="single" w:color="auto" w:sz="4" w:space="0"/>
              <w:bottom w:val="single" w:color="auto" w:sz="4" w:space="0"/>
              <w:right w:val="single" w:color="auto" w:sz="4" w:space="0"/>
            </w:tcBorders>
            <w:vAlign w:val="center"/>
          </w:tcPr>
          <w:p w14:paraId="32DDC68F">
            <w:pPr>
              <w:widowControl/>
              <w:spacing w:line="240" w:lineRule="auto"/>
              <w:jc w:val="left"/>
              <w:rPr>
                <w:rFonts w:cs="宋体"/>
                <w:kern w:val="0"/>
                <w:sz w:val="22"/>
                <w:szCs w:val="22"/>
              </w:rPr>
            </w:pPr>
          </w:p>
        </w:tc>
        <w:tc>
          <w:tcPr>
            <w:tcW w:w="7399" w:type="dxa"/>
            <w:tcBorders>
              <w:top w:val="nil"/>
              <w:left w:val="nil"/>
              <w:bottom w:val="single" w:color="auto" w:sz="4" w:space="0"/>
              <w:right w:val="single" w:color="auto" w:sz="4" w:space="0"/>
            </w:tcBorders>
            <w:vAlign w:val="center"/>
          </w:tcPr>
          <w:p w14:paraId="081DDE5A">
            <w:pPr>
              <w:widowControl/>
              <w:spacing w:line="240" w:lineRule="auto"/>
              <w:jc w:val="left"/>
              <w:rPr>
                <w:rFonts w:cs="宋体"/>
                <w:kern w:val="0"/>
                <w:sz w:val="22"/>
                <w:szCs w:val="22"/>
              </w:rPr>
            </w:pPr>
            <w:r>
              <w:rPr>
                <w:rFonts w:hint="eastAsia" w:cs="宋体"/>
                <w:kern w:val="0"/>
                <w:sz w:val="22"/>
                <w:szCs w:val="22"/>
              </w:rPr>
              <w:t>3.支持SSL证书集中管理；</w:t>
            </w:r>
          </w:p>
        </w:tc>
      </w:tr>
      <w:tr w14:paraId="2CDAC138">
        <w:tblPrEx>
          <w:tblCellMar>
            <w:top w:w="0" w:type="dxa"/>
            <w:left w:w="108" w:type="dxa"/>
            <w:bottom w:w="0" w:type="dxa"/>
            <w:right w:w="108" w:type="dxa"/>
          </w:tblCellMar>
        </w:tblPrEx>
        <w:trPr>
          <w:trHeight w:val="560" w:hRule="atLeast"/>
        </w:trPr>
        <w:tc>
          <w:tcPr>
            <w:tcW w:w="960" w:type="dxa"/>
            <w:vMerge w:val="continue"/>
            <w:tcBorders>
              <w:top w:val="nil"/>
              <w:left w:val="single" w:color="auto" w:sz="4" w:space="0"/>
              <w:bottom w:val="single" w:color="auto" w:sz="4" w:space="0"/>
              <w:right w:val="single" w:color="auto" w:sz="4" w:space="0"/>
            </w:tcBorders>
            <w:vAlign w:val="center"/>
          </w:tcPr>
          <w:p w14:paraId="2452E50A">
            <w:pPr>
              <w:widowControl/>
              <w:spacing w:line="240" w:lineRule="auto"/>
              <w:jc w:val="left"/>
              <w:rPr>
                <w:rFonts w:cs="宋体"/>
                <w:kern w:val="0"/>
                <w:sz w:val="22"/>
                <w:szCs w:val="22"/>
              </w:rPr>
            </w:pPr>
          </w:p>
        </w:tc>
        <w:tc>
          <w:tcPr>
            <w:tcW w:w="7399" w:type="dxa"/>
            <w:tcBorders>
              <w:top w:val="nil"/>
              <w:left w:val="nil"/>
              <w:bottom w:val="single" w:color="auto" w:sz="4" w:space="0"/>
              <w:right w:val="single" w:color="auto" w:sz="4" w:space="0"/>
            </w:tcBorders>
            <w:vAlign w:val="center"/>
          </w:tcPr>
          <w:p w14:paraId="786A0A39">
            <w:pPr>
              <w:widowControl/>
              <w:spacing w:line="240" w:lineRule="auto"/>
              <w:jc w:val="left"/>
              <w:rPr>
                <w:rFonts w:cs="宋体"/>
                <w:kern w:val="0"/>
                <w:sz w:val="22"/>
                <w:szCs w:val="22"/>
              </w:rPr>
            </w:pPr>
            <w:r>
              <w:rPr>
                <w:rFonts w:hint="eastAsia" w:cs="宋体"/>
                <w:kern w:val="0"/>
                <w:sz w:val="22"/>
                <w:szCs w:val="22"/>
              </w:rPr>
              <w:t>4.支持定制配置模板和通过指定域名生成模版服务，可提前配置好防御策略，一键应用到具体网站，提高配置效率；</w:t>
            </w:r>
          </w:p>
        </w:tc>
      </w:tr>
      <w:tr w14:paraId="4E49B36F">
        <w:tblPrEx>
          <w:tblCellMar>
            <w:top w:w="0" w:type="dxa"/>
            <w:left w:w="108" w:type="dxa"/>
            <w:bottom w:w="0" w:type="dxa"/>
            <w:right w:w="108" w:type="dxa"/>
          </w:tblCellMar>
        </w:tblPrEx>
        <w:trPr>
          <w:trHeight w:val="1120" w:hRule="atLeast"/>
        </w:trPr>
        <w:tc>
          <w:tcPr>
            <w:tcW w:w="960" w:type="dxa"/>
            <w:vMerge w:val="restart"/>
            <w:tcBorders>
              <w:top w:val="nil"/>
              <w:left w:val="single" w:color="auto" w:sz="4" w:space="0"/>
              <w:bottom w:val="single" w:color="auto" w:sz="4" w:space="0"/>
              <w:right w:val="single" w:color="auto" w:sz="4" w:space="0"/>
            </w:tcBorders>
            <w:vAlign w:val="center"/>
          </w:tcPr>
          <w:p w14:paraId="6C9DCBE7">
            <w:pPr>
              <w:widowControl/>
              <w:spacing w:line="240" w:lineRule="auto"/>
              <w:jc w:val="left"/>
              <w:rPr>
                <w:rFonts w:cs="宋体"/>
                <w:kern w:val="0"/>
                <w:sz w:val="22"/>
                <w:szCs w:val="22"/>
              </w:rPr>
            </w:pPr>
            <w:r>
              <w:rPr>
                <w:rFonts w:hint="eastAsia" w:cs="宋体"/>
                <w:kern w:val="0"/>
                <w:sz w:val="22"/>
                <w:szCs w:val="22"/>
              </w:rPr>
              <w:t>防篡改功能</w:t>
            </w:r>
          </w:p>
        </w:tc>
        <w:tc>
          <w:tcPr>
            <w:tcW w:w="7399" w:type="dxa"/>
            <w:tcBorders>
              <w:top w:val="nil"/>
              <w:left w:val="nil"/>
              <w:bottom w:val="single" w:color="auto" w:sz="4" w:space="0"/>
              <w:right w:val="single" w:color="auto" w:sz="4" w:space="0"/>
            </w:tcBorders>
            <w:vAlign w:val="center"/>
          </w:tcPr>
          <w:p w14:paraId="491400C1">
            <w:pPr>
              <w:widowControl/>
              <w:spacing w:line="240" w:lineRule="auto"/>
              <w:jc w:val="left"/>
              <w:rPr>
                <w:rFonts w:cs="宋体"/>
                <w:kern w:val="0"/>
                <w:sz w:val="22"/>
                <w:szCs w:val="22"/>
              </w:rPr>
            </w:pPr>
            <w:r>
              <w:rPr>
                <w:rFonts w:hint="eastAsia" w:cs="宋体"/>
                <w:kern w:val="0"/>
                <w:sz w:val="22"/>
                <w:szCs w:val="22"/>
              </w:rPr>
              <w:t>1.具备网站页面备份能力，启用后可锁定网站内容，特殊时期保障网站永远在线，防止网页内容被篡改。支持主动方式生成备份内容，支持自定义抓取层级和页面数；支持多个备份副本，可按需使用，同一网站支持至少5个备份副本；</w:t>
            </w:r>
          </w:p>
        </w:tc>
      </w:tr>
      <w:tr w14:paraId="413284ED">
        <w:tblPrEx>
          <w:tblCellMar>
            <w:top w:w="0" w:type="dxa"/>
            <w:left w:w="108" w:type="dxa"/>
            <w:bottom w:w="0" w:type="dxa"/>
            <w:right w:w="108" w:type="dxa"/>
          </w:tblCellMar>
        </w:tblPrEx>
        <w:trPr>
          <w:trHeight w:val="840" w:hRule="atLeast"/>
        </w:trPr>
        <w:tc>
          <w:tcPr>
            <w:tcW w:w="960" w:type="dxa"/>
            <w:vMerge w:val="continue"/>
            <w:tcBorders>
              <w:top w:val="nil"/>
              <w:left w:val="single" w:color="auto" w:sz="4" w:space="0"/>
              <w:bottom w:val="single" w:color="auto" w:sz="4" w:space="0"/>
              <w:right w:val="single" w:color="auto" w:sz="4" w:space="0"/>
            </w:tcBorders>
            <w:vAlign w:val="center"/>
          </w:tcPr>
          <w:p w14:paraId="087F3573">
            <w:pPr>
              <w:widowControl/>
              <w:spacing w:line="240" w:lineRule="auto"/>
              <w:jc w:val="left"/>
              <w:rPr>
                <w:rFonts w:cs="宋体"/>
                <w:kern w:val="0"/>
                <w:sz w:val="22"/>
                <w:szCs w:val="22"/>
              </w:rPr>
            </w:pPr>
          </w:p>
        </w:tc>
        <w:tc>
          <w:tcPr>
            <w:tcW w:w="7399" w:type="dxa"/>
            <w:tcBorders>
              <w:top w:val="nil"/>
              <w:left w:val="nil"/>
              <w:bottom w:val="single" w:color="auto" w:sz="4" w:space="0"/>
              <w:right w:val="single" w:color="auto" w:sz="4" w:space="0"/>
            </w:tcBorders>
            <w:vAlign w:val="center"/>
          </w:tcPr>
          <w:p w14:paraId="00FA2553">
            <w:pPr>
              <w:widowControl/>
              <w:spacing w:line="240" w:lineRule="auto"/>
              <w:jc w:val="left"/>
              <w:rPr>
                <w:rFonts w:cs="宋体"/>
                <w:kern w:val="0"/>
                <w:sz w:val="22"/>
                <w:szCs w:val="22"/>
              </w:rPr>
            </w:pPr>
            <w:r>
              <w:rPr>
                <w:rFonts w:hint="eastAsia" w:cs="宋体"/>
                <w:kern w:val="0"/>
                <w:sz w:val="22"/>
                <w:szCs w:val="22"/>
              </w:rPr>
              <w:t>2.具备敏感词过滤能力，平台提供默认词库，可根据需要自定义需要替换的敏感词，过滤模式支持默认、自定义和混合模式。支持忽略指定的敏感词；</w:t>
            </w:r>
          </w:p>
        </w:tc>
      </w:tr>
      <w:tr w14:paraId="45742A51">
        <w:tblPrEx>
          <w:tblCellMar>
            <w:top w:w="0" w:type="dxa"/>
            <w:left w:w="108" w:type="dxa"/>
            <w:bottom w:w="0" w:type="dxa"/>
            <w:right w:w="108" w:type="dxa"/>
          </w:tblCellMar>
        </w:tblPrEx>
        <w:trPr>
          <w:trHeight w:val="280" w:hRule="atLeast"/>
        </w:trPr>
        <w:tc>
          <w:tcPr>
            <w:tcW w:w="960" w:type="dxa"/>
            <w:vMerge w:val="restart"/>
            <w:tcBorders>
              <w:top w:val="nil"/>
              <w:left w:val="single" w:color="auto" w:sz="4" w:space="0"/>
              <w:bottom w:val="single" w:color="auto" w:sz="4" w:space="0"/>
              <w:right w:val="single" w:color="auto" w:sz="4" w:space="0"/>
            </w:tcBorders>
            <w:vAlign w:val="center"/>
          </w:tcPr>
          <w:p w14:paraId="337B593F">
            <w:pPr>
              <w:widowControl/>
              <w:spacing w:line="240" w:lineRule="auto"/>
              <w:jc w:val="left"/>
              <w:rPr>
                <w:rFonts w:cs="宋体"/>
                <w:kern w:val="0"/>
                <w:sz w:val="22"/>
                <w:szCs w:val="22"/>
              </w:rPr>
            </w:pPr>
            <w:r>
              <w:rPr>
                <w:rFonts w:hint="eastAsia" w:cs="宋体"/>
                <w:kern w:val="0"/>
                <w:sz w:val="22"/>
                <w:szCs w:val="22"/>
              </w:rPr>
              <w:t>站点配置</w:t>
            </w:r>
          </w:p>
        </w:tc>
        <w:tc>
          <w:tcPr>
            <w:tcW w:w="7399" w:type="dxa"/>
            <w:tcBorders>
              <w:top w:val="nil"/>
              <w:left w:val="nil"/>
              <w:bottom w:val="single" w:color="auto" w:sz="4" w:space="0"/>
              <w:right w:val="single" w:color="auto" w:sz="4" w:space="0"/>
            </w:tcBorders>
            <w:vAlign w:val="center"/>
          </w:tcPr>
          <w:p w14:paraId="705994AC">
            <w:pPr>
              <w:widowControl/>
              <w:spacing w:line="240" w:lineRule="auto"/>
              <w:jc w:val="left"/>
              <w:rPr>
                <w:rFonts w:cs="宋体"/>
                <w:kern w:val="0"/>
                <w:sz w:val="22"/>
                <w:szCs w:val="22"/>
              </w:rPr>
            </w:pPr>
            <w:r>
              <w:rPr>
                <w:rFonts w:hint="eastAsia" w:cs="宋体"/>
                <w:kern w:val="0"/>
                <w:sz w:val="22"/>
                <w:szCs w:val="22"/>
              </w:rPr>
              <w:t>1.具备文件上传大小自定义配置；</w:t>
            </w:r>
          </w:p>
        </w:tc>
      </w:tr>
      <w:tr w14:paraId="29FD0BD2">
        <w:tblPrEx>
          <w:tblCellMar>
            <w:top w:w="0" w:type="dxa"/>
            <w:left w:w="108" w:type="dxa"/>
            <w:bottom w:w="0" w:type="dxa"/>
            <w:right w:w="108" w:type="dxa"/>
          </w:tblCellMar>
        </w:tblPrEx>
        <w:trPr>
          <w:trHeight w:val="280" w:hRule="atLeast"/>
        </w:trPr>
        <w:tc>
          <w:tcPr>
            <w:tcW w:w="960" w:type="dxa"/>
            <w:vMerge w:val="continue"/>
            <w:tcBorders>
              <w:top w:val="nil"/>
              <w:left w:val="single" w:color="auto" w:sz="4" w:space="0"/>
              <w:bottom w:val="single" w:color="auto" w:sz="4" w:space="0"/>
              <w:right w:val="single" w:color="auto" w:sz="4" w:space="0"/>
            </w:tcBorders>
            <w:vAlign w:val="center"/>
          </w:tcPr>
          <w:p w14:paraId="6C654E66">
            <w:pPr>
              <w:widowControl/>
              <w:spacing w:line="240" w:lineRule="auto"/>
              <w:jc w:val="left"/>
              <w:rPr>
                <w:rFonts w:cs="宋体"/>
                <w:kern w:val="0"/>
                <w:sz w:val="22"/>
                <w:szCs w:val="22"/>
              </w:rPr>
            </w:pPr>
          </w:p>
        </w:tc>
        <w:tc>
          <w:tcPr>
            <w:tcW w:w="7399" w:type="dxa"/>
            <w:tcBorders>
              <w:top w:val="nil"/>
              <w:left w:val="nil"/>
              <w:bottom w:val="single" w:color="auto" w:sz="4" w:space="0"/>
              <w:right w:val="single" w:color="auto" w:sz="4" w:space="0"/>
            </w:tcBorders>
            <w:vAlign w:val="center"/>
          </w:tcPr>
          <w:p w14:paraId="14CE6065">
            <w:pPr>
              <w:widowControl/>
              <w:spacing w:line="240" w:lineRule="auto"/>
              <w:jc w:val="left"/>
              <w:rPr>
                <w:rFonts w:cs="宋体"/>
                <w:kern w:val="0"/>
                <w:sz w:val="22"/>
                <w:szCs w:val="22"/>
              </w:rPr>
            </w:pPr>
            <w:r>
              <w:rPr>
                <w:rFonts w:hint="eastAsia" w:cs="宋体"/>
                <w:kern w:val="0"/>
                <w:sz w:val="22"/>
                <w:szCs w:val="22"/>
              </w:rPr>
              <w:t>2.支持WebSocket、SSE；</w:t>
            </w:r>
          </w:p>
        </w:tc>
      </w:tr>
      <w:tr w14:paraId="7B16ED69">
        <w:tblPrEx>
          <w:tblCellMar>
            <w:top w:w="0" w:type="dxa"/>
            <w:left w:w="108" w:type="dxa"/>
            <w:bottom w:w="0" w:type="dxa"/>
            <w:right w:w="108" w:type="dxa"/>
          </w:tblCellMar>
        </w:tblPrEx>
        <w:trPr>
          <w:trHeight w:val="560" w:hRule="atLeast"/>
        </w:trPr>
        <w:tc>
          <w:tcPr>
            <w:tcW w:w="960" w:type="dxa"/>
            <w:vMerge w:val="continue"/>
            <w:tcBorders>
              <w:top w:val="nil"/>
              <w:left w:val="single" w:color="auto" w:sz="4" w:space="0"/>
              <w:bottom w:val="single" w:color="auto" w:sz="4" w:space="0"/>
              <w:right w:val="single" w:color="auto" w:sz="4" w:space="0"/>
            </w:tcBorders>
            <w:vAlign w:val="center"/>
          </w:tcPr>
          <w:p w14:paraId="24EBDDE5">
            <w:pPr>
              <w:widowControl/>
              <w:spacing w:line="240" w:lineRule="auto"/>
              <w:jc w:val="left"/>
              <w:rPr>
                <w:rFonts w:cs="宋体"/>
                <w:kern w:val="0"/>
                <w:sz w:val="22"/>
                <w:szCs w:val="22"/>
              </w:rPr>
            </w:pPr>
          </w:p>
        </w:tc>
        <w:tc>
          <w:tcPr>
            <w:tcW w:w="7399" w:type="dxa"/>
            <w:tcBorders>
              <w:top w:val="nil"/>
              <w:left w:val="nil"/>
              <w:bottom w:val="single" w:color="auto" w:sz="4" w:space="0"/>
              <w:right w:val="single" w:color="auto" w:sz="4" w:space="0"/>
            </w:tcBorders>
            <w:vAlign w:val="center"/>
          </w:tcPr>
          <w:p w14:paraId="234DC0B6">
            <w:pPr>
              <w:widowControl/>
              <w:spacing w:line="240" w:lineRule="auto"/>
              <w:jc w:val="left"/>
              <w:rPr>
                <w:rFonts w:cs="宋体"/>
                <w:kern w:val="0"/>
                <w:sz w:val="22"/>
                <w:szCs w:val="22"/>
              </w:rPr>
            </w:pPr>
            <w:r>
              <w:rPr>
                <w:rFonts w:hint="eastAsia" w:cs="宋体"/>
                <w:kern w:val="0"/>
                <w:sz w:val="22"/>
                <w:szCs w:val="22"/>
              </w:rPr>
              <w:t>3.支持回源负载均衡方式设置，负载均衡方式需要支持轮询和IP哈希；</w:t>
            </w:r>
          </w:p>
        </w:tc>
      </w:tr>
      <w:tr w14:paraId="193C05F6">
        <w:tblPrEx>
          <w:tblCellMar>
            <w:top w:w="0" w:type="dxa"/>
            <w:left w:w="108" w:type="dxa"/>
            <w:bottom w:w="0" w:type="dxa"/>
            <w:right w:w="108" w:type="dxa"/>
          </w:tblCellMar>
        </w:tblPrEx>
        <w:trPr>
          <w:trHeight w:val="280" w:hRule="atLeast"/>
        </w:trPr>
        <w:tc>
          <w:tcPr>
            <w:tcW w:w="960" w:type="dxa"/>
            <w:vMerge w:val="continue"/>
            <w:tcBorders>
              <w:top w:val="nil"/>
              <w:left w:val="single" w:color="auto" w:sz="4" w:space="0"/>
              <w:bottom w:val="single" w:color="auto" w:sz="4" w:space="0"/>
              <w:right w:val="single" w:color="auto" w:sz="4" w:space="0"/>
            </w:tcBorders>
            <w:vAlign w:val="center"/>
          </w:tcPr>
          <w:p w14:paraId="7C619689">
            <w:pPr>
              <w:widowControl/>
              <w:spacing w:line="240" w:lineRule="auto"/>
              <w:jc w:val="left"/>
              <w:rPr>
                <w:rFonts w:cs="宋体"/>
                <w:kern w:val="0"/>
                <w:sz w:val="22"/>
                <w:szCs w:val="22"/>
              </w:rPr>
            </w:pPr>
          </w:p>
        </w:tc>
        <w:tc>
          <w:tcPr>
            <w:tcW w:w="7399" w:type="dxa"/>
            <w:tcBorders>
              <w:top w:val="nil"/>
              <w:left w:val="nil"/>
              <w:bottom w:val="single" w:color="auto" w:sz="4" w:space="0"/>
              <w:right w:val="single" w:color="auto" w:sz="4" w:space="0"/>
            </w:tcBorders>
            <w:vAlign w:val="center"/>
          </w:tcPr>
          <w:p w14:paraId="5E4E2B8C">
            <w:pPr>
              <w:widowControl/>
              <w:spacing w:line="240" w:lineRule="auto"/>
              <w:jc w:val="left"/>
              <w:rPr>
                <w:rFonts w:cs="宋体"/>
                <w:kern w:val="0"/>
                <w:sz w:val="22"/>
                <w:szCs w:val="22"/>
              </w:rPr>
            </w:pPr>
            <w:r>
              <w:rPr>
                <w:rFonts w:hint="eastAsia" w:cs="宋体"/>
                <w:kern w:val="0"/>
                <w:sz w:val="22"/>
                <w:szCs w:val="22"/>
              </w:rPr>
              <w:t>4.支持回源到IP或者域名；</w:t>
            </w:r>
          </w:p>
        </w:tc>
      </w:tr>
      <w:tr w14:paraId="1A82D2C4">
        <w:tblPrEx>
          <w:tblCellMar>
            <w:top w:w="0" w:type="dxa"/>
            <w:left w:w="108" w:type="dxa"/>
            <w:bottom w:w="0" w:type="dxa"/>
            <w:right w:w="108" w:type="dxa"/>
          </w:tblCellMar>
        </w:tblPrEx>
        <w:trPr>
          <w:trHeight w:val="280" w:hRule="atLeast"/>
        </w:trPr>
        <w:tc>
          <w:tcPr>
            <w:tcW w:w="960" w:type="dxa"/>
            <w:vMerge w:val="continue"/>
            <w:tcBorders>
              <w:top w:val="nil"/>
              <w:left w:val="single" w:color="auto" w:sz="4" w:space="0"/>
              <w:bottom w:val="single" w:color="auto" w:sz="4" w:space="0"/>
              <w:right w:val="single" w:color="auto" w:sz="4" w:space="0"/>
            </w:tcBorders>
            <w:vAlign w:val="center"/>
          </w:tcPr>
          <w:p w14:paraId="3171937F">
            <w:pPr>
              <w:widowControl/>
              <w:spacing w:line="240" w:lineRule="auto"/>
              <w:jc w:val="left"/>
              <w:rPr>
                <w:rFonts w:cs="宋体"/>
                <w:kern w:val="0"/>
                <w:sz w:val="22"/>
                <w:szCs w:val="22"/>
              </w:rPr>
            </w:pPr>
          </w:p>
        </w:tc>
        <w:tc>
          <w:tcPr>
            <w:tcW w:w="7399" w:type="dxa"/>
            <w:tcBorders>
              <w:top w:val="nil"/>
              <w:left w:val="nil"/>
              <w:bottom w:val="single" w:color="auto" w:sz="4" w:space="0"/>
              <w:right w:val="single" w:color="auto" w:sz="4" w:space="0"/>
            </w:tcBorders>
            <w:vAlign w:val="center"/>
          </w:tcPr>
          <w:p w14:paraId="3E15D73F">
            <w:pPr>
              <w:widowControl/>
              <w:spacing w:line="240" w:lineRule="auto"/>
              <w:jc w:val="left"/>
              <w:rPr>
                <w:rFonts w:cs="宋体"/>
                <w:kern w:val="0"/>
                <w:sz w:val="22"/>
                <w:szCs w:val="22"/>
              </w:rPr>
            </w:pPr>
            <w:r>
              <w:rPr>
                <w:rFonts w:hint="eastAsia" w:cs="宋体"/>
                <w:kern w:val="0"/>
                <w:sz w:val="22"/>
                <w:szCs w:val="22"/>
              </w:rPr>
              <w:t>5.支持自定义回源SNI；</w:t>
            </w:r>
          </w:p>
        </w:tc>
      </w:tr>
      <w:tr w14:paraId="1C8690F0">
        <w:tblPrEx>
          <w:tblCellMar>
            <w:top w:w="0" w:type="dxa"/>
            <w:left w:w="108" w:type="dxa"/>
            <w:bottom w:w="0" w:type="dxa"/>
            <w:right w:w="108" w:type="dxa"/>
          </w:tblCellMar>
        </w:tblPrEx>
        <w:trPr>
          <w:trHeight w:val="560" w:hRule="atLeast"/>
        </w:trPr>
        <w:tc>
          <w:tcPr>
            <w:tcW w:w="960" w:type="dxa"/>
            <w:vMerge w:val="continue"/>
            <w:tcBorders>
              <w:top w:val="nil"/>
              <w:left w:val="single" w:color="auto" w:sz="4" w:space="0"/>
              <w:bottom w:val="single" w:color="auto" w:sz="4" w:space="0"/>
              <w:right w:val="single" w:color="auto" w:sz="4" w:space="0"/>
            </w:tcBorders>
            <w:vAlign w:val="center"/>
          </w:tcPr>
          <w:p w14:paraId="08CDCDAB">
            <w:pPr>
              <w:widowControl/>
              <w:spacing w:line="240" w:lineRule="auto"/>
              <w:jc w:val="left"/>
              <w:rPr>
                <w:rFonts w:cs="宋体"/>
                <w:kern w:val="0"/>
                <w:sz w:val="22"/>
                <w:szCs w:val="22"/>
              </w:rPr>
            </w:pPr>
          </w:p>
        </w:tc>
        <w:tc>
          <w:tcPr>
            <w:tcW w:w="7399" w:type="dxa"/>
            <w:tcBorders>
              <w:top w:val="nil"/>
              <w:left w:val="nil"/>
              <w:bottom w:val="single" w:color="auto" w:sz="4" w:space="0"/>
              <w:right w:val="single" w:color="auto" w:sz="4" w:space="0"/>
            </w:tcBorders>
            <w:vAlign w:val="center"/>
          </w:tcPr>
          <w:p w14:paraId="4DCA0BB9">
            <w:pPr>
              <w:widowControl/>
              <w:spacing w:line="240" w:lineRule="auto"/>
              <w:jc w:val="left"/>
              <w:rPr>
                <w:rFonts w:cs="宋体"/>
                <w:kern w:val="0"/>
                <w:sz w:val="22"/>
                <w:szCs w:val="22"/>
              </w:rPr>
            </w:pPr>
            <w:r>
              <w:rPr>
                <w:rFonts w:hint="eastAsia" w:cs="宋体"/>
                <w:kern w:val="0"/>
                <w:sz w:val="22"/>
                <w:szCs w:val="22"/>
              </w:rPr>
              <w:t>6.支持回源新建链接超时时间、读连接超时时间、写连接超时时间自定义；支持启用回源长连接、支持启用回源重试；</w:t>
            </w:r>
          </w:p>
        </w:tc>
      </w:tr>
      <w:tr w14:paraId="40DE4061">
        <w:tblPrEx>
          <w:tblCellMar>
            <w:top w:w="0" w:type="dxa"/>
            <w:left w:w="108" w:type="dxa"/>
            <w:bottom w:w="0" w:type="dxa"/>
            <w:right w:w="108" w:type="dxa"/>
          </w:tblCellMar>
        </w:tblPrEx>
        <w:trPr>
          <w:trHeight w:val="280" w:hRule="atLeast"/>
        </w:trPr>
        <w:tc>
          <w:tcPr>
            <w:tcW w:w="960" w:type="dxa"/>
            <w:vMerge w:val="restart"/>
            <w:tcBorders>
              <w:top w:val="nil"/>
              <w:left w:val="single" w:color="auto" w:sz="4" w:space="0"/>
              <w:bottom w:val="single" w:color="auto" w:sz="4" w:space="0"/>
              <w:right w:val="single" w:color="auto" w:sz="4" w:space="0"/>
            </w:tcBorders>
            <w:vAlign w:val="center"/>
          </w:tcPr>
          <w:p w14:paraId="6AB270E6">
            <w:pPr>
              <w:widowControl/>
              <w:spacing w:line="240" w:lineRule="auto"/>
              <w:jc w:val="left"/>
              <w:rPr>
                <w:rFonts w:cs="宋体"/>
                <w:kern w:val="0"/>
                <w:sz w:val="22"/>
                <w:szCs w:val="22"/>
              </w:rPr>
            </w:pPr>
            <w:r>
              <w:rPr>
                <w:rFonts w:hint="eastAsia" w:cs="宋体"/>
                <w:kern w:val="0"/>
                <w:sz w:val="22"/>
                <w:szCs w:val="22"/>
              </w:rPr>
              <w:t>加速配置</w:t>
            </w:r>
          </w:p>
        </w:tc>
        <w:tc>
          <w:tcPr>
            <w:tcW w:w="7399" w:type="dxa"/>
            <w:tcBorders>
              <w:top w:val="nil"/>
              <w:left w:val="nil"/>
              <w:bottom w:val="single" w:color="auto" w:sz="4" w:space="0"/>
              <w:right w:val="single" w:color="auto" w:sz="4" w:space="0"/>
            </w:tcBorders>
            <w:vAlign w:val="center"/>
          </w:tcPr>
          <w:p w14:paraId="76BBC364">
            <w:pPr>
              <w:widowControl/>
              <w:spacing w:line="240" w:lineRule="auto"/>
              <w:jc w:val="left"/>
              <w:rPr>
                <w:rFonts w:cs="宋体"/>
                <w:kern w:val="0"/>
                <w:sz w:val="22"/>
                <w:szCs w:val="22"/>
              </w:rPr>
            </w:pPr>
            <w:r>
              <w:rPr>
                <w:rFonts w:hint="eastAsia" w:cs="宋体"/>
                <w:kern w:val="0"/>
                <w:sz w:val="22"/>
                <w:szCs w:val="22"/>
              </w:rPr>
              <w:t>1.支持js、css和html页面压缩能力；</w:t>
            </w:r>
          </w:p>
        </w:tc>
      </w:tr>
      <w:tr w14:paraId="589BE406">
        <w:tblPrEx>
          <w:tblCellMar>
            <w:top w:w="0" w:type="dxa"/>
            <w:left w:w="108" w:type="dxa"/>
            <w:bottom w:w="0" w:type="dxa"/>
            <w:right w:w="108" w:type="dxa"/>
          </w:tblCellMar>
        </w:tblPrEx>
        <w:trPr>
          <w:trHeight w:val="840" w:hRule="atLeast"/>
        </w:trPr>
        <w:tc>
          <w:tcPr>
            <w:tcW w:w="960" w:type="dxa"/>
            <w:vMerge w:val="continue"/>
            <w:tcBorders>
              <w:top w:val="nil"/>
              <w:left w:val="single" w:color="auto" w:sz="4" w:space="0"/>
              <w:bottom w:val="single" w:color="auto" w:sz="4" w:space="0"/>
              <w:right w:val="single" w:color="auto" w:sz="4" w:space="0"/>
            </w:tcBorders>
            <w:vAlign w:val="center"/>
          </w:tcPr>
          <w:p w14:paraId="10C1BF22">
            <w:pPr>
              <w:widowControl/>
              <w:spacing w:line="240" w:lineRule="auto"/>
              <w:jc w:val="left"/>
              <w:rPr>
                <w:rFonts w:cs="宋体"/>
                <w:kern w:val="0"/>
                <w:sz w:val="22"/>
                <w:szCs w:val="22"/>
              </w:rPr>
            </w:pPr>
          </w:p>
        </w:tc>
        <w:tc>
          <w:tcPr>
            <w:tcW w:w="7399" w:type="dxa"/>
            <w:tcBorders>
              <w:top w:val="nil"/>
              <w:left w:val="nil"/>
              <w:bottom w:val="single" w:color="auto" w:sz="4" w:space="0"/>
              <w:right w:val="single" w:color="auto" w:sz="4" w:space="0"/>
            </w:tcBorders>
            <w:vAlign w:val="center"/>
          </w:tcPr>
          <w:p w14:paraId="1344DEEF">
            <w:pPr>
              <w:widowControl/>
              <w:spacing w:line="240" w:lineRule="auto"/>
              <w:jc w:val="left"/>
              <w:rPr>
                <w:rFonts w:cs="宋体"/>
                <w:kern w:val="0"/>
                <w:sz w:val="22"/>
                <w:szCs w:val="22"/>
              </w:rPr>
            </w:pPr>
            <w:r>
              <w:rPr>
                <w:rFonts w:hint="eastAsia" w:cs="宋体"/>
                <w:kern w:val="0"/>
                <w:sz w:val="22"/>
                <w:szCs w:val="22"/>
              </w:rPr>
              <w:t>2.支持自定义CDN缓存规则，需支持后缀名、路径和目录设置，缓存时间设置支持秒为单位；缓存规则支持忽略请求头中Cache-Control和pragma、支持缓存时忽略URL中参数；</w:t>
            </w:r>
          </w:p>
        </w:tc>
      </w:tr>
      <w:tr w14:paraId="322698D5">
        <w:tblPrEx>
          <w:tblCellMar>
            <w:top w:w="0" w:type="dxa"/>
            <w:left w:w="108" w:type="dxa"/>
            <w:bottom w:w="0" w:type="dxa"/>
            <w:right w:w="108" w:type="dxa"/>
          </w:tblCellMar>
        </w:tblPrEx>
        <w:trPr>
          <w:trHeight w:val="280" w:hRule="atLeast"/>
        </w:trPr>
        <w:tc>
          <w:tcPr>
            <w:tcW w:w="960" w:type="dxa"/>
            <w:vMerge w:val="continue"/>
            <w:tcBorders>
              <w:top w:val="nil"/>
              <w:left w:val="single" w:color="auto" w:sz="4" w:space="0"/>
              <w:bottom w:val="single" w:color="auto" w:sz="4" w:space="0"/>
              <w:right w:val="single" w:color="auto" w:sz="4" w:space="0"/>
            </w:tcBorders>
            <w:vAlign w:val="center"/>
          </w:tcPr>
          <w:p w14:paraId="54BAE1D1">
            <w:pPr>
              <w:widowControl/>
              <w:spacing w:line="240" w:lineRule="auto"/>
              <w:jc w:val="left"/>
              <w:rPr>
                <w:rFonts w:cs="宋体"/>
                <w:kern w:val="0"/>
                <w:sz w:val="22"/>
                <w:szCs w:val="22"/>
              </w:rPr>
            </w:pPr>
          </w:p>
        </w:tc>
        <w:tc>
          <w:tcPr>
            <w:tcW w:w="7399" w:type="dxa"/>
            <w:tcBorders>
              <w:top w:val="nil"/>
              <w:left w:val="nil"/>
              <w:bottom w:val="single" w:color="auto" w:sz="4" w:space="0"/>
              <w:right w:val="single" w:color="auto" w:sz="4" w:space="0"/>
            </w:tcBorders>
            <w:vAlign w:val="center"/>
          </w:tcPr>
          <w:p w14:paraId="185F39D5">
            <w:pPr>
              <w:widowControl/>
              <w:spacing w:line="240" w:lineRule="auto"/>
              <w:jc w:val="left"/>
              <w:rPr>
                <w:rFonts w:cs="宋体"/>
                <w:kern w:val="0"/>
                <w:sz w:val="22"/>
                <w:szCs w:val="22"/>
              </w:rPr>
            </w:pPr>
            <w:r>
              <w:rPr>
                <w:rFonts w:hint="eastAsia" w:cs="宋体"/>
                <w:kern w:val="0"/>
                <w:sz w:val="22"/>
                <w:szCs w:val="22"/>
              </w:rPr>
              <w:t>3.支持IPv6，以满足网站支持IPv4和IPv6双栈需求；</w:t>
            </w:r>
          </w:p>
        </w:tc>
      </w:tr>
      <w:tr w14:paraId="60E33B7B">
        <w:tblPrEx>
          <w:tblCellMar>
            <w:top w:w="0" w:type="dxa"/>
            <w:left w:w="108" w:type="dxa"/>
            <w:bottom w:w="0" w:type="dxa"/>
            <w:right w:w="108" w:type="dxa"/>
          </w:tblCellMar>
        </w:tblPrEx>
        <w:trPr>
          <w:trHeight w:val="280" w:hRule="atLeast"/>
        </w:trPr>
        <w:tc>
          <w:tcPr>
            <w:tcW w:w="960" w:type="dxa"/>
            <w:vMerge w:val="continue"/>
            <w:tcBorders>
              <w:top w:val="nil"/>
              <w:left w:val="single" w:color="auto" w:sz="4" w:space="0"/>
              <w:bottom w:val="single" w:color="auto" w:sz="4" w:space="0"/>
              <w:right w:val="single" w:color="auto" w:sz="4" w:space="0"/>
            </w:tcBorders>
            <w:vAlign w:val="center"/>
          </w:tcPr>
          <w:p w14:paraId="524F06CB">
            <w:pPr>
              <w:widowControl/>
              <w:spacing w:line="240" w:lineRule="auto"/>
              <w:jc w:val="left"/>
              <w:rPr>
                <w:rFonts w:cs="宋体"/>
                <w:kern w:val="0"/>
                <w:sz w:val="22"/>
                <w:szCs w:val="22"/>
              </w:rPr>
            </w:pPr>
          </w:p>
        </w:tc>
        <w:tc>
          <w:tcPr>
            <w:tcW w:w="7399" w:type="dxa"/>
            <w:tcBorders>
              <w:top w:val="nil"/>
              <w:left w:val="nil"/>
              <w:bottom w:val="single" w:color="auto" w:sz="4" w:space="0"/>
              <w:right w:val="single" w:color="auto" w:sz="4" w:space="0"/>
            </w:tcBorders>
            <w:vAlign w:val="center"/>
          </w:tcPr>
          <w:p w14:paraId="3A7FB654">
            <w:pPr>
              <w:widowControl/>
              <w:spacing w:line="240" w:lineRule="auto"/>
              <w:jc w:val="left"/>
              <w:rPr>
                <w:rFonts w:cs="宋体"/>
                <w:kern w:val="0"/>
                <w:sz w:val="22"/>
                <w:szCs w:val="22"/>
              </w:rPr>
            </w:pPr>
            <w:r>
              <w:rPr>
                <w:rFonts w:hint="eastAsia" w:cs="宋体"/>
                <w:kern w:val="0"/>
                <w:sz w:val="22"/>
                <w:szCs w:val="22"/>
              </w:rPr>
              <w:t>4.支持HTTP、HTTPS、HTTP2.0、HSTS、HTTP强制跳转HTTPS；</w:t>
            </w:r>
          </w:p>
        </w:tc>
      </w:tr>
      <w:tr w14:paraId="2971E1DE">
        <w:tblPrEx>
          <w:tblCellMar>
            <w:top w:w="0" w:type="dxa"/>
            <w:left w:w="108" w:type="dxa"/>
            <w:bottom w:w="0" w:type="dxa"/>
            <w:right w:w="108" w:type="dxa"/>
          </w:tblCellMar>
        </w:tblPrEx>
        <w:trPr>
          <w:trHeight w:val="280" w:hRule="atLeast"/>
        </w:trPr>
        <w:tc>
          <w:tcPr>
            <w:tcW w:w="960" w:type="dxa"/>
            <w:vMerge w:val="continue"/>
            <w:tcBorders>
              <w:top w:val="nil"/>
              <w:left w:val="single" w:color="auto" w:sz="4" w:space="0"/>
              <w:bottom w:val="single" w:color="auto" w:sz="4" w:space="0"/>
              <w:right w:val="single" w:color="auto" w:sz="4" w:space="0"/>
            </w:tcBorders>
            <w:vAlign w:val="center"/>
          </w:tcPr>
          <w:p w14:paraId="2866C834">
            <w:pPr>
              <w:widowControl/>
              <w:spacing w:line="240" w:lineRule="auto"/>
              <w:jc w:val="left"/>
              <w:rPr>
                <w:rFonts w:cs="宋体"/>
                <w:kern w:val="0"/>
                <w:sz w:val="22"/>
                <w:szCs w:val="22"/>
              </w:rPr>
            </w:pPr>
          </w:p>
        </w:tc>
        <w:tc>
          <w:tcPr>
            <w:tcW w:w="7399" w:type="dxa"/>
            <w:tcBorders>
              <w:top w:val="nil"/>
              <w:left w:val="nil"/>
              <w:bottom w:val="single" w:color="auto" w:sz="4" w:space="0"/>
              <w:right w:val="single" w:color="auto" w:sz="4" w:space="0"/>
            </w:tcBorders>
            <w:vAlign w:val="center"/>
          </w:tcPr>
          <w:p w14:paraId="1874DDAA">
            <w:pPr>
              <w:widowControl/>
              <w:spacing w:line="240" w:lineRule="auto"/>
              <w:jc w:val="left"/>
              <w:rPr>
                <w:rFonts w:cs="宋体"/>
                <w:kern w:val="0"/>
                <w:sz w:val="22"/>
                <w:szCs w:val="22"/>
              </w:rPr>
            </w:pPr>
            <w:r>
              <w:rPr>
                <w:rFonts w:hint="eastAsia" w:cs="宋体"/>
                <w:kern w:val="0"/>
                <w:sz w:val="22"/>
                <w:szCs w:val="22"/>
              </w:rPr>
              <w:t>5.支持自定义500、502/504和404状态码错误页面；</w:t>
            </w:r>
          </w:p>
        </w:tc>
      </w:tr>
      <w:tr w14:paraId="18EA0E80">
        <w:tblPrEx>
          <w:tblCellMar>
            <w:top w:w="0" w:type="dxa"/>
            <w:left w:w="108" w:type="dxa"/>
            <w:bottom w:w="0" w:type="dxa"/>
            <w:right w:w="108" w:type="dxa"/>
          </w:tblCellMar>
        </w:tblPrEx>
        <w:trPr>
          <w:trHeight w:val="280" w:hRule="atLeast"/>
        </w:trPr>
        <w:tc>
          <w:tcPr>
            <w:tcW w:w="960" w:type="dxa"/>
            <w:vMerge w:val="continue"/>
            <w:tcBorders>
              <w:top w:val="nil"/>
              <w:left w:val="single" w:color="auto" w:sz="4" w:space="0"/>
              <w:bottom w:val="single" w:color="auto" w:sz="4" w:space="0"/>
              <w:right w:val="single" w:color="auto" w:sz="4" w:space="0"/>
            </w:tcBorders>
            <w:vAlign w:val="center"/>
          </w:tcPr>
          <w:p w14:paraId="291F8514">
            <w:pPr>
              <w:widowControl/>
              <w:spacing w:line="240" w:lineRule="auto"/>
              <w:jc w:val="left"/>
              <w:rPr>
                <w:rFonts w:cs="宋体"/>
                <w:kern w:val="0"/>
                <w:sz w:val="22"/>
                <w:szCs w:val="22"/>
              </w:rPr>
            </w:pPr>
          </w:p>
        </w:tc>
        <w:tc>
          <w:tcPr>
            <w:tcW w:w="7399" w:type="dxa"/>
            <w:tcBorders>
              <w:top w:val="nil"/>
              <w:left w:val="nil"/>
              <w:bottom w:val="single" w:color="auto" w:sz="4" w:space="0"/>
              <w:right w:val="single" w:color="auto" w:sz="4" w:space="0"/>
            </w:tcBorders>
            <w:vAlign w:val="center"/>
          </w:tcPr>
          <w:p w14:paraId="3CA9C359">
            <w:pPr>
              <w:widowControl/>
              <w:spacing w:line="240" w:lineRule="auto"/>
              <w:jc w:val="left"/>
              <w:rPr>
                <w:rFonts w:cs="宋体"/>
                <w:kern w:val="0"/>
                <w:sz w:val="22"/>
                <w:szCs w:val="22"/>
              </w:rPr>
            </w:pPr>
            <w:r>
              <w:rPr>
                <w:rFonts w:hint="eastAsia" w:cs="宋体"/>
                <w:kern w:val="0"/>
                <w:sz w:val="22"/>
                <w:szCs w:val="22"/>
              </w:rPr>
              <w:t>6.支持自定义HTTP响应头和HTTP请求头；</w:t>
            </w:r>
          </w:p>
        </w:tc>
      </w:tr>
      <w:tr w14:paraId="084B739B">
        <w:tblPrEx>
          <w:tblCellMar>
            <w:top w:w="0" w:type="dxa"/>
            <w:left w:w="108" w:type="dxa"/>
            <w:bottom w:w="0" w:type="dxa"/>
            <w:right w:w="108" w:type="dxa"/>
          </w:tblCellMar>
        </w:tblPrEx>
        <w:trPr>
          <w:trHeight w:val="560" w:hRule="atLeast"/>
        </w:trPr>
        <w:tc>
          <w:tcPr>
            <w:tcW w:w="960" w:type="dxa"/>
            <w:vMerge w:val="restart"/>
            <w:tcBorders>
              <w:top w:val="nil"/>
              <w:left w:val="single" w:color="auto" w:sz="4" w:space="0"/>
              <w:bottom w:val="single" w:color="auto" w:sz="4" w:space="0"/>
              <w:right w:val="single" w:color="auto" w:sz="4" w:space="0"/>
            </w:tcBorders>
            <w:vAlign w:val="center"/>
          </w:tcPr>
          <w:p w14:paraId="48245B9E">
            <w:pPr>
              <w:widowControl/>
              <w:spacing w:line="240" w:lineRule="auto"/>
              <w:jc w:val="left"/>
              <w:rPr>
                <w:rFonts w:cs="宋体"/>
                <w:kern w:val="0"/>
                <w:sz w:val="22"/>
                <w:szCs w:val="22"/>
              </w:rPr>
            </w:pPr>
            <w:r>
              <w:rPr>
                <w:rFonts w:hint="eastAsia" w:cs="宋体"/>
                <w:kern w:val="0"/>
                <w:sz w:val="22"/>
                <w:szCs w:val="22"/>
              </w:rPr>
              <w:t>日志报告</w:t>
            </w:r>
          </w:p>
        </w:tc>
        <w:tc>
          <w:tcPr>
            <w:tcW w:w="7399" w:type="dxa"/>
            <w:tcBorders>
              <w:top w:val="nil"/>
              <w:left w:val="nil"/>
              <w:bottom w:val="single" w:color="auto" w:sz="4" w:space="0"/>
              <w:right w:val="single" w:color="auto" w:sz="4" w:space="0"/>
            </w:tcBorders>
            <w:vAlign w:val="center"/>
          </w:tcPr>
          <w:p w14:paraId="5AFECA64">
            <w:pPr>
              <w:widowControl/>
              <w:spacing w:line="240" w:lineRule="auto"/>
              <w:jc w:val="left"/>
              <w:rPr>
                <w:rFonts w:cs="宋体"/>
                <w:kern w:val="0"/>
                <w:sz w:val="22"/>
                <w:szCs w:val="22"/>
              </w:rPr>
            </w:pPr>
            <w:r>
              <w:rPr>
                <w:rFonts w:hint="eastAsia" w:cs="宋体"/>
                <w:kern w:val="0"/>
                <w:sz w:val="22"/>
                <w:szCs w:val="22"/>
              </w:rPr>
              <w:t>1.安全日志存储不低于6个月；支持在线日志查询，支持通过IP、区域、威胁等级、处置动作等进行日志筛选；</w:t>
            </w:r>
          </w:p>
        </w:tc>
      </w:tr>
      <w:tr w14:paraId="676B043E">
        <w:tblPrEx>
          <w:tblCellMar>
            <w:top w:w="0" w:type="dxa"/>
            <w:left w:w="108" w:type="dxa"/>
            <w:bottom w:w="0" w:type="dxa"/>
            <w:right w:w="108" w:type="dxa"/>
          </w:tblCellMar>
        </w:tblPrEx>
        <w:trPr>
          <w:trHeight w:val="560" w:hRule="atLeast"/>
        </w:trPr>
        <w:tc>
          <w:tcPr>
            <w:tcW w:w="960" w:type="dxa"/>
            <w:vMerge w:val="continue"/>
            <w:tcBorders>
              <w:top w:val="nil"/>
              <w:left w:val="single" w:color="auto" w:sz="4" w:space="0"/>
              <w:bottom w:val="single" w:color="auto" w:sz="4" w:space="0"/>
              <w:right w:val="single" w:color="auto" w:sz="4" w:space="0"/>
            </w:tcBorders>
            <w:vAlign w:val="center"/>
          </w:tcPr>
          <w:p w14:paraId="518057F1">
            <w:pPr>
              <w:widowControl/>
              <w:spacing w:line="240" w:lineRule="auto"/>
              <w:jc w:val="left"/>
              <w:rPr>
                <w:rFonts w:cs="宋体"/>
                <w:kern w:val="0"/>
                <w:sz w:val="22"/>
                <w:szCs w:val="22"/>
              </w:rPr>
            </w:pPr>
          </w:p>
        </w:tc>
        <w:tc>
          <w:tcPr>
            <w:tcW w:w="7399" w:type="dxa"/>
            <w:tcBorders>
              <w:top w:val="nil"/>
              <w:left w:val="nil"/>
              <w:bottom w:val="single" w:color="auto" w:sz="4" w:space="0"/>
              <w:right w:val="single" w:color="auto" w:sz="4" w:space="0"/>
            </w:tcBorders>
            <w:vAlign w:val="center"/>
          </w:tcPr>
          <w:p w14:paraId="042950C1">
            <w:pPr>
              <w:widowControl/>
              <w:spacing w:line="240" w:lineRule="auto"/>
              <w:jc w:val="left"/>
              <w:rPr>
                <w:rFonts w:cs="宋体"/>
                <w:kern w:val="0"/>
                <w:sz w:val="22"/>
                <w:szCs w:val="22"/>
              </w:rPr>
            </w:pPr>
            <w:r>
              <w:rPr>
                <w:rFonts w:hint="eastAsia" w:cs="宋体"/>
                <w:kern w:val="0"/>
                <w:sz w:val="22"/>
                <w:szCs w:val="22"/>
              </w:rPr>
              <w:t>2.具备安全服务报告功能，支持按计划生成，支持word和pdf格式；</w:t>
            </w:r>
          </w:p>
        </w:tc>
      </w:tr>
    </w:tbl>
    <w:p w14:paraId="62A45CAD">
      <w:pPr>
        <w:widowControl/>
        <w:spacing w:line="240" w:lineRule="auto"/>
        <w:jc w:val="left"/>
      </w:pPr>
    </w:p>
    <w:p w14:paraId="0B500DE5">
      <w:pPr>
        <w:widowControl/>
        <w:spacing w:line="240" w:lineRule="auto"/>
        <w:jc w:val="left"/>
      </w:pPr>
    </w:p>
    <w:p w14:paraId="3B13E563">
      <w:pPr>
        <w:pStyle w:val="4"/>
      </w:pPr>
      <w:r>
        <w:t>医疗文档云订阅服务</w:t>
      </w:r>
    </w:p>
    <w:tbl>
      <w:tblPr>
        <w:tblStyle w:val="17"/>
        <w:tblW w:w="8513" w:type="dxa"/>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8"/>
        <w:gridCol w:w="7475"/>
      </w:tblGrid>
      <w:tr w14:paraId="3EE8C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38" w:type="dxa"/>
            <w:vAlign w:val="center"/>
          </w:tcPr>
          <w:p w14:paraId="1B57F739">
            <w:pPr>
              <w:widowControl/>
              <w:jc w:val="left"/>
              <w:textAlignment w:val="center"/>
              <w:rPr>
                <w:rFonts w:cs="宋体" w:asciiTheme="minorEastAsia" w:hAnsiTheme="minorEastAsia" w:eastAsiaTheme="minorEastAsia"/>
                <w:kern w:val="0"/>
                <w:sz w:val="22"/>
                <w:szCs w:val="22"/>
              </w:rPr>
            </w:pPr>
            <w:r>
              <w:rPr>
                <w:rFonts w:cs="宋体" w:asciiTheme="minorEastAsia" w:hAnsiTheme="minorEastAsia" w:eastAsiaTheme="minorEastAsia"/>
                <w:kern w:val="0"/>
                <w:sz w:val="22"/>
                <w:szCs w:val="22"/>
              </w:rPr>
              <w:t>指标项</w:t>
            </w:r>
          </w:p>
        </w:tc>
        <w:tc>
          <w:tcPr>
            <w:tcW w:w="7475" w:type="dxa"/>
            <w:vAlign w:val="center"/>
          </w:tcPr>
          <w:p w14:paraId="7C679832">
            <w:pPr>
              <w:rPr>
                <w:rFonts w:asciiTheme="minorEastAsia" w:hAnsiTheme="minorEastAsia" w:eastAsiaTheme="minorEastAsia"/>
                <w:sz w:val="22"/>
                <w:szCs w:val="22"/>
              </w:rPr>
            </w:pPr>
            <w:r>
              <w:rPr>
                <w:rFonts w:asciiTheme="minorEastAsia" w:hAnsiTheme="minorEastAsia" w:eastAsiaTheme="minorEastAsia"/>
                <w:sz w:val="22"/>
                <w:szCs w:val="22"/>
              </w:rPr>
              <w:t>指标要求</w:t>
            </w:r>
          </w:p>
        </w:tc>
      </w:tr>
      <w:tr w14:paraId="7072F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38" w:type="dxa"/>
            <w:vAlign w:val="center"/>
          </w:tcPr>
          <w:p w14:paraId="1B48657B">
            <w:pPr>
              <w:widowControl/>
              <w:jc w:val="left"/>
              <w:textAlignment w:val="center"/>
              <w:rPr>
                <w:rFonts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授权数量</w:t>
            </w:r>
          </w:p>
        </w:tc>
        <w:tc>
          <w:tcPr>
            <w:tcW w:w="7475" w:type="dxa"/>
            <w:vAlign w:val="center"/>
          </w:tcPr>
          <w:p w14:paraId="47E1425B">
            <w:pPr>
              <w:rPr>
                <w:rFonts w:asciiTheme="minorEastAsia" w:hAnsiTheme="minorEastAsia" w:eastAsiaTheme="minorEastAsia"/>
                <w:sz w:val="22"/>
                <w:szCs w:val="22"/>
              </w:rPr>
            </w:pPr>
            <w:r>
              <w:rPr>
                <w:rFonts w:asciiTheme="minorEastAsia" w:hAnsiTheme="minorEastAsia" w:eastAsiaTheme="minorEastAsia"/>
                <w:sz w:val="22"/>
                <w:szCs w:val="22"/>
              </w:rPr>
              <w:t>1年服务形式的使用授权；</w:t>
            </w:r>
            <w:r>
              <w:rPr>
                <w:rFonts w:hint="eastAsia" w:asciiTheme="minorEastAsia" w:hAnsiTheme="minorEastAsia" w:eastAsiaTheme="minorEastAsia"/>
                <w:sz w:val="22"/>
                <w:szCs w:val="22"/>
              </w:rPr>
              <w:t>本地一套（含</w:t>
            </w:r>
            <w:r>
              <w:rPr>
                <w:rFonts w:asciiTheme="minorEastAsia" w:hAnsiTheme="minorEastAsia" w:eastAsiaTheme="minorEastAsia"/>
                <w:sz w:val="22"/>
                <w:szCs w:val="22"/>
              </w:rPr>
              <w:t>500</w:t>
            </w:r>
            <w:r>
              <w:rPr>
                <w:rFonts w:hint="eastAsia" w:asciiTheme="minorEastAsia" w:hAnsiTheme="minorEastAsia" w:eastAsiaTheme="minorEastAsia"/>
                <w:sz w:val="22"/>
                <w:szCs w:val="22"/>
              </w:rPr>
              <w:t>点用户），公有云一套（含</w:t>
            </w:r>
            <w:r>
              <w:rPr>
                <w:rFonts w:asciiTheme="minorEastAsia" w:hAnsiTheme="minorEastAsia" w:eastAsiaTheme="minorEastAsia"/>
                <w:sz w:val="22"/>
                <w:szCs w:val="22"/>
              </w:rPr>
              <w:t>200</w:t>
            </w:r>
            <w:r>
              <w:rPr>
                <w:rFonts w:hint="eastAsia" w:asciiTheme="minorEastAsia" w:hAnsiTheme="minorEastAsia" w:eastAsiaTheme="minorEastAsia"/>
                <w:sz w:val="22"/>
                <w:szCs w:val="22"/>
              </w:rPr>
              <w:t>点用户）与医院现有系统兼容，提供云服务器资源。提供服务期内的培训服务，指导各科室新员工使用，有问题反馈及时处理，协助医院推行U盘禁用。</w:t>
            </w:r>
          </w:p>
        </w:tc>
      </w:tr>
      <w:tr w14:paraId="26FF1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38" w:type="dxa"/>
            <w:vAlign w:val="center"/>
          </w:tcPr>
          <w:p w14:paraId="0DF429DF">
            <w:pPr>
              <w:widowControl/>
              <w:jc w:val="left"/>
              <w:textAlignment w:val="center"/>
              <w:rPr>
                <w:rFonts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lang w:eastAsia="zh-Hans"/>
              </w:rPr>
              <w:t>基本要求</w:t>
            </w:r>
          </w:p>
        </w:tc>
        <w:tc>
          <w:tcPr>
            <w:tcW w:w="7475" w:type="dxa"/>
            <w:vAlign w:val="center"/>
          </w:tcPr>
          <w:p w14:paraId="3FA05ECC">
            <w:pPr>
              <w:rPr>
                <w:rFonts w:asciiTheme="minorEastAsia" w:hAnsiTheme="minorEastAsia" w:eastAsiaTheme="minorEastAsia"/>
                <w:sz w:val="22"/>
                <w:szCs w:val="22"/>
              </w:rPr>
            </w:pPr>
            <w:r>
              <w:rPr>
                <w:rFonts w:hint="eastAsia" w:asciiTheme="minorEastAsia" w:hAnsiTheme="minorEastAsia" w:eastAsiaTheme="minorEastAsia"/>
                <w:sz w:val="22"/>
                <w:szCs w:val="22"/>
              </w:rPr>
              <w:t>投标产品为国产品牌，非OEM产品，软硬一体化专用设备；采用分布式数据处理机制，实现数据的并行处理；采用多副本冗余技术，保证每个数据都会通过读写一致性冗余技术确保存放在不同的硬盘上面，任何一个硬盘损坏都不会影响数据完整性。本项目最终交付的平台具备</w:t>
            </w:r>
            <w:r>
              <w:rPr>
                <w:rFonts w:asciiTheme="minorEastAsia" w:hAnsiTheme="minorEastAsia" w:eastAsiaTheme="minorEastAsia"/>
                <w:sz w:val="22"/>
                <w:szCs w:val="22"/>
              </w:rPr>
              <w:t>100个</w:t>
            </w:r>
            <w:r>
              <w:rPr>
                <w:rFonts w:hint="eastAsia" w:asciiTheme="minorEastAsia" w:hAnsiTheme="minorEastAsia" w:eastAsiaTheme="minorEastAsia"/>
                <w:sz w:val="22"/>
                <w:szCs w:val="22"/>
              </w:rPr>
              <w:t>同时使用的授权许可和一年订阅服务续费,基于Windows、Linux、MacOS、安卓、鸿蒙系统的客户端程序，实现PC和移动端同时使用的功能。</w:t>
            </w:r>
          </w:p>
        </w:tc>
      </w:tr>
      <w:tr w14:paraId="057A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38" w:type="dxa"/>
            <w:vAlign w:val="center"/>
          </w:tcPr>
          <w:p w14:paraId="7E2EA30E">
            <w:pPr>
              <w:widowControl/>
              <w:jc w:val="left"/>
              <w:textAlignment w:val="center"/>
              <w:rPr>
                <w:rFonts w:cs="宋体" w:asciiTheme="minorEastAsia" w:hAnsiTheme="minorEastAsia" w:eastAsiaTheme="minorEastAsia"/>
                <w:sz w:val="22"/>
                <w:szCs w:val="22"/>
              </w:rPr>
            </w:pPr>
            <w:r>
              <w:rPr>
                <w:rFonts w:hint="eastAsia" w:cs="宋体" w:asciiTheme="minorEastAsia" w:hAnsiTheme="minorEastAsia" w:eastAsiaTheme="minorEastAsia"/>
                <w:kern w:val="0"/>
                <w:sz w:val="22"/>
                <w:szCs w:val="22"/>
                <w:lang w:eastAsia="zh-Hans"/>
              </w:rPr>
              <w:t>PDF内容管理</w:t>
            </w:r>
          </w:p>
        </w:tc>
        <w:tc>
          <w:tcPr>
            <w:tcW w:w="7475" w:type="dxa"/>
            <w:vAlign w:val="center"/>
          </w:tcPr>
          <w:p w14:paraId="6C9E710C">
            <w:pPr>
              <w:rPr>
                <w:rFonts w:asciiTheme="minorEastAsia" w:hAnsiTheme="minorEastAsia" w:eastAsiaTheme="minorEastAsia"/>
                <w:sz w:val="22"/>
                <w:szCs w:val="22"/>
              </w:rPr>
            </w:pPr>
            <w:r>
              <w:rPr>
                <w:rFonts w:asciiTheme="minorEastAsia" w:hAnsiTheme="minorEastAsia" w:eastAsiaTheme="minorEastAsia"/>
                <w:sz w:val="22"/>
                <w:szCs w:val="22"/>
              </w:rPr>
              <w:t>PDF内容标注：支持与PDF阅读器集成，可以将Office转换为PDF格式进行预览，并支持对PDF文件提供预览及下载水印、文件标注、涂鸦、内容搜索、电子签名等功能</w:t>
            </w:r>
            <w:r>
              <w:rPr>
                <w:rFonts w:hint="eastAsia" w:asciiTheme="minorEastAsia" w:hAnsiTheme="minorEastAsia" w:eastAsiaTheme="minorEastAsia"/>
                <w:sz w:val="22"/>
                <w:szCs w:val="22"/>
              </w:rPr>
              <w:t>。</w:t>
            </w:r>
          </w:p>
        </w:tc>
      </w:tr>
      <w:tr w14:paraId="24164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38" w:type="dxa"/>
            <w:vAlign w:val="center"/>
          </w:tcPr>
          <w:p w14:paraId="3C97BF9A">
            <w:pPr>
              <w:widowControl/>
              <w:jc w:val="left"/>
              <w:textAlignment w:val="center"/>
              <w:rPr>
                <w:rFonts w:cs="宋体" w:asciiTheme="minorEastAsia" w:hAnsiTheme="minorEastAsia" w:eastAsiaTheme="minorEastAsia"/>
                <w:sz w:val="22"/>
                <w:szCs w:val="22"/>
              </w:rPr>
            </w:pPr>
            <w:r>
              <w:rPr>
                <w:rFonts w:hint="eastAsia" w:cs="宋体" w:asciiTheme="minorEastAsia" w:hAnsiTheme="minorEastAsia" w:eastAsiaTheme="minorEastAsia"/>
                <w:sz w:val="22"/>
                <w:szCs w:val="22"/>
              </w:rPr>
              <w:t>多终端访问</w:t>
            </w:r>
          </w:p>
        </w:tc>
        <w:tc>
          <w:tcPr>
            <w:tcW w:w="7475" w:type="dxa"/>
            <w:vAlign w:val="center"/>
          </w:tcPr>
          <w:p w14:paraId="4F66B794">
            <w:pPr>
              <w:rPr>
                <w:rFonts w:asciiTheme="minorEastAsia" w:hAnsiTheme="minorEastAsia" w:eastAsiaTheme="minorEastAsia"/>
                <w:sz w:val="22"/>
                <w:szCs w:val="22"/>
              </w:rPr>
            </w:pPr>
            <w:r>
              <w:rPr>
                <w:rFonts w:hint="eastAsia" w:asciiTheme="minorEastAsia" w:hAnsiTheme="minorEastAsia" w:eastAsiaTheme="minorEastAsia"/>
                <w:sz w:val="22"/>
                <w:szCs w:val="22"/>
              </w:rPr>
              <w:t>客户端利用本地缓存，实现云端与本地数据缓存，实现数据的一致性，退出客户端时支持设置默认不清除缓存、自动清除缓存、弹窗提示是否要清除缓存；支持利用客户端设置本地路径和盘内路径，支持文件自动上传同步；支持文件的离线编辑，自动更新；支持文件编辑锁定，防止同时修订产生冲突；同时个人删除的文件，可以通过个人回收站找回，即使个人回收站清除，也可以通过系统回收站找回，防止重要数据的误删除。</w:t>
            </w:r>
          </w:p>
        </w:tc>
      </w:tr>
      <w:tr w14:paraId="2889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trPr>
        <w:tc>
          <w:tcPr>
            <w:tcW w:w="1038" w:type="dxa"/>
            <w:vAlign w:val="center"/>
          </w:tcPr>
          <w:p w14:paraId="0CB15C4E">
            <w:pPr>
              <w:widowControl/>
              <w:jc w:val="left"/>
              <w:textAlignment w:val="center"/>
              <w:rPr>
                <w:rFonts w:cs="宋体" w:asciiTheme="minorEastAsia" w:hAnsiTheme="minorEastAsia" w:eastAsiaTheme="minorEastAsia"/>
                <w:sz w:val="22"/>
                <w:szCs w:val="22"/>
              </w:rPr>
            </w:pPr>
            <w:r>
              <w:rPr>
                <w:rFonts w:hint="eastAsia" w:asciiTheme="minorEastAsia" w:hAnsiTheme="minorEastAsia" w:eastAsiaTheme="minorEastAsia"/>
                <w:sz w:val="22"/>
                <w:szCs w:val="22"/>
              </w:rPr>
              <w:t>文件同步</w:t>
            </w:r>
          </w:p>
        </w:tc>
        <w:tc>
          <w:tcPr>
            <w:tcW w:w="7475" w:type="dxa"/>
            <w:vAlign w:val="center"/>
          </w:tcPr>
          <w:p w14:paraId="7431E464">
            <w:pPr>
              <w:rPr>
                <w:rFonts w:asciiTheme="minorEastAsia" w:hAnsiTheme="minorEastAsia" w:eastAsiaTheme="minorEastAsia"/>
                <w:sz w:val="22"/>
                <w:szCs w:val="22"/>
              </w:rPr>
            </w:pPr>
            <w:r>
              <w:rPr>
                <w:rFonts w:hint="eastAsia" w:asciiTheme="minorEastAsia" w:hAnsiTheme="minorEastAsia" w:eastAsiaTheme="minorEastAsia"/>
                <w:sz w:val="22"/>
                <w:szCs w:val="22"/>
              </w:rPr>
              <w:t>指定目录同步：用户可以设置本地路径和同步盘内路径，实现本地文件和云端文件的自动双向同步;</w:t>
            </w:r>
          </w:p>
          <w:p w14:paraId="4DC81B7E">
            <w:pPr>
              <w:rPr>
                <w:rFonts w:asciiTheme="minorEastAsia" w:hAnsiTheme="minorEastAsia" w:eastAsiaTheme="minorEastAsia"/>
                <w:sz w:val="22"/>
                <w:szCs w:val="22"/>
              </w:rPr>
            </w:pPr>
            <w:r>
              <w:rPr>
                <w:rFonts w:hint="eastAsia" w:asciiTheme="minorEastAsia" w:hAnsiTheme="minorEastAsia" w:eastAsiaTheme="minorEastAsia"/>
                <w:sz w:val="22"/>
                <w:szCs w:val="22"/>
              </w:rPr>
              <w:t>文档同步限制：管理员可以限制不同网段内的用户上传或下载文件的大小，以及限制上传文件类型;</w:t>
            </w:r>
          </w:p>
          <w:p w14:paraId="0BA6B5DA">
            <w:pPr>
              <w:rPr>
                <w:rFonts w:asciiTheme="minorEastAsia" w:hAnsiTheme="minorEastAsia" w:eastAsiaTheme="minorEastAsia"/>
                <w:sz w:val="22"/>
                <w:szCs w:val="22"/>
              </w:rPr>
            </w:pPr>
            <w:r>
              <w:rPr>
                <w:rFonts w:hint="eastAsia" w:asciiTheme="minorEastAsia" w:hAnsiTheme="minorEastAsia" w:eastAsiaTheme="minorEastAsia"/>
                <w:sz w:val="22"/>
                <w:szCs w:val="22"/>
              </w:rPr>
              <w:t>指定用户下载限速：针对指定用户在有下载需求时可以设置该用户的下载最高速度．提升整体网络的利用率;</w:t>
            </w:r>
          </w:p>
        </w:tc>
      </w:tr>
      <w:tr w14:paraId="0B860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038" w:type="dxa"/>
            <w:vMerge w:val="restart"/>
            <w:vAlign w:val="center"/>
          </w:tcPr>
          <w:p w14:paraId="3A437D7A">
            <w:pPr>
              <w:widowControl/>
              <w:jc w:val="left"/>
              <w:textAlignment w:val="center"/>
              <w:rPr>
                <w:rFonts w:cs="宋体" w:asciiTheme="minorEastAsia" w:hAnsiTheme="minorEastAsia" w:eastAsiaTheme="minorEastAsia"/>
                <w:sz w:val="22"/>
                <w:szCs w:val="22"/>
              </w:rPr>
            </w:pPr>
            <w:r>
              <w:rPr>
                <w:rFonts w:hint="eastAsia" w:asciiTheme="minorEastAsia" w:hAnsiTheme="minorEastAsia" w:eastAsiaTheme="minorEastAsia"/>
                <w:sz w:val="22"/>
                <w:szCs w:val="22"/>
              </w:rPr>
              <w:t>共享与外发</w:t>
            </w:r>
          </w:p>
        </w:tc>
        <w:tc>
          <w:tcPr>
            <w:tcW w:w="7475" w:type="dxa"/>
            <w:vAlign w:val="center"/>
          </w:tcPr>
          <w:p w14:paraId="04DAB04A">
            <w:pPr>
              <w:rPr>
                <w:rFonts w:asciiTheme="minorEastAsia" w:hAnsiTheme="minorEastAsia" w:eastAsiaTheme="minorEastAsia"/>
                <w:sz w:val="22"/>
                <w:szCs w:val="22"/>
              </w:rPr>
            </w:pPr>
            <w:r>
              <w:rPr>
                <w:rFonts w:hint="eastAsia" w:asciiTheme="minorEastAsia" w:hAnsiTheme="minorEastAsia" w:eastAsiaTheme="minorEastAsia"/>
                <w:sz w:val="22"/>
                <w:szCs w:val="22"/>
              </w:rPr>
              <w:t>统一共享入口：支持共享给指定用户或共享给任意用户，实现共享统一入口管理，并能够提供共享范围、共享规则、组织可见性的共享策略设置，结合业务需要，实现灵活配置。</w:t>
            </w:r>
          </w:p>
        </w:tc>
      </w:tr>
      <w:tr w14:paraId="02D0E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38" w:type="dxa"/>
            <w:vMerge w:val="continue"/>
            <w:vAlign w:val="center"/>
          </w:tcPr>
          <w:p w14:paraId="389BCEFF">
            <w:pPr>
              <w:widowControl/>
              <w:jc w:val="left"/>
              <w:textAlignment w:val="center"/>
              <w:rPr>
                <w:rFonts w:cs="宋体" w:asciiTheme="minorEastAsia" w:hAnsiTheme="minorEastAsia" w:eastAsiaTheme="minorEastAsia"/>
                <w:sz w:val="22"/>
                <w:szCs w:val="22"/>
              </w:rPr>
            </w:pPr>
          </w:p>
        </w:tc>
        <w:tc>
          <w:tcPr>
            <w:tcW w:w="7475" w:type="dxa"/>
            <w:vAlign w:val="center"/>
          </w:tcPr>
          <w:p w14:paraId="10EBD0DC">
            <w:pPr>
              <w:rPr>
                <w:rFonts w:asciiTheme="minorEastAsia" w:hAnsiTheme="minorEastAsia" w:eastAsiaTheme="minorEastAsia"/>
                <w:sz w:val="22"/>
                <w:szCs w:val="22"/>
              </w:rPr>
            </w:pPr>
            <w:r>
              <w:rPr>
                <w:rFonts w:hint="eastAsia" w:asciiTheme="minorEastAsia" w:hAnsiTheme="minorEastAsia" w:eastAsiaTheme="minorEastAsia"/>
                <w:sz w:val="22"/>
                <w:szCs w:val="22"/>
              </w:rPr>
              <w:t>共享给指定用户：文档所有者通过配置访问权限的方式将文件或文件夹共享给指定用户，支持基于用户、部门、用户组、联系组进行权限配置，权限粒度包括：显示、预览、下载、新建、修改、删除，支持设置共享有效期及开启禁用继承权限，分享文档路径时支持有权限的用户通过复制路径链接或二维码打开文档。</w:t>
            </w:r>
          </w:p>
        </w:tc>
      </w:tr>
      <w:tr w14:paraId="36B3A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1038" w:type="dxa"/>
            <w:vAlign w:val="center"/>
          </w:tcPr>
          <w:p w14:paraId="1EFF6795">
            <w:pPr>
              <w:widowControl/>
              <w:jc w:val="left"/>
              <w:textAlignment w:val="center"/>
              <w:rPr>
                <w:rFonts w:asciiTheme="minorEastAsia" w:hAnsiTheme="minorEastAsia" w:eastAsiaTheme="minorEastAsia"/>
                <w:sz w:val="22"/>
                <w:szCs w:val="22"/>
              </w:rPr>
            </w:pPr>
            <w:r>
              <w:rPr>
                <w:rFonts w:hint="eastAsia" w:asciiTheme="minorEastAsia" w:hAnsiTheme="minorEastAsia" w:eastAsiaTheme="minorEastAsia"/>
                <w:sz w:val="22"/>
                <w:szCs w:val="22"/>
              </w:rPr>
              <w:t>文件锁</w:t>
            </w:r>
          </w:p>
        </w:tc>
        <w:tc>
          <w:tcPr>
            <w:tcW w:w="7475" w:type="dxa"/>
            <w:vAlign w:val="center"/>
          </w:tcPr>
          <w:p w14:paraId="4213F862">
            <w:pPr>
              <w:rPr>
                <w:rFonts w:asciiTheme="minorEastAsia" w:hAnsiTheme="minorEastAsia" w:eastAsiaTheme="minorEastAsia"/>
                <w:sz w:val="22"/>
                <w:szCs w:val="22"/>
              </w:rPr>
            </w:pPr>
            <w:r>
              <w:rPr>
                <w:rFonts w:asciiTheme="minorEastAsia" w:hAnsiTheme="minorEastAsia" w:eastAsiaTheme="minorEastAsia"/>
                <w:sz w:val="22"/>
                <w:szCs w:val="22"/>
              </w:rPr>
              <w:t>支持用户手动锁定文件，文件被锁定后处于独占模式处理，他人无法进行编辑修改，只能以只读方式访问，直到文件被解锁，实现团队细粒度精细化的协作。文件所有者可以抢锁，用户可以查看自己锁定的所有文件，快速取消锁定，避免协作冲突。</w:t>
            </w:r>
          </w:p>
        </w:tc>
      </w:tr>
      <w:tr w14:paraId="2C1DE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38" w:type="dxa"/>
            <w:vAlign w:val="center"/>
          </w:tcPr>
          <w:p w14:paraId="55AC7276">
            <w:pPr>
              <w:widowControl/>
              <w:jc w:val="left"/>
              <w:textAlignment w:val="center"/>
              <w:rPr>
                <w:rFonts w:asciiTheme="minorEastAsia" w:hAnsiTheme="minorEastAsia" w:eastAsiaTheme="minorEastAsia"/>
                <w:sz w:val="22"/>
                <w:szCs w:val="22"/>
              </w:rPr>
            </w:pPr>
            <w:r>
              <w:rPr>
                <w:rFonts w:hint="eastAsia" w:asciiTheme="minorEastAsia" w:hAnsiTheme="minorEastAsia" w:eastAsiaTheme="minorEastAsia"/>
                <w:sz w:val="22"/>
                <w:szCs w:val="22"/>
              </w:rPr>
              <w:t>相似内容折叠</w:t>
            </w:r>
          </w:p>
        </w:tc>
        <w:tc>
          <w:tcPr>
            <w:tcW w:w="7475" w:type="dxa"/>
            <w:vAlign w:val="center"/>
          </w:tcPr>
          <w:p w14:paraId="6371B74A">
            <w:pPr>
              <w:rPr>
                <w:rFonts w:asciiTheme="minorEastAsia" w:hAnsiTheme="minorEastAsia" w:eastAsiaTheme="minorEastAsia"/>
                <w:sz w:val="22"/>
                <w:szCs w:val="22"/>
              </w:rPr>
            </w:pPr>
            <w:r>
              <w:rPr>
                <w:rFonts w:hint="eastAsia" w:asciiTheme="minorEastAsia" w:hAnsiTheme="minorEastAsia" w:eastAsiaTheme="minorEastAsia"/>
                <w:sz w:val="22"/>
                <w:szCs w:val="22"/>
              </w:rPr>
              <w:t>用户在进行搜索时，平台支持文档内容自动分析与比对，自动将多个重复的内容，进行排重处理，对相似的结果文件进行折叠，搜索并高亮显示所有与关键字相匹配的结果；</w:t>
            </w:r>
            <w:bookmarkStart w:id="2" w:name="OLE_LINK18"/>
            <w:r>
              <w:rPr>
                <w:rFonts w:hint="eastAsia" w:asciiTheme="minorEastAsia" w:hAnsiTheme="minorEastAsia" w:eastAsiaTheme="minorEastAsia"/>
                <w:sz w:val="22"/>
                <w:szCs w:val="22"/>
              </w:rPr>
              <w:t>支持基于用户权限，显示用户权限范围内可见的结果，</w:t>
            </w:r>
            <w:bookmarkEnd w:id="2"/>
            <w:r>
              <w:rPr>
                <w:rFonts w:hint="eastAsia" w:asciiTheme="minorEastAsia" w:hAnsiTheme="minorEastAsia" w:eastAsiaTheme="minorEastAsia"/>
                <w:sz w:val="22"/>
                <w:szCs w:val="22"/>
              </w:rPr>
              <w:t>已折叠的相似文件，可以展开进行查看，提升用户搜索体验，提供更精准的搜索结果。</w:t>
            </w:r>
          </w:p>
        </w:tc>
      </w:tr>
      <w:tr w14:paraId="05E98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38" w:type="dxa"/>
            <w:vAlign w:val="center"/>
          </w:tcPr>
          <w:p w14:paraId="32FD2645">
            <w:pPr>
              <w:widowControl/>
              <w:jc w:val="left"/>
              <w:textAlignment w:val="center"/>
              <w:rPr>
                <w:rFonts w:asciiTheme="minorEastAsia" w:hAnsiTheme="minorEastAsia" w:eastAsiaTheme="minorEastAsia"/>
                <w:sz w:val="22"/>
                <w:szCs w:val="22"/>
              </w:rPr>
            </w:pPr>
            <w:r>
              <w:rPr>
                <w:rFonts w:hint="eastAsia" w:asciiTheme="minorEastAsia" w:hAnsiTheme="minorEastAsia" w:eastAsiaTheme="minorEastAsia"/>
                <w:sz w:val="22"/>
                <w:szCs w:val="22"/>
              </w:rPr>
              <w:t>文档索引策略</w:t>
            </w:r>
          </w:p>
        </w:tc>
        <w:tc>
          <w:tcPr>
            <w:tcW w:w="7475" w:type="dxa"/>
            <w:vAlign w:val="center"/>
          </w:tcPr>
          <w:p w14:paraId="4BEEBC19">
            <w:pPr>
              <w:rPr>
                <w:rFonts w:asciiTheme="minorEastAsia" w:hAnsiTheme="minorEastAsia" w:eastAsiaTheme="minorEastAsia"/>
                <w:sz w:val="22"/>
                <w:szCs w:val="22"/>
              </w:rPr>
            </w:pPr>
            <w:r>
              <w:rPr>
                <w:rFonts w:asciiTheme="minorEastAsia" w:hAnsiTheme="minorEastAsia" w:eastAsiaTheme="minorEastAsia"/>
                <w:sz w:val="22"/>
                <w:szCs w:val="22"/>
              </w:rPr>
              <w:t>具有新建索引策略功能。新建索引策略包括文档库名、文档库类型、索引优先级。索引策略：设置策略的文档库索引优先级越高，该文档库的文件将会被优先建立索引。</w:t>
            </w:r>
          </w:p>
        </w:tc>
      </w:tr>
      <w:tr w14:paraId="6FAC5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38" w:type="dxa"/>
            <w:vAlign w:val="center"/>
          </w:tcPr>
          <w:p w14:paraId="6F9DE7C2">
            <w:pPr>
              <w:widowControl/>
              <w:jc w:val="left"/>
              <w:textAlignment w:val="center"/>
              <w:rPr>
                <w:rFonts w:asciiTheme="minorEastAsia" w:hAnsiTheme="minorEastAsia" w:eastAsiaTheme="minorEastAsia"/>
                <w:sz w:val="22"/>
                <w:szCs w:val="22"/>
              </w:rPr>
            </w:pPr>
            <w:r>
              <w:rPr>
                <w:rFonts w:hint="eastAsia" w:asciiTheme="minorEastAsia" w:hAnsiTheme="minorEastAsia" w:eastAsiaTheme="minorEastAsia"/>
                <w:sz w:val="22"/>
                <w:szCs w:val="22"/>
              </w:rPr>
              <w:t>版本控制</w:t>
            </w:r>
          </w:p>
        </w:tc>
        <w:tc>
          <w:tcPr>
            <w:tcW w:w="7475" w:type="dxa"/>
            <w:vAlign w:val="center"/>
          </w:tcPr>
          <w:p w14:paraId="350AB275">
            <w:pPr>
              <w:rPr>
                <w:rFonts w:asciiTheme="minorEastAsia" w:hAnsiTheme="minorEastAsia" w:eastAsiaTheme="minorEastAsia"/>
                <w:sz w:val="22"/>
                <w:szCs w:val="22"/>
              </w:rPr>
            </w:pPr>
            <w:r>
              <w:rPr>
                <w:rFonts w:hint="eastAsia" w:asciiTheme="minorEastAsia" w:hAnsiTheme="minorEastAsia" w:eastAsiaTheme="minorEastAsia"/>
                <w:sz w:val="22"/>
                <w:szCs w:val="22"/>
              </w:rPr>
              <w:t>历史版本管理：文件的修改保存会自动生成历史版本，用户可以查看文件的历史版本记录，还可以打开、下载、恢复某个历史版本。管理员可以设置单个文件最多保留的版本数</w:t>
            </w:r>
            <w:r>
              <w:rPr>
                <w:rFonts w:asciiTheme="minorEastAsia" w:hAnsiTheme="minorEastAsia" w:eastAsiaTheme="minorEastAsia"/>
                <w:sz w:val="22"/>
                <w:szCs w:val="22"/>
              </w:rPr>
              <w:t>、新版本生成的间隔时间。</w:t>
            </w:r>
          </w:p>
        </w:tc>
      </w:tr>
      <w:tr w14:paraId="3B155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38" w:type="dxa"/>
            <w:vAlign w:val="center"/>
          </w:tcPr>
          <w:p w14:paraId="64A072F8">
            <w:pPr>
              <w:widowControl/>
              <w:jc w:val="left"/>
              <w:textAlignment w:val="center"/>
              <w:rPr>
                <w:rFonts w:asciiTheme="minorEastAsia" w:hAnsiTheme="minorEastAsia" w:eastAsiaTheme="minorEastAsia"/>
                <w:sz w:val="22"/>
                <w:szCs w:val="22"/>
              </w:rPr>
            </w:pPr>
            <w:r>
              <w:rPr>
                <w:rFonts w:hint="eastAsia" w:asciiTheme="minorEastAsia" w:hAnsiTheme="minorEastAsia" w:eastAsiaTheme="minorEastAsia"/>
                <w:sz w:val="22"/>
                <w:szCs w:val="22"/>
              </w:rPr>
              <w:t>回收站</w:t>
            </w:r>
          </w:p>
        </w:tc>
        <w:tc>
          <w:tcPr>
            <w:tcW w:w="7475" w:type="dxa"/>
            <w:vAlign w:val="center"/>
          </w:tcPr>
          <w:p w14:paraId="0F70E9AA">
            <w:pPr>
              <w:rPr>
                <w:rFonts w:asciiTheme="minorEastAsia" w:hAnsiTheme="minorEastAsia" w:eastAsiaTheme="minorEastAsia"/>
                <w:sz w:val="22"/>
                <w:szCs w:val="22"/>
              </w:rPr>
            </w:pPr>
            <w:r>
              <w:rPr>
                <w:rFonts w:hint="eastAsia" w:asciiTheme="minorEastAsia" w:hAnsiTheme="minorEastAsia" w:eastAsiaTheme="minorEastAsia"/>
                <w:sz w:val="22"/>
                <w:szCs w:val="22"/>
              </w:rPr>
              <w:t>文件</w:t>
            </w:r>
            <w:r>
              <w:rPr>
                <w:rFonts w:asciiTheme="minorEastAsia" w:hAnsiTheme="minorEastAsia" w:eastAsiaTheme="minorEastAsia"/>
                <w:sz w:val="22"/>
                <w:szCs w:val="22"/>
              </w:rPr>
              <w:t>/夹被删除后进入回收站进行保留，用户可以 查询，还原、永久删除、回收文件，还可以清空回收站、设置回收站中数据保留时间</w:t>
            </w:r>
            <w:r>
              <w:rPr>
                <w:rFonts w:hint="eastAsia" w:asciiTheme="minorEastAsia" w:hAnsiTheme="minorEastAsia" w:eastAsiaTheme="minorEastAsia"/>
                <w:sz w:val="22"/>
                <w:szCs w:val="22"/>
              </w:rPr>
              <w:t>；回收站的文件被删除后还会进入二级回收站继续保留，管理员可以对二级回收文件进行 查询、还原 操作。管理员还可以设置系统回收站中数据保留时长；</w:t>
            </w:r>
          </w:p>
        </w:tc>
      </w:tr>
      <w:tr w14:paraId="2F132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38" w:type="dxa"/>
            <w:vAlign w:val="center"/>
          </w:tcPr>
          <w:p w14:paraId="6C7FE6F6">
            <w:pPr>
              <w:widowControl/>
              <w:jc w:val="left"/>
              <w:textAlignment w:val="center"/>
              <w:rPr>
                <w:rFonts w:asciiTheme="minorEastAsia" w:hAnsiTheme="minorEastAsia" w:eastAsiaTheme="minorEastAsia"/>
                <w:sz w:val="22"/>
                <w:szCs w:val="22"/>
              </w:rPr>
            </w:pPr>
            <w:r>
              <w:rPr>
                <w:rFonts w:hint="eastAsia" w:asciiTheme="minorEastAsia" w:hAnsiTheme="minorEastAsia" w:eastAsiaTheme="minorEastAsia"/>
                <w:sz w:val="22"/>
                <w:szCs w:val="22"/>
              </w:rPr>
              <w:t>安全策略</w:t>
            </w:r>
          </w:p>
        </w:tc>
        <w:tc>
          <w:tcPr>
            <w:tcW w:w="7475" w:type="dxa"/>
            <w:vAlign w:val="center"/>
          </w:tcPr>
          <w:p w14:paraId="3E04EADE">
            <w:pPr>
              <w:rPr>
                <w:rFonts w:asciiTheme="minorEastAsia" w:hAnsiTheme="minorEastAsia" w:eastAsiaTheme="minorEastAsia"/>
                <w:sz w:val="22"/>
                <w:szCs w:val="22"/>
              </w:rPr>
            </w:pPr>
            <w:r>
              <w:rPr>
                <w:rFonts w:hint="eastAsia" w:asciiTheme="minorEastAsia" w:hAnsiTheme="minorEastAsia" w:eastAsiaTheme="minorEastAsia"/>
                <w:sz w:val="22"/>
                <w:szCs w:val="22"/>
              </w:rPr>
              <w:t>共享范围：管理员可设置用户共享范围的策略，即指定哪些用户才能使用共享给指定用户或任意用户的功能，且指定的用户只能在允许的共享范围内选择，避免内部的非法共享和知悉范围扩散。</w:t>
            </w:r>
          </w:p>
        </w:tc>
      </w:tr>
      <w:tr w14:paraId="0388F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1038" w:type="dxa"/>
            <w:vMerge w:val="restart"/>
            <w:vAlign w:val="center"/>
          </w:tcPr>
          <w:p w14:paraId="5DFF2F0A">
            <w:pPr>
              <w:widowControl/>
              <w:jc w:val="left"/>
              <w:textAlignment w:val="center"/>
              <w:rPr>
                <w:rFonts w:asciiTheme="minorEastAsia" w:hAnsiTheme="minorEastAsia" w:eastAsiaTheme="minorEastAsia"/>
                <w:sz w:val="22"/>
                <w:szCs w:val="22"/>
              </w:rPr>
            </w:pPr>
            <w:r>
              <w:rPr>
                <w:rFonts w:hint="eastAsia" w:asciiTheme="minorEastAsia" w:hAnsiTheme="minorEastAsia" w:eastAsiaTheme="minorEastAsia"/>
                <w:sz w:val="22"/>
                <w:szCs w:val="22"/>
              </w:rPr>
              <w:t>用户组织管理</w:t>
            </w:r>
          </w:p>
        </w:tc>
        <w:tc>
          <w:tcPr>
            <w:tcW w:w="7475" w:type="dxa"/>
            <w:vAlign w:val="center"/>
          </w:tcPr>
          <w:p w14:paraId="2DA3C0CE">
            <w:pPr>
              <w:rPr>
                <w:rFonts w:asciiTheme="minorEastAsia" w:hAnsiTheme="minorEastAsia" w:eastAsiaTheme="minorEastAsia"/>
                <w:sz w:val="22"/>
                <w:szCs w:val="22"/>
              </w:rPr>
            </w:pPr>
            <w:r>
              <w:rPr>
                <w:rFonts w:hint="eastAsia" w:asciiTheme="minorEastAsia" w:hAnsiTheme="minorEastAsia" w:eastAsiaTheme="minorEastAsia"/>
                <w:sz w:val="22"/>
                <w:szCs w:val="22"/>
              </w:rPr>
              <w:t>角色管理：系统默认</w:t>
            </w:r>
            <w:r>
              <w:rPr>
                <w:rFonts w:asciiTheme="minorEastAsia" w:hAnsiTheme="minorEastAsia" w:eastAsiaTheme="minorEastAsia"/>
                <w:sz w:val="22"/>
                <w:szCs w:val="22"/>
              </w:rPr>
              <w:t>3种管理角色：超级管理员、组织管理员、组织审计员。支持给普通用户赋予管理角色，实现管理员权力的分级下放，提高管理效率。</w:t>
            </w:r>
          </w:p>
        </w:tc>
      </w:tr>
      <w:tr w14:paraId="4B42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1038" w:type="dxa"/>
            <w:vMerge w:val="continue"/>
            <w:vAlign w:val="center"/>
          </w:tcPr>
          <w:p w14:paraId="31304876">
            <w:pPr>
              <w:widowControl/>
              <w:jc w:val="left"/>
              <w:textAlignment w:val="center"/>
              <w:rPr>
                <w:rFonts w:asciiTheme="minorEastAsia" w:hAnsiTheme="minorEastAsia" w:eastAsiaTheme="minorEastAsia"/>
                <w:sz w:val="22"/>
                <w:szCs w:val="22"/>
              </w:rPr>
            </w:pPr>
          </w:p>
        </w:tc>
        <w:tc>
          <w:tcPr>
            <w:tcW w:w="7475" w:type="dxa"/>
            <w:vAlign w:val="center"/>
          </w:tcPr>
          <w:p w14:paraId="5E51CC5B">
            <w:pPr>
              <w:rPr>
                <w:rFonts w:asciiTheme="minorEastAsia" w:hAnsiTheme="minorEastAsia" w:eastAsiaTheme="minorEastAsia"/>
                <w:sz w:val="22"/>
                <w:szCs w:val="22"/>
              </w:rPr>
            </w:pPr>
            <w:r>
              <w:rPr>
                <w:rFonts w:hint="eastAsia" w:asciiTheme="minorEastAsia" w:hAnsiTheme="minorEastAsia" w:eastAsiaTheme="minorEastAsia"/>
                <w:sz w:val="22"/>
                <w:szCs w:val="22"/>
              </w:rPr>
              <w:t>三员管理：管理员通过后台开关开启三员管理策略，系统从默认的超级管理员集权模式转换为三员管理分权模式，包括</w:t>
            </w:r>
            <w:r>
              <w:rPr>
                <w:rFonts w:asciiTheme="minorEastAsia" w:hAnsiTheme="minorEastAsia" w:eastAsiaTheme="minorEastAsia"/>
                <w:sz w:val="22"/>
                <w:szCs w:val="22"/>
              </w:rPr>
              <w:t>安全管理员、系统管理员、组织审计管理员。符合等保等相关要求，各类管理员各司其职，相互制约，相互监督。</w:t>
            </w:r>
          </w:p>
        </w:tc>
      </w:tr>
      <w:tr w14:paraId="11750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1038" w:type="dxa"/>
            <w:vMerge w:val="continue"/>
            <w:vAlign w:val="center"/>
          </w:tcPr>
          <w:p w14:paraId="1CAA60F1">
            <w:pPr>
              <w:widowControl/>
              <w:jc w:val="left"/>
              <w:textAlignment w:val="center"/>
              <w:rPr>
                <w:rFonts w:asciiTheme="minorEastAsia" w:hAnsiTheme="minorEastAsia" w:eastAsiaTheme="minorEastAsia"/>
                <w:sz w:val="22"/>
                <w:szCs w:val="22"/>
              </w:rPr>
            </w:pPr>
          </w:p>
        </w:tc>
        <w:tc>
          <w:tcPr>
            <w:tcW w:w="7475" w:type="dxa"/>
            <w:vAlign w:val="center"/>
          </w:tcPr>
          <w:p w14:paraId="5EA7F5E2">
            <w:pPr>
              <w:rPr>
                <w:rFonts w:asciiTheme="minorEastAsia" w:hAnsiTheme="minorEastAsia" w:eastAsiaTheme="minorEastAsia"/>
                <w:sz w:val="22"/>
                <w:szCs w:val="22"/>
              </w:rPr>
            </w:pPr>
            <w:r>
              <w:rPr>
                <w:rFonts w:hint="eastAsia" w:asciiTheme="minorEastAsia" w:hAnsiTheme="minorEastAsia" w:eastAsiaTheme="minorEastAsia"/>
                <w:sz w:val="22"/>
                <w:szCs w:val="22"/>
              </w:rPr>
              <w:t>自动禁用非活跃用户：管理员可设置系统自动禁用长期未登录的用户，防止长期不使用的账号外泄。若需再次启用用户，管理员可手动开启。</w:t>
            </w:r>
          </w:p>
        </w:tc>
      </w:tr>
      <w:tr w14:paraId="63672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038" w:type="dxa"/>
            <w:vAlign w:val="center"/>
          </w:tcPr>
          <w:p w14:paraId="436B4BB8">
            <w:pPr>
              <w:widowControl/>
              <w:jc w:val="left"/>
              <w:textAlignment w:val="center"/>
              <w:rPr>
                <w:rFonts w:asciiTheme="minorEastAsia" w:hAnsiTheme="minorEastAsia" w:eastAsiaTheme="minorEastAsia"/>
                <w:sz w:val="22"/>
                <w:szCs w:val="22"/>
              </w:rPr>
            </w:pPr>
            <w:r>
              <w:rPr>
                <w:rFonts w:hint="eastAsia" w:asciiTheme="minorEastAsia" w:hAnsiTheme="minorEastAsia" w:eastAsiaTheme="minorEastAsia"/>
                <w:sz w:val="22"/>
                <w:szCs w:val="22"/>
              </w:rPr>
              <w:t>运营报表及可观测性分析</w:t>
            </w:r>
          </w:p>
        </w:tc>
        <w:tc>
          <w:tcPr>
            <w:tcW w:w="7475" w:type="dxa"/>
            <w:vAlign w:val="center"/>
          </w:tcPr>
          <w:p w14:paraId="35604F85">
            <w:pPr>
              <w:rPr>
                <w:rFonts w:asciiTheme="minorEastAsia" w:hAnsiTheme="minorEastAsia" w:eastAsiaTheme="minorEastAsia"/>
                <w:sz w:val="22"/>
                <w:szCs w:val="22"/>
              </w:rPr>
            </w:pPr>
            <w:r>
              <w:rPr>
                <w:rFonts w:hint="eastAsia" w:asciiTheme="minorEastAsia" w:hAnsiTheme="minorEastAsia" w:eastAsiaTheme="minorEastAsia"/>
                <w:sz w:val="22"/>
                <w:szCs w:val="22"/>
              </w:rPr>
              <w:t>用户统计：支持活跃用户统计和在线用户统计，管理员可以通过月度活跃报表和年度活跃报表了解系统平均活跃人数和平均活跃度，支持导出活跃报表；在线用户统计支持实时在线报表、月度在线报表、年度在线报表</w:t>
            </w:r>
            <w:bookmarkStart w:id="3" w:name="OLE_LINK15"/>
            <w:r>
              <w:rPr>
                <w:rFonts w:hint="eastAsia" w:asciiTheme="minorEastAsia" w:hAnsiTheme="minorEastAsia" w:eastAsiaTheme="minorEastAsia"/>
                <w:sz w:val="22"/>
                <w:szCs w:val="22"/>
              </w:rPr>
              <w:t>等</w:t>
            </w:r>
            <w:bookmarkEnd w:id="3"/>
          </w:p>
        </w:tc>
      </w:tr>
      <w:tr w14:paraId="502CE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038" w:type="dxa"/>
            <w:vAlign w:val="center"/>
          </w:tcPr>
          <w:p w14:paraId="5054993B">
            <w:pPr>
              <w:widowControl/>
              <w:jc w:val="left"/>
              <w:textAlignment w:val="center"/>
              <w:rPr>
                <w:rFonts w:cs="宋体" w:asciiTheme="minorEastAsia" w:hAnsiTheme="minorEastAsia" w:eastAsiaTheme="minorEastAsia"/>
                <w:b/>
                <w:sz w:val="22"/>
                <w:szCs w:val="22"/>
              </w:rPr>
            </w:pPr>
            <w:r>
              <w:rPr>
                <w:rFonts w:hint="eastAsia" w:cs="宋体" w:asciiTheme="minorEastAsia" w:hAnsiTheme="minorEastAsia" w:eastAsiaTheme="minorEastAsia"/>
                <w:kern w:val="0"/>
                <w:sz w:val="22"/>
                <w:szCs w:val="22"/>
              </w:rPr>
              <w:t>产品质保</w:t>
            </w:r>
          </w:p>
        </w:tc>
        <w:tc>
          <w:tcPr>
            <w:tcW w:w="7475" w:type="dxa"/>
            <w:vAlign w:val="center"/>
          </w:tcPr>
          <w:p w14:paraId="12A61B39">
            <w:pPr>
              <w:rPr>
                <w:rFonts w:asciiTheme="minorEastAsia" w:hAnsiTheme="minorEastAsia" w:eastAsiaTheme="minorEastAsia"/>
                <w:sz w:val="22"/>
                <w:szCs w:val="22"/>
              </w:rPr>
            </w:pPr>
            <w:r>
              <w:rPr>
                <w:rFonts w:cs="宋体" w:asciiTheme="minorEastAsia" w:hAnsiTheme="minorEastAsia" w:eastAsiaTheme="minorEastAsia"/>
                <w:kern w:val="0"/>
                <w:sz w:val="22"/>
                <w:szCs w:val="22"/>
              </w:rPr>
              <w:t>提供</w:t>
            </w:r>
            <w:r>
              <w:rPr>
                <w:rFonts w:hint="eastAsia" w:cs="宋体" w:asciiTheme="minorEastAsia" w:hAnsiTheme="minorEastAsia" w:eastAsiaTheme="minorEastAsia"/>
                <w:kern w:val="0"/>
                <w:sz w:val="22"/>
                <w:szCs w:val="22"/>
              </w:rPr>
              <w:t>一</w:t>
            </w:r>
            <w:r>
              <w:rPr>
                <w:rFonts w:cs="宋体" w:asciiTheme="minorEastAsia" w:hAnsiTheme="minorEastAsia" w:eastAsiaTheme="minorEastAsia"/>
                <w:kern w:val="0"/>
                <w:sz w:val="22"/>
                <w:szCs w:val="22"/>
              </w:rPr>
              <w:t>年软件</w:t>
            </w:r>
            <w:r>
              <w:rPr>
                <w:rFonts w:hint="eastAsia" w:cs="宋体" w:asciiTheme="minorEastAsia" w:hAnsiTheme="minorEastAsia" w:eastAsiaTheme="minorEastAsia"/>
                <w:kern w:val="0"/>
                <w:sz w:val="22"/>
                <w:szCs w:val="22"/>
              </w:rPr>
              <w:t>升级</w:t>
            </w:r>
            <w:r>
              <w:rPr>
                <w:rFonts w:hint="eastAsia" w:cs="宋体" w:asciiTheme="minorEastAsia" w:hAnsiTheme="minorEastAsia" w:eastAsiaTheme="minorEastAsia"/>
                <w:kern w:val="0"/>
                <w:sz w:val="22"/>
                <w:szCs w:val="22"/>
                <w:lang w:eastAsia="zh-CN"/>
              </w:rPr>
              <w:t>维保</w:t>
            </w:r>
            <w:r>
              <w:rPr>
                <w:rFonts w:cs="宋体" w:asciiTheme="minorEastAsia" w:hAnsiTheme="minorEastAsia" w:eastAsiaTheme="minorEastAsia"/>
                <w:kern w:val="0"/>
                <w:sz w:val="22"/>
                <w:szCs w:val="22"/>
              </w:rPr>
              <w:t>服务及技术支持服务</w:t>
            </w:r>
          </w:p>
        </w:tc>
      </w:tr>
    </w:tbl>
    <w:p w14:paraId="38462CAF"/>
    <w:p w14:paraId="465A029F"/>
    <w:p w14:paraId="796F1BDF">
      <w:pPr>
        <w:pStyle w:val="4"/>
      </w:pPr>
      <w:r>
        <w:t xml:space="preserve"> </w:t>
      </w:r>
      <w:r>
        <w:rPr>
          <w:rFonts w:hint="eastAsia"/>
        </w:rPr>
        <w:t>MSS</w:t>
      </w:r>
      <w:r>
        <w:t>服务</w:t>
      </w:r>
    </w:p>
    <w:tbl>
      <w:tblPr>
        <w:tblStyle w:val="17"/>
        <w:tblW w:w="5000" w:type="pct"/>
        <w:jc w:val="center"/>
        <w:tblLayout w:type="autofit"/>
        <w:tblCellMar>
          <w:top w:w="0" w:type="dxa"/>
          <w:left w:w="108" w:type="dxa"/>
          <w:bottom w:w="0" w:type="dxa"/>
          <w:right w:w="108" w:type="dxa"/>
        </w:tblCellMar>
      </w:tblPr>
      <w:tblGrid>
        <w:gridCol w:w="1710"/>
        <w:gridCol w:w="6812"/>
      </w:tblGrid>
      <w:tr w14:paraId="4EDFDC91">
        <w:tblPrEx>
          <w:tblCellMar>
            <w:top w:w="0" w:type="dxa"/>
            <w:left w:w="108" w:type="dxa"/>
            <w:bottom w:w="0" w:type="dxa"/>
            <w:right w:w="108" w:type="dxa"/>
          </w:tblCellMar>
        </w:tblPrEx>
        <w:trPr>
          <w:trHeight w:val="310" w:hRule="atLeast"/>
          <w:jc w:val="center"/>
        </w:trPr>
        <w:tc>
          <w:tcPr>
            <w:tcW w:w="1003" w:type="pct"/>
            <w:tcBorders>
              <w:top w:val="single" w:color="000000" w:sz="4" w:space="0"/>
              <w:left w:val="single" w:color="000000" w:sz="4" w:space="0"/>
              <w:bottom w:val="single" w:color="000000" w:sz="4" w:space="0"/>
              <w:right w:val="single" w:color="000000" w:sz="4" w:space="0"/>
            </w:tcBorders>
            <w:vAlign w:val="center"/>
          </w:tcPr>
          <w:p w14:paraId="2747B18E">
            <w:pPr>
              <w:widowControl/>
              <w:jc w:val="center"/>
              <w:textAlignment w:val="top"/>
              <w:rPr>
                <w:rFonts w:asciiTheme="minorEastAsia" w:hAnsiTheme="minorEastAsia" w:eastAsiaTheme="minorEastAsia"/>
                <w:kern w:val="0"/>
                <w:szCs w:val="24"/>
              </w:rPr>
            </w:pPr>
            <w:r>
              <w:rPr>
                <w:rFonts w:hint="eastAsia" w:cs="宋体" w:asciiTheme="minorEastAsia" w:hAnsiTheme="minorEastAsia" w:eastAsiaTheme="minorEastAsia"/>
                <w:kern w:val="0"/>
                <w:szCs w:val="24"/>
              </w:rPr>
              <w:t>指标项</w:t>
            </w:r>
          </w:p>
        </w:tc>
        <w:tc>
          <w:tcPr>
            <w:tcW w:w="3997" w:type="pct"/>
            <w:tcBorders>
              <w:top w:val="single" w:color="000000" w:sz="4" w:space="0"/>
              <w:left w:val="single" w:color="000000" w:sz="4" w:space="0"/>
              <w:bottom w:val="single" w:color="000000" w:sz="4" w:space="0"/>
              <w:right w:val="single" w:color="000000" w:sz="4" w:space="0"/>
            </w:tcBorders>
            <w:vAlign w:val="center"/>
          </w:tcPr>
          <w:p w14:paraId="017ECABE">
            <w:pPr>
              <w:widowControl/>
              <w:jc w:val="center"/>
              <w:textAlignment w:val="top"/>
              <w:rPr>
                <w:rFonts w:asciiTheme="minorEastAsia" w:hAnsiTheme="minorEastAsia" w:eastAsiaTheme="minorEastAsia"/>
                <w:szCs w:val="24"/>
              </w:rPr>
            </w:pPr>
            <w:r>
              <w:rPr>
                <w:rFonts w:hint="eastAsia" w:cs="宋体" w:asciiTheme="minorEastAsia" w:hAnsiTheme="minorEastAsia" w:eastAsiaTheme="minorEastAsia"/>
                <w:kern w:val="0"/>
                <w:szCs w:val="24"/>
              </w:rPr>
              <w:t>指标要求</w:t>
            </w:r>
          </w:p>
        </w:tc>
      </w:tr>
      <w:tr w14:paraId="14A50DD0">
        <w:tblPrEx>
          <w:tblCellMar>
            <w:top w:w="0" w:type="dxa"/>
            <w:left w:w="108" w:type="dxa"/>
            <w:bottom w:w="0" w:type="dxa"/>
            <w:right w:w="108" w:type="dxa"/>
          </w:tblCellMar>
        </w:tblPrEx>
        <w:trPr>
          <w:trHeight w:val="310" w:hRule="atLeast"/>
          <w:jc w:val="center"/>
        </w:trPr>
        <w:tc>
          <w:tcPr>
            <w:tcW w:w="1003" w:type="pct"/>
            <w:tcBorders>
              <w:top w:val="single" w:color="000000" w:sz="4" w:space="0"/>
              <w:left w:val="single" w:color="000000" w:sz="4" w:space="0"/>
              <w:bottom w:val="single" w:color="000000" w:sz="4" w:space="0"/>
              <w:right w:val="single" w:color="000000" w:sz="4" w:space="0"/>
            </w:tcBorders>
          </w:tcPr>
          <w:p w14:paraId="594DFEBB">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服务资产数量</w:t>
            </w:r>
          </w:p>
        </w:tc>
        <w:tc>
          <w:tcPr>
            <w:tcW w:w="3997" w:type="pct"/>
            <w:tcBorders>
              <w:top w:val="single" w:color="000000" w:sz="4" w:space="0"/>
              <w:left w:val="single" w:color="000000" w:sz="4" w:space="0"/>
              <w:bottom w:val="single" w:color="000000" w:sz="4" w:space="0"/>
              <w:right w:val="single" w:color="000000" w:sz="4" w:space="0"/>
            </w:tcBorders>
          </w:tcPr>
          <w:p w14:paraId="41827E57">
            <w:pPr>
              <w:widowControl/>
              <w:jc w:val="left"/>
              <w:textAlignment w:val="top"/>
              <w:rPr>
                <w:rFonts w:asciiTheme="minorEastAsia" w:hAnsiTheme="minorEastAsia" w:eastAsiaTheme="minorEastAsia"/>
                <w:kern w:val="0"/>
                <w:szCs w:val="24"/>
              </w:rPr>
            </w:pPr>
            <w:r>
              <w:rPr>
                <w:rFonts w:hint="eastAsia" w:cs="宋体" w:asciiTheme="minorEastAsia" w:hAnsiTheme="minorEastAsia" w:eastAsiaTheme="minorEastAsia"/>
                <w:kern w:val="0"/>
                <w:szCs w:val="24"/>
              </w:rPr>
              <w:t>提供不少于200个资产7*24小时的安全服务，保障医院核心资产安全。</w:t>
            </w:r>
          </w:p>
        </w:tc>
      </w:tr>
      <w:tr w14:paraId="3468B30C">
        <w:tblPrEx>
          <w:tblCellMar>
            <w:top w:w="0" w:type="dxa"/>
            <w:left w:w="108" w:type="dxa"/>
            <w:bottom w:w="0" w:type="dxa"/>
            <w:right w:w="108" w:type="dxa"/>
          </w:tblCellMar>
        </w:tblPrEx>
        <w:trPr>
          <w:trHeight w:val="310" w:hRule="atLeast"/>
          <w:jc w:val="center"/>
        </w:trPr>
        <w:tc>
          <w:tcPr>
            <w:tcW w:w="1003" w:type="pct"/>
            <w:tcBorders>
              <w:top w:val="single" w:color="000000" w:sz="4" w:space="0"/>
              <w:left w:val="single" w:color="000000" w:sz="4" w:space="0"/>
              <w:bottom w:val="single" w:color="000000" w:sz="4" w:space="0"/>
              <w:right w:val="single" w:color="000000" w:sz="4" w:space="0"/>
            </w:tcBorders>
          </w:tcPr>
          <w:p w14:paraId="1A9538BB">
            <w:pPr>
              <w:widowControl/>
              <w:jc w:val="center"/>
              <w:textAlignment w:val="center"/>
              <w:rPr>
                <w:rFonts w:cs="宋体" w:asciiTheme="minorEastAsia" w:hAnsiTheme="minorEastAsia" w:eastAsiaTheme="minorEastAsia"/>
                <w:kern w:val="0"/>
                <w:szCs w:val="24"/>
              </w:rPr>
            </w:pPr>
            <w:r>
              <w:rPr>
                <w:rFonts w:hint="eastAsia" w:cs="宋体" w:asciiTheme="minorEastAsia" w:hAnsiTheme="minorEastAsia" w:eastAsiaTheme="minorEastAsia"/>
                <w:kern w:val="0"/>
                <w:szCs w:val="24"/>
              </w:rPr>
              <w:t>服务时间</w:t>
            </w:r>
          </w:p>
        </w:tc>
        <w:tc>
          <w:tcPr>
            <w:tcW w:w="3997" w:type="pct"/>
            <w:tcBorders>
              <w:top w:val="single" w:color="000000" w:sz="4" w:space="0"/>
              <w:left w:val="single" w:color="000000" w:sz="4" w:space="0"/>
              <w:bottom w:val="single" w:color="000000" w:sz="4" w:space="0"/>
              <w:right w:val="single" w:color="000000" w:sz="4" w:space="0"/>
            </w:tcBorders>
          </w:tcPr>
          <w:p w14:paraId="1BAF920B">
            <w:pPr>
              <w:widowControl/>
              <w:jc w:val="left"/>
              <w:textAlignment w:val="top"/>
              <w:rPr>
                <w:rFonts w:cs="宋体" w:asciiTheme="minorEastAsia" w:hAnsiTheme="minorEastAsia" w:eastAsiaTheme="minorEastAsia"/>
                <w:kern w:val="0"/>
                <w:szCs w:val="24"/>
              </w:rPr>
            </w:pPr>
            <w:r>
              <w:rPr>
                <w:rFonts w:hint="eastAsia" w:cs="宋体" w:asciiTheme="minorEastAsia" w:hAnsiTheme="minorEastAsia" w:eastAsiaTheme="minorEastAsia"/>
                <w:kern w:val="0"/>
                <w:szCs w:val="24"/>
              </w:rPr>
              <w:t>1年</w:t>
            </w:r>
          </w:p>
        </w:tc>
      </w:tr>
      <w:tr w14:paraId="355905B1">
        <w:tblPrEx>
          <w:tblCellMar>
            <w:top w:w="0" w:type="dxa"/>
            <w:left w:w="108" w:type="dxa"/>
            <w:bottom w:w="0" w:type="dxa"/>
            <w:right w:w="108" w:type="dxa"/>
          </w:tblCellMar>
        </w:tblPrEx>
        <w:trPr>
          <w:trHeight w:val="453" w:hRule="atLeast"/>
          <w:jc w:val="center"/>
        </w:trPr>
        <w:tc>
          <w:tcPr>
            <w:tcW w:w="1003" w:type="pct"/>
            <w:vMerge w:val="restart"/>
            <w:tcBorders>
              <w:top w:val="single" w:color="000000" w:sz="4" w:space="0"/>
              <w:left w:val="single" w:color="000000" w:sz="4" w:space="0"/>
              <w:right w:val="single" w:color="000000" w:sz="4" w:space="0"/>
            </w:tcBorders>
            <w:vAlign w:val="center"/>
          </w:tcPr>
          <w:p w14:paraId="080F469E">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资产识别与梳理</w:t>
            </w:r>
          </w:p>
        </w:tc>
        <w:tc>
          <w:tcPr>
            <w:tcW w:w="3997" w:type="pct"/>
            <w:tcBorders>
              <w:top w:val="single" w:color="000000" w:sz="4" w:space="0"/>
              <w:left w:val="single" w:color="000000" w:sz="4" w:space="0"/>
              <w:bottom w:val="single" w:color="000000" w:sz="4" w:space="0"/>
              <w:right w:val="single" w:color="000000" w:sz="4" w:space="0"/>
            </w:tcBorders>
            <w:vAlign w:val="center"/>
          </w:tcPr>
          <w:p w14:paraId="7BBD1CFD">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投标方需借助安全工具对用户资产进行全面发现和深度识别，并在后续服务过程中触发资产变更等相关服务流程，确保资产信息的准确性和全面性。</w:t>
            </w:r>
          </w:p>
        </w:tc>
      </w:tr>
      <w:tr w14:paraId="18C5E536">
        <w:tblPrEx>
          <w:tblCellMar>
            <w:top w:w="0" w:type="dxa"/>
            <w:left w:w="108" w:type="dxa"/>
            <w:bottom w:w="0" w:type="dxa"/>
            <w:right w:w="108" w:type="dxa"/>
          </w:tblCellMar>
        </w:tblPrEx>
        <w:trPr>
          <w:trHeight w:val="453" w:hRule="atLeast"/>
          <w:jc w:val="center"/>
        </w:trPr>
        <w:tc>
          <w:tcPr>
            <w:tcW w:w="1003" w:type="pct"/>
            <w:vMerge w:val="continue"/>
            <w:tcBorders>
              <w:left w:val="single" w:color="000000" w:sz="4" w:space="0"/>
              <w:right w:val="single" w:color="000000" w:sz="4" w:space="0"/>
            </w:tcBorders>
            <w:vAlign w:val="center"/>
          </w:tcPr>
          <w:p w14:paraId="6EF589B6">
            <w:pPr>
              <w:widowControl/>
              <w:textAlignment w:val="center"/>
              <w:rPr>
                <w:rFonts w:asciiTheme="minorEastAsia" w:hAnsiTheme="minorEastAsia" w:eastAsiaTheme="minorEastAsia"/>
                <w:kern w:val="0"/>
                <w:szCs w:val="24"/>
              </w:rPr>
            </w:pPr>
          </w:p>
        </w:tc>
        <w:tc>
          <w:tcPr>
            <w:tcW w:w="3997" w:type="pct"/>
            <w:tcBorders>
              <w:top w:val="single" w:color="000000" w:sz="4" w:space="0"/>
              <w:left w:val="single" w:color="000000" w:sz="4" w:space="0"/>
              <w:bottom w:val="single" w:color="000000" w:sz="4" w:space="0"/>
              <w:right w:val="single" w:color="000000" w:sz="4" w:space="0"/>
            </w:tcBorders>
            <w:vAlign w:val="center"/>
          </w:tcPr>
          <w:p w14:paraId="7FBB89CA">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投标方需结合安全工具发现的资产信息，首次进行服务范围内资产的全面梳理（梳理的信息包含支撑业务系统运转的操作系统、数据库、中间件、应用系统的版本，类型，IP地址；应用开放协议和端口；应用系统管理方式、资产的重要性以及网络拓扑），并将信息录入到安全运营平台中进行管理；当资产发生变更时，安全专家对变更信息进行确认与更新。</w:t>
            </w:r>
          </w:p>
        </w:tc>
      </w:tr>
      <w:tr w14:paraId="37F2FEF6">
        <w:tblPrEx>
          <w:tblCellMar>
            <w:top w:w="0" w:type="dxa"/>
            <w:left w:w="108" w:type="dxa"/>
            <w:bottom w:w="0" w:type="dxa"/>
            <w:right w:w="108" w:type="dxa"/>
          </w:tblCellMar>
        </w:tblPrEx>
        <w:trPr>
          <w:trHeight w:val="3101" w:hRule="atLeast"/>
          <w:jc w:val="center"/>
        </w:trPr>
        <w:tc>
          <w:tcPr>
            <w:tcW w:w="1003" w:type="pct"/>
            <w:vMerge w:val="restart"/>
            <w:tcBorders>
              <w:top w:val="single" w:color="000000" w:sz="4" w:space="0"/>
              <w:left w:val="single" w:color="000000" w:sz="4" w:space="0"/>
              <w:right w:val="single" w:color="000000" w:sz="4" w:space="0"/>
            </w:tcBorders>
            <w:vAlign w:val="center"/>
          </w:tcPr>
          <w:p w14:paraId="3B890A82">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威胁管理</w:t>
            </w:r>
          </w:p>
        </w:tc>
        <w:tc>
          <w:tcPr>
            <w:tcW w:w="3997" w:type="pct"/>
            <w:tcBorders>
              <w:top w:val="single" w:color="000000" w:sz="4" w:space="0"/>
              <w:left w:val="single" w:color="000000" w:sz="4" w:space="0"/>
              <w:bottom w:val="single" w:color="000000" w:sz="4" w:space="0"/>
              <w:right w:val="single" w:color="000000" w:sz="4" w:space="0"/>
            </w:tcBorders>
            <w:vAlign w:val="center"/>
          </w:tcPr>
          <w:p w14:paraId="3DEFBFB8">
            <w:pPr>
              <w:widowControl/>
              <w:textAlignment w:val="center"/>
              <w:rPr>
                <w:rFonts w:asciiTheme="minorEastAsia" w:hAnsiTheme="minorEastAsia" w:eastAsiaTheme="minorEastAsia"/>
                <w:kern w:val="0"/>
                <w:szCs w:val="24"/>
              </w:rPr>
            </w:pPr>
            <w:r>
              <w:rPr>
                <w:rFonts w:cs="宋体" w:asciiTheme="minorEastAsia" w:hAnsiTheme="minorEastAsia" w:eastAsiaTheme="minorEastAsia"/>
                <w:kern w:val="0"/>
                <w:szCs w:val="24"/>
              </w:rPr>
              <w:t>投标方应当具备云端检测和分析平台，通过采集招标方安全设备和工具的安全告警和安全日志，结合大数据分析、人工智能等技术手段，为招标方提供7*24小时持续不间断的安全威胁分析鉴定，同时在用户界面进行展示；分析研判包括但不限于对脆弱性、异常流量、攻击日志、病毒日志等数据进行采集和实时分析研判，支持将同一资产的多个告警进行聚合分析发现各类安全事件并生成工单，并在告警详情中展示告警的基本信息，涉及的业务信息、攻击趋势、威胁详情、攻击原理、处置建议等内容，并支持根据客户情况提供备注</w:t>
            </w:r>
            <w:r>
              <w:rPr>
                <w:rFonts w:hint="eastAsia" w:cs="宋体" w:asciiTheme="minorEastAsia" w:hAnsiTheme="minorEastAsia" w:eastAsiaTheme="minorEastAsia"/>
                <w:kern w:val="0"/>
                <w:szCs w:val="24"/>
              </w:rPr>
              <w:t>。</w:t>
            </w:r>
          </w:p>
        </w:tc>
      </w:tr>
      <w:tr w14:paraId="7B4089A1">
        <w:tblPrEx>
          <w:tblCellMar>
            <w:top w:w="0" w:type="dxa"/>
            <w:left w:w="108" w:type="dxa"/>
            <w:bottom w:w="0" w:type="dxa"/>
            <w:right w:w="108" w:type="dxa"/>
          </w:tblCellMar>
        </w:tblPrEx>
        <w:trPr>
          <w:trHeight w:val="1205" w:hRule="atLeast"/>
          <w:jc w:val="center"/>
        </w:trPr>
        <w:tc>
          <w:tcPr>
            <w:tcW w:w="1003" w:type="pct"/>
            <w:vMerge w:val="continue"/>
            <w:tcBorders>
              <w:left w:val="single" w:color="000000" w:sz="4" w:space="0"/>
              <w:right w:val="single" w:color="000000" w:sz="4" w:space="0"/>
            </w:tcBorders>
            <w:vAlign w:val="center"/>
          </w:tcPr>
          <w:p w14:paraId="29473EA5">
            <w:pPr>
              <w:widowControl/>
              <w:textAlignment w:val="center"/>
              <w:rPr>
                <w:rFonts w:asciiTheme="minorEastAsia" w:hAnsiTheme="minorEastAsia" w:eastAsiaTheme="minorEastAsia"/>
                <w:kern w:val="0"/>
                <w:szCs w:val="24"/>
              </w:rPr>
            </w:pPr>
          </w:p>
        </w:tc>
        <w:tc>
          <w:tcPr>
            <w:tcW w:w="3997" w:type="pct"/>
            <w:tcBorders>
              <w:top w:val="single" w:color="000000" w:sz="4" w:space="0"/>
              <w:left w:val="single" w:color="000000" w:sz="4" w:space="0"/>
              <w:bottom w:val="single" w:color="000000" w:sz="4" w:space="0"/>
              <w:right w:val="single" w:color="000000" w:sz="4" w:space="0"/>
            </w:tcBorders>
            <w:vAlign w:val="center"/>
          </w:tcPr>
          <w:p w14:paraId="367F1795">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个性化的检测规则定制：为了保证安全监测的准确率和服务质量，投标方应当支持为招标方自定义配置安全规则，以满足日益复杂的安全趋势所带来的安全监测需求；</w:t>
            </w:r>
          </w:p>
        </w:tc>
      </w:tr>
      <w:tr w14:paraId="3EA3F177">
        <w:tblPrEx>
          <w:tblCellMar>
            <w:top w:w="0" w:type="dxa"/>
            <w:left w:w="108" w:type="dxa"/>
            <w:bottom w:w="0" w:type="dxa"/>
            <w:right w:w="108" w:type="dxa"/>
          </w:tblCellMar>
        </w:tblPrEx>
        <w:trPr>
          <w:trHeight w:val="1125" w:hRule="atLeast"/>
          <w:jc w:val="center"/>
        </w:trPr>
        <w:tc>
          <w:tcPr>
            <w:tcW w:w="1003" w:type="pct"/>
            <w:vMerge w:val="continue"/>
            <w:tcBorders>
              <w:left w:val="single" w:color="000000" w:sz="4" w:space="0"/>
              <w:right w:val="single" w:color="000000" w:sz="4" w:space="0"/>
            </w:tcBorders>
            <w:vAlign w:val="center"/>
          </w:tcPr>
          <w:p w14:paraId="11C4213A">
            <w:pPr>
              <w:widowControl/>
              <w:textAlignment w:val="center"/>
              <w:rPr>
                <w:rFonts w:asciiTheme="minorEastAsia" w:hAnsiTheme="minorEastAsia" w:eastAsiaTheme="minorEastAsia"/>
                <w:kern w:val="0"/>
                <w:szCs w:val="24"/>
              </w:rPr>
            </w:pPr>
          </w:p>
        </w:tc>
        <w:tc>
          <w:tcPr>
            <w:tcW w:w="3997" w:type="pct"/>
            <w:tcBorders>
              <w:top w:val="single" w:color="000000" w:sz="4" w:space="0"/>
              <w:left w:val="single" w:color="000000" w:sz="4" w:space="0"/>
              <w:bottom w:val="single" w:color="000000" w:sz="4" w:space="0"/>
              <w:right w:val="single" w:color="000000" w:sz="4" w:space="0"/>
            </w:tcBorders>
            <w:vAlign w:val="center"/>
          </w:tcPr>
          <w:p w14:paraId="408FC009">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投标方安全专家应通过策略检查工具对招标方的安全设备的防护策略进行检查，确保安全设备上的安全策略处于最优水平，针对威胁能起到最好的防护效果。投标方云端服务平台应当具备丰富的策略检查工具（要求不少于40种策略检查的工具），支持排查安全设备防护策略配置的合理性。</w:t>
            </w:r>
          </w:p>
        </w:tc>
      </w:tr>
      <w:tr w14:paraId="232E5CC5">
        <w:tblPrEx>
          <w:tblCellMar>
            <w:top w:w="0" w:type="dxa"/>
            <w:left w:w="108" w:type="dxa"/>
            <w:bottom w:w="0" w:type="dxa"/>
            <w:right w:w="108" w:type="dxa"/>
          </w:tblCellMar>
        </w:tblPrEx>
        <w:trPr>
          <w:trHeight w:val="429" w:hRule="atLeast"/>
          <w:jc w:val="center"/>
        </w:trPr>
        <w:tc>
          <w:tcPr>
            <w:tcW w:w="1003" w:type="pct"/>
            <w:tcBorders>
              <w:top w:val="single" w:color="000000" w:sz="4" w:space="0"/>
              <w:left w:val="single" w:color="000000" w:sz="4" w:space="0"/>
              <w:right w:val="single" w:color="000000" w:sz="4" w:space="0"/>
            </w:tcBorders>
            <w:vAlign w:val="center"/>
          </w:tcPr>
          <w:p w14:paraId="7B286200">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勒索风险排查</w:t>
            </w:r>
          </w:p>
        </w:tc>
        <w:tc>
          <w:tcPr>
            <w:tcW w:w="3997" w:type="pct"/>
            <w:tcBorders>
              <w:top w:val="single" w:color="000000" w:sz="4" w:space="0"/>
              <w:left w:val="single" w:color="000000" w:sz="4" w:space="0"/>
              <w:bottom w:val="single" w:color="000000" w:sz="4" w:space="0"/>
              <w:right w:val="single" w:color="000000" w:sz="4" w:space="0"/>
            </w:tcBorders>
            <w:vAlign w:val="center"/>
          </w:tcPr>
          <w:p w14:paraId="0DC4029B">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投标方应面向招标方提供定期的勒索病毒入侵风险专项排查，投标方应按照勒索预防Checklist开展勒索风险评估，勒索预防Checklist应当包含勒索高危利用漏洞、端口、安全策略、勒索攻击行为等纬度。</w:t>
            </w:r>
          </w:p>
        </w:tc>
      </w:tr>
      <w:tr w14:paraId="1E7EEF0A">
        <w:tblPrEx>
          <w:tblCellMar>
            <w:top w:w="0" w:type="dxa"/>
            <w:left w:w="108" w:type="dxa"/>
            <w:bottom w:w="0" w:type="dxa"/>
            <w:right w:w="108" w:type="dxa"/>
          </w:tblCellMar>
        </w:tblPrEx>
        <w:trPr>
          <w:trHeight w:val="774" w:hRule="atLeast"/>
          <w:jc w:val="center"/>
        </w:trPr>
        <w:tc>
          <w:tcPr>
            <w:tcW w:w="1003" w:type="pct"/>
            <w:vMerge w:val="restart"/>
            <w:tcBorders>
              <w:top w:val="single" w:color="000000" w:sz="4" w:space="0"/>
              <w:left w:val="single" w:color="000000" w:sz="4" w:space="0"/>
              <w:right w:val="single" w:color="000000" w:sz="4" w:space="0"/>
            </w:tcBorders>
            <w:vAlign w:val="center"/>
          </w:tcPr>
          <w:p w14:paraId="4AFBCDCD">
            <w:pPr>
              <w:widowControl/>
              <w:textAlignment w:val="center"/>
              <w:rPr>
                <w:rFonts w:asciiTheme="minorEastAsia" w:hAnsiTheme="minorEastAsia" w:eastAsiaTheme="minorEastAsia"/>
                <w:kern w:val="0"/>
                <w:szCs w:val="24"/>
              </w:rPr>
            </w:pPr>
            <w:r>
              <w:rPr>
                <w:rFonts w:cs="宋体" w:asciiTheme="minorEastAsia" w:hAnsiTheme="minorEastAsia" w:eastAsiaTheme="minorEastAsia"/>
                <w:kern w:val="0"/>
                <w:szCs w:val="24"/>
              </w:rPr>
              <w:t>7*24</w:t>
            </w:r>
            <w:r>
              <w:rPr>
                <w:rFonts w:hint="eastAsia" w:cs="宋体" w:asciiTheme="minorEastAsia" w:hAnsiTheme="minorEastAsia" w:eastAsiaTheme="minorEastAsia"/>
                <w:kern w:val="0"/>
                <w:szCs w:val="24"/>
              </w:rPr>
              <w:t>H的服务团队</w:t>
            </w:r>
          </w:p>
        </w:tc>
        <w:tc>
          <w:tcPr>
            <w:tcW w:w="3997" w:type="pct"/>
            <w:tcBorders>
              <w:top w:val="single" w:color="000000" w:sz="4" w:space="0"/>
              <w:left w:val="single" w:color="000000" w:sz="4" w:space="0"/>
              <w:bottom w:val="single" w:color="000000" w:sz="4" w:space="0"/>
              <w:right w:val="single" w:color="000000" w:sz="4" w:space="0"/>
            </w:tcBorders>
            <w:vAlign w:val="center"/>
          </w:tcPr>
          <w:p w14:paraId="7833BD7D">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为了保障服务质量和加强投标方与招标方的沟通，投标方应当承诺为招标方配置一名经验丰富的安全专家作为专属服务经理，并且实时响应投标方咨询的网络安全相关问题；</w:t>
            </w:r>
          </w:p>
        </w:tc>
      </w:tr>
      <w:tr w14:paraId="0A4FC296">
        <w:tblPrEx>
          <w:tblCellMar>
            <w:top w:w="0" w:type="dxa"/>
            <w:left w:w="108" w:type="dxa"/>
            <w:bottom w:w="0" w:type="dxa"/>
            <w:right w:w="108" w:type="dxa"/>
          </w:tblCellMar>
        </w:tblPrEx>
        <w:trPr>
          <w:trHeight w:val="581" w:hRule="atLeast"/>
          <w:jc w:val="center"/>
        </w:trPr>
        <w:tc>
          <w:tcPr>
            <w:tcW w:w="1003" w:type="pct"/>
            <w:vMerge w:val="continue"/>
            <w:tcBorders>
              <w:left w:val="single" w:color="000000" w:sz="4" w:space="0"/>
              <w:right w:val="single" w:color="000000" w:sz="4" w:space="0"/>
            </w:tcBorders>
            <w:vAlign w:val="center"/>
          </w:tcPr>
          <w:p w14:paraId="3189AD0D">
            <w:pPr>
              <w:widowControl/>
              <w:textAlignment w:val="center"/>
              <w:rPr>
                <w:rFonts w:asciiTheme="minorEastAsia" w:hAnsiTheme="minorEastAsia" w:eastAsiaTheme="minorEastAsia"/>
                <w:kern w:val="0"/>
                <w:szCs w:val="24"/>
              </w:rPr>
            </w:pPr>
          </w:p>
        </w:tc>
        <w:tc>
          <w:tcPr>
            <w:tcW w:w="3997" w:type="pct"/>
            <w:tcBorders>
              <w:top w:val="single" w:color="000000" w:sz="4" w:space="0"/>
              <w:left w:val="single" w:color="000000" w:sz="4" w:space="0"/>
              <w:bottom w:val="single" w:color="000000" w:sz="4" w:space="0"/>
              <w:right w:val="single" w:color="000000" w:sz="4" w:space="0"/>
            </w:tcBorders>
            <w:vAlign w:val="center"/>
          </w:tcPr>
          <w:p w14:paraId="514A0B56">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投标方应当为招标方提供7*24小时的安全守护，不论是白天、黑夜、节假日投标方都应该能做到7*24H在线服务，并且在节假日期间应当每日为招标方提供节假日值守快报。投标方应当向招标方承诺，</w:t>
            </w:r>
            <w:r>
              <w:rPr>
                <w:rFonts w:hint="eastAsia" w:cs="宋体" w:asciiTheme="minorEastAsia" w:hAnsiTheme="minorEastAsia" w:eastAsiaTheme="minorEastAsia"/>
                <w:kern w:val="0"/>
                <w:szCs w:val="24"/>
                <w:highlight w:val="none"/>
              </w:rPr>
              <w:t>不论白天、黑夜、节假日投标方都能为招标方提供</w:t>
            </w:r>
            <w:r>
              <w:rPr>
                <w:rFonts w:cs="宋体" w:asciiTheme="minorEastAsia" w:hAnsiTheme="minorEastAsia" w:eastAsiaTheme="minorEastAsia"/>
                <w:kern w:val="0"/>
                <w:szCs w:val="24"/>
                <w:highlight w:val="none"/>
              </w:rPr>
              <w:t>7*24H在线服务，并且在节假日期间能为招标方提供每日的节假日值守快报</w:t>
            </w:r>
            <w:r>
              <w:rPr>
                <w:rFonts w:hint="eastAsia" w:cs="宋体" w:asciiTheme="minorEastAsia" w:hAnsiTheme="minorEastAsia" w:eastAsiaTheme="minorEastAsia"/>
                <w:kern w:val="0"/>
                <w:szCs w:val="24"/>
              </w:rPr>
              <w:t>。</w:t>
            </w:r>
          </w:p>
        </w:tc>
      </w:tr>
      <w:tr w14:paraId="5E7C87B4">
        <w:tblPrEx>
          <w:tblCellMar>
            <w:top w:w="0" w:type="dxa"/>
            <w:left w:w="108" w:type="dxa"/>
            <w:bottom w:w="0" w:type="dxa"/>
            <w:right w:w="108" w:type="dxa"/>
          </w:tblCellMar>
        </w:tblPrEx>
        <w:trPr>
          <w:trHeight w:val="861" w:hRule="atLeast"/>
          <w:jc w:val="center"/>
        </w:trPr>
        <w:tc>
          <w:tcPr>
            <w:tcW w:w="1003" w:type="pct"/>
            <w:tcBorders>
              <w:top w:val="single" w:color="000000" w:sz="4" w:space="0"/>
              <w:left w:val="single" w:color="000000" w:sz="4" w:space="0"/>
              <w:right w:val="single" w:color="000000" w:sz="4" w:space="0"/>
            </w:tcBorders>
            <w:vAlign w:val="center"/>
          </w:tcPr>
          <w:p w14:paraId="5B77EBB1">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服务SLA</w:t>
            </w:r>
          </w:p>
          <w:p w14:paraId="34CEFC8D">
            <w:pPr>
              <w:widowControl/>
              <w:textAlignment w:val="center"/>
              <w:rPr>
                <w:rFonts w:asciiTheme="minorEastAsia" w:hAnsiTheme="minorEastAsia" w:eastAsiaTheme="minorEastAsia"/>
                <w:kern w:val="0"/>
                <w:szCs w:val="24"/>
              </w:rPr>
            </w:pPr>
          </w:p>
        </w:tc>
        <w:tc>
          <w:tcPr>
            <w:tcW w:w="3997" w:type="pct"/>
            <w:tcBorders>
              <w:top w:val="single" w:color="000000" w:sz="4" w:space="0"/>
              <w:left w:val="single" w:color="000000" w:sz="4" w:space="0"/>
              <w:bottom w:val="single" w:color="000000" w:sz="4" w:space="0"/>
              <w:right w:val="single" w:color="000000" w:sz="4" w:space="0"/>
            </w:tcBorders>
            <w:vAlign w:val="center"/>
          </w:tcPr>
          <w:p w14:paraId="51AF9C24">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为了降低招标方因网络安全事件造成的损失和影响，投标方应当按照以下服务指标和要求为招标方提供服务：</w:t>
            </w:r>
          </w:p>
          <w:p w14:paraId="41A62770">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（1）分析研判通知时效MTTA：从安全日志上传分析研判到通告给招标方的时间方面，按照国家标准对安全事件的分类分级指南，重大安全事件通告时间小于30分钟，一般事件的通告时间少于60分钟；</w:t>
            </w:r>
          </w:p>
          <w:p w14:paraId="39F6C8ED">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（2）遏制影响时效MTTC：在配备投标方的边界防护服务组件和端点防护服务组件的情况下，重大威胁与事件的遏制影响完成时间少于60分钟，一般威胁与事件的遏制影响完成时间少于4小时；</w:t>
            </w:r>
          </w:p>
          <w:p w14:paraId="3E618645">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（3）安全事件经过投标方服务人员的确认后，通告给招标方的各类安全事件的准确率不低于99%（即误报不能超过1%）；</w:t>
            </w:r>
          </w:p>
          <w:p w14:paraId="4E87A1D4">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（4）服务范围内的所有安全事件的闭环处置比例达到100%。</w:t>
            </w:r>
          </w:p>
          <w:p w14:paraId="334A5D2E">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（5）投标方应当满足重大事故应启动应急响应机制，工作时间15分钟之内云端专家进行响应，非工作时间30分钟之内云端专家进行响应</w:t>
            </w:r>
            <w:r>
              <w:rPr>
                <w:rFonts w:hint="eastAsia" w:cs="宋体" w:asciiTheme="minorEastAsia" w:hAnsiTheme="minorEastAsia" w:eastAsiaTheme="minorEastAsia"/>
                <w:kern w:val="0"/>
                <w:szCs w:val="24"/>
                <w:lang w:eastAsia="zh-CN"/>
              </w:rPr>
              <w:t>、</w:t>
            </w:r>
            <w:bookmarkStart w:id="4" w:name="_GoBack"/>
            <w:bookmarkEnd w:id="4"/>
            <w:r>
              <w:rPr>
                <w:rFonts w:hint="eastAsia" w:cs="宋体" w:asciiTheme="minorEastAsia" w:hAnsiTheme="minorEastAsia" w:eastAsiaTheme="minorEastAsia"/>
                <w:kern w:val="0"/>
                <w:szCs w:val="24"/>
              </w:rPr>
              <w:t>8小时上门处置。</w:t>
            </w:r>
          </w:p>
          <w:p w14:paraId="545B5C78">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（6）事件闭环时间MTTR：经招标方授权后，投标方服务人员协助进行安全事件的闭环，一般安全事件的闭环完成时间少于24小时，重大事件的闭环完成时间少于48小时；</w:t>
            </w:r>
          </w:p>
        </w:tc>
      </w:tr>
      <w:tr w14:paraId="21F9BA47">
        <w:tblPrEx>
          <w:tblCellMar>
            <w:top w:w="0" w:type="dxa"/>
            <w:left w:w="108" w:type="dxa"/>
            <w:bottom w:w="0" w:type="dxa"/>
            <w:right w:w="108" w:type="dxa"/>
          </w:tblCellMar>
        </w:tblPrEx>
        <w:trPr>
          <w:trHeight w:val="1550" w:hRule="atLeast"/>
          <w:jc w:val="center"/>
        </w:trPr>
        <w:tc>
          <w:tcPr>
            <w:tcW w:w="1003" w:type="pct"/>
            <w:vMerge w:val="restart"/>
            <w:tcBorders>
              <w:top w:val="single" w:color="000000" w:sz="4" w:space="0"/>
              <w:left w:val="single" w:color="000000" w:sz="4" w:space="0"/>
              <w:right w:val="single" w:color="000000" w:sz="4" w:space="0"/>
            </w:tcBorders>
            <w:vAlign w:val="center"/>
          </w:tcPr>
          <w:p w14:paraId="7C7CFB09">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用户侧平台</w:t>
            </w:r>
          </w:p>
        </w:tc>
        <w:tc>
          <w:tcPr>
            <w:tcW w:w="3997" w:type="pct"/>
            <w:tcBorders>
              <w:top w:val="single" w:color="000000" w:sz="4" w:space="0"/>
              <w:left w:val="single" w:color="000000" w:sz="4" w:space="0"/>
              <w:bottom w:val="single" w:color="000000" w:sz="4" w:space="0"/>
              <w:right w:val="single" w:color="000000" w:sz="4" w:space="0"/>
            </w:tcBorders>
            <w:vAlign w:val="center"/>
          </w:tcPr>
          <w:p w14:paraId="39D0D542">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投标方需为招标方提供服务成果展示门户（或用户Portal），需要提供安全托管服务相关信息的详细展示和呈现，分别为安全运营概览、事件&amp;威胁概况、服务承诺协议SLA、勒索风险概况、设备安全策略检查、行业情报，并支持全屏投放展示。需提供安全运营整体情况的总览页面，支持查看安全整体评分情况、托管资产和监测流量信息、托管资产及其承载的业务的安全现状，便于招标方清晰直观地从业务视角查阅当前具体哪些核心业务系统资产是安全的、哪些资产存在风险。</w:t>
            </w:r>
          </w:p>
        </w:tc>
      </w:tr>
      <w:tr w14:paraId="2E3DA307">
        <w:tblPrEx>
          <w:tblCellMar>
            <w:top w:w="0" w:type="dxa"/>
            <w:left w:w="108" w:type="dxa"/>
            <w:bottom w:w="0" w:type="dxa"/>
            <w:right w:w="108" w:type="dxa"/>
          </w:tblCellMar>
        </w:tblPrEx>
        <w:trPr>
          <w:trHeight w:val="648" w:hRule="atLeast"/>
          <w:jc w:val="center"/>
        </w:trPr>
        <w:tc>
          <w:tcPr>
            <w:tcW w:w="1003" w:type="pct"/>
            <w:vMerge w:val="continue"/>
            <w:tcBorders>
              <w:left w:val="single" w:color="000000" w:sz="4" w:space="0"/>
              <w:right w:val="single" w:color="000000" w:sz="4" w:space="0"/>
            </w:tcBorders>
            <w:vAlign w:val="center"/>
          </w:tcPr>
          <w:p w14:paraId="7E34ADA2">
            <w:pPr>
              <w:widowControl/>
              <w:textAlignment w:val="center"/>
              <w:rPr>
                <w:rFonts w:asciiTheme="minorEastAsia" w:hAnsiTheme="minorEastAsia" w:eastAsiaTheme="minorEastAsia"/>
                <w:kern w:val="0"/>
                <w:szCs w:val="24"/>
              </w:rPr>
            </w:pPr>
          </w:p>
        </w:tc>
        <w:tc>
          <w:tcPr>
            <w:tcW w:w="3997" w:type="pct"/>
            <w:tcBorders>
              <w:top w:val="single" w:color="000000" w:sz="4" w:space="0"/>
              <w:left w:val="single" w:color="000000" w:sz="4" w:space="0"/>
              <w:bottom w:val="single" w:color="000000" w:sz="4" w:space="0"/>
              <w:right w:val="single" w:color="000000" w:sz="4" w:space="0"/>
            </w:tcBorders>
            <w:vAlign w:val="center"/>
          </w:tcPr>
          <w:p w14:paraId="136FD243">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投标方需为招标方提供的服务成果展示门户（或用户Portal）应具备服务质量可视化展示，投标方能通过可视化的数据，清晰的了解安全专家的服务水平，至少包括平均研判时间、平均遏制时间MTTC、平均闭环时间MTTR、事件闭环率，以验证投标方所承诺的服务指标（或称为服务SLA）。</w:t>
            </w:r>
          </w:p>
        </w:tc>
      </w:tr>
      <w:tr w14:paraId="592FCC6F">
        <w:tblPrEx>
          <w:tblCellMar>
            <w:top w:w="0" w:type="dxa"/>
            <w:left w:w="108" w:type="dxa"/>
            <w:bottom w:w="0" w:type="dxa"/>
            <w:right w:w="108" w:type="dxa"/>
          </w:tblCellMar>
        </w:tblPrEx>
        <w:trPr>
          <w:trHeight w:val="648" w:hRule="atLeast"/>
          <w:jc w:val="center"/>
        </w:trPr>
        <w:tc>
          <w:tcPr>
            <w:tcW w:w="1003" w:type="pct"/>
            <w:vMerge w:val="continue"/>
            <w:tcBorders>
              <w:left w:val="single" w:color="000000" w:sz="4" w:space="0"/>
              <w:right w:val="single" w:color="000000" w:sz="4" w:space="0"/>
            </w:tcBorders>
            <w:vAlign w:val="center"/>
          </w:tcPr>
          <w:p w14:paraId="320C0B7C">
            <w:pPr>
              <w:widowControl/>
              <w:textAlignment w:val="center"/>
              <w:rPr>
                <w:rFonts w:asciiTheme="minorEastAsia" w:hAnsiTheme="minorEastAsia" w:eastAsiaTheme="minorEastAsia"/>
                <w:kern w:val="0"/>
                <w:szCs w:val="24"/>
              </w:rPr>
            </w:pPr>
          </w:p>
        </w:tc>
        <w:tc>
          <w:tcPr>
            <w:tcW w:w="3997" w:type="pct"/>
            <w:tcBorders>
              <w:top w:val="single" w:color="000000" w:sz="4" w:space="0"/>
              <w:left w:val="single" w:color="000000" w:sz="4" w:space="0"/>
              <w:bottom w:val="single" w:color="000000" w:sz="4" w:space="0"/>
              <w:right w:val="single" w:color="000000" w:sz="4" w:space="0"/>
            </w:tcBorders>
            <w:vAlign w:val="center"/>
          </w:tcPr>
          <w:p w14:paraId="4C9B8B3F">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投标方需为招标方提供服务成果展示门户，可以直观地管理服务过程中生产的服务报告和交付物，包括但不限于《项目启动会PPT》、《首次安全风险分析报告》、《威胁情报半月刊》、《安全运营周报》、《安全运营月报》、《安全运营季报》、《年度总结汇报》等。</w:t>
            </w:r>
          </w:p>
        </w:tc>
      </w:tr>
      <w:tr w14:paraId="55E6B196">
        <w:tblPrEx>
          <w:tblCellMar>
            <w:top w:w="0" w:type="dxa"/>
            <w:left w:w="108" w:type="dxa"/>
            <w:bottom w:w="0" w:type="dxa"/>
            <w:right w:w="108" w:type="dxa"/>
          </w:tblCellMar>
        </w:tblPrEx>
        <w:trPr>
          <w:trHeight w:val="648" w:hRule="atLeast"/>
          <w:jc w:val="center"/>
        </w:trPr>
        <w:tc>
          <w:tcPr>
            <w:tcW w:w="1003" w:type="pct"/>
            <w:vMerge w:val="restart"/>
            <w:tcBorders>
              <w:left w:val="single" w:color="000000" w:sz="4" w:space="0"/>
              <w:right w:val="single" w:color="000000" w:sz="4" w:space="0"/>
            </w:tcBorders>
            <w:vAlign w:val="center"/>
          </w:tcPr>
          <w:p w14:paraId="174461E9">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服务侧平台</w:t>
            </w:r>
          </w:p>
        </w:tc>
        <w:tc>
          <w:tcPr>
            <w:tcW w:w="3997" w:type="pct"/>
            <w:tcBorders>
              <w:top w:val="single" w:color="000000" w:sz="4" w:space="0"/>
              <w:left w:val="single" w:color="000000" w:sz="4" w:space="0"/>
              <w:bottom w:val="single" w:color="000000" w:sz="4" w:space="0"/>
              <w:right w:val="single" w:color="000000" w:sz="4" w:space="0"/>
            </w:tcBorders>
            <w:vAlign w:val="center"/>
          </w:tcPr>
          <w:p w14:paraId="133D4EE1">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为了保障服务效率和质量，投标方的云端服务平台应当具备一套完善的流程编排引擎，能够为客户灵活编排、定义服务流程，并且定义服务的SLA，将服务过程中的各个关键环节按照一定的顺序和规则进行组织和安排，以达到高效、优质的服务目标。</w:t>
            </w:r>
          </w:p>
        </w:tc>
      </w:tr>
      <w:tr w14:paraId="4EA9D599">
        <w:tblPrEx>
          <w:tblCellMar>
            <w:top w:w="0" w:type="dxa"/>
            <w:left w:w="108" w:type="dxa"/>
            <w:bottom w:w="0" w:type="dxa"/>
            <w:right w:w="108" w:type="dxa"/>
          </w:tblCellMar>
        </w:tblPrEx>
        <w:trPr>
          <w:trHeight w:val="648" w:hRule="atLeast"/>
          <w:jc w:val="center"/>
        </w:trPr>
        <w:tc>
          <w:tcPr>
            <w:tcW w:w="1003" w:type="pct"/>
            <w:vMerge w:val="continue"/>
            <w:tcBorders>
              <w:left w:val="single" w:color="000000" w:sz="4" w:space="0"/>
              <w:bottom w:val="single" w:color="auto" w:sz="4" w:space="0"/>
              <w:right w:val="single" w:color="000000" w:sz="4" w:space="0"/>
            </w:tcBorders>
            <w:vAlign w:val="center"/>
          </w:tcPr>
          <w:p w14:paraId="610A902F">
            <w:pPr>
              <w:widowControl/>
              <w:textAlignment w:val="center"/>
              <w:rPr>
                <w:rFonts w:asciiTheme="minorEastAsia" w:hAnsiTheme="minorEastAsia" w:eastAsiaTheme="minorEastAsia"/>
                <w:kern w:val="0"/>
                <w:szCs w:val="24"/>
              </w:rPr>
            </w:pPr>
          </w:p>
        </w:tc>
        <w:tc>
          <w:tcPr>
            <w:tcW w:w="3997" w:type="pct"/>
            <w:tcBorders>
              <w:top w:val="single" w:color="000000" w:sz="4" w:space="0"/>
              <w:left w:val="single" w:color="000000" w:sz="4" w:space="0"/>
              <w:bottom w:val="single" w:color="auto" w:sz="4" w:space="0"/>
              <w:right w:val="single" w:color="000000" w:sz="4" w:space="0"/>
            </w:tcBorders>
            <w:vAlign w:val="center"/>
          </w:tcPr>
          <w:p w14:paraId="329686BE">
            <w:pPr>
              <w:widowControl/>
              <w:textAlignment w:val="center"/>
              <w:rPr>
                <w:rFonts w:asciiTheme="minorEastAsia" w:hAnsiTheme="minorEastAsia" w:eastAsiaTheme="minorEastAsia"/>
                <w:kern w:val="0"/>
                <w:szCs w:val="24"/>
              </w:rPr>
            </w:pPr>
            <w:r>
              <w:rPr>
                <w:rFonts w:hint="eastAsia" w:cs="宋体" w:asciiTheme="minorEastAsia" w:hAnsiTheme="minorEastAsia" w:eastAsiaTheme="minorEastAsia"/>
                <w:kern w:val="0"/>
                <w:szCs w:val="24"/>
              </w:rPr>
              <w:t>投标方云端服务平台应当做好严格的安全防护，并严格按照《</w:t>
            </w:r>
            <w:r>
              <w:fldChar w:fldCharType="begin"/>
            </w:r>
            <w:r>
              <w:instrText xml:space="preserve"> HYPERLINK "https://baike.baidu.com/item/%E4%BF%A1%E6%81%AF%E5%AE%89%E5%85%A8%E6%8A%80%E6%9C%AF%E2%80%94%E7%BD%91%E7%BB%9C%E5%AE%89%E5%85%A8%E7%AD%89%E7%BA%A7%E4%BF%9D%E6%8A%A4%E5%9F%BA%E6%9C%AC%E8%A6%81%E6%B1%82/53703710?fromModule=lemma_inlink" \t "/Users/duan/Documentsx/_blank" </w:instrText>
            </w:r>
            <w:r>
              <w:fldChar w:fldCharType="separate"/>
            </w:r>
            <w:r>
              <w:rPr>
                <w:rFonts w:hint="eastAsia" w:cs="宋体" w:asciiTheme="minorEastAsia" w:hAnsiTheme="minorEastAsia" w:eastAsiaTheme="minorEastAsia"/>
                <w:kern w:val="0"/>
                <w:szCs w:val="24"/>
              </w:rPr>
              <w:t>信息安全技术—网络安全等级保护基本要求</w:t>
            </w:r>
            <w:r>
              <w:rPr>
                <w:rFonts w:hint="eastAsia" w:cs="宋体" w:asciiTheme="minorEastAsia" w:hAnsiTheme="minorEastAsia" w:eastAsiaTheme="minorEastAsia"/>
                <w:kern w:val="0"/>
                <w:szCs w:val="24"/>
              </w:rPr>
              <w:fldChar w:fldCharType="end"/>
            </w:r>
            <w:r>
              <w:rPr>
                <w:rFonts w:hint="eastAsia" w:cs="宋体" w:asciiTheme="minorEastAsia" w:hAnsiTheme="minorEastAsia" w:eastAsiaTheme="minorEastAsia"/>
                <w:kern w:val="0"/>
                <w:szCs w:val="24"/>
              </w:rPr>
              <w:t>》完成等级保护测评工作，服务平台至少通过等级保护三级测评。</w:t>
            </w:r>
          </w:p>
        </w:tc>
      </w:tr>
    </w:tbl>
    <w:p w14:paraId="262DD3E2">
      <w:pPr>
        <w:widowControl/>
        <w:spacing w:line="240" w:lineRule="auto"/>
        <w:ind w:firstLine="420"/>
        <w:jc w:val="left"/>
      </w:pPr>
      <w:r>
        <w:rPr>
          <w:rFonts w:hint="eastAsia"/>
        </w:rPr>
        <w:t>▲指标需提供技术支持资料，以制造商公开发布的印刷资料（产品彩页、产品说明书、产品白皮书、官网截图）、界面截图、第三方检测机构出具的检测报告或在有效期内的证书扫描件等为准，投标人可以只提供上述材料关键页的复印件，关键页需体现投标产品的品牌、规格型号、相关性能指标，相关性能指标需以醒目的方式标明；凡不符合上述要求的视为无效技术支持资料。</w:t>
      </w:r>
    </w:p>
    <w:p w14:paraId="10273624"/>
    <w:p w14:paraId="6686A353">
      <w:pPr>
        <w:pStyle w:val="4"/>
      </w:pPr>
      <w:r>
        <w:rPr>
          <w:rFonts w:hint="eastAsia"/>
        </w:rPr>
        <w:t>安全运维服务</w:t>
      </w:r>
    </w:p>
    <w:tbl>
      <w:tblPr>
        <w:tblStyle w:val="17"/>
        <w:tblW w:w="9781"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60"/>
        <w:gridCol w:w="1695"/>
        <w:gridCol w:w="6392"/>
        <w:gridCol w:w="412"/>
        <w:gridCol w:w="722"/>
      </w:tblGrid>
      <w:tr w14:paraId="26C99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9" w:hRule="atLeast"/>
        </w:trPr>
        <w:tc>
          <w:tcPr>
            <w:tcW w:w="560" w:type="dxa"/>
            <w:tcMar>
              <w:top w:w="6" w:type="dxa"/>
              <w:left w:w="6" w:type="dxa"/>
              <w:bottom w:w="0" w:type="dxa"/>
              <w:right w:w="6" w:type="dxa"/>
            </w:tcMar>
            <w:vAlign w:val="center"/>
          </w:tcPr>
          <w:p w14:paraId="6534CEEB">
            <w:pPr>
              <w:widowControl/>
              <w:spacing w:line="240" w:lineRule="auto"/>
              <w:jc w:val="center"/>
              <w:rPr>
                <w:rFonts w:cs="宋体"/>
                <w:b/>
                <w:kern w:val="0"/>
                <w:szCs w:val="24"/>
              </w:rPr>
            </w:pPr>
            <w:r>
              <w:rPr>
                <w:rFonts w:cs="宋体"/>
                <w:b/>
                <w:kern w:val="0"/>
                <w:szCs w:val="24"/>
              </w:rPr>
              <w:t>序号</w:t>
            </w:r>
          </w:p>
        </w:tc>
        <w:tc>
          <w:tcPr>
            <w:tcW w:w="1695" w:type="dxa"/>
            <w:tcMar>
              <w:top w:w="6" w:type="dxa"/>
              <w:left w:w="6" w:type="dxa"/>
              <w:bottom w:w="0" w:type="dxa"/>
              <w:right w:w="6" w:type="dxa"/>
            </w:tcMar>
            <w:vAlign w:val="center"/>
          </w:tcPr>
          <w:p w14:paraId="4B5DC9E8">
            <w:pPr>
              <w:widowControl/>
              <w:spacing w:line="240" w:lineRule="auto"/>
              <w:jc w:val="center"/>
              <w:rPr>
                <w:rFonts w:cs="宋体"/>
                <w:b/>
                <w:kern w:val="0"/>
                <w:szCs w:val="24"/>
              </w:rPr>
            </w:pPr>
            <w:r>
              <w:rPr>
                <w:rFonts w:cs="宋体"/>
                <w:b/>
                <w:kern w:val="0"/>
                <w:szCs w:val="24"/>
              </w:rPr>
              <w:t>服务名称</w:t>
            </w:r>
          </w:p>
        </w:tc>
        <w:tc>
          <w:tcPr>
            <w:tcW w:w="6392" w:type="dxa"/>
            <w:tcMar>
              <w:top w:w="6" w:type="dxa"/>
              <w:left w:w="6" w:type="dxa"/>
              <w:bottom w:w="0" w:type="dxa"/>
              <w:right w:w="6" w:type="dxa"/>
            </w:tcMar>
            <w:vAlign w:val="center"/>
          </w:tcPr>
          <w:p w14:paraId="224BC8A1">
            <w:pPr>
              <w:widowControl/>
              <w:spacing w:line="240" w:lineRule="auto"/>
              <w:jc w:val="center"/>
              <w:rPr>
                <w:rFonts w:cs="宋体"/>
                <w:b/>
                <w:kern w:val="0"/>
                <w:szCs w:val="24"/>
              </w:rPr>
            </w:pPr>
            <w:r>
              <w:rPr>
                <w:rFonts w:cs="宋体"/>
                <w:b/>
                <w:kern w:val="0"/>
                <w:szCs w:val="24"/>
              </w:rPr>
              <w:t>服务内容</w:t>
            </w:r>
          </w:p>
        </w:tc>
        <w:tc>
          <w:tcPr>
            <w:tcW w:w="412" w:type="dxa"/>
            <w:tcMar>
              <w:top w:w="6" w:type="dxa"/>
              <w:left w:w="6" w:type="dxa"/>
              <w:bottom w:w="0" w:type="dxa"/>
              <w:right w:w="6" w:type="dxa"/>
            </w:tcMar>
            <w:vAlign w:val="center"/>
          </w:tcPr>
          <w:p w14:paraId="15C63E6A">
            <w:pPr>
              <w:widowControl/>
              <w:spacing w:line="240" w:lineRule="auto"/>
              <w:jc w:val="center"/>
              <w:rPr>
                <w:rFonts w:cs="宋体"/>
                <w:b/>
                <w:kern w:val="0"/>
                <w:szCs w:val="24"/>
              </w:rPr>
            </w:pPr>
            <w:r>
              <w:rPr>
                <w:rFonts w:cs="宋体"/>
                <w:b/>
                <w:kern w:val="0"/>
                <w:szCs w:val="24"/>
              </w:rPr>
              <w:t>单位</w:t>
            </w:r>
          </w:p>
        </w:tc>
        <w:tc>
          <w:tcPr>
            <w:tcW w:w="722" w:type="dxa"/>
            <w:tcMar>
              <w:top w:w="6" w:type="dxa"/>
              <w:left w:w="6" w:type="dxa"/>
              <w:bottom w:w="0" w:type="dxa"/>
              <w:right w:w="6" w:type="dxa"/>
            </w:tcMar>
            <w:vAlign w:val="center"/>
          </w:tcPr>
          <w:p w14:paraId="703612C4">
            <w:pPr>
              <w:widowControl/>
              <w:spacing w:line="240" w:lineRule="auto"/>
              <w:jc w:val="center"/>
              <w:rPr>
                <w:rFonts w:cs="宋体"/>
                <w:b/>
                <w:kern w:val="0"/>
                <w:szCs w:val="24"/>
              </w:rPr>
            </w:pPr>
            <w:r>
              <w:rPr>
                <w:rFonts w:cs="宋体"/>
                <w:b/>
                <w:kern w:val="0"/>
                <w:szCs w:val="24"/>
              </w:rPr>
              <w:t>数量</w:t>
            </w:r>
          </w:p>
        </w:tc>
      </w:tr>
      <w:tr w14:paraId="77848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9" w:hRule="atLeast"/>
        </w:trPr>
        <w:tc>
          <w:tcPr>
            <w:tcW w:w="560" w:type="dxa"/>
            <w:tcMar>
              <w:top w:w="6" w:type="dxa"/>
              <w:left w:w="6" w:type="dxa"/>
              <w:bottom w:w="0" w:type="dxa"/>
              <w:right w:w="6" w:type="dxa"/>
            </w:tcMar>
            <w:vAlign w:val="center"/>
          </w:tcPr>
          <w:p w14:paraId="343DE653">
            <w:pPr>
              <w:widowControl/>
              <w:spacing w:line="240" w:lineRule="auto"/>
              <w:jc w:val="center"/>
              <w:rPr>
                <w:rFonts w:cs="宋体"/>
                <w:kern w:val="0"/>
                <w:sz w:val="22"/>
                <w:szCs w:val="22"/>
              </w:rPr>
            </w:pPr>
            <w:r>
              <w:rPr>
                <w:rFonts w:hint="eastAsia" w:cs="宋体"/>
                <w:kern w:val="0"/>
                <w:sz w:val="22"/>
                <w:szCs w:val="22"/>
              </w:rPr>
              <w:t>1</w:t>
            </w:r>
          </w:p>
        </w:tc>
        <w:tc>
          <w:tcPr>
            <w:tcW w:w="1695" w:type="dxa"/>
            <w:tcMar>
              <w:top w:w="6" w:type="dxa"/>
              <w:left w:w="6" w:type="dxa"/>
              <w:bottom w:w="0" w:type="dxa"/>
              <w:right w:w="6" w:type="dxa"/>
            </w:tcMar>
            <w:vAlign w:val="center"/>
          </w:tcPr>
          <w:p w14:paraId="070E0B65">
            <w:pPr>
              <w:widowControl/>
              <w:spacing w:line="240" w:lineRule="auto"/>
              <w:jc w:val="center"/>
              <w:rPr>
                <w:rFonts w:cs="宋体"/>
                <w:b/>
                <w:kern w:val="0"/>
                <w:sz w:val="22"/>
                <w:szCs w:val="22"/>
              </w:rPr>
            </w:pPr>
            <w:r>
              <w:rPr>
                <w:rFonts w:hint="eastAsia" w:cs="宋体"/>
                <w:kern w:val="0"/>
                <w:sz w:val="22"/>
                <w:szCs w:val="22"/>
              </w:rPr>
              <w:t>攻防演练</w:t>
            </w:r>
          </w:p>
        </w:tc>
        <w:tc>
          <w:tcPr>
            <w:tcW w:w="6392" w:type="dxa"/>
            <w:tcMar>
              <w:top w:w="6" w:type="dxa"/>
              <w:left w:w="6" w:type="dxa"/>
              <w:bottom w:w="0" w:type="dxa"/>
              <w:right w:w="6" w:type="dxa"/>
            </w:tcMar>
            <w:vAlign w:val="center"/>
          </w:tcPr>
          <w:p w14:paraId="15747841">
            <w:pPr>
              <w:widowControl/>
              <w:spacing w:line="240" w:lineRule="auto"/>
              <w:jc w:val="center"/>
              <w:rPr>
                <w:rFonts w:cs="宋体"/>
                <w:b/>
                <w:kern w:val="0"/>
                <w:sz w:val="22"/>
                <w:szCs w:val="22"/>
              </w:rPr>
            </w:pPr>
            <w:r>
              <w:rPr>
                <w:rFonts w:hint="eastAsia"/>
                <w:color w:val="000000" w:themeColor="text1"/>
                <w:sz w:val="22"/>
                <w:szCs w:val="22"/>
                <w14:textFill>
                  <w14:solidFill>
                    <w14:schemeClr w14:val="tx1"/>
                  </w14:solidFill>
                </w14:textFill>
              </w:rPr>
              <w:t>以攻击者视角，组织安全专家作为红队（攻击队），针对客户单位的信息资产，不限攻击路径、不限攻击目标、不限攻击手段，展开贴近真实遭遇攻击场景，以验证系统整体安全防御水平</w:t>
            </w:r>
            <w:r>
              <w:rPr>
                <w:color w:val="000000" w:themeColor="text1"/>
                <w:sz w:val="22"/>
                <w:szCs w:val="22"/>
                <w14:textFill>
                  <w14:solidFill>
                    <w14:schemeClr w14:val="tx1"/>
                  </w14:solidFill>
                </w14:textFill>
              </w:rPr>
              <w:t>。</w:t>
            </w:r>
            <w:r>
              <w:rPr>
                <w:rFonts w:hint="eastAsia"/>
                <w:color w:val="000000" w:themeColor="text1"/>
                <w:sz w:val="22"/>
                <w:szCs w:val="22"/>
                <w14:textFill>
                  <w14:solidFill>
                    <w14:schemeClr w14:val="tx1"/>
                  </w14:solidFill>
                </w14:textFill>
              </w:rPr>
              <w:t>交付物：《攻防演练报告》</w:t>
            </w:r>
          </w:p>
        </w:tc>
        <w:tc>
          <w:tcPr>
            <w:tcW w:w="412" w:type="dxa"/>
            <w:tcMar>
              <w:top w:w="6" w:type="dxa"/>
              <w:left w:w="6" w:type="dxa"/>
              <w:bottom w:w="0" w:type="dxa"/>
              <w:right w:w="6" w:type="dxa"/>
            </w:tcMar>
            <w:vAlign w:val="center"/>
          </w:tcPr>
          <w:p w14:paraId="629FABE9">
            <w:pPr>
              <w:widowControl/>
              <w:spacing w:line="240" w:lineRule="auto"/>
              <w:jc w:val="center"/>
              <w:rPr>
                <w:rFonts w:cs="宋体"/>
                <w:b/>
                <w:kern w:val="0"/>
                <w:sz w:val="22"/>
                <w:szCs w:val="22"/>
              </w:rPr>
            </w:pPr>
            <w:r>
              <w:rPr>
                <w:rFonts w:hint="eastAsia"/>
                <w:sz w:val="22"/>
                <w:szCs w:val="22"/>
              </w:rPr>
              <w:t>次</w:t>
            </w:r>
          </w:p>
        </w:tc>
        <w:tc>
          <w:tcPr>
            <w:tcW w:w="722" w:type="dxa"/>
            <w:tcMar>
              <w:top w:w="6" w:type="dxa"/>
              <w:left w:w="6" w:type="dxa"/>
              <w:bottom w:w="0" w:type="dxa"/>
              <w:right w:w="6" w:type="dxa"/>
            </w:tcMar>
            <w:vAlign w:val="center"/>
          </w:tcPr>
          <w:p w14:paraId="7A46FCF9">
            <w:pPr>
              <w:widowControl/>
              <w:spacing w:line="240" w:lineRule="auto"/>
              <w:jc w:val="center"/>
              <w:rPr>
                <w:rFonts w:cs="宋体"/>
                <w:b/>
                <w:kern w:val="0"/>
                <w:sz w:val="22"/>
                <w:szCs w:val="22"/>
              </w:rPr>
            </w:pPr>
            <w:r>
              <w:rPr>
                <w:rFonts w:hint="eastAsia"/>
                <w:sz w:val="22"/>
                <w:szCs w:val="22"/>
              </w:rPr>
              <w:t>1</w:t>
            </w:r>
          </w:p>
        </w:tc>
      </w:tr>
      <w:tr w14:paraId="0FBAA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trPr>
        <w:tc>
          <w:tcPr>
            <w:tcW w:w="560" w:type="dxa"/>
            <w:tcMar>
              <w:top w:w="6" w:type="dxa"/>
              <w:left w:w="6" w:type="dxa"/>
              <w:bottom w:w="0" w:type="dxa"/>
              <w:right w:w="6" w:type="dxa"/>
            </w:tcMar>
            <w:vAlign w:val="center"/>
          </w:tcPr>
          <w:p w14:paraId="72C1F34C">
            <w:pPr>
              <w:widowControl/>
              <w:spacing w:line="240" w:lineRule="auto"/>
              <w:jc w:val="center"/>
              <w:rPr>
                <w:rFonts w:cs="宋体"/>
                <w:kern w:val="0"/>
                <w:sz w:val="22"/>
                <w:szCs w:val="22"/>
              </w:rPr>
            </w:pPr>
            <w:r>
              <w:rPr>
                <w:rFonts w:hint="eastAsia" w:cs="宋体"/>
                <w:kern w:val="0"/>
                <w:sz w:val="22"/>
                <w:szCs w:val="22"/>
              </w:rPr>
              <w:t>2</w:t>
            </w:r>
          </w:p>
        </w:tc>
        <w:tc>
          <w:tcPr>
            <w:tcW w:w="1695" w:type="dxa"/>
            <w:tcMar>
              <w:top w:w="6" w:type="dxa"/>
              <w:left w:w="6" w:type="dxa"/>
              <w:bottom w:w="0" w:type="dxa"/>
              <w:right w:w="6" w:type="dxa"/>
            </w:tcMar>
            <w:vAlign w:val="center"/>
          </w:tcPr>
          <w:p w14:paraId="18C941BF">
            <w:pPr>
              <w:widowControl/>
              <w:spacing w:line="240" w:lineRule="auto"/>
              <w:jc w:val="center"/>
              <w:rPr>
                <w:rFonts w:cs="宋体"/>
                <w:kern w:val="0"/>
                <w:sz w:val="22"/>
                <w:szCs w:val="22"/>
              </w:rPr>
            </w:pPr>
            <w:r>
              <w:rPr>
                <w:rFonts w:hint="eastAsia" w:cs="宋体"/>
                <w:kern w:val="0"/>
                <w:sz w:val="22"/>
                <w:szCs w:val="22"/>
              </w:rPr>
              <w:t>安全漏洞评估</w:t>
            </w:r>
          </w:p>
        </w:tc>
        <w:tc>
          <w:tcPr>
            <w:tcW w:w="6392" w:type="dxa"/>
            <w:tcMar>
              <w:top w:w="6" w:type="dxa"/>
              <w:left w:w="6" w:type="dxa"/>
              <w:bottom w:w="0" w:type="dxa"/>
              <w:right w:w="6" w:type="dxa"/>
            </w:tcMar>
            <w:vAlign w:val="center"/>
          </w:tcPr>
          <w:p w14:paraId="0847628E">
            <w:pPr>
              <w:widowControl/>
              <w:spacing w:line="240" w:lineRule="auto"/>
              <w:jc w:val="center"/>
              <w:rPr>
                <w:rFonts w:cs="宋体"/>
                <w:kern w:val="0"/>
                <w:sz w:val="22"/>
                <w:szCs w:val="22"/>
              </w:rPr>
            </w:pPr>
            <w:r>
              <w:rPr>
                <w:rFonts w:hint="eastAsia"/>
                <w:color w:val="000000" w:themeColor="text1"/>
                <w:sz w:val="22"/>
                <w:szCs w:val="22"/>
                <w14:textFill>
                  <w14:solidFill>
                    <w14:schemeClr w14:val="tx1"/>
                  </w14:solidFill>
                </w14:textFill>
              </w:rPr>
              <w:t>对系统中相关的网络设备、操作系统、数据库和应用服务中存在的安全漏洞进行检测。交付物：《漏洞扫描报告》</w:t>
            </w:r>
          </w:p>
        </w:tc>
        <w:tc>
          <w:tcPr>
            <w:tcW w:w="412" w:type="dxa"/>
            <w:tcMar>
              <w:top w:w="6" w:type="dxa"/>
              <w:left w:w="6" w:type="dxa"/>
              <w:bottom w:w="0" w:type="dxa"/>
              <w:right w:w="6" w:type="dxa"/>
            </w:tcMar>
            <w:vAlign w:val="center"/>
          </w:tcPr>
          <w:p w14:paraId="542FEBD0">
            <w:pPr>
              <w:widowControl/>
              <w:spacing w:line="240" w:lineRule="auto"/>
              <w:jc w:val="center"/>
              <w:rPr>
                <w:rFonts w:cs="宋体"/>
                <w:kern w:val="0"/>
                <w:sz w:val="22"/>
                <w:szCs w:val="22"/>
              </w:rPr>
            </w:pPr>
            <w:r>
              <w:rPr>
                <w:rFonts w:hint="eastAsia"/>
                <w:sz w:val="22"/>
                <w:szCs w:val="22"/>
              </w:rPr>
              <w:t>次</w:t>
            </w:r>
          </w:p>
        </w:tc>
        <w:tc>
          <w:tcPr>
            <w:tcW w:w="722" w:type="dxa"/>
            <w:tcMar>
              <w:top w:w="6" w:type="dxa"/>
              <w:left w:w="6" w:type="dxa"/>
              <w:bottom w:w="0" w:type="dxa"/>
              <w:right w:w="6" w:type="dxa"/>
            </w:tcMar>
            <w:vAlign w:val="center"/>
          </w:tcPr>
          <w:p w14:paraId="2A12E429">
            <w:pPr>
              <w:widowControl/>
              <w:spacing w:line="240" w:lineRule="auto"/>
              <w:jc w:val="center"/>
              <w:rPr>
                <w:rFonts w:cs="宋体"/>
                <w:kern w:val="0"/>
                <w:sz w:val="22"/>
                <w:szCs w:val="22"/>
              </w:rPr>
            </w:pPr>
            <w:r>
              <w:rPr>
                <w:rFonts w:hint="eastAsia"/>
                <w:sz w:val="22"/>
                <w:szCs w:val="22"/>
              </w:rPr>
              <w:t>5</w:t>
            </w:r>
          </w:p>
        </w:tc>
      </w:tr>
      <w:tr w14:paraId="02590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trPr>
        <w:tc>
          <w:tcPr>
            <w:tcW w:w="560" w:type="dxa"/>
            <w:tcMar>
              <w:top w:w="6" w:type="dxa"/>
              <w:left w:w="6" w:type="dxa"/>
              <w:bottom w:w="0" w:type="dxa"/>
              <w:right w:w="6" w:type="dxa"/>
            </w:tcMar>
            <w:vAlign w:val="center"/>
          </w:tcPr>
          <w:p w14:paraId="499C4B63">
            <w:pPr>
              <w:widowControl/>
              <w:spacing w:line="240" w:lineRule="auto"/>
              <w:jc w:val="center"/>
              <w:rPr>
                <w:rFonts w:cs="宋体"/>
                <w:kern w:val="0"/>
                <w:sz w:val="22"/>
                <w:szCs w:val="22"/>
              </w:rPr>
            </w:pPr>
            <w:r>
              <w:rPr>
                <w:rFonts w:hint="eastAsia" w:cs="宋体"/>
                <w:kern w:val="0"/>
                <w:sz w:val="22"/>
                <w:szCs w:val="22"/>
              </w:rPr>
              <w:t>3</w:t>
            </w:r>
          </w:p>
        </w:tc>
        <w:tc>
          <w:tcPr>
            <w:tcW w:w="1695" w:type="dxa"/>
            <w:tcMar>
              <w:top w:w="6" w:type="dxa"/>
              <w:left w:w="6" w:type="dxa"/>
              <w:bottom w:w="0" w:type="dxa"/>
              <w:right w:w="6" w:type="dxa"/>
            </w:tcMar>
            <w:vAlign w:val="center"/>
          </w:tcPr>
          <w:p w14:paraId="0370880D">
            <w:pPr>
              <w:widowControl/>
              <w:spacing w:line="240" w:lineRule="auto"/>
              <w:jc w:val="center"/>
              <w:rPr>
                <w:rFonts w:cs="宋体"/>
                <w:kern w:val="0"/>
                <w:sz w:val="22"/>
                <w:szCs w:val="22"/>
              </w:rPr>
            </w:pPr>
            <w:r>
              <w:rPr>
                <w:rFonts w:hint="eastAsia" w:cs="宋体"/>
                <w:kern w:val="0"/>
                <w:sz w:val="22"/>
                <w:szCs w:val="22"/>
              </w:rPr>
              <w:t>渗透测试</w:t>
            </w:r>
          </w:p>
        </w:tc>
        <w:tc>
          <w:tcPr>
            <w:tcW w:w="6392" w:type="dxa"/>
            <w:tcMar>
              <w:top w:w="6" w:type="dxa"/>
              <w:left w:w="6" w:type="dxa"/>
              <w:bottom w:w="0" w:type="dxa"/>
              <w:right w:w="6" w:type="dxa"/>
            </w:tcMar>
            <w:vAlign w:val="center"/>
          </w:tcPr>
          <w:p w14:paraId="43366DE5">
            <w:pPr>
              <w:widowControl/>
              <w:spacing w:line="240" w:lineRule="auto"/>
              <w:jc w:val="center"/>
              <w:rPr>
                <w:rFonts w:cs="宋体"/>
                <w:kern w:val="0"/>
                <w:sz w:val="22"/>
                <w:szCs w:val="22"/>
              </w:rPr>
            </w:pPr>
            <w:r>
              <w:rPr>
                <w:rFonts w:hint="eastAsia"/>
                <w:color w:val="000000" w:themeColor="text1"/>
                <w:sz w:val="22"/>
                <w:szCs w:val="22"/>
                <w14:textFill>
                  <w14:solidFill>
                    <w14:schemeClr w14:val="tx1"/>
                  </w14:solidFill>
                </w14:textFill>
              </w:rPr>
              <w:t>从攻击者的视角，模拟黑客所使用的攻击手段对目标系统进行模拟入侵，以充分挖掘和暴露系统的弱点，从而让管理人员了解其系统所面临的威胁，包含复测，</w:t>
            </w:r>
            <w:r>
              <w:rPr>
                <w:rFonts w:hint="eastAsia" w:cs="宋体" w:asciiTheme="minorEastAsia" w:hAnsiTheme="minorEastAsia"/>
                <w:color w:val="000000" w:themeColor="text1"/>
                <w:kern w:val="0"/>
                <w:sz w:val="22"/>
                <w:szCs w:val="22"/>
                <w14:textFill>
                  <w14:solidFill>
                    <w14:schemeClr w14:val="tx1"/>
                  </w14:solidFill>
                </w14:textFill>
              </w:rPr>
              <w:t>对修复的高危，进行人工验证。交付物：《渗透测试报告》</w:t>
            </w:r>
          </w:p>
        </w:tc>
        <w:tc>
          <w:tcPr>
            <w:tcW w:w="412" w:type="dxa"/>
            <w:tcMar>
              <w:top w:w="6" w:type="dxa"/>
              <w:left w:w="6" w:type="dxa"/>
              <w:bottom w:w="0" w:type="dxa"/>
              <w:right w:w="6" w:type="dxa"/>
            </w:tcMar>
            <w:vAlign w:val="center"/>
          </w:tcPr>
          <w:p w14:paraId="7CE69016">
            <w:pPr>
              <w:widowControl/>
              <w:spacing w:line="240" w:lineRule="auto"/>
              <w:jc w:val="center"/>
              <w:rPr>
                <w:rFonts w:cs="宋体"/>
                <w:kern w:val="0"/>
                <w:sz w:val="22"/>
                <w:szCs w:val="22"/>
              </w:rPr>
            </w:pPr>
            <w:r>
              <w:rPr>
                <w:rFonts w:hint="eastAsia"/>
                <w:sz w:val="22"/>
                <w:szCs w:val="22"/>
              </w:rPr>
              <w:t>系统</w:t>
            </w:r>
          </w:p>
        </w:tc>
        <w:tc>
          <w:tcPr>
            <w:tcW w:w="722" w:type="dxa"/>
            <w:tcMar>
              <w:top w:w="6" w:type="dxa"/>
              <w:left w:w="6" w:type="dxa"/>
              <w:bottom w:w="0" w:type="dxa"/>
              <w:right w:w="6" w:type="dxa"/>
            </w:tcMar>
            <w:vAlign w:val="center"/>
          </w:tcPr>
          <w:p w14:paraId="2E48323A">
            <w:pPr>
              <w:widowControl/>
              <w:spacing w:line="240" w:lineRule="auto"/>
              <w:jc w:val="center"/>
              <w:rPr>
                <w:rFonts w:cs="宋体"/>
                <w:kern w:val="0"/>
                <w:sz w:val="22"/>
                <w:szCs w:val="22"/>
              </w:rPr>
            </w:pPr>
            <w:r>
              <w:rPr>
                <w:rFonts w:hint="eastAsia"/>
                <w:sz w:val="22"/>
                <w:szCs w:val="22"/>
              </w:rPr>
              <w:t>12</w:t>
            </w:r>
          </w:p>
        </w:tc>
      </w:tr>
      <w:tr w14:paraId="6B92E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5" w:hRule="atLeast"/>
        </w:trPr>
        <w:tc>
          <w:tcPr>
            <w:tcW w:w="560" w:type="dxa"/>
            <w:tcMar>
              <w:top w:w="10" w:type="dxa"/>
              <w:left w:w="10" w:type="dxa"/>
              <w:bottom w:w="0" w:type="dxa"/>
              <w:right w:w="10" w:type="dxa"/>
            </w:tcMar>
            <w:vAlign w:val="center"/>
          </w:tcPr>
          <w:p w14:paraId="4F53AD95">
            <w:pPr>
              <w:widowControl/>
              <w:spacing w:line="240" w:lineRule="auto"/>
              <w:jc w:val="center"/>
              <w:rPr>
                <w:rFonts w:cs="宋体"/>
                <w:kern w:val="0"/>
                <w:sz w:val="22"/>
                <w:szCs w:val="22"/>
              </w:rPr>
            </w:pPr>
            <w:r>
              <w:rPr>
                <w:rFonts w:hint="eastAsia" w:cs="宋体"/>
                <w:kern w:val="0"/>
                <w:sz w:val="22"/>
                <w:szCs w:val="22"/>
              </w:rPr>
              <w:t>4</w:t>
            </w:r>
          </w:p>
        </w:tc>
        <w:tc>
          <w:tcPr>
            <w:tcW w:w="1695" w:type="dxa"/>
            <w:tcMar>
              <w:top w:w="10" w:type="dxa"/>
              <w:left w:w="10" w:type="dxa"/>
              <w:bottom w:w="0" w:type="dxa"/>
              <w:right w:w="10" w:type="dxa"/>
            </w:tcMar>
            <w:vAlign w:val="center"/>
          </w:tcPr>
          <w:p w14:paraId="29AAA91C">
            <w:pPr>
              <w:jc w:val="center"/>
              <w:rPr>
                <w:sz w:val="22"/>
                <w:szCs w:val="22"/>
              </w:rPr>
            </w:pPr>
            <w:r>
              <w:rPr>
                <w:rFonts w:hint="eastAsia" w:cs="宋体"/>
                <w:kern w:val="0"/>
                <w:sz w:val="22"/>
                <w:szCs w:val="22"/>
              </w:rPr>
              <w:t>漏洞管理服务</w:t>
            </w:r>
          </w:p>
        </w:tc>
        <w:tc>
          <w:tcPr>
            <w:tcW w:w="6392" w:type="dxa"/>
            <w:tcMar>
              <w:top w:w="10" w:type="dxa"/>
              <w:left w:w="10" w:type="dxa"/>
              <w:bottom w:w="0" w:type="dxa"/>
              <w:right w:w="10" w:type="dxa"/>
            </w:tcMar>
            <w:vAlign w:val="center"/>
          </w:tcPr>
          <w:p w14:paraId="405E4866">
            <w:pPr>
              <w:widowControl/>
              <w:spacing w:line="240" w:lineRule="auto"/>
              <w:jc w:val="left"/>
              <w:rPr>
                <w:rFonts w:cs="宋体"/>
                <w:kern w:val="0"/>
                <w:sz w:val="22"/>
                <w:szCs w:val="22"/>
              </w:rPr>
            </w:pPr>
            <w:r>
              <w:rPr>
                <w:rFonts w:hint="eastAsia" w:cs="宋体"/>
                <w:kern w:val="0"/>
                <w:sz w:val="22"/>
                <w:szCs w:val="22"/>
              </w:rPr>
              <w:t>提供漏洞闭环管理服务，针对院内所有服务器操作系统漏洞提供解决方案，告知并跟踪修复进度，保证域控补丁服务器的正常使用。</w:t>
            </w:r>
            <w:r>
              <w:rPr>
                <w:rFonts w:hint="eastAsia"/>
                <w:color w:val="000000" w:themeColor="text1"/>
                <w:sz w:val="22"/>
                <w:szCs w:val="22"/>
                <w14:textFill>
                  <w14:solidFill>
                    <w14:schemeClr w14:val="tx1"/>
                  </w14:solidFill>
                </w14:textFill>
              </w:rPr>
              <w:t>交付物：</w:t>
            </w:r>
            <w:r>
              <w:rPr>
                <w:szCs w:val="24"/>
              </w:rPr>
              <w:t>《</w:t>
            </w:r>
            <w:r>
              <w:rPr>
                <w:rFonts w:hint="eastAsia"/>
                <w:szCs w:val="24"/>
              </w:rPr>
              <w:t>漏洞修复进度表</w:t>
            </w:r>
            <w:r>
              <w:rPr>
                <w:szCs w:val="24"/>
              </w:rPr>
              <w:t>》</w:t>
            </w:r>
          </w:p>
        </w:tc>
        <w:tc>
          <w:tcPr>
            <w:tcW w:w="412" w:type="dxa"/>
            <w:tcMar>
              <w:top w:w="10" w:type="dxa"/>
              <w:left w:w="10" w:type="dxa"/>
              <w:bottom w:w="0" w:type="dxa"/>
              <w:right w:w="10" w:type="dxa"/>
            </w:tcMar>
            <w:vAlign w:val="center"/>
          </w:tcPr>
          <w:p w14:paraId="724B4A1F">
            <w:pPr>
              <w:widowControl/>
              <w:spacing w:line="240" w:lineRule="auto"/>
              <w:jc w:val="center"/>
              <w:rPr>
                <w:sz w:val="22"/>
                <w:szCs w:val="22"/>
              </w:rPr>
            </w:pPr>
            <w:r>
              <w:rPr>
                <w:rFonts w:hint="eastAsia"/>
                <w:sz w:val="22"/>
                <w:szCs w:val="22"/>
              </w:rPr>
              <w:t>年</w:t>
            </w:r>
          </w:p>
        </w:tc>
        <w:tc>
          <w:tcPr>
            <w:tcW w:w="722" w:type="dxa"/>
            <w:tcMar>
              <w:top w:w="10" w:type="dxa"/>
              <w:left w:w="10" w:type="dxa"/>
              <w:bottom w:w="0" w:type="dxa"/>
              <w:right w:w="10" w:type="dxa"/>
            </w:tcMar>
            <w:vAlign w:val="center"/>
          </w:tcPr>
          <w:p w14:paraId="6F73B15A">
            <w:pPr>
              <w:widowControl/>
              <w:spacing w:line="240" w:lineRule="auto"/>
              <w:jc w:val="center"/>
              <w:rPr>
                <w:sz w:val="22"/>
                <w:szCs w:val="22"/>
              </w:rPr>
            </w:pPr>
            <w:r>
              <w:rPr>
                <w:rFonts w:hint="eastAsia"/>
                <w:sz w:val="22"/>
                <w:szCs w:val="22"/>
              </w:rPr>
              <w:t>1</w:t>
            </w:r>
          </w:p>
        </w:tc>
      </w:tr>
      <w:tr w14:paraId="6D339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5" w:hRule="atLeast"/>
        </w:trPr>
        <w:tc>
          <w:tcPr>
            <w:tcW w:w="560" w:type="dxa"/>
            <w:tcMar>
              <w:top w:w="10" w:type="dxa"/>
              <w:left w:w="10" w:type="dxa"/>
              <w:bottom w:w="0" w:type="dxa"/>
              <w:right w:w="10" w:type="dxa"/>
            </w:tcMar>
            <w:vAlign w:val="center"/>
          </w:tcPr>
          <w:p w14:paraId="0E5CD28B">
            <w:pPr>
              <w:widowControl/>
              <w:spacing w:line="240" w:lineRule="auto"/>
              <w:jc w:val="center"/>
              <w:rPr>
                <w:rFonts w:cs="宋体"/>
                <w:kern w:val="0"/>
                <w:sz w:val="22"/>
                <w:szCs w:val="22"/>
              </w:rPr>
            </w:pPr>
            <w:r>
              <w:rPr>
                <w:rFonts w:hint="eastAsia" w:cs="宋体"/>
                <w:kern w:val="0"/>
                <w:sz w:val="22"/>
                <w:szCs w:val="22"/>
              </w:rPr>
              <w:t>5</w:t>
            </w:r>
          </w:p>
        </w:tc>
        <w:tc>
          <w:tcPr>
            <w:tcW w:w="1695" w:type="dxa"/>
            <w:tcMar>
              <w:top w:w="10" w:type="dxa"/>
              <w:left w:w="10" w:type="dxa"/>
              <w:bottom w:w="0" w:type="dxa"/>
              <w:right w:w="10" w:type="dxa"/>
            </w:tcMar>
            <w:vAlign w:val="center"/>
          </w:tcPr>
          <w:p w14:paraId="60B208A3">
            <w:pPr>
              <w:jc w:val="center"/>
              <w:rPr>
                <w:rFonts w:cs="宋体"/>
                <w:kern w:val="0"/>
                <w:sz w:val="22"/>
                <w:szCs w:val="22"/>
              </w:rPr>
            </w:pPr>
            <w:r>
              <w:rPr>
                <w:rFonts w:hint="eastAsia" w:cs="宋体"/>
                <w:kern w:val="0"/>
                <w:sz w:val="22"/>
                <w:szCs w:val="22"/>
              </w:rPr>
              <w:t>新业务上线安全评估以及配合落地服务</w:t>
            </w:r>
          </w:p>
        </w:tc>
        <w:tc>
          <w:tcPr>
            <w:tcW w:w="6392" w:type="dxa"/>
            <w:tcMar>
              <w:top w:w="10" w:type="dxa"/>
              <w:left w:w="10" w:type="dxa"/>
              <w:bottom w:w="0" w:type="dxa"/>
              <w:right w:w="10" w:type="dxa"/>
            </w:tcMar>
            <w:vAlign w:val="center"/>
          </w:tcPr>
          <w:p w14:paraId="682BB588">
            <w:pPr>
              <w:widowControl/>
              <w:spacing w:line="240" w:lineRule="auto"/>
              <w:jc w:val="left"/>
              <w:rPr>
                <w:rFonts w:cs="宋体"/>
                <w:kern w:val="0"/>
                <w:sz w:val="22"/>
                <w:szCs w:val="22"/>
              </w:rPr>
            </w:pPr>
            <w:r>
              <w:rPr>
                <w:rFonts w:hint="eastAsia" w:cs="宋体"/>
                <w:kern w:val="0"/>
                <w:sz w:val="22"/>
                <w:szCs w:val="22"/>
              </w:rPr>
              <w:t>针对医院不断上线的新业务需求，从安全的角度参与方案的评审工作，对系统部署位置、技术平台的选择、需要达到的安全要求等提出专业的意见供甲方参考。并在业务上线过程中提供相应的安全设置调整配合工作。</w:t>
            </w:r>
            <w:r>
              <w:rPr>
                <w:rFonts w:hint="eastAsia"/>
                <w:color w:val="000000" w:themeColor="text1"/>
                <w:sz w:val="22"/>
                <w:szCs w:val="22"/>
                <w14:textFill>
                  <w14:solidFill>
                    <w14:schemeClr w14:val="tx1"/>
                  </w14:solidFill>
                </w14:textFill>
              </w:rPr>
              <w:t>交付物：</w:t>
            </w:r>
            <w:r>
              <w:rPr>
                <w:szCs w:val="24"/>
              </w:rPr>
              <w:t>《</w:t>
            </w:r>
            <w:r>
              <w:rPr>
                <w:rFonts w:hint="eastAsia"/>
                <w:szCs w:val="24"/>
              </w:rPr>
              <w:t>配置变更单</w:t>
            </w:r>
            <w:r>
              <w:rPr>
                <w:szCs w:val="24"/>
              </w:rPr>
              <w:t>》</w:t>
            </w:r>
          </w:p>
        </w:tc>
        <w:tc>
          <w:tcPr>
            <w:tcW w:w="412" w:type="dxa"/>
            <w:tcMar>
              <w:top w:w="10" w:type="dxa"/>
              <w:left w:w="10" w:type="dxa"/>
              <w:bottom w:w="0" w:type="dxa"/>
              <w:right w:w="10" w:type="dxa"/>
            </w:tcMar>
            <w:vAlign w:val="center"/>
          </w:tcPr>
          <w:p w14:paraId="0B7F6BA3">
            <w:pPr>
              <w:widowControl/>
              <w:spacing w:line="240" w:lineRule="auto"/>
              <w:jc w:val="center"/>
              <w:rPr>
                <w:sz w:val="22"/>
                <w:szCs w:val="22"/>
              </w:rPr>
            </w:pPr>
            <w:r>
              <w:rPr>
                <w:rFonts w:hint="eastAsia"/>
                <w:sz w:val="22"/>
                <w:szCs w:val="22"/>
              </w:rPr>
              <w:t>年</w:t>
            </w:r>
          </w:p>
        </w:tc>
        <w:tc>
          <w:tcPr>
            <w:tcW w:w="722" w:type="dxa"/>
            <w:tcMar>
              <w:top w:w="10" w:type="dxa"/>
              <w:left w:w="10" w:type="dxa"/>
              <w:bottom w:w="0" w:type="dxa"/>
              <w:right w:w="10" w:type="dxa"/>
            </w:tcMar>
            <w:vAlign w:val="center"/>
          </w:tcPr>
          <w:p w14:paraId="233BBD36">
            <w:pPr>
              <w:widowControl/>
              <w:spacing w:line="240" w:lineRule="auto"/>
              <w:jc w:val="center"/>
              <w:rPr>
                <w:sz w:val="22"/>
                <w:szCs w:val="22"/>
              </w:rPr>
            </w:pPr>
            <w:r>
              <w:rPr>
                <w:rFonts w:hint="eastAsia"/>
                <w:sz w:val="22"/>
                <w:szCs w:val="22"/>
              </w:rPr>
              <w:t>1</w:t>
            </w:r>
          </w:p>
        </w:tc>
      </w:tr>
      <w:tr w14:paraId="79613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5" w:hRule="atLeast"/>
        </w:trPr>
        <w:tc>
          <w:tcPr>
            <w:tcW w:w="560" w:type="dxa"/>
            <w:tcMar>
              <w:top w:w="10" w:type="dxa"/>
              <w:left w:w="10" w:type="dxa"/>
              <w:bottom w:w="0" w:type="dxa"/>
              <w:right w:w="10" w:type="dxa"/>
            </w:tcMar>
            <w:vAlign w:val="center"/>
          </w:tcPr>
          <w:p w14:paraId="755473B8">
            <w:pPr>
              <w:widowControl/>
              <w:spacing w:line="240" w:lineRule="auto"/>
              <w:jc w:val="center"/>
              <w:rPr>
                <w:rFonts w:cs="宋体"/>
                <w:kern w:val="0"/>
                <w:sz w:val="22"/>
                <w:szCs w:val="22"/>
              </w:rPr>
            </w:pPr>
            <w:r>
              <w:rPr>
                <w:rFonts w:hint="eastAsia" w:cs="宋体"/>
                <w:kern w:val="0"/>
                <w:sz w:val="22"/>
                <w:szCs w:val="22"/>
              </w:rPr>
              <w:t>6</w:t>
            </w:r>
          </w:p>
        </w:tc>
        <w:tc>
          <w:tcPr>
            <w:tcW w:w="1695" w:type="dxa"/>
            <w:tcMar>
              <w:top w:w="10" w:type="dxa"/>
              <w:left w:w="10" w:type="dxa"/>
              <w:bottom w:w="0" w:type="dxa"/>
              <w:right w:w="10" w:type="dxa"/>
            </w:tcMar>
            <w:vAlign w:val="center"/>
          </w:tcPr>
          <w:p w14:paraId="241325BC">
            <w:pPr>
              <w:jc w:val="center"/>
              <w:rPr>
                <w:rFonts w:cs="宋体"/>
                <w:kern w:val="0"/>
                <w:sz w:val="22"/>
                <w:szCs w:val="22"/>
              </w:rPr>
            </w:pPr>
            <w:r>
              <w:rPr>
                <w:rFonts w:hint="eastAsia" w:cs="宋体"/>
                <w:kern w:val="0"/>
                <w:sz w:val="22"/>
                <w:szCs w:val="22"/>
              </w:rPr>
              <w:t>安全产品测试服务</w:t>
            </w:r>
          </w:p>
        </w:tc>
        <w:tc>
          <w:tcPr>
            <w:tcW w:w="6392" w:type="dxa"/>
            <w:tcMar>
              <w:top w:w="10" w:type="dxa"/>
              <w:left w:w="10" w:type="dxa"/>
              <w:bottom w:w="0" w:type="dxa"/>
              <w:right w:w="10" w:type="dxa"/>
            </w:tcMar>
            <w:vAlign w:val="center"/>
          </w:tcPr>
          <w:p w14:paraId="7C0CB4D4">
            <w:pPr>
              <w:widowControl/>
              <w:spacing w:line="240" w:lineRule="auto"/>
              <w:jc w:val="left"/>
              <w:rPr>
                <w:rFonts w:cs="宋体"/>
                <w:kern w:val="0"/>
                <w:sz w:val="22"/>
                <w:szCs w:val="22"/>
              </w:rPr>
            </w:pPr>
            <w:r>
              <w:rPr>
                <w:rFonts w:hint="eastAsia" w:cs="宋体"/>
                <w:kern w:val="0"/>
                <w:sz w:val="22"/>
                <w:szCs w:val="22"/>
              </w:rPr>
              <w:t>对于前沿的安全技术和优秀的解决方案或产品，医院需要引入进行测试和评估，乙方需要提供测试的配合工作，并参与产品的价值评估，提出专业的意见供甲方参考。</w:t>
            </w:r>
            <w:r>
              <w:rPr>
                <w:rFonts w:hint="eastAsia"/>
                <w:color w:val="000000" w:themeColor="text1"/>
                <w:sz w:val="22"/>
                <w:szCs w:val="22"/>
                <w14:textFill>
                  <w14:solidFill>
                    <w14:schemeClr w14:val="tx1"/>
                  </w14:solidFill>
                </w14:textFill>
              </w:rPr>
              <w:t>交付物：</w:t>
            </w:r>
            <w:r>
              <w:rPr>
                <w:szCs w:val="24"/>
              </w:rPr>
              <w:t>《</w:t>
            </w:r>
            <w:r>
              <w:rPr>
                <w:rFonts w:hint="eastAsia"/>
                <w:szCs w:val="24"/>
              </w:rPr>
              <w:t>产品测试报告</w:t>
            </w:r>
            <w:r>
              <w:rPr>
                <w:szCs w:val="24"/>
              </w:rPr>
              <w:t>》</w:t>
            </w:r>
          </w:p>
        </w:tc>
        <w:tc>
          <w:tcPr>
            <w:tcW w:w="412" w:type="dxa"/>
            <w:tcMar>
              <w:top w:w="10" w:type="dxa"/>
              <w:left w:w="10" w:type="dxa"/>
              <w:bottom w:w="0" w:type="dxa"/>
              <w:right w:w="10" w:type="dxa"/>
            </w:tcMar>
            <w:vAlign w:val="center"/>
          </w:tcPr>
          <w:p w14:paraId="088602B8">
            <w:pPr>
              <w:widowControl/>
              <w:spacing w:line="240" w:lineRule="auto"/>
              <w:jc w:val="center"/>
              <w:rPr>
                <w:sz w:val="22"/>
                <w:szCs w:val="22"/>
              </w:rPr>
            </w:pPr>
            <w:r>
              <w:rPr>
                <w:rFonts w:hint="eastAsia"/>
                <w:sz w:val="22"/>
                <w:szCs w:val="22"/>
              </w:rPr>
              <w:t>年</w:t>
            </w:r>
          </w:p>
        </w:tc>
        <w:tc>
          <w:tcPr>
            <w:tcW w:w="722" w:type="dxa"/>
            <w:tcMar>
              <w:top w:w="10" w:type="dxa"/>
              <w:left w:w="10" w:type="dxa"/>
              <w:bottom w:w="0" w:type="dxa"/>
              <w:right w:w="10" w:type="dxa"/>
            </w:tcMar>
            <w:vAlign w:val="center"/>
          </w:tcPr>
          <w:p w14:paraId="3504FEDC">
            <w:pPr>
              <w:widowControl/>
              <w:spacing w:line="240" w:lineRule="auto"/>
              <w:jc w:val="center"/>
              <w:rPr>
                <w:sz w:val="22"/>
                <w:szCs w:val="22"/>
              </w:rPr>
            </w:pPr>
            <w:r>
              <w:rPr>
                <w:rFonts w:hint="eastAsia"/>
                <w:sz w:val="22"/>
                <w:szCs w:val="22"/>
              </w:rPr>
              <w:t>1</w:t>
            </w:r>
          </w:p>
        </w:tc>
      </w:tr>
      <w:tr w14:paraId="0F574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5" w:hRule="atLeast"/>
        </w:trPr>
        <w:tc>
          <w:tcPr>
            <w:tcW w:w="560" w:type="dxa"/>
            <w:tcMar>
              <w:top w:w="10" w:type="dxa"/>
              <w:left w:w="10" w:type="dxa"/>
              <w:bottom w:w="0" w:type="dxa"/>
              <w:right w:w="10" w:type="dxa"/>
            </w:tcMar>
            <w:vAlign w:val="center"/>
          </w:tcPr>
          <w:p w14:paraId="501042C8">
            <w:pPr>
              <w:widowControl/>
              <w:spacing w:line="240" w:lineRule="auto"/>
              <w:jc w:val="center"/>
              <w:rPr>
                <w:rFonts w:cs="宋体"/>
                <w:kern w:val="0"/>
                <w:sz w:val="22"/>
                <w:szCs w:val="22"/>
              </w:rPr>
            </w:pPr>
            <w:r>
              <w:rPr>
                <w:rFonts w:hint="eastAsia" w:cs="宋体"/>
                <w:kern w:val="0"/>
                <w:sz w:val="22"/>
                <w:szCs w:val="22"/>
              </w:rPr>
              <w:t>7</w:t>
            </w:r>
          </w:p>
        </w:tc>
        <w:tc>
          <w:tcPr>
            <w:tcW w:w="1695" w:type="dxa"/>
            <w:tcMar>
              <w:top w:w="10" w:type="dxa"/>
              <w:left w:w="10" w:type="dxa"/>
              <w:bottom w:w="0" w:type="dxa"/>
              <w:right w:w="10" w:type="dxa"/>
            </w:tcMar>
            <w:vAlign w:val="center"/>
          </w:tcPr>
          <w:p w14:paraId="22686692">
            <w:pPr>
              <w:jc w:val="center"/>
              <w:rPr>
                <w:rFonts w:cs="宋体"/>
                <w:kern w:val="0"/>
                <w:sz w:val="22"/>
                <w:szCs w:val="22"/>
              </w:rPr>
            </w:pPr>
            <w:r>
              <w:rPr>
                <w:rFonts w:hint="eastAsia" w:cs="宋体"/>
                <w:kern w:val="0"/>
                <w:sz w:val="22"/>
                <w:szCs w:val="22"/>
              </w:rPr>
              <w:t>各类检查应对牵头服务</w:t>
            </w:r>
          </w:p>
        </w:tc>
        <w:tc>
          <w:tcPr>
            <w:tcW w:w="6392" w:type="dxa"/>
            <w:tcMar>
              <w:top w:w="10" w:type="dxa"/>
              <w:left w:w="10" w:type="dxa"/>
              <w:bottom w:w="0" w:type="dxa"/>
              <w:right w:w="10" w:type="dxa"/>
            </w:tcMar>
            <w:vAlign w:val="center"/>
          </w:tcPr>
          <w:p w14:paraId="129EF505">
            <w:pPr>
              <w:widowControl/>
              <w:spacing w:line="240" w:lineRule="auto"/>
              <w:jc w:val="left"/>
              <w:rPr>
                <w:rFonts w:cs="宋体"/>
                <w:kern w:val="0"/>
                <w:sz w:val="22"/>
                <w:szCs w:val="22"/>
              </w:rPr>
            </w:pPr>
            <w:r>
              <w:rPr>
                <w:rFonts w:hint="eastAsia" w:cs="宋体"/>
                <w:kern w:val="0"/>
                <w:sz w:val="22"/>
                <w:szCs w:val="22"/>
              </w:rPr>
              <w:t>针对每年都会开展的卫健委要求的自查、飞行检查、医保检查等各类安全检查提供支持服务，应对各类检查文件或者现场检查。需要及时补足检查发现的安全问题。</w:t>
            </w:r>
            <w:r>
              <w:rPr>
                <w:rFonts w:hint="eastAsia"/>
                <w:color w:val="000000" w:themeColor="text1"/>
                <w:sz w:val="22"/>
                <w:szCs w:val="22"/>
                <w14:textFill>
                  <w14:solidFill>
                    <w14:schemeClr w14:val="tx1"/>
                  </w14:solidFill>
                </w14:textFill>
              </w:rPr>
              <w:t>交付物：按照各检查要求交付</w:t>
            </w:r>
          </w:p>
        </w:tc>
        <w:tc>
          <w:tcPr>
            <w:tcW w:w="412" w:type="dxa"/>
            <w:tcMar>
              <w:top w:w="10" w:type="dxa"/>
              <w:left w:w="10" w:type="dxa"/>
              <w:bottom w:w="0" w:type="dxa"/>
              <w:right w:w="10" w:type="dxa"/>
            </w:tcMar>
            <w:vAlign w:val="center"/>
          </w:tcPr>
          <w:p w14:paraId="4E5E7E41">
            <w:pPr>
              <w:widowControl/>
              <w:spacing w:line="240" w:lineRule="auto"/>
              <w:jc w:val="center"/>
              <w:rPr>
                <w:sz w:val="22"/>
                <w:szCs w:val="22"/>
              </w:rPr>
            </w:pPr>
            <w:r>
              <w:rPr>
                <w:rFonts w:hint="eastAsia"/>
                <w:sz w:val="22"/>
                <w:szCs w:val="22"/>
              </w:rPr>
              <w:t>年</w:t>
            </w:r>
          </w:p>
        </w:tc>
        <w:tc>
          <w:tcPr>
            <w:tcW w:w="722" w:type="dxa"/>
            <w:tcMar>
              <w:top w:w="10" w:type="dxa"/>
              <w:left w:w="10" w:type="dxa"/>
              <w:bottom w:w="0" w:type="dxa"/>
              <w:right w:w="10" w:type="dxa"/>
            </w:tcMar>
            <w:vAlign w:val="center"/>
          </w:tcPr>
          <w:p w14:paraId="2A1628B3">
            <w:pPr>
              <w:widowControl/>
              <w:spacing w:line="240" w:lineRule="auto"/>
              <w:jc w:val="center"/>
              <w:rPr>
                <w:sz w:val="22"/>
                <w:szCs w:val="22"/>
              </w:rPr>
            </w:pPr>
            <w:r>
              <w:rPr>
                <w:rFonts w:hint="eastAsia"/>
                <w:sz w:val="22"/>
                <w:szCs w:val="22"/>
              </w:rPr>
              <w:t>1</w:t>
            </w:r>
          </w:p>
        </w:tc>
      </w:tr>
      <w:tr w14:paraId="634A4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5" w:hRule="atLeast"/>
        </w:trPr>
        <w:tc>
          <w:tcPr>
            <w:tcW w:w="560" w:type="dxa"/>
            <w:tcMar>
              <w:top w:w="10" w:type="dxa"/>
              <w:left w:w="10" w:type="dxa"/>
              <w:bottom w:w="0" w:type="dxa"/>
              <w:right w:w="10" w:type="dxa"/>
            </w:tcMar>
            <w:vAlign w:val="center"/>
          </w:tcPr>
          <w:p w14:paraId="70340777">
            <w:pPr>
              <w:widowControl/>
              <w:spacing w:line="240" w:lineRule="auto"/>
              <w:jc w:val="center"/>
              <w:rPr>
                <w:rFonts w:cs="宋体"/>
                <w:kern w:val="0"/>
                <w:sz w:val="22"/>
                <w:szCs w:val="22"/>
              </w:rPr>
            </w:pPr>
            <w:r>
              <w:rPr>
                <w:rFonts w:hint="eastAsia" w:cs="宋体"/>
                <w:kern w:val="0"/>
                <w:sz w:val="22"/>
                <w:szCs w:val="22"/>
              </w:rPr>
              <w:t>8</w:t>
            </w:r>
          </w:p>
        </w:tc>
        <w:tc>
          <w:tcPr>
            <w:tcW w:w="1695" w:type="dxa"/>
            <w:tcMar>
              <w:top w:w="10" w:type="dxa"/>
              <w:left w:w="10" w:type="dxa"/>
              <w:bottom w:w="0" w:type="dxa"/>
              <w:right w:w="10" w:type="dxa"/>
            </w:tcMar>
            <w:vAlign w:val="center"/>
          </w:tcPr>
          <w:p w14:paraId="5548B1B2">
            <w:pPr>
              <w:jc w:val="center"/>
              <w:rPr>
                <w:rFonts w:cs="宋体"/>
                <w:kern w:val="0"/>
                <w:sz w:val="22"/>
                <w:szCs w:val="22"/>
              </w:rPr>
            </w:pPr>
            <w:r>
              <w:rPr>
                <w:rFonts w:hint="eastAsia" w:cs="宋体"/>
                <w:kern w:val="0"/>
                <w:sz w:val="22"/>
                <w:szCs w:val="22"/>
              </w:rPr>
              <w:t>重保应急响应服务</w:t>
            </w:r>
          </w:p>
        </w:tc>
        <w:tc>
          <w:tcPr>
            <w:tcW w:w="6392" w:type="dxa"/>
            <w:tcMar>
              <w:top w:w="10" w:type="dxa"/>
              <w:left w:w="10" w:type="dxa"/>
              <w:bottom w:w="0" w:type="dxa"/>
              <w:right w:w="10" w:type="dxa"/>
            </w:tcMar>
            <w:vAlign w:val="center"/>
          </w:tcPr>
          <w:p w14:paraId="6B025CA4">
            <w:pPr>
              <w:widowControl/>
              <w:spacing w:line="240" w:lineRule="auto"/>
              <w:jc w:val="left"/>
              <w:rPr>
                <w:rFonts w:cs="宋体"/>
                <w:kern w:val="0"/>
                <w:sz w:val="22"/>
                <w:szCs w:val="22"/>
              </w:rPr>
            </w:pPr>
            <w:r>
              <w:rPr>
                <w:rFonts w:hint="eastAsia" w:cs="宋体"/>
                <w:kern w:val="0"/>
                <w:sz w:val="22"/>
                <w:szCs w:val="22"/>
              </w:rPr>
              <w:t>针对每年发生的两会、进博会等关键时间节点，提供重保服务，加强对安全设备的监测，同时提供7</w:t>
            </w:r>
            <w:r>
              <w:rPr>
                <w:rFonts w:cs="宋体"/>
                <w:kern w:val="0"/>
                <w:sz w:val="22"/>
                <w:szCs w:val="22"/>
              </w:rPr>
              <w:t>*24</w:t>
            </w:r>
            <w:r>
              <w:rPr>
                <w:rFonts w:hint="eastAsia" w:cs="宋体"/>
                <w:kern w:val="0"/>
                <w:sz w:val="22"/>
                <w:szCs w:val="22"/>
              </w:rPr>
              <w:t>小时的应急响应服务。</w:t>
            </w:r>
            <w:r>
              <w:rPr>
                <w:rFonts w:hint="eastAsia"/>
                <w:color w:val="000000" w:themeColor="text1"/>
                <w:sz w:val="22"/>
                <w:szCs w:val="22"/>
                <w14:textFill>
                  <w14:solidFill>
                    <w14:schemeClr w14:val="tx1"/>
                  </w14:solidFill>
                </w14:textFill>
              </w:rPr>
              <w:t>交付物：《应急响应报告》（按需）</w:t>
            </w:r>
          </w:p>
        </w:tc>
        <w:tc>
          <w:tcPr>
            <w:tcW w:w="412" w:type="dxa"/>
            <w:tcMar>
              <w:top w:w="10" w:type="dxa"/>
              <w:left w:w="10" w:type="dxa"/>
              <w:bottom w:w="0" w:type="dxa"/>
              <w:right w:w="10" w:type="dxa"/>
            </w:tcMar>
            <w:vAlign w:val="center"/>
          </w:tcPr>
          <w:p w14:paraId="7B603F4D">
            <w:pPr>
              <w:widowControl/>
              <w:spacing w:line="240" w:lineRule="auto"/>
              <w:jc w:val="center"/>
              <w:rPr>
                <w:sz w:val="22"/>
                <w:szCs w:val="22"/>
              </w:rPr>
            </w:pPr>
            <w:r>
              <w:rPr>
                <w:rFonts w:hint="eastAsia"/>
                <w:sz w:val="22"/>
                <w:szCs w:val="22"/>
              </w:rPr>
              <w:t>年</w:t>
            </w:r>
          </w:p>
        </w:tc>
        <w:tc>
          <w:tcPr>
            <w:tcW w:w="722" w:type="dxa"/>
            <w:tcMar>
              <w:top w:w="10" w:type="dxa"/>
              <w:left w:w="10" w:type="dxa"/>
              <w:bottom w:w="0" w:type="dxa"/>
              <w:right w:w="10" w:type="dxa"/>
            </w:tcMar>
            <w:vAlign w:val="center"/>
          </w:tcPr>
          <w:p w14:paraId="53A72495">
            <w:pPr>
              <w:widowControl/>
              <w:spacing w:line="240" w:lineRule="auto"/>
              <w:jc w:val="center"/>
              <w:rPr>
                <w:sz w:val="22"/>
                <w:szCs w:val="22"/>
              </w:rPr>
            </w:pPr>
            <w:r>
              <w:rPr>
                <w:rFonts w:hint="eastAsia"/>
                <w:sz w:val="22"/>
                <w:szCs w:val="22"/>
              </w:rPr>
              <w:t>1</w:t>
            </w:r>
          </w:p>
        </w:tc>
      </w:tr>
      <w:tr w14:paraId="72273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5" w:hRule="atLeast"/>
        </w:trPr>
        <w:tc>
          <w:tcPr>
            <w:tcW w:w="560" w:type="dxa"/>
            <w:tcMar>
              <w:top w:w="10" w:type="dxa"/>
              <w:left w:w="10" w:type="dxa"/>
              <w:bottom w:w="0" w:type="dxa"/>
              <w:right w:w="10" w:type="dxa"/>
            </w:tcMar>
            <w:vAlign w:val="center"/>
          </w:tcPr>
          <w:p w14:paraId="679B8BD0">
            <w:pPr>
              <w:widowControl/>
              <w:spacing w:line="240" w:lineRule="auto"/>
              <w:jc w:val="center"/>
              <w:rPr>
                <w:rFonts w:cs="宋体"/>
                <w:kern w:val="0"/>
                <w:sz w:val="22"/>
                <w:szCs w:val="22"/>
              </w:rPr>
            </w:pPr>
            <w:r>
              <w:rPr>
                <w:rFonts w:hint="eastAsia" w:cs="宋体"/>
                <w:kern w:val="0"/>
                <w:sz w:val="22"/>
                <w:szCs w:val="22"/>
              </w:rPr>
              <w:t>9</w:t>
            </w:r>
          </w:p>
        </w:tc>
        <w:tc>
          <w:tcPr>
            <w:tcW w:w="1695" w:type="dxa"/>
            <w:tcMar>
              <w:top w:w="10" w:type="dxa"/>
              <w:left w:w="10" w:type="dxa"/>
              <w:bottom w:w="0" w:type="dxa"/>
              <w:right w:w="10" w:type="dxa"/>
            </w:tcMar>
            <w:vAlign w:val="center"/>
          </w:tcPr>
          <w:p w14:paraId="4490C5EE">
            <w:pPr>
              <w:jc w:val="center"/>
              <w:rPr>
                <w:rFonts w:cs="宋体"/>
                <w:kern w:val="0"/>
                <w:sz w:val="22"/>
                <w:szCs w:val="22"/>
              </w:rPr>
            </w:pPr>
            <w:r>
              <w:rPr>
                <w:rFonts w:hint="eastAsia" w:cs="宋体"/>
                <w:kern w:val="0"/>
                <w:sz w:val="22"/>
                <w:szCs w:val="22"/>
              </w:rPr>
              <w:t>资产暴露面收敛服务</w:t>
            </w:r>
          </w:p>
        </w:tc>
        <w:tc>
          <w:tcPr>
            <w:tcW w:w="6392" w:type="dxa"/>
            <w:tcMar>
              <w:top w:w="10" w:type="dxa"/>
              <w:left w:w="10" w:type="dxa"/>
              <w:bottom w:w="0" w:type="dxa"/>
              <w:right w:w="10" w:type="dxa"/>
            </w:tcMar>
            <w:vAlign w:val="center"/>
          </w:tcPr>
          <w:p w14:paraId="40333356">
            <w:pPr>
              <w:widowControl/>
              <w:spacing w:line="240" w:lineRule="auto"/>
              <w:jc w:val="left"/>
              <w:rPr>
                <w:rFonts w:cs="宋体"/>
                <w:kern w:val="0"/>
                <w:sz w:val="22"/>
                <w:szCs w:val="22"/>
              </w:rPr>
            </w:pPr>
            <w:r>
              <w:rPr>
                <w:rFonts w:hint="eastAsia" w:cs="宋体"/>
                <w:kern w:val="0"/>
                <w:sz w:val="22"/>
                <w:szCs w:val="22"/>
              </w:rPr>
              <w:t>针对目前医院对外开放的IP、端口、域名信息进行完整的梳理，确认不需要开放的服务，有计划性的推动配置的缩减，减小不必要的资产暴露面。并及时跟进医院业务变化，快速跟进调整。确保对外暴露的资产始终保持最小。</w:t>
            </w:r>
            <w:r>
              <w:rPr>
                <w:rFonts w:hint="eastAsia"/>
                <w:color w:val="000000" w:themeColor="text1"/>
                <w:sz w:val="22"/>
                <w:szCs w:val="22"/>
                <w14:textFill>
                  <w14:solidFill>
                    <w14:schemeClr w14:val="tx1"/>
                  </w14:solidFill>
                </w14:textFill>
              </w:rPr>
              <w:t>交付物：《出口防火墙NAT策略表》、《DNS解析记录表》</w:t>
            </w:r>
          </w:p>
        </w:tc>
        <w:tc>
          <w:tcPr>
            <w:tcW w:w="412" w:type="dxa"/>
            <w:tcMar>
              <w:top w:w="10" w:type="dxa"/>
              <w:left w:w="10" w:type="dxa"/>
              <w:bottom w:w="0" w:type="dxa"/>
              <w:right w:w="10" w:type="dxa"/>
            </w:tcMar>
            <w:vAlign w:val="center"/>
          </w:tcPr>
          <w:p w14:paraId="45D5DA61">
            <w:pPr>
              <w:widowControl/>
              <w:spacing w:line="240" w:lineRule="auto"/>
              <w:jc w:val="center"/>
              <w:rPr>
                <w:sz w:val="22"/>
                <w:szCs w:val="22"/>
              </w:rPr>
            </w:pPr>
            <w:r>
              <w:rPr>
                <w:rFonts w:hint="eastAsia"/>
                <w:sz w:val="22"/>
                <w:szCs w:val="22"/>
              </w:rPr>
              <w:t>年</w:t>
            </w:r>
          </w:p>
        </w:tc>
        <w:tc>
          <w:tcPr>
            <w:tcW w:w="722" w:type="dxa"/>
            <w:tcMar>
              <w:top w:w="10" w:type="dxa"/>
              <w:left w:w="10" w:type="dxa"/>
              <w:bottom w:w="0" w:type="dxa"/>
              <w:right w:w="10" w:type="dxa"/>
            </w:tcMar>
            <w:vAlign w:val="center"/>
          </w:tcPr>
          <w:p w14:paraId="7C063B33">
            <w:pPr>
              <w:widowControl/>
              <w:spacing w:line="240" w:lineRule="auto"/>
              <w:jc w:val="center"/>
              <w:rPr>
                <w:sz w:val="22"/>
                <w:szCs w:val="22"/>
              </w:rPr>
            </w:pPr>
            <w:r>
              <w:rPr>
                <w:rFonts w:hint="eastAsia"/>
                <w:sz w:val="22"/>
                <w:szCs w:val="22"/>
              </w:rPr>
              <w:t>1</w:t>
            </w:r>
          </w:p>
        </w:tc>
      </w:tr>
    </w:tbl>
    <w:p w14:paraId="421ED19E">
      <w:pPr>
        <w:widowControl/>
        <w:spacing w:line="240" w:lineRule="auto"/>
        <w:jc w:val="left"/>
      </w:pPr>
    </w:p>
    <w:p w14:paraId="2D4A03FE">
      <w:pPr>
        <w:pStyle w:val="5"/>
      </w:pPr>
      <w:r>
        <w:rPr>
          <w:rFonts w:hint="eastAsia"/>
        </w:rPr>
        <w:t>攻防演练</w:t>
      </w:r>
    </w:p>
    <w:p w14:paraId="666F308A">
      <w:pPr>
        <w:ind w:firstLine="480"/>
        <w:rPr>
          <w:szCs w:val="24"/>
        </w:rPr>
      </w:pPr>
      <w:r>
        <w:rPr>
          <w:rFonts w:hint="eastAsia"/>
          <w:szCs w:val="24"/>
        </w:rPr>
        <w:t>以攻击者视角，组织安全专家作为红队（攻击队），针对客户单位的信息资产，不限攻击路径、不限攻击目标、不限攻击手段，展开贴近真实遭遇攻击场景，以验证系统整体安全防御水平。</w:t>
      </w:r>
    </w:p>
    <w:p w14:paraId="07BE4EFD">
      <w:pPr>
        <w:pStyle w:val="5"/>
      </w:pPr>
      <w:r>
        <w:rPr>
          <w:rFonts w:hint="eastAsia"/>
        </w:rPr>
        <w:t>安全漏洞评估</w:t>
      </w:r>
    </w:p>
    <w:p w14:paraId="0F721164">
      <w:pPr>
        <w:ind w:firstLine="480"/>
        <w:rPr>
          <w:szCs w:val="24"/>
        </w:rPr>
      </w:pPr>
      <w:r>
        <w:rPr>
          <w:rFonts w:hint="eastAsia"/>
          <w:szCs w:val="24"/>
        </w:rPr>
        <w:t>漏洞扫描：制定安全扫描计划，通过评估工具以本地扫描的方式对评估范围内的系统和网络进行安全扫描，从内网和外网两个角度来查找网络结构、网络设备、服务器主机、中间件、数据和用户账号/口令等安全对象目标存在的安全风险、漏洞和威胁。</w:t>
      </w:r>
    </w:p>
    <w:p w14:paraId="515ED082">
      <w:pPr>
        <w:pStyle w:val="73"/>
        <w:numPr>
          <w:ilvl w:val="0"/>
          <w:numId w:val="3"/>
        </w:numPr>
        <w:spacing w:line="360" w:lineRule="auto"/>
        <w:ind w:firstLineChars="0"/>
        <w:rPr>
          <w:rFonts w:ascii="宋体" w:hAnsi="宋体" w:cs="宋体"/>
          <w:sz w:val="24"/>
          <w:szCs w:val="24"/>
        </w:rPr>
      </w:pPr>
      <w:r>
        <w:rPr>
          <w:rFonts w:hint="eastAsia" w:ascii="宋体" w:hAnsi="宋体" w:cs="宋体"/>
          <w:sz w:val="24"/>
          <w:szCs w:val="24"/>
          <w:lang w:val="zh-CN"/>
        </w:rPr>
        <w:t>测试方案：</w:t>
      </w:r>
      <w:r>
        <w:rPr>
          <w:rFonts w:hint="eastAsia" w:ascii="宋体" w:hAnsi="宋体" w:cs="宋体"/>
          <w:sz w:val="24"/>
          <w:szCs w:val="24"/>
        </w:rPr>
        <w:t>根据业务系统情况编制漏洞扫描方案及实施计划，其中方案需注明所使用的测试工具及特点。</w:t>
      </w:r>
    </w:p>
    <w:p w14:paraId="2EA5E83D">
      <w:pPr>
        <w:pStyle w:val="73"/>
        <w:numPr>
          <w:ilvl w:val="0"/>
          <w:numId w:val="3"/>
        </w:numPr>
        <w:spacing w:line="360" w:lineRule="auto"/>
        <w:ind w:firstLineChars="0"/>
        <w:rPr>
          <w:rFonts w:ascii="宋体" w:hAnsi="宋体" w:cs="宋体"/>
          <w:sz w:val="24"/>
          <w:szCs w:val="24"/>
          <w:lang w:val="zh-CN"/>
        </w:rPr>
      </w:pPr>
      <w:r>
        <w:rPr>
          <w:rFonts w:hint="eastAsia" w:ascii="宋体" w:hAnsi="宋体" w:cs="宋体"/>
          <w:sz w:val="24"/>
          <w:szCs w:val="24"/>
          <w:lang w:val="zh-CN"/>
        </w:rPr>
        <w:t>信息收集：开启端口集合、开启服务列表、同服务器其他网站列表收集。</w:t>
      </w:r>
    </w:p>
    <w:p w14:paraId="5482F737">
      <w:pPr>
        <w:pStyle w:val="73"/>
        <w:numPr>
          <w:ilvl w:val="0"/>
          <w:numId w:val="3"/>
        </w:numPr>
        <w:spacing w:line="360" w:lineRule="auto"/>
        <w:ind w:firstLineChars="0"/>
        <w:rPr>
          <w:rFonts w:ascii="宋体" w:hAnsi="宋体" w:cs="宋体"/>
          <w:sz w:val="24"/>
          <w:szCs w:val="24"/>
          <w:lang w:val="zh-CN"/>
        </w:rPr>
      </w:pPr>
      <w:r>
        <w:rPr>
          <w:rFonts w:hint="eastAsia" w:ascii="宋体" w:hAnsi="宋体" w:cs="宋体"/>
          <w:sz w:val="24"/>
          <w:szCs w:val="24"/>
          <w:lang w:val="zh-CN"/>
        </w:rPr>
        <w:t>漏洞发现:主机安全漏洞、中间件安全漏洞、数据库安全漏洞发现、弱口令等安全隐患问题。</w:t>
      </w:r>
    </w:p>
    <w:p w14:paraId="26B40979">
      <w:pPr>
        <w:pStyle w:val="73"/>
        <w:numPr>
          <w:ilvl w:val="0"/>
          <w:numId w:val="3"/>
        </w:numPr>
        <w:spacing w:line="360" w:lineRule="auto"/>
        <w:ind w:firstLineChars="0"/>
        <w:rPr>
          <w:rFonts w:ascii="宋体" w:hAnsi="宋体" w:cs="宋体"/>
          <w:sz w:val="24"/>
          <w:szCs w:val="24"/>
          <w:lang w:val="zh-CN"/>
        </w:rPr>
      </w:pPr>
      <w:r>
        <w:rPr>
          <w:rFonts w:hint="eastAsia" w:ascii="宋体" w:hAnsi="宋体" w:cs="宋体"/>
          <w:sz w:val="24"/>
          <w:szCs w:val="24"/>
          <w:lang w:val="zh-CN"/>
        </w:rPr>
        <w:t>报告编写:完成应用系统、主机操作系统、数据库系统的漏洞扫描工作，并针对扫描结果中的漏洞进行验证，给出扫描报告。</w:t>
      </w:r>
    </w:p>
    <w:p w14:paraId="52C4FBAF">
      <w:pPr>
        <w:pStyle w:val="73"/>
        <w:numPr>
          <w:ilvl w:val="0"/>
          <w:numId w:val="3"/>
        </w:numPr>
        <w:spacing w:after="156"/>
        <w:ind w:firstLine="400"/>
      </w:pPr>
      <w:r>
        <w:rPr>
          <w:rFonts w:hint="eastAsia" w:ascii="宋体" w:hAnsi="宋体" w:cs="宋体"/>
          <w:sz w:val="24"/>
          <w:szCs w:val="24"/>
          <w:lang w:val="zh-CN"/>
        </w:rPr>
        <w:t>加固指导：根据检测结果对所有安全漏洞给予加固建议与指导。</w:t>
      </w:r>
    </w:p>
    <w:p w14:paraId="06C9AA8B">
      <w:pPr>
        <w:pStyle w:val="5"/>
      </w:pPr>
      <w:r>
        <w:rPr>
          <w:rFonts w:hint="eastAsia"/>
        </w:rPr>
        <w:t>渗透测试</w:t>
      </w:r>
    </w:p>
    <w:p w14:paraId="7021A08C">
      <w:pPr>
        <w:pStyle w:val="74"/>
        <w:spacing w:after="156"/>
        <w:ind w:firstLine="480"/>
      </w:pPr>
      <w:r>
        <w:rPr>
          <w:rFonts w:hint="eastAsia"/>
        </w:rPr>
        <w:t>以模拟黑客的攻击方法，对信息系统进行非破坏性质的攻击测试，查找存在的漏洞并给出详细的修复建议。除使用公安部认定的产品和工具扫描外，还需要进行人工渗透。渗透项目包括以下项，且需要对发现的漏洞进行验证和利用。</w:t>
      </w:r>
    </w:p>
    <w:tbl>
      <w:tblPr>
        <w:tblStyle w:val="17"/>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1446"/>
        <w:gridCol w:w="5387"/>
      </w:tblGrid>
      <w:tr w14:paraId="40D29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84" w:type="dxa"/>
            <w:vMerge w:val="restart"/>
            <w:shd w:val="clear" w:color="000000" w:fill="auto"/>
            <w:vAlign w:val="center"/>
          </w:tcPr>
          <w:p w14:paraId="4C0B9B33">
            <w:pPr>
              <w:pStyle w:val="74"/>
              <w:spacing w:after="156"/>
              <w:ind w:firstLine="34"/>
              <w:rPr>
                <w:color w:val="000000"/>
              </w:rPr>
            </w:pPr>
            <w:r>
              <w:rPr>
                <w:rFonts w:hint="eastAsia"/>
                <w:color w:val="000000"/>
              </w:rPr>
              <w:t>渗透测试</w:t>
            </w:r>
          </w:p>
        </w:tc>
        <w:tc>
          <w:tcPr>
            <w:tcW w:w="1446" w:type="dxa"/>
            <w:shd w:val="clear" w:color="000000" w:fill="FFFFFF"/>
            <w:vAlign w:val="center"/>
          </w:tcPr>
          <w:p w14:paraId="3F2084A8">
            <w:pPr>
              <w:pStyle w:val="74"/>
              <w:spacing w:after="156"/>
              <w:ind w:firstLine="34"/>
              <w:rPr>
                <w:color w:val="000000"/>
              </w:rPr>
            </w:pPr>
            <w:r>
              <w:rPr>
                <w:rFonts w:hint="eastAsia"/>
                <w:color w:val="000000"/>
              </w:rPr>
              <w:t>测试方案</w:t>
            </w:r>
          </w:p>
        </w:tc>
        <w:tc>
          <w:tcPr>
            <w:tcW w:w="5387" w:type="dxa"/>
            <w:vAlign w:val="center"/>
          </w:tcPr>
          <w:p w14:paraId="3C064721">
            <w:pPr>
              <w:pStyle w:val="74"/>
              <w:spacing w:after="156"/>
              <w:ind w:firstLine="34"/>
              <w:rPr>
                <w:color w:val="000000"/>
              </w:rPr>
            </w:pPr>
            <w:r>
              <w:rPr>
                <w:rFonts w:hint="eastAsia"/>
                <w:color w:val="000000"/>
              </w:rPr>
              <w:t>根据业务系统情况编制渗透测试方案及测试计划，其中测试方案需注明所使用的测试工具、测试方法以及测试项等信息。</w:t>
            </w:r>
          </w:p>
        </w:tc>
      </w:tr>
      <w:tr w14:paraId="516E5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84" w:type="dxa"/>
            <w:vMerge w:val="continue"/>
            <w:shd w:val="clear" w:color="000000" w:fill="auto"/>
            <w:vAlign w:val="center"/>
          </w:tcPr>
          <w:p w14:paraId="483D06B0">
            <w:pPr>
              <w:pStyle w:val="74"/>
              <w:spacing w:after="156"/>
              <w:ind w:firstLine="34"/>
              <w:rPr>
                <w:color w:val="000000"/>
              </w:rPr>
            </w:pPr>
          </w:p>
        </w:tc>
        <w:tc>
          <w:tcPr>
            <w:tcW w:w="1446" w:type="dxa"/>
            <w:shd w:val="clear" w:color="000000" w:fill="FFFFFF"/>
            <w:vAlign w:val="center"/>
          </w:tcPr>
          <w:p w14:paraId="0B528B24">
            <w:pPr>
              <w:pStyle w:val="74"/>
              <w:spacing w:after="156"/>
              <w:ind w:firstLine="34"/>
              <w:rPr>
                <w:color w:val="000000"/>
              </w:rPr>
            </w:pPr>
            <w:r>
              <w:rPr>
                <w:rFonts w:hint="eastAsia"/>
                <w:color w:val="000000"/>
              </w:rPr>
              <w:t>信息收集</w:t>
            </w:r>
          </w:p>
        </w:tc>
        <w:tc>
          <w:tcPr>
            <w:tcW w:w="5387" w:type="dxa"/>
            <w:vAlign w:val="center"/>
          </w:tcPr>
          <w:p w14:paraId="20527125">
            <w:pPr>
              <w:pStyle w:val="74"/>
              <w:spacing w:after="156"/>
              <w:ind w:firstLine="34"/>
              <w:rPr>
                <w:color w:val="000000"/>
              </w:rPr>
            </w:pPr>
            <w:r>
              <w:rPr>
                <w:rFonts w:hint="eastAsia"/>
                <w:color w:val="000000"/>
              </w:rPr>
              <w:t>对业务系统进行信息收集、专业安全工具扫描收集漏洞相关信息。</w:t>
            </w:r>
          </w:p>
        </w:tc>
      </w:tr>
      <w:tr w14:paraId="24215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4" w:hRule="atLeast"/>
        </w:trPr>
        <w:tc>
          <w:tcPr>
            <w:tcW w:w="1384" w:type="dxa"/>
            <w:vMerge w:val="continue"/>
            <w:shd w:val="clear" w:color="000000" w:fill="auto"/>
            <w:vAlign w:val="center"/>
          </w:tcPr>
          <w:p w14:paraId="2A05F234">
            <w:pPr>
              <w:pStyle w:val="74"/>
              <w:spacing w:after="156"/>
              <w:ind w:firstLine="34"/>
              <w:rPr>
                <w:color w:val="000000"/>
              </w:rPr>
            </w:pPr>
          </w:p>
        </w:tc>
        <w:tc>
          <w:tcPr>
            <w:tcW w:w="1446" w:type="dxa"/>
            <w:shd w:val="clear" w:color="000000" w:fill="FFFFFF"/>
            <w:vAlign w:val="center"/>
          </w:tcPr>
          <w:p w14:paraId="69375A84">
            <w:pPr>
              <w:pStyle w:val="74"/>
              <w:spacing w:after="156"/>
              <w:ind w:firstLine="34"/>
              <w:rPr>
                <w:color w:val="000000"/>
              </w:rPr>
            </w:pPr>
            <w:r>
              <w:rPr>
                <w:rFonts w:hint="eastAsia"/>
                <w:color w:val="000000"/>
              </w:rPr>
              <w:t>漏洞挖掘</w:t>
            </w:r>
          </w:p>
        </w:tc>
        <w:tc>
          <w:tcPr>
            <w:tcW w:w="5387" w:type="dxa"/>
            <w:vAlign w:val="center"/>
          </w:tcPr>
          <w:p w14:paraId="755E347F">
            <w:pPr>
              <w:pStyle w:val="74"/>
              <w:spacing w:after="156"/>
              <w:ind w:firstLine="34"/>
              <w:rPr>
                <w:color w:val="000000"/>
              </w:rPr>
            </w:pPr>
            <w:r>
              <w:rPr>
                <w:rFonts w:hint="eastAsia"/>
                <w:color w:val="000000"/>
              </w:rPr>
              <w:t>对业务系统进行重定向和转发、文件包含、跨站脚本攻击、未授权访问、越权访问、CSRF、中间件、安全配置错误、SQL注入、授权绕过漏洞、请求重放漏洞、欺骗密码找回漏洞、系统应用程序测试等渗透测试。</w:t>
            </w:r>
          </w:p>
        </w:tc>
      </w:tr>
      <w:tr w14:paraId="66DA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84" w:type="dxa"/>
            <w:vMerge w:val="continue"/>
            <w:shd w:val="clear" w:color="000000" w:fill="auto"/>
            <w:vAlign w:val="center"/>
          </w:tcPr>
          <w:p w14:paraId="073CF46A">
            <w:pPr>
              <w:pStyle w:val="74"/>
              <w:spacing w:after="156"/>
              <w:ind w:firstLine="34"/>
              <w:rPr>
                <w:color w:val="000000"/>
              </w:rPr>
            </w:pPr>
          </w:p>
        </w:tc>
        <w:tc>
          <w:tcPr>
            <w:tcW w:w="1446" w:type="dxa"/>
            <w:shd w:val="clear" w:color="000000" w:fill="FFFFFF"/>
            <w:vAlign w:val="center"/>
          </w:tcPr>
          <w:p w14:paraId="47970884">
            <w:pPr>
              <w:pStyle w:val="74"/>
              <w:spacing w:after="156"/>
              <w:ind w:firstLine="34"/>
              <w:rPr>
                <w:color w:val="000000"/>
              </w:rPr>
            </w:pPr>
            <w:r>
              <w:rPr>
                <w:rFonts w:hint="eastAsia"/>
                <w:color w:val="000000"/>
              </w:rPr>
              <w:t>报告编写</w:t>
            </w:r>
          </w:p>
        </w:tc>
        <w:tc>
          <w:tcPr>
            <w:tcW w:w="5387" w:type="dxa"/>
            <w:vAlign w:val="center"/>
          </w:tcPr>
          <w:p w14:paraId="71422170">
            <w:pPr>
              <w:pStyle w:val="74"/>
              <w:spacing w:after="156"/>
              <w:ind w:firstLine="34"/>
              <w:rPr>
                <w:color w:val="000000"/>
              </w:rPr>
            </w:pPr>
            <w:r>
              <w:rPr>
                <w:rFonts w:hint="eastAsia"/>
                <w:color w:val="000000"/>
              </w:rPr>
              <w:t>针对整体渗透测试情况编写报告并进行相应的问题复查。</w:t>
            </w:r>
          </w:p>
        </w:tc>
      </w:tr>
    </w:tbl>
    <w:p w14:paraId="61D44461">
      <w:pPr>
        <w:pStyle w:val="5"/>
      </w:pPr>
      <w:r>
        <w:rPr>
          <w:rFonts w:hint="eastAsia"/>
        </w:rPr>
        <w:t>漏洞管理服务</w:t>
      </w:r>
    </w:p>
    <w:p w14:paraId="7B2789C9">
      <w:pPr>
        <w:ind w:firstLine="480" w:firstLineChars="200"/>
        <w:rPr>
          <w:szCs w:val="24"/>
        </w:rPr>
      </w:pPr>
      <w:r>
        <w:rPr>
          <w:rFonts w:hint="eastAsia"/>
          <w:szCs w:val="24"/>
        </w:rPr>
        <w:t>针对漏扫、渗透、监管各种检查出来的漏洞，提供闭环管理。合理安排漏洞修复进度，确定各种漏洞修复的负责人。完成修复的漏洞需要进行复测确认是否的确已经修复完成。</w:t>
      </w:r>
    </w:p>
    <w:p w14:paraId="15FED2D8">
      <w:pPr>
        <w:ind w:firstLine="480" w:firstLineChars="200"/>
        <w:rPr>
          <w:szCs w:val="24"/>
        </w:rPr>
      </w:pPr>
      <w:r>
        <w:rPr>
          <w:szCs w:val="24"/>
        </w:rPr>
        <w:t>交付物：《</w:t>
      </w:r>
      <w:r>
        <w:rPr>
          <w:rFonts w:hint="eastAsia"/>
          <w:szCs w:val="24"/>
        </w:rPr>
        <w:t>漏洞修复进度表</w:t>
      </w:r>
      <w:r>
        <w:rPr>
          <w:szCs w:val="24"/>
        </w:rPr>
        <w:t>》</w:t>
      </w:r>
    </w:p>
    <w:p w14:paraId="5CDFC799">
      <w:pPr>
        <w:pStyle w:val="5"/>
      </w:pPr>
      <w:r>
        <w:t>新业务上线安全评估以及配合落地服务</w:t>
      </w:r>
    </w:p>
    <w:p w14:paraId="2D1FA89B">
      <w:pPr>
        <w:pStyle w:val="74"/>
        <w:spacing w:after="156"/>
      </w:pPr>
      <w:r>
        <w:t>针对医院不断上线的新业务需求，从安全的角度参与方案的评审工作，对系统部署位置、技术平台的选择、需要达到的安全要求等提出专业的意见供甲方参考。并在业务上线过程中提供相应的安全设置调整配合工作。</w:t>
      </w:r>
    </w:p>
    <w:p w14:paraId="58B69EC4">
      <w:pPr>
        <w:pStyle w:val="74"/>
        <w:spacing w:after="156"/>
      </w:pPr>
      <w:r>
        <w:t>交付物：《配置变更单》</w:t>
      </w:r>
    </w:p>
    <w:p w14:paraId="0900953D">
      <w:pPr>
        <w:pStyle w:val="5"/>
      </w:pPr>
      <w:r>
        <w:t>安全产品测试服务</w:t>
      </w:r>
    </w:p>
    <w:p w14:paraId="7005C7B5">
      <w:pPr>
        <w:pStyle w:val="74"/>
        <w:spacing w:after="156"/>
      </w:pPr>
      <w:r>
        <w:t>对于前沿的安全技术和优秀的解决方案或产品，医院需要引入进行测试和评估，乙方需要提供测试的配合工作，并参与产品的价值评估，提出专业的意见供甲方参考。</w:t>
      </w:r>
    </w:p>
    <w:p w14:paraId="1CCCA46D">
      <w:pPr>
        <w:pStyle w:val="74"/>
        <w:spacing w:after="156"/>
      </w:pPr>
      <w:r>
        <w:t>交付物：《产品测试报告》</w:t>
      </w:r>
    </w:p>
    <w:p w14:paraId="2C535AD1">
      <w:pPr>
        <w:pStyle w:val="5"/>
      </w:pPr>
      <w:r>
        <w:t>各类检查应对</w:t>
      </w:r>
      <w:r>
        <w:rPr>
          <w:rFonts w:hint="eastAsia"/>
        </w:rPr>
        <w:t>牵头</w:t>
      </w:r>
      <w:r>
        <w:t>服务</w:t>
      </w:r>
    </w:p>
    <w:p w14:paraId="72047DF7">
      <w:pPr>
        <w:pStyle w:val="74"/>
        <w:spacing w:after="156"/>
      </w:pPr>
      <w:r>
        <w:t>针对每年都会开展的卫健委要求的自查、飞行检查、医保检查等各类安全检查提供支持服务，应对各类检查文件或者现场检查。需要及时补足检查发现的安全问题。</w:t>
      </w:r>
    </w:p>
    <w:p w14:paraId="0E0FDAF6">
      <w:pPr>
        <w:pStyle w:val="74"/>
        <w:spacing w:after="156"/>
      </w:pPr>
      <w:r>
        <w:t>交付物：按照各检查要求交付</w:t>
      </w:r>
    </w:p>
    <w:p w14:paraId="73F8854F">
      <w:pPr>
        <w:pStyle w:val="5"/>
      </w:pPr>
      <w:r>
        <w:t>重保应急响应服务</w:t>
      </w:r>
    </w:p>
    <w:p w14:paraId="2E6364A2">
      <w:pPr>
        <w:pStyle w:val="74"/>
        <w:spacing w:after="156"/>
      </w:pPr>
      <w:r>
        <w:t>针对每年发生的两会、进博会等关键时间节点，提供重保服务，加强对安全设备的监测，同时提供7*24小时的应急响应服务。</w:t>
      </w:r>
    </w:p>
    <w:p w14:paraId="52AD810A">
      <w:pPr>
        <w:pStyle w:val="74"/>
        <w:spacing w:after="156"/>
      </w:pPr>
      <w:r>
        <w:t>交付物：《应急响应报告》（按需）</w:t>
      </w:r>
    </w:p>
    <w:p w14:paraId="4ABE7CE5">
      <w:pPr>
        <w:pStyle w:val="5"/>
      </w:pPr>
      <w:r>
        <w:t>资产暴露面收敛服务</w:t>
      </w:r>
    </w:p>
    <w:p w14:paraId="1DCBF742">
      <w:pPr>
        <w:pStyle w:val="74"/>
        <w:spacing w:after="156"/>
      </w:pPr>
      <w:r>
        <w:t>针对目前医院对外开放的IP、端口、域名信息进行完整的梳理，确认不需要开放的服务，有计划性的推动配置的缩减，减小不必要的资产暴露面。并及时跟进医院业务变化，快速跟进调整。确保对外暴露的资产始终保持最小。</w:t>
      </w:r>
    </w:p>
    <w:p w14:paraId="2140827B">
      <w:pPr>
        <w:pStyle w:val="74"/>
        <w:spacing w:after="156"/>
      </w:pPr>
      <w:r>
        <w:t>交付物：《出口防火墙NAT策略表》、《DNS解析记录表》</w:t>
      </w:r>
    </w:p>
    <w:p w14:paraId="072880BD">
      <w:pPr>
        <w:pStyle w:val="74"/>
        <w:spacing w:after="156"/>
      </w:pPr>
    </w:p>
    <w:p w14:paraId="17848AA0">
      <w:pPr>
        <w:pStyle w:val="2"/>
        <w:spacing w:after="156"/>
        <w:ind w:left="0"/>
      </w:pPr>
      <w:r>
        <w:rPr>
          <w:rFonts w:hint="eastAsia"/>
        </w:rPr>
        <w:t>项目人员要求</w:t>
      </w:r>
    </w:p>
    <w:p w14:paraId="39066B7C">
      <w:pPr>
        <w:pStyle w:val="74"/>
        <w:spacing w:after="156"/>
        <w:ind w:firstLine="0"/>
        <w:rPr>
          <w:spacing w:val="-6"/>
        </w:rPr>
      </w:pPr>
      <w:r>
        <w:rPr>
          <w:spacing w:val="-6"/>
        </w:rPr>
        <w:t>项目经理</w:t>
      </w:r>
      <w:r>
        <w:rPr>
          <w:rFonts w:hint="eastAsia"/>
          <w:spacing w:val="-6"/>
        </w:rPr>
        <w:t>要求：</w:t>
      </w:r>
    </w:p>
    <w:p w14:paraId="566DE942">
      <w:pPr>
        <w:pStyle w:val="74"/>
        <w:spacing w:after="156"/>
        <w:ind w:firstLine="0"/>
        <w:rPr>
          <w:spacing w:val="-6"/>
        </w:rPr>
      </w:pPr>
      <w:r>
        <w:rPr>
          <w:spacing w:val="-6"/>
        </w:rPr>
        <w:t>1.具备三年</w:t>
      </w:r>
      <w:r>
        <w:rPr>
          <w:rFonts w:hint="eastAsia"/>
          <w:spacing w:val="-6"/>
        </w:rPr>
        <w:t>及</w:t>
      </w:r>
      <w:r>
        <w:rPr>
          <w:spacing w:val="-6"/>
        </w:rPr>
        <w:t>以上信息类项目管理经验的</w:t>
      </w:r>
      <w:r>
        <w:rPr>
          <w:rFonts w:hint="eastAsia"/>
          <w:spacing w:val="-6"/>
        </w:rPr>
        <w:t>优先考虑</w:t>
      </w:r>
      <w:r>
        <w:rPr>
          <w:spacing w:val="-6"/>
        </w:rPr>
        <w:t>；</w:t>
      </w:r>
    </w:p>
    <w:p w14:paraId="1F94B523">
      <w:pPr>
        <w:pStyle w:val="74"/>
        <w:spacing w:after="156"/>
        <w:ind w:firstLine="0"/>
        <w:rPr>
          <w:spacing w:val="-6"/>
        </w:rPr>
      </w:pPr>
      <w:r>
        <w:rPr>
          <w:rFonts w:hint="eastAsia"/>
          <w:spacing w:val="-6"/>
        </w:rPr>
        <w:t>2.具有</w:t>
      </w:r>
      <w:r>
        <w:rPr>
          <w:rFonts w:hint="eastAsia"/>
          <w:spacing w:val="-6"/>
          <w:highlight w:val="none"/>
        </w:rPr>
        <w:t>CISP注册信息安全专业人员</w:t>
      </w:r>
      <w:r>
        <w:rPr>
          <w:rFonts w:hint="eastAsia"/>
          <w:spacing w:val="-6"/>
        </w:rPr>
        <w:t>证书的优先考虑。</w:t>
      </w:r>
    </w:p>
    <w:p w14:paraId="4A9011E1">
      <w:pPr>
        <w:pStyle w:val="74"/>
        <w:spacing w:after="156"/>
        <w:ind w:firstLine="0"/>
        <w:rPr>
          <w:spacing w:val="-6"/>
        </w:rPr>
      </w:pPr>
    </w:p>
    <w:p w14:paraId="6AB8E288">
      <w:pPr>
        <w:pStyle w:val="74"/>
        <w:spacing w:after="156"/>
        <w:ind w:firstLine="0"/>
        <w:rPr>
          <w:spacing w:val="-6"/>
        </w:rPr>
      </w:pPr>
      <w:r>
        <w:rPr>
          <w:spacing w:val="-6"/>
        </w:rPr>
        <w:t>项目组人员</w:t>
      </w:r>
      <w:r>
        <w:rPr>
          <w:rFonts w:hint="eastAsia"/>
          <w:spacing w:val="-6"/>
        </w:rPr>
        <w:t>要求：</w:t>
      </w:r>
    </w:p>
    <w:p w14:paraId="34C3782B">
      <w:pPr>
        <w:pStyle w:val="74"/>
        <w:numPr>
          <w:ilvl w:val="0"/>
          <w:numId w:val="4"/>
        </w:numPr>
        <w:spacing w:after="156"/>
        <w:ind w:firstLine="0"/>
        <w:rPr>
          <w:spacing w:val="-6"/>
        </w:rPr>
      </w:pPr>
      <w:r>
        <w:rPr>
          <w:rFonts w:hint="eastAsia"/>
          <w:spacing w:val="-6"/>
        </w:rPr>
        <w:t>具有3年及以上信息类项目经验；</w:t>
      </w:r>
    </w:p>
    <w:p w14:paraId="34182CFF">
      <w:pPr>
        <w:pStyle w:val="74"/>
        <w:numPr>
          <w:ilvl w:val="0"/>
          <w:numId w:val="4"/>
        </w:numPr>
        <w:spacing w:after="156"/>
        <w:ind w:firstLine="0"/>
        <w:rPr>
          <w:spacing w:val="-6"/>
        </w:rPr>
      </w:pPr>
      <w:r>
        <w:rPr>
          <w:rFonts w:hint="eastAsia"/>
          <w:spacing w:val="-6"/>
        </w:rPr>
        <w:t>项目团队成员</w:t>
      </w:r>
      <w:r>
        <w:rPr>
          <w:spacing w:val="-6"/>
        </w:rPr>
        <w:t>不少于</w:t>
      </w:r>
      <w:r>
        <w:rPr>
          <w:rFonts w:hint="eastAsia"/>
          <w:spacing w:val="-6"/>
        </w:rPr>
        <w:t>8</w:t>
      </w:r>
      <w:r>
        <w:rPr>
          <w:spacing w:val="-6"/>
        </w:rPr>
        <w:t>人（不包含项目经理）</w:t>
      </w:r>
      <w:r>
        <w:rPr>
          <w:rFonts w:hint="eastAsia"/>
          <w:spacing w:val="-6"/>
        </w:rPr>
        <w:t>；</w:t>
      </w:r>
    </w:p>
    <w:p w14:paraId="3850F35A">
      <w:pPr>
        <w:pStyle w:val="74"/>
        <w:widowControl/>
        <w:numPr>
          <w:ilvl w:val="0"/>
          <w:numId w:val="4"/>
        </w:numPr>
        <w:spacing w:after="156"/>
        <w:ind w:firstLine="0"/>
        <w:jc w:val="left"/>
      </w:pPr>
      <w:r>
        <w:rPr>
          <w:rFonts w:hint="eastAsia"/>
          <w:spacing w:val="-6"/>
        </w:rPr>
        <w:t>项目团队人员</w:t>
      </w:r>
      <w:r>
        <w:rPr>
          <w:spacing w:val="-6"/>
        </w:rPr>
        <w:t>（</w:t>
      </w:r>
      <w:r>
        <w:rPr>
          <w:rFonts w:hint="eastAsia"/>
          <w:spacing w:val="-6"/>
          <w:lang w:eastAsia="zh-CN"/>
        </w:rPr>
        <w:t>除</w:t>
      </w:r>
      <w:r>
        <w:rPr>
          <w:spacing w:val="-6"/>
        </w:rPr>
        <w:t>项目经理</w:t>
      </w:r>
      <w:r>
        <w:rPr>
          <w:rFonts w:hint="eastAsia"/>
          <w:spacing w:val="-6"/>
          <w:lang w:eastAsia="zh-CN"/>
        </w:rPr>
        <w:t>外</w:t>
      </w:r>
      <w:r>
        <w:rPr>
          <w:spacing w:val="-6"/>
        </w:rPr>
        <w:t>）具</w:t>
      </w:r>
      <w:r>
        <w:rPr>
          <w:rFonts w:hint="eastAsia"/>
          <w:spacing w:val="-6"/>
          <w:lang w:eastAsia="zh-CN"/>
        </w:rPr>
        <w:t>有</w:t>
      </w:r>
      <w:r>
        <w:rPr>
          <w:spacing w:val="-6"/>
        </w:rPr>
        <w:t xml:space="preserve"> CISP注册信息安全专业人员</w:t>
      </w:r>
      <w:r>
        <w:rPr>
          <w:rFonts w:hint="eastAsia"/>
          <w:spacing w:val="-6"/>
        </w:rPr>
        <w:t>证书的优先考虑。</w:t>
      </w:r>
    </w:p>
    <w:p w14:paraId="21A05E3C">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国标宋体"/>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国标宋体">
    <w:panose1 w:val="02000500000000000000"/>
    <w:charset w:val="86"/>
    <w:family w:val="auto"/>
    <w:pitch w:val="default"/>
    <w:sig w:usb0="00000001" w:usb1="28000000" w:usb2="00000000" w:usb3="00000000" w:csb0="00060007" w:csb1="00000000"/>
  </w:font>
  <w:font w:name="MS Gothic">
    <w:altName w:val="国标宋体"/>
    <w:panose1 w:val="020B0609070205080204"/>
    <w:charset w:val="80"/>
    <w:family w:val="modern"/>
    <w:pitch w:val="default"/>
    <w:sig w:usb0="00000000" w:usb1="00000000" w:usb2="08000012" w:usb3="00000000" w:csb0="0002009F" w:csb1="00000000"/>
  </w:font>
  <w:font w:name="等线 Light">
    <w:altName w:val="汉仪中圆B5"/>
    <w:panose1 w:val="02010600030101010101"/>
    <w:charset w:val="86"/>
    <w:family w:val="auto"/>
    <w:pitch w:val="default"/>
    <w:sig w:usb0="00000000" w:usb1="00000000" w:usb2="00000016" w:usb3="00000000" w:csb0="0004000F" w:csb1="00000000"/>
  </w:font>
  <w:font w:name="汉仪中圆B5">
    <w:panose1 w:val="02010600000101010101"/>
    <w:charset w:val="88"/>
    <w:family w:val="auto"/>
    <w:pitch w:val="default"/>
    <w:sig w:usb0="00000001" w:usb1="080E0800" w:usb2="00000002" w:usb3="00000000" w:csb0="00100000" w:csb1="00000000"/>
  </w:font>
  <w:font w:name="Arial Unicode MS">
    <w:altName w:val="Times New Roman"/>
    <w:panose1 w:val="020B0604020202020204"/>
    <w:charset w:val="86"/>
    <w:family w:val="swiss"/>
    <w:pitch w:val="default"/>
    <w:sig w:usb0="00000000" w:usb1="00000000" w:usb2="0000003F" w:usb3="00000000" w:csb0="603F01FF" w:csb1="FFFF0000"/>
  </w:font>
  <w:font w:name="华文宋体">
    <w:altName w:val="方正书宋_GBK"/>
    <w:panose1 w:val="02010600040101010101"/>
    <w:charset w:val="86"/>
    <w:family w:val="auto"/>
    <w:pitch w:val="default"/>
    <w:sig w:usb0="00000000" w:usb1="00000000" w:usb2="00000010" w:usb3="00000000" w:csb0="0004009F" w:csb1="00000000"/>
  </w:font>
  <w:font w:name="方正书宋_GBK">
    <w:panose1 w:val="02000000000000000000"/>
    <w:charset w:val="86"/>
    <w:family w:val="auto"/>
    <w:pitch w:val="default"/>
    <w:sig w:usb0="00000001" w:usb1="08000000" w:usb2="00000000" w:usb3="00000000" w:csb0="00040000" w:csb1="00000000"/>
  </w:font>
  <w:font w:name="新宋体">
    <w:altName w:val="Noto Sans Mono CJK SC"/>
    <w:panose1 w:val="02010609030101010101"/>
    <w:charset w:val="86"/>
    <w:family w:val="modern"/>
    <w:pitch w:val="default"/>
    <w:sig w:usb0="00000000" w:usb1="00000000" w:usb2="00000016" w:usb3="00000000" w:csb0="00040001" w:csb1="00000000"/>
  </w:font>
  <w:font w:name="Noto Sans Mono CJK SC">
    <w:panose1 w:val="020B0500000000000000"/>
    <w:charset w:val="86"/>
    <w:family w:val="auto"/>
    <w:pitch w:val="default"/>
    <w:sig w:usb0="30000083" w:usb1="2BDF3C10" w:usb2="00000016" w:usb3="00000000" w:csb0="602E0107"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Futura Hv">
    <w:altName w:val="仿宋_GB2312"/>
    <w:panose1 w:val="00000000000000000000"/>
    <w:charset w:val="00"/>
    <w:family w:val="swiss"/>
    <w:pitch w:val="default"/>
    <w:sig w:usb0="00000000" w:usb1="00000000" w:usb2="00000010" w:usb3="00000000" w:csb0="0004009F" w:csb1="00000000"/>
  </w:font>
  <w:font w:name="仿宋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C"/>
    <w:multiLevelType w:val="multilevel"/>
    <w:tmpl w:val="0000000C"/>
    <w:lvl w:ilvl="0" w:tentative="0">
      <w:start w:val="1"/>
      <w:numFmt w:val="decimal"/>
      <w:pStyle w:val="2"/>
      <w:lvlText w:val="%1"/>
      <w:lvlJc w:val="left"/>
      <w:pPr>
        <w:ind w:left="432" w:hanging="432"/>
      </w:p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1">
    <w:nsid w:val="658973B6"/>
    <w:multiLevelType w:val="multilevel"/>
    <w:tmpl w:val="658973B6"/>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739B7AA2"/>
    <w:multiLevelType w:val="singleLevel"/>
    <w:tmpl w:val="739B7AA2"/>
    <w:lvl w:ilvl="0" w:tentative="0">
      <w:start w:val="1"/>
      <w:numFmt w:val="decimal"/>
      <w:lvlText w:val="%1."/>
      <w:lvlJc w:val="left"/>
      <w:pPr>
        <w:tabs>
          <w:tab w:val="left" w:pos="312"/>
        </w:tabs>
      </w:pPr>
    </w:lvl>
  </w:abstractNum>
  <w:abstractNum w:abstractNumId="3">
    <w:nsid w:val="765567F2"/>
    <w:multiLevelType w:val="multilevel"/>
    <w:tmpl w:val="765567F2"/>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FmOTNmMGZjMGQwNjQwMzhhY2NiNGM4NThlZTY1ZDQifQ=="/>
  </w:docVars>
  <w:rsids>
    <w:rsidRoot w:val="00AD6A0D"/>
    <w:rsid w:val="0000105B"/>
    <w:rsid w:val="0001664D"/>
    <w:rsid w:val="00016EEF"/>
    <w:rsid w:val="0001709A"/>
    <w:rsid w:val="000234FA"/>
    <w:rsid w:val="00023E38"/>
    <w:rsid w:val="00024165"/>
    <w:rsid w:val="000243C3"/>
    <w:rsid w:val="00033AC9"/>
    <w:rsid w:val="00035160"/>
    <w:rsid w:val="00042346"/>
    <w:rsid w:val="000549BC"/>
    <w:rsid w:val="00062312"/>
    <w:rsid w:val="00073937"/>
    <w:rsid w:val="00073DFE"/>
    <w:rsid w:val="00077F0A"/>
    <w:rsid w:val="000817AB"/>
    <w:rsid w:val="0009127C"/>
    <w:rsid w:val="0009706B"/>
    <w:rsid w:val="000A44C1"/>
    <w:rsid w:val="000B383C"/>
    <w:rsid w:val="000C693C"/>
    <w:rsid w:val="000D07D0"/>
    <w:rsid w:val="000D654B"/>
    <w:rsid w:val="000E1519"/>
    <w:rsid w:val="000E2B7A"/>
    <w:rsid w:val="000F1995"/>
    <w:rsid w:val="00104304"/>
    <w:rsid w:val="0010556A"/>
    <w:rsid w:val="00113D9D"/>
    <w:rsid w:val="00116B57"/>
    <w:rsid w:val="001237A9"/>
    <w:rsid w:val="0013231F"/>
    <w:rsid w:val="001348DB"/>
    <w:rsid w:val="00142A4E"/>
    <w:rsid w:val="00143103"/>
    <w:rsid w:val="001623C4"/>
    <w:rsid w:val="00182E1E"/>
    <w:rsid w:val="001867A0"/>
    <w:rsid w:val="00191CEA"/>
    <w:rsid w:val="001A5CA6"/>
    <w:rsid w:val="001B15C0"/>
    <w:rsid w:val="001B3128"/>
    <w:rsid w:val="001B5CA4"/>
    <w:rsid w:val="001B6F5A"/>
    <w:rsid w:val="001C12EC"/>
    <w:rsid w:val="001C1FE9"/>
    <w:rsid w:val="001C7FA1"/>
    <w:rsid w:val="001E13D3"/>
    <w:rsid w:val="001E5D00"/>
    <w:rsid w:val="001F1680"/>
    <w:rsid w:val="001F48EF"/>
    <w:rsid w:val="001F4B85"/>
    <w:rsid w:val="00200EE5"/>
    <w:rsid w:val="00211A7F"/>
    <w:rsid w:val="00224C50"/>
    <w:rsid w:val="00232785"/>
    <w:rsid w:val="00234463"/>
    <w:rsid w:val="00240EE4"/>
    <w:rsid w:val="00242B43"/>
    <w:rsid w:val="00243BA6"/>
    <w:rsid w:val="0024561F"/>
    <w:rsid w:val="002505AE"/>
    <w:rsid w:val="002510AC"/>
    <w:rsid w:val="00264A6C"/>
    <w:rsid w:val="002664C3"/>
    <w:rsid w:val="0026698D"/>
    <w:rsid w:val="00272A14"/>
    <w:rsid w:val="0027553F"/>
    <w:rsid w:val="0027634F"/>
    <w:rsid w:val="002834DA"/>
    <w:rsid w:val="002866E1"/>
    <w:rsid w:val="00295738"/>
    <w:rsid w:val="002A341A"/>
    <w:rsid w:val="002A5624"/>
    <w:rsid w:val="002B12B1"/>
    <w:rsid w:val="002B1B33"/>
    <w:rsid w:val="002C5E6A"/>
    <w:rsid w:val="002C68E8"/>
    <w:rsid w:val="002D0B60"/>
    <w:rsid w:val="002D5C58"/>
    <w:rsid w:val="002F1DC4"/>
    <w:rsid w:val="002F5207"/>
    <w:rsid w:val="002F7483"/>
    <w:rsid w:val="003022AA"/>
    <w:rsid w:val="00321033"/>
    <w:rsid w:val="003216BC"/>
    <w:rsid w:val="00322391"/>
    <w:rsid w:val="00322966"/>
    <w:rsid w:val="00326900"/>
    <w:rsid w:val="003314B8"/>
    <w:rsid w:val="003329B7"/>
    <w:rsid w:val="00336FBF"/>
    <w:rsid w:val="00347A73"/>
    <w:rsid w:val="00350576"/>
    <w:rsid w:val="00361D49"/>
    <w:rsid w:val="003710F5"/>
    <w:rsid w:val="00373D3A"/>
    <w:rsid w:val="003767FC"/>
    <w:rsid w:val="0038007C"/>
    <w:rsid w:val="003A1477"/>
    <w:rsid w:val="003A22C3"/>
    <w:rsid w:val="003B53AC"/>
    <w:rsid w:val="003B7E78"/>
    <w:rsid w:val="003C0DE6"/>
    <w:rsid w:val="003C3020"/>
    <w:rsid w:val="003D6504"/>
    <w:rsid w:val="003D6C09"/>
    <w:rsid w:val="003D6EFC"/>
    <w:rsid w:val="003E26B8"/>
    <w:rsid w:val="003F1938"/>
    <w:rsid w:val="004027E3"/>
    <w:rsid w:val="004040E0"/>
    <w:rsid w:val="00415F41"/>
    <w:rsid w:val="00416953"/>
    <w:rsid w:val="00425148"/>
    <w:rsid w:val="00427DC9"/>
    <w:rsid w:val="00430276"/>
    <w:rsid w:val="00434DE5"/>
    <w:rsid w:val="00445269"/>
    <w:rsid w:val="00447910"/>
    <w:rsid w:val="00450C87"/>
    <w:rsid w:val="00462DAD"/>
    <w:rsid w:val="00470FEE"/>
    <w:rsid w:val="00471EAE"/>
    <w:rsid w:val="00476B3B"/>
    <w:rsid w:val="00480997"/>
    <w:rsid w:val="00486745"/>
    <w:rsid w:val="00495445"/>
    <w:rsid w:val="004A4362"/>
    <w:rsid w:val="004A68B6"/>
    <w:rsid w:val="004A75B1"/>
    <w:rsid w:val="004B6A5D"/>
    <w:rsid w:val="004B6F9C"/>
    <w:rsid w:val="004C0A08"/>
    <w:rsid w:val="004C49B4"/>
    <w:rsid w:val="004C57D2"/>
    <w:rsid w:val="004D4872"/>
    <w:rsid w:val="004D684A"/>
    <w:rsid w:val="004E1A2C"/>
    <w:rsid w:val="00507410"/>
    <w:rsid w:val="00514E4D"/>
    <w:rsid w:val="00517630"/>
    <w:rsid w:val="005301C4"/>
    <w:rsid w:val="0055361B"/>
    <w:rsid w:val="0055792E"/>
    <w:rsid w:val="00563198"/>
    <w:rsid w:val="005706A3"/>
    <w:rsid w:val="00571C06"/>
    <w:rsid w:val="00581C02"/>
    <w:rsid w:val="0058298F"/>
    <w:rsid w:val="005976ED"/>
    <w:rsid w:val="005A0BC7"/>
    <w:rsid w:val="005A28DF"/>
    <w:rsid w:val="005B0956"/>
    <w:rsid w:val="005B409A"/>
    <w:rsid w:val="005B4EE8"/>
    <w:rsid w:val="005B69CF"/>
    <w:rsid w:val="005C2DCB"/>
    <w:rsid w:val="005C57BA"/>
    <w:rsid w:val="005D395C"/>
    <w:rsid w:val="005E7D84"/>
    <w:rsid w:val="005F02BE"/>
    <w:rsid w:val="005F48A0"/>
    <w:rsid w:val="00622AD7"/>
    <w:rsid w:val="00635709"/>
    <w:rsid w:val="0063600A"/>
    <w:rsid w:val="00645BC3"/>
    <w:rsid w:val="00652BAD"/>
    <w:rsid w:val="00656549"/>
    <w:rsid w:val="00662E0D"/>
    <w:rsid w:val="006646AA"/>
    <w:rsid w:val="006833CB"/>
    <w:rsid w:val="00684F1F"/>
    <w:rsid w:val="00693C6B"/>
    <w:rsid w:val="006946BB"/>
    <w:rsid w:val="00695908"/>
    <w:rsid w:val="006A123E"/>
    <w:rsid w:val="006A1908"/>
    <w:rsid w:val="006A684E"/>
    <w:rsid w:val="006A7989"/>
    <w:rsid w:val="006B26CF"/>
    <w:rsid w:val="006D0E90"/>
    <w:rsid w:val="006D5422"/>
    <w:rsid w:val="006E00FE"/>
    <w:rsid w:val="007165A4"/>
    <w:rsid w:val="00717B93"/>
    <w:rsid w:val="00720242"/>
    <w:rsid w:val="00724511"/>
    <w:rsid w:val="00730E01"/>
    <w:rsid w:val="00752956"/>
    <w:rsid w:val="00753FA1"/>
    <w:rsid w:val="007571E2"/>
    <w:rsid w:val="007679FD"/>
    <w:rsid w:val="00770502"/>
    <w:rsid w:val="007706A4"/>
    <w:rsid w:val="007711CC"/>
    <w:rsid w:val="007734D0"/>
    <w:rsid w:val="007808A8"/>
    <w:rsid w:val="00784AA8"/>
    <w:rsid w:val="00790826"/>
    <w:rsid w:val="00793150"/>
    <w:rsid w:val="00793885"/>
    <w:rsid w:val="007965B0"/>
    <w:rsid w:val="00797630"/>
    <w:rsid w:val="007C519A"/>
    <w:rsid w:val="007C791C"/>
    <w:rsid w:val="007D2028"/>
    <w:rsid w:val="007D7213"/>
    <w:rsid w:val="007E3954"/>
    <w:rsid w:val="007F0F84"/>
    <w:rsid w:val="007F4B20"/>
    <w:rsid w:val="00804994"/>
    <w:rsid w:val="00804C3E"/>
    <w:rsid w:val="00812668"/>
    <w:rsid w:val="00814588"/>
    <w:rsid w:val="00815FC5"/>
    <w:rsid w:val="0081674F"/>
    <w:rsid w:val="00822483"/>
    <w:rsid w:val="00825904"/>
    <w:rsid w:val="00831770"/>
    <w:rsid w:val="00840720"/>
    <w:rsid w:val="00845CD3"/>
    <w:rsid w:val="0085595C"/>
    <w:rsid w:val="0086003E"/>
    <w:rsid w:val="00882726"/>
    <w:rsid w:val="00890703"/>
    <w:rsid w:val="00890A28"/>
    <w:rsid w:val="008949B3"/>
    <w:rsid w:val="00897E0E"/>
    <w:rsid w:val="008A5E80"/>
    <w:rsid w:val="008A75EE"/>
    <w:rsid w:val="008B4932"/>
    <w:rsid w:val="008C24A9"/>
    <w:rsid w:val="008C2A2C"/>
    <w:rsid w:val="008C4880"/>
    <w:rsid w:val="008E4D92"/>
    <w:rsid w:val="008E531D"/>
    <w:rsid w:val="008E563F"/>
    <w:rsid w:val="008F2486"/>
    <w:rsid w:val="009043C5"/>
    <w:rsid w:val="0090459F"/>
    <w:rsid w:val="00916C9C"/>
    <w:rsid w:val="00923543"/>
    <w:rsid w:val="00923B3B"/>
    <w:rsid w:val="00926DDF"/>
    <w:rsid w:val="00935BC8"/>
    <w:rsid w:val="00952653"/>
    <w:rsid w:val="00954E56"/>
    <w:rsid w:val="00956777"/>
    <w:rsid w:val="00960C5F"/>
    <w:rsid w:val="0097264C"/>
    <w:rsid w:val="009852C1"/>
    <w:rsid w:val="009875A1"/>
    <w:rsid w:val="009908A9"/>
    <w:rsid w:val="00994E2B"/>
    <w:rsid w:val="00995E7F"/>
    <w:rsid w:val="009B226D"/>
    <w:rsid w:val="009C0AC7"/>
    <w:rsid w:val="009C2515"/>
    <w:rsid w:val="009E636D"/>
    <w:rsid w:val="009F03B0"/>
    <w:rsid w:val="009F1B4C"/>
    <w:rsid w:val="009F6E7B"/>
    <w:rsid w:val="00A031D6"/>
    <w:rsid w:val="00A03A76"/>
    <w:rsid w:val="00A03CBF"/>
    <w:rsid w:val="00A13654"/>
    <w:rsid w:val="00A17440"/>
    <w:rsid w:val="00A236B8"/>
    <w:rsid w:val="00A252D9"/>
    <w:rsid w:val="00A27A1A"/>
    <w:rsid w:val="00A30CDD"/>
    <w:rsid w:val="00A366F4"/>
    <w:rsid w:val="00A379CD"/>
    <w:rsid w:val="00A7054E"/>
    <w:rsid w:val="00A801AD"/>
    <w:rsid w:val="00A91648"/>
    <w:rsid w:val="00A91DFF"/>
    <w:rsid w:val="00A942B7"/>
    <w:rsid w:val="00A952AC"/>
    <w:rsid w:val="00A960BD"/>
    <w:rsid w:val="00A968D3"/>
    <w:rsid w:val="00AA16D3"/>
    <w:rsid w:val="00AA283A"/>
    <w:rsid w:val="00AA3639"/>
    <w:rsid w:val="00AC3DED"/>
    <w:rsid w:val="00AC44FA"/>
    <w:rsid w:val="00AD27DB"/>
    <w:rsid w:val="00AD554F"/>
    <w:rsid w:val="00AD6A0D"/>
    <w:rsid w:val="00AD6CCD"/>
    <w:rsid w:val="00AD6E1D"/>
    <w:rsid w:val="00AF0227"/>
    <w:rsid w:val="00AF7927"/>
    <w:rsid w:val="00B02C4A"/>
    <w:rsid w:val="00B14F5B"/>
    <w:rsid w:val="00B21863"/>
    <w:rsid w:val="00B30F90"/>
    <w:rsid w:val="00B35CD9"/>
    <w:rsid w:val="00B40481"/>
    <w:rsid w:val="00B408B0"/>
    <w:rsid w:val="00B41711"/>
    <w:rsid w:val="00B41CC2"/>
    <w:rsid w:val="00B4692D"/>
    <w:rsid w:val="00B63DBC"/>
    <w:rsid w:val="00B75AE8"/>
    <w:rsid w:val="00B80C4E"/>
    <w:rsid w:val="00B83298"/>
    <w:rsid w:val="00B91F68"/>
    <w:rsid w:val="00B9267F"/>
    <w:rsid w:val="00B954F9"/>
    <w:rsid w:val="00BA049C"/>
    <w:rsid w:val="00BA0F90"/>
    <w:rsid w:val="00BB1C16"/>
    <w:rsid w:val="00BB1E39"/>
    <w:rsid w:val="00BB6084"/>
    <w:rsid w:val="00BB60D3"/>
    <w:rsid w:val="00BC1A61"/>
    <w:rsid w:val="00BC671C"/>
    <w:rsid w:val="00BD0B70"/>
    <w:rsid w:val="00BD51BD"/>
    <w:rsid w:val="00BE00A5"/>
    <w:rsid w:val="00BE2363"/>
    <w:rsid w:val="00BE6632"/>
    <w:rsid w:val="00BF066C"/>
    <w:rsid w:val="00BF7923"/>
    <w:rsid w:val="00C025E7"/>
    <w:rsid w:val="00C055A1"/>
    <w:rsid w:val="00C122BB"/>
    <w:rsid w:val="00C21DD9"/>
    <w:rsid w:val="00C24B03"/>
    <w:rsid w:val="00C346BF"/>
    <w:rsid w:val="00C353CE"/>
    <w:rsid w:val="00C36331"/>
    <w:rsid w:val="00C45014"/>
    <w:rsid w:val="00C460FC"/>
    <w:rsid w:val="00C57109"/>
    <w:rsid w:val="00C57B3A"/>
    <w:rsid w:val="00C7122C"/>
    <w:rsid w:val="00C72A9D"/>
    <w:rsid w:val="00C73285"/>
    <w:rsid w:val="00C7717A"/>
    <w:rsid w:val="00C83AD0"/>
    <w:rsid w:val="00C867CC"/>
    <w:rsid w:val="00C87162"/>
    <w:rsid w:val="00CB005E"/>
    <w:rsid w:val="00CC0CA6"/>
    <w:rsid w:val="00CD09E9"/>
    <w:rsid w:val="00CE3D67"/>
    <w:rsid w:val="00CE4EE8"/>
    <w:rsid w:val="00CF1971"/>
    <w:rsid w:val="00CF2F93"/>
    <w:rsid w:val="00CF5338"/>
    <w:rsid w:val="00CF7AD8"/>
    <w:rsid w:val="00D014C2"/>
    <w:rsid w:val="00D02FF4"/>
    <w:rsid w:val="00D03796"/>
    <w:rsid w:val="00D2232F"/>
    <w:rsid w:val="00D35757"/>
    <w:rsid w:val="00D40541"/>
    <w:rsid w:val="00D61286"/>
    <w:rsid w:val="00D6136B"/>
    <w:rsid w:val="00D6232B"/>
    <w:rsid w:val="00D64F20"/>
    <w:rsid w:val="00D65C23"/>
    <w:rsid w:val="00D7123B"/>
    <w:rsid w:val="00D83F58"/>
    <w:rsid w:val="00D859E8"/>
    <w:rsid w:val="00D909D8"/>
    <w:rsid w:val="00D974A2"/>
    <w:rsid w:val="00DA38AE"/>
    <w:rsid w:val="00DB0601"/>
    <w:rsid w:val="00DB2028"/>
    <w:rsid w:val="00DB4612"/>
    <w:rsid w:val="00DB5365"/>
    <w:rsid w:val="00DB5FC4"/>
    <w:rsid w:val="00DB6565"/>
    <w:rsid w:val="00DC4263"/>
    <w:rsid w:val="00DC5A7B"/>
    <w:rsid w:val="00DD0050"/>
    <w:rsid w:val="00DE0B89"/>
    <w:rsid w:val="00DE3454"/>
    <w:rsid w:val="00DE49A2"/>
    <w:rsid w:val="00DE56B2"/>
    <w:rsid w:val="00DF7A5D"/>
    <w:rsid w:val="00E0793D"/>
    <w:rsid w:val="00E11BBC"/>
    <w:rsid w:val="00E1412F"/>
    <w:rsid w:val="00E17CF6"/>
    <w:rsid w:val="00E33D35"/>
    <w:rsid w:val="00E43383"/>
    <w:rsid w:val="00E50213"/>
    <w:rsid w:val="00E5052B"/>
    <w:rsid w:val="00E5062F"/>
    <w:rsid w:val="00E52849"/>
    <w:rsid w:val="00E554F3"/>
    <w:rsid w:val="00E63A87"/>
    <w:rsid w:val="00E64EAF"/>
    <w:rsid w:val="00E64FE6"/>
    <w:rsid w:val="00E657C2"/>
    <w:rsid w:val="00E675CC"/>
    <w:rsid w:val="00E774C6"/>
    <w:rsid w:val="00E8403C"/>
    <w:rsid w:val="00E90B25"/>
    <w:rsid w:val="00E95F47"/>
    <w:rsid w:val="00EA4E73"/>
    <w:rsid w:val="00EA5FEB"/>
    <w:rsid w:val="00EB4002"/>
    <w:rsid w:val="00EB60B7"/>
    <w:rsid w:val="00EC392C"/>
    <w:rsid w:val="00ED29C0"/>
    <w:rsid w:val="00ED494C"/>
    <w:rsid w:val="00EE34ED"/>
    <w:rsid w:val="00EE4E0B"/>
    <w:rsid w:val="00EF44DD"/>
    <w:rsid w:val="00EF7A61"/>
    <w:rsid w:val="00F00931"/>
    <w:rsid w:val="00F2028E"/>
    <w:rsid w:val="00F2193D"/>
    <w:rsid w:val="00F267DA"/>
    <w:rsid w:val="00F2715F"/>
    <w:rsid w:val="00F40859"/>
    <w:rsid w:val="00F43775"/>
    <w:rsid w:val="00F54575"/>
    <w:rsid w:val="00F566EA"/>
    <w:rsid w:val="00F60684"/>
    <w:rsid w:val="00F64069"/>
    <w:rsid w:val="00F640D2"/>
    <w:rsid w:val="00F6624A"/>
    <w:rsid w:val="00F845FB"/>
    <w:rsid w:val="00F9043A"/>
    <w:rsid w:val="00F96010"/>
    <w:rsid w:val="00F96AC4"/>
    <w:rsid w:val="00FA072C"/>
    <w:rsid w:val="00FA1E79"/>
    <w:rsid w:val="00FA5F21"/>
    <w:rsid w:val="00FA6391"/>
    <w:rsid w:val="00FB6FAD"/>
    <w:rsid w:val="00FC35B4"/>
    <w:rsid w:val="00FC3ACC"/>
    <w:rsid w:val="00FD2C32"/>
    <w:rsid w:val="00FD7FF5"/>
    <w:rsid w:val="00FE1F9C"/>
    <w:rsid w:val="00FE2481"/>
    <w:rsid w:val="00FE3196"/>
    <w:rsid w:val="00FE45B8"/>
    <w:rsid w:val="00FE5927"/>
    <w:rsid w:val="00FF0970"/>
    <w:rsid w:val="00FF0C03"/>
    <w:rsid w:val="00FF6466"/>
    <w:rsid w:val="00FF673D"/>
    <w:rsid w:val="06165E02"/>
    <w:rsid w:val="078759FD"/>
    <w:rsid w:val="0B77C672"/>
    <w:rsid w:val="118061B1"/>
    <w:rsid w:val="16795055"/>
    <w:rsid w:val="16E9338C"/>
    <w:rsid w:val="29D36254"/>
    <w:rsid w:val="3DFC0DC8"/>
    <w:rsid w:val="478E2135"/>
    <w:rsid w:val="55023D73"/>
    <w:rsid w:val="563070D0"/>
    <w:rsid w:val="65576F30"/>
    <w:rsid w:val="67FFB974"/>
    <w:rsid w:val="6BFEFDDE"/>
    <w:rsid w:val="757FC1BF"/>
    <w:rsid w:val="7CFBD852"/>
    <w:rsid w:val="7DF3799C"/>
    <w:rsid w:val="7E266DD3"/>
    <w:rsid w:val="7EA7D68A"/>
    <w:rsid w:val="7EED4B72"/>
    <w:rsid w:val="87FF18FB"/>
    <w:rsid w:val="93FE6E3D"/>
    <w:rsid w:val="BCEB660C"/>
    <w:rsid w:val="C4668C8A"/>
    <w:rsid w:val="DEFBF3EC"/>
    <w:rsid w:val="DFFF69C8"/>
    <w:rsid w:val="ED9E3AE2"/>
    <w:rsid w:val="F6BB2C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宋体" w:hAnsi="宋体" w:eastAsia="宋体" w:cs="Times New Roman"/>
      <w:color w:val="000000"/>
      <w:kern w:val="2"/>
      <w:sz w:val="24"/>
      <w:szCs w:val="21"/>
      <w:lang w:val="en-US" w:eastAsia="zh-CN" w:bidi="ar-SA"/>
    </w:rPr>
  </w:style>
  <w:style w:type="paragraph" w:styleId="2">
    <w:name w:val="heading 1"/>
    <w:basedOn w:val="1"/>
    <w:next w:val="1"/>
    <w:link w:val="22"/>
    <w:qFormat/>
    <w:uiPriority w:val="9"/>
    <w:pPr>
      <w:keepNext/>
      <w:keepLines/>
      <w:numPr>
        <w:ilvl w:val="0"/>
        <w:numId w:val="1"/>
      </w:numPr>
      <w:spacing w:before="340" w:after="330" w:line="578" w:lineRule="auto"/>
      <w:outlineLvl w:val="0"/>
    </w:pPr>
    <w:rPr>
      <w:rFonts w:cs="MS Gothic"/>
      <w:b/>
      <w:bCs/>
      <w:kern w:val="44"/>
      <w:sz w:val="44"/>
      <w:szCs w:val="44"/>
    </w:rPr>
  </w:style>
  <w:style w:type="paragraph" w:styleId="3">
    <w:name w:val="heading 2"/>
    <w:basedOn w:val="1"/>
    <w:next w:val="1"/>
    <w:link w:val="23"/>
    <w:qFormat/>
    <w:uiPriority w:val="9"/>
    <w:pPr>
      <w:keepNext/>
      <w:keepLines/>
      <w:numPr>
        <w:ilvl w:val="1"/>
        <w:numId w:val="1"/>
      </w:numPr>
      <w:spacing w:before="260" w:after="260" w:line="416" w:lineRule="auto"/>
      <w:outlineLvl w:val="1"/>
    </w:pPr>
    <w:rPr>
      <w:rFonts w:ascii="等线 Light" w:hAnsi="等线 Light" w:eastAsia="等线 Light" w:cs="宋体"/>
      <w:b/>
      <w:bCs/>
      <w:sz w:val="32"/>
      <w:szCs w:val="32"/>
    </w:rPr>
  </w:style>
  <w:style w:type="paragraph" w:styleId="4">
    <w:name w:val="heading 3"/>
    <w:basedOn w:val="1"/>
    <w:next w:val="1"/>
    <w:link w:val="24"/>
    <w:qFormat/>
    <w:uiPriority w:val="9"/>
    <w:pPr>
      <w:keepNext/>
      <w:keepLines/>
      <w:numPr>
        <w:ilvl w:val="2"/>
        <w:numId w:val="1"/>
      </w:numPr>
      <w:spacing w:before="260" w:after="260" w:line="416" w:lineRule="auto"/>
      <w:outlineLvl w:val="2"/>
    </w:pPr>
    <w:rPr>
      <w:b/>
      <w:bCs/>
      <w:sz w:val="32"/>
      <w:szCs w:val="32"/>
    </w:rPr>
  </w:style>
  <w:style w:type="paragraph" w:styleId="5">
    <w:name w:val="heading 4"/>
    <w:basedOn w:val="1"/>
    <w:next w:val="1"/>
    <w:link w:val="25"/>
    <w:qFormat/>
    <w:uiPriority w:val="9"/>
    <w:pPr>
      <w:keepNext/>
      <w:keepLines/>
      <w:numPr>
        <w:ilvl w:val="3"/>
        <w:numId w:val="1"/>
      </w:numPr>
      <w:spacing w:before="280" w:after="290" w:line="376" w:lineRule="auto"/>
      <w:outlineLvl w:val="3"/>
    </w:pPr>
    <w:rPr>
      <w:rFonts w:ascii="等线 Light" w:hAnsi="等线 Light" w:eastAsia="等线 Light" w:cs="宋体"/>
      <w:b/>
      <w:bCs/>
      <w:sz w:val="28"/>
      <w:szCs w:val="28"/>
    </w:rPr>
  </w:style>
  <w:style w:type="paragraph" w:styleId="6">
    <w:name w:val="heading 5"/>
    <w:basedOn w:val="1"/>
    <w:next w:val="1"/>
    <w:link w:val="26"/>
    <w:qFormat/>
    <w:uiPriority w:val="9"/>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27"/>
    <w:qFormat/>
    <w:uiPriority w:val="9"/>
    <w:pPr>
      <w:keepNext/>
      <w:keepLines/>
      <w:numPr>
        <w:ilvl w:val="5"/>
        <w:numId w:val="1"/>
      </w:numPr>
      <w:spacing w:before="240" w:after="64" w:line="320" w:lineRule="auto"/>
      <w:outlineLvl w:val="5"/>
    </w:pPr>
    <w:rPr>
      <w:rFonts w:ascii="等线 Light" w:hAnsi="等线 Light" w:eastAsia="等线 Light" w:cs="宋体"/>
      <w:b/>
      <w:bCs/>
      <w:szCs w:val="24"/>
    </w:rPr>
  </w:style>
  <w:style w:type="paragraph" w:styleId="8">
    <w:name w:val="heading 7"/>
    <w:basedOn w:val="1"/>
    <w:next w:val="1"/>
    <w:link w:val="28"/>
    <w:qFormat/>
    <w:uiPriority w:val="9"/>
    <w:pPr>
      <w:keepNext/>
      <w:keepLines/>
      <w:numPr>
        <w:ilvl w:val="6"/>
        <w:numId w:val="1"/>
      </w:numPr>
      <w:spacing w:before="240" w:after="64" w:line="320" w:lineRule="auto"/>
      <w:outlineLvl w:val="6"/>
    </w:pPr>
    <w:rPr>
      <w:b/>
      <w:bCs/>
      <w:szCs w:val="24"/>
    </w:rPr>
  </w:style>
  <w:style w:type="paragraph" w:styleId="9">
    <w:name w:val="heading 8"/>
    <w:basedOn w:val="1"/>
    <w:next w:val="1"/>
    <w:link w:val="29"/>
    <w:qFormat/>
    <w:uiPriority w:val="9"/>
    <w:pPr>
      <w:keepNext/>
      <w:keepLines/>
      <w:numPr>
        <w:ilvl w:val="7"/>
        <w:numId w:val="1"/>
      </w:numPr>
      <w:spacing w:before="240" w:after="64" w:line="320" w:lineRule="auto"/>
      <w:outlineLvl w:val="7"/>
    </w:pPr>
    <w:rPr>
      <w:rFonts w:ascii="等线 Light" w:hAnsi="等线 Light" w:eastAsia="等线 Light" w:cs="宋体"/>
      <w:szCs w:val="24"/>
    </w:rPr>
  </w:style>
  <w:style w:type="paragraph" w:styleId="10">
    <w:name w:val="heading 9"/>
    <w:basedOn w:val="1"/>
    <w:next w:val="1"/>
    <w:link w:val="30"/>
    <w:qFormat/>
    <w:uiPriority w:val="9"/>
    <w:pPr>
      <w:keepNext/>
      <w:keepLines/>
      <w:numPr>
        <w:ilvl w:val="8"/>
        <w:numId w:val="1"/>
      </w:numPr>
      <w:spacing w:before="240" w:after="64" w:line="320" w:lineRule="auto"/>
      <w:outlineLvl w:val="8"/>
    </w:pPr>
    <w:rPr>
      <w:rFonts w:ascii="等线 Light" w:hAnsi="等线 Light" w:eastAsia="等线 Light" w:cs="宋体"/>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36"/>
    <w:qFormat/>
    <w:uiPriority w:val="99"/>
    <w:pPr>
      <w:spacing w:line="240" w:lineRule="auto"/>
    </w:pPr>
    <w:rPr>
      <w:rFonts w:hAnsi="Times New Roman"/>
      <w:color w:val="auto"/>
      <w:szCs w:val="24"/>
    </w:rPr>
  </w:style>
  <w:style w:type="paragraph" w:styleId="12">
    <w:name w:val="annotation text"/>
    <w:basedOn w:val="1"/>
    <w:link w:val="37"/>
    <w:qFormat/>
    <w:uiPriority w:val="0"/>
    <w:pPr>
      <w:spacing w:line="240" w:lineRule="auto"/>
      <w:jc w:val="left"/>
    </w:pPr>
    <w:rPr>
      <w:rFonts w:ascii="Times New Roman" w:hAnsi="Times New Roman"/>
      <w:color w:val="auto"/>
      <w:sz w:val="21"/>
      <w:szCs w:val="24"/>
    </w:rPr>
  </w:style>
  <w:style w:type="paragraph" w:styleId="13">
    <w:name w:val="Balloon Text"/>
    <w:basedOn w:val="1"/>
    <w:link w:val="39"/>
    <w:qFormat/>
    <w:uiPriority w:val="99"/>
    <w:pPr>
      <w:spacing w:line="240" w:lineRule="auto"/>
    </w:pPr>
    <w:rPr>
      <w:rFonts w:hAnsi="Times New Roman"/>
      <w:color w:val="auto"/>
      <w:sz w:val="18"/>
      <w:szCs w:val="18"/>
    </w:rPr>
  </w:style>
  <w:style w:type="paragraph" w:styleId="14">
    <w:name w:val="footer"/>
    <w:basedOn w:val="1"/>
    <w:link w:val="35"/>
    <w:qFormat/>
    <w:uiPriority w:val="99"/>
    <w:pPr>
      <w:tabs>
        <w:tab w:val="center" w:pos="4153"/>
        <w:tab w:val="right" w:pos="8306"/>
      </w:tabs>
      <w:snapToGrid w:val="0"/>
      <w:spacing w:line="240" w:lineRule="auto"/>
      <w:jc w:val="left"/>
    </w:pPr>
    <w:rPr>
      <w:rFonts w:ascii="Times New Roman" w:hAnsi="Times New Roman"/>
      <w:color w:val="auto"/>
      <w:sz w:val="18"/>
      <w:szCs w:val="18"/>
    </w:rPr>
  </w:style>
  <w:style w:type="paragraph" w:styleId="15">
    <w:name w:val="header"/>
    <w:basedOn w:val="1"/>
    <w:link w:val="34"/>
    <w:qFormat/>
    <w:uiPriority w:val="99"/>
    <w:pPr>
      <w:pBdr>
        <w:bottom w:val="single" w:color="auto" w:sz="6" w:space="1"/>
      </w:pBdr>
      <w:tabs>
        <w:tab w:val="center" w:pos="4153"/>
        <w:tab w:val="right" w:pos="8306"/>
      </w:tabs>
      <w:snapToGrid w:val="0"/>
      <w:spacing w:line="240" w:lineRule="auto"/>
      <w:jc w:val="center"/>
    </w:pPr>
    <w:rPr>
      <w:rFonts w:ascii="Times New Roman" w:hAnsi="Times New Roman"/>
      <w:color w:val="auto"/>
      <w:sz w:val="18"/>
      <w:szCs w:val="18"/>
    </w:rPr>
  </w:style>
  <w:style w:type="paragraph" w:styleId="16">
    <w:name w:val="annotation subject"/>
    <w:basedOn w:val="12"/>
    <w:next w:val="12"/>
    <w:link w:val="38"/>
    <w:qFormat/>
    <w:uiPriority w:val="99"/>
    <w:rPr>
      <w:b/>
      <w:bCs/>
    </w:rPr>
  </w:style>
  <w:style w:type="table" w:styleId="18">
    <w:name w:val="Table Grid"/>
    <w:basedOn w:val="17"/>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Hyperlink"/>
    <w:basedOn w:val="19"/>
    <w:qFormat/>
    <w:uiPriority w:val="99"/>
    <w:rPr>
      <w:color w:val="0000FF"/>
      <w:u w:val="single"/>
    </w:rPr>
  </w:style>
  <w:style w:type="character" w:styleId="21">
    <w:name w:val="annotation reference"/>
    <w:basedOn w:val="19"/>
    <w:qFormat/>
    <w:uiPriority w:val="0"/>
    <w:rPr>
      <w:sz w:val="21"/>
      <w:szCs w:val="21"/>
    </w:rPr>
  </w:style>
  <w:style w:type="character" w:customStyle="1" w:styleId="22">
    <w:name w:val="标题 1 字符"/>
    <w:basedOn w:val="19"/>
    <w:link w:val="2"/>
    <w:qFormat/>
    <w:uiPriority w:val="9"/>
    <w:rPr>
      <w:rFonts w:ascii="Times New Roman" w:hAnsi="Times New Roman" w:eastAsia="宋体" w:cs="MS Gothic"/>
      <w:b/>
      <w:bCs/>
      <w:kern w:val="44"/>
      <w:sz w:val="44"/>
      <w:szCs w:val="44"/>
    </w:rPr>
  </w:style>
  <w:style w:type="character" w:customStyle="1" w:styleId="23">
    <w:name w:val="标题 2 字符"/>
    <w:basedOn w:val="19"/>
    <w:link w:val="3"/>
    <w:qFormat/>
    <w:uiPriority w:val="9"/>
    <w:rPr>
      <w:rFonts w:ascii="等线 Light" w:hAnsi="等线 Light" w:eastAsia="等线 Light" w:cs="宋体"/>
      <w:b/>
      <w:bCs/>
      <w:sz w:val="32"/>
      <w:szCs w:val="32"/>
    </w:rPr>
  </w:style>
  <w:style w:type="character" w:customStyle="1" w:styleId="24">
    <w:name w:val="标题 3 字符"/>
    <w:basedOn w:val="19"/>
    <w:link w:val="4"/>
    <w:qFormat/>
    <w:uiPriority w:val="9"/>
    <w:rPr>
      <w:rFonts w:ascii="Times New Roman" w:hAnsi="Times New Roman" w:eastAsia="MS Gothic" w:cs="Times New Roman"/>
      <w:b/>
      <w:bCs/>
      <w:sz w:val="32"/>
      <w:szCs w:val="32"/>
    </w:rPr>
  </w:style>
  <w:style w:type="character" w:customStyle="1" w:styleId="25">
    <w:name w:val="标题 4 字符"/>
    <w:basedOn w:val="19"/>
    <w:link w:val="5"/>
    <w:qFormat/>
    <w:uiPriority w:val="9"/>
    <w:rPr>
      <w:rFonts w:ascii="等线 Light" w:hAnsi="等线 Light" w:eastAsia="等线 Light" w:cs="宋体"/>
      <w:b/>
      <w:bCs/>
      <w:sz w:val="28"/>
      <w:szCs w:val="28"/>
    </w:rPr>
  </w:style>
  <w:style w:type="character" w:customStyle="1" w:styleId="26">
    <w:name w:val="标题 5 字符"/>
    <w:basedOn w:val="19"/>
    <w:link w:val="6"/>
    <w:qFormat/>
    <w:uiPriority w:val="9"/>
    <w:rPr>
      <w:rFonts w:ascii="Times New Roman" w:hAnsi="Times New Roman" w:eastAsia="MS Gothic" w:cs="Times New Roman"/>
      <w:b/>
      <w:bCs/>
      <w:sz w:val="28"/>
      <w:szCs w:val="28"/>
    </w:rPr>
  </w:style>
  <w:style w:type="character" w:customStyle="1" w:styleId="27">
    <w:name w:val="标题 6 字符"/>
    <w:basedOn w:val="19"/>
    <w:link w:val="7"/>
    <w:qFormat/>
    <w:uiPriority w:val="9"/>
    <w:rPr>
      <w:rFonts w:ascii="等线 Light" w:hAnsi="等线 Light" w:eastAsia="等线 Light" w:cs="宋体"/>
      <w:b/>
      <w:bCs/>
      <w:sz w:val="24"/>
      <w:szCs w:val="24"/>
    </w:rPr>
  </w:style>
  <w:style w:type="character" w:customStyle="1" w:styleId="28">
    <w:name w:val="标题 7 字符"/>
    <w:basedOn w:val="19"/>
    <w:link w:val="8"/>
    <w:qFormat/>
    <w:uiPriority w:val="9"/>
    <w:rPr>
      <w:rFonts w:ascii="Times New Roman" w:hAnsi="Times New Roman" w:eastAsia="MS Gothic" w:cs="Times New Roman"/>
      <w:b/>
      <w:bCs/>
      <w:sz w:val="24"/>
      <w:szCs w:val="24"/>
    </w:rPr>
  </w:style>
  <w:style w:type="character" w:customStyle="1" w:styleId="29">
    <w:name w:val="标题 8 字符"/>
    <w:basedOn w:val="19"/>
    <w:link w:val="9"/>
    <w:qFormat/>
    <w:uiPriority w:val="9"/>
    <w:rPr>
      <w:rFonts w:ascii="等线 Light" w:hAnsi="等线 Light" w:eastAsia="等线 Light" w:cs="宋体"/>
      <w:sz w:val="24"/>
      <w:szCs w:val="24"/>
    </w:rPr>
  </w:style>
  <w:style w:type="character" w:customStyle="1" w:styleId="30">
    <w:name w:val="标题 9 字符"/>
    <w:basedOn w:val="19"/>
    <w:link w:val="10"/>
    <w:qFormat/>
    <w:uiPriority w:val="9"/>
    <w:rPr>
      <w:rFonts w:ascii="等线 Light" w:hAnsi="等线 Light" w:eastAsia="等线 Light" w:cs="宋体"/>
      <w:szCs w:val="21"/>
    </w:rPr>
  </w:style>
  <w:style w:type="paragraph" w:styleId="31">
    <w:name w:val="List Paragraph"/>
    <w:basedOn w:val="1"/>
    <w:link w:val="70"/>
    <w:qFormat/>
    <w:uiPriority w:val="1"/>
    <w:pPr>
      <w:ind w:firstLine="420" w:firstLineChars="200"/>
    </w:pPr>
  </w:style>
  <w:style w:type="paragraph" w:customStyle="1" w:styleId="32">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table" w:customStyle="1" w:styleId="33">
    <w:name w:val="Table Normal"/>
    <w:qFormat/>
    <w:uiPriority w:val="2"/>
    <w:tblPr>
      <w:tblCellMar>
        <w:top w:w="0" w:type="dxa"/>
        <w:left w:w="0" w:type="dxa"/>
        <w:bottom w:w="0" w:type="dxa"/>
        <w:right w:w="0" w:type="dxa"/>
      </w:tblCellMar>
    </w:tblPr>
  </w:style>
  <w:style w:type="character" w:customStyle="1" w:styleId="34">
    <w:name w:val="页眉 字符"/>
    <w:basedOn w:val="19"/>
    <w:link w:val="15"/>
    <w:qFormat/>
    <w:uiPriority w:val="99"/>
    <w:rPr>
      <w:rFonts w:ascii="Times New Roman" w:hAnsi="Times New Roman" w:eastAsia="宋体" w:cs="Times New Roman"/>
      <w:sz w:val="18"/>
      <w:szCs w:val="18"/>
    </w:rPr>
  </w:style>
  <w:style w:type="character" w:customStyle="1" w:styleId="35">
    <w:name w:val="页脚 字符"/>
    <w:basedOn w:val="19"/>
    <w:link w:val="14"/>
    <w:qFormat/>
    <w:uiPriority w:val="99"/>
    <w:rPr>
      <w:rFonts w:ascii="Times New Roman" w:hAnsi="Times New Roman" w:eastAsia="宋体" w:cs="Times New Roman"/>
      <w:sz w:val="18"/>
      <w:szCs w:val="18"/>
    </w:rPr>
  </w:style>
  <w:style w:type="character" w:customStyle="1" w:styleId="36">
    <w:name w:val="文档结构图 字符"/>
    <w:basedOn w:val="19"/>
    <w:link w:val="11"/>
    <w:qFormat/>
    <w:uiPriority w:val="99"/>
    <w:rPr>
      <w:rFonts w:ascii="宋体" w:hAnsi="Times New Roman" w:eastAsia="宋体" w:cs="Times New Roman"/>
      <w:sz w:val="24"/>
      <w:szCs w:val="24"/>
    </w:rPr>
  </w:style>
  <w:style w:type="character" w:customStyle="1" w:styleId="37">
    <w:name w:val="批注文字 字符"/>
    <w:basedOn w:val="19"/>
    <w:link w:val="12"/>
    <w:qFormat/>
    <w:uiPriority w:val="0"/>
    <w:rPr>
      <w:rFonts w:ascii="Times New Roman" w:hAnsi="Times New Roman" w:eastAsia="宋体" w:cs="Times New Roman"/>
      <w:szCs w:val="24"/>
    </w:rPr>
  </w:style>
  <w:style w:type="character" w:customStyle="1" w:styleId="38">
    <w:name w:val="批注主题 字符"/>
    <w:basedOn w:val="37"/>
    <w:link w:val="16"/>
    <w:qFormat/>
    <w:uiPriority w:val="99"/>
    <w:rPr>
      <w:rFonts w:ascii="Times New Roman" w:hAnsi="Times New Roman" w:eastAsia="宋体" w:cs="Times New Roman"/>
      <w:b/>
      <w:bCs/>
      <w:szCs w:val="24"/>
    </w:rPr>
  </w:style>
  <w:style w:type="character" w:customStyle="1" w:styleId="39">
    <w:name w:val="批注框文本 字符"/>
    <w:basedOn w:val="19"/>
    <w:link w:val="13"/>
    <w:qFormat/>
    <w:uiPriority w:val="99"/>
    <w:rPr>
      <w:rFonts w:ascii="宋体" w:hAnsi="Times New Roman" w:eastAsia="宋体" w:cs="Times New Roman"/>
      <w:sz w:val="18"/>
      <w:szCs w:val="18"/>
    </w:rPr>
  </w:style>
  <w:style w:type="paragraph" w:customStyle="1" w:styleId="40">
    <w:name w:val="msonormal"/>
    <w:basedOn w:val="1"/>
    <w:qFormat/>
    <w:uiPriority w:val="0"/>
    <w:pPr>
      <w:widowControl/>
      <w:spacing w:before="100" w:beforeAutospacing="1" w:after="100" w:afterAutospacing="1" w:line="240" w:lineRule="auto"/>
      <w:jc w:val="left"/>
    </w:pPr>
    <w:rPr>
      <w:rFonts w:cs="宋体"/>
      <w:color w:val="auto"/>
      <w:kern w:val="0"/>
      <w:szCs w:val="24"/>
    </w:rPr>
  </w:style>
  <w:style w:type="paragraph" w:customStyle="1" w:styleId="41">
    <w:name w:val="font0"/>
    <w:basedOn w:val="1"/>
    <w:qFormat/>
    <w:uiPriority w:val="0"/>
    <w:pPr>
      <w:widowControl/>
      <w:spacing w:before="100" w:beforeAutospacing="1" w:after="100" w:afterAutospacing="1" w:line="240" w:lineRule="auto"/>
      <w:jc w:val="left"/>
    </w:pPr>
    <w:rPr>
      <w:rFonts w:cs="宋体"/>
      <w:kern w:val="0"/>
      <w:sz w:val="22"/>
      <w:szCs w:val="22"/>
    </w:rPr>
  </w:style>
  <w:style w:type="paragraph" w:customStyle="1" w:styleId="42">
    <w:name w:val="font5"/>
    <w:basedOn w:val="1"/>
    <w:qFormat/>
    <w:uiPriority w:val="0"/>
    <w:pPr>
      <w:widowControl/>
      <w:spacing w:before="100" w:beforeAutospacing="1" w:after="100" w:afterAutospacing="1" w:line="240" w:lineRule="auto"/>
      <w:jc w:val="left"/>
    </w:pPr>
    <w:rPr>
      <w:rFonts w:cs="宋体"/>
      <w:color w:val="auto"/>
      <w:kern w:val="0"/>
      <w:sz w:val="18"/>
      <w:szCs w:val="18"/>
    </w:rPr>
  </w:style>
  <w:style w:type="paragraph" w:customStyle="1" w:styleId="43">
    <w:name w:val="xl88"/>
    <w:basedOn w:val="1"/>
    <w:qFormat/>
    <w:uiPriority w:val="0"/>
    <w:pPr>
      <w:widowControl/>
      <w:spacing w:before="100" w:beforeAutospacing="1" w:after="100" w:afterAutospacing="1" w:line="240" w:lineRule="auto"/>
      <w:jc w:val="left"/>
    </w:pPr>
    <w:rPr>
      <w:rFonts w:ascii="华文宋体" w:hAnsi="华文宋体" w:eastAsia="华文宋体" w:cs="宋体"/>
      <w:color w:val="auto"/>
      <w:kern w:val="0"/>
      <w:szCs w:val="24"/>
    </w:rPr>
  </w:style>
  <w:style w:type="paragraph" w:customStyle="1" w:styleId="44">
    <w:name w:val="xl89"/>
    <w:basedOn w:val="1"/>
    <w:qFormat/>
    <w:uiPriority w:val="0"/>
    <w:pPr>
      <w:widowControl/>
      <w:spacing w:before="100" w:beforeAutospacing="1" w:after="100" w:afterAutospacing="1" w:line="240" w:lineRule="auto"/>
      <w:jc w:val="left"/>
    </w:pPr>
    <w:rPr>
      <w:rFonts w:ascii="新宋体" w:hAnsi="新宋体" w:eastAsia="新宋体" w:cs="宋体"/>
      <w:color w:val="auto"/>
      <w:kern w:val="0"/>
      <w:szCs w:val="24"/>
    </w:rPr>
  </w:style>
  <w:style w:type="paragraph" w:customStyle="1" w:styleId="45">
    <w:name w:val="xl90"/>
    <w:basedOn w:val="1"/>
    <w:qFormat/>
    <w:uiPriority w:val="0"/>
    <w:pPr>
      <w:widowControl/>
      <w:spacing w:before="100" w:beforeAutospacing="1" w:after="100" w:afterAutospacing="1" w:line="240" w:lineRule="auto"/>
      <w:jc w:val="left"/>
    </w:pPr>
    <w:rPr>
      <w:rFonts w:ascii="华文宋体" w:hAnsi="华文宋体" w:eastAsia="华文宋体" w:cs="宋体"/>
      <w:color w:val="auto"/>
      <w:kern w:val="0"/>
      <w:szCs w:val="24"/>
    </w:rPr>
  </w:style>
  <w:style w:type="paragraph" w:customStyle="1" w:styleId="46">
    <w:name w:val="xl91"/>
    <w:basedOn w:val="1"/>
    <w:qFormat/>
    <w:uiPriority w:val="0"/>
    <w:pPr>
      <w:widowControl/>
      <w:pBdr>
        <w:top w:val="single" w:color="auto" w:sz="4" w:space="0"/>
        <w:left w:val="single" w:color="auto" w:sz="4" w:space="0"/>
        <w:bottom w:val="single" w:color="auto" w:sz="4" w:space="0"/>
        <w:right w:val="single" w:color="auto" w:sz="8" w:space="0"/>
      </w:pBdr>
      <w:shd w:val="clear" w:color="000000" w:fill="FFFFFF"/>
      <w:spacing w:before="100" w:beforeAutospacing="1" w:after="100" w:afterAutospacing="1" w:line="240" w:lineRule="auto"/>
      <w:jc w:val="left"/>
    </w:pPr>
    <w:rPr>
      <w:rFonts w:ascii="微软雅黑" w:hAnsi="微软雅黑" w:eastAsia="微软雅黑" w:cs="宋体"/>
      <w:color w:val="auto"/>
      <w:kern w:val="0"/>
      <w:sz w:val="26"/>
      <w:szCs w:val="26"/>
    </w:rPr>
  </w:style>
  <w:style w:type="paragraph" w:customStyle="1" w:styleId="47">
    <w:name w:val="xl92"/>
    <w:basedOn w:val="1"/>
    <w:qFormat/>
    <w:uiPriority w:val="0"/>
    <w:pPr>
      <w:widowControl/>
      <w:pBdr>
        <w:top w:val="single" w:color="C0C0C0" w:sz="4" w:space="0"/>
        <w:left w:val="single" w:color="C0C0C0" w:sz="4" w:space="0"/>
        <w:bottom w:val="single" w:color="C0C0C0" w:sz="4" w:space="0"/>
        <w:right w:val="single" w:color="C0C0C0" w:sz="4" w:space="0"/>
      </w:pBdr>
      <w:spacing w:before="100" w:beforeAutospacing="1" w:after="100" w:afterAutospacing="1" w:line="240" w:lineRule="auto"/>
      <w:jc w:val="left"/>
    </w:pPr>
    <w:rPr>
      <w:rFonts w:ascii="新宋体" w:hAnsi="新宋体" w:eastAsia="新宋体" w:cs="宋体"/>
      <w:color w:val="auto"/>
      <w:kern w:val="0"/>
      <w:szCs w:val="24"/>
    </w:rPr>
  </w:style>
  <w:style w:type="paragraph" w:customStyle="1" w:styleId="48">
    <w:name w:val="xl93"/>
    <w:basedOn w:val="1"/>
    <w:qFormat/>
    <w:uiPriority w:val="0"/>
    <w:pPr>
      <w:widowControl/>
      <w:pBdr>
        <w:left w:val="single" w:color="auto" w:sz="8" w:space="0"/>
      </w:pBdr>
      <w:spacing w:before="100" w:beforeAutospacing="1" w:after="100" w:afterAutospacing="1" w:line="240" w:lineRule="auto"/>
      <w:jc w:val="center"/>
    </w:pPr>
    <w:rPr>
      <w:rFonts w:ascii="华文宋体" w:hAnsi="华文宋体" w:eastAsia="华文宋体" w:cs="宋体"/>
      <w:color w:val="auto"/>
      <w:kern w:val="0"/>
      <w:szCs w:val="24"/>
    </w:rPr>
  </w:style>
  <w:style w:type="paragraph" w:customStyle="1" w:styleId="49">
    <w:name w:val="xl9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jc w:val="left"/>
      <w:textAlignment w:val="top"/>
    </w:pPr>
    <w:rPr>
      <w:rFonts w:ascii="微软雅黑" w:hAnsi="微软雅黑" w:eastAsia="微软雅黑" w:cs="宋体"/>
      <w:color w:val="auto"/>
      <w:kern w:val="0"/>
      <w:sz w:val="26"/>
      <w:szCs w:val="26"/>
    </w:rPr>
  </w:style>
  <w:style w:type="paragraph" w:customStyle="1" w:styleId="50">
    <w:name w:val="xl95"/>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jc w:val="left"/>
    </w:pPr>
    <w:rPr>
      <w:rFonts w:ascii="微软雅黑" w:hAnsi="微软雅黑" w:eastAsia="微软雅黑" w:cs="宋体"/>
      <w:color w:val="auto"/>
      <w:kern w:val="0"/>
      <w:sz w:val="26"/>
      <w:szCs w:val="26"/>
    </w:rPr>
  </w:style>
  <w:style w:type="paragraph" w:customStyle="1" w:styleId="51">
    <w:name w:val="xl96"/>
    <w:basedOn w:val="1"/>
    <w:qFormat/>
    <w:uiPriority w:val="0"/>
    <w:pPr>
      <w:widowControl/>
      <w:pBdr>
        <w:top w:val="single" w:color="auto" w:sz="4" w:space="0"/>
        <w:left w:val="single" w:color="auto" w:sz="4" w:space="0"/>
        <w:bottom w:val="single" w:color="auto" w:sz="4" w:space="0"/>
        <w:right w:val="single" w:color="auto" w:sz="8" w:space="0"/>
      </w:pBdr>
      <w:shd w:val="clear" w:color="000000" w:fill="FFFFFF"/>
      <w:spacing w:before="100" w:beforeAutospacing="1" w:after="100" w:afterAutospacing="1" w:line="240" w:lineRule="auto"/>
      <w:jc w:val="left"/>
      <w:textAlignment w:val="top"/>
    </w:pPr>
    <w:rPr>
      <w:rFonts w:ascii="微软雅黑" w:hAnsi="微软雅黑" w:eastAsia="微软雅黑" w:cs="宋体"/>
      <w:color w:val="auto"/>
      <w:kern w:val="0"/>
      <w:sz w:val="26"/>
      <w:szCs w:val="26"/>
    </w:rPr>
  </w:style>
  <w:style w:type="paragraph" w:customStyle="1" w:styleId="52">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微软雅黑" w:hAnsi="微软雅黑" w:eastAsia="微软雅黑" w:cs="宋体"/>
      <w:color w:val="auto"/>
      <w:kern w:val="0"/>
      <w:sz w:val="26"/>
      <w:szCs w:val="26"/>
    </w:rPr>
  </w:style>
  <w:style w:type="paragraph" w:customStyle="1" w:styleId="53">
    <w:name w:val="xl98"/>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jc w:val="left"/>
      <w:textAlignment w:val="top"/>
    </w:pPr>
    <w:rPr>
      <w:rFonts w:ascii="微软雅黑" w:hAnsi="微软雅黑" w:eastAsia="微软雅黑" w:cs="宋体"/>
      <w:color w:val="auto"/>
      <w:kern w:val="0"/>
      <w:sz w:val="26"/>
      <w:szCs w:val="26"/>
    </w:rPr>
  </w:style>
  <w:style w:type="paragraph" w:customStyle="1" w:styleId="54">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微软雅黑" w:hAnsi="微软雅黑" w:eastAsia="微软雅黑" w:cs="宋体"/>
      <w:color w:val="auto"/>
      <w:kern w:val="0"/>
      <w:sz w:val="26"/>
      <w:szCs w:val="26"/>
    </w:rPr>
  </w:style>
  <w:style w:type="paragraph" w:customStyle="1" w:styleId="55">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left"/>
    </w:pPr>
    <w:rPr>
      <w:rFonts w:ascii="微软雅黑" w:hAnsi="微软雅黑" w:eastAsia="微软雅黑" w:cs="宋体"/>
      <w:color w:val="auto"/>
      <w:kern w:val="0"/>
      <w:sz w:val="26"/>
      <w:szCs w:val="26"/>
    </w:rPr>
  </w:style>
  <w:style w:type="paragraph" w:customStyle="1" w:styleId="56">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left"/>
    </w:pPr>
    <w:rPr>
      <w:rFonts w:ascii="微软雅黑" w:hAnsi="微软雅黑" w:eastAsia="微软雅黑" w:cs="宋体"/>
      <w:color w:val="auto"/>
      <w:kern w:val="0"/>
      <w:sz w:val="26"/>
      <w:szCs w:val="26"/>
    </w:rPr>
  </w:style>
  <w:style w:type="paragraph" w:customStyle="1" w:styleId="57">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left"/>
    </w:pPr>
    <w:rPr>
      <w:rFonts w:ascii="微软雅黑" w:hAnsi="微软雅黑" w:eastAsia="微软雅黑" w:cs="宋体"/>
      <w:color w:val="auto"/>
      <w:kern w:val="0"/>
      <w:sz w:val="26"/>
      <w:szCs w:val="26"/>
    </w:rPr>
  </w:style>
  <w:style w:type="paragraph" w:customStyle="1" w:styleId="58">
    <w:name w:val="xl103"/>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jc w:val="left"/>
    </w:pPr>
    <w:rPr>
      <w:rFonts w:ascii="微软雅黑" w:hAnsi="微软雅黑" w:eastAsia="微软雅黑" w:cs="宋体"/>
      <w:color w:val="auto"/>
      <w:kern w:val="0"/>
      <w:sz w:val="26"/>
      <w:szCs w:val="26"/>
    </w:rPr>
  </w:style>
  <w:style w:type="paragraph" w:customStyle="1" w:styleId="59">
    <w:name w:val="xl10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textAlignment w:val="top"/>
    </w:pPr>
    <w:rPr>
      <w:rFonts w:ascii="微软雅黑" w:hAnsi="微软雅黑" w:eastAsia="微软雅黑" w:cs="宋体"/>
      <w:color w:val="auto"/>
      <w:kern w:val="0"/>
      <w:sz w:val="26"/>
      <w:szCs w:val="26"/>
    </w:rPr>
  </w:style>
  <w:style w:type="paragraph" w:customStyle="1" w:styleId="60">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微软雅黑" w:hAnsi="微软雅黑" w:eastAsia="微软雅黑" w:cs="宋体"/>
      <w:color w:val="auto"/>
      <w:kern w:val="0"/>
      <w:sz w:val="26"/>
      <w:szCs w:val="26"/>
    </w:rPr>
  </w:style>
  <w:style w:type="paragraph" w:customStyle="1" w:styleId="61">
    <w:name w:val="xl106"/>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jc w:val="left"/>
    </w:pPr>
    <w:rPr>
      <w:rFonts w:ascii="微软雅黑" w:hAnsi="微软雅黑" w:eastAsia="微软雅黑" w:cs="宋体"/>
      <w:color w:val="auto"/>
      <w:kern w:val="0"/>
      <w:sz w:val="26"/>
      <w:szCs w:val="26"/>
    </w:rPr>
  </w:style>
  <w:style w:type="paragraph" w:customStyle="1" w:styleId="62">
    <w:name w:val="xl107"/>
    <w:basedOn w:val="1"/>
    <w:qFormat/>
    <w:uiPriority w:val="0"/>
    <w:pPr>
      <w:widowControl/>
      <w:pBdr>
        <w:left w:val="single" w:color="auto" w:sz="4" w:space="0"/>
        <w:right w:val="single" w:color="auto" w:sz="4" w:space="0"/>
      </w:pBdr>
      <w:spacing w:before="100" w:beforeAutospacing="1" w:after="100" w:afterAutospacing="1" w:line="240" w:lineRule="auto"/>
      <w:jc w:val="left"/>
    </w:pPr>
    <w:rPr>
      <w:rFonts w:ascii="微软雅黑" w:hAnsi="微软雅黑" w:eastAsia="微软雅黑" w:cs="宋体"/>
      <w:color w:val="auto"/>
      <w:kern w:val="0"/>
      <w:sz w:val="26"/>
      <w:szCs w:val="26"/>
    </w:rPr>
  </w:style>
  <w:style w:type="paragraph" w:customStyle="1" w:styleId="63">
    <w:name w:val="xl108"/>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line="240" w:lineRule="auto"/>
      <w:jc w:val="center"/>
    </w:pPr>
    <w:rPr>
      <w:rFonts w:ascii="微软雅黑" w:hAnsi="微软雅黑" w:eastAsia="微软雅黑" w:cs="宋体"/>
      <w:color w:val="auto"/>
      <w:kern w:val="0"/>
      <w:sz w:val="26"/>
      <w:szCs w:val="26"/>
    </w:rPr>
  </w:style>
  <w:style w:type="paragraph" w:customStyle="1" w:styleId="64">
    <w:name w:val="xl109"/>
    <w:basedOn w:val="1"/>
    <w:qFormat/>
    <w:uiPriority w:val="0"/>
    <w:pPr>
      <w:widowControl/>
      <w:pBdr>
        <w:top w:val="single" w:color="auto" w:sz="4" w:space="0"/>
        <w:left w:val="single" w:color="auto" w:sz="8" w:space="0"/>
        <w:bottom w:val="single" w:color="auto" w:sz="4" w:space="0"/>
        <w:right w:val="single" w:color="auto" w:sz="4" w:space="0"/>
      </w:pBdr>
      <w:shd w:val="clear" w:color="000000" w:fill="FFFFFF"/>
      <w:spacing w:before="100" w:beforeAutospacing="1" w:after="100" w:afterAutospacing="1" w:line="240" w:lineRule="auto"/>
      <w:jc w:val="center"/>
    </w:pPr>
    <w:rPr>
      <w:rFonts w:ascii="微软雅黑" w:hAnsi="微软雅黑" w:eastAsia="微软雅黑" w:cs="宋体"/>
      <w:color w:val="auto"/>
      <w:kern w:val="0"/>
      <w:sz w:val="26"/>
      <w:szCs w:val="26"/>
    </w:rPr>
  </w:style>
  <w:style w:type="paragraph" w:customStyle="1" w:styleId="65">
    <w:name w:val="xl110"/>
    <w:basedOn w:val="1"/>
    <w:qFormat/>
    <w:uiPriority w:val="0"/>
    <w:pPr>
      <w:widowControl/>
      <w:pBdr>
        <w:top w:val="single" w:color="auto" w:sz="4" w:space="0"/>
        <w:left w:val="single" w:color="auto" w:sz="8" w:space="0"/>
        <w:right w:val="single" w:color="auto" w:sz="4" w:space="0"/>
      </w:pBdr>
      <w:spacing w:before="100" w:beforeAutospacing="1" w:after="100" w:afterAutospacing="1" w:line="240" w:lineRule="auto"/>
      <w:jc w:val="center"/>
    </w:pPr>
    <w:rPr>
      <w:rFonts w:ascii="微软雅黑" w:hAnsi="微软雅黑" w:eastAsia="微软雅黑" w:cs="宋体"/>
      <w:color w:val="auto"/>
      <w:kern w:val="0"/>
      <w:sz w:val="26"/>
      <w:szCs w:val="26"/>
    </w:rPr>
  </w:style>
  <w:style w:type="paragraph" w:customStyle="1" w:styleId="66">
    <w:name w:val="xl111"/>
    <w:basedOn w:val="1"/>
    <w:qFormat/>
    <w:uiPriority w:val="0"/>
    <w:pPr>
      <w:widowControl/>
      <w:pBdr>
        <w:left w:val="single" w:color="auto" w:sz="8" w:space="0"/>
        <w:right w:val="single" w:color="auto" w:sz="4" w:space="0"/>
      </w:pBdr>
      <w:spacing w:before="100" w:beforeAutospacing="1" w:after="100" w:afterAutospacing="1" w:line="240" w:lineRule="auto"/>
      <w:jc w:val="center"/>
    </w:pPr>
    <w:rPr>
      <w:rFonts w:ascii="微软雅黑" w:hAnsi="微软雅黑" w:eastAsia="微软雅黑" w:cs="宋体"/>
      <w:color w:val="auto"/>
      <w:kern w:val="0"/>
      <w:sz w:val="26"/>
      <w:szCs w:val="26"/>
    </w:rPr>
  </w:style>
  <w:style w:type="paragraph" w:customStyle="1" w:styleId="67">
    <w:name w:val="表格抬头"/>
    <w:basedOn w:val="1"/>
    <w:qFormat/>
    <w:uiPriority w:val="0"/>
    <w:pPr>
      <w:keepNext/>
      <w:widowControl/>
      <w:adjustRightInd w:val="0"/>
      <w:spacing w:line="240" w:lineRule="auto"/>
      <w:jc w:val="center"/>
    </w:pPr>
    <w:rPr>
      <w:rFonts w:ascii="Times New Roman" w:hAnsi="Times New Roman" w:cs="宋体"/>
      <w:b/>
      <w:bCs/>
      <w:color w:val="auto"/>
      <w:kern w:val="0"/>
      <w:sz w:val="21"/>
    </w:rPr>
  </w:style>
  <w:style w:type="paragraph" w:customStyle="1" w:styleId="68">
    <w:name w:val="表格内容左对齐"/>
    <w:basedOn w:val="1"/>
    <w:qFormat/>
    <w:uiPriority w:val="0"/>
    <w:pPr>
      <w:keepNext/>
      <w:widowControl/>
      <w:adjustRightInd w:val="0"/>
      <w:spacing w:line="240" w:lineRule="exact"/>
    </w:pPr>
    <w:rPr>
      <w:rFonts w:ascii="Futura Hv" w:hAnsi="Times New Roman" w:eastAsia="Futura Hv" w:cs="Futura Hv"/>
      <w:color w:val="auto"/>
      <w:kern w:val="0"/>
      <w:sz w:val="18"/>
    </w:rPr>
  </w:style>
  <w:style w:type="paragraph" w:customStyle="1" w:styleId="69">
    <w:name w:val="正文正文"/>
    <w:basedOn w:val="1"/>
    <w:next w:val="1"/>
    <w:qFormat/>
    <w:uiPriority w:val="0"/>
    <w:pPr>
      <w:ind w:firstLine="420"/>
      <w:jc w:val="left"/>
    </w:pPr>
    <w:rPr>
      <w:rFonts w:cs="宋体"/>
      <w:color w:val="auto"/>
      <w:szCs w:val="24"/>
    </w:rPr>
  </w:style>
  <w:style w:type="character" w:customStyle="1" w:styleId="70">
    <w:name w:val="列表段落 字符"/>
    <w:link w:val="31"/>
    <w:qFormat/>
    <w:uiPriority w:val="1"/>
    <w:rPr>
      <w:rFonts w:ascii="宋体" w:hAnsi="宋体" w:eastAsia="宋体" w:cs="Times New Roman"/>
      <w:color w:val="000000"/>
      <w:kern w:val="2"/>
      <w:sz w:val="24"/>
      <w:szCs w:val="21"/>
    </w:rPr>
  </w:style>
  <w:style w:type="paragraph" w:customStyle="1" w:styleId="71">
    <w:name w:val="表格样式"/>
    <w:link w:val="72"/>
    <w:qFormat/>
    <w:uiPriority w:val="0"/>
    <w:pPr>
      <w:wordWrap w:val="0"/>
      <w:spacing w:line="0" w:lineRule="atLeast"/>
      <w:contextualSpacing/>
    </w:pPr>
    <w:rPr>
      <w:rFonts w:ascii="微软雅黑" w:hAnsi="微软雅黑" w:eastAsia="微软雅黑" w:cs="Times New Roman"/>
      <w:kern w:val="2"/>
      <w:sz w:val="21"/>
      <w:szCs w:val="28"/>
      <w:lang w:val="en-US" w:eastAsia="zh-CN" w:bidi="ar-SA"/>
    </w:rPr>
  </w:style>
  <w:style w:type="character" w:customStyle="1" w:styleId="72">
    <w:name w:val="表格样式 字符"/>
    <w:basedOn w:val="19"/>
    <w:link w:val="71"/>
    <w:qFormat/>
    <w:uiPriority w:val="0"/>
    <w:rPr>
      <w:rFonts w:ascii="微软雅黑" w:hAnsi="微软雅黑" w:eastAsia="微软雅黑" w:cs="Times New Roman"/>
      <w:kern w:val="2"/>
      <w:sz w:val="21"/>
      <w:szCs w:val="28"/>
    </w:rPr>
  </w:style>
  <w:style w:type="paragraph" w:customStyle="1" w:styleId="73">
    <w:name w:val="列表段落1"/>
    <w:qFormat/>
    <w:uiPriority w:val="34"/>
    <w:pPr>
      <w:ind w:firstLine="420" w:firstLineChars="200"/>
    </w:pPr>
    <w:rPr>
      <w:rFonts w:ascii="Times New Roman" w:hAnsi="Times New Roman" w:eastAsia="宋体" w:cs="Times New Roman"/>
      <w:lang w:val="en-US" w:eastAsia="zh-CN" w:bidi="ar-SA"/>
    </w:rPr>
  </w:style>
  <w:style w:type="paragraph" w:customStyle="1" w:styleId="74">
    <w:name w:val="正文（ChinaNSC）"/>
    <w:basedOn w:val="1"/>
    <w:link w:val="75"/>
    <w:qFormat/>
    <w:uiPriority w:val="0"/>
    <w:pPr>
      <w:widowControl/>
      <w:spacing w:after="120" w:afterLines="50"/>
      <w:ind w:firstLine="420"/>
      <w:jc w:val="left"/>
    </w:pPr>
    <w:rPr>
      <w:rFonts w:cs="宋体"/>
      <w:color w:val="auto"/>
      <w:kern w:val="0"/>
      <w:szCs w:val="24"/>
    </w:rPr>
  </w:style>
  <w:style w:type="character" w:customStyle="1" w:styleId="75">
    <w:name w:val="正文（ChinaNSC） Char"/>
    <w:link w:val="74"/>
    <w:qFormat/>
    <w:uiPriority w:val="0"/>
    <w:rPr>
      <w:rFonts w:ascii="宋体" w:hAnsi="宋体" w:cs="宋体"/>
      <w:sz w:val="24"/>
      <w:szCs w:val="24"/>
    </w:rPr>
  </w:style>
  <w:style w:type="paragraph" w:customStyle="1" w:styleId="76">
    <w:name w:val="Table Paragraph"/>
    <w:basedOn w:val="1"/>
    <w:qFormat/>
    <w:uiPriority w:val="1"/>
    <w:pPr>
      <w:autoSpaceDE w:val="0"/>
      <w:autoSpaceDN w:val="0"/>
      <w:spacing w:line="240" w:lineRule="auto"/>
      <w:ind w:left="108"/>
      <w:jc w:val="left"/>
    </w:pPr>
    <w:rPr>
      <w:rFonts w:cs="宋体"/>
      <w:color w:val="auto"/>
      <w:kern w:val="0"/>
      <w:sz w:val="22"/>
      <w:szCs w:val="22"/>
    </w:rPr>
  </w:style>
  <w:style w:type="character" w:customStyle="1" w:styleId="77">
    <w:name w:val="text_fomms"/>
    <w:basedOn w:val="19"/>
    <w:qFormat/>
    <w:uiPriority w:val="0"/>
  </w:style>
  <w:style w:type="paragraph" w:customStyle="1" w:styleId="78">
    <w:name w:val="表格"/>
    <w:basedOn w:val="1"/>
    <w:link w:val="79"/>
    <w:qFormat/>
    <w:uiPriority w:val="0"/>
    <w:pPr>
      <w:suppressAutoHyphens/>
      <w:jc w:val="center"/>
    </w:pPr>
    <w:rPr>
      <w:rFonts w:cstheme="minorBidi"/>
      <w:color w:val="auto"/>
      <w:szCs w:val="22"/>
    </w:rPr>
  </w:style>
  <w:style w:type="character" w:customStyle="1" w:styleId="79">
    <w:name w:val="表格 字符"/>
    <w:basedOn w:val="19"/>
    <w:link w:val="78"/>
    <w:qFormat/>
    <w:uiPriority w:val="0"/>
    <w:rPr>
      <w:rFonts w:ascii="宋体" w:hAnsi="宋体" w:cstheme="minorBidi"/>
      <w:kern w:val="2"/>
      <w:sz w:val="24"/>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9A57B688-3333-4105-9470-4C75EBC0EE07}">
  <ds:schemaRefs/>
</ds:datastoreItem>
</file>

<file path=docProps/app.xml><?xml version="1.0" encoding="utf-8"?>
<Properties xmlns="http://schemas.openxmlformats.org/officeDocument/2006/extended-properties" xmlns:vt="http://schemas.openxmlformats.org/officeDocument/2006/docPropsVTypes">
  <Template>Normal.dotm</Template>
  <Pages>23</Pages>
  <Words>2797</Words>
  <Characters>15947</Characters>
  <Lines>132</Lines>
  <Paragraphs>37</Paragraphs>
  <TotalTime>1469</TotalTime>
  <ScaleCrop>false</ScaleCrop>
  <LinksUpToDate>false</LinksUpToDate>
  <CharactersWithSpaces>18707</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2022-09-06T01:09:00Z</dcterms:created>
  <dc:creator>Eason Fu</dc:creator>
  <cp:lastModifiedBy>王婉婷</cp:lastModifiedBy>
  <dcterms:modified xsi:type="dcterms:W3CDTF">2026-11-04T13:51:39Z</dcterms:modified>
  <cp:revision>242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5694E92D9B0D42728211CE24E51AB39D</vt:lpwstr>
  </property>
  <property fmtid="{D5CDD505-2E9C-101B-9397-08002B2CF9AE}" pid="3" name="KSOProductBuildVer">
    <vt:lpwstr>2052-12.8.2.21176</vt:lpwstr>
  </property>
</Properties>
</file>