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DF09">
      <w:pPr>
        <w:adjustRightInd w:val="0"/>
        <w:snapToGrid w:val="0"/>
        <w:spacing w:line="360" w:lineRule="auto"/>
        <w:jc w:val="center"/>
        <w:rPr>
          <w:rFonts w:hint="eastAsia" w:ascii="黑体" w:hAnsi="黑体" w:eastAsia="黑体" w:cs="黑体"/>
          <w:b/>
          <w:sz w:val="24"/>
          <w:szCs w:val="24"/>
          <w:highlight w:val="none"/>
        </w:rPr>
      </w:pPr>
      <w:bookmarkStart w:id="0" w:name="_Toc206231500"/>
      <w:bookmarkStart w:id="1" w:name="_Toc399698794"/>
      <w:r>
        <w:rPr>
          <w:rFonts w:hint="eastAsia" w:ascii="黑体" w:hAnsi="黑体" w:eastAsia="黑体" w:cs="黑体"/>
          <w:b/>
          <w:sz w:val="24"/>
          <w:szCs w:val="24"/>
          <w:highlight w:val="none"/>
        </w:rPr>
        <w:t>申康中心端数智病理子系统建设项目</w:t>
      </w:r>
    </w:p>
    <w:p w14:paraId="4C08A394">
      <w:pPr>
        <w:adjustRightInd w:val="0"/>
        <w:snapToGrid w:val="0"/>
        <w:spacing w:line="360" w:lineRule="auto"/>
        <w:jc w:val="center"/>
        <w:rPr>
          <w:rFonts w:hint="eastAsia" w:ascii="宋体" w:hAnsi="宋体" w:eastAsia="宋体"/>
          <w:szCs w:val="21"/>
          <w:highlight w:val="none"/>
          <w:lang w:eastAsia="zh-CN"/>
        </w:rPr>
      </w:pPr>
      <w:r>
        <w:rPr>
          <w:rFonts w:hint="eastAsia" w:ascii="黑体" w:hAnsi="黑体" w:eastAsia="黑体" w:cs="黑体"/>
          <w:b/>
          <w:sz w:val="24"/>
          <w:szCs w:val="24"/>
          <w:highlight w:val="none"/>
          <w:lang w:eastAsia="zh-CN"/>
        </w:rPr>
        <w:t>采购需求</w:t>
      </w:r>
    </w:p>
    <w:p w14:paraId="2D988FEC">
      <w:pPr>
        <w:pStyle w:val="2"/>
        <w:pageBreakBefore w:val="0"/>
        <w:adjustRightInd w:val="0"/>
        <w:snapToGrid w:val="0"/>
        <w:spacing w:before="0" w:after="0" w:line="360" w:lineRule="auto"/>
        <w:rPr>
          <w:rFonts w:hint="eastAsia" w:ascii="宋体" w:hAnsi="宋体" w:eastAsia="宋体"/>
          <w:sz w:val="21"/>
          <w:szCs w:val="21"/>
          <w:highlight w:val="none"/>
        </w:rPr>
      </w:pPr>
      <w:r>
        <w:rPr>
          <w:rFonts w:hint="eastAsia" w:ascii="宋体" w:hAnsi="宋体" w:eastAsia="宋体"/>
          <w:sz w:val="21"/>
          <w:szCs w:val="21"/>
          <w:highlight w:val="none"/>
        </w:rPr>
        <w:t>项目</w:t>
      </w:r>
      <w:bookmarkEnd w:id="0"/>
      <w:r>
        <w:rPr>
          <w:rFonts w:hint="eastAsia" w:ascii="宋体" w:hAnsi="宋体" w:eastAsia="宋体"/>
          <w:sz w:val="21"/>
          <w:szCs w:val="21"/>
          <w:highlight w:val="none"/>
        </w:rPr>
        <w:t>背景介绍</w:t>
      </w:r>
    </w:p>
    <w:p w14:paraId="5AA068F4">
      <w:pPr>
        <w:pStyle w:val="3"/>
        <w:adjustRightInd w:val="0"/>
        <w:snapToGrid w:val="0"/>
        <w:spacing w:before="0" w:after="0" w:line="360" w:lineRule="auto"/>
        <w:ind w:left="0"/>
        <w:rPr>
          <w:rFonts w:hint="eastAsia" w:ascii="宋体" w:hAnsi="宋体" w:eastAsia="宋体"/>
          <w:sz w:val="21"/>
          <w:szCs w:val="21"/>
          <w:highlight w:val="none"/>
        </w:rPr>
      </w:pPr>
      <w:r>
        <w:rPr>
          <w:rFonts w:ascii="宋体" w:hAnsi="宋体" w:eastAsia="宋体"/>
          <w:b/>
          <w:sz w:val="21"/>
          <w:szCs w:val="21"/>
          <w:highlight w:val="none"/>
        </w:rPr>
        <w:t>项目名称</w:t>
      </w:r>
      <w:r>
        <w:rPr>
          <w:rFonts w:hint="eastAsia" w:ascii="宋体" w:hAnsi="宋体" w:eastAsia="宋体"/>
          <w:sz w:val="21"/>
          <w:szCs w:val="21"/>
          <w:highlight w:val="none"/>
        </w:rPr>
        <w:t>：申康中心端数智病理子系统建设项目</w:t>
      </w:r>
    </w:p>
    <w:p w14:paraId="47AA213B">
      <w:pPr>
        <w:pStyle w:val="3"/>
        <w:adjustRightInd w:val="0"/>
        <w:snapToGrid w:val="0"/>
        <w:spacing w:before="0" w:after="0" w:line="360" w:lineRule="auto"/>
        <w:ind w:left="0"/>
        <w:rPr>
          <w:rFonts w:hint="eastAsia" w:ascii="宋体" w:hAnsi="宋体" w:eastAsia="宋体"/>
          <w:sz w:val="21"/>
          <w:szCs w:val="21"/>
          <w:highlight w:val="none"/>
        </w:rPr>
      </w:pPr>
      <w:r>
        <w:rPr>
          <w:rFonts w:hint="eastAsia" w:ascii="宋体" w:hAnsi="宋体" w:eastAsia="宋体"/>
          <w:b/>
          <w:sz w:val="21"/>
          <w:szCs w:val="21"/>
          <w:highlight w:val="none"/>
        </w:rPr>
        <w:t>项目地点</w:t>
      </w:r>
      <w:r>
        <w:rPr>
          <w:rFonts w:hint="eastAsia" w:ascii="宋体" w:hAnsi="宋体" w:eastAsia="宋体"/>
          <w:sz w:val="21"/>
          <w:szCs w:val="21"/>
          <w:highlight w:val="none"/>
        </w:rPr>
        <w:t>：上海申康医院发展中心（康定路2号）</w:t>
      </w:r>
    </w:p>
    <w:p w14:paraId="147F5BB6">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总体背景</w:t>
      </w:r>
    </w:p>
    <w:p w14:paraId="12A16E87">
      <w:pPr>
        <w:spacing w:line="360" w:lineRule="auto"/>
        <w:ind w:firstLine="420" w:firstLineChars="200"/>
        <w:rPr>
          <w:highlight w:val="none"/>
        </w:rPr>
      </w:pPr>
      <w:r>
        <w:rPr>
          <w:rFonts w:hint="eastAsia"/>
          <w:highlight w:val="none"/>
        </w:rPr>
        <w:t>上海申康医院发展中心（以下简称“申康中心”）是市级公立医疗机构国有资产投资、管理、运营的责任主体和政府办医的责任主体。一方面，申康中心受市国资委委托，承担投资举办市级公立医疗机构的职能，对市级公立医疗机构的国有资产实施监督管理，履行出资人职责；另一方面，作为市政府的办医主体，申康中心将根据市政府的要求，坚持正确的办医方向，办好市级公立医疗机构，进一步提高市级医疗机构的整体水平，为患者提供质优、价廉的医疗服务。</w:t>
      </w:r>
    </w:p>
    <w:p w14:paraId="7A27D816">
      <w:pPr>
        <w:spacing w:line="360" w:lineRule="auto"/>
        <w:ind w:firstLine="420" w:firstLineChars="200"/>
        <w:rPr>
          <w:highlight w:val="none"/>
        </w:rPr>
      </w:pPr>
      <w:r>
        <w:rPr>
          <w:rFonts w:hint="eastAsia"/>
          <w:highlight w:val="none"/>
        </w:rPr>
        <w:t>根据《国务院办公厅关于推动公立医院高质量发展的意见》（国办发〔2021〕18号）、上海市《关于推进公立医院高质量发展的实施方案》（国发〔2021〕5号）等文件精神，本项目立足市级医院病理诊断数字化发展需求，以打造高水平、一体化、智能化的病理数据应用与管理体系为目标，开展申康中心端数智病理子系统建设项目。</w:t>
      </w:r>
    </w:p>
    <w:p w14:paraId="26C121B6">
      <w:pPr>
        <w:pStyle w:val="3"/>
        <w:adjustRightIn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项目介绍</w:t>
      </w:r>
    </w:p>
    <w:p w14:paraId="514D52B0">
      <w:pPr>
        <w:spacing w:line="360" w:lineRule="auto"/>
        <w:ind w:firstLine="420" w:firstLineChars="200"/>
        <w:rPr>
          <w:highlight w:val="none"/>
        </w:rPr>
      </w:pPr>
      <w:r>
        <w:rPr>
          <w:rFonts w:hint="eastAsia"/>
          <w:highlight w:val="none"/>
        </w:rPr>
        <w:t>本项目以推动病理业务从传统模式向现代数智模式转型为导向，建设覆盖5家试点市级医院的数智病理系统，通过构建规范化的病理数据汇聚通道、标准化的数据库、智能化的运营平台以及共享化的调阅服务，提升市级医院病理诊断智能化水平与病理诊疗协同效率。</w:t>
      </w:r>
    </w:p>
    <w:p w14:paraId="04C1A1A4">
      <w:pPr>
        <w:pStyle w:val="2"/>
        <w:pageBreakBefore w:val="0"/>
        <w:adjustRightInd w:val="0"/>
        <w:spacing w:before="0" w:after="0" w:line="360" w:lineRule="auto"/>
        <w:ind w:left="0"/>
        <w:rPr>
          <w:rFonts w:hint="eastAsia" w:ascii="宋体" w:hAnsi="宋体" w:eastAsia="宋体"/>
          <w:sz w:val="21"/>
          <w:szCs w:val="21"/>
          <w:highlight w:val="none"/>
        </w:rPr>
      </w:pPr>
      <w:r>
        <w:rPr>
          <w:rFonts w:hint="eastAsia" w:ascii="宋体" w:hAnsi="宋体" w:eastAsia="宋体"/>
          <w:sz w:val="21"/>
          <w:szCs w:val="21"/>
          <w:highlight w:val="none"/>
        </w:rPr>
        <w:t>本次采购内容</w:t>
      </w:r>
    </w:p>
    <w:p w14:paraId="2921A71B">
      <w:pPr>
        <w:pStyle w:val="3"/>
        <w:adjustRightIn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采购内容</w:t>
      </w:r>
    </w:p>
    <w:p w14:paraId="00DA07E3">
      <w:pPr>
        <w:spacing w:line="360" w:lineRule="auto"/>
        <w:ind w:firstLine="420" w:firstLineChars="200"/>
        <w:rPr>
          <w:highlight w:val="none"/>
        </w:rPr>
      </w:pPr>
      <w:r>
        <w:rPr>
          <w:rFonts w:hint="eastAsia"/>
          <w:highlight w:val="none"/>
        </w:rPr>
        <w:t>本次采购主要内容包括申康中心端数智病理子系统建设项目的应用软件系统及密码应用建设，具体如下：</w:t>
      </w:r>
    </w:p>
    <w:tbl>
      <w:tblPr>
        <w:tblStyle w:val="27"/>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6096"/>
        <w:gridCol w:w="2354"/>
      </w:tblGrid>
      <w:tr w14:paraId="6EA1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1020" w:type="dxa"/>
            <w:vAlign w:val="center"/>
          </w:tcPr>
          <w:p w14:paraId="0E317115">
            <w:pPr>
              <w:adjustRightInd w:val="0"/>
              <w:snapToGrid w:val="0"/>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6096" w:type="dxa"/>
            <w:vAlign w:val="center"/>
          </w:tcPr>
          <w:p w14:paraId="30AC5715">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系统名称</w:t>
            </w:r>
          </w:p>
        </w:tc>
        <w:tc>
          <w:tcPr>
            <w:tcW w:w="2354" w:type="dxa"/>
            <w:vAlign w:val="center"/>
          </w:tcPr>
          <w:p w14:paraId="054C536D">
            <w:pPr>
              <w:adjustRightInd w:val="0"/>
              <w:snapToGrid w:val="0"/>
              <w:spacing w:line="360" w:lineRule="auto"/>
              <w:jc w:val="center"/>
              <w:rPr>
                <w:rFonts w:hint="eastAsia" w:ascii="宋体" w:hAnsi="宋体"/>
                <w:b/>
                <w:bCs/>
                <w:szCs w:val="21"/>
                <w:highlight w:val="none"/>
              </w:rPr>
            </w:pPr>
            <w:r>
              <w:rPr>
                <w:rFonts w:ascii="宋体" w:hAnsi="宋体"/>
                <w:b/>
                <w:bCs/>
                <w:szCs w:val="21"/>
                <w:highlight w:val="none"/>
              </w:rPr>
              <w:t>数量</w:t>
            </w:r>
          </w:p>
        </w:tc>
      </w:tr>
      <w:tr w14:paraId="1734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42A00D62">
            <w:pPr>
              <w:widowControl/>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1</w:t>
            </w:r>
          </w:p>
        </w:tc>
        <w:tc>
          <w:tcPr>
            <w:tcW w:w="6096" w:type="dxa"/>
            <w:vAlign w:val="center"/>
          </w:tcPr>
          <w:p w14:paraId="5BA33AC9">
            <w:pPr>
              <w:adjustRightInd w:val="0"/>
              <w:snapToGrid w:val="0"/>
              <w:spacing w:line="360" w:lineRule="auto"/>
              <w:rPr>
                <w:rFonts w:hint="eastAsia" w:ascii="宋体" w:hAnsi="宋体"/>
                <w:bCs/>
                <w:szCs w:val="21"/>
                <w:highlight w:val="none"/>
              </w:rPr>
            </w:pPr>
            <w:r>
              <w:rPr>
                <w:rFonts w:hint="eastAsia"/>
                <w:szCs w:val="21"/>
                <w:highlight w:val="none"/>
              </w:rPr>
              <w:t>数据汇聚</w:t>
            </w:r>
          </w:p>
        </w:tc>
        <w:tc>
          <w:tcPr>
            <w:tcW w:w="2354" w:type="dxa"/>
            <w:vAlign w:val="center"/>
          </w:tcPr>
          <w:p w14:paraId="65AAEDFF">
            <w:pPr>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1</w:t>
            </w:r>
          </w:p>
        </w:tc>
      </w:tr>
      <w:tr w14:paraId="440F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42761A08">
            <w:pPr>
              <w:widowControl/>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2</w:t>
            </w:r>
          </w:p>
        </w:tc>
        <w:tc>
          <w:tcPr>
            <w:tcW w:w="6096" w:type="dxa"/>
            <w:vAlign w:val="center"/>
          </w:tcPr>
          <w:p w14:paraId="424D0C8C">
            <w:pPr>
              <w:adjustRightInd w:val="0"/>
              <w:snapToGrid w:val="0"/>
              <w:spacing w:line="360" w:lineRule="auto"/>
              <w:rPr>
                <w:rFonts w:hint="eastAsia" w:ascii="宋体" w:hAnsi="宋体"/>
                <w:bCs/>
                <w:szCs w:val="21"/>
                <w:highlight w:val="none"/>
              </w:rPr>
            </w:pPr>
            <w:r>
              <w:rPr>
                <w:rFonts w:hint="eastAsia"/>
                <w:szCs w:val="21"/>
                <w:highlight w:val="none"/>
              </w:rPr>
              <w:t>市级病理诊断标准化病理数据库</w:t>
            </w:r>
          </w:p>
        </w:tc>
        <w:tc>
          <w:tcPr>
            <w:tcW w:w="2354" w:type="dxa"/>
            <w:vAlign w:val="center"/>
          </w:tcPr>
          <w:p w14:paraId="69420479">
            <w:pPr>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1</w:t>
            </w:r>
          </w:p>
        </w:tc>
      </w:tr>
      <w:tr w14:paraId="0B0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5EF5D467">
            <w:pPr>
              <w:widowControl/>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3</w:t>
            </w:r>
          </w:p>
        </w:tc>
        <w:tc>
          <w:tcPr>
            <w:tcW w:w="6096" w:type="dxa"/>
            <w:vAlign w:val="center"/>
          </w:tcPr>
          <w:p w14:paraId="244A5BC1">
            <w:pPr>
              <w:adjustRightInd w:val="0"/>
              <w:snapToGrid w:val="0"/>
              <w:spacing w:line="360" w:lineRule="auto"/>
              <w:rPr>
                <w:rFonts w:hint="eastAsia" w:ascii="宋体" w:hAnsi="宋体"/>
                <w:bCs/>
                <w:szCs w:val="21"/>
                <w:highlight w:val="none"/>
              </w:rPr>
            </w:pPr>
            <w:r>
              <w:rPr>
                <w:rFonts w:hint="eastAsia"/>
                <w:szCs w:val="21"/>
                <w:highlight w:val="none"/>
              </w:rPr>
              <w:t>数智病理综合运营管理</w:t>
            </w:r>
          </w:p>
        </w:tc>
        <w:tc>
          <w:tcPr>
            <w:tcW w:w="2354" w:type="dxa"/>
            <w:vAlign w:val="center"/>
          </w:tcPr>
          <w:p w14:paraId="11879C0E">
            <w:pPr>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1</w:t>
            </w:r>
          </w:p>
        </w:tc>
      </w:tr>
      <w:tr w14:paraId="6A57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7B60E2A3">
            <w:pPr>
              <w:widowControl/>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4</w:t>
            </w:r>
          </w:p>
        </w:tc>
        <w:tc>
          <w:tcPr>
            <w:tcW w:w="6096" w:type="dxa"/>
            <w:vAlign w:val="center"/>
          </w:tcPr>
          <w:p w14:paraId="0BEF84EE">
            <w:pPr>
              <w:adjustRightInd w:val="0"/>
              <w:snapToGrid w:val="0"/>
              <w:spacing w:line="360" w:lineRule="auto"/>
              <w:rPr>
                <w:rFonts w:hint="eastAsia" w:ascii="宋体" w:hAnsi="宋体"/>
                <w:bCs/>
                <w:szCs w:val="21"/>
                <w:highlight w:val="none"/>
              </w:rPr>
            </w:pPr>
            <w:r>
              <w:rPr>
                <w:rFonts w:hint="eastAsia"/>
                <w:szCs w:val="21"/>
                <w:highlight w:val="none"/>
              </w:rPr>
              <w:t>病理数据调阅服务</w:t>
            </w:r>
          </w:p>
        </w:tc>
        <w:tc>
          <w:tcPr>
            <w:tcW w:w="2354" w:type="dxa"/>
            <w:vAlign w:val="center"/>
          </w:tcPr>
          <w:p w14:paraId="0BE1BA60">
            <w:pPr>
              <w:adjustRightInd w:val="0"/>
              <w:snapToGrid w:val="0"/>
              <w:spacing w:line="360" w:lineRule="auto"/>
              <w:jc w:val="center"/>
              <w:rPr>
                <w:rFonts w:hint="eastAsia" w:ascii="宋体" w:hAnsi="宋体"/>
                <w:bCs/>
                <w:szCs w:val="21"/>
                <w:highlight w:val="none"/>
              </w:rPr>
            </w:pPr>
            <w:r>
              <w:rPr>
                <w:rFonts w:hint="eastAsia" w:ascii="宋体" w:hAnsi="宋体"/>
                <w:bCs/>
                <w:szCs w:val="21"/>
                <w:highlight w:val="none"/>
              </w:rPr>
              <w:t>1</w:t>
            </w:r>
          </w:p>
        </w:tc>
      </w:tr>
    </w:tbl>
    <w:p w14:paraId="18B8E2B7">
      <w:pPr>
        <w:adjustRightInd w:val="0"/>
        <w:snapToGrid w:val="0"/>
        <w:spacing w:line="360" w:lineRule="auto"/>
        <w:ind w:firstLine="420" w:firstLineChars="200"/>
        <w:rPr>
          <w:rFonts w:hint="eastAsia" w:ascii="宋体" w:hAnsi="宋体"/>
          <w:szCs w:val="21"/>
          <w:highlight w:val="none"/>
        </w:rPr>
      </w:pPr>
    </w:p>
    <w:p w14:paraId="1D7F6A24">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实施内容</w:t>
      </w:r>
    </w:p>
    <w:p w14:paraId="1A6C2CF2">
      <w:pPr>
        <w:spacing w:line="360" w:lineRule="auto"/>
        <w:ind w:firstLine="420" w:firstLineChars="200"/>
        <w:rPr>
          <w:highlight w:val="none"/>
        </w:rPr>
      </w:pPr>
      <w:r>
        <w:rPr>
          <w:rFonts w:hint="eastAsia"/>
          <w:highlight w:val="none"/>
        </w:rPr>
        <w:t>本次采购实施内容包括：申康中心端数智病理子系统建设项目的系统开发、部署和集成，包括软件功能的开发、接口调试、修改、系统部署、集成、维护，完成本项目建设所需的基础数据准备，人员培训，售后服务和技术支持等内容。</w:t>
      </w:r>
    </w:p>
    <w:p w14:paraId="2F039B94">
      <w:pPr>
        <w:pStyle w:val="2"/>
        <w:pageBreakBefore w:val="0"/>
        <w:adjustRightInd w:val="0"/>
        <w:snapToGrid w:val="0"/>
        <w:spacing w:before="0" w:after="0" w:line="360" w:lineRule="auto"/>
        <w:ind w:left="0" w:firstLine="0"/>
        <w:rPr>
          <w:rFonts w:hint="eastAsia" w:ascii="宋体" w:hAnsi="宋体" w:eastAsia="宋体"/>
          <w:sz w:val="21"/>
          <w:szCs w:val="21"/>
          <w:highlight w:val="none"/>
        </w:rPr>
      </w:pPr>
      <w:r>
        <w:rPr>
          <w:rFonts w:hint="eastAsia" w:ascii="宋体" w:hAnsi="宋体" w:eastAsia="宋体"/>
          <w:sz w:val="21"/>
          <w:szCs w:val="21"/>
          <w:highlight w:val="none"/>
        </w:rPr>
        <w:t>项目建设原则</w:t>
      </w:r>
    </w:p>
    <w:p w14:paraId="42C166CE">
      <w:pPr>
        <w:spacing w:line="360" w:lineRule="auto"/>
        <w:ind w:firstLine="420" w:firstLineChars="200"/>
        <w:rPr>
          <w:highlight w:val="none"/>
        </w:rPr>
      </w:pPr>
      <w:r>
        <w:rPr>
          <w:rFonts w:hint="eastAsia"/>
          <w:highlight w:val="none"/>
        </w:rPr>
        <w:t>本次项目建设应依据以下文件进行建设：</w:t>
      </w:r>
    </w:p>
    <w:p w14:paraId="3EF178D8">
      <w:pPr>
        <w:snapToGrid w:val="0"/>
        <w:spacing w:line="360" w:lineRule="auto"/>
        <w:ind w:firstLine="426"/>
        <w:rPr>
          <w:rFonts w:hint="eastAsia" w:ascii="宋体" w:hAnsi="宋体"/>
          <w:szCs w:val="21"/>
          <w:highlight w:val="none"/>
        </w:rPr>
      </w:pPr>
      <w:r>
        <w:rPr>
          <w:rFonts w:hint="eastAsia" w:ascii="宋体" w:hAnsi="宋体"/>
          <w:szCs w:val="21"/>
          <w:highlight w:val="none"/>
        </w:rPr>
        <w:t>1）国家卫健委 《病理专业医疗质量控制指标（2024年版）》</w:t>
      </w:r>
    </w:p>
    <w:p w14:paraId="50B5C4C5">
      <w:pPr>
        <w:snapToGrid w:val="0"/>
        <w:spacing w:line="360" w:lineRule="auto"/>
        <w:ind w:firstLine="426"/>
        <w:rPr>
          <w:rFonts w:hint="eastAsia" w:ascii="宋体" w:hAnsi="宋体"/>
          <w:szCs w:val="21"/>
          <w:highlight w:val="none"/>
        </w:rPr>
      </w:pPr>
      <w:r>
        <w:rPr>
          <w:rFonts w:hint="eastAsia" w:ascii="宋体" w:hAnsi="宋体"/>
          <w:szCs w:val="21"/>
          <w:highlight w:val="none"/>
        </w:rPr>
        <w:t>2）国家卫健委《医院信息平台交互标准》（WS/T 846.1-11-2024）</w:t>
      </w:r>
    </w:p>
    <w:p w14:paraId="684A8C49">
      <w:pPr>
        <w:snapToGrid w:val="0"/>
        <w:spacing w:line="360" w:lineRule="auto"/>
        <w:ind w:firstLine="426"/>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）国家卫健委《医院信息平台交互标准</w:t>
      </w:r>
      <w:r>
        <w:rPr>
          <w:rFonts w:ascii="宋体" w:hAnsi="宋体"/>
          <w:szCs w:val="21"/>
          <w:highlight w:val="none"/>
        </w:rPr>
        <w:t> </w:t>
      </w:r>
      <w:r>
        <w:rPr>
          <w:rFonts w:hint="eastAsia" w:ascii="宋体" w:hAnsi="宋体"/>
          <w:szCs w:val="21"/>
          <w:highlight w:val="none"/>
        </w:rPr>
        <w:t>第</w:t>
      </w:r>
      <w:r>
        <w:rPr>
          <w:rFonts w:ascii="宋体" w:hAnsi="宋体"/>
          <w:szCs w:val="21"/>
          <w:highlight w:val="none"/>
        </w:rPr>
        <w:t>1</w:t>
      </w:r>
      <w:r>
        <w:rPr>
          <w:rFonts w:hint="eastAsia" w:ascii="宋体" w:hAnsi="宋体"/>
          <w:szCs w:val="21"/>
          <w:highlight w:val="none"/>
        </w:rPr>
        <w:t>部分：总则》（</w:t>
      </w:r>
      <w:r>
        <w:rPr>
          <w:rFonts w:ascii="宋体" w:hAnsi="宋体"/>
          <w:szCs w:val="21"/>
          <w:highlight w:val="none"/>
        </w:rPr>
        <w:t>WS/T 846.1-2024</w:t>
      </w:r>
      <w:r>
        <w:rPr>
          <w:rFonts w:hint="eastAsia" w:ascii="宋体" w:hAnsi="宋体"/>
          <w:szCs w:val="21"/>
          <w:highlight w:val="none"/>
        </w:rPr>
        <w:t>）</w:t>
      </w:r>
    </w:p>
    <w:p w14:paraId="0EF4BABE">
      <w:pPr>
        <w:snapToGrid w:val="0"/>
        <w:spacing w:line="360" w:lineRule="auto"/>
        <w:ind w:firstLine="426"/>
        <w:rPr>
          <w:rFonts w:hint="eastAsia" w:ascii="宋体" w:hAnsi="宋体"/>
          <w:szCs w:val="21"/>
          <w:highlight w:val="none"/>
        </w:rPr>
      </w:pPr>
      <w:r>
        <w:rPr>
          <w:rFonts w:hint="eastAsia" w:ascii="宋体" w:hAnsi="宋体"/>
          <w:szCs w:val="21"/>
          <w:highlight w:val="none"/>
        </w:rPr>
        <w:t>4）国家卫健委《卫生健康信息数据元标准化规则》（WS∕T303-2023）</w:t>
      </w:r>
    </w:p>
    <w:p w14:paraId="5DACC5EA">
      <w:pPr>
        <w:snapToGrid w:val="0"/>
        <w:spacing w:line="360" w:lineRule="auto"/>
        <w:ind w:firstLine="426"/>
        <w:rPr>
          <w:rFonts w:hint="eastAsia" w:ascii="宋体" w:hAnsi="宋体"/>
          <w:szCs w:val="21"/>
          <w:highlight w:val="none"/>
        </w:rPr>
      </w:pPr>
      <w:r>
        <w:rPr>
          <w:rFonts w:hint="eastAsia" w:ascii="宋体" w:hAnsi="宋体"/>
          <w:szCs w:val="21"/>
          <w:highlight w:val="none"/>
        </w:rPr>
        <w:t>5）国家卫健委《卫生健康信息数据模式描述指南》(WS∕T304-202023)</w:t>
      </w:r>
    </w:p>
    <w:p w14:paraId="4831995E">
      <w:pPr>
        <w:snapToGrid w:val="0"/>
        <w:spacing w:line="360" w:lineRule="auto"/>
        <w:ind w:firstLine="426"/>
        <w:rPr>
          <w:rFonts w:hint="eastAsia" w:ascii="宋体" w:hAnsi="宋体"/>
          <w:szCs w:val="21"/>
          <w:highlight w:val="none"/>
        </w:rPr>
      </w:pPr>
      <w:r>
        <w:rPr>
          <w:rFonts w:hint="eastAsia" w:ascii="宋体" w:hAnsi="宋体"/>
          <w:szCs w:val="21"/>
          <w:highlight w:val="none"/>
        </w:rPr>
        <w:t>6）国家卫健委《卫生健康信息数据集元数据标准》(WS∕T305-2023)</w:t>
      </w:r>
    </w:p>
    <w:p w14:paraId="31D5928D">
      <w:pPr>
        <w:snapToGrid w:val="0"/>
        <w:spacing w:line="360" w:lineRule="auto"/>
        <w:ind w:firstLine="426"/>
        <w:rPr>
          <w:rFonts w:hint="eastAsia" w:ascii="宋体" w:hAnsi="宋体"/>
          <w:szCs w:val="21"/>
          <w:highlight w:val="none"/>
        </w:rPr>
      </w:pPr>
      <w:r>
        <w:rPr>
          <w:rFonts w:hint="eastAsia" w:ascii="宋体" w:hAnsi="宋体"/>
          <w:szCs w:val="21"/>
          <w:highlight w:val="none"/>
        </w:rPr>
        <w:t>7）国家卫健委《卫生健康信息数据集分类与编码规则》(WS∕T306-2023)</w:t>
      </w:r>
    </w:p>
    <w:p w14:paraId="6963F82C">
      <w:pPr>
        <w:snapToGrid w:val="0"/>
        <w:spacing w:line="360" w:lineRule="auto"/>
        <w:ind w:firstLine="426"/>
        <w:rPr>
          <w:rFonts w:hint="eastAsia" w:ascii="宋体" w:hAnsi="宋体"/>
          <w:szCs w:val="21"/>
          <w:highlight w:val="none"/>
        </w:rPr>
      </w:pPr>
      <w:r>
        <w:rPr>
          <w:rFonts w:hint="eastAsia" w:ascii="宋体" w:hAnsi="宋体"/>
          <w:szCs w:val="21"/>
          <w:highlight w:val="none"/>
        </w:rPr>
        <w:t>8）国家卫健委《卫生健康信息数据元目录》(WS363.1-17-2023)</w:t>
      </w:r>
    </w:p>
    <w:p w14:paraId="3B349EBB">
      <w:pPr>
        <w:snapToGrid w:val="0"/>
        <w:spacing w:line="360" w:lineRule="auto"/>
        <w:ind w:firstLine="426"/>
        <w:rPr>
          <w:rFonts w:hint="eastAsia" w:ascii="宋体" w:hAnsi="宋体"/>
          <w:szCs w:val="21"/>
          <w:highlight w:val="none"/>
        </w:rPr>
      </w:pPr>
      <w:r>
        <w:rPr>
          <w:rFonts w:hint="eastAsia" w:ascii="宋体" w:hAnsi="宋体"/>
          <w:szCs w:val="21"/>
          <w:highlight w:val="none"/>
        </w:rPr>
        <w:t>9）国家卫健委《卫生健康信息数据元值域代码》(WS364.1-17-2023)</w:t>
      </w:r>
    </w:p>
    <w:p w14:paraId="6CBA313D">
      <w:pPr>
        <w:snapToGrid w:val="0"/>
        <w:spacing w:line="360" w:lineRule="auto"/>
        <w:ind w:firstLine="426"/>
        <w:rPr>
          <w:rFonts w:hint="eastAsia" w:ascii="宋体" w:hAnsi="宋体"/>
          <w:szCs w:val="21"/>
          <w:highlight w:val="none"/>
        </w:rPr>
      </w:pPr>
      <w:r>
        <w:rPr>
          <w:rFonts w:hint="eastAsia" w:ascii="宋体" w:hAnsi="宋体"/>
          <w:szCs w:val="21"/>
          <w:highlight w:val="none"/>
        </w:rPr>
        <w:t>10）中国合格评定国家认可委员会 《医学实验室组织病理学检查领域认可指南》（CNAS-GL048:2021）</w:t>
      </w:r>
    </w:p>
    <w:p w14:paraId="3DFFF20A">
      <w:pPr>
        <w:snapToGrid w:val="0"/>
        <w:spacing w:line="360" w:lineRule="auto"/>
        <w:ind w:firstLine="426"/>
        <w:rPr>
          <w:rFonts w:hint="eastAsia" w:ascii="宋体" w:hAnsi="宋体"/>
          <w:szCs w:val="21"/>
          <w:highlight w:val="none"/>
        </w:rPr>
      </w:pPr>
      <w:r>
        <w:rPr>
          <w:rFonts w:hint="eastAsia" w:ascii="宋体" w:hAnsi="宋体"/>
          <w:szCs w:val="21"/>
          <w:highlight w:val="none"/>
        </w:rPr>
        <w:t>11）国家卫健委 《国家医疗健康信息医院信息互联互通标准化成熟度测评方案（2020 年版）》</w:t>
      </w:r>
    </w:p>
    <w:p w14:paraId="1EF52D4C">
      <w:pPr>
        <w:snapToGrid w:val="0"/>
        <w:spacing w:line="360" w:lineRule="auto"/>
        <w:ind w:firstLine="426"/>
        <w:rPr>
          <w:rFonts w:hint="eastAsia" w:ascii="宋体" w:hAnsi="宋体"/>
          <w:szCs w:val="21"/>
          <w:highlight w:val="none"/>
        </w:rPr>
      </w:pPr>
      <w:r>
        <w:rPr>
          <w:rFonts w:hint="eastAsia" w:ascii="宋体" w:hAnsi="宋体"/>
          <w:szCs w:val="21"/>
          <w:highlight w:val="none"/>
        </w:rPr>
        <w:t>12）全国网络安全标准化技术委员会 《信息安全技术 网络安全等级保护基本要求》(GB/T 22239-2019)</w:t>
      </w:r>
    </w:p>
    <w:p w14:paraId="3ED770E9">
      <w:pPr>
        <w:snapToGrid w:val="0"/>
        <w:spacing w:line="360" w:lineRule="auto"/>
        <w:ind w:firstLine="426"/>
        <w:rPr>
          <w:rFonts w:hint="eastAsia" w:ascii="宋体" w:hAnsi="宋体"/>
          <w:szCs w:val="21"/>
          <w:highlight w:val="none"/>
        </w:rPr>
      </w:pPr>
      <w:r>
        <w:rPr>
          <w:rFonts w:hint="eastAsia" w:ascii="宋体" w:hAnsi="宋体"/>
          <w:szCs w:val="21"/>
          <w:highlight w:val="none"/>
        </w:rPr>
        <w:t>13）国家卫健委 《医院信息系统基本功能规范》，2014年</w:t>
      </w:r>
    </w:p>
    <w:p w14:paraId="6A136C3D">
      <w:pPr>
        <w:snapToGrid w:val="0"/>
        <w:spacing w:line="360" w:lineRule="auto"/>
        <w:ind w:firstLine="426"/>
        <w:rPr>
          <w:rFonts w:hint="eastAsia" w:ascii="宋体" w:hAnsi="宋体"/>
          <w:szCs w:val="21"/>
          <w:highlight w:val="none"/>
        </w:rPr>
      </w:pPr>
      <w:r>
        <w:rPr>
          <w:rFonts w:hint="eastAsia" w:ascii="宋体" w:hAnsi="宋体"/>
          <w:szCs w:val="21"/>
          <w:highlight w:val="none"/>
        </w:rPr>
        <w:t>14）《中国医院信息基本数据集标准》，2014年</w:t>
      </w:r>
    </w:p>
    <w:p w14:paraId="4216DCFE">
      <w:pPr>
        <w:snapToGrid w:val="0"/>
        <w:spacing w:line="360" w:lineRule="auto"/>
        <w:ind w:firstLine="426"/>
        <w:rPr>
          <w:rFonts w:hint="eastAsia" w:ascii="宋体" w:hAnsi="宋体"/>
          <w:szCs w:val="21"/>
          <w:highlight w:val="none"/>
        </w:rPr>
      </w:pPr>
      <w:r>
        <w:rPr>
          <w:rFonts w:hint="eastAsia" w:ascii="宋体" w:hAnsi="宋体"/>
          <w:szCs w:val="21"/>
          <w:highlight w:val="none"/>
        </w:rPr>
        <w:t>15）国家质量监督检验检疫总局和国家标准化管理委员会 《信息系统灾难恢复规范》(GB/T20988-2007)</w:t>
      </w:r>
    </w:p>
    <w:p w14:paraId="77A47296">
      <w:pPr>
        <w:pStyle w:val="2"/>
        <w:pageBreakBefore w:val="0"/>
        <w:adjustRightInd w:val="0"/>
        <w:snapToGrid w:val="0"/>
        <w:spacing w:before="0" w:after="0" w:line="360" w:lineRule="auto"/>
        <w:ind w:left="0" w:firstLine="0"/>
        <w:rPr>
          <w:rFonts w:hint="eastAsia" w:ascii="宋体" w:hAnsi="宋体" w:eastAsia="宋体" w:cs="Arial"/>
          <w:sz w:val="21"/>
          <w:szCs w:val="21"/>
          <w:highlight w:val="none"/>
        </w:rPr>
      </w:pPr>
      <w:r>
        <w:rPr>
          <w:rFonts w:hint="eastAsia" w:ascii="宋体" w:hAnsi="宋体" w:eastAsia="宋体" w:cs="Arial"/>
          <w:sz w:val="21"/>
          <w:szCs w:val="21"/>
          <w:highlight w:val="none"/>
        </w:rPr>
        <w:t>系统接口及统一编码标准要求</w:t>
      </w:r>
    </w:p>
    <w:p w14:paraId="439394C7">
      <w:pPr>
        <w:spacing w:line="360" w:lineRule="auto"/>
        <w:ind w:firstLine="424" w:firstLineChars="202"/>
        <w:rPr>
          <w:highlight w:val="none"/>
        </w:rPr>
      </w:pPr>
      <w:r>
        <w:rPr>
          <w:rFonts w:hint="eastAsia"/>
          <w:highlight w:val="none"/>
        </w:rPr>
        <w:t>符合上海市市场监督管理局《卫生健康数据分类分级要求》（DB31/T 1545—2025）</w:t>
      </w:r>
    </w:p>
    <w:p w14:paraId="0FBF7E4C">
      <w:pPr>
        <w:spacing w:line="360" w:lineRule="auto"/>
        <w:ind w:firstLine="424" w:firstLineChars="202"/>
        <w:rPr>
          <w:highlight w:val="none"/>
        </w:rPr>
      </w:pPr>
      <w:r>
        <w:rPr>
          <w:rFonts w:hint="eastAsia"/>
          <w:highlight w:val="none"/>
        </w:rPr>
        <w:t>符合上海市临床检验中心、上海市临床检验质量控制中心 《上海市临床检验质量控制标准（2024版）》</w:t>
      </w:r>
    </w:p>
    <w:p w14:paraId="405CE195">
      <w:pPr>
        <w:spacing w:line="360" w:lineRule="auto"/>
        <w:ind w:firstLine="424" w:firstLineChars="202"/>
        <w:rPr>
          <w:highlight w:val="none"/>
        </w:rPr>
      </w:pPr>
      <w:r>
        <w:rPr>
          <w:rFonts w:hint="eastAsia"/>
          <w:highlight w:val="none"/>
        </w:rPr>
        <w:t>符合上海市卫健委 《上海市卫生资源与医疗服务调查制度》数据采集方案V3.0，2021年</w:t>
      </w:r>
    </w:p>
    <w:p w14:paraId="4646DEE8">
      <w:pPr>
        <w:spacing w:line="360" w:lineRule="auto"/>
        <w:ind w:firstLine="424" w:firstLineChars="202"/>
        <w:rPr>
          <w:highlight w:val="none"/>
        </w:rPr>
      </w:pPr>
      <w:r>
        <w:rPr>
          <w:rFonts w:hint="eastAsia"/>
          <w:highlight w:val="none"/>
        </w:rPr>
        <w:t>符合上海市卫健委 《上海市医院信息系统电子认证技术应用功能规范（试行）》（沪卫医政〔2011〕87号）</w:t>
      </w:r>
    </w:p>
    <w:p w14:paraId="27E23297">
      <w:pPr>
        <w:spacing w:line="360" w:lineRule="auto"/>
        <w:ind w:firstLine="424" w:firstLineChars="202"/>
        <w:rPr>
          <w:highlight w:val="none"/>
        </w:rPr>
      </w:pPr>
      <w:r>
        <w:rPr>
          <w:rFonts w:hint="eastAsia"/>
          <w:highlight w:val="none"/>
        </w:rPr>
        <w:t>符合上海市卫健委 《医疗机构信息系统安全等级保护基本要求》（沪卫办〔2009〕12号）</w:t>
      </w:r>
    </w:p>
    <w:p w14:paraId="2E75ADEA">
      <w:pPr>
        <w:spacing w:line="360" w:lineRule="auto"/>
        <w:ind w:firstLine="424" w:firstLineChars="202"/>
        <w:rPr>
          <w:highlight w:val="none"/>
        </w:rPr>
      </w:pPr>
      <w:r>
        <w:rPr>
          <w:rFonts w:hint="eastAsia"/>
          <w:highlight w:val="none"/>
        </w:rPr>
        <w:t>符合上海市临床病理质量控制中心 《上海市临床病理质控标准手册》</w:t>
      </w:r>
    </w:p>
    <w:p w14:paraId="24D1FE02">
      <w:pPr>
        <w:pStyle w:val="2"/>
        <w:pageBreakBefore w:val="0"/>
        <w:adjustRightInd w:val="0"/>
        <w:snapToGrid w:val="0"/>
        <w:spacing w:before="0" w:after="0" w:line="360" w:lineRule="auto"/>
        <w:ind w:left="0" w:firstLine="0"/>
        <w:rPr>
          <w:rFonts w:hint="eastAsia" w:ascii="宋体" w:hAnsi="宋体" w:eastAsia="宋体"/>
          <w:sz w:val="21"/>
          <w:szCs w:val="21"/>
          <w:highlight w:val="none"/>
        </w:rPr>
      </w:pPr>
      <w:r>
        <w:rPr>
          <w:rFonts w:hint="eastAsia" w:ascii="宋体" w:hAnsi="宋体" w:eastAsia="宋体" w:cs="Arial"/>
          <w:sz w:val="21"/>
          <w:szCs w:val="21"/>
          <w:highlight w:val="none"/>
        </w:rPr>
        <w:t>系统功能</w:t>
      </w:r>
      <w:r>
        <w:rPr>
          <w:rFonts w:ascii="宋体" w:hAnsi="宋体" w:eastAsia="宋体" w:cs="Arial"/>
          <w:sz w:val="21"/>
          <w:szCs w:val="21"/>
          <w:highlight w:val="none"/>
        </w:rPr>
        <w:t>、技术规格及</w:t>
      </w:r>
      <w:r>
        <w:rPr>
          <w:rFonts w:hint="eastAsia" w:ascii="宋体" w:hAnsi="宋体" w:eastAsia="宋体" w:cs="Arial"/>
          <w:sz w:val="21"/>
          <w:szCs w:val="21"/>
          <w:highlight w:val="none"/>
        </w:rPr>
        <w:t>要求</w:t>
      </w:r>
    </w:p>
    <w:p w14:paraId="51E4BEF1">
      <w:pPr>
        <w:pStyle w:val="3"/>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总体要求</w:t>
      </w:r>
    </w:p>
    <w:p w14:paraId="5C08EFE3">
      <w:pPr>
        <w:pStyle w:val="60"/>
        <w:numPr>
          <w:ilvl w:val="2"/>
          <w:numId w:val="2"/>
        </w:numPr>
        <w:adjustRightInd w:val="0"/>
        <w:spacing w:line="360" w:lineRule="auto"/>
        <w:ind w:firstLineChars="0"/>
        <w:jc w:val="left"/>
        <w:rPr>
          <w:rFonts w:hint="eastAsia" w:ascii="宋体" w:hAnsi="宋体" w:eastAsia="宋体"/>
          <w:b/>
          <w:bCs/>
          <w:sz w:val="21"/>
          <w:szCs w:val="21"/>
          <w:highlight w:val="none"/>
          <w:lang w:val="en-US"/>
        </w:rPr>
      </w:pPr>
      <w:r>
        <w:rPr>
          <w:rFonts w:hint="eastAsia" w:ascii="宋体" w:hAnsi="宋体" w:eastAsia="宋体"/>
          <w:b/>
          <w:bCs/>
          <w:sz w:val="21"/>
          <w:szCs w:val="21"/>
          <w:highlight w:val="none"/>
          <w:lang w:val="en-US"/>
        </w:rPr>
        <w:t>云部署要求</w:t>
      </w:r>
    </w:p>
    <w:p w14:paraId="17845AC7">
      <w:pPr>
        <w:pStyle w:val="60"/>
        <w:adjustRightInd w:val="0"/>
        <w:spacing w:line="360" w:lineRule="auto"/>
        <w:ind w:firstLine="424" w:firstLineChars="202"/>
        <w:jc w:val="left"/>
        <w:rPr>
          <w:rFonts w:hint="eastAsia" w:ascii="宋体" w:hAnsi="宋体" w:eastAsia="宋体" w:cs="Calibri"/>
          <w:sz w:val="21"/>
          <w:szCs w:val="21"/>
          <w:highlight w:val="none"/>
        </w:rPr>
      </w:pPr>
      <w:r>
        <w:rPr>
          <w:rFonts w:hint="eastAsia" w:ascii="宋体" w:hAnsi="宋体" w:eastAsia="宋体"/>
          <w:sz w:val="21"/>
          <w:szCs w:val="21"/>
          <w:highlight w:val="none"/>
          <w:lang w:val="en-US"/>
        </w:rPr>
        <w:t>本项目应用系统</w:t>
      </w:r>
      <w:r>
        <w:rPr>
          <w:rFonts w:hint="eastAsia" w:ascii="宋体" w:hAnsi="宋体" w:eastAsia="宋体" w:cs="Calibri"/>
          <w:sz w:val="21"/>
          <w:szCs w:val="21"/>
          <w:highlight w:val="none"/>
        </w:rPr>
        <w:t>软件的开发建设将依托以下政务云资源进行，</w:t>
      </w:r>
      <w:r>
        <w:rPr>
          <w:rFonts w:hint="eastAsia" w:ascii="宋体" w:hAnsi="宋体" w:eastAsia="宋体" w:cs="Calibri"/>
          <w:sz w:val="21"/>
          <w:szCs w:val="21"/>
          <w:highlight w:val="none"/>
          <w:lang w:eastAsia="zh-CN"/>
        </w:rPr>
        <w:t>供应商</w:t>
      </w:r>
      <w:r>
        <w:rPr>
          <w:rFonts w:hint="eastAsia" w:ascii="宋体" w:hAnsi="宋体" w:eastAsia="宋体" w:cs="Calibri"/>
          <w:sz w:val="21"/>
          <w:szCs w:val="21"/>
          <w:highlight w:val="none"/>
        </w:rPr>
        <w:t>需根据软件架构要求，提出业务部署于上海市政务云上的系统设计，</w:t>
      </w:r>
      <w:r>
        <w:rPr>
          <w:rFonts w:hint="eastAsia" w:ascii="宋体" w:hAnsi="宋体" w:eastAsia="宋体" w:cs="Calibri"/>
          <w:sz w:val="21"/>
          <w:szCs w:val="21"/>
          <w:highlight w:val="none"/>
          <w:lang w:val="en-US"/>
        </w:rPr>
        <w:t>开展XC</w:t>
      </w:r>
      <w:r>
        <w:rPr>
          <w:rFonts w:hint="eastAsia" w:ascii="宋体" w:hAnsi="宋体" w:eastAsia="宋体" w:cs="Calibri"/>
          <w:sz w:val="21"/>
          <w:szCs w:val="21"/>
          <w:highlight w:val="none"/>
        </w:rPr>
        <w:t>适配开发，使之满足本项目的系统架构需求。并承诺完成项目在政务云上的后续部署实施内容。政务云可提供资源配置如下：</w:t>
      </w:r>
    </w:p>
    <w:p w14:paraId="7705F3A8">
      <w:pPr>
        <w:pStyle w:val="60"/>
        <w:adjustRightInd w:val="0"/>
        <w:spacing w:line="360" w:lineRule="auto"/>
        <w:ind w:firstLine="424" w:firstLineChars="202"/>
        <w:jc w:val="left"/>
        <w:rPr>
          <w:rFonts w:hint="eastAsia" w:ascii="宋体" w:hAnsi="宋体" w:eastAsia="宋体" w:cs="Calibri"/>
          <w:sz w:val="21"/>
          <w:szCs w:val="21"/>
          <w:highlight w:val="none"/>
        </w:rPr>
      </w:pPr>
      <w:r>
        <w:rPr>
          <w:rFonts w:hint="eastAsia" w:ascii="宋体" w:hAnsi="宋体" w:eastAsia="宋体" w:cs="Calibri"/>
          <w:sz w:val="21"/>
          <w:szCs w:val="21"/>
          <w:highlight w:val="none"/>
        </w:rPr>
        <w:t>1、主机资源</w:t>
      </w:r>
    </w:p>
    <w:tbl>
      <w:tblPr>
        <w:tblStyle w:val="27"/>
        <w:tblW w:w="4102" w:type="pct"/>
        <w:jc w:val="center"/>
        <w:tblLayout w:type="autofit"/>
        <w:tblCellMar>
          <w:top w:w="0" w:type="dxa"/>
          <w:left w:w="108" w:type="dxa"/>
          <w:bottom w:w="0" w:type="dxa"/>
          <w:right w:w="108" w:type="dxa"/>
        </w:tblCellMar>
      </w:tblPr>
      <w:tblGrid>
        <w:gridCol w:w="611"/>
        <w:gridCol w:w="1219"/>
        <w:gridCol w:w="1295"/>
        <w:gridCol w:w="1007"/>
        <w:gridCol w:w="1153"/>
        <w:gridCol w:w="1224"/>
        <w:gridCol w:w="1344"/>
      </w:tblGrid>
      <w:tr w14:paraId="0BBC8981">
        <w:tblPrEx>
          <w:tblCellMar>
            <w:top w:w="0" w:type="dxa"/>
            <w:left w:w="108" w:type="dxa"/>
            <w:bottom w:w="0" w:type="dxa"/>
            <w:right w:w="108" w:type="dxa"/>
          </w:tblCellMar>
        </w:tblPrEx>
        <w:trPr>
          <w:trHeight w:val="315"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537D7D5B">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776" w:type="pct"/>
            <w:tcBorders>
              <w:top w:val="single" w:color="auto" w:sz="4" w:space="0"/>
              <w:left w:val="nil"/>
              <w:bottom w:val="single" w:color="auto" w:sz="4" w:space="0"/>
              <w:right w:val="single" w:color="auto" w:sz="4" w:space="0"/>
            </w:tcBorders>
            <w:vAlign w:val="center"/>
          </w:tcPr>
          <w:p w14:paraId="103EE1DB">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资源类型</w:t>
            </w:r>
          </w:p>
        </w:tc>
        <w:tc>
          <w:tcPr>
            <w:tcW w:w="824" w:type="pct"/>
            <w:tcBorders>
              <w:top w:val="single" w:color="auto" w:sz="4" w:space="0"/>
              <w:left w:val="nil"/>
              <w:bottom w:val="single" w:color="auto" w:sz="4" w:space="0"/>
              <w:right w:val="single" w:color="auto" w:sz="4" w:space="0"/>
            </w:tcBorders>
            <w:vAlign w:val="center"/>
          </w:tcPr>
          <w:p w14:paraId="576B4136">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资源名称</w:t>
            </w:r>
          </w:p>
        </w:tc>
        <w:tc>
          <w:tcPr>
            <w:tcW w:w="641" w:type="pct"/>
            <w:tcBorders>
              <w:top w:val="single" w:color="auto" w:sz="4" w:space="0"/>
              <w:left w:val="nil"/>
              <w:bottom w:val="single" w:color="auto" w:sz="4" w:space="0"/>
              <w:right w:val="single" w:color="auto" w:sz="4" w:space="0"/>
            </w:tcBorders>
            <w:vAlign w:val="center"/>
          </w:tcPr>
          <w:p w14:paraId="5D7C7E24">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CPU(核)</w:t>
            </w:r>
          </w:p>
        </w:tc>
        <w:tc>
          <w:tcPr>
            <w:tcW w:w="734" w:type="pct"/>
            <w:tcBorders>
              <w:top w:val="single" w:color="auto" w:sz="4" w:space="0"/>
              <w:left w:val="nil"/>
              <w:bottom w:val="single" w:color="auto" w:sz="4" w:space="0"/>
              <w:right w:val="single" w:color="auto" w:sz="4" w:space="0"/>
            </w:tcBorders>
            <w:vAlign w:val="center"/>
          </w:tcPr>
          <w:p w14:paraId="0C001B8D">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内存(GB)</w:t>
            </w:r>
          </w:p>
        </w:tc>
        <w:tc>
          <w:tcPr>
            <w:tcW w:w="779" w:type="pct"/>
            <w:tcBorders>
              <w:top w:val="single" w:color="auto" w:sz="4" w:space="0"/>
              <w:left w:val="nil"/>
              <w:bottom w:val="single" w:color="auto" w:sz="4" w:space="0"/>
              <w:right w:val="single" w:color="auto" w:sz="4" w:space="0"/>
            </w:tcBorders>
            <w:vAlign w:val="center"/>
          </w:tcPr>
          <w:p w14:paraId="7B2D95FC">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存储 (GB)</w:t>
            </w:r>
          </w:p>
        </w:tc>
        <w:tc>
          <w:tcPr>
            <w:tcW w:w="855" w:type="pct"/>
            <w:tcBorders>
              <w:top w:val="single" w:color="auto" w:sz="4" w:space="0"/>
              <w:left w:val="nil"/>
              <w:bottom w:val="single" w:color="auto" w:sz="4" w:space="0"/>
              <w:right w:val="single" w:color="auto" w:sz="4" w:space="0"/>
            </w:tcBorders>
            <w:vAlign w:val="center"/>
          </w:tcPr>
          <w:p w14:paraId="1EDFD35E">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数量(台)</w:t>
            </w:r>
          </w:p>
        </w:tc>
      </w:tr>
      <w:tr w14:paraId="7A5E7D11">
        <w:tblPrEx>
          <w:tblCellMar>
            <w:top w:w="0" w:type="dxa"/>
            <w:left w:w="108" w:type="dxa"/>
            <w:bottom w:w="0" w:type="dxa"/>
            <w:right w:w="108" w:type="dxa"/>
          </w:tblCellMar>
        </w:tblPrEx>
        <w:trPr>
          <w:trHeight w:val="723" w:hRule="atLeast"/>
          <w:jc w:val="center"/>
        </w:trPr>
        <w:tc>
          <w:tcPr>
            <w:tcW w:w="389" w:type="pct"/>
            <w:tcBorders>
              <w:top w:val="nil"/>
              <w:left w:val="single" w:color="auto" w:sz="4" w:space="0"/>
              <w:bottom w:val="single" w:color="auto" w:sz="4" w:space="0"/>
              <w:right w:val="single" w:color="auto" w:sz="4" w:space="0"/>
            </w:tcBorders>
            <w:vAlign w:val="center"/>
          </w:tcPr>
          <w:p w14:paraId="5AF3D0DC">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776" w:type="pct"/>
            <w:tcBorders>
              <w:top w:val="nil"/>
              <w:left w:val="nil"/>
              <w:bottom w:val="single" w:color="auto" w:sz="4" w:space="0"/>
              <w:right w:val="single" w:color="auto" w:sz="4" w:space="0"/>
            </w:tcBorders>
            <w:vAlign w:val="center"/>
          </w:tcPr>
          <w:p w14:paraId="56A06E33">
            <w:pPr>
              <w:widowControl/>
              <w:jc w:val="center"/>
              <w:rPr>
                <w:rFonts w:hint="eastAsia" w:ascii="宋体" w:hAnsi="宋体" w:cs="宋体"/>
                <w:kern w:val="0"/>
                <w:szCs w:val="21"/>
                <w:highlight w:val="none"/>
              </w:rPr>
            </w:pPr>
            <w:r>
              <w:rPr>
                <w:rFonts w:hint="eastAsia" w:ascii="宋体" w:hAnsi="宋体" w:cs="宋体"/>
                <w:kern w:val="0"/>
                <w:szCs w:val="21"/>
                <w:highlight w:val="none"/>
              </w:rPr>
              <w:t>虚拟机</w:t>
            </w:r>
          </w:p>
        </w:tc>
        <w:tc>
          <w:tcPr>
            <w:tcW w:w="824" w:type="pct"/>
            <w:tcBorders>
              <w:top w:val="nil"/>
              <w:left w:val="nil"/>
              <w:bottom w:val="single" w:color="auto" w:sz="4" w:space="0"/>
              <w:right w:val="single" w:color="auto" w:sz="4" w:space="0"/>
            </w:tcBorders>
            <w:vAlign w:val="center"/>
          </w:tcPr>
          <w:p w14:paraId="63B0720B">
            <w:pPr>
              <w:widowControl/>
              <w:jc w:val="center"/>
              <w:rPr>
                <w:rFonts w:hint="eastAsia" w:ascii="宋体" w:hAnsi="宋体" w:cs="宋体"/>
                <w:kern w:val="0"/>
                <w:szCs w:val="21"/>
                <w:highlight w:val="none"/>
              </w:rPr>
            </w:pPr>
            <w:r>
              <w:rPr>
                <w:rFonts w:hint="eastAsia" w:ascii="宋体" w:hAnsi="宋体" w:cs="宋体"/>
                <w:kern w:val="0"/>
                <w:szCs w:val="21"/>
                <w:highlight w:val="none"/>
              </w:rPr>
              <w:t>应用服务器</w:t>
            </w:r>
          </w:p>
        </w:tc>
        <w:tc>
          <w:tcPr>
            <w:tcW w:w="641" w:type="pct"/>
            <w:tcBorders>
              <w:top w:val="nil"/>
              <w:left w:val="nil"/>
              <w:bottom w:val="single" w:color="auto" w:sz="4" w:space="0"/>
              <w:right w:val="single" w:color="auto" w:sz="4" w:space="0"/>
            </w:tcBorders>
            <w:vAlign w:val="center"/>
          </w:tcPr>
          <w:p w14:paraId="2EE47E12">
            <w:pPr>
              <w:widowControl/>
              <w:jc w:val="center"/>
              <w:rPr>
                <w:rFonts w:hint="eastAsia" w:ascii="宋体" w:hAnsi="宋体"/>
                <w:kern w:val="0"/>
                <w:szCs w:val="21"/>
                <w:highlight w:val="none"/>
              </w:rPr>
            </w:pPr>
            <w:r>
              <w:rPr>
                <w:rFonts w:ascii="宋体" w:hAnsi="宋体"/>
                <w:kern w:val="0"/>
                <w:szCs w:val="21"/>
                <w:highlight w:val="none"/>
              </w:rPr>
              <w:t>8</w:t>
            </w:r>
          </w:p>
        </w:tc>
        <w:tc>
          <w:tcPr>
            <w:tcW w:w="734" w:type="pct"/>
            <w:tcBorders>
              <w:top w:val="nil"/>
              <w:left w:val="nil"/>
              <w:bottom w:val="single" w:color="auto" w:sz="4" w:space="0"/>
              <w:right w:val="single" w:color="auto" w:sz="4" w:space="0"/>
            </w:tcBorders>
            <w:vAlign w:val="center"/>
          </w:tcPr>
          <w:p w14:paraId="0EC53B28">
            <w:pPr>
              <w:widowControl/>
              <w:jc w:val="center"/>
              <w:rPr>
                <w:rFonts w:hint="eastAsia" w:ascii="宋体" w:hAnsi="宋体"/>
                <w:kern w:val="0"/>
                <w:szCs w:val="21"/>
                <w:highlight w:val="none"/>
              </w:rPr>
            </w:pPr>
            <w:r>
              <w:rPr>
                <w:rFonts w:ascii="宋体" w:hAnsi="宋体"/>
                <w:kern w:val="0"/>
                <w:szCs w:val="21"/>
                <w:highlight w:val="none"/>
              </w:rPr>
              <w:t>32</w:t>
            </w:r>
          </w:p>
        </w:tc>
        <w:tc>
          <w:tcPr>
            <w:tcW w:w="779" w:type="pct"/>
            <w:tcBorders>
              <w:top w:val="nil"/>
              <w:left w:val="nil"/>
              <w:bottom w:val="single" w:color="auto" w:sz="4" w:space="0"/>
              <w:right w:val="single" w:color="auto" w:sz="4" w:space="0"/>
            </w:tcBorders>
            <w:vAlign w:val="center"/>
          </w:tcPr>
          <w:p w14:paraId="3F7B2401">
            <w:pPr>
              <w:widowControl/>
              <w:jc w:val="center"/>
              <w:rPr>
                <w:rFonts w:hint="eastAsia" w:ascii="宋体" w:hAnsi="宋体"/>
                <w:kern w:val="0"/>
                <w:szCs w:val="21"/>
                <w:highlight w:val="none"/>
              </w:rPr>
            </w:pPr>
            <w:r>
              <w:rPr>
                <w:rFonts w:ascii="宋体" w:hAnsi="宋体"/>
                <w:kern w:val="0"/>
                <w:szCs w:val="21"/>
                <w:highlight w:val="none"/>
              </w:rPr>
              <w:t>500</w:t>
            </w:r>
          </w:p>
        </w:tc>
        <w:tc>
          <w:tcPr>
            <w:tcW w:w="855" w:type="pct"/>
            <w:tcBorders>
              <w:top w:val="nil"/>
              <w:left w:val="nil"/>
              <w:bottom w:val="single" w:color="auto" w:sz="4" w:space="0"/>
              <w:right w:val="single" w:color="auto" w:sz="4" w:space="0"/>
            </w:tcBorders>
            <w:vAlign w:val="center"/>
          </w:tcPr>
          <w:p w14:paraId="72211639">
            <w:pPr>
              <w:widowControl/>
              <w:jc w:val="center"/>
              <w:rPr>
                <w:rFonts w:hint="eastAsia" w:ascii="宋体" w:hAnsi="宋体"/>
                <w:kern w:val="0"/>
                <w:szCs w:val="21"/>
                <w:highlight w:val="none"/>
              </w:rPr>
            </w:pPr>
            <w:r>
              <w:rPr>
                <w:rFonts w:ascii="宋体" w:hAnsi="宋体"/>
                <w:kern w:val="0"/>
                <w:szCs w:val="21"/>
                <w:highlight w:val="none"/>
              </w:rPr>
              <w:t>9</w:t>
            </w:r>
          </w:p>
        </w:tc>
      </w:tr>
      <w:tr w14:paraId="4318E60D">
        <w:tblPrEx>
          <w:tblCellMar>
            <w:top w:w="0" w:type="dxa"/>
            <w:left w:w="108" w:type="dxa"/>
            <w:bottom w:w="0" w:type="dxa"/>
            <w:right w:w="108" w:type="dxa"/>
          </w:tblCellMar>
        </w:tblPrEx>
        <w:trPr>
          <w:trHeight w:val="715" w:hRule="atLeast"/>
          <w:jc w:val="center"/>
        </w:trPr>
        <w:tc>
          <w:tcPr>
            <w:tcW w:w="389" w:type="pct"/>
            <w:tcBorders>
              <w:top w:val="nil"/>
              <w:left w:val="single" w:color="auto" w:sz="4" w:space="0"/>
              <w:bottom w:val="single" w:color="auto" w:sz="4" w:space="0"/>
              <w:right w:val="single" w:color="auto" w:sz="4" w:space="0"/>
            </w:tcBorders>
            <w:vAlign w:val="center"/>
          </w:tcPr>
          <w:p w14:paraId="15F0F8D4">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776" w:type="pct"/>
            <w:tcBorders>
              <w:top w:val="nil"/>
              <w:left w:val="nil"/>
              <w:bottom w:val="single" w:color="auto" w:sz="4" w:space="0"/>
              <w:right w:val="single" w:color="auto" w:sz="4" w:space="0"/>
            </w:tcBorders>
            <w:vAlign w:val="center"/>
          </w:tcPr>
          <w:p w14:paraId="58869609">
            <w:pPr>
              <w:widowControl/>
              <w:jc w:val="center"/>
              <w:rPr>
                <w:rFonts w:hint="eastAsia" w:ascii="宋体" w:hAnsi="宋体" w:cs="宋体"/>
                <w:kern w:val="0"/>
                <w:szCs w:val="21"/>
                <w:highlight w:val="none"/>
              </w:rPr>
            </w:pPr>
            <w:r>
              <w:rPr>
                <w:rFonts w:hint="eastAsia" w:ascii="宋体" w:hAnsi="宋体" w:cs="宋体"/>
                <w:kern w:val="0"/>
                <w:szCs w:val="21"/>
                <w:highlight w:val="none"/>
              </w:rPr>
              <w:t>虚拟机</w:t>
            </w:r>
          </w:p>
        </w:tc>
        <w:tc>
          <w:tcPr>
            <w:tcW w:w="824" w:type="pct"/>
            <w:tcBorders>
              <w:top w:val="nil"/>
              <w:left w:val="nil"/>
              <w:bottom w:val="single" w:color="auto" w:sz="4" w:space="0"/>
              <w:right w:val="single" w:color="auto" w:sz="4" w:space="0"/>
            </w:tcBorders>
            <w:vAlign w:val="center"/>
          </w:tcPr>
          <w:p w14:paraId="3E36B9E0">
            <w:pPr>
              <w:widowControl/>
              <w:jc w:val="center"/>
              <w:rPr>
                <w:rFonts w:hint="eastAsia" w:ascii="宋体" w:hAnsi="宋体" w:cs="宋体"/>
                <w:kern w:val="0"/>
                <w:szCs w:val="21"/>
                <w:highlight w:val="none"/>
              </w:rPr>
            </w:pPr>
            <w:r>
              <w:rPr>
                <w:rFonts w:hint="eastAsia" w:ascii="宋体" w:hAnsi="宋体" w:cs="宋体"/>
                <w:kern w:val="0"/>
                <w:szCs w:val="21"/>
                <w:highlight w:val="none"/>
              </w:rPr>
              <w:t>数据仓库服务器</w:t>
            </w:r>
          </w:p>
        </w:tc>
        <w:tc>
          <w:tcPr>
            <w:tcW w:w="641" w:type="pct"/>
            <w:tcBorders>
              <w:top w:val="nil"/>
              <w:left w:val="nil"/>
              <w:bottom w:val="single" w:color="auto" w:sz="4" w:space="0"/>
              <w:right w:val="single" w:color="auto" w:sz="4" w:space="0"/>
            </w:tcBorders>
            <w:vAlign w:val="center"/>
          </w:tcPr>
          <w:p w14:paraId="2599AD11">
            <w:pPr>
              <w:widowControl/>
              <w:jc w:val="center"/>
              <w:rPr>
                <w:rFonts w:hint="eastAsia" w:ascii="宋体" w:hAnsi="宋体"/>
                <w:kern w:val="0"/>
                <w:szCs w:val="21"/>
                <w:highlight w:val="none"/>
              </w:rPr>
            </w:pPr>
            <w:r>
              <w:rPr>
                <w:rFonts w:ascii="宋体" w:hAnsi="宋体"/>
                <w:kern w:val="0"/>
                <w:szCs w:val="21"/>
                <w:highlight w:val="none"/>
              </w:rPr>
              <w:t>16</w:t>
            </w:r>
          </w:p>
        </w:tc>
        <w:tc>
          <w:tcPr>
            <w:tcW w:w="734" w:type="pct"/>
            <w:tcBorders>
              <w:top w:val="nil"/>
              <w:left w:val="nil"/>
              <w:bottom w:val="single" w:color="auto" w:sz="4" w:space="0"/>
              <w:right w:val="single" w:color="auto" w:sz="4" w:space="0"/>
            </w:tcBorders>
            <w:vAlign w:val="center"/>
          </w:tcPr>
          <w:p w14:paraId="139138E0">
            <w:pPr>
              <w:widowControl/>
              <w:jc w:val="center"/>
              <w:rPr>
                <w:rFonts w:hint="eastAsia" w:ascii="宋体" w:hAnsi="宋体"/>
                <w:kern w:val="0"/>
                <w:szCs w:val="21"/>
                <w:highlight w:val="none"/>
              </w:rPr>
            </w:pPr>
            <w:r>
              <w:rPr>
                <w:rFonts w:ascii="宋体" w:hAnsi="宋体"/>
                <w:kern w:val="0"/>
                <w:szCs w:val="21"/>
                <w:highlight w:val="none"/>
              </w:rPr>
              <w:t>64</w:t>
            </w:r>
          </w:p>
        </w:tc>
        <w:tc>
          <w:tcPr>
            <w:tcW w:w="779" w:type="pct"/>
            <w:tcBorders>
              <w:top w:val="nil"/>
              <w:left w:val="nil"/>
              <w:bottom w:val="single" w:color="auto" w:sz="4" w:space="0"/>
              <w:right w:val="single" w:color="auto" w:sz="4" w:space="0"/>
            </w:tcBorders>
            <w:vAlign w:val="center"/>
          </w:tcPr>
          <w:p w14:paraId="453F98BB">
            <w:pPr>
              <w:widowControl/>
              <w:jc w:val="center"/>
              <w:rPr>
                <w:rFonts w:hint="eastAsia" w:ascii="宋体" w:hAnsi="宋体"/>
                <w:kern w:val="0"/>
                <w:szCs w:val="21"/>
                <w:highlight w:val="none"/>
              </w:rPr>
            </w:pPr>
            <w:r>
              <w:rPr>
                <w:rFonts w:ascii="宋体" w:hAnsi="宋体"/>
                <w:kern w:val="0"/>
                <w:szCs w:val="21"/>
                <w:highlight w:val="none"/>
              </w:rPr>
              <w:t>500</w:t>
            </w:r>
          </w:p>
        </w:tc>
        <w:tc>
          <w:tcPr>
            <w:tcW w:w="855" w:type="pct"/>
            <w:tcBorders>
              <w:top w:val="nil"/>
              <w:left w:val="nil"/>
              <w:bottom w:val="single" w:color="auto" w:sz="4" w:space="0"/>
              <w:right w:val="single" w:color="auto" w:sz="4" w:space="0"/>
            </w:tcBorders>
            <w:vAlign w:val="center"/>
          </w:tcPr>
          <w:p w14:paraId="33D30FFB">
            <w:pPr>
              <w:widowControl/>
              <w:jc w:val="center"/>
              <w:rPr>
                <w:rFonts w:hint="eastAsia" w:ascii="宋体" w:hAnsi="宋体"/>
                <w:kern w:val="0"/>
                <w:szCs w:val="21"/>
                <w:highlight w:val="none"/>
              </w:rPr>
            </w:pPr>
            <w:r>
              <w:rPr>
                <w:rFonts w:ascii="宋体" w:hAnsi="宋体"/>
                <w:kern w:val="0"/>
                <w:szCs w:val="21"/>
                <w:highlight w:val="none"/>
              </w:rPr>
              <w:t>4</w:t>
            </w:r>
          </w:p>
        </w:tc>
      </w:tr>
      <w:tr w14:paraId="387CD48F">
        <w:tblPrEx>
          <w:tblCellMar>
            <w:top w:w="0" w:type="dxa"/>
            <w:left w:w="108" w:type="dxa"/>
            <w:bottom w:w="0" w:type="dxa"/>
            <w:right w:w="108" w:type="dxa"/>
          </w:tblCellMar>
        </w:tblPrEx>
        <w:trPr>
          <w:trHeight w:val="788" w:hRule="atLeast"/>
          <w:jc w:val="center"/>
        </w:trPr>
        <w:tc>
          <w:tcPr>
            <w:tcW w:w="389" w:type="pct"/>
            <w:tcBorders>
              <w:top w:val="nil"/>
              <w:left w:val="single" w:color="auto" w:sz="4" w:space="0"/>
              <w:bottom w:val="single" w:color="auto" w:sz="4" w:space="0"/>
              <w:right w:val="single" w:color="auto" w:sz="4" w:space="0"/>
            </w:tcBorders>
            <w:vAlign w:val="center"/>
          </w:tcPr>
          <w:p w14:paraId="2D3E60B5">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776" w:type="pct"/>
            <w:tcBorders>
              <w:top w:val="nil"/>
              <w:left w:val="nil"/>
              <w:bottom w:val="single" w:color="auto" w:sz="4" w:space="0"/>
              <w:right w:val="single" w:color="auto" w:sz="4" w:space="0"/>
            </w:tcBorders>
            <w:vAlign w:val="center"/>
          </w:tcPr>
          <w:p w14:paraId="4D10CD61">
            <w:pPr>
              <w:widowControl/>
              <w:jc w:val="center"/>
              <w:rPr>
                <w:rFonts w:hint="eastAsia" w:ascii="宋体" w:hAnsi="宋体" w:cs="宋体"/>
                <w:kern w:val="0"/>
                <w:szCs w:val="21"/>
                <w:highlight w:val="none"/>
              </w:rPr>
            </w:pPr>
            <w:r>
              <w:rPr>
                <w:rFonts w:hint="eastAsia" w:ascii="宋体" w:hAnsi="宋体" w:cs="宋体"/>
                <w:kern w:val="0"/>
                <w:szCs w:val="21"/>
                <w:highlight w:val="none"/>
              </w:rPr>
              <w:t>虚拟机</w:t>
            </w:r>
          </w:p>
        </w:tc>
        <w:tc>
          <w:tcPr>
            <w:tcW w:w="824" w:type="pct"/>
            <w:tcBorders>
              <w:top w:val="nil"/>
              <w:left w:val="nil"/>
              <w:bottom w:val="single" w:color="auto" w:sz="4" w:space="0"/>
              <w:right w:val="single" w:color="auto" w:sz="4" w:space="0"/>
            </w:tcBorders>
            <w:vAlign w:val="center"/>
          </w:tcPr>
          <w:p w14:paraId="18A3E2F9">
            <w:pPr>
              <w:widowControl/>
              <w:jc w:val="center"/>
              <w:rPr>
                <w:rFonts w:hint="eastAsia" w:ascii="宋体" w:hAnsi="宋体" w:cs="宋体"/>
                <w:kern w:val="0"/>
                <w:szCs w:val="21"/>
                <w:highlight w:val="none"/>
              </w:rPr>
            </w:pPr>
            <w:r>
              <w:rPr>
                <w:rFonts w:hint="eastAsia" w:ascii="宋体" w:hAnsi="宋体" w:cs="宋体"/>
                <w:kern w:val="0"/>
                <w:szCs w:val="21"/>
                <w:highlight w:val="none"/>
              </w:rPr>
              <w:t>数据仓库服务器</w:t>
            </w:r>
          </w:p>
        </w:tc>
        <w:tc>
          <w:tcPr>
            <w:tcW w:w="641" w:type="pct"/>
            <w:tcBorders>
              <w:top w:val="nil"/>
              <w:left w:val="nil"/>
              <w:bottom w:val="single" w:color="auto" w:sz="4" w:space="0"/>
              <w:right w:val="single" w:color="auto" w:sz="4" w:space="0"/>
            </w:tcBorders>
            <w:vAlign w:val="center"/>
          </w:tcPr>
          <w:p w14:paraId="60312A84">
            <w:pPr>
              <w:widowControl/>
              <w:jc w:val="center"/>
              <w:rPr>
                <w:rFonts w:hint="eastAsia" w:ascii="宋体" w:hAnsi="宋体"/>
                <w:kern w:val="0"/>
                <w:szCs w:val="21"/>
                <w:highlight w:val="none"/>
              </w:rPr>
            </w:pPr>
            <w:r>
              <w:rPr>
                <w:rFonts w:ascii="宋体" w:hAnsi="宋体"/>
                <w:kern w:val="0"/>
                <w:szCs w:val="21"/>
                <w:highlight w:val="none"/>
              </w:rPr>
              <w:t>4</w:t>
            </w:r>
          </w:p>
        </w:tc>
        <w:tc>
          <w:tcPr>
            <w:tcW w:w="734" w:type="pct"/>
            <w:tcBorders>
              <w:top w:val="nil"/>
              <w:left w:val="nil"/>
              <w:bottom w:val="single" w:color="auto" w:sz="4" w:space="0"/>
              <w:right w:val="single" w:color="auto" w:sz="4" w:space="0"/>
            </w:tcBorders>
            <w:vAlign w:val="center"/>
          </w:tcPr>
          <w:p w14:paraId="5938FAA5">
            <w:pPr>
              <w:widowControl/>
              <w:jc w:val="center"/>
              <w:rPr>
                <w:rFonts w:hint="eastAsia" w:ascii="宋体" w:hAnsi="宋体"/>
                <w:kern w:val="0"/>
                <w:szCs w:val="21"/>
                <w:highlight w:val="none"/>
              </w:rPr>
            </w:pPr>
            <w:r>
              <w:rPr>
                <w:rFonts w:ascii="宋体" w:hAnsi="宋体"/>
                <w:kern w:val="0"/>
                <w:szCs w:val="21"/>
                <w:highlight w:val="none"/>
              </w:rPr>
              <w:t>16</w:t>
            </w:r>
          </w:p>
        </w:tc>
        <w:tc>
          <w:tcPr>
            <w:tcW w:w="779" w:type="pct"/>
            <w:tcBorders>
              <w:top w:val="nil"/>
              <w:left w:val="nil"/>
              <w:bottom w:val="single" w:color="auto" w:sz="4" w:space="0"/>
              <w:right w:val="single" w:color="auto" w:sz="4" w:space="0"/>
            </w:tcBorders>
            <w:vAlign w:val="center"/>
          </w:tcPr>
          <w:p w14:paraId="79F46CF8">
            <w:pPr>
              <w:widowControl/>
              <w:jc w:val="center"/>
              <w:rPr>
                <w:rFonts w:hint="eastAsia" w:ascii="宋体" w:hAnsi="宋体"/>
                <w:kern w:val="0"/>
                <w:szCs w:val="21"/>
                <w:highlight w:val="none"/>
              </w:rPr>
            </w:pPr>
            <w:r>
              <w:rPr>
                <w:rFonts w:ascii="宋体" w:hAnsi="宋体"/>
                <w:kern w:val="0"/>
                <w:szCs w:val="21"/>
                <w:highlight w:val="none"/>
              </w:rPr>
              <w:t>300000</w:t>
            </w:r>
          </w:p>
        </w:tc>
        <w:tc>
          <w:tcPr>
            <w:tcW w:w="855" w:type="pct"/>
            <w:tcBorders>
              <w:top w:val="nil"/>
              <w:left w:val="nil"/>
              <w:bottom w:val="single" w:color="auto" w:sz="4" w:space="0"/>
              <w:right w:val="single" w:color="auto" w:sz="4" w:space="0"/>
            </w:tcBorders>
            <w:vAlign w:val="center"/>
          </w:tcPr>
          <w:p w14:paraId="31056EEA">
            <w:pPr>
              <w:widowControl/>
              <w:jc w:val="center"/>
              <w:rPr>
                <w:rFonts w:hint="eastAsia" w:ascii="宋体" w:hAnsi="宋体"/>
                <w:kern w:val="0"/>
                <w:szCs w:val="21"/>
                <w:highlight w:val="none"/>
              </w:rPr>
            </w:pPr>
            <w:r>
              <w:rPr>
                <w:rFonts w:ascii="宋体" w:hAnsi="宋体"/>
                <w:kern w:val="0"/>
                <w:szCs w:val="21"/>
                <w:highlight w:val="none"/>
              </w:rPr>
              <w:t>1</w:t>
            </w:r>
          </w:p>
        </w:tc>
      </w:tr>
    </w:tbl>
    <w:p w14:paraId="28B29DCB">
      <w:pPr>
        <w:pStyle w:val="60"/>
        <w:adjustRightInd w:val="0"/>
        <w:spacing w:line="360" w:lineRule="auto"/>
        <w:ind w:firstLine="424" w:firstLineChars="202"/>
        <w:jc w:val="left"/>
        <w:rPr>
          <w:rFonts w:hint="eastAsia" w:ascii="宋体" w:hAnsi="宋体" w:eastAsia="宋体"/>
          <w:sz w:val="21"/>
          <w:szCs w:val="21"/>
          <w:highlight w:val="none"/>
          <w:lang w:val="en-US"/>
        </w:rPr>
      </w:pPr>
    </w:p>
    <w:p w14:paraId="52FF5D18">
      <w:pPr>
        <w:pStyle w:val="60"/>
        <w:adjustRightInd w:val="0"/>
        <w:spacing w:line="360" w:lineRule="auto"/>
        <w:ind w:firstLine="424" w:firstLineChars="202"/>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2、PaaS服务资源</w:t>
      </w:r>
    </w:p>
    <w:tbl>
      <w:tblPr>
        <w:tblStyle w:val="27"/>
        <w:tblW w:w="5000" w:type="pct"/>
        <w:tblInd w:w="0" w:type="dxa"/>
        <w:tblLayout w:type="autofit"/>
        <w:tblCellMar>
          <w:top w:w="0" w:type="dxa"/>
          <w:left w:w="108" w:type="dxa"/>
          <w:bottom w:w="0" w:type="dxa"/>
          <w:right w:w="108" w:type="dxa"/>
        </w:tblCellMar>
      </w:tblPr>
      <w:tblGrid>
        <w:gridCol w:w="676"/>
        <w:gridCol w:w="5078"/>
        <w:gridCol w:w="1823"/>
        <w:gridCol w:w="1995"/>
      </w:tblGrid>
      <w:tr w14:paraId="474B8438">
        <w:tblPrEx>
          <w:tblCellMar>
            <w:top w:w="0" w:type="dxa"/>
            <w:left w:w="108" w:type="dxa"/>
            <w:bottom w:w="0" w:type="dxa"/>
            <w:right w:w="108" w:type="dxa"/>
          </w:tblCellMar>
        </w:tblPrEx>
        <w:trPr>
          <w:trHeight w:val="283" w:hRule="atLeast"/>
        </w:trPr>
        <w:tc>
          <w:tcPr>
            <w:tcW w:w="353" w:type="pct"/>
            <w:tcBorders>
              <w:top w:val="single" w:color="auto" w:sz="4" w:space="0"/>
              <w:left w:val="single" w:color="auto" w:sz="4" w:space="0"/>
              <w:bottom w:val="single" w:color="auto" w:sz="4" w:space="0"/>
              <w:right w:val="single" w:color="auto" w:sz="4" w:space="0"/>
            </w:tcBorders>
            <w:vAlign w:val="center"/>
          </w:tcPr>
          <w:p w14:paraId="4E43D0EE">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2652" w:type="pct"/>
            <w:tcBorders>
              <w:top w:val="single" w:color="auto" w:sz="4" w:space="0"/>
              <w:left w:val="nil"/>
              <w:bottom w:val="single" w:color="auto" w:sz="4" w:space="0"/>
              <w:right w:val="single" w:color="auto" w:sz="4" w:space="0"/>
            </w:tcBorders>
            <w:vAlign w:val="center"/>
          </w:tcPr>
          <w:p w14:paraId="1AB30C96">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资源名称</w:t>
            </w:r>
          </w:p>
        </w:tc>
        <w:tc>
          <w:tcPr>
            <w:tcW w:w="952" w:type="pct"/>
            <w:tcBorders>
              <w:top w:val="single" w:color="auto" w:sz="4" w:space="0"/>
              <w:left w:val="nil"/>
              <w:bottom w:val="single" w:color="auto" w:sz="4" w:space="0"/>
              <w:right w:val="single" w:color="auto" w:sz="4" w:space="0"/>
            </w:tcBorders>
            <w:vAlign w:val="center"/>
          </w:tcPr>
          <w:p w14:paraId="61F68CF7">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数量</w:t>
            </w:r>
          </w:p>
        </w:tc>
        <w:tc>
          <w:tcPr>
            <w:tcW w:w="1042" w:type="pct"/>
            <w:tcBorders>
              <w:top w:val="single" w:color="auto" w:sz="4" w:space="0"/>
              <w:left w:val="nil"/>
              <w:bottom w:val="single" w:color="auto" w:sz="4" w:space="0"/>
              <w:right w:val="single" w:color="auto" w:sz="4" w:space="0"/>
            </w:tcBorders>
            <w:vAlign w:val="center"/>
          </w:tcPr>
          <w:p w14:paraId="4A8ABB98">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单位</w:t>
            </w:r>
          </w:p>
        </w:tc>
      </w:tr>
      <w:tr w14:paraId="66300BAC">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371C358E">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2652" w:type="pct"/>
            <w:tcBorders>
              <w:top w:val="nil"/>
              <w:left w:val="nil"/>
              <w:bottom w:val="single" w:color="auto" w:sz="4" w:space="0"/>
              <w:right w:val="single" w:color="auto" w:sz="4" w:space="0"/>
            </w:tcBorders>
            <w:vAlign w:val="center"/>
          </w:tcPr>
          <w:p w14:paraId="503F60ED">
            <w:pPr>
              <w:widowControl/>
              <w:jc w:val="left"/>
              <w:rPr>
                <w:rFonts w:hint="eastAsia" w:ascii="宋体" w:hAnsi="宋体" w:cs="宋体"/>
                <w:kern w:val="0"/>
                <w:szCs w:val="21"/>
                <w:highlight w:val="none"/>
              </w:rPr>
            </w:pPr>
            <w:r>
              <w:rPr>
                <w:rFonts w:hint="eastAsia" w:ascii="宋体" w:hAnsi="宋体" w:cs="宋体"/>
                <w:kern w:val="0"/>
                <w:szCs w:val="21"/>
                <w:highlight w:val="none"/>
              </w:rPr>
              <w:t>安全防病毒(服务器端)</w:t>
            </w:r>
          </w:p>
        </w:tc>
        <w:tc>
          <w:tcPr>
            <w:tcW w:w="952" w:type="pct"/>
            <w:tcBorders>
              <w:top w:val="nil"/>
              <w:left w:val="nil"/>
              <w:bottom w:val="single" w:color="auto" w:sz="4" w:space="0"/>
              <w:right w:val="single" w:color="auto" w:sz="4" w:space="0"/>
            </w:tcBorders>
            <w:vAlign w:val="center"/>
          </w:tcPr>
          <w:p w14:paraId="2A7643DC">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042" w:type="pct"/>
            <w:tcBorders>
              <w:top w:val="nil"/>
              <w:left w:val="nil"/>
              <w:bottom w:val="single" w:color="auto" w:sz="4" w:space="0"/>
              <w:right w:val="single" w:color="auto" w:sz="4" w:space="0"/>
            </w:tcBorders>
            <w:vAlign w:val="center"/>
          </w:tcPr>
          <w:p w14:paraId="161607A5">
            <w:pPr>
              <w:widowControl/>
              <w:jc w:val="center"/>
              <w:rPr>
                <w:rFonts w:hint="eastAsia" w:ascii="宋体" w:hAnsi="宋体" w:cs="宋体"/>
                <w:kern w:val="0"/>
                <w:szCs w:val="21"/>
                <w:highlight w:val="none"/>
              </w:rPr>
            </w:pPr>
            <w:r>
              <w:rPr>
                <w:rFonts w:hint="eastAsia" w:ascii="宋体" w:hAnsi="宋体" w:cs="宋体"/>
                <w:kern w:val="0"/>
                <w:szCs w:val="21"/>
                <w:highlight w:val="none"/>
              </w:rPr>
              <w:t>套*年</w:t>
            </w:r>
          </w:p>
        </w:tc>
      </w:tr>
      <w:tr w14:paraId="6496AF04">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5C3CB14E">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2652" w:type="pct"/>
            <w:tcBorders>
              <w:top w:val="nil"/>
              <w:left w:val="nil"/>
              <w:bottom w:val="single" w:color="auto" w:sz="4" w:space="0"/>
              <w:right w:val="single" w:color="auto" w:sz="4" w:space="0"/>
            </w:tcBorders>
            <w:vAlign w:val="center"/>
          </w:tcPr>
          <w:p w14:paraId="1F6AE5CA">
            <w:pPr>
              <w:widowControl/>
              <w:jc w:val="left"/>
              <w:rPr>
                <w:rFonts w:hint="eastAsia" w:ascii="宋体" w:hAnsi="宋体" w:cs="宋体"/>
                <w:kern w:val="0"/>
                <w:szCs w:val="21"/>
                <w:highlight w:val="none"/>
              </w:rPr>
            </w:pPr>
            <w:r>
              <w:rPr>
                <w:rFonts w:hint="eastAsia" w:ascii="宋体" w:hAnsi="宋体" w:cs="宋体"/>
                <w:kern w:val="0"/>
                <w:szCs w:val="21"/>
                <w:highlight w:val="none"/>
              </w:rPr>
              <w:t>操作系统服务-中标麒麟、统信、麒麟信安</w:t>
            </w:r>
          </w:p>
        </w:tc>
        <w:tc>
          <w:tcPr>
            <w:tcW w:w="952" w:type="pct"/>
            <w:tcBorders>
              <w:top w:val="nil"/>
              <w:left w:val="nil"/>
              <w:bottom w:val="single" w:color="auto" w:sz="4" w:space="0"/>
              <w:right w:val="single" w:color="auto" w:sz="4" w:space="0"/>
            </w:tcBorders>
            <w:vAlign w:val="center"/>
          </w:tcPr>
          <w:p w14:paraId="62FE31CD">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1042" w:type="pct"/>
            <w:tcBorders>
              <w:top w:val="nil"/>
              <w:left w:val="nil"/>
              <w:bottom w:val="single" w:color="auto" w:sz="4" w:space="0"/>
              <w:right w:val="single" w:color="auto" w:sz="4" w:space="0"/>
            </w:tcBorders>
            <w:vAlign w:val="center"/>
          </w:tcPr>
          <w:p w14:paraId="4CC960E2">
            <w:pPr>
              <w:widowControl/>
              <w:jc w:val="center"/>
              <w:rPr>
                <w:rFonts w:hint="eastAsia" w:ascii="宋体" w:hAnsi="宋体" w:cs="宋体"/>
                <w:kern w:val="0"/>
                <w:szCs w:val="21"/>
                <w:highlight w:val="none"/>
              </w:rPr>
            </w:pPr>
            <w:r>
              <w:rPr>
                <w:rFonts w:hint="eastAsia" w:ascii="宋体" w:hAnsi="宋体" w:cs="宋体"/>
                <w:kern w:val="0"/>
                <w:szCs w:val="21"/>
                <w:highlight w:val="none"/>
              </w:rPr>
              <w:t>套*年</w:t>
            </w:r>
          </w:p>
        </w:tc>
      </w:tr>
      <w:tr w14:paraId="26321A61">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03C52265">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2652" w:type="pct"/>
            <w:tcBorders>
              <w:top w:val="nil"/>
              <w:left w:val="nil"/>
              <w:bottom w:val="single" w:color="auto" w:sz="4" w:space="0"/>
              <w:right w:val="single" w:color="auto" w:sz="4" w:space="0"/>
            </w:tcBorders>
            <w:vAlign w:val="center"/>
          </w:tcPr>
          <w:p w14:paraId="3CC52C6C">
            <w:pPr>
              <w:widowControl/>
              <w:jc w:val="left"/>
              <w:rPr>
                <w:rFonts w:hint="eastAsia" w:ascii="宋体" w:hAnsi="宋体" w:cs="宋体"/>
                <w:kern w:val="0"/>
                <w:szCs w:val="21"/>
                <w:highlight w:val="none"/>
              </w:rPr>
            </w:pPr>
            <w:r>
              <w:rPr>
                <w:rFonts w:hint="eastAsia" w:ascii="宋体" w:hAnsi="宋体" w:cs="宋体"/>
                <w:kern w:val="0"/>
                <w:szCs w:val="21"/>
                <w:highlight w:val="none"/>
              </w:rPr>
              <w:t>中间件-东方通、普元、金蝶</w:t>
            </w:r>
          </w:p>
        </w:tc>
        <w:tc>
          <w:tcPr>
            <w:tcW w:w="952" w:type="pct"/>
            <w:tcBorders>
              <w:top w:val="nil"/>
              <w:left w:val="nil"/>
              <w:bottom w:val="single" w:color="auto" w:sz="4" w:space="0"/>
              <w:right w:val="single" w:color="auto" w:sz="4" w:space="0"/>
            </w:tcBorders>
            <w:vAlign w:val="center"/>
          </w:tcPr>
          <w:p w14:paraId="7345F9C2">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1042" w:type="pct"/>
            <w:tcBorders>
              <w:top w:val="nil"/>
              <w:left w:val="nil"/>
              <w:bottom w:val="single" w:color="auto" w:sz="4" w:space="0"/>
              <w:right w:val="single" w:color="auto" w:sz="4" w:space="0"/>
            </w:tcBorders>
            <w:vAlign w:val="center"/>
          </w:tcPr>
          <w:p w14:paraId="5E8B6F1A">
            <w:pPr>
              <w:widowControl/>
              <w:jc w:val="center"/>
              <w:rPr>
                <w:rFonts w:hint="eastAsia" w:ascii="宋体" w:hAnsi="宋体" w:cs="宋体"/>
                <w:kern w:val="0"/>
                <w:szCs w:val="21"/>
                <w:highlight w:val="none"/>
              </w:rPr>
            </w:pPr>
            <w:r>
              <w:rPr>
                <w:rFonts w:hint="eastAsia" w:ascii="宋体" w:hAnsi="宋体" w:cs="宋体"/>
                <w:kern w:val="0"/>
                <w:szCs w:val="21"/>
                <w:highlight w:val="none"/>
              </w:rPr>
              <w:t>套*年</w:t>
            </w:r>
          </w:p>
        </w:tc>
      </w:tr>
      <w:tr w14:paraId="6F2D225F">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6B2ABE39">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652" w:type="pct"/>
            <w:tcBorders>
              <w:top w:val="nil"/>
              <w:left w:val="nil"/>
              <w:bottom w:val="single" w:color="auto" w:sz="4" w:space="0"/>
              <w:right w:val="single" w:color="auto" w:sz="4" w:space="0"/>
            </w:tcBorders>
            <w:vAlign w:val="center"/>
          </w:tcPr>
          <w:p w14:paraId="61D07961">
            <w:pPr>
              <w:widowControl/>
              <w:jc w:val="left"/>
              <w:rPr>
                <w:rFonts w:hint="eastAsia" w:ascii="宋体" w:hAnsi="宋体" w:cs="宋体"/>
                <w:kern w:val="0"/>
                <w:szCs w:val="21"/>
                <w:highlight w:val="none"/>
              </w:rPr>
            </w:pPr>
            <w:r>
              <w:rPr>
                <w:rFonts w:hint="eastAsia" w:ascii="宋体" w:hAnsi="宋体" w:cs="宋体"/>
                <w:kern w:val="0"/>
                <w:szCs w:val="21"/>
                <w:highlight w:val="none"/>
              </w:rPr>
              <w:t>数据库服务-阿里、北京奥星贝斯、北京海量、虚谷软件、达梦、人大金仓</w:t>
            </w:r>
          </w:p>
        </w:tc>
        <w:tc>
          <w:tcPr>
            <w:tcW w:w="952" w:type="pct"/>
            <w:tcBorders>
              <w:top w:val="nil"/>
              <w:left w:val="nil"/>
              <w:bottom w:val="single" w:color="auto" w:sz="4" w:space="0"/>
              <w:right w:val="single" w:color="auto" w:sz="4" w:space="0"/>
            </w:tcBorders>
            <w:vAlign w:val="center"/>
          </w:tcPr>
          <w:p w14:paraId="15CD7501">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042" w:type="pct"/>
            <w:tcBorders>
              <w:top w:val="nil"/>
              <w:left w:val="nil"/>
              <w:bottom w:val="single" w:color="auto" w:sz="4" w:space="0"/>
              <w:right w:val="single" w:color="auto" w:sz="4" w:space="0"/>
            </w:tcBorders>
            <w:vAlign w:val="center"/>
          </w:tcPr>
          <w:p w14:paraId="060E5706">
            <w:pPr>
              <w:widowControl/>
              <w:jc w:val="center"/>
              <w:rPr>
                <w:rFonts w:hint="eastAsia" w:ascii="宋体" w:hAnsi="宋体" w:cs="宋体"/>
                <w:kern w:val="0"/>
                <w:szCs w:val="21"/>
                <w:highlight w:val="none"/>
              </w:rPr>
            </w:pPr>
            <w:r>
              <w:rPr>
                <w:rFonts w:hint="eastAsia" w:ascii="宋体" w:hAnsi="宋体" w:cs="宋体"/>
                <w:kern w:val="0"/>
                <w:szCs w:val="21"/>
                <w:highlight w:val="none"/>
              </w:rPr>
              <w:t>套*年</w:t>
            </w:r>
          </w:p>
        </w:tc>
      </w:tr>
      <w:tr w14:paraId="7437AF95">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318C8243">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2652" w:type="pct"/>
            <w:tcBorders>
              <w:top w:val="nil"/>
              <w:left w:val="nil"/>
              <w:bottom w:val="single" w:color="auto" w:sz="4" w:space="0"/>
              <w:right w:val="single" w:color="auto" w:sz="4" w:space="0"/>
            </w:tcBorders>
            <w:vAlign w:val="center"/>
          </w:tcPr>
          <w:p w14:paraId="766DFF9B">
            <w:pPr>
              <w:widowControl/>
              <w:jc w:val="left"/>
              <w:rPr>
                <w:rFonts w:hint="eastAsia" w:ascii="宋体" w:hAnsi="宋体" w:cs="宋体"/>
                <w:kern w:val="0"/>
                <w:szCs w:val="21"/>
                <w:highlight w:val="none"/>
              </w:rPr>
            </w:pPr>
            <w:r>
              <w:rPr>
                <w:rFonts w:hint="eastAsia" w:ascii="宋体" w:hAnsi="宋体" w:cs="宋体"/>
                <w:kern w:val="0"/>
                <w:szCs w:val="21"/>
                <w:highlight w:val="none"/>
              </w:rPr>
              <w:t>安全认证网关服务</w:t>
            </w:r>
          </w:p>
        </w:tc>
        <w:tc>
          <w:tcPr>
            <w:tcW w:w="952" w:type="pct"/>
            <w:tcBorders>
              <w:top w:val="nil"/>
              <w:left w:val="nil"/>
              <w:bottom w:val="single" w:color="auto" w:sz="4" w:space="0"/>
              <w:right w:val="single" w:color="auto" w:sz="4" w:space="0"/>
            </w:tcBorders>
            <w:vAlign w:val="center"/>
          </w:tcPr>
          <w:p w14:paraId="74F3D125">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042" w:type="pct"/>
            <w:tcBorders>
              <w:top w:val="nil"/>
              <w:left w:val="nil"/>
              <w:bottom w:val="single" w:color="auto" w:sz="4" w:space="0"/>
              <w:right w:val="single" w:color="auto" w:sz="4" w:space="0"/>
            </w:tcBorders>
            <w:vAlign w:val="center"/>
          </w:tcPr>
          <w:p w14:paraId="48AB71C0">
            <w:pPr>
              <w:widowControl/>
              <w:jc w:val="center"/>
              <w:rPr>
                <w:rFonts w:hint="eastAsia" w:ascii="宋体" w:hAnsi="宋体" w:cs="宋体"/>
                <w:kern w:val="0"/>
                <w:szCs w:val="21"/>
                <w:highlight w:val="none"/>
              </w:rPr>
            </w:pPr>
            <w:r>
              <w:rPr>
                <w:rFonts w:hint="eastAsia" w:ascii="宋体" w:hAnsi="宋体" w:cs="宋体"/>
                <w:kern w:val="0"/>
                <w:szCs w:val="21"/>
                <w:highlight w:val="none"/>
              </w:rPr>
              <w:t>套*年</w:t>
            </w:r>
          </w:p>
        </w:tc>
      </w:tr>
      <w:tr w14:paraId="53DAB589">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1757E95B">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2652" w:type="pct"/>
            <w:tcBorders>
              <w:top w:val="nil"/>
              <w:left w:val="nil"/>
              <w:bottom w:val="single" w:color="auto" w:sz="4" w:space="0"/>
              <w:right w:val="single" w:color="auto" w:sz="4" w:space="0"/>
            </w:tcBorders>
            <w:vAlign w:val="center"/>
          </w:tcPr>
          <w:p w14:paraId="22A01636">
            <w:pPr>
              <w:widowControl/>
              <w:jc w:val="left"/>
              <w:rPr>
                <w:rFonts w:hint="eastAsia" w:ascii="宋体" w:hAnsi="宋体" w:cs="宋体"/>
                <w:kern w:val="0"/>
                <w:szCs w:val="21"/>
                <w:highlight w:val="none"/>
              </w:rPr>
            </w:pPr>
            <w:r>
              <w:rPr>
                <w:rFonts w:hint="eastAsia" w:ascii="宋体" w:hAnsi="宋体" w:cs="宋体"/>
                <w:kern w:val="0"/>
                <w:szCs w:val="21"/>
                <w:highlight w:val="none"/>
              </w:rPr>
              <w:t>签名验签服务</w:t>
            </w:r>
          </w:p>
        </w:tc>
        <w:tc>
          <w:tcPr>
            <w:tcW w:w="952" w:type="pct"/>
            <w:tcBorders>
              <w:top w:val="nil"/>
              <w:left w:val="nil"/>
              <w:bottom w:val="single" w:color="auto" w:sz="4" w:space="0"/>
              <w:right w:val="single" w:color="auto" w:sz="4" w:space="0"/>
            </w:tcBorders>
            <w:vAlign w:val="center"/>
          </w:tcPr>
          <w:p w14:paraId="7280DA66">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042" w:type="pct"/>
            <w:tcBorders>
              <w:top w:val="nil"/>
              <w:left w:val="nil"/>
              <w:bottom w:val="single" w:color="auto" w:sz="4" w:space="0"/>
              <w:right w:val="single" w:color="auto" w:sz="4" w:space="0"/>
            </w:tcBorders>
            <w:vAlign w:val="center"/>
          </w:tcPr>
          <w:p w14:paraId="54477184">
            <w:pPr>
              <w:widowControl/>
              <w:jc w:val="center"/>
              <w:rPr>
                <w:rFonts w:hint="eastAsia" w:ascii="宋体" w:hAnsi="宋体" w:cs="宋体"/>
                <w:kern w:val="0"/>
                <w:szCs w:val="21"/>
                <w:highlight w:val="none"/>
              </w:rPr>
            </w:pPr>
            <w:r>
              <w:rPr>
                <w:rFonts w:hint="eastAsia" w:ascii="宋体" w:hAnsi="宋体" w:cs="宋体"/>
                <w:kern w:val="0"/>
                <w:szCs w:val="21"/>
                <w:highlight w:val="none"/>
              </w:rPr>
              <w:t>套*年</w:t>
            </w:r>
          </w:p>
        </w:tc>
      </w:tr>
      <w:tr w14:paraId="641A6084">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087327C8">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2652" w:type="pct"/>
            <w:tcBorders>
              <w:top w:val="nil"/>
              <w:left w:val="nil"/>
              <w:bottom w:val="single" w:color="auto" w:sz="4" w:space="0"/>
              <w:right w:val="single" w:color="auto" w:sz="4" w:space="0"/>
            </w:tcBorders>
            <w:vAlign w:val="center"/>
          </w:tcPr>
          <w:p w14:paraId="44C9E36C">
            <w:pPr>
              <w:widowControl/>
              <w:jc w:val="left"/>
              <w:rPr>
                <w:rFonts w:hint="eastAsia" w:ascii="宋体" w:hAnsi="宋体" w:cs="宋体"/>
                <w:kern w:val="0"/>
                <w:szCs w:val="21"/>
                <w:highlight w:val="none"/>
              </w:rPr>
            </w:pPr>
            <w:r>
              <w:rPr>
                <w:rFonts w:hint="eastAsia" w:ascii="宋体" w:hAnsi="宋体" w:cs="宋体"/>
                <w:kern w:val="0"/>
                <w:szCs w:val="21"/>
                <w:highlight w:val="none"/>
              </w:rPr>
              <w:t>数字证书服务-SSL证书-单域名</w:t>
            </w:r>
          </w:p>
        </w:tc>
        <w:tc>
          <w:tcPr>
            <w:tcW w:w="952" w:type="pct"/>
            <w:tcBorders>
              <w:top w:val="nil"/>
              <w:left w:val="nil"/>
              <w:bottom w:val="single" w:color="auto" w:sz="4" w:space="0"/>
              <w:right w:val="single" w:color="auto" w:sz="4" w:space="0"/>
            </w:tcBorders>
            <w:vAlign w:val="center"/>
          </w:tcPr>
          <w:p w14:paraId="10266FD1">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042" w:type="pct"/>
            <w:tcBorders>
              <w:top w:val="nil"/>
              <w:left w:val="nil"/>
              <w:bottom w:val="single" w:color="auto" w:sz="4" w:space="0"/>
              <w:right w:val="single" w:color="auto" w:sz="4" w:space="0"/>
            </w:tcBorders>
            <w:vAlign w:val="center"/>
          </w:tcPr>
          <w:p w14:paraId="2D9C66A4">
            <w:pPr>
              <w:widowControl/>
              <w:jc w:val="center"/>
              <w:rPr>
                <w:rFonts w:hint="eastAsia" w:ascii="宋体" w:hAnsi="宋体" w:cs="宋体"/>
                <w:kern w:val="0"/>
                <w:szCs w:val="21"/>
                <w:highlight w:val="none"/>
              </w:rPr>
            </w:pPr>
            <w:r>
              <w:rPr>
                <w:rFonts w:hint="eastAsia" w:ascii="宋体" w:hAnsi="宋体" w:cs="宋体"/>
                <w:kern w:val="0"/>
                <w:szCs w:val="21"/>
                <w:highlight w:val="none"/>
              </w:rPr>
              <w:t>张*年</w:t>
            </w:r>
          </w:p>
        </w:tc>
      </w:tr>
      <w:tr w14:paraId="02D50EA8">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62F597F8">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2652" w:type="pct"/>
            <w:tcBorders>
              <w:top w:val="nil"/>
              <w:left w:val="nil"/>
              <w:bottom w:val="single" w:color="auto" w:sz="4" w:space="0"/>
              <w:right w:val="single" w:color="auto" w:sz="4" w:space="0"/>
            </w:tcBorders>
            <w:vAlign w:val="center"/>
          </w:tcPr>
          <w:p w14:paraId="02D3F424">
            <w:pPr>
              <w:widowControl/>
              <w:jc w:val="left"/>
              <w:rPr>
                <w:rFonts w:hint="eastAsia" w:ascii="宋体" w:hAnsi="宋体" w:cs="宋体"/>
                <w:kern w:val="0"/>
                <w:szCs w:val="21"/>
                <w:highlight w:val="none"/>
              </w:rPr>
            </w:pPr>
            <w:r>
              <w:rPr>
                <w:rFonts w:hint="eastAsia" w:ascii="宋体" w:hAnsi="宋体" w:cs="宋体"/>
                <w:kern w:val="0"/>
                <w:szCs w:val="21"/>
                <w:highlight w:val="none"/>
              </w:rPr>
              <w:t>数字证书服务-SSL证书-通配符</w:t>
            </w:r>
          </w:p>
        </w:tc>
        <w:tc>
          <w:tcPr>
            <w:tcW w:w="952" w:type="pct"/>
            <w:tcBorders>
              <w:top w:val="nil"/>
              <w:left w:val="nil"/>
              <w:bottom w:val="single" w:color="auto" w:sz="4" w:space="0"/>
              <w:right w:val="single" w:color="auto" w:sz="4" w:space="0"/>
            </w:tcBorders>
            <w:vAlign w:val="center"/>
          </w:tcPr>
          <w:p w14:paraId="1849C3E6">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042" w:type="pct"/>
            <w:tcBorders>
              <w:top w:val="nil"/>
              <w:left w:val="nil"/>
              <w:bottom w:val="single" w:color="auto" w:sz="4" w:space="0"/>
              <w:right w:val="single" w:color="auto" w:sz="4" w:space="0"/>
            </w:tcBorders>
            <w:vAlign w:val="center"/>
          </w:tcPr>
          <w:p w14:paraId="60ED1896">
            <w:pPr>
              <w:widowControl/>
              <w:jc w:val="center"/>
              <w:rPr>
                <w:rFonts w:hint="eastAsia" w:ascii="宋体" w:hAnsi="宋体" w:cs="宋体"/>
                <w:kern w:val="0"/>
                <w:szCs w:val="21"/>
                <w:highlight w:val="none"/>
              </w:rPr>
            </w:pPr>
            <w:r>
              <w:rPr>
                <w:rFonts w:hint="eastAsia" w:ascii="宋体" w:hAnsi="宋体" w:cs="宋体"/>
                <w:kern w:val="0"/>
                <w:szCs w:val="21"/>
                <w:highlight w:val="none"/>
              </w:rPr>
              <w:t>张*年</w:t>
            </w:r>
          </w:p>
        </w:tc>
      </w:tr>
      <w:tr w14:paraId="6B3FE23A">
        <w:tblPrEx>
          <w:tblCellMar>
            <w:top w:w="0" w:type="dxa"/>
            <w:left w:w="108" w:type="dxa"/>
            <w:bottom w:w="0" w:type="dxa"/>
            <w:right w:w="108" w:type="dxa"/>
          </w:tblCellMar>
        </w:tblPrEx>
        <w:trPr>
          <w:trHeight w:val="283" w:hRule="atLeast"/>
        </w:trPr>
        <w:tc>
          <w:tcPr>
            <w:tcW w:w="353" w:type="pct"/>
            <w:tcBorders>
              <w:top w:val="nil"/>
              <w:left w:val="single" w:color="auto" w:sz="4" w:space="0"/>
              <w:bottom w:val="single" w:color="auto" w:sz="4" w:space="0"/>
              <w:right w:val="single" w:color="auto" w:sz="4" w:space="0"/>
            </w:tcBorders>
            <w:vAlign w:val="center"/>
          </w:tcPr>
          <w:p w14:paraId="42A0068B">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2652" w:type="pct"/>
            <w:tcBorders>
              <w:top w:val="nil"/>
              <w:left w:val="nil"/>
              <w:bottom w:val="single" w:color="auto" w:sz="4" w:space="0"/>
              <w:right w:val="single" w:color="auto" w:sz="4" w:space="0"/>
            </w:tcBorders>
            <w:vAlign w:val="center"/>
          </w:tcPr>
          <w:p w14:paraId="1027CF3A">
            <w:pPr>
              <w:widowControl/>
              <w:jc w:val="left"/>
              <w:rPr>
                <w:rFonts w:hint="eastAsia" w:ascii="宋体" w:hAnsi="宋体" w:cs="宋体"/>
                <w:kern w:val="0"/>
                <w:szCs w:val="21"/>
                <w:highlight w:val="none"/>
              </w:rPr>
            </w:pPr>
            <w:r>
              <w:rPr>
                <w:rFonts w:hint="eastAsia" w:ascii="宋体" w:hAnsi="宋体" w:cs="宋体"/>
                <w:kern w:val="0"/>
                <w:szCs w:val="21"/>
                <w:highlight w:val="none"/>
              </w:rPr>
              <w:t>可信密码服务</w:t>
            </w:r>
          </w:p>
        </w:tc>
        <w:tc>
          <w:tcPr>
            <w:tcW w:w="952" w:type="pct"/>
            <w:tcBorders>
              <w:top w:val="nil"/>
              <w:left w:val="nil"/>
              <w:bottom w:val="single" w:color="auto" w:sz="4" w:space="0"/>
              <w:right w:val="single" w:color="auto" w:sz="4" w:space="0"/>
            </w:tcBorders>
            <w:vAlign w:val="center"/>
          </w:tcPr>
          <w:p w14:paraId="6245AE8C">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042" w:type="pct"/>
            <w:tcBorders>
              <w:top w:val="nil"/>
              <w:left w:val="nil"/>
              <w:bottom w:val="single" w:color="auto" w:sz="4" w:space="0"/>
              <w:right w:val="single" w:color="auto" w:sz="4" w:space="0"/>
            </w:tcBorders>
            <w:vAlign w:val="center"/>
          </w:tcPr>
          <w:p w14:paraId="26461FD4">
            <w:pPr>
              <w:widowControl/>
              <w:jc w:val="center"/>
              <w:rPr>
                <w:rFonts w:hint="eastAsia" w:ascii="宋体" w:hAnsi="宋体" w:cs="宋体"/>
                <w:kern w:val="0"/>
                <w:szCs w:val="21"/>
                <w:highlight w:val="none"/>
              </w:rPr>
            </w:pPr>
            <w:r>
              <w:rPr>
                <w:rFonts w:hint="eastAsia" w:ascii="宋体" w:hAnsi="宋体" w:cs="宋体"/>
                <w:kern w:val="0"/>
                <w:szCs w:val="21"/>
                <w:highlight w:val="none"/>
              </w:rPr>
              <w:t>应用*年</w:t>
            </w:r>
          </w:p>
        </w:tc>
      </w:tr>
    </w:tbl>
    <w:p w14:paraId="52881F40">
      <w:pPr>
        <w:pStyle w:val="60"/>
        <w:adjustRightInd w:val="0"/>
        <w:spacing w:line="360" w:lineRule="auto"/>
        <w:ind w:firstLine="422"/>
        <w:jc w:val="left"/>
        <w:rPr>
          <w:rFonts w:hint="eastAsia" w:ascii="宋体" w:hAnsi="宋体" w:eastAsia="宋体"/>
          <w:b/>
          <w:bCs/>
          <w:sz w:val="21"/>
          <w:szCs w:val="21"/>
          <w:highlight w:val="none"/>
          <w:lang w:val="en-US"/>
        </w:rPr>
      </w:pPr>
    </w:p>
    <w:p w14:paraId="4D6D270C">
      <w:pPr>
        <w:pStyle w:val="60"/>
        <w:numPr>
          <w:ilvl w:val="2"/>
          <w:numId w:val="2"/>
        </w:numPr>
        <w:adjustRightInd w:val="0"/>
        <w:spacing w:line="360" w:lineRule="auto"/>
        <w:ind w:firstLineChars="0"/>
        <w:jc w:val="left"/>
        <w:rPr>
          <w:rFonts w:hint="eastAsia" w:ascii="宋体" w:hAnsi="宋体" w:eastAsia="宋体"/>
          <w:b/>
          <w:bCs/>
          <w:sz w:val="21"/>
          <w:szCs w:val="21"/>
          <w:highlight w:val="none"/>
          <w:lang w:val="en-US"/>
        </w:rPr>
      </w:pPr>
      <w:r>
        <w:rPr>
          <w:rFonts w:hint="eastAsia" w:ascii="宋体" w:hAnsi="宋体" w:eastAsia="宋体"/>
          <w:b/>
          <w:bCs/>
          <w:sz w:val="21"/>
          <w:szCs w:val="21"/>
          <w:highlight w:val="none"/>
          <w:lang w:val="en-US"/>
        </w:rPr>
        <w:t>安全要求</w:t>
      </w:r>
    </w:p>
    <w:p w14:paraId="20506537">
      <w:pPr>
        <w:pStyle w:val="60"/>
        <w:adjustRightInd w:val="0"/>
        <w:spacing w:line="36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根据《中华人民共和国数据安全法》、《中华人民共和国个人信息保护法》相关要求，本项目建设需满足以下安全要求：</w:t>
      </w:r>
    </w:p>
    <w:p w14:paraId="5F31D727">
      <w:pPr>
        <w:pStyle w:val="60"/>
        <w:adjustRightInd w:val="0"/>
        <w:spacing w:line="36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1.具备安全的加密设计，前后台数据传输必须进行加密；</w:t>
      </w:r>
    </w:p>
    <w:p w14:paraId="6F66BCB6">
      <w:pPr>
        <w:pStyle w:val="60"/>
        <w:adjustRightInd w:val="0"/>
        <w:spacing w:line="36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2.严格执行信息安全和健康医疗数据保密规定，建立完善个人隐私信息保护制度；</w:t>
      </w:r>
    </w:p>
    <w:p w14:paraId="5537DAAC">
      <w:pPr>
        <w:pStyle w:val="60"/>
        <w:adjustRightInd w:val="0"/>
        <w:spacing w:line="36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3.满足网络安全等级保护三级等相关要求；</w:t>
      </w:r>
    </w:p>
    <w:p w14:paraId="56C0FAB8">
      <w:pPr>
        <w:pStyle w:val="60"/>
        <w:adjustRightInd w:val="0"/>
        <w:spacing w:line="36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4.满足国家对商用密码应用安全的相关要求。</w:t>
      </w:r>
    </w:p>
    <w:p w14:paraId="61C7B425">
      <w:pPr>
        <w:pStyle w:val="60"/>
        <w:numPr>
          <w:ilvl w:val="2"/>
          <w:numId w:val="2"/>
        </w:numPr>
        <w:adjustRightInd w:val="0"/>
        <w:spacing w:line="360" w:lineRule="auto"/>
        <w:ind w:firstLineChars="0"/>
        <w:jc w:val="left"/>
        <w:rPr>
          <w:rFonts w:hint="eastAsia" w:ascii="宋体" w:hAnsi="宋体" w:eastAsia="宋体"/>
          <w:b/>
          <w:bCs/>
          <w:sz w:val="21"/>
          <w:szCs w:val="21"/>
          <w:highlight w:val="none"/>
          <w:lang w:val="en-US"/>
        </w:rPr>
      </w:pPr>
      <w:r>
        <w:rPr>
          <w:rFonts w:hint="eastAsia" w:ascii="宋体" w:hAnsi="宋体" w:eastAsia="宋体"/>
          <w:b/>
          <w:bCs/>
          <w:sz w:val="21"/>
          <w:szCs w:val="21"/>
          <w:highlight w:val="none"/>
          <w:lang w:val="en-US"/>
        </w:rPr>
        <w:t>其他安全要求</w:t>
      </w:r>
    </w:p>
    <w:p w14:paraId="232C99A7">
      <w:pPr>
        <w:pStyle w:val="60"/>
        <w:adjustRightInd w:val="0"/>
        <w:spacing w:line="36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275F831F">
      <w:pPr>
        <w:pStyle w:val="60"/>
        <w:numPr>
          <w:ilvl w:val="2"/>
          <w:numId w:val="2"/>
        </w:numPr>
        <w:adjustRightInd w:val="0"/>
        <w:spacing w:line="360" w:lineRule="auto"/>
        <w:ind w:firstLineChars="0"/>
        <w:jc w:val="left"/>
        <w:rPr>
          <w:rFonts w:hint="eastAsia" w:ascii="宋体" w:hAnsi="宋体" w:eastAsia="宋体"/>
          <w:b/>
          <w:bCs/>
          <w:sz w:val="21"/>
          <w:szCs w:val="21"/>
          <w:highlight w:val="none"/>
          <w:lang w:val="en-US"/>
        </w:rPr>
      </w:pPr>
      <w:r>
        <w:rPr>
          <w:rFonts w:hint="eastAsia" w:ascii="宋体" w:hAnsi="宋体" w:eastAsia="宋体"/>
          <w:b/>
          <w:bCs/>
          <w:sz w:val="21"/>
          <w:szCs w:val="21"/>
          <w:highlight w:val="none"/>
          <w:lang w:val="en-US"/>
        </w:rPr>
        <w:t>与现有系统无缝衔接要求</w:t>
      </w:r>
    </w:p>
    <w:p w14:paraId="3DA9A43F">
      <w:pPr>
        <w:pStyle w:val="60"/>
        <w:adjustRightInd w:val="0"/>
        <w:spacing w:line="36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投标人需承诺本项目建设内容可实现与申康中心现有系统、五家试点市级医院(市六医院、瑞金医院、新华医院、肺科医院、一妇婴)相关系统进行对接，包括但不限于医联平台、医院病理相关系统等。投标人需提供对接技术方案。在系统对接实施过程中，需要其他第三方配合而产生的所有费用均包含在本项目投标经费中。</w:t>
      </w:r>
    </w:p>
    <w:p w14:paraId="077C20E2">
      <w:pPr>
        <w:pStyle w:val="3"/>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应用软件系统功能要求</w:t>
      </w:r>
    </w:p>
    <w:p w14:paraId="30ED3EF0">
      <w:pPr>
        <w:pStyle w:val="4"/>
        <w:numPr>
          <w:ilvl w:val="0"/>
          <w:numId w:val="3"/>
        </w:numPr>
        <w:adjustRightInd w:val="0"/>
        <w:snapToGrid w:val="0"/>
        <w:spacing w:before="0" w:after="0"/>
        <w:rPr>
          <w:rFonts w:hint="eastAsia" w:ascii="宋体" w:hAnsi="宋体" w:eastAsia="宋体"/>
          <w:b/>
          <w:sz w:val="21"/>
          <w:szCs w:val="21"/>
          <w:highlight w:val="none"/>
        </w:rPr>
      </w:pPr>
      <w:r>
        <w:rPr>
          <w:rFonts w:hint="eastAsia" w:ascii="宋体" w:hAnsi="宋体" w:eastAsia="宋体"/>
          <w:b/>
          <w:sz w:val="21"/>
          <w:szCs w:val="21"/>
          <w:highlight w:val="none"/>
        </w:rPr>
        <w:t>数据汇聚</w:t>
      </w:r>
    </w:p>
    <w:p w14:paraId="135755D5">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lang w:val="en-US" w:eastAsia="zh-CN"/>
        </w:rPr>
        <w:t>为</w:t>
      </w:r>
      <w:r>
        <w:rPr>
          <w:rFonts w:hint="eastAsia" w:ascii="宋体" w:hAnsi="宋体" w:cs="Arial"/>
          <w:szCs w:val="21"/>
          <w:highlight w:val="none"/>
        </w:rPr>
        <w:t>打破医疗机构间病理数据信息壁垒，</w:t>
      </w:r>
      <w:r>
        <w:rPr>
          <w:rFonts w:hint="eastAsia" w:ascii="宋体" w:hAnsi="宋体" w:cs="Arial"/>
          <w:szCs w:val="21"/>
          <w:highlight w:val="none"/>
          <w:lang w:val="en-US" w:eastAsia="zh-CN"/>
        </w:rPr>
        <w:t>构建规范化的病理数据汇聚传输通道，打造</w:t>
      </w:r>
      <w:r>
        <w:rPr>
          <w:rFonts w:hint="eastAsia" w:ascii="宋体" w:hAnsi="宋体" w:cs="Arial"/>
          <w:szCs w:val="21"/>
          <w:highlight w:val="none"/>
        </w:rPr>
        <w:t>集</w:t>
      </w:r>
      <w:r>
        <w:rPr>
          <w:rFonts w:hint="eastAsia" w:ascii="宋体" w:hAnsi="宋体" w:cs="Arial"/>
          <w:szCs w:val="21"/>
          <w:highlight w:val="none"/>
          <w:lang w:val="en-US" w:eastAsia="zh-CN"/>
        </w:rPr>
        <w:t>病理</w:t>
      </w:r>
      <w:r>
        <w:rPr>
          <w:rFonts w:hint="eastAsia" w:ascii="宋体" w:hAnsi="宋体" w:cs="Arial"/>
          <w:szCs w:val="21"/>
          <w:highlight w:val="none"/>
        </w:rPr>
        <w:t>数据接入、数据校对、数据匹配、任务调度、反馈优化于一体的闭环运行机制</w:t>
      </w:r>
      <w:r>
        <w:rPr>
          <w:rFonts w:hint="eastAsia" w:ascii="宋体" w:hAnsi="宋体" w:cs="Arial"/>
          <w:szCs w:val="21"/>
          <w:highlight w:val="none"/>
          <w:lang w:eastAsia="zh-CN"/>
        </w:rPr>
        <w:t>，</w:t>
      </w:r>
      <w:r>
        <w:rPr>
          <w:rFonts w:hint="eastAsia" w:ascii="宋体" w:hAnsi="宋体" w:cs="Arial"/>
          <w:szCs w:val="21"/>
          <w:highlight w:val="none"/>
        </w:rPr>
        <w:t>实现病理数据互联互通与共享应用</w:t>
      </w:r>
      <w:r>
        <w:rPr>
          <w:rFonts w:hint="eastAsia" w:ascii="宋体" w:hAnsi="宋体" w:cs="Arial"/>
          <w:szCs w:val="21"/>
          <w:highlight w:val="none"/>
          <w:lang w:eastAsia="zh-CN"/>
        </w:rPr>
        <w:t>。</w:t>
      </w:r>
    </w:p>
    <w:p w14:paraId="18945C93">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1、标准化接口：明确数据字段名称、类型、长度、赋值规则、数据传输路径、校验方式及大文件断点续传机制，支撑数据归档与标准化病理数据库建设。</w:t>
      </w:r>
      <w:r>
        <w:rPr>
          <w:rFonts w:hint="eastAsia" w:ascii="宋体" w:hAnsi="宋体" w:cs="Arial"/>
          <w:szCs w:val="21"/>
          <w:highlight w:val="none"/>
        </w:rPr>
        <w:tab/>
      </w:r>
    </w:p>
    <w:p w14:paraId="792C8CCA">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2、数据接收：包括结构化数据接收、非结构化数据接收、图像压缩等模块。</w:t>
      </w:r>
    </w:p>
    <w:p w14:paraId="3C53288F">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1）结构化数据接收：为五家试点市级医院提供标准化数据接入服务，针对病理结构化数据，为医院提供标准化数据接入服务。</w:t>
      </w:r>
    </w:p>
    <w:p w14:paraId="47339E67">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2）非结构化数据接收：针对病理图像等大容量文件，通过标准化接口对接医院端，借助前置机实现高速传输链路，保障大文件传输的完整性与稳定性。</w:t>
      </w:r>
    </w:p>
    <w:p w14:paraId="0EB02FA6">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3）图像压缩：支持不同病理图像格式的无损压缩，记录压缩日志。</w:t>
      </w:r>
    </w:p>
    <w:p w14:paraId="6CF3E995">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3、数据校对：包括病理基础数据校对、病理基础数据校对报告、检查维度匹配管理、病理数据补传等模块。</w:t>
      </w:r>
    </w:p>
    <w:p w14:paraId="30831449">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1）病理基础数据校对：对五家试点市级医院上传的病理数据从数据内容、文件属性到传输安全等多维度提供校对服务，确保完整性、逻辑关联性和数值合理性；</w:t>
      </w:r>
    </w:p>
    <w:p w14:paraId="0324326B">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2）病理基础数据校对报告：数据校验服务内置自动化报告生成模块，可基于预设周期或事件触发机制，自动生成综合性报告；</w:t>
      </w:r>
    </w:p>
    <w:p w14:paraId="515F0432">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3）检查维度匹配管理：梳理病理报告与病理切片的对应关系以及一次检查多个切片的对应关系，建立结构化记录与非结构化文件的匹配关系表，定时更新，根据最新采集结果更新匹配关系表；</w:t>
      </w:r>
    </w:p>
    <w:p w14:paraId="57516DB8">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4）病理数据补传：建立病理数据补传提醒机制。</w:t>
      </w:r>
    </w:p>
    <w:p w14:paraId="7529CCFB">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4、数据存储：包括结构化数据和非结构化数据存储等模块。</w:t>
      </w:r>
    </w:p>
    <w:p w14:paraId="23CF0CD0">
      <w:pPr>
        <w:pStyle w:val="78"/>
        <w:numPr>
          <w:ilvl w:val="255"/>
          <w:numId w:val="0"/>
        </w:numPr>
        <w:adjustRightInd w:val="0"/>
        <w:snapToGrid w:val="0"/>
        <w:spacing w:after="0" w:line="360" w:lineRule="auto"/>
        <w:ind w:left="424" w:leftChars="202"/>
        <w:rPr>
          <w:rFonts w:hint="eastAsia" w:ascii="宋体" w:hAnsi="宋体" w:cs="Arial"/>
          <w:szCs w:val="21"/>
          <w:highlight w:val="none"/>
        </w:rPr>
      </w:pPr>
      <w:r>
        <w:rPr>
          <w:rFonts w:hint="eastAsia" w:ascii="宋体" w:hAnsi="宋体" w:cs="Arial"/>
          <w:szCs w:val="21"/>
          <w:highlight w:val="none"/>
        </w:rPr>
        <w:t>1）结构化数据存储：对结构化数据采用关系型数据库进行存储，定时对数据库进行增量或全量备份；</w:t>
      </w:r>
    </w:p>
    <w:p w14:paraId="7AA7AB3A">
      <w:pPr>
        <w:pStyle w:val="78"/>
        <w:numPr>
          <w:ilvl w:val="255"/>
          <w:numId w:val="0"/>
        </w:numPr>
        <w:adjustRightInd w:val="0"/>
        <w:snapToGrid w:val="0"/>
        <w:spacing w:after="0" w:line="360" w:lineRule="auto"/>
        <w:ind w:left="424" w:leftChars="202"/>
        <w:rPr>
          <w:rFonts w:hint="eastAsia" w:ascii="宋体" w:hAnsi="宋体" w:cs="Arial"/>
          <w:szCs w:val="21"/>
          <w:highlight w:val="none"/>
        </w:rPr>
      </w:pPr>
      <w:r>
        <w:rPr>
          <w:rFonts w:hint="eastAsia" w:ascii="宋体" w:hAnsi="宋体" w:cs="Arial"/>
          <w:szCs w:val="21"/>
          <w:highlight w:val="none"/>
        </w:rPr>
        <w:t>2）非结构化数据存储：在医院现有医联前置机端对病理图像文件进行无损压缩后上传至中心端。</w:t>
      </w:r>
    </w:p>
    <w:p w14:paraId="47D45CF5">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5、智能调度：包括实时数据监测、任务监测及重传、智能任务调度等模块。</w:t>
      </w:r>
    </w:p>
    <w:p w14:paraId="784F0C4A">
      <w:pPr>
        <w:pStyle w:val="78"/>
        <w:numPr>
          <w:ilvl w:val="255"/>
          <w:numId w:val="0"/>
        </w:numPr>
        <w:adjustRightInd w:val="0"/>
        <w:snapToGrid w:val="0"/>
        <w:spacing w:after="0" w:line="360" w:lineRule="auto"/>
        <w:ind w:left="400"/>
        <w:rPr>
          <w:rFonts w:hint="eastAsia" w:ascii="宋体" w:hAnsi="宋体" w:cs="Arial"/>
          <w:szCs w:val="21"/>
          <w:highlight w:val="none"/>
        </w:rPr>
      </w:pPr>
      <w:r>
        <w:rPr>
          <w:rFonts w:hint="eastAsia" w:ascii="宋体" w:hAnsi="宋体" w:cs="Arial"/>
          <w:szCs w:val="21"/>
          <w:highlight w:val="none"/>
        </w:rPr>
        <w:t>1）实时数据监测：实时监测五家试点市级医院待上传数据规模及网络链路负载状态；</w:t>
      </w:r>
    </w:p>
    <w:p w14:paraId="0C14777D">
      <w:pPr>
        <w:pStyle w:val="78"/>
        <w:numPr>
          <w:ilvl w:val="255"/>
          <w:numId w:val="0"/>
        </w:numPr>
        <w:adjustRightInd w:val="0"/>
        <w:snapToGrid w:val="0"/>
        <w:spacing w:after="0" w:line="360" w:lineRule="auto"/>
        <w:ind w:left="424" w:leftChars="202"/>
        <w:rPr>
          <w:rFonts w:hint="eastAsia" w:ascii="宋体" w:hAnsi="宋体" w:cs="Arial"/>
          <w:szCs w:val="21"/>
          <w:highlight w:val="none"/>
        </w:rPr>
      </w:pPr>
      <w:r>
        <w:rPr>
          <w:rFonts w:hint="eastAsia" w:ascii="宋体" w:hAnsi="宋体" w:cs="Arial"/>
          <w:szCs w:val="21"/>
          <w:highlight w:val="none"/>
        </w:rPr>
        <w:t>2）任务监测及重传：对于上传失败任务启动自动重传，超过重传最大次数后终止重传，并提醒运维人员；</w:t>
      </w:r>
    </w:p>
    <w:p w14:paraId="63B98822">
      <w:pPr>
        <w:pStyle w:val="78"/>
        <w:numPr>
          <w:ilvl w:val="255"/>
          <w:numId w:val="0"/>
        </w:numPr>
        <w:adjustRightInd w:val="0"/>
        <w:snapToGrid w:val="0"/>
        <w:spacing w:after="0" w:line="360" w:lineRule="auto"/>
        <w:ind w:left="424" w:leftChars="202"/>
        <w:rPr>
          <w:rFonts w:hint="eastAsia" w:ascii="宋体" w:hAnsi="宋体" w:cs="Arial"/>
          <w:szCs w:val="21"/>
          <w:highlight w:val="none"/>
        </w:rPr>
      </w:pPr>
      <w:r>
        <w:rPr>
          <w:rFonts w:hint="eastAsia" w:ascii="宋体" w:hAnsi="宋体" w:cs="Arial"/>
          <w:szCs w:val="21"/>
          <w:highlight w:val="none"/>
        </w:rPr>
        <w:t>3）智能任务调度：</w:t>
      </w:r>
      <w:r>
        <w:rPr>
          <w:rFonts w:ascii="宋体" w:hAnsi="宋体" w:cs="Arial"/>
          <w:szCs w:val="21"/>
          <w:highlight w:val="none"/>
        </w:rPr>
        <w:t>动态调节各传输通道的并发任务量</w:t>
      </w:r>
      <w:r>
        <w:rPr>
          <w:rFonts w:hint="eastAsia" w:ascii="宋体" w:hAnsi="宋体" w:cs="Arial"/>
          <w:szCs w:val="21"/>
          <w:highlight w:val="none"/>
        </w:rPr>
        <w:t>，</w:t>
      </w:r>
      <w:r>
        <w:rPr>
          <w:rFonts w:ascii="宋体" w:hAnsi="宋体" w:cs="Arial"/>
          <w:szCs w:val="21"/>
          <w:highlight w:val="none"/>
        </w:rPr>
        <w:t>智能管控上传任务</w:t>
      </w:r>
      <w:r>
        <w:rPr>
          <w:rFonts w:hint="eastAsia" w:ascii="宋体" w:hAnsi="宋体" w:cs="Arial"/>
          <w:szCs w:val="21"/>
          <w:highlight w:val="none"/>
        </w:rPr>
        <w:t>。</w:t>
      </w:r>
    </w:p>
    <w:p w14:paraId="0B2C6906">
      <w:pPr>
        <w:pStyle w:val="4"/>
        <w:numPr>
          <w:ilvl w:val="0"/>
          <w:numId w:val="3"/>
        </w:numPr>
        <w:adjustRightInd w:val="0"/>
        <w:snapToGrid w:val="0"/>
        <w:spacing w:before="0" w:after="0"/>
        <w:rPr>
          <w:rFonts w:hint="eastAsia" w:ascii="宋体" w:hAnsi="宋体" w:eastAsia="宋体"/>
          <w:b/>
          <w:sz w:val="21"/>
          <w:szCs w:val="21"/>
          <w:highlight w:val="none"/>
        </w:rPr>
      </w:pPr>
      <w:r>
        <w:rPr>
          <w:rFonts w:hint="eastAsia" w:ascii="宋体" w:hAnsi="宋体" w:eastAsia="宋体"/>
          <w:b/>
          <w:sz w:val="21"/>
          <w:szCs w:val="21"/>
          <w:highlight w:val="none"/>
        </w:rPr>
        <w:t>市级病理诊断标准化病理数据库</w:t>
      </w:r>
    </w:p>
    <w:p w14:paraId="084AF474">
      <w:pPr>
        <w:pStyle w:val="52"/>
        <w:adjustRightInd w:val="0"/>
        <w:snapToGrid w:val="0"/>
        <w:spacing w:line="360" w:lineRule="auto"/>
        <w:ind w:firstLine="424" w:firstLineChars="202"/>
        <w:rPr>
          <w:rFonts w:hint="eastAsia" w:ascii="宋体" w:hAnsi="宋体" w:cs="Arial"/>
          <w:szCs w:val="21"/>
          <w:highlight w:val="none"/>
        </w:rPr>
      </w:pPr>
      <w:r>
        <w:rPr>
          <w:rFonts w:hint="eastAsia" w:ascii="宋体" w:hAnsi="宋体" w:cs="Arial"/>
          <w:szCs w:val="21"/>
          <w:highlight w:val="none"/>
        </w:rPr>
        <w:t>基于五家试点医院汇聚</w:t>
      </w:r>
      <w:r>
        <w:rPr>
          <w:rFonts w:hint="eastAsia" w:ascii="宋体" w:hAnsi="宋体" w:cs="Arial"/>
          <w:szCs w:val="21"/>
          <w:highlight w:val="none"/>
          <w:lang w:val="en-US" w:eastAsia="zh-CN"/>
        </w:rPr>
        <w:t>的病理</w:t>
      </w:r>
      <w:r>
        <w:rPr>
          <w:rFonts w:hint="eastAsia" w:ascii="宋体" w:hAnsi="宋体" w:cs="Arial"/>
          <w:szCs w:val="21"/>
          <w:highlight w:val="none"/>
        </w:rPr>
        <w:t>数据</w:t>
      </w:r>
      <w:r>
        <w:rPr>
          <w:rFonts w:hint="eastAsia" w:ascii="宋体" w:hAnsi="宋体" w:cs="Arial"/>
          <w:szCs w:val="21"/>
          <w:highlight w:val="none"/>
          <w:lang w:eastAsia="zh-CN"/>
        </w:rPr>
        <w:t>，</w:t>
      </w:r>
      <w:r>
        <w:rPr>
          <w:rFonts w:hint="eastAsia" w:ascii="宋体" w:hAnsi="宋体" w:cs="Arial"/>
          <w:szCs w:val="21"/>
          <w:highlight w:val="none"/>
        </w:rPr>
        <w:t>开展</w:t>
      </w:r>
      <w:r>
        <w:rPr>
          <w:rFonts w:hint="eastAsia" w:ascii="宋体" w:hAnsi="宋体" w:cs="Arial"/>
          <w:szCs w:val="21"/>
          <w:highlight w:val="none"/>
          <w:lang w:val="en-US" w:eastAsia="zh-CN"/>
        </w:rPr>
        <w:t>AI质控与存储管理</w:t>
      </w:r>
      <w:r>
        <w:rPr>
          <w:rFonts w:hint="eastAsia" w:ascii="宋体" w:hAnsi="宋体" w:cs="Arial"/>
          <w:szCs w:val="21"/>
          <w:highlight w:val="none"/>
        </w:rPr>
        <w:t>，构建以患者为中心、以病种为维度的病理数据库</w:t>
      </w:r>
      <w:r>
        <w:rPr>
          <w:rFonts w:hint="eastAsia" w:ascii="宋体" w:hAnsi="宋体" w:cs="Arial"/>
          <w:szCs w:val="21"/>
          <w:highlight w:val="none"/>
          <w:lang w:eastAsia="zh-CN"/>
        </w:rPr>
        <w:t>，</w:t>
      </w:r>
      <w:r>
        <w:rPr>
          <w:rFonts w:hint="eastAsia" w:ascii="宋体" w:hAnsi="宋体" w:cs="Arial"/>
          <w:szCs w:val="21"/>
          <w:highlight w:val="none"/>
          <w:lang w:val="en-US" w:eastAsia="zh-CN"/>
        </w:rPr>
        <w:t>并</w:t>
      </w:r>
      <w:r>
        <w:rPr>
          <w:rFonts w:hint="eastAsia" w:ascii="宋体" w:hAnsi="宋体" w:cs="Arial"/>
          <w:szCs w:val="21"/>
          <w:highlight w:val="none"/>
        </w:rPr>
        <w:t>筛选代表性病理切片形成典型数字切片库，</w:t>
      </w:r>
      <w:r>
        <w:rPr>
          <w:rFonts w:hint="eastAsia" w:ascii="宋体" w:hAnsi="宋体" w:cs="Arial"/>
          <w:szCs w:val="21"/>
          <w:highlight w:val="none"/>
          <w:lang w:val="en-US" w:eastAsia="zh-CN"/>
        </w:rPr>
        <w:t>支持</w:t>
      </w:r>
      <w:r>
        <w:rPr>
          <w:rFonts w:hint="eastAsia" w:ascii="宋体" w:hAnsi="宋体" w:cs="Arial"/>
          <w:szCs w:val="21"/>
          <w:highlight w:val="none"/>
        </w:rPr>
        <w:t>通过API接口、数据集等形式，为病理数据调阅等业务提供统一数据服务支撑。</w:t>
      </w:r>
    </w:p>
    <w:p w14:paraId="17C6351C">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1、病理数据AI质控：包括病理数据可用性检查、病理数据错漏核查、数字切片质量评估、低质数字切片标记、质控分析报告生成等模块。</w:t>
      </w:r>
    </w:p>
    <w:p w14:paraId="1755B608">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1）病理数据可用性检查：通过智能快速可用性校验算法，对大量上报的病理数据进行快速可用性检查，避免出现乱码、文件无法打开等问题。</w:t>
      </w:r>
    </w:p>
    <w:p w14:paraId="3F71D071">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2）病理数据错漏核查：构建病理数据错漏核查能力，形成核查过程问题数据列表，并在后续质控报告中进行展现。</w:t>
      </w:r>
    </w:p>
    <w:p w14:paraId="573667C6">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3）数字切片质量评估：针对错漏核查后的数字病理切片，进一步进行图像的质量评估，保证入库病理图像质量的高标准。</w:t>
      </w:r>
    </w:p>
    <w:p w14:paraId="66785C79">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4）低质数字切片标记：融合多维质量评估结果，对数字切片进行量化分析，构建可配置的低质量切片判定规则，实现对大批量病理切片的自动化筛选和标记。</w:t>
      </w:r>
    </w:p>
    <w:p w14:paraId="3FB5B8E6">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5）质控分析报告生成：对病理数据质控各步骤中识别出的问题数据进行系统与归类，自动汇总分析结果，形成质控报告。</w:t>
      </w:r>
    </w:p>
    <w:p w14:paraId="20668D72">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2、数字病理库存储与管理：包括数据入库管理、</w:t>
      </w:r>
      <w:r>
        <w:rPr>
          <w:rFonts w:ascii="Wingdings" w:hAnsi="Wingdings" w:cs="Arial"/>
          <w:szCs w:val="21"/>
          <w:highlight w:val="none"/>
        </w:rPr>
        <w:t>存储策略管理</w:t>
      </w:r>
      <w:r>
        <w:rPr>
          <w:rFonts w:hint="eastAsia" w:ascii="Wingdings" w:hAnsi="Wingdings" w:cs="Arial"/>
          <w:szCs w:val="21"/>
          <w:highlight w:val="none"/>
        </w:rPr>
        <w:t>、</w:t>
      </w:r>
      <w:r>
        <w:rPr>
          <w:rFonts w:ascii="Wingdings" w:hAnsi="Wingdings" w:cs="Arial"/>
          <w:szCs w:val="21"/>
          <w:highlight w:val="none"/>
        </w:rPr>
        <w:t>病理数据重构管理</w:t>
      </w:r>
      <w:r>
        <w:rPr>
          <w:rFonts w:hint="eastAsia" w:ascii="Wingdings" w:hAnsi="Wingdings" w:cs="Arial"/>
          <w:szCs w:val="21"/>
          <w:highlight w:val="none"/>
        </w:rPr>
        <w:t>。</w:t>
      </w:r>
    </w:p>
    <w:p w14:paraId="1723EBBF">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1）数据入库管理：包括分类入库、状态监控、入库日志记录等模块。</w:t>
      </w:r>
    </w:p>
    <w:p w14:paraId="713C502E">
      <w:pPr>
        <w:pStyle w:val="78"/>
        <w:numPr>
          <w:ilvl w:val="0"/>
          <w:numId w:val="4"/>
        </w:numPr>
        <w:adjustRightInd w:val="0"/>
        <w:snapToGrid w:val="0"/>
        <w:spacing w:after="0" w:line="360" w:lineRule="auto"/>
        <w:ind w:firstLineChars="0"/>
        <w:rPr>
          <w:rFonts w:hint="eastAsia" w:ascii="宋体" w:hAnsi="宋体" w:cs="Arial"/>
          <w:szCs w:val="21"/>
          <w:highlight w:val="none"/>
        </w:rPr>
      </w:pPr>
      <w:r>
        <w:rPr>
          <w:rFonts w:hint="eastAsia" w:ascii="宋体" w:hAnsi="宋体" w:cs="Arial"/>
          <w:szCs w:val="21"/>
          <w:highlight w:val="none"/>
        </w:rPr>
        <w:t>分类入库：对所有汇聚的数据进行持续自动化入库处理，入库数据根据质控结果，对质量情况进行分类标记。</w:t>
      </w:r>
    </w:p>
    <w:p w14:paraId="068D218C">
      <w:pPr>
        <w:pStyle w:val="78"/>
        <w:numPr>
          <w:ilvl w:val="0"/>
          <w:numId w:val="4"/>
        </w:numPr>
        <w:adjustRightInd w:val="0"/>
        <w:snapToGrid w:val="0"/>
        <w:spacing w:after="0" w:line="360" w:lineRule="auto"/>
        <w:ind w:firstLine="420"/>
        <w:rPr>
          <w:rFonts w:hint="eastAsia" w:ascii="宋体" w:hAnsi="宋体" w:cs="Arial"/>
          <w:szCs w:val="21"/>
          <w:highlight w:val="none"/>
        </w:rPr>
      </w:pPr>
      <w:r>
        <w:rPr>
          <w:rFonts w:hint="eastAsia" w:ascii="宋体" w:hAnsi="宋体" w:cs="Arial"/>
          <w:szCs w:val="21"/>
          <w:highlight w:val="none"/>
        </w:rPr>
        <w:t>状态监控：提供对数据入库任务的全过程跟踪与可视化管理，实时查看每个任务的执行进度和状态变化，并支持历史任务快速回查。</w:t>
      </w:r>
    </w:p>
    <w:p w14:paraId="62608376">
      <w:pPr>
        <w:pStyle w:val="78"/>
        <w:numPr>
          <w:ilvl w:val="0"/>
          <w:numId w:val="4"/>
        </w:numPr>
        <w:adjustRightInd w:val="0"/>
        <w:snapToGrid w:val="0"/>
        <w:spacing w:after="0" w:line="360" w:lineRule="auto"/>
        <w:ind w:firstLine="420"/>
        <w:rPr>
          <w:rFonts w:hint="eastAsia" w:ascii="宋体" w:hAnsi="宋体" w:cs="Arial"/>
          <w:szCs w:val="21"/>
          <w:highlight w:val="none"/>
        </w:rPr>
      </w:pPr>
      <w:r>
        <w:rPr>
          <w:rFonts w:hint="eastAsia" w:ascii="宋体" w:hAnsi="宋体" w:cs="Arial"/>
          <w:szCs w:val="21"/>
          <w:highlight w:val="none"/>
        </w:rPr>
        <w:t>入库日志记录：记录每次数据入库的详细信息，形成完整的操作档案。</w:t>
      </w:r>
    </w:p>
    <w:p w14:paraId="4929664F">
      <w:pPr>
        <w:widowControl/>
        <w:snapToGrid w:val="0"/>
        <w:spacing w:line="360" w:lineRule="auto"/>
        <w:ind w:firstLine="420" w:firstLineChars="200"/>
        <w:jc w:val="left"/>
        <w:rPr>
          <w:rFonts w:hint="eastAsia" w:ascii="Wingdings" w:hAnsi="Wingdings" w:cs="Arial"/>
          <w:szCs w:val="21"/>
          <w:highlight w:val="none"/>
        </w:rPr>
      </w:pPr>
      <w:r>
        <w:rPr>
          <w:rFonts w:hint="eastAsia" w:ascii="宋体" w:hAnsi="宋体" w:cs="Arial"/>
          <w:szCs w:val="21"/>
          <w:highlight w:val="none"/>
        </w:rPr>
        <w:t>2）</w:t>
      </w:r>
      <w:r>
        <w:rPr>
          <w:rFonts w:ascii="Wingdings" w:hAnsi="Wingdings" w:cs="Arial"/>
          <w:szCs w:val="21"/>
          <w:highlight w:val="none"/>
        </w:rPr>
        <w:t>存储策略管理</w:t>
      </w:r>
      <w:r>
        <w:rPr>
          <w:rFonts w:hint="eastAsia" w:ascii="Wingdings" w:hAnsi="Wingdings" w:cs="Arial"/>
          <w:szCs w:val="21"/>
          <w:highlight w:val="none"/>
        </w:rPr>
        <w:t>：包括分级存储策略管理、病理多模态数据目录映射配置、跨模态索引构建、空间占用监测与预警等模块。</w:t>
      </w:r>
    </w:p>
    <w:p w14:paraId="4CC29BA1">
      <w:pPr>
        <w:pStyle w:val="78"/>
        <w:widowControl/>
        <w:numPr>
          <w:ilvl w:val="0"/>
          <w:numId w:val="5"/>
        </w:numPr>
        <w:adjustRightInd w:val="0"/>
        <w:snapToGrid w:val="0"/>
        <w:spacing w:after="0" w:line="360" w:lineRule="auto"/>
        <w:ind w:firstLineChars="0"/>
        <w:jc w:val="left"/>
        <w:rPr>
          <w:rFonts w:hint="eastAsia" w:ascii="宋体" w:hAnsi="宋体" w:cs="Arial"/>
          <w:szCs w:val="21"/>
          <w:highlight w:val="none"/>
        </w:rPr>
      </w:pPr>
      <w:r>
        <w:rPr>
          <w:rFonts w:hint="eastAsia" w:ascii="Wingdings" w:hAnsi="Wingdings" w:cs="Arial"/>
          <w:szCs w:val="21"/>
          <w:highlight w:val="none"/>
        </w:rPr>
        <w:t>分级存储策略管理：针对病理切片数据体积大、调用行为差异大等特点，构建分级存储机制，</w:t>
      </w:r>
      <w:r>
        <w:rPr>
          <w:rFonts w:hint="eastAsia" w:ascii="宋体" w:hAnsi="宋体" w:cs="Arial"/>
          <w:szCs w:val="21"/>
          <w:highlight w:val="none"/>
        </w:rPr>
        <w:t>进行分类管理与缓存调度；</w:t>
      </w:r>
    </w:p>
    <w:p w14:paraId="43ACC407">
      <w:pPr>
        <w:pStyle w:val="78"/>
        <w:widowControl/>
        <w:numPr>
          <w:ilvl w:val="0"/>
          <w:numId w:val="5"/>
        </w:numPr>
        <w:adjustRightInd w:val="0"/>
        <w:snapToGrid w:val="0"/>
        <w:spacing w:after="0" w:line="360" w:lineRule="auto"/>
        <w:ind w:firstLineChars="0"/>
        <w:jc w:val="left"/>
        <w:rPr>
          <w:rFonts w:hint="eastAsia" w:ascii="宋体" w:hAnsi="宋体" w:cs="Arial"/>
          <w:szCs w:val="21"/>
          <w:highlight w:val="none"/>
        </w:rPr>
      </w:pPr>
      <w:r>
        <w:rPr>
          <w:rFonts w:hint="eastAsia" w:ascii="宋体" w:hAnsi="宋体" w:cs="Arial"/>
          <w:szCs w:val="21"/>
          <w:highlight w:val="none"/>
        </w:rPr>
        <w:t>病理多模态数据目录映射配置：提供病理多模态数据目录映射，建立统一命名规范与逻辑路径体系；</w:t>
      </w:r>
    </w:p>
    <w:p w14:paraId="33918C18">
      <w:pPr>
        <w:pStyle w:val="78"/>
        <w:widowControl/>
        <w:numPr>
          <w:ilvl w:val="0"/>
          <w:numId w:val="5"/>
        </w:numPr>
        <w:adjustRightInd w:val="0"/>
        <w:snapToGrid w:val="0"/>
        <w:spacing w:after="0" w:line="360" w:lineRule="auto"/>
        <w:ind w:firstLineChars="0"/>
        <w:jc w:val="left"/>
        <w:rPr>
          <w:rFonts w:hint="eastAsia" w:ascii="宋体" w:hAnsi="宋体" w:cs="Arial"/>
          <w:szCs w:val="21"/>
          <w:highlight w:val="none"/>
        </w:rPr>
      </w:pPr>
      <w:r>
        <w:rPr>
          <w:rFonts w:hint="eastAsia" w:ascii="Wingdings" w:hAnsi="Wingdings" w:cs="Arial"/>
          <w:szCs w:val="21"/>
          <w:highlight w:val="none"/>
        </w:rPr>
        <w:t>跨模态索引构建：</w:t>
      </w:r>
      <w:r>
        <w:rPr>
          <w:rFonts w:hint="eastAsia" w:ascii="宋体" w:hAnsi="宋体" w:cs="Arial"/>
          <w:szCs w:val="21"/>
          <w:highlight w:val="none"/>
        </w:rPr>
        <w:t>支持提取多模态数据关键字段，构建统一索引；</w:t>
      </w:r>
    </w:p>
    <w:p w14:paraId="2AA30529">
      <w:pPr>
        <w:pStyle w:val="78"/>
        <w:widowControl/>
        <w:numPr>
          <w:ilvl w:val="0"/>
          <w:numId w:val="5"/>
        </w:numPr>
        <w:adjustRightInd w:val="0"/>
        <w:snapToGrid w:val="0"/>
        <w:spacing w:after="0" w:line="360" w:lineRule="auto"/>
        <w:ind w:firstLineChars="0"/>
        <w:jc w:val="left"/>
        <w:rPr>
          <w:rFonts w:hint="eastAsia" w:ascii="宋体" w:hAnsi="宋体" w:cs="Arial"/>
          <w:szCs w:val="21"/>
          <w:highlight w:val="none"/>
        </w:rPr>
      </w:pPr>
      <w:r>
        <w:rPr>
          <w:rFonts w:hint="eastAsia" w:ascii="Wingdings" w:hAnsi="Wingdings" w:cs="Arial"/>
          <w:szCs w:val="21"/>
          <w:highlight w:val="none"/>
        </w:rPr>
        <w:t>空间占用监测与预警：</w:t>
      </w:r>
      <w:r>
        <w:rPr>
          <w:rFonts w:hint="eastAsia" w:ascii="宋体" w:hAnsi="宋体" w:cs="Arial"/>
          <w:szCs w:val="21"/>
          <w:highlight w:val="none"/>
        </w:rPr>
        <w:t>支持对存储资源占用情况进行实时监控、阈值预警及趋势分析。</w:t>
      </w:r>
    </w:p>
    <w:p w14:paraId="01D484B9">
      <w:pPr>
        <w:widowControl/>
        <w:snapToGrid w:val="0"/>
        <w:spacing w:line="360" w:lineRule="auto"/>
        <w:ind w:firstLine="420" w:firstLineChars="200"/>
        <w:jc w:val="left"/>
        <w:rPr>
          <w:rFonts w:hint="eastAsia" w:ascii="Wingdings" w:hAnsi="Wingdings" w:cs="Arial"/>
          <w:szCs w:val="21"/>
          <w:highlight w:val="none"/>
        </w:rPr>
      </w:pPr>
      <w:r>
        <w:rPr>
          <w:rFonts w:hint="eastAsia" w:ascii="宋体" w:hAnsi="宋体" w:cs="Arial"/>
          <w:szCs w:val="21"/>
          <w:highlight w:val="none"/>
        </w:rPr>
        <w:t>3）</w:t>
      </w:r>
      <w:r>
        <w:rPr>
          <w:rFonts w:ascii="Wingdings" w:hAnsi="Wingdings" w:cs="Arial"/>
          <w:szCs w:val="21"/>
          <w:highlight w:val="none"/>
        </w:rPr>
        <w:t>病理数据重构管理</w:t>
      </w:r>
      <w:r>
        <w:rPr>
          <w:rFonts w:hint="eastAsia" w:ascii="Wingdings" w:hAnsi="Wingdings" w:cs="Arial"/>
          <w:szCs w:val="21"/>
          <w:highlight w:val="none"/>
        </w:rPr>
        <w:t>：包括以患者个体维度的数据组织、以病种维度的数据集组织、多模态病理数据多维探查。</w:t>
      </w:r>
    </w:p>
    <w:p w14:paraId="1B866D22">
      <w:pPr>
        <w:pStyle w:val="78"/>
        <w:numPr>
          <w:ilvl w:val="0"/>
          <w:numId w:val="6"/>
        </w:numPr>
        <w:adjustRightInd w:val="0"/>
        <w:snapToGrid w:val="0"/>
        <w:spacing w:after="0" w:line="360" w:lineRule="auto"/>
        <w:ind w:firstLineChars="0"/>
        <w:rPr>
          <w:rFonts w:hint="eastAsia" w:ascii="宋体" w:hAnsi="宋体" w:cs="Arial"/>
          <w:szCs w:val="21"/>
          <w:highlight w:val="none"/>
        </w:rPr>
      </w:pPr>
      <w:r>
        <w:rPr>
          <w:rFonts w:hint="eastAsia" w:ascii="Wingdings" w:hAnsi="Wingdings" w:cs="Arial"/>
          <w:szCs w:val="21"/>
          <w:highlight w:val="none"/>
        </w:rPr>
        <w:t>以患者个体维度的数据组织：提供以患者个体维度的数据组织；</w:t>
      </w:r>
    </w:p>
    <w:p w14:paraId="0E7758B2">
      <w:pPr>
        <w:pStyle w:val="78"/>
        <w:numPr>
          <w:ilvl w:val="0"/>
          <w:numId w:val="6"/>
        </w:numPr>
        <w:adjustRightInd w:val="0"/>
        <w:snapToGrid w:val="0"/>
        <w:spacing w:after="0" w:line="360" w:lineRule="auto"/>
        <w:ind w:firstLineChars="0"/>
        <w:rPr>
          <w:rFonts w:hint="eastAsia" w:ascii="宋体" w:hAnsi="宋体" w:cs="Arial"/>
          <w:szCs w:val="21"/>
          <w:highlight w:val="none"/>
        </w:rPr>
      </w:pPr>
      <w:r>
        <w:rPr>
          <w:rFonts w:hint="eastAsia" w:ascii="Wingdings" w:hAnsi="Wingdings" w:cs="Arial"/>
          <w:szCs w:val="21"/>
          <w:highlight w:val="none"/>
        </w:rPr>
        <w:t>以病种维度的数据集组织：包括面向专病的病理标签生成、数据集样例生成及快速预览、病种专题数据子集生成；</w:t>
      </w:r>
    </w:p>
    <w:p w14:paraId="67E62CB2">
      <w:pPr>
        <w:pStyle w:val="78"/>
        <w:widowControl/>
        <w:numPr>
          <w:ilvl w:val="0"/>
          <w:numId w:val="6"/>
        </w:numPr>
        <w:adjustRightInd w:val="0"/>
        <w:snapToGrid w:val="0"/>
        <w:spacing w:after="0" w:line="360" w:lineRule="auto"/>
        <w:ind w:firstLineChars="0"/>
        <w:jc w:val="left"/>
        <w:rPr>
          <w:rFonts w:hint="eastAsia" w:ascii="宋体" w:hAnsi="宋体" w:cs="Arial"/>
          <w:szCs w:val="21"/>
          <w:highlight w:val="none"/>
        </w:rPr>
      </w:pPr>
      <w:r>
        <w:rPr>
          <w:rFonts w:hint="eastAsia" w:ascii="Wingdings" w:hAnsi="Wingdings" w:cs="Arial"/>
          <w:szCs w:val="21"/>
          <w:highlight w:val="none"/>
        </w:rPr>
        <w:t>多模态病理数据多维探查：构建基于统一主索引和多维标签结构的多条件数据探查功能</w:t>
      </w:r>
      <w:r>
        <w:rPr>
          <w:rFonts w:hint="eastAsia" w:ascii="宋体" w:hAnsi="宋体" w:cs="Arial"/>
          <w:szCs w:val="21"/>
          <w:highlight w:val="none"/>
        </w:rPr>
        <w:t>。</w:t>
      </w:r>
    </w:p>
    <w:p w14:paraId="7A59F38C">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3、高质量病理图书馆：包括典型数字切片库、多模态病理图书馆智能检索。</w:t>
      </w:r>
    </w:p>
    <w:p w14:paraId="5D74CADF">
      <w:pPr>
        <w:widowControl/>
        <w:snapToGrid w:val="0"/>
        <w:spacing w:line="360" w:lineRule="auto"/>
        <w:ind w:firstLine="420" w:firstLineChars="200"/>
        <w:jc w:val="left"/>
        <w:rPr>
          <w:rFonts w:hint="eastAsia" w:ascii="宋体" w:hAnsi="宋体" w:cs="Arial"/>
          <w:szCs w:val="21"/>
          <w:highlight w:val="none"/>
        </w:rPr>
      </w:pPr>
      <w:r>
        <w:rPr>
          <w:rFonts w:hint="eastAsia" w:ascii="宋体" w:hAnsi="宋体" w:cs="Arial"/>
          <w:szCs w:val="21"/>
          <w:highlight w:val="none"/>
        </w:rPr>
        <w:t>1）</w:t>
      </w:r>
      <w:r>
        <w:rPr>
          <w:rFonts w:ascii="Wingdings" w:hAnsi="Wingdings" w:cs="Arial"/>
          <w:szCs w:val="21"/>
          <w:highlight w:val="none"/>
        </w:rPr>
        <w:t>典型数字切片库</w:t>
      </w:r>
      <w:r>
        <w:rPr>
          <w:rFonts w:hint="eastAsia" w:ascii="Wingdings" w:hAnsi="Wingdings" w:cs="Arial"/>
          <w:szCs w:val="21"/>
          <w:highlight w:val="none"/>
        </w:rPr>
        <w:t>：提供归档配置管理、亚专科典型病理数据归档、典型切片预处理标准化、典型切片全尺寸图像转指定尺寸切图、典型切片质量程度综合评分、归档数据评估审核、归档数据入库登记</w:t>
      </w:r>
      <w:r>
        <w:rPr>
          <w:rFonts w:hint="eastAsia" w:ascii="宋体" w:hAnsi="宋体" w:cs="Arial"/>
          <w:szCs w:val="21"/>
          <w:highlight w:val="none"/>
        </w:rPr>
        <w:t>。</w:t>
      </w:r>
    </w:p>
    <w:p w14:paraId="4FC08D2C">
      <w:pPr>
        <w:pStyle w:val="78"/>
        <w:widowControl/>
        <w:numPr>
          <w:ilvl w:val="0"/>
          <w:numId w:val="7"/>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归档配置管理：构建典型数据归档模版，实现不同专病下精细化数据项的标准化配置。</w:t>
      </w:r>
    </w:p>
    <w:p w14:paraId="546357C3">
      <w:pPr>
        <w:pStyle w:val="78"/>
        <w:widowControl/>
        <w:numPr>
          <w:ilvl w:val="0"/>
          <w:numId w:val="7"/>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亚专科典型病理数据归档：构建亚专科典型病理数据归档功能，从已有的原始数据中，通过算法找出“典型”亚专科数据样本，归入典型切片库。</w:t>
      </w:r>
    </w:p>
    <w:p w14:paraId="6DE2D307">
      <w:pPr>
        <w:pStyle w:val="78"/>
        <w:widowControl/>
        <w:numPr>
          <w:ilvl w:val="0"/>
          <w:numId w:val="7"/>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典型切片预处理标准化：包括切片组织区域提取、切片图像角标去除、切片无效背景剔除、切片组织碎片剔除。</w:t>
      </w:r>
    </w:p>
    <w:p w14:paraId="29517D8C">
      <w:pPr>
        <w:pStyle w:val="78"/>
        <w:widowControl/>
        <w:numPr>
          <w:ilvl w:val="0"/>
          <w:numId w:val="7"/>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典型切片全尺寸图像转指定尺寸切图：对“典型”切片进行图像分割处理。将全尺寸数字病理图像切片进行标准化切图，生成结构化图像子块，并附带空间位置信息，支持高效数据调用。</w:t>
      </w:r>
    </w:p>
    <w:p w14:paraId="6267D8DE">
      <w:pPr>
        <w:pStyle w:val="78"/>
        <w:widowControl/>
        <w:numPr>
          <w:ilvl w:val="0"/>
          <w:numId w:val="7"/>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典型切片质量程度综合评分：构建典型切片内容质量程度综合评分功能，实现对需归档“典型”数据中病理切片的多维评分与优选。</w:t>
      </w:r>
    </w:p>
    <w:p w14:paraId="037A62CB">
      <w:pPr>
        <w:pStyle w:val="78"/>
        <w:widowControl/>
        <w:numPr>
          <w:ilvl w:val="0"/>
          <w:numId w:val="7"/>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归档数据评估审核：构建辅助评估审核工具，支持专业人员综合评判数据是否满足归档入库要求。</w:t>
      </w:r>
    </w:p>
    <w:p w14:paraId="6ACA1FEF">
      <w:pPr>
        <w:pStyle w:val="78"/>
        <w:widowControl/>
        <w:numPr>
          <w:ilvl w:val="0"/>
          <w:numId w:val="7"/>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归档数据入库登记：定义面向数字切片的入库信息标准，涵盖关键属性，完成对“典型”病理切片数据的规范化登记。</w:t>
      </w:r>
    </w:p>
    <w:p w14:paraId="2D9BA39B">
      <w:pPr>
        <w:widowControl/>
        <w:snapToGrid w:val="0"/>
        <w:spacing w:line="360" w:lineRule="auto"/>
        <w:ind w:firstLine="420" w:firstLineChars="200"/>
        <w:jc w:val="left"/>
        <w:rPr>
          <w:rFonts w:hint="eastAsia" w:ascii="宋体" w:hAnsi="宋体" w:cs="Arial"/>
          <w:szCs w:val="21"/>
          <w:highlight w:val="none"/>
        </w:rPr>
      </w:pPr>
      <w:r>
        <w:rPr>
          <w:rFonts w:hint="eastAsia" w:ascii="宋体" w:hAnsi="宋体" w:cs="Arial"/>
          <w:szCs w:val="21"/>
          <w:highlight w:val="none"/>
        </w:rPr>
        <w:t>2）</w:t>
      </w:r>
      <w:r>
        <w:rPr>
          <w:rFonts w:ascii="Wingdings" w:hAnsi="Wingdings" w:cs="Arial"/>
          <w:szCs w:val="21"/>
          <w:highlight w:val="none"/>
        </w:rPr>
        <w:t>多模态病理图书馆智能检索</w:t>
      </w:r>
      <w:r>
        <w:rPr>
          <w:rFonts w:hint="eastAsia" w:ascii="Wingdings" w:hAnsi="Wingdings" w:cs="Arial"/>
          <w:szCs w:val="21"/>
          <w:highlight w:val="none"/>
        </w:rPr>
        <w:t>：包括多模态病理数据特征预处理、病理数据多模态特征匹配计算、多模态病理数据检索比对</w:t>
      </w:r>
      <w:r>
        <w:rPr>
          <w:rFonts w:hint="eastAsia" w:ascii="宋体" w:hAnsi="宋体" w:cs="Arial"/>
          <w:szCs w:val="21"/>
          <w:highlight w:val="none"/>
        </w:rPr>
        <w:t>。</w:t>
      </w:r>
    </w:p>
    <w:p w14:paraId="42B5AB37">
      <w:pPr>
        <w:pStyle w:val="78"/>
        <w:widowControl/>
        <w:numPr>
          <w:ilvl w:val="0"/>
          <w:numId w:val="8"/>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多模态病理数据特征预处理：实现多源病理数据的统一表征建模，形成可支持高效匹配与检索的嵌入空间。基于多模态病理数据特征，构建特征嵌入向量库。</w:t>
      </w:r>
    </w:p>
    <w:p w14:paraId="3CA8A627">
      <w:pPr>
        <w:pStyle w:val="78"/>
        <w:widowControl/>
        <w:numPr>
          <w:ilvl w:val="0"/>
          <w:numId w:val="8"/>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病理数据多模态特征匹配计算：构建多模态病理数据特征匹配计算方法，实现跨模态病理数据特征比对与相似度精准计算。</w:t>
      </w:r>
    </w:p>
    <w:p w14:paraId="61A86C0E">
      <w:pPr>
        <w:pStyle w:val="78"/>
        <w:widowControl/>
        <w:numPr>
          <w:ilvl w:val="0"/>
          <w:numId w:val="8"/>
        </w:numPr>
        <w:adjustRightInd w:val="0"/>
        <w:snapToGrid w:val="0"/>
        <w:spacing w:after="0" w:line="360" w:lineRule="auto"/>
        <w:ind w:firstLineChars="0"/>
        <w:jc w:val="left"/>
        <w:rPr>
          <w:rFonts w:hint="eastAsia" w:ascii="宋体" w:hAnsi="宋体" w:cs="Arial"/>
          <w:szCs w:val="21"/>
          <w:highlight w:val="none"/>
        </w:rPr>
      </w:pPr>
      <w:r>
        <w:rPr>
          <w:rFonts w:hint="eastAsia" w:ascii="Wingdings" w:hAnsi="Wingdings" w:cs="Arial"/>
          <w:szCs w:val="21"/>
          <w:highlight w:val="none"/>
        </w:rPr>
        <w:t>多模态病理数据检索比对：构建多模态组合条件的病理数据智能查询检索比对服务。</w:t>
      </w:r>
    </w:p>
    <w:p w14:paraId="48D9739F">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4、病理数据服务：</w:t>
      </w:r>
    </w:p>
    <w:p w14:paraId="5624AACD">
      <w:pPr>
        <w:widowControl/>
        <w:snapToGrid w:val="0"/>
        <w:spacing w:line="360" w:lineRule="auto"/>
        <w:ind w:firstLine="420" w:firstLineChars="200"/>
        <w:jc w:val="left"/>
        <w:rPr>
          <w:rFonts w:hint="eastAsia" w:ascii="Wingdings" w:hAnsi="Wingdings" w:cs="Arial"/>
          <w:szCs w:val="21"/>
          <w:highlight w:val="none"/>
        </w:rPr>
      </w:pPr>
      <w:r>
        <w:rPr>
          <w:rFonts w:hint="eastAsia" w:ascii="宋体" w:hAnsi="宋体" w:cs="Arial"/>
          <w:szCs w:val="21"/>
          <w:highlight w:val="none"/>
        </w:rPr>
        <w:t>1）</w:t>
      </w:r>
      <w:r>
        <w:rPr>
          <w:rFonts w:ascii="Wingdings" w:hAnsi="Wingdings" w:cs="Arial"/>
          <w:szCs w:val="21"/>
          <w:highlight w:val="none"/>
        </w:rPr>
        <w:t>数据接口管理</w:t>
      </w:r>
      <w:r>
        <w:rPr>
          <w:rFonts w:hint="eastAsia" w:ascii="Wingdings" w:hAnsi="Wingdings" w:cs="Arial"/>
          <w:szCs w:val="21"/>
          <w:highlight w:val="none"/>
        </w:rPr>
        <w:t>：包括服务接口封装与管理、接口调用监控与日志、接口访问控制等模块。</w:t>
      </w:r>
    </w:p>
    <w:p w14:paraId="4A09807F">
      <w:pPr>
        <w:pStyle w:val="78"/>
        <w:widowControl/>
        <w:numPr>
          <w:ilvl w:val="0"/>
          <w:numId w:val="9"/>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服务接口封装与管理：支持开放</w:t>
      </w:r>
      <w:r>
        <w:rPr>
          <w:rFonts w:hint="eastAsia" w:ascii="宋体" w:hAnsi="宋体" w:cs="Arial"/>
          <w:szCs w:val="21"/>
          <w:highlight w:val="none"/>
        </w:rPr>
        <w:t>API</w:t>
      </w:r>
      <w:r>
        <w:rPr>
          <w:rFonts w:hint="eastAsia" w:ascii="Wingdings" w:hAnsi="Wingdings" w:cs="Arial"/>
          <w:szCs w:val="21"/>
          <w:highlight w:val="none"/>
        </w:rPr>
        <w:t>接口统一注册、封装与集中管理；</w:t>
      </w:r>
    </w:p>
    <w:p w14:paraId="41087F77">
      <w:pPr>
        <w:pStyle w:val="78"/>
        <w:widowControl/>
        <w:numPr>
          <w:ilvl w:val="0"/>
          <w:numId w:val="9"/>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接口调用监控与日志：提供对接口调用行为进行全链路日志采集、实时监控及异常告警；</w:t>
      </w:r>
    </w:p>
    <w:p w14:paraId="40E737E1">
      <w:pPr>
        <w:pStyle w:val="78"/>
        <w:widowControl/>
        <w:numPr>
          <w:ilvl w:val="0"/>
          <w:numId w:val="9"/>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接口访问控制：支持配置访问策略与身份验证。</w:t>
      </w:r>
    </w:p>
    <w:p w14:paraId="66E1F943">
      <w:pPr>
        <w:widowControl/>
        <w:snapToGrid w:val="0"/>
        <w:spacing w:line="360" w:lineRule="auto"/>
        <w:ind w:firstLine="420" w:firstLineChars="200"/>
        <w:jc w:val="left"/>
        <w:rPr>
          <w:rFonts w:hint="eastAsia" w:ascii="宋体" w:hAnsi="宋体" w:cs="Arial"/>
          <w:szCs w:val="21"/>
          <w:highlight w:val="none"/>
        </w:rPr>
      </w:pPr>
      <w:r>
        <w:rPr>
          <w:rFonts w:hint="eastAsia" w:ascii="宋体" w:hAnsi="宋体" w:cs="Arial"/>
          <w:szCs w:val="21"/>
          <w:highlight w:val="none"/>
        </w:rPr>
        <w:t>2）</w:t>
      </w:r>
      <w:r>
        <w:rPr>
          <w:rFonts w:ascii="Wingdings" w:hAnsi="Wingdings" w:cs="Arial"/>
          <w:szCs w:val="21"/>
          <w:highlight w:val="none"/>
        </w:rPr>
        <w:t>数据集批量服务</w:t>
      </w:r>
      <w:r>
        <w:rPr>
          <w:rFonts w:hint="eastAsia" w:ascii="Wingdings" w:hAnsi="Wingdings" w:cs="Arial"/>
          <w:szCs w:val="21"/>
          <w:highlight w:val="none"/>
        </w:rPr>
        <w:t>：包括数据筛选与抽取规则、数据集批量导出、数据集服务申请与审核</w:t>
      </w:r>
      <w:r>
        <w:rPr>
          <w:rFonts w:hint="eastAsia" w:ascii="宋体" w:hAnsi="宋体" w:cs="Arial"/>
          <w:szCs w:val="21"/>
          <w:highlight w:val="none"/>
        </w:rPr>
        <w:t>。</w:t>
      </w:r>
    </w:p>
    <w:p w14:paraId="3DCC950C">
      <w:pPr>
        <w:pStyle w:val="78"/>
        <w:widowControl/>
        <w:numPr>
          <w:ilvl w:val="0"/>
          <w:numId w:val="10"/>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数据筛选与抽取规则：构建标准化数据筛选与抽取算法，支持多条件联合过滤与任务式提取，具备结构对齐与映射能力，统一筛选逻辑，保障多源数据库间的泛化执行。</w:t>
      </w:r>
    </w:p>
    <w:p w14:paraId="3F7BEAA7">
      <w:pPr>
        <w:pStyle w:val="78"/>
        <w:widowControl/>
        <w:numPr>
          <w:ilvl w:val="0"/>
          <w:numId w:val="10"/>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数据集批量导出：支持对可导出数据范围进行控制，支持按条件筛选提取数据。</w:t>
      </w:r>
    </w:p>
    <w:p w14:paraId="00CDCB2B">
      <w:pPr>
        <w:pStyle w:val="78"/>
        <w:widowControl/>
        <w:numPr>
          <w:ilvl w:val="0"/>
          <w:numId w:val="10"/>
        </w:numPr>
        <w:adjustRightInd w:val="0"/>
        <w:snapToGrid w:val="0"/>
        <w:spacing w:after="0" w:line="360" w:lineRule="auto"/>
        <w:ind w:firstLineChars="0"/>
        <w:jc w:val="left"/>
        <w:rPr>
          <w:rFonts w:hint="eastAsia" w:ascii="Wingdings" w:hAnsi="Wingdings" w:cs="Arial"/>
          <w:szCs w:val="21"/>
          <w:highlight w:val="none"/>
        </w:rPr>
      </w:pPr>
      <w:r>
        <w:rPr>
          <w:rFonts w:hint="eastAsia" w:ascii="Wingdings" w:hAnsi="Wingdings" w:cs="Arial"/>
          <w:szCs w:val="21"/>
          <w:highlight w:val="none"/>
        </w:rPr>
        <w:t>数据集服务申请与审核：通过提交数据需求说明，在通过审核通过后进行数据有序、安全交付与使用。</w:t>
      </w:r>
    </w:p>
    <w:p w14:paraId="0666D138">
      <w:pPr>
        <w:widowControl/>
        <w:snapToGrid w:val="0"/>
        <w:spacing w:line="360" w:lineRule="auto"/>
        <w:ind w:firstLine="420" w:firstLineChars="200"/>
        <w:jc w:val="left"/>
        <w:rPr>
          <w:rFonts w:hint="eastAsia" w:ascii="宋体" w:hAnsi="宋体" w:cs="Arial"/>
          <w:b/>
          <w:szCs w:val="21"/>
          <w:highlight w:val="none"/>
        </w:rPr>
      </w:pPr>
      <w:r>
        <w:rPr>
          <w:rFonts w:hint="eastAsia" w:ascii="宋体" w:hAnsi="宋体" w:cs="Arial"/>
          <w:szCs w:val="21"/>
          <w:highlight w:val="none"/>
        </w:rPr>
        <w:t>3）</w:t>
      </w:r>
      <w:r>
        <w:rPr>
          <w:rFonts w:ascii="Wingdings" w:hAnsi="Wingdings" w:cs="Arial"/>
          <w:szCs w:val="21"/>
          <w:highlight w:val="none"/>
        </w:rPr>
        <w:t>多层级角色权限控制</w:t>
      </w:r>
      <w:r>
        <w:rPr>
          <w:rFonts w:hint="eastAsia" w:ascii="Wingdings" w:hAnsi="Wingdings" w:cs="Arial"/>
          <w:szCs w:val="21"/>
          <w:highlight w:val="none"/>
        </w:rPr>
        <w:t>：</w:t>
      </w:r>
      <w:r>
        <w:rPr>
          <w:rFonts w:hint="eastAsia" w:ascii="宋体" w:hAnsi="宋体" w:cs="Arial"/>
          <w:szCs w:val="21"/>
          <w:highlight w:val="none"/>
        </w:rPr>
        <w:t>提供多层级角色权限控制。</w:t>
      </w:r>
    </w:p>
    <w:p w14:paraId="1EDAAAEF">
      <w:pPr>
        <w:pStyle w:val="4"/>
        <w:numPr>
          <w:ilvl w:val="0"/>
          <w:numId w:val="3"/>
        </w:numPr>
        <w:adjustRightInd w:val="0"/>
        <w:snapToGrid w:val="0"/>
        <w:spacing w:before="0" w:after="0"/>
        <w:rPr>
          <w:rFonts w:hint="eastAsia" w:ascii="宋体" w:hAnsi="宋体" w:eastAsia="宋体"/>
          <w:b/>
          <w:sz w:val="21"/>
          <w:szCs w:val="21"/>
          <w:highlight w:val="none"/>
        </w:rPr>
      </w:pPr>
      <w:r>
        <w:rPr>
          <w:rFonts w:hint="eastAsia" w:ascii="宋体" w:hAnsi="宋体" w:eastAsia="宋体"/>
          <w:b/>
          <w:sz w:val="21"/>
          <w:szCs w:val="21"/>
          <w:highlight w:val="none"/>
        </w:rPr>
        <w:t>数智病理综合运营管理</w:t>
      </w:r>
    </w:p>
    <w:p w14:paraId="50543E9A">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lang w:val="en-US" w:eastAsia="zh-CN"/>
        </w:rPr>
        <w:t>围绕病理数据的采集展示、质控跟踪、使用分析</w:t>
      </w:r>
      <w:r>
        <w:rPr>
          <w:rFonts w:hint="eastAsia" w:ascii="宋体" w:hAnsi="宋体" w:cs="Arial"/>
          <w:szCs w:val="21"/>
          <w:highlight w:val="none"/>
        </w:rPr>
        <w:t>等</w:t>
      </w:r>
      <w:r>
        <w:rPr>
          <w:rFonts w:hint="eastAsia" w:ascii="宋体" w:hAnsi="宋体" w:cs="Arial"/>
          <w:szCs w:val="21"/>
          <w:highlight w:val="none"/>
          <w:lang w:val="en-US" w:eastAsia="zh-CN"/>
        </w:rPr>
        <w:t>业务需求，</w:t>
      </w:r>
      <w:r>
        <w:rPr>
          <w:rFonts w:hint="eastAsia" w:ascii="宋体" w:hAnsi="宋体" w:cs="Arial"/>
          <w:szCs w:val="21"/>
          <w:highlight w:val="none"/>
        </w:rPr>
        <w:t>建设病理综合运营管理</w:t>
      </w:r>
      <w:r>
        <w:rPr>
          <w:rFonts w:hint="eastAsia" w:ascii="宋体" w:hAnsi="宋体" w:cs="Arial"/>
          <w:szCs w:val="21"/>
          <w:highlight w:val="none"/>
          <w:lang w:val="en-US" w:eastAsia="zh-CN"/>
        </w:rPr>
        <w:t>模块</w:t>
      </w:r>
      <w:r>
        <w:rPr>
          <w:rFonts w:hint="eastAsia" w:ascii="宋体" w:hAnsi="宋体" w:cs="Arial"/>
          <w:szCs w:val="21"/>
          <w:highlight w:val="none"/>
        </w:rPr>
        <w:t>，</w:t>
      </w:r>
      <w:r>
        <w:rPr>
          <w:rFonts w:hint="eastAsia" w:ascii="宋体" w:hAnsi="宋体" w:cs="Arial"/>
          <w:szCs w:val="21"/>
          <w:highlight w:val="none"/>
          <w:lang w:val="en-US" w:eastAsia="zh-CN"/>
        </w:rPr>
        <w:t>动态掌握</w:t>
      </w:r>
      <w:r>
        <w:rPr>
          <w:rFonts w:hint="eastAsia" w:ascii="宋体" w:hAnsi="宋体" w:cs="Arial"/>
          <w:szCs w:val="21"/>
          <w:highlight w:val="none"/>
        </w:rPr>
        <w:t>五家试点市级医院</w:t>
      </w:r>
      <w:r>
        <w:rPr>
          <w:rFonts w:hint="eastAsia" w:ascii="宋体" w:hAnsi="宋体" w:cs="Arial"/>
          <w:szCs w:val="21"/>
          <w:highlight w:val="none"/>
          <w:lang w:val="en-US" w:eastAsia="zh-CN"/>
        </w:rPr>
        <w:t>端</w:t>
      </w:r>
      <w:r>
        <w:rPr>
          <w:rFonts w:hint="eastAsia" w:ascii="宋体" w:hAnsi="宋体" w:cs="Arial"/>
          <w:szCs w:val="21"/>
          <w:highlight w:val="none"/>
        </w:rPr>
        <w:t>病理</w:t>
      </w:r>
      <w:r>
        <w:rPr>
          <w:rFonts w:hint="eastAsia" w:ascii="宋体" w:hAnsi="宋体" w:cs="Arial"/>
          <w:szCs w:val="21"/>
          <w:highlight w:val="none"/>
          <w:lang w:val="en-US" w:eastAsia="zh-CN"/>
        </w:rPr>
        <w:t>数据共享使用情况，为中心端科学决策提供数据支撑</w:t>
      </w:r>
      <w:r>
        <w:rPr>
          <w:rFonts w:hint="eastAsia" w:ascii="宋体" w:hAnsi="宋体" w:cs="Arial"/>
          <w:szCs w:val="21"/>
          <w:highlight w:val="none"/>
        </w:rPr>
        <w:t>。</w:t>
      </w:r>
    </w:p>
    <w:p w14:paraId="6370BE98">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1、数据展示与分析</w:t>
      </w:r>
    </w:p>
    <w:p w14:paraId="00E99460">
      <w:pPr>
        <w:widowControl/>
        <w:adjustRightInd w:val="0"/>
        <w:snapToGrid w:val="0"/>
        <w:spacing w:line="360" w:lineRule="auto"/>
        <w:ind w:firstLine="420" w:firstLineChars="200"/>
        <w:jc w:val="left"/>
        <w:rPr>
          <w:rFonts w:hint="eastAsia" w:ascii="宋体" w:hAnsi="宋体" w:cs="Arial"/>
          <w:szCs w:val="21"/>
          <w:highlight w:val="none"/>
        </w:rPr>
      </w:pPr>
      <w:r>
        <w:rPr>
          <w:rFonts w:hint="eastAsia" w:ascii="宋体" w:hAnsi="宋体" w:cs="Arial"/>
          <w:szCs w:val="21"/>
          <w:highlight w:val="none"/>
        </w:rPr>
        <w:t>1）采集数据总量展示：包括数据总量状态展示、数据增长趋势预测、病种分布机构热力图、检查项目分布机构热力图。</w:t>
      </w:r>
    </w:p>
    <w:p w14:paraId="30BB2964">
      <w:pPr>
        <w:pStyle w:val="78"/>
        <w:numPr>
          <w:ilvl w:val="0"/>
          <w:numId w:val="11"/>
        </w:numPr>
        <w:adjustRightInd w:val="0"/>
        <w:snapToGrid w:val="0"/>
        <w:spacing w:after="0" w:line="360" w:lineRule="auto"/>
        <w:ind w:firstLineChars="0"/>
        <w:rPr>
          <w:rFonts w:hint="eastAsia" w:ascii="宋体" w:hAnsi="宋体" w:cs="Arial"/>
          <w:szCs w:val="21"/>
          <w:highlight w:val="none"/>
        </w:rPr>
      </w:pPr>
      <w:r>
        <w:rPr>
          <w:rFonts w:hint="eastAsia" w:ascii="宋体" w:hAnsi="宋体" w:cs="Arial"/>
          <w:szCs w:val="21"/>
          <w:highlight w:val="none"/>
        </w:rPr>
        <w:t>数据总量状态展示：汇总五家试点市级医院上报的病理数据情况，实时展示病理数据上报流转状态。</w:t>
      </w:r>
    </w:p>
    <w:p w14:paraId="0BCCF8D1">
      <w:pPr>
        <w:pStyle w:val="78"/>
        <w:numPr>
          <w:ilvl w:val="0"/>
          <w:numId w:val="11"/>
        </w:numPr>
        <w:adjustRightInd w:val="0"/>
        <w:snapToGrid w:val="0"/>
        <w:spacing w:after="0" w:line="360" w:lineRule="auto"/>
        <w:ind w:firstLineChars="0"/>
        <w:rPr>
          <w:rFonts w:hint="eastAsia" w:ascii="宋体" w:hAnsi="宋体" w:cs="Arial"/>
          <w:szCs w:val="21"/>
          <w:highlight w:val="none"/>
        </w:rPr>
      </w:pPr>
      <w:r>
        <w:rPr>
          <w:rFonts w:hint="eastAsia" w:ascii="宋体" w:hAnsi="宋体" w:cs="Arial"/>
          <w:szCs w:val="21"/>
          <w:highlight w:val="none"/>
        </w:rPr>
        <w:t>数据增长趋势预测：基于历史数据建模，预测未来一周或一月的总数据量增长趋势，并以曲线图形式展示。</w:t>
      </w:r>
    </w:p>
    <w:p w14:paraId="615942B3">
      <w:pPr>
        <w:pStyle w:val="78"/>
        <w:numPr>
          <w:ilvl w:val="0"/>
          <w:numId w:val="11"/>
        </w:numPr>
        <w:adjustRightInd w:val="0"/>
        <w:snapToGrid w:val="0"/>
        <w:spacing w:after="0" w:line="360" w:lineRule="auto"/>
        <w:ind w:firstLineChars="0"/>
        <w:rPr>
          <w:rFonts w:hint="eastAsia" w:ascii="宋体" w:hAnsi="宋体" w:cs="Arial"/>
          <w:szCs w:val="21"/>
          <w:highlight w:val="none"/>
        </w:rPr>
      </w:pPr>
      <w:r>
        <w:rPr>
          <w:rFonts w:hint="eastAsia" w:ascii="宋体" w:hAnsi="宋体" w:cs="Arial"/>
          <w:szCs w:val="21"/>
          <w:highlight w:val="none"/>
        </w:rPr>
        <w:t>病种分布机构热力图：基于静态地图展示五家试点市级医院病种分布。</w:t>
      </w:r>
    </w:p>
    <w:p w14:paraId="15A6A724">
      <w:pPr>
        <w:pStyle w:val="78"/>
        <w:numPr>
          <w:ilvl w:val="0"/>
          <w:numId w:val="11"/>
        </w:numPr>
        <w:adjustRightInd w:val="0"/>
        <w:snapToGrid w:val="0"/>
        <w:spacing w:after="0" w:line="360" w:lineRule="auto"/>
        <w:ind w:firstLineChars="0"/>
        <w:rPr>
          <w:rFonts w:hint="eastAsia" w:ascii="宋体" w:hAnsi="宋体" w:cs="Arial"/>
          <w:szCs w:val="21"/>
          <w:highlight w:val="none"/>
        </w:rPr>
      </w:pPr>
      <w:r>
        <w:rPr>
          <w:rFonts w:hint="eastAsia" w:ascii="宋体" w:hAnsi="宋体" w:cs="Arial"/>
          <w:szCs w:val="21"/>
          <w:highlight w:val="none"/>
        </w:rPr>
        <w:t>检查项目分布机构热力图：基于静态地图展示五家试点市级医院检查项目分布。</w:t>
      </w:r>
    </w:p>
    <w:p w14:paraId="6D25D033">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2）数据质控展示：包括数据质量状态展示、质控整改进度跟踪。</w:t>
      </w:r>
    </w:p>
    <w:p w14:paraId="4BAF35EC">
      <w:pPr>
        <w:pStyle w:val="78"/>
        <w:numPr>
          <w:ilvl w:val="0"/>
          <w:numId w:val="12"/>
        </w:numPr>
        <w:adjustRightInd w:val="0"/>
        <w:snapToGrid w:val="0"/>
        <w:spacing w:after="0" w:line="360" w:lineRule="auto"/>
        <w:ind w:firstLineChars="0"/>
        <w:rPr>
          <w:rFonts w:hint="eastAsia" w:ascii="宋体" w:hAnsi="宋体" w:cs="Arial"/>
          <w:szCs w:val="21"/>
          <w:highlight w:val="none"/>
        </w:rPr>
      </w:pPr>
      <w:r>
        <w:rPr>
          <w:rFonts w:hint="eastAsia" w:ascii="宋体" w:hAnsi="宋体" w:cs="Arial"/>
          <w:szCs w:val="21"/>
          <w:highlight w:val="none"/>
        </w:rPr>
        <w:t>数据质量状态展示：汇总数据质控问题状态、质控达标率，实时展示，给出告警。</w:t>
      </w:r>
    </w:p>
    <w:p w14:paraId="4EC53165">
      <w:pPr>
        <w:pStyle w:val="78"/>
        <w:numPr>
          <w:ilvl w:val="0"/>
          <w:numId w:val="12"/>
        </w:numPr>
        <w:adjustRightInd w:val="0"/>
        <w:snapToGrid w:val="0"/>
        <w:spacing w:after="0" w:line="360" w:lineRule="auto"/>
        <w:ind w:firstLineChars="0"/>
        <w:rPr>
          <w:rFonts w:hint="eastAsia" w:ascii="宋体" w:hAnsi="宋体" w:cs="Arial"/>
          <w:szCs w:val="21"/>
          <w:highlight w:val="none"/>
        </w:rPr>
      </w:pPr>
      <w:r>
        <w:rPr>
          <w:rFonts w:hint="eastAsia" w:ascii="宋体" w:hAnsi="宋体" w:cs="Arial"/>
          <w:szCs w:val="21"/>
          <w:highlight w:val="none"/>
        </w:rPr>
        <w:t>质控整改进度跟踪：统计数据质量问题的整改完成情况，并关联未完成任务的详细清单。</w:t>
      </w:r>
    </w:p>
    <w:p w14:paraId="4BE2627A">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3）服务使用展示：汇总各外部应用调阅数据服务的情况，实时展示五家试点市级医院病理图像调阅流转状态。</w:t>
      </w:r>
    </w:p>
    <w:p w14:paraId="46E8CB5F">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4）数据归档统计分析：提供多条件组合查询模块，实现对病理数据归档情况的统计。</w:t>
      </w:r>
    </w:p>
    <w:p w14:paraId="6BCEC850">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5）数据校对统计：提供详细的数据校对统计数据。</w:t>
      </w:r>
    </w:p>
    <w:p w14:paraId="76E785DE">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6）数据上传时效性统计：监测分析五家试点市级医院病理数据上传及时性，以图表或报表形式呈现。</w:t>
      </w:r>
    </w:p>
    <w:p w14:paraId="2B078990">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7）数据匹配统计：自动计算病理图像和病理报告的关联率。</w:t>
      </w:r>
    </w:p>
    <w:p w14:paraId="5B353326">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8）用户统计分析：展示用户的活跃度。</w:t>
      </w:r>
    </w:p>
    <w:p w14:paraId="22F830D8">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9）调阅统计分析：展示调阅情况。</w:t>
      </w:r>
    </w:p>
    <w:p w14:paraId="2676817F">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10）图像操作统计分析：记录用户对病理图像的操作情况。</w:t>
      </w:r>
    </w:p>
    <w:p w14:paraId="60599444">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2、系统监控：包括服务监控和服务监控结果展示等模块。</w:t>
      </w:r>
    </w:p>
    <w:p w14:paraId="1593D3E1">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1）服务监控：对应用服务的活动状态进行监控并详细记录监控结果，若发生故障及时提醒运维人员排障；</w:t>
      </w:r>
    </w:p>
    <w:p w14:paraId="2B52B35D">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2）服务监控结果展示：汇总各应用服务监控结果，展示应用服务故障记录，并提供统计功能。</w:t>
      </w:r>
    </w:p>
    <w:p w14:paraId="0AAEF41D">
      <w:pPr>
        <w:pStyle w:val="78"/>
        <w:adjustRightInd w:val="0"/>
        <w:snapToGrid w:val="0"/>
        <w:spacing w:after="0" w:line="360" w:lineRule="auto"/>
        <w:rPr>
          <w:rFonts w:hint="eastAsia" w:ascii="宋体" w:hAnsi="宋体" w:cs="Arial"/>
          <w:b/>
          <w:szCs w:val="21"/>
          <w:highlight w:val="none"/>
        </w:rPr>
      </w:pPr>
      <w:r>
        <w:rPr>
          <w:rFonts w:hint="eastAsia" w:ascii="宋体" w:hAnsi="宋体" w:cs="Arial"/>
          <w:szCs w:val="21"/>
          <w:highlight w:val="none"/>
        </w:rPr>
        <w:t>3、系统管理：对用户、角色及权限等进行管理，可追溯，确保各项操作都有据可查。</w:t>
      </w:r>
    </w:p>
    <w:p w14:paraId="4ED2E324">
      <w:pPr>
        <w:pStyle w:val="4"/>
        <w:numPr>
          <w:ilvl w:val="0"/>
          <w:numId w:val="3"/>
        </w:numPr>
        <w:adjustRightInd w:val="0"/>
        <w:snapToGrid w:val="0"/>
        <w:spacing w:before="0" w:after="0"/>
        <w:rPr>
          <w:rFonts w:hint="eastAsia" w:ascii="宋体" w:hAnsi="宋体" w:eastAsia="宋体"/>
          <w:b/>
          <w:sz w:val="21"/>
          <w:szCs w:val="21"/>
          <w:highlight w:val="none"/>
        </w:rPr>
      </w:pPr>
      <w:r>
        <w:rPr>
          <w:rFonts w:hint="eastAsia" w:ascii="宋体" w:hAnsi="宋体" w:eastAsia="宋体"/>
          <w:b/>
          <w:sz w:val="21"/>
          <w:szCs w:val="21"/>
          <w:highlight w:val="none"/>
        </w:rPr>
        <w:t>病理数据调阅服务</w:t>
      </w:r>
    </w:p>
    <w:p w14:paraId="03F9DFBF">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lang w:val="en-US" w:eastAsia="zh-CN"/>
        </w:rPr>
        <w:t>为满足五家试点医院间的跨院病理数据调阅需求，建立数据调阅服务系统，提供调阅接口服务、智能加载策略、调阅日志记录、安全管理等功能，赋能</w:t>
      </w:r>
      <w:r>
        <w:rPr>
          <w:rFonts w:hint="eastAsia" w:ascii="宋体" w:hAnsi="宋体" w:cs="Arial"/>
          <w:szCs w:val="21"/>
          <w:highlight w:val="none"/>
        </w:rPr>
        <w:t>市级医院病理数据共享</w:t>
      </w:r>
      <w:r>
        <w:rPr>
          <w:rFonts w:hint="eastAsia" w:ascii="宋体" w:hAnsi="宋体" w:cs="Arial"/>
          <w:szCs w:val="21"/>
          <w:highlight w:val="none"/>
          <w:lang w:val="en-US" w:eastAsia="zh-CN"/>
        </w:rPr>
        <w:t>应用。</w:t>
      </w:r>
    </w:p>
    <w:p w14:paraId="0B60AA28">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1、调阅接口服务：构建面向五家试点市级医院的病理图像和病理报告的调阅服务接口，保障病理业务正常有序开展。</w:t>
      </w:r>
    </w:p>
    <w:p w14:paraId="166C7E5A">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2、智能加载策略：满足不同场景下的病理图像调阅需求。</w:t>
      </w:r>
    </w:p>
    <w:p w14:paraId="5B37F08D">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3、病理报告展示：支持结构化数据与原生文档协同交互，满足病理报告追溯调阅需求。</w:t>
      </w:r>
    </w:p>
    <w:p w14:paraId="0C14315C">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4、病理图像展示：支持多种病理图像展示，提供多模态图像融合功能，支持病理标签图与电子切片图像关联展示。</w:t>
      </w:r>
    </w:p>
    <w:p w14:paraId="2770E406">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5、图像操作：提供数字切片图像信息的查看功能。支持病理图像多种倍率切换、图像截图、多图对比功能，提供多图对比浏览功能。</w:t>
      </w:r>
    </w:p>
    <w:p w14:paraId="30E871A1">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6、调阅日志：实现日志调阅功能。</w:t>
      </w:r>
    </w:p>
    <w:p w14:paraId="07E60E90">
      <w:pPr>
        <w:pStyle w:val="78"/>
        <w:adjustRightInd w:val="0"/>
        <w:snapToGrid w:val="0"/>
        <w:spacing w:after="0" w:line="360" w:lineRule="auto"/>
        <w:rPr>
          <w:rFonts w:hint="eastAsia" w:ascii="宋体" w:hAnsi="宋体" w:cs="Arial"/>
          <w:szCs w:val="21"/>
          <w:highlight w:val="none"/>
        </w:rPr>
      </w:pPr>
      <w:r>
        <w:rPr>
          <w:rFonts w:hint="eastAsia" w:ascii="宋体" w:hAnsi="宋体" w:cs="Arial"/>
          <w:szCs w:val="21"/>
          <w:highlight w:val="none"/>
        </w:rPr>
        <w:t>7、安全管理：包括调阅方管理、密钥管理、请求调阅核验、隔离控制、密码应用功能。</w:t>
      </w:r>
    </w:p>
    <w:p w14:paraId="375F4396">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1）调阅方管理：系统支持对调阅方进行管理；支持对各调阅方可访问的数据进行控制，实现对调阅方进行安全有效的管理。</w:t>
      </w:r>
    </w:p>
    <w:p w14:paraId="5CB0B4FF">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2）密钥管理：主要实现对密钥的安全存储和对密钥的全生命周期管理。</w:t>
      </w:r>
    </w:p>
    <w:p w14:paraId="021C7CDF">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3）请求调阅核验：当调阅方通过病理调阅服务进行病理图像和报告的调阅时，系统会自动对其调阅请求进行核验。</w:t>
      </w:r>
    </w:p>
    <w:p w14:paraId="19EF2F83">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4）隔离控制：系统通过有效的隔离控制，采取异常行为熔断机制。</w:t>
      </w:r>
    </w:p>
    <w:p w14:paraId="121A4AFF">
      <w:pPr>
        <w:pStyle w:val="78"/>
        <w:adjustRightInd w:val="0"/>
        <w:snapToGrid w:val="0"/>
        <w:spacing w:after="0" w:line="360" w:lineRule="auto"/>
        <w:ind w:firstLine="400" w:firstLineChars="0"/>
        <w:rPr>
          <w:rFonts w:hint="eastAsia" w:ascii="宋体" w:hAnsi="宋体" w:cs="Arial"/>
          <w:szCs w:val="21"/>
          <w:highlight w:val="none"/>
        </w:rPr>
      </w:pPr>
      <w:r>
        <w:rPr>
          <w:rFonts w:hint="eastAsia" w:ascii="宋体" w:hAnsi="宋体" w:cs="Arial"/>
          <w:szCs w:val="21"/>
          <w:highlight w:val="none"/>
        </w:rPr>
        <w:t>5）密码应用功能：需开发适配若干密码应用功能模块，以实现网络和通信、设备和计算、应用和数据等层面的各密码应用功能。</w:t>
      </w:r>
    </w:p>
    <w:p w14:paraId="759E9BD0">
      <w:pPr>
        <w:pStyle w:val="2"/>
        <w:adjustRightInd w:val="0"/>
        <w:snapToGrid w:val="0"/>
        <w:spacing w:before="0" w:after="0" w:line="360" w:lineRule="auto"/>
        <w:ind w:left="0" w:firstLine="0"/>
        <w:rPr>
          <w:rFonts w:hint="eastAsia" w:ascii="宋体" w:hAnsi="宋体" w:eastAsia="宋体" w:cs="Arial"/>
          <w:sz w:val="21"/>
          <w:szCs w:val="21"/>
          <w:highlight w:val="none"/>
        </w:rPr>
      </w:pPr>
      <w:r>
        <w:rPr>
          <w:rFonts w:hint="eastAsia" w:ascii="宋体" w:hAnsi="宋体" w:eastAsia="宋体" w:cs="Arial"/>
          <w:sz w:val="21"/>
          <w:szCs w:val="21"/>
          <w:highlight w:val="none"/>
        </w:rPr>
        <w:t>实施、验收与售后服务要求</w:t>
      </w:r>
    </w:p>
    <w:p w14:paraId="2DCFC4A4">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总体要求</w:t>
      </w:r>
    </w:p>
    <w:p w14:paraId="2DF5496B">
      <w:pPr>
        <w:numPr>
          <w:ilvl w:val="4"/>
          <w:numId w:val="0"/>
        </w:num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lang w:eastAsia="zh-CN"/>
        </w:rPr>
        <w:t>供应商</w:t>
      </w:r>
      <w:r>
        <w:rPr>
          <w:rFonts w:hint="eastAsia" w:ascii="宋体" w:hAnsi="宋体"/>
          <w:szCs w:val="21"/>
          <w:highlight w:val="none"/>
        </w:rPr>
        <w:t>应有固定的售后服务团队。</w:t>
      </w:r>
    </w:p>
    <w:p w14:paraId="04092E74">
      <w:pPr>
        <w:numPr>
          <w:ilvl w:val="4"/>
          <w:numId w:val="0"/>
        </w:num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lang w:eastAsia="zh-CN"/>
        </w:rPr>
        <w:t>供应商</w:t>
      </w:r>
      <w:r>
        <w:rPr>
          <w:rFonts w:hint="eastAsia" w:ascii="宋体" w:hAnsi="宋体"/>
          <w:szCs w:val="21"/>
          <w:highlight w:val="none"/>
        </w:rPr>
        <w:t>应本着认真负责态度，组织技术队伍，认真做好项目的实施工作。在签订合同前，提出具体实施、服务、维护以及今后技术支持的措施计划和承诺。</w:t>
      </w:r>
    </w:p>
    <w:p w14:paraId="0FF5A78A">
      <w:pPr>
        <w:numPr>
          <w:ilvl w:val="4"/>
          <w:numId w:val="0"/>
        </w:num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eastAsia="zh-CN"/>
        </w:rPr>
        <w:t>供应商</w:t>
      </w:r>
      <w:r>
        <w:rPr>
          <w:rFonts w:hint="eastAsia" w:ascii="宋体" w:hAnsi="宋体"/>
          <w:szCs w:val="21"/>
          <w:highlight w:val="none"/>
        </w:rPr>
        <w:t>应加强项目管理，项目管理人员须具备专业管理素质，并有项目管理相关经验，确保项目建设有序推进和高质量完成。</w:t>
      </w:r>
    </w:p>
    <w:p w14:paraId="141F4BE8">
      <w:pPr>
        <w:numPr>
          <w:ilvl w:val="4"/>
          <w:numId w:val="0"/>
        </w:num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lang w:eastAsia="zh-CN"/>
        </w:rPr>
        <w:t>供应商</w:t>
      </w:r>
      <w:r>
        <w:rPr>
          <w:rFonts w:hint="eastAsia" w:ascii="宋体" w:hAnsi="宋体"/>
          <w:szCs w:val="21"/>
          <w:highlight w:val="none"/>
        </w:rPr>
        <w:t>提供项目实施计划，经用户方同意后，严格执行。如果遇到问题，由项目组提出项目变更说明，经用户方和系统提供商确定后，修改计划。</w:t>
      </w:r>
    </w:p>
    <w:p w14:paraId="29B3128E">
      <w:pPr>
        <w:numPr>
          <w:ilvl w:val="4"/>
          <w:numId w:val="0"/>
        </w:num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5)</w:t>
      </w:r>
      <w:r>
        <w:rPr>
          <w:rFonts w:hint="eastAsia" w:ascii="宋体" w:hAnsi="宋体"/>
          <w:szCs w:val="21"/>
          <w:highlight w:val="none"/>
          <w:lang w:eastAsia="zh-CN"/>
        </w:rPr>
        <w:t>供应商</w:t>
      </w:r>
      <w:r>
        <w:rPr>
          <w:rFonts w:hint="eastAsia" w:ascii="宋体" w:hAnsi="宋体"/>
          <w:szCs w:val="21"/>
          <w:highlight w:val="none"/>
        </w:rPr>
        <w:t>应负责在项目验收时将系统的全部有关技术文件、资料、及安装、测试、验收报告等文档汇集成册交付用户方。</w:t>
      </w:r>
    </w:p>
    <w:p w14:paraId="11A3A9C3">
      <w:pPr>
        <w:numPr>
          <w:ilvl w:val="4"/>
          <w:numId w:val="0"/>
        </w:num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结合实际情况，拟定详细的系统实施计划，包括同医联平台现有信息系统的对接、个性化定制、测试、试运行、培训及上线计划。承诺保证在合同规定时间内上线及上线后系统平稳运行。</w:t>
      </w:r>
    </w:p>
    <w:p w14:paraId="3FEDAA07">
      <w:pPr>
        <w:numPr>
          <w:ilvl w:val="4"/>
          <w:numId w:val="0"/>
        </w:numPr>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7)</w:t>
      </w:r>
      <w:r>
        <w:rPr>
          <w:rFonts w:hint="eastAsia" w:ascii="宋体" w:hAnsi="宋体"/>
          <w:szCs w:val="21"/>
          <w:highlight w:val="none"/>
          <w:lang w:eastAsia="zh-CN"/>
        </w:rPr>
        <w:t>供应商</w:t>
      </w:r>
      <w:r>
        <w:rPr>
          <w:rFonts w:hint="eastAsia" w:ascii="宋体" w:hAnsi="宋体"/>
          <w:szCs w:val="21"/>
          <w:highlight w:val="none"/>
        </w:rPr>
        <w:t>在实施过程中，需结合医联平台现有设备和需采购的设备，参照信息系统安全等级保护三级或三级以上的要求建设。</w:t>
      </w:r>
    </w:p>
    <w:p w14:paraId="74705710">
      <w:pPr>
        <w:pStyle w:val="60"/>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8）系统平台应具备负载均衡能力，能够实现系统的热部署。</w:t>
      </w:r>
    </w:p>
    <w:p w14:paraId="3F398B37">
      <w:pPr>
        <w:pStyle w:val="60"/>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9）系统平台采用各业务模块微服务化设计，保障平台的性能。</w:t>
      </w:r>
    </w:p>
    <w:p w14:paraId="20840137">
      <w:pPr>
        <w:pStyle w:val="60"/>
        <w:adjustRightInd w:val="0"/>
        <w:spacing w:line="360" w:lineRule="auto"/>
        <w:jc w:val="left"/>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10）系统平台应具有良好的可扩展性，预留与医疗机构的接口，以后可快速接入。</w:t>
      </w:r>
    </w:p>
    <w:p w14:paraId="3B754415">
      <w:pPr>
        <w:pStyle w:val="60"/>
        <w:adjustRightInd w:val="0"/>
        <w:spacing w:line="360" w:lineRule="auto"/>
        <w:jc w:val="left"/>
        <w:rPr>
          <w:rFonts w:hint="eastAsia" w:ascii="宋体" w:hAnsi="宋体" w:eastAsia="宋体"/>
          <w:kern w:val="2"/>
          <w:sz w:val="21"/>
          <w:szCs w:val="21"/>
          <w:highlight w:val="none"/>
          <w:lang w:val="en-US"/>
        </w:rPr>
      </w:pPr>
      <w:r>
        <w:rPr>
          <w:rFonts w:hint="eastAsia" w:ascii="宋体" w:hAnsi="宋体" w:eastAsia="宋体"/>
          <w:kern w:val="2"/>
          <w:sz w:val="21"/>
          <w:szCs w:val="21"/>
          <w:highlight w:val="none"/>
          <w:lang w:val="en-US"/>
        </w:rPr>
        <w:t>11）</w:t>
      </w:r>
      <w:r>
        <w:rPr>
          <w:rFonts w:hint="eastAsia" w:ascii="宋体" w:hAnsi="宋体" w:eastAsia="宋体"/>
          <w:kern w:val="2"/>
          <w:sz w:val="21"/>
          <w:szCs w:val="21"/>
          <w:highlight w:val="none"/>
          <w:lang w:val="en-US" w:eastAsia="zh-CN"/>
        </w:rPr>
        <w:t>供应商</w:t>
      </w:r>
      <w:r>
        <w:rPr>
          <w:rFonts w:hint="eastAsia" w:ascii="宋体" w:hAnsi="宋体" w:eastAsia="宋体"/>
          <w:kern w:val="2"/>
          <w:sz w:val="21"/>
          <w:szCs w:val="21"/>
          <w:highlight w:val="none"/>
          <w:lang w:val="en-US"/>
        </w:rPr>
        <w:t>需提供针对本项目的总体架构设计图及说明。</w:t>
      </w:r>
    </w:p>
    <w:p w14:paraId="60827F25">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项目</w:t>
      </w:r>
      <w:r>
        <w:rPr>
          <w:rFonts w:ascii="宋体" w:hAnsi="宋体" w:eastAsia="宋体"/>
          <w:b/>
          <w:sz w:val="21"/>
          <w:szCs w:val="21"/>
          <w:highlight w:val="none"/>
        </w:rPr>
        <w:t>实施</w:t>
      </w:r>
    </w:p>
    <w:p w14:paraId="179A92DF">
      <w:pPr>
        <w:pStyle w:val="4"/>
        <w:numPr>
          <w:ilvl w:val="0"/>
          <w:numId w:val="13"/>
        </w:numPr>
        <w:adjustRightInd w:val="0"/>
        <w:snapToGrid w:val="0"/>
        <w:spacing w:before="0" w:after="0"/>
        <w:rPr>
          <w:rFonts w:hint="eastAsia" w:ascii="宋体" w:hAnsi="宋体" w:eastAsia="宋体"/>
          <w:b/>
          <w:sz w:val="21"/>
          <w:szCs w:val="21"/>
          <w:highlight w:val="none"/>
        </w:rPr>
      </w:pPr>
      <w:r>
        <w:rPr>
          <w:rFonts w:ascii="宋体" w:hAnsi="宋体" w:eastAsia="宋体"/>
          <w:b/>
          <w:sz w:val="21"/>
          <w:szCs w:val="21"/>
          <w:highlight w:val="none"/>
        </w:rPr>
        <w:t>实施进度</w:t>
      </w:r>
    </w:p>
    <w:p w14:paraId="1BB54F63">
      <w:pPr>
        <w:adjustRightInd w:val="0"/>
        <w:snapToGrid w:val="0"/>
        <w:spacing w:line="360" w:lineRule="auto"/>
        <w:ind w:firstLine="420" w:firstLineChars="200"/>
        <w:rPr>
          <w:rFonts w:hint="eastAsia" w:ascii="宋体" w:hAnsi="宋体" w:cs="Arial"/>
          <w:szCs w:val="21"/>
          <w:highlight w:val="none"/>
        </w:rPr>
      </w:pPr>
      <w:r>
        <w:rPr>
          <w:rFonts w:hint="eastAsia" w:ascii="宋体" w:hAnsi="宋体" w:cs="Arial"/>
          <w:szCs w:val="21"/>
          <w:highlight w:val="none"/>
          <w:lang w:eastAsia="zh-CN"/>
        </w:rPr>
        <w:t>供应商</w:t>
      </w:r>
      <w:r>
        <w:rPr>
          <w:rFonts w:ascii="宋体" w:hAnsi="宋体" w:cs="Arial"/>
          <w:szCs w:val="21"/>
          <w:highlight w:val="none"/>
        </w:rPr>
        <w:t>应按照下表的时间进度，制定相应的项目实施详细进度计划。</w:t>
      </w:r>
    </w:p>
    <w:p w14:paraId="4358A598">
      <w:pPr>
        <w:adjustRightInd w:val="0"/>
        <w:snapToGrid w:val="0"/>
        <w:spacing w:line="360" w:lineRule="auto"/>
        <w:ind w:firstLine="420" w:firstLineChars="200"/>
        <w:rPr>
          <w:rFonts w:hint="eastAsia" w:ascii="宋体" w:hAnsi="宋体" w:cs="Arial"/>
          <w:szCs w:val="21"/>
          <w:highlight w:val="none"/>
        </w:rPr>
      </w:pPr>
      <w:r>
        <w:rPr>
          <w:rFonts w:hint="eastAsia" w:ascii="宋体" w:hAnsi="宋体" w:cs="Arial"/>
          <w:szCs w:val="21"/>
          <w:highlight w:val="none"/>
        </w:rPr>
        <w:t>项目建设周期共10个月。</w:t>
      </w:r>
    </w:p>
    <w:tbl>
      <w:tblPr>
        <w:tblStyle w:val="27"/>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3B30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vAlign w:val="center"/>
          </w:tcPr>
          <w:p w14:paraId="1EE818C8">
            <w:pPr>
              <w:pStyle w:val="21"/>
              <w:adjustRightInd w:val="0"/>
              <w:snapToGrid w:val="0"/>
              <w:spacing w:after="0" w:line="360" w:lineRule="auto"/>
              <w:ind w:left="428" w:leftChars="204"/>
              <w:jc w:val="center"/>
              <w:rPr>
                <w:rFonts w:hint="eastAsia" w:ascii="宋体" w:hAnsi="宋体" w:cs="Arial"/>
                <w:b/>
                <w:kern w:val="2"/>
                <w:sz w:val="21"/>
                <w:szCs w:val="21"/>
                <w:highlight w:val="none"/>
                <w:lang w:val="en-US"/>
              </w:rPr>
            </w:pPr>
            <w:r>
              <w:rPr>
                <w:rFonts w:ascii="宋体" w:hAnsi="宋体" w:cs="Arial"/>
                <w:b/>
                <w:kern w:val="2"/>
                <w:sz w:val="21"/>
                <w:szCs w:val="21"/>
                <w:highlight w:val="none"/>
                <w:lang w:val="en-US"/>
              </w:rPr>
              <w:t>项目</w:t>
            </w:r>
          </w:p>
        </w:tc>
        <w:tc>
          <w:tcPr>
            <w:tcW w:w="3929" w:type="dxa"/>
            <w:vAlign w:val="center"/>
          </w:tcPr>
          <w:p w14:paraId="372C9218">
            <w:pPr>
              <w:pStyle w:val="21"/>
              <w:adjustRightInd w:val="0"/>
              <w:snapToGrid w:val="0"/>
              <w:spacing w:after="0" w:line="360" w:lineRule="auto"/>
              <w:ind w:left="428" w:leftChars="204"/>
              <w:jc w:val="center"/>
              <w:rPr>
                <w:rFonts w:hint="eastAsia" w:ascii="宋体" w:hAnsi="宋体" w:cs="Arial"/>
                <w:b/>
                <w:kern w:val="2"/>
                <w:sz w:val="21"/>
                <w:szCs w:val="21"/>
                <w:highlight w:val="none"/>
                <w:lang w:val="en-US"/>
              </w:rPr>
            </w:pPr>
            <w:r>
              <w:rPr>
                <w:rFonts w:ascii="宋体" w:hAnsi="宋体" w:cs="Arial"/>
                <w:b/>
                <w:kern w:val="2"/>
                <w:sz w:val="21"/>
                <w:szCs w:val="21"/>
                <w:highlight w:val="none"/>
                <w:lang w:val="en-US"/>
              </w:rPr>
              <w:t>日期</w:t>
            </w:r>
          </w:p>
        </w:tc>
      </w:tr>
      <w:tr w14:paraId="6724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5F2EBB19">
            <w:pPr>
              <w:pStyle w:val="21"/>
              <w:adjustRightInd w:val="0"/>
              <w:snapToGrid w:val="0"/>
              <w:spacing w:after="0" w:line="360" w:lineRule="auto"/>
              <w:ind w:left="428" w:leftChars="204"/>
              <w:rPr>
                <w:rFonts w:hint="eastAsia" w:ascii="宋体" w:hAnsi="宋体" w:cs="Arial"/>
                <w:kern w:val="2"/>
                <w:sz w:val="21"/>
                <w:szCs w:val="21"/>
                <w:highlight w:val="none"/>
                <w:lang w:val="en-US"/>
              </w:rPr>
            </w:pPr>
            <w:r>
              <w:rPr>
                <w:rFonts w:ascii="宋体" w:hAnsi="宋体" w:cs="Arial"/>
                <w:kern w:val="2"/>
                <w:sz w:val="21"/>
                <w:szCs w:val="21"/>
                <w:highlight w:val="none"/>
                <w:lang w:val="en-US"/>
              </w:rPr>
              <w:t>应用软件开发</w:t>
            </w:r>
          </w:p>
        </w:tc>
        <w:tc>
          <w:tcPr>
            <w:tcW w:w="3929" w:type="dxa"/>
            <w:vAlign w:val="center"/>
          </w:tcPr>
          <w:p w14:paraId="1D6E8CE7">
            <w:pPr>
              <w:pStyle w:val="21"/>
              <w:adjustRightInd w:val="0"/>
              <w:snapToGrid w:val="0"/>
              <w:spacing w:after="0" w:line="360" w:lineRule="auto"/>
              <w:ind w:left="428" w:leftChars="204"/>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合同生效后 8 个月内</w:t>
            </w:r>
          </w:p>
        </w:tc>
      </w:tr>
      <w:tr w14:paraId="414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7807865C">
            <w:pPr>
              <w:pStyle w:val="21"/>
              <w:adjustRightInd w:val="0"/>
              <w:snapToGrid w:val="0"/>
              <w:spacing w:after="0" w:line="360" w:lineRule="auto"/>
              <w:ind w:left="428" w:leftChars="204"/>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项目试运行</w:t>
            </w:r>
          </w:p>
        </w:tc>
        <w:tc>
          <w:tcPr>
            <w:tcW w:w="3929" w:type="dxa"/>
            <w:vAlign w:val="center"/>
          </w:tcPr>
          <w:p w14:paraId="5CFD04C9">
            <w:pPr>
              <w:pStyle w:val="21"/>
              <w:adjustRightInd w:val="0"/>
              <w:snapToGrid w:val="0"/>
              <w:spacing w:after="0" w:line="360" w:lineRule="auto"/>
              <w:ind w:left="428" w:leftChars="204"/>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试运行至少 1 个月</w:t>
            </w:r>
          </w:p>
        </w:tc>
      </w:tr>
      <w:tr w14:paraId="1F0D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2032B14F">
            <w:pPr>
              <w:pStyle w:val="21"/>
              <w:adjustRightInd w:val="0"/>
              <w:snapToGrid w:val="0"/>
              <w:spacing w:after="0" w:line="360" w:lineRule="auto"/>
              <w:ind w:left="428" w:leftChars="204"/>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项目</w:t>
            </w:r>
            <w:r>
              <w:rPr>
                <w:rFonts w:ascii="宋体" w:hAnsi="宋体" w:cs="Arial"/>
                <w:kern w:val="2"/>
                <w:sz w:val="21"/>
                <w:szCs w:val="21"/>
                <w:highlight w:val="none"/>
                <w:lang w:val="en-US"/>
              </w:rPr>
              <w:t>验收</w:t>
            </w:r>
            <w:r>
              <w:rPr>
                <w:rFonts w:hint="eastAsia" w:ascii="宋体" w:hAnsi="宋体" w:cs="Arial"/>
                <w:kern w:val="2"/>
                <w:sz w:val="21"/>
                <w:szCs w:val="21"/>
                <w:highlight w:val="none"/>
                <w:lang w:val="en-US"/>
              </w:rPr>
              <w:t>交付</w:t>
            </w:r>
          </w:p>
        </w:tc>
        <w:tc>
          <w:tcPr>
            <w:tcW w:w="3929" w:type="dxa"/>
            <w:vAlign w:val="center"/>
          </w:tcPr>
          <w:p w14:paraId="78DFDC8C">
            <w:pPr>
              <w:pStyle w:val="21"/>
              <w:adjustRightInd w:val="0"/>
              <w:snapToGrid w:val="0"/>
              <w:spacing w:after="0" w:line="360" w:lineRule="auto"/>
              <w:ind w:left="428" w:leftChars="204"/>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试运行通过后 1 个月内</w:t>
            </w:r>
          </w:p>
        </w:tc>
      </w:tr>
    </w:tbl>
    <w:p w14:paraId="740BE618">
      <w:pPr>
        <w:pStyle w:val="4"/>
        <w:numPr>
          <w:ilvl w:val="0"/>
          <w:numId w:val="13"/>
        </w:numPr>
        <w:adjustRightInd w:val="0"/>
        <w:snapToGrid w:val="0"/>
        <w:spacing w:before="0" w:after="0"/>
        <w:rPr>
          <w:rFonts w:hint="eastAsia" w:ascii="宋体" w:hAnsi="宋体" w:eastAsia="宋体"/>
          <w:b/>
          <w:sz w:val="21"/>
          <w:szCs w:val="21"/>
          <w:highlight w:val="none"/>
        </w:rPr>
      </w:pPr>
      <w:r>
        <w:rPr>
          <w:rFonts w:hint="eastAsia" w:ascii="宋体" w:hAnsi="宋体" w:eastAsia="宋体"/>
          <w:b/>
          <w:sz w:val="21"/>
          <w:szCs w:val="21"/>
          <w:highlight w:val="none"/>
        </w:rPr>
        <w:t>实施人员的要求</w:t>
      </w:r>
    </w:p>
    <w:p w14:paraId="06320A4E">
      <w:pPr>
        <w:numPr>
          <w:ilvl w:val="0"/>
          <w:numId w:val="14"/>
        </w:numPr>
        <w:adjustRightInd w:val="0"/>
        <w:snapToGrid w:val="0"/>
        <w:spacing w:line="360" w:lineRule="auto"/>
        <w:ind w:left="0" w:firstLine="424" w:firstLineChars="202"/>
        <w:rPr>
          <w:rFonts w:hint="eastAsia" w:ascii="宋体" w:hAnsi="宋体" w:cs="Arial"/>
          <w:szCs w:val="21"/>
          <w:highlight w:val="none"/>
        </w:rPr>
      </w:pPr>
      <w:r>
        <w:rPr>
          <w:rFonts w:ascii="宋体" w:hAnsi="宋体" w:cs="Arial"/>
          <w:szCs w:val="21"/>
          <w:highlight w:val="none"/>
        </w:rPr>
        <w:t>为保证项目的顺利实施，</w:t>
      </w:r>
      <w:r>
        <w:rPr>
          <w:rFonts w:hint="eastAsia" w:ascii="宋体" w:hAnsi="宋体" w:cs="Arial"/>
          <w:szCs w:val="21"/>
          <w:highlight w:val="none"/>
          <w:lang w:eastAsia="zh-CN"/>
        </w:rPr>
        <w:t>供应商</w:t>
      </w:r>
      <w:r>
        <w:rPr>
          <w:rFonts w:ascii="宋体" w:hAnsi="宋体" w:cs="Arial"/>
          <w:szCs w:val="21"/>
          <w:highlight w:val="none"/>
        </w:rPr>
        <w:t>应成立商务与技术支持小组，全方位配合系统集成商与</w:t>
      </w:r>
      <w:r>
        <w:rPr>
          <w:rFonts w:hint="eastAsia" w:ascii="宋体" w:hAnsi="宋体" w:cs="Arial"/>
          <w:szCs w:val="21"/>
          <w:highlight w:val="none"/>
        </w:rPr>
        <w:t>用户</w:t>
      </w:r>
      <w:r>
        <w:rPr>
          <w:rFonts w:ascii="宋体" w:hAnsi="宋体" w:cs="Arial"/>
          <w:szCs w:val="21"/>
          <w:highlight w:val="none"/>
        </w:rPr>
        <w:t>。</w:t>
      </w:r>
    </w:p>
    <w:p w14:paraId="2470E479">
      <w:pPr>
        <w:numPr>
          <w:ilvl w:val="0"/>
          <w:numId w:val="14"/>
        </w:numPr>
        <w:adjustRightInd w:val="0"/>
        <w:snapToGrid w:val="0"/>
        <w:spacing w:line="360" w:lineRule="auto"/>
        <w:ind w:left="0" w:firstLine="424" w:firstLineChars="202"/>
        <w:rPr>
          <w:rFonts w:hint="eastAsia" w:ascii="宋体" w:hAnsi="宋体" w:cs="Arial"/>
          <w:szCs w:val="21"/>
          <w:highlight w:val="none"/>
        </w:rPr>
      </w:pPr>
      <w:r>
        <w:rPr>
          <w:rFonts w:hint="eastAsia" w:ascii="宋体" w:hAnsi="宋体" w:cs="Arial"/>
          <w:szCs w:val="21"/>
          <w:highlight w:val="none"/>
        </w:rPr>
        <w:t>项目经理具有硕士研究生及以上学历，</w:t>
      </w:r>
      <w:r>
        <w:rPr>
          <w:rFonts w:hint="eastAsia" w:ascii="宋体" w:hAnsi="宋体" w:cs="Arial"/>
          <w:szCs w:val="21"/>
          <w:highlight w:val="none"/>
          <w:lang w:val="en-US" w:eastAsia="zh-CN"/>
        </w:rPr>
        <w:t>且</w:t>
      </w:r>
      <w:r>
        <w:rPr>
          <w:rFonts w:hint="eastAsia" w:ascii="宋体" w:hAnsi="宋体" w:cs="Arial"/>
          <w:szCs w:val="21"/>
          <w:highlight w:val="none"/>
        </w:rPr>
        <w:t>具有</w:t>
      </w:r>
      <w:r>
        <w:rPr>
          <w:rFonts w:hint="eastAsia" w:ascii="宋体" w:hAnsi="宋体" w:cs="Arial"/>
          <w:szCs w:val="21"/>
          <w:highlight w:val="none"/>
          <w:lang w:val="en-US" w:eastAsia="zh-CN"/>
        </w:rPr>
        <w:t>高级工程师职称；具有10</w:t>
      </w:r>
      <w:r>
        <w:rPr>
          <w:rFonts w:hint="eastAsia" w:ascii="宋体" w:hAnsi="宋体" w:cs="Arial"/>
          <w:szCs w:val="21"/>
          <w:highlight w:val="none"/>
        </w:rPr>
        <w:t>年及以上类似项目管理经验，且担任项目经理岗位。</w:t>
      </w:r>
    </w:p>
    <w:p w14:paraId="47DAD84B">
      <w:pPr>
        <w:numPr>
          <w:ilvl w:val="0"/>
          <w:numId w:val="14"/>
        </w:numPr>
        <w:adjustRightInd w:val="0"/>
        <w:snapToGrid w:val="0"/>
        <w:spacing w:line="360" w:lineRule="auto"/>
        <w:ind w:left="0" w:firstLine="424" w:firstLineChars="202"/>
        <w:rPr>
          <w:rFonts w:hint="eastAsia" w:ascii="宋体" w:hAnsi="宋体" w:cs="Arial"/>
          <w:szCs w:val="21"/>
          <w:highlight w:val="none"/>
        </w:rPr>
      </w:pPr>
      <w:r>
        <w:rPr>
          <w:rFonts w:hint="eastAsia" w:ascii="宋体" w:hAnsi="宋体" w:cs="Arial"/>
          <w:szCs w:val="21"/>
          <w:highlight w:val="none"/>
        </w:rPr>
        <w:t>项目开发团队人员（不包含项目经理）数量不少于15人，项目实施期间确保至少5名具有信息系统建设经验的人员驻场服务。</w:t>
      </w:r>
    </w:p>
    <w:p w14:paraId="59DF488A">
      <w:pPr>
        <w:numPr>
          <w:ilvl w:val="0"/>
          <w:numId w:val="14"/>
        </w:numPr>
        <w:adjustRightInd w:val="0"/>
        <w:snapToGrid w:val="0"/>
        <w:spacing w:line="360" w:lineRule="auto"/>
        <w:ind w:left="0" w:firstLine="424" w:firstLineChars="202"/>
        <w:rPr>
          <w:rFonts w:hint="eastAsia" w:ascii="宋体" w:hAnsi="宋体" w:cs="Arial"/>
          <w:szCs w:val="21"/>
          <w:highlight w:val="none"/>
        </w:rPr>
      </w:pPr>
      <w:r>
        <w:rPr>
          <w:rFonts w:hint="eastAsia" w:ascii="宋体" w:hAnsi="宋体" w:cs="Arial"/>
          <w:szCs w:val="21"/>
          <w:highlight w:val="none"/>
          <w:lang w:eastAsia="zh-CN"/>
        </w:rPr>
        <w:t>供应商</w:t>
      </w:r>
      <w:r>
        <w:rPr>
          <w:rFonts w:ascii="宋体" w:hAnsi="宋体" w:cs="Arial"/>
          <w:szCs w:val="21"/>
          <w:highlight w:val="none"/>
        </w:rPr>
        <w:t>应在响应文件中提供项目实施详细进度计划和项目小组人员名单和职责。</w:t>
      </w:r>
    </w:p>
    <w:p w14:paraId="10334585">
      <w:pPr>
        <w:numPr>
          <w:ilvl w:val="0"/>
          <w:numId w:val="14"/>
        </w:numPr>
        <w:adjustRightInd w:val="0"/>
        <w:snapToGrid w:val="0"/>
        <w:spacing w:line="360" w:lineRule="auto"/>
        <w:ind w:left="0" w:firstLine="424" w:firstLineChars="202"/>
        <w:rPr>
          <w:rFonts w:hint="eastAsia" w:ascii="宋体" w:hAnsi="宋体"/>
          <w:bCs/>
          <w:szCs w:val="21"/>
          <w:highlight w:val="none"/>
        </w:rPr>
      </w:pPr>
      <w:r>
        <w:rPr>
          <w:rFonts w:hint="eastAsia" w:ascii="宋体" w:hAnsi="宋体"/>
          <w:bCs/>
          <w:szCs w:val="21"/>
          <w:highlight w:val="none"/>
        </w:rPr>
        <w:t>系统在通过验收前现场需留驻足够的实施人员。</w:t>
      </w:r>
    </w:p>
    <w:p w14:paraId="51F0B61D">
      <w:pPr>
        <w:numPr>
          <w:ilvl w:val="0"/>
          <w:numId w:val="14"/>
        </w:numPr>
        <w:adjustRightInd w:val="0"/>
        <w:snapToGrid w:val="0"/>
        <w:spacing w:line="360" w:lineRule="auto"/>
        <w:ind w:left="0" w:firstLine="424" w:firstLineChars="202"/>
        <w:rPr>
          <w:rFonts w:hint="eastAsia" w:ascii="宋体" w:hAnsi="宋体"/>
          <w:bCs/>
          <w:szCs w:val="21"/>
          <w:highlight w:val="none"/>
        </w:rPr>
      </w:pPr>
      <w:r>
        <w:rPr>
          <w:rFonts w:hint="eastAsia" w:ascii="宋体" w:hAnsi="宋体"/>
          <w:bCs/>
          <w:szCs w:val="21"/>
          <w:highlight w:val="none"/>
        </w:rPr>
        <w:t>用户方有权根据实施情况要求更换项目经理和实施人员。</w:t>
      </w:r>
    </w:p>
    <w:p w14:paraId="463432AC">
      <w:pPr>
        <w:numPr>
          <w:ilvl w:val="0"/>
          <w:numId w:val="14"/>
        </w:numPr>
        <w:adjustRightInd w:val="0"/>
        <w:snapToGrid w:val="0"/>
        <w:spacing w:line="360" w:lineRule="auto"/>
        <w:ind w:left="0" w:firstLine="424" w:firstLineChars="202"/>
        <w:rPr>
          <w:rFonts w:hint="eastAsia" w:ascii="宋体" w:hAnsi="宋体"/>
          <w:bCs/>
          <w:szCs w:val="21"/>
          <w:highlight w:val="none"/>
        </w:rPr>
      </w:pPr>
      <w:r>
        <w:rPr>
          <w:rFonts w:hint="eastAsia" w:ascii="宋体" w:hAnsi="宋体"/>
          <w:bCs/>
          <w:szCs w:val="21"/>
          <w:highlight w:val="none"/>
        </w:rPr>
        <w:t>对</w:t>
      </w:r>
      <w:r>
        <w:rPr>
          <w:rFonts w:hint="eastAsia" w:ascii="宋体" w:hAnsi="宋体"/>
          <w:bCs/>
          <w:szCs w:val="21"/>
          <w:highlight w:val="none"/>
          <w:lang w:eastAsia="zh-CN"/>
        </w:rPr>
        <w:t>供应商</w:t>
      </w:r>
      <w:r>
        <w:rPr>
          <w:rFonts w:hint="eastAsia" w:ascii="宋体" w:hAnsi="宋体"/>
          <w:bCs/>
          <w:szCs w:val="21"/>
          <w:highlight w:val="none"/>
        </w:rPr>
        <w:t>项目经理等级基本要求：要求</w:t>
      </w:r>
      <w:r>
        <w:rPr>
          <w:rFonts w:hint="eastAsia" w:ascii="宋体" w:hAnsi="宋体"/>
          <w:bCs/>
          <w:szCs w:val="21"/>
          <w:highlight w:val="none"/>
          <w:lang w:eastAsia="zh-CN"/>
        </w:rPr>
        <w:t>供应商</w:t>
      </w:r>
      <w:r>
        <w:rPr>
          <w:rFonts w:hint="eastAsia" w:ascii="宋体" w:hAnsi="宋体"/>
          <w:bCs/>
          <w:szCs w:val="21"/>
          <w:highlight w:val="none"/>
        </w:rPr>
        <w:t>针对本项目成立项目小组，在响应文件中提供书面名单，人员一旦得到确认，无特殊理由不得随意变动，项目经理未得到用户方同意的情况下不得随意更换。</w:t>
      </w:r>
    </w:p>
    <w:p w14:paraId="087BCF81">
      <w:pPr>
        <w:pStyle w:val="4"/>
        <w:numPr>
          <w:ilvl w:val="0"/>
          <w:numId w:val="13"/>
        </w:numPr>
        <w:adjustRightInd w:val="0"/>
        <w:snapToGrid w:val="0"/>
        <w:spacing w:before="0" w:after="0"/>
        <w:rPr>
          <w:rFonts w:hint="eastAsia" w:ascii="宋体" w:hAnsi="宋体" w:eastAsia="宋体"/>
          <w:b/>
          <w:sz w:val="21"/>
          <w:szCs w:val="21"/>
          <w:highlight w:val="none"/>
        </w:rPr>
      </w:pPr>
      <w:r>
        <w:rPr>
          <w:rFonts w:hint="eastAsia" w:ascii="宋体" w:hAnsi="宋体" w:eastAsia="宋体"/>
          <w:b/>
          <w:sz w:val="21"/>
          <w:szCs w:val="21"/>
          <w:highlight w:val="none"/>
        </w:rPr>
        <w:t>安装、调试</w:t>
      </w:r>
    </w:p>
    <w:p w14:paraId="30C5DEA4">
      <w:pPr>
        <w:numPr>
          <w:ilvl w:val="0"/>
          <w:numId w:val="15"/>
        </w:numPr>
        <w:adjustRightInd w:val="0"/>
        <w:snapToGrid w:val="0"/>
        <w:spacing w:line="360" w:lineRule="auto"/>
        <w:ind w:left="0" w:firstLine="424" w:firstLineChars="202"/>
        <w:rPr>
          <w:rFonts w:hint="eastAsia" w:ascii="宋体" w:hAnsi="宋体"/>
          <w:szCs w:val="21"/>
          <w:highlight w:val="none"/>
        </w:rPr>
      </w:pPr>
      <w:r>
        <w:rPr>
          <w:rFonts w:ascii="宋体" w:hAnsi="宋体"/>
          <w:szCs w:val="21"/>
          <w:highlight w:val="none"/>
        </w:rPr>
        <w:t>合同签</w:t>
      </w:r>
      <w:r>
        <w:rPr>
          <w:rFonts w:hint="eastAsia" w:ascii="宋体" w:hAnsi="宋体"/>
          <w:szCs w:val="21"/>
          <w:highlight w:val="none"/>
        </w:rPr>
        <w:t>订</w:t>
      </w:r>
      <w:r>
        <w:rPr>
          <w:rFonts w:ascii="宋体" w:hAnsi="宋体"/>
          <w:szCs w:val="21"/>
          <w:highlight w:val="none"/>
        </w:rPr>
        <w:t>一周内，</w:t>
      </w:r>
      <w:r>
        <w:rPr>
          <w:rFonts w:hint="eastAsia" w:ascii="宋体" w:hAnsi="宋体"/>
          <w:szCs w:val="21"/>
          <w:highlight w:val="none"/>
          <w:lang w:eastAsia="zh-CN"/>
        </w:rPr>
        <w:t>供应商</w:t>
      </w:r>
      <w:r>
        <w:rPr>
          <w:rFonts w:ascii="宋体" w:hAnsi="宋体"/>
          <w:szCs w:val="21"/>
          <w:highlight w:val="none"/>
        </w:rPr>
        <w:t>向用户提交</w:t>
      </w:r>
      <w:r>
        <w:rPr>
          <w:rFonts w:hint="eastAsia" w:ascii="宋体" w:hAnsi="宋体"/>
          <w:szCs w:val="21"/>
          <w:highlight w:val="none"/>
        </w:rPr>
        <w:t>软件开发</w:t>
      </w:r>
      <w:r>
        <w:rPr>
          <w:rFonts w:ascii="宋体" w:hAnsi="宋体"/>
          <w:szCs w:val="21"/>
          <w:highlight w:val="none"/>
        </w:rPr>
        <w:t>环境的要求。</w:t>
      </w:r>
      <w:r>
        <w:rPr>
          <w:rFonts w:hint="eastAsia" w:ascii="宋体" w:hAnsi="宋体"/>
          <w:szCs w:val="21"/>
          <w:highlight w:val="none"/>
        </w:rPr>
        <w:t>软件实施</w:t>
      </w:r>
      <w:r>
        <w:rPr>
          <w:rFonts w:ascii="宋体" w:hAnsi="宋体"/>
          <w:szCs w:val="21"/>
          <w:highlight w:val="none"/>
        </w:rPr>
        <w:t>安装</w:t>
      </w:r>
      <w:r>
        <w:rPr>
          <w:rFonts w:hint="eastAsia" w:ascii="宋体" w:hAnsi="宋体"/>
          <w:szCs w:val="21"/>
          <w:highlight w:val="none"/>
        </w:rPr>
        <w:t>7</w:t>
      </w:r>
      <w:r>
        <w:rPr>
          <w:rFonts w:ascii="宋体" w:hAnsi="宋体"/>
          <w:szCs w:val="21"/>
          <w:highlight w:val="none"/>
        </w:rPr>
        <w:t>天以前，</w:t>
      </w:r>
      <w:r>
        <w:rPr>
          <w:rFonts w:hint="eastAsia" w:ascii="宋体" w:hAnsi="宋体"/>
          <w:szCs w:val="21"/>
          <w:highlight w:val="none"/>
          <w:lang w:eastAsia="zh-CN"/>
        </w:rPr>
        <w:t>供应商</w:t>
      </w:r>
      <w:r>
        <w:rPr>
          <w:rFonts w:ascii="宋体" w:hAnsi="宋体"/>
          <w:szCs w:val="21"/>
          <w:highlight w:val="none"/>
        </w:rPr>
        <w:t>向用户提交</w:t>
      </w:r>
      <w:r>
        <w:rPr>
          <w:rFonts w:hint="eastAsia" w:ascii="宋体" w:hAnsi="宋体"/>
          <w:szCs w:val="21"/>
          <w:highlight w:val="none"/>
        </w:rPr>
        <w:t>软件</w:t>
      </w:r>
      <w:r>
        <w:rPr>
          <w:rFonts w:ascii="宋体" w:hAnsi="宋体"/>
          <w:szCs w:val="21"/>
          <w:highlight w:val="none"/>
        </w:rPr>
        <w:t>安装、测试和安装验收的计划方案，该计划方案需经过用户同意方可作为</w:t>
      </w:r>
      <w:r>
        <w:rPr>
          <w:rFonts w:hint="eastAsia" w:ascii="宋体" w:hAnsi="宋体"/>
          <w:szCs w:val="21"/>
          <w:highlight w:val="none"/>
        </w:rPr>
        <w:t>软件</w:t>
      </w:r>
      <w:r>
        <w:rPr>
          <w:rFonts w:ascii="宋体" w:hAnsi="宋体"/>
          <w:szCs w:val="21"/>
          <w:highlight w:val="none"/>
        </w:rPr>
        <w:t>安装、测试和安装验收的依据。</w:t>
      </w:r>
    </w:p>
    <w:p w14:paraId="0922D547">
      <w:pPr>
        <w:numPr>
          <w:ilvl w:val="0"/>
          <w:numId w:val="15"/>
        </w:numPr>
        <w:adjustRightInd w:val="0"/>
        <w:snapToGrid w:val="0"/>
        <w:spacing w:line="360" w:lineRule="auto"/>
        <w:ind w:left="0" w:firstLine="424" w:firstLineChars="202"/>
        <w:rPr>
          <w:rFonts w:hint="eastAsia" w:ascii="宋体" w:hAnsi="宋体"/>
          <w:szCs w:val="21"/>
          <w:highlight w:val="none"/>
        </w:rPr>
      </w:pPr>
      <w:r>
        <w:rPr>
          <w:rFonts w:hint="eastAsia" w:ascii="宋体" w:hAnsi="宋体"/>
          <w:szCs w:val="21"/>
          <w:highlight w:val="none"/>
          <w:lang w:eastAsia="zh-CN"/>
        </w:rPr>
        <w:t>供应商</w:t>
      </w:r>
      <w:r>
        <w:rPr>
          <w:rFonts w:ascii="宋体" w:hAnsi="宋体"/>
          <w:szCs w:val="21"/>
          <w:highlight w:val="none"/>
        </w:rPr>
        <w:t>应承担所供产品的安装、调试和配置工作，同时应提供完整的安装调试文档及系统配置文件。</w:t>
      </w:r>
    </w:p>
    <w:p w14:paraId="5C631516">
      <w:pPr>
        <w:numPr>
          <w:ilvl w:val="0"/>
          <w:numId w:val="15"/>
        </w:numPr>
        <w:adjustRightInd w:val="0"/>
        <w:snapToGrid w:val="0"/>
        <w:spacing w:line="360" w:lineRule="auto"/>
        <w:ind w:left="0" w:firstLine="424" w:firstLineChars="202"/>
        <w:rPr>
          <w:rFonts w:hint="eastAsia" w:ascii="宋体" w:hAnsi="宋体"/>
          <w:szCs w:val="21"/>
          <w:highlight w:val="none"/>
        </w:rPr>
      </w:pPr>
      <w:r>
        <w:rPr>
          <w:rFonts w:hint="eastAsia" w:ascii="宋体" w:hAnsi="宋体"/>
          <w:szCs w:val="21"/>
          <w:highlight w:val="none"/>
          <w:lang w:eastAsia="zh-CN"/>
        </w:rPr>
        <w:t>供应商</w:t>
      </w:r>
      <w:r>
        <w:rPr>
          <w:rFonts w:ascii="宋体" w:hAnsi="宋体"/>
          <w:szCs w:val="21"/>
          <w:highlight w:val="none"/>
        </w:rPr>
        <w:t>应全力与用户及其他相关产品供应商配合，保证系统按时、正常地投入运行。</w:t>
      </w:r>
    </w:p>
    <w:p w14:paraId="46620669">
      <w:pPr>
        <w:numPr>
          <w:ilvl w:val="0"/>
          <w:numId w:val="15"/>
        </w:numPr>
        <w:adjustRightInd w:val="0"/>
        <w:snapToGrid w:val="0"/>
        <w:spacing w:line="360" w:lineRule="auto"/>
        <w:ind w:left="0" w:firstLine="424" w:firstLineChars="202"/>
        <w:rPr>
          <w:rFonts w:hint="eastAsia" w:ascii="宋体" w:hAnsi="宋体"/>
          <w:szCs w:val="21"/>
          <w:highlight w:val="none"/>
        </w:rPr>
      </w:pPr>
      <w:r>
        <w:rPr>
          <w:rFonts w:hint="eastAsia" w:ascii="宋体" w:hAnsi="宋体"/>
          <w:szCs w:val="21"/>
          <w:highlight w:val="none"/>
          <w:lang w:eastAsia="zh-CN"/>
        </w:rPr>
        <w:t>供应商</w:t>
      </w:r>
      <w:r>
        <w:rPr>
          <w:rFonts w:ascii="宋体" w:hAnsi="宋体"/>
          <w:szCs w:val="21"/>
          <w:highlight w:val="none"/>
        </w:rPr>
        <w:t>需保证所配置的软件产品有合法的使用权。</w:t>
      </w:r>
    </w:p>
    <w:p w14:paraId="04D24015">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项目验收</w:t>
      </w:r>
    </w:p>
    <w:p w14:paraId="353A2595">
      <w:pPr>
        <w:numPr>
          <w:ilvl w:val="0"/>
          <w:numId w:val="16"/>
        </w:numPr>
        <w:adjustRightInd w:val="0"/>
        <w:snapToGrid w:val="0"/>
        <w:spacing w:line="360" w:lineRule="auto"/>
        <w:ind w:left="0" w:firstLine="424" w:firstLineChars="202"/>
        <w:textAlignment w:val="baseline"/>
        <w:rPr>
          <w:rFonts w:hint="eastAsia" w:ascii="宋体" w:hAnsi="宋体"/>
          <w:szCs w:val="21"/>
          <w:highlight w:val="none"/>
        </w:rPr>
      </w:pPr>
      <w:r>
        <w:rPr>
          <w:rFonts w:hint="eastAsia" w:ascii="宋体" w:hAnsi="宋体"/>
          <w:szCs w:val="21"/>
          <w:highlight w:val="none"/>
        </w:rPr>
        <w:t>系统验收合格的条件至少满足以下三个要求：试运行时性能满足合同要求；性能测试和试运行验收时出现的问题已被解决；已提供了合同的全部货物和资料。</w:t>
      </w:r>
    </w:p>
    <w:p w14:paraId="051C0BEA">
      <w:pPr>
        <w:numPr>
          <w:ilvl w:val="0"/>
          <w:numId w:val="16"/>
        </w:numPr>
        <w:adjustRightInd w:val="0"/>
        <w:snapToGrid w:val="0"/>
        <w:spacing w:line="360" w:lineRule="auto"/>
        <w:ind w:left="0" w:firstLine="424" w:firstLineChars="202"/>
        <w:textAlignment w:val="baseline"/>
        <w:rPr>
          <w:rFonts w:hint="eastAsia" w:ascii="宋体" w:hAnsi="宋体"/>
          <w:szCs w:val="21"/>
          <w:highlight w:val="none"/>
        </w:rPr>
      </w:pPr>
      <w:r>
        <w:rPr>
          <w:rFonts w:hint="eastAsia" w:ascii="宋体" w:hAnsi="宋体"/>
          <w:szCs w:val="21"/>
          <w:highlight w:val="none"/>
        </w:rPr>
        <w:t>软件验收前需通过安全、功能、性能、密码等方面的第三方测评。</w:t>
      </w:r>
    </w:p>
    <w:p w14:paraId="1DDE1249">
      <w:pPr>
        <w:numPr>
          <w:ilvl w:val="0"/>
          <w:numId w:val="16"/>
        </w:numPr>
        <w:adjustRightInd w:val="0"/>
        <w:snapToGrid w:val="0"/>
        <w:spacing w:line="360" w:lineRule="auto"/>
        <w:ind w:left="0" w:firstLine="424" w:firstLineChars="202"/>
        <w:textAlignment w:val="baseline"/>
        <w:rPr>
          <w:rFonts w:hint="eastAsia" w:ascii="宋体" w:hAnsi="宋体"/>
          <w:szCs w:val="21"/>
          <w:highlight w:val="none"/>
        </w:rPr>
      </w:pPr>
      <w:r>
        <w:rPr>
          <w:rFonts w:hint="eastAsia" w:ascii="宋体" w:hAnsi="宋体"/>
          <w:szCs w:val="21"/>
          <w:highlight w:val="none"/>
        </w:rPr>
        <w:t>所有子系统正式投入运行后进行软件系统验收。项目验收相关的费用包含在投报总价内。</w:t>
      </w:r>
    </w:p>
    <w:p w14:paraId="1D6A3250">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技术文档</w:t>
      </w:r>
    </w:p>
    <w:p w14:paraId="42F6E701">
      <w:pPr>
        <w:adjustRightInd w:val="0"/>
        <w:snapToGrid w:val="0"/>
        <w:spacing w:line="360" w:lineRule="auto"/>
        <w:ind w:firstLine="420"/>
        <w:rPr>
          <w:rFonts w:hint="eastAsia" w:ascii="宋体" w:hAnsi="宋体"/>
          <w:bCs/>
          <w:szCs w:val="21"/>
          <w:highlight w:val="none"/>
        </w:rPr>
      </w:pPr>
      <w:r>
        <w:rPr>
          <w:rFonts w:hint="eastAsia" w:ascii="宋体" w:hAnsi="宋体"/>
          <w:bCs/>
          <w:szCs w:val="21"/>
          <w:highlight w:val="none"/>
        </w:rPr>
        <w:t>系统验收后</w:t>
      </w:r>
      <w:r>
        <w:rPr>
          <w:rFonts w:hint="eastAsia" w:ascii="宋体" w:hAnsi="宋体"/>
          <w:bCs/>
          <w:szCs w:val="21"/>
          <w:highlight w:val="none"/>
          <w:lang w:eastAsia="zh-CN"/>
        </w:rPr>
        <w:t>供应商</w:t>
      </w:r>
      <w:r>
        <w:rPr>
          <w:rFonts w:hint="eastAsia" w:ascii="宋体" w:hAnsi="宋体"/>
          <w:bCs/>
          <w:szCs w:val="21"/>
          <w:highlight w:val="none"/>
        </w:rPr>
        <w:t>需提供详细的软件相关技术文档（含数据结构、数据流程图、系统字典说明等）、使用说明书、维护手册等文档资料。提供系统应急方案，提供维护和二次开发所需要的源代码及技术支持工具。文档包括但不限于以下内容：</w:t>
      </w:r>
    </w:p>
    <w:p w14:paraId="2300B982">
      <w:pPr>
        <w:numPr>
          <w:ilvl w:val="0"/>
          <w:numId w:val="17"/>
        </w:numPr>
        <w:adjustRightInd w:val="0"/>
        <w:snapToGrid w:val="0"/>
        <w:spacing w:line="360" w:lineRule="auto"/>
        <w:rPr>
          <w:rFonts w:hint="eastAsia" w:ascii="宋体" w:hAnsi="宋体"/>
          <w:bCs/>
          <w:highlight w:val="none"/>
        </w:rPr>
      </w:pPr>
      <w:r>
        <w:rPr>
          <w:rFonts w:hint="eastAsia" w:ascii="宋体" w:hAnsi="宋体"/>
          <w:bCs/>
          <w:highlight w:val="none"/>
        </w:rPr>
        <w:t>项目需求确认表；</w:t>
      </w:r>
    </w:p>
    <w:p w14:paraId="6DD96280">
      <w:pPr>
        <w:numPr>
          <w:ilvl w:val="0"/>
          <w:numId w:val="17"/>
        </w:numPr>
        <w:adjustRightInd w:val="0"/>
        <w:snapToGrid w:val="0"/>
        <w:spacing w:line="360" w:lineRule="auto"/>
        <w:rPr>
          <w:rFonts w:hint="eastAsia" w:ascii="宋体" w:hAnsi="宋体"/>
          <w:bCs/>
          <w:highlight w:val="none"/>
        </w:rPr>
      </w:pPr>
      <w:r>
        <w:rPr>
          <w:rFonts w:hint="eastAsia" w:ascii="宋体" w:hAnsi="宋体"/>
          <w:bCs/>
          <w:highlight w:val="none"/>
        </w:rPr>
        <w:t>项目概要设计书：包括《界面设计说明书》、《数据库设计说明书》以及流程、处理逻辑及涉及数据库表字段变化说明；</w:t>
      </w:r>
    </w:p>
    <w:p w14:paraId="47A4C422">
      <w:pPr>
        <w:numPr>
          <w:ilvl w:val="0"/>
          <w:numId w:val="17"/>
        </w:numPr>
        <w:adjustRightInd w:val="0"/>
        <w:snapToGrid w:val="0"/>
        <w:spacing w:line="360" w:lineRule="auto"/>
        <w:rPr>
          <w:rFonts w:hint="eastAsia" w:ascii="宋体" w:hAnsi="宋体"/>
          <w:bCs/>
          <w:highlight w:val="none"/>
        </w:rPr>
      </w:pPr>
      <w:r>
        <w:rPr>
          <w:rFonts w:hint="eastAsia" w:ascii="宋体" w:hAnsi="宋体" w:cstheme="minorBidi"/>
          <w:bCs/>
          <w:szCs w:val="21"/>
          <w:highlight w:val="none"/>
        </w:rPr>
        <w:t>项目实施方案</w:t>
      </w:r>
      <w:r>
        <w:rPr>
          <w:rFonts w:hint="eastAsia" w:ascii="宋体" w:hAnsi="宋体"/>
          <w:bCs/>
          <w:highlight w:val="none"/>
        </w:rPr>
        <w:t>；</w:t>
      </w:r>
    </w:p>
    <w:p w14:paraId="17051B1B">
      <w:pPr>
        <w:numPr>
          <w:ilvl w:val="0"/>
          <w:numId w:val="17"/>
        </w:numPr>
        <w:adjustRightInd w:val="0"/>
        <w:snapToGrid w:val="0"/>
        <w:spacing w:line="360" w:lineRule="auto"/>
        <w:rPr>
          <w:rFonts w:hint="eastAsia" w:ascii="宋体" w:hAnsi="宋体"/>
          <w:bCs/>
          <w:highlight w:val="none"/>
        </w:rPr>
      </w:pPr>
      <w:r>
        <w:rPr>
          <w:rFonts w:hint="eastAsia" w:ascii="宋体" w:hAnsi="宋体"/>
          <w:bCs/>
          <w:highlight w:val="none"/>
        </w:rPr>
        <w:t>应急预案；</w:t>
      </w:r>
    </w:p>
    <w:p w14:paraId="39ED8A9D">
      <w:pPr>
        <w:numPr>
          <w:ilvl w:val="0"/>
          <w:numId w:val="17"/>
        </w:numPr>
        <w:adjustRightInd w:val="0"/>
        <w:snapToGrid w:val="0"/>
        <w:spacing w:line="360" w:lineRule="auto"/>
        <w:rPr>
          <w:rFonts w:hint="eastAsia" w:ascii="宋体" w:hAnsi="宋体"/>
          <w:bCs/>
          <w:highlight w:val="none"/>
        </w:rPr>
      </w:pPr>
      <w:r>
        <w:rPr>
          <w:rFonts w:hint="eastAsia" w:ascii="宋体" w:hAnsi="宋体"/>
          <w:bCs/>
          <w:highlight w:val="none"/>
        </w:rPr>
        <w:t>试运行方案、试运行记录、试运行报告；</w:t>
      </w:r>
    </w:p>
    <w:p w14:paraId="68EB7E87">
      <w:pPr>
        <w:numPr>
          <w:ilvl w:val="0"/>
          <w:numId w:val="17"/>
        </w:numPr>
        <w:adjustRightInd w:val="0"/>
        <w:snapToGrid w:val="0"/>
        <w:spacing w:line="360" w:lineRule="auto"/>
        <w:rPr>
          <w:rFonts w:hint="eastAsia" w:ascii="宋体" w:hAnsi="宋体"/>
          <w:bCs/>
          <w:highlight w:val="none"/>
        </w:rPr>
      </w:pPr>
      <w:r>
        <w:rPr>
          <w:rFonts w:hint="eastAsia" w:ascii="宋体" w:hAnsi="宋体"/>
          <w:bCs/>
          <w:highlight w:val="none"/>
        </w:rPr>
        <w:t>测试报告；</w:t>
      </w:r>
    </w:p>
    <w:p w14:paraId="2D61E48D">
      <w:pPr>
        <w:numPr>
          <w:ilvl w:val="0"/>
          <w:numId w:val="17"/>
        </w:numPr>
        <w:adjustRightInd w:val="0"/>
        <w:snapToGrid w:val="0"/>
        <w:spacing w:line="360" w:lineRule="auto"/>
        <w:rPr>
          <w:rFonts w:hint="eastAsia" w:ascii="宋体" w:hAnsi="宋体"/>
          <w:bCs/>
          <w:highlight w:val="none"/>
        </w:rPr>
      </w:pPr>
      <w:r>
        <w:rPr>
          <w:rFonts w:hint="eastAsia" w:ascii="宋体" w:hAnsi="宋体"/>
          <w:bCs/>
          <w:highlight w:val="none"/>
        </w:rPr>
        <w:t>用户操作手册、系统运维手册以及培训文档等；</w:t>
      </w:r>
    </w:p>
    <w:p w14:paraId="1F89B118">
      <w:pPr>
        <w:numPr>
          <w:ilvl w:val="0"/>
          <w:numId w:val="17"/>
        </w:numPr>
        <w:adjustRightInd w:val="0"/>
        <w:snapToGrid w:val="0"/>
        <w:spacing w:line="360" w:lineRule="auto"/>
        <w:rPr>
          <w:rFonts w:hint="eastAsia" w:ascii="宋体" w:hAnsi="宋体"/>
          <w:bCs/>
          <w:highlight w:val="none"/>
        </w:rPr>
      </w:pPr>
      <w:r>
        <w:rPr>
          <w:rFonts w:hint="eastAsia" w:ascii="宋体" w:hAnsi="宋体"/>
          <w:bCs/>
          <w:highlight w:val="none"/>
        </w:rPr>
        <w:t>项目总结报告；</w:t>
      </w:r>
    </w:p>
    <w:p w14:paraId="5405241B">
      <w:pPr>
        <w:numPr>
          <w:ilvl w:val="0"/>
          <w:numId w:val="17"/>
        </w:numPr>
        <w:adjustRightInd w:val="0"/>
        <w:snapToGrid w:val="0"/>
        <w:spacing w:line="360" w:lineRule="auto"/>
        <w:rPr>
          <w:rFonts w:hint="eastAsia" w:ascii="宋体" w:hAnsi="宋体"/>
          <w:highlight w:val="none"/>
        </w:rPr>
      </w:pPr>
      <w:r>
        <w:rPr>
          <w:rFonts w:hint="eastAsia" w:ascii="宋体" w:hAnsi="宋体"/>
          <w:highlight w:val="none"/>
        </w:rPr>
        <w:t>程序源代码（光盘形式）。</w:t>
      </w:r>
    </w:p>
    <w:p w14:paraId="13EBD7B0">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系统维护、售后服务和培训</w:t>
      </w:r>
    </w:p>
    <w:p w14:paraId="0532A9BF">
      <w:pPr>
        <w:pStyle w:val="4"/>
        <w:numPr>
          <w:ilvl w:val="0"/>
          <w:numId w:val="18"/>
        </w:numPr>
        <w:adjustRightInd w:val="0"/>
        <w:snapToGrid w:val="0"/>
        <w:spacing w:before="0" w:after="0"/>
        <w:ind w:left="0" w:firstLine="0"/>
        <w:rPr>
          <w:rFonts w:hint="eastAsia" w:ascii="宋体" w:hAnsi="宋体" w:eastAsia="宋体"/>
          <w:b/>
          <w:sz w:val="21"/>
          <w:szCs w:val="21"/>
          <w:highlight w:val="none"/>
        </w:rPr>
      </w:pPr>
      <w:r>
        <w:rPr>
          <w:rFonts w:hint="eastAsia" w:ascii="宋体" w:hAnsi="宋体" w:eastAsia="宋体"/>
          <w:b/>
          <w:sz w:val="21"/>
          <w:szCs w:val="21"/>
          <w:highlight w:val="none"/>
        </w:rPr>
        <w:t>免费维护期</w:t>
      </w:r>
    </w:p>
    <w:p w14:paraId="1B5B849D">
      <w:pPr>
        <w:pStyle w:val="52"/>
        <w:spacing w:line="360" w:lineRule="auto"/>
        <w:rPr>
          <w:rFonts w:hint="eastAsia" w:ascii="宋体" w:hAnsi="宋体"/>
          <w:szCs w:val="21"/>
          <w:highlight w:val="none"/>
        </w:rPr>
      </w:pPr>
      <w:r>
        <w:rPr>
          <w:rFonts w:hint="eastAsia" w:ascii="宋体" w:hAnsi="宋体"/>
          <w:szCs w:val="21"/>
          <w:highlight w:val="none"/>
        </w:rPr>
        <w:t>供应商提供1年7*24小时免费应用软件维护，保证供应商所投软件系统的正常运行。免费维护期内供应商应对系统进行优化和常规安全检查；供应商应在接到报修电话通知后1小时内响应，2小时内赶到现场处理故障，4小时内修复，并使系统恢复正常运行。</w:t>
      </w:r>
    </w:p>
    <w:p w14:paraId="32984EFF">
      <w:pPr>
        <w:pStyle w:val="52"/>
        <w:spacing w:line="360" w:lineRule="auto"/>
        <w:rPr>
          <w:rFonts w:hint="eastAsia" w:ascii="宋体" w:hAnsi="宋体"/>
          <w:szCs w:val="21"/>
          <w:highlight w:val="none"/>
        </w:rPr>
      </w:pPr>
      <w:r>
        <w:rPr>
          <w:rFonts w:hint="eastAsia" w:ascii="宋体" w:hAnsi="宋体"/>
          <w:highlight w:val="none"/>
        </w:rPr>
        <w:t>免费维护期内</w:t>
      </w:r>
      <w:r>
        <w:rPr>
          <w:rFonts w:hint="eastAsia" w:ascii="宋体" w:hAnsi="宋体"/>
          <w:szCs w:val="21"/>
          <w:highlight w:val="none"/>
        </w:rPr>
        <w:t>，提供不少于5人的支撑团队，其中项目经理1人，</w:t>
      </w:r>
      <w:r>
        <w:rPr>
          <w:rFonts w:hint="eastAsia" w:ascii="宋体" w:hAnsi="宋体"/>
          <w:szCs w:val="21"/>
          <w:highlight w:val="none"/>
          <w:lang w:val="en-US" w:eastAsia="zh-CN"/>
        </w:rPr>
        <w:t>技术</w:t>
      </w:r>
      <w:r>
        <w:rPr>
          <w:rFonts w:hint="eastAsia" w:ascii="宋体" w:hAnsi="宋体"/>
          <w:szCs w:val="21"/>
          <w:highlight w:val="none"/>
        </w:rPr>
        <w:t>经理1人，技术工程师不少于3人；在现场至少派驻工程师2名，维持系统的正常运行，工作时间为用户方工作日9:00-18:00（根据用户方作息时间调整）。该驻场工程师需具有类似信息系统支持服务3年以上维护经验，并接受用户方统一管理，经过用户方确认后，无特殊原因不得随意更换，要保证人员的稳定性，更换人员需得到用户方确认。若不符合用户方要求，用户方有权利要求更换现场维护人员。</w:t>
      </w:r>
    </w:p>
    <w:p w14:paraId="28577EF9">
      <w:pPr>
        <w:pStyle w:val="52"/>
        <w:spacing w:line="360" w:lineRule="auto"/>
        <w:rPr>
          <w:rFonts w:hint="eastAsia" w:ascii="宋体" w:hAnsi="宋体"/>
          <w:szCs w:val="21"/>
          <w:highlight w:val="none"/>
        </w:rPr>
      </w:pPr>
      <w:r>
        <w:rPr>
          <w:rFonts w:hint="eastAsia" w:ascii="宋体" w:hAnsi="宋体"/>
          <w:highlight w:val="none"/>
        </w:rPr>
        <w:t>免费维护期内</w:t>
      </w:r>
      <w:r>
        <w:rPr>
          <w:rFonts w:hint="eastAsia" w:ascii="宋体" w:hAnsi="宋体"/>
          <w:szCs w:val="21"/>
          <w:highlight w:val="none"/>
        </w:rPr>
        <w:t>对系统优化和常规安全检查，并提供每月至少2次定时维护服务。</w:t>
      </w:r>
    </w:p>
    <w:p w14:paraId="7AAE3AAF">
      <w:pPr>
        <w:pStyle w:val="52"/>
        <w:spacing w:line="360" w:lineRule="auto"/>
        <w:rPr>
          <w:rFonts w:hint="eastAsia" w:ascii="宋体" w:hAnsi="宋体"/>
          <w:szCs w:val="21"/>
          <w:highlight w:val="none"/>
        </w:rPr>
      </w:pPr>
    </w:p>
    <w:p w14:paraId="00AD9051">
      <w:pPr>
        <w:pStyle w:val="4"/>
        <w:numPr>
          <w:ilvl w:val="0"/>
          <w:numId w:val="18"/>
        </w:numPr>
        <w:adjustRightInd w:val="0"/>
        <w:snapToGrid w:val="0"/>
        <w:spacing w:before="0" w:after="0"/>
        <w:ind w:left="0" w:firstLine="0"/>
        <w:rPr>
          <w:rFonts w:hint="eastAsia" w:ascii="宋体" w:hAnsi="宋体" w:eastAsia="宋体"/>
          <w:b/>
          <w:sz w:val="21"/>
          <w:szCs w:val="21"/>
          <w:highlight w:val="none"/>
        </w:rPr>
      </w:pPr>
      <w:r>
        <w:rPr>
          <w:rFonts w:hint="eastAsia" w:ascii="宋体" w:hAnsi="宋体" w:eastAsia="宋体"/>
          <w:b/>
          <w:sz w:val="21"/>
          <w:szCs w:val="21"/>
          <w:highlight w:val="none"/>
        </w:rPr>
        <w:t>售后服务</w:t>
      </w:r>
    </w:p>
    <w:p w14:paraId="7461F066">
      <w:pPr>
        <w:numPr>
          <w:ilvl w:val="0"/>
          <w:numId w:val="19"/>
        </w:numPr>
        <w:adjustRightInd w:val="0"/>
        <w:snapToGrid w:val="0"/>
        <w:spacing w:line="360" w:lineRule="auto"/>
        <w:ind w:left="0" w:firstLine="426" w:firstLineChars="203"/>
        <w:rPr>
          <w:rFonts w:hint="eastAsia" w:ascii="宋体" w:hAnsi="宋体"/>
          <w:szCs w:val="21"/>
          <w:highlight w:val="none"/>
        </w:rPr>
      </w:pPr>
      <w:r>
        <w:rPr>
          <w:rFonts w:hint="eastAsia" w:ascii="宋体" w:hAnsi="宋体"/>
          <w:bCs/>
          <w:szCs w:val="21"/>
          <w:highlight w:val="none"/>
          <w:lang w:eastAsia="zh-CN"/>
        </w:rPr>
        <w:t>供应商</w:t>
      </w:r>
      <w:r>
        <w:rPr>
          <w:rFonts w:ascii="宋体" w:hAnsi="宋体"/>
          <w:bCs/>
          <w:szCs w:val="21"/>
          <w:highlight w:val="none"/>
        </w:rPr>
        <w:t>负责所供</w:t>
      </w:r>
      <w:r>
        <w:rPr>
          <w:rFonts w:hint="eastAsia" w:ascii="宋体" w:hAnsi="宋体"/>
          <w:bCs/>
          <w:szCs w:val="21"/>
          <w:highlight w:val="none"/>
        </w:rPr>
        <w:t>软件</w:t>
      </w:r>
      <w:r>
        <w:rPr>
          <w:rFonts w:ascii="宋体" w:hAnsi="宋体"/>
          <w:bCs/>
          <w:szCs w:val="21"/>
          <w:highlight w:val="none"/>
        </w:rPr>
        <w:t>及配套产品的售后服务，包括提供所供产品技术咨询、技术培训、</w:t>
      </w:r>
      <w:r>
        <w:rPr>
          <w:rFonts w:ascii="宋体" w:hAnsi="宋体"/>
          <w:szCs w:val="21"/>
          <w:highlight w:val="none"/>
        </w:rPr>
        <w:t>到货验收、安装调试以及负责所供产品的保修及其它售后技术服务。</w:t>
      </w:r>
    </w:p>
    <w:p w14:paraId="1217BF50">
      <w:pPr>
        <w:numPr>
          <w:ilvl w:val="0"/>
          <w:numId w:val="19"/>
        </w:numPr>
        <w:adjustRightInd w:val="0"/>
        <w:snapToGrid w:val="0"/>
        <w:spacing w:line="360" w:lineRule="auto"/>
        <w:ind w:left="0" w:firstLine="426" w:firstLineChars="203"/>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需</w:t>
      </w:r>
      <w:r>
        <w:rPr>
          <w:rFonts w:ascii="宋体" w:hAnsi="宋体"/>
          <w:szCs w:val="21"/>
          <w:highlight w:val="none"/>
        </w:rPr>
        <w:t>作出无推诿承诺。即</w:t>
      </w:r>
      <w:r>
        <w:rPr>
          <w:rFonts w:hint="eastAsia" w:ascii="宋体" w:hAnsi="宋体"/>
          <w:szCs w:val="21"/>
          <w:highlight w:val="none"/>
          <w:lang w:eastAsia="zh-CN"/>
        </w:rPr>
        <w:t>供应商</w:t>
      </w:r>
      <w:r>
        <w:rPr>
          <w:rFonts w:ascii="宋体" w:hAnsi="宋体"/>
          <w:szCs w:val="21"/>
          <w:highlight w:val="none"/>
        </w:rPr>
        <w:t>应提供特殊措施，无论由于哪一方产生的问题而使系统发生不正常情况时，在得到</w:t>
      </w:r>
      <w:r>
        <w:rPr>
          <w:rFonts w:hint="eastAsia" w:ascii="宋体" w:hAnsi="宋体"/>
          <w:szCs w:val="21"/>
          <w:highlight w:val="none"/>
        </w:rPr>
        <w:t>用户</w:t>
      </w:r>
      <w:r>
        <w:rPr>
          <w:rFonts w:ascii="宋体" w:hAnsi="宋体"/>
          <w:szCs w:val="21"/>
          <w:highlight w:val="none"/>
        </w:rPr>
        <w:t>方或系统集成商通知后，立即派工程师到现场，全力协助系统集成商和其他供应商，使系统尽快恢复正常。</w:t>
      </w:r>
    </w:p>
    <w:p w14:paraId="6549980A">
      <w:pPr>
        <w:numPr>
          <w:ilvl w:val="0"/>
          <w:numId w:val="19"/>
        </w:numPr>
        <w:adjustRightInd w:val="0"/>
        <w:snapToGrid w:val="0"/>
        <w:spacing w:line="360" w:lineRule="auto"/>
        <w:ind w:left="0" w:firstLine="426" w:firstLineChars="203"/>
        <w:rPr>
          <w:rFonts w:hint="eastAsia" w:ascii="宋体" w:hAnsi="宋体"/>
          <w:szCs w:val="21"/>
          <w:highlight w:val="none"/>
        </w:rPr>
      </w:pPr>
      <w:r>
        <w:rPr>
          <w:rFonts w:hint="eastAsia" w:ascii="宋体" w:hAnsi="宋体"/>
          <w:szCs w:val="21"/>
          <w:highlight w:val="none"/>
          <w:lang w:eastAsia="zh-CN"/>
        </w:rPr>
        <w:t>供应商</w:t>
      </w:r>
      <w:r>
        <w:rPr>
          <w:rFonts w:ascii="宋体" w:hAnsi="宋体"/>
          <w:szCs w:val="21"/>
          <w:highlight w:val="none"/>
        </w:rPr>
        <w:t>应提供中文电话免费咨询服务。</w:t>
      </w:r>
    </w:p>
    <w:p w14:paraId="10F31070">
      <w:pPr>
        <w:numPr>
          <w:ilvl w:val="0"/>
          <w:numId w:val="19"/>
        </w:numPr>
        <w:adjustRightInd w:val="0"/>
        <w:snapToGrid w:val="0"/>
        <w:spacing w:line="360" w:lineRule="auto"/>
        <w:ind w:left="0" w:firstLine="426" w:firstLineChars="203"/>
        <w:rPr>
          <w:rFonts w:hint="eastAsia" w:ascii="宋体" w:hAnsi="宋体"/>
          <w:szCs w:val="21"/>
          <w:highlight w:val="none"/>
        </w:rPr>
      </w:pPr>
      <w:r>
        <w:rPr>
          <w:rFonts w:ascii="宋体" w:hAnsi="宋体"/>
          <w:szCs w:val="21"/>
          <w:highlight w:val="none"/>
        </w:rPr>
        <w:t>在质保期结束前，需由</w:t>
      </w:r>
      <w:r>
        <w:rPr>
          <w:rFonts w:hint="eastAsia" w:ascii="宋体" w:hAnsi="宋体"/>
          <w:szCs w:val="21"/>
          <w:highlight w:val="none"/>
          <w:lang w:eastAsia="zh-CN"/>
        </w:rPr>
        <w:t>供应商</w:t>
      </w:r>
      <w:r>
        <w:rPr>
          <w:rFonts w:ascii="宋体" w:hAnsi="宋体"/>
          <w:szCs w:val="21"/>
          <w:highlight w:val="none"/>
        </w:rPr>
        <w:t>工程师和用户代表进行一次全面检查，任何缺陷由</w:t>
      </w:r>
      <w:r>
        <w:rPr>
          <w:rFonts w:hint="eastAsia" w:ascii="宋体" w:hAnsi="宋体"/>
          <w:szCs w:val="21"/>
          <w:highlight w:val="none"/>
          <w:lang w:eastAsia="zh-CN"/>
        </w:rPr>
        <w:t>供应商</w:t>
      </w:r>
      <w:r>
        <w:rPr>
          <w:rFonts w:ascii="宋体" w:hAnsi="宋体"/>
          <w:szCs w:val="21"/>
          <w:highlight w:val="none"/>
        </w:rPr>
        <w:t>负责修理，在修理之后，</w:t>
      </w:r>
      <w:r>
        <w:rPr>
          <w:rFonts w:hint="eastAsia" w:ascii="宋体" w:hAnsi="宋体"/>
          <w:szCs w:val="21"/>
          <w:highlight w:val="none"/>
          <w:lang w:eastAsia="zh-CN"/>
        </w:rPr>
        <w:t>供应商</w:t>
      </w:r>
      <w:r>
        <w:rPr>
          <w:rFonts w:ascii="宋体" w:hAnsi="宋体"/>
          <w:szCs w:val="21"/>
          <w:highlight w:val="none"/>
        </w:rPr>
        <w:t>应将缺陷原因、修理内容、完成修理及恢复正常的时间和日期等报告给用户，报告一式两份。</w:t>
      </w:r>
    </w:p>
    <w:p w14:paraId="6BC2760F">
      <w:pPr>
        <w:numPr>
          <w:ilvl w:val="0"/>
          <w:numId w:val="19"/>
        </w:numPr>
        <w:adjustRightInd w:val="0"/>
        <w:snapToGrid w:val="0"/>
        <w:spacing w:line="360" w:lineRule="auto"/>
        <w:ind w:left="0" w:firstLine="426" w:firstLineChars="203"/>
        <w:rPr>
          <w:rFonts w:hint="eastAsia" w:ascii="宋体" w:hAnsi="宋体"/>
          <w:szCs w:val="21"/>
          <w:highlight w:val="none"/>
        </w:rPr>
      </w:pPr>
      <w:r>
        <w:rPr>
          <w:rFonts w:ascii="宋体" w:hAnsi="宋体"/>
          <w:szCs w:val="21"/>
          <w:highlight w:val="none"/>
        </w:rPr>
        <w:t>为切实保障应用软件功能系统的顺利运行，总体方案需要考虑相关的培训功能。为工程提供优质的整体服务，保障工程的整体质量。培训应包括对运行平台的技术培训，以及对应用功能软件的操作培训。</w:t>
      </w:r>
    </w:p>
    <w:p w14:paraId="537521B7">
      <w:pPr>
        <w:numPr>
          <w:ilvl w:val="0"/>
          <w:numId w:val="19"/>
        </w:numPr>
        <w:adjustRightInd w:val="0"/>
        <w:snapToGrid w:val="0"/>
        <w:spacing w:line="360" w:lineRule="auto"/>
        <w:ind w:left="0" w:firstLine="426" w:firstLineChars="203"/>
        <w:rPr>
          <w:rFonts w:hint="eastAsia" w:ascii="宋体" w:hAnsi="宋体"/>
          <w:szCs w:val="21"/>
          <w:highlight w:val="none"/>
        </w:rPr>
      </w:pPr>
      <w:r>
        <w:rPr>
          <w:rFonts w:ascii="宋体" w:hAnsi="宋体"/>
          <w:szCs w:val="21"/>
          <w:highlight w:val="none"/>
        </w:rPr>
        <w:t>需要在</w:t>
      </w:r>
      <w:r>
        <w:rPr>
          <w:rFonts w:hint="eastAsia" w:ascii="宋体" w:hAnsi="宋体"/>
          <w:szCs w:val="21"/>
          <w:highlight w:val="none"/>
          <w:lang w:eastAsia="zh-CN"/>
        </w:rPr>
        <w:t>供应商</w:t>
      </w:r>
      <w:r>
        <w:rPr>
          <w:rFonts w:ascii="宋体" w:hAnsi="宋体"/>
          <w:szCs w:val="21"/>
          <w:highlight w:val="none"/>
        </w:rPr>
        <w:t>方案书中对售后服务的任务内容和服务方式进行详细罗列与界定，对于需要用户方面配合的内容也可同时加以说明。</w:t>
      </w:r>
    </w:p>
    <w:p w14:paraId="0F258E43">
      <w:pPr>
        <w:numPr>
          <w:ilvl w:val="0"/>
          <w:numId w:val="19"/>
        </w:numPr>
        <w:adjustRightInd w:val="0"/>
        <w:snapToGrid w:val="0"/>
        <w:spacing w:line="360" w:lineRule="auto"/>
        <w:ind w:left="0" w:firstLine="426" w:firstLineChars="203"/>
        <w:rPr>
          <w:rFonts w:hint="eastAsia" w:ascii="宋体" w:hAnsi="宋体"/>
          <w:szCs w:val="21"/>
          <w:highlight w:val="none"/>
        </w:rPr>
      </w:pPr>
      <w:r>
        <w:rPr>
          <w:rFonts w:hint="eastAsia" w:ascii="宋体" w:hAnsi="宋体"/>
          <w:szCs w:val="21"/>
          <w:highlight w:val="none"/>
        </w:rPr>
        <w:t>用户</w:t>
      </w:r>
      <w:r>
        <w:rPr>
          <w:rFonts w:ascii="宋体" w:hAnsi="宋体"/>
          <w:szCs w:val="21"/>
          <w:highlight w:val="none"/>
        </w:rPr>
        <w:t>方有权要求</w:t>
      </w:r>
      <w:r>
        <w:rPr>
          <w:rFonts w:hint="eastAsia" w:ascii="宋体" w:hAnsi="宋体"/>
          <w:szCs w:val="21"/>
          <w:highlight w:val="none"/>
          <w:lang w:eastAsia="zh-CN"/>
        </w:rPr>
        <w:t>供应商</w:t>
      </w:r>
      <w:r>
        <w:rPr>
          <w:rFonts w:ascii="宋体" w:hAnsi="宋体"/>
          <w:szCs w:val="21"/>
          <w:highlight w:val="none"/>
        </w:rPr>
        <w:t>、原产品制造厂家和</w:t>
      </w:r>
      <w:r>
        <w:rPr>
          <w:rFonts w:hint="eastAsia" w:ascii="宋体" w:hAnsi="宋体"/>
          <w:szCs w:val="21"/>
          <w:highlight w:val="none"/>
        </w:rPr>
        <w:t>用户方</w:t>
      </w:r>
      <w:r>
        <w:rPr>
          <w:rFonts w:ascii="宋体" w:hAnsi="宋体"/>
          <w:szCs w:val="21"/>
          <w:highlight w:val="none"/>
        </w:rPr>
        <w:t>指定的系统集成商共同签署书面文件，就</w:t>
      </w:r>
      <w:r>
        <w:rPr>
          <w:rFonts w:hint="eastAsia" w:ascii="宋体" w:hAnsi="宋体"/>
          <w:szCs w:val="21"/>
          <w:highlight w:val="none"/>
          <w:lang w:eastAsia="zh-CN"/>
        </w:rPr>
        <w:t>供应商</w:t>
      </w:r>
      <w:r>
        <w:rPr>
          <w:rFonts w:ascii="宋体" w:hAnsi="宋体"/>
          <w:szCs w:val="21"/>
          <w:highlight w:val="none"/>
        </w:rPr>
        <w:t>向</w:t>
      </w:r>
      <w:r>
        <w:rPr>
          <w:rFonts w:hint="eastAsia" w:ascii="宋体" w:hAnsi="宋体"/>
          <w:szCs w:val="21"/>
          <w:highlight w:val="none"/>
        </w:rPr>
        <w:t>用户</w:t>
      </w:r>
      <w:r>
        <w:rPr>
          <w:rFonts w:ascii="宋体" w:hAnsi="宋体"/>
          <w:szCs w:val="21"/>
          <w:highlight w:val="none"/>
        </w:rPr>
        <w:t>方提供设备的售后服务内容、质量保证、各自责任和合作事项等达成协议并共同对用户的利益负责。</w:t>
      </w:r>
    </w:p>
    <w:p w14:paraId="24D19FF3">
      <w:pPr>
        <w:numPr>
          <w:ilvl w:val="0"/>
          <w:numId w:val="19"/>
        </w:numPr>
        <w:adjustRightInd w:val="0"/>
        <w:snapToGrid w:val="0"/>
        <w:spacing w:line="360" w:lineRule="auto"/>
        <w:ind w:left="0" w:firstLine="426" w:firstLineChars="203"/>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需提供免费维护期后的服务方案情况及年维护费用报价情况。</w:t>
      </w:r>
    </w:p>
    <w:p w14:paraId="7D2FBB8A">
      <w:pPr>
        <w:pStyle w:val="4"/>
        <w:numPr>
          <w:ilvl w:val="0"/>
          <w:numId w:val="18"/>
        </w:numPr>
        <w:adjustRightInd w:val="0"/>
        <w:snapToGrid w:val="0"/>
        <w:spacing w:before="0" w:after="0"/>
        <w:ind w:left="0" w:firstLine="0"/>
        <w:rPr>
          <w:rFonts w:hint="eastAsia" w:ascii="宋体" w:hAnsi="宋体" w:eastAsia="宋体"/>
          <w:b/>
          <w:sz w:val="21"/>
          <w:szCs w:val="21"/>
          <w:highlight w:val="none"/>
        </w:rPr>
      </w:pPr>
      <w:r>
        <w:rPr>
          <w:rFonts w:hint="eastAsia" w:ascii="宋体" w:hAnsi="宋体" w:eastAsia="宋体"/>
          <w:b/>
          <w:sz w:val="21"/>
          <w:szCs w:val="21"/>
          <w:highlight w:val="none"/>
        </w:rPr>
        <w:t>人员培训</w:t>
      </w:r>
    </w:p>
    <w:p w14:paraId="3E8D9B4B">
      <w:pPr>
        <w:autoSpaceDE w:val="0"/>
        <w:autoSpaceDN w:val="0"/>
        <w:adjustRightInd w:val="0"/>
        <w:snapToGrid w:val="0"/>
        <w:spacing w:line="360" w:lineRule="auto"/>
        <w:ind w:firstLine="420"/>
        <w:rPr>
          <w:rFonts w:hint="eastAsia" w:ascii="宋体" w:hAnsi="宋体"/>
          <w:bCs/>
          <w:szCs w:val="21"/>
          <w:highlight w:val="none"/>
        </w:rPr>
      </w:pPr>
      <w:r>
        <w:rPr>
          <w:rFonts w:hint="eastAsia" w:ascii="宋体" w:hAnsi="宋体"/>
          <w:szCs w:val="21"/>
          <w:highlight w:val="none"/>
          <w:lang w:eastAsia="zh-CN"/>
        </w:rPr>
        <w:t>供应商</w:t>
      </w:r>
      <w:r>
        <w:rPr>
          <w:rFonts w:hint="eastAsia" w:ascii="宋体" w:hAnsi="宋体"/>
          <w:szCs w:val="21"/>
          <w:highlight w:val="none"/>
        </w:rPr>
        <w:t>负责使用人员的培训及考核。并在项目实施后继续按照用户方要求继续定期培训（</w:t>
      </w:r>
      <w:r>
        <w:rPr>
          <w:rFonts w:hint="eastAsia"/>
          <w:highlight w:val="none"/>
        </w:rPr>
        <w:t>包括远程在线培训以及培训过程的DVD、视频录制）</w:t>
      </w:r>
      <w:r>
        <w:rPr>
          <w:rFonts w:hint="eastAsia" w:ascii="宋体" w:hAnsi="宋体"/>
          <w:szCs w:val="21"/>
          <w:highlight w:val="none"/>
        </w:rPr>
        <w:t>和考核。</w:t>
      </w:r>
      <w:r>
        <w:rPr>
          <w:rFonts w:hint="eastAsia" w:ascii="宋体" w:hAnsi="宋体"/>
          <w:bCs/>
          <w:szCs w:val="21"/>
          <w:highlight w:val="none"/>
        </w:rPr>
        <w:t>培训对象包括用户</w:t>
      </w:r>
      <w:r>
        <w:rPr>
          <w:rFonts w:ascii="宋体" w:hAnsi="宋体"/>
          <w:bCs/>
          <w:szCs w:val="21"/>
          <w:highlight w:val="none"/>
        </w:rPr>
        <w:t>方</w:t>
      </w:r>
      <w:r>
        <w:rPr>
          <w:rFonts w:hint="eastAsia" w:ascii="宋体" w:hAnsi="宋体"/>
          <w:bCs/>
          <w:szCs w:val="21"/>
          <w:highlight w:val="none"/>
        </w:rPr>
        <w:t>的系统管理员、</w:t>
      </w:r>
      <w:r>
        <w:rPr>
          <w:rFonts w:hint="eastAsia" w:ascii="宋体" w:hAnsi="宋体"/>
          <w:szCs w:val="21"/>
          <w:highlight w:val="none"/>
        </w:rPr>
        <w:t>日常维护人员、技术层面人员（包括系统开发、程序版本控制、数据库维护）；用户方和各医院的</w:t>
      </w:r>
      <w:r>
        <w:rPr>
          <w:rFonts w:hint="eastAsia" w:ascii="宋体" w:hAnsi="宋体"/>
          <w:bCs/>
          <w:szCs w:val="21"/>
          <w:highlight w:val="none"/>
        </w:rPr>
        <w:t>管理人员、操作员。系统管理人员培训内容为系统中涉及的相关技术内容；管理人员培训内容为系统流程和相关管理思想；操作员培训内容为系统的操作培训。</w:t>
      </w:r>
    </w:p>
    <w:p w14:paraId="43F21A28">
      <w:pPr>
        <w:pStyle w:val="3"/>
        <w:adjustRightInd w:val="0"/>
        <w:snapToGrid w:val="0"/>
        <w:spacing w:before="0" w:after="0" w:line="360" w:lineRule="auto"/>
        <w:ind w:left="0"/>
        <w:rPr>
          <w:rFonts w:hint="eastAsia" w:ascii="宋体" w:hAnsi="宋体" w:eastAsia="宋体"/>
          <w:b/>
          <w:sz w:val="21"/>
          <w:szCs w:val="21"/>
          <w:highlight w:val="none"/>
        </w:rPr>
      </w:pPr>
      <w:r>
        <w:rPr>
          <w:rFonts w:ascii="宋体" w:hAnsi="宋体" w:eastAsia="宋体"/>
          <w:b/>
          <w:sz w:val="21"/>
          <w:szCs w:val="21"/>
          <w:highlight w:val="none"/>
        </w:rPr>
        <w:t>知识产权承诺</w:t>
      </w:r>
    </w:p>
    <w:p w14:paraId="75E8A425">
      <w:pPr>
        <w:numPr>
          <w:ilvl w:val="0"/>
          <w:numId w:val="20"/>
        </w:numPr>
        <w:adjustRightInd w:val="0"/>
        <w:snapToGrid w:val="0"/>
        <w:spacing w:line="360" w:lineRule="auto"/>
        <w:ind w:left="0" w:firstLine="371"/>
        <w:rPr>
          <w:rFonts w:hint="eastAsia" w:ascii="宋体" w:hAnsi="宋体"/>
          <w:szCs w:val="21"/>
          <w:highlight w:val="none"/>
        </w:rPr>
      </w:pPr>
      <w:r>
        <w:rPr>
          <w:rFonts w:hint="eastAsia" w:ascii="宋体" w:hAnsi="宋体"/>
          <w:szCs w:val="21"/>
          <w:highlight w:val="none"/>
        </w:rPr>
        <w:t>本</w:t>
      </w:r>
      <w:r>
        <w:rPr>
          <w:rFonts w:ascii="宋体" w:hAnsi="宋体"/>
          <w:szCs w:val="21"/>
          <w:highlight w:val="none"/>
        </w:rPr>
        <w:t>项目</w:t>
      </w:r>
      <w:r>
        <w:rPr>
          <w:rFonts w:hint="eastAsia" w:ascii="宋体" w:hAnsi="宋体"/>
          <w:szCs w:val="21"/>
          <w:highlight w:val="none"/>
        </w:rPr>
        <w:t>中形成的知识产权（包含需求分析、系统设计、软件程序、核心技术、</w:t>
      </w:r>
      <w:r>
        <w:rPr>
          <w:rFonts w:ascii="宋体" w:hAnsi="宋体"/>
          <w:szCs w:val="21"/>
          <w:highlight w:val="none"/>
        </w:rPr>
        <w:t>数据</w:t>
      </w:r>
      <w:r>
        <w:rPr>
          <w:rFonts w:hint="eastAsia" w:ascii="宋体" w:hAnsi="宋体"/>
          <w:szCs w:val="21"/>
          <w:highlight w:val="none"/>
        </w:rPr>
        <w:t>标准、接口规范、知识库、专有方法、模板、工具包、培训材料、专有数据、技</w:t>
      </w:r>
      <w:r>
        <w:rPr>
          <w:rFonts w:ascii="宋体" w:hAnsi="宋体"/>
          <w:szCs w:val="21"/>
          <w:highlight w:val="none"/>
        </w:rPr>
        <w:t>术文档</w:t>
      </w:r>
      <w:r>
        <w:rPr>
          <w:rFonts w:hint="eastAsia" w:ascii="宋体" w:hAnsi="宋体"/>
          <w:szCs w:val="21"/>
          <w:highlight w:val="none"/>
        </w:rPr>
        <w:t>、服务模式、</w:t>
      </w:r>
      <w:r>
        <w:rPr>
          <w:rFonts w:ascii="宋体" w:hAnsi="宋体"/>
          <w:szCs w:val="21"/>
          <w:highlight w:val="none"/>
        </w:rPr>
        <w:t>运作</w:t>
      </w:r>
      <w:r>
        <w:rPr>
          <w:rFonts w:hint="eastAsia" w:ascii="宋体" w:hAnsi="宋体"/>
          <w:szCs w:val="21"/>
          <w:highlight w:val="none"/>
        </w:rPr>
        <w:t>模式等，但不限于上述形式</w:t>
      </w:r>
      <w:r>
        <w:rPr>
          <w:rFonts w:ascii="宋体" w:hAnsi="宋体"/>
          <w:szCs w:val="21"/>
          <w:highlight w:val="none"/>
        </w:rPr>
        <w:t>）</w:t>
      </w:r>
      <w:r>
        <w:rPr>
          <w:rFonts w:hint="eastAsia" w:ascii="宋体" w:hAnsi="宋体"/>
          <w:szCs w:val="21"/>
          <w:highlight w:val="none"/>
        </w:rPr>
        <w:t>归建设单位所有。</w:t>
      </w:r>
      <w:r>
        <w:rPr>
          <w:rFonts w:hint="eastAsia" w:ascii="宋体" w:hAnsi="宋体"/>
          <w:szCs w:val="21"/>
          <w:highlight w:val="none"/>
          <w:lang w:eastAsia="zh-CN"/>
        </w:rPr>
        <w:t>供应商</w:t>
      </w:r>
      <w:r>
        <w:rPr>
          <w:rFonts w:hint="eastAsia" w:ascii="宋体" w:hAnsi="宋体"/>
          <w:szCs w:val="21"/>
          <w:highlight w:val="none"/>
        </w:rPr>
        <w:t>向建设单位交付的信息系统已享有知识产权的，建设单位在许可范围内合理使用。</w:t>
      </w:r>
    </w:p>
    <w:p w14:paraId="6F8BF838">
      <w:pPr>
        <w:numPr>
          <w:ilvl w:val="0"/>
          <w:numId w:val="20"/>
        </w:numPr>
        <w:adjustRightInd w:val="0"/>
        <w:snapToGrid w:val="0"/>
        <w:spacing w:line="360" w:lineRule="auto"/>
        <w:ind w:left="0" w:firstLine="371"/>
        <w:rPr>
          <w:rFonts w:hint="eastAsia" w:ascii="宋体" w:hAnsi="宋体"/>
          <w:szCs w:val="21"/>
          <w:highlight w:val="none"/>
        </w:rPr>
      </w:pPr>
      <w:r>
        <w:rPr>
          <w:rFonts w:hint="eastAsia" w:ascii="宋体" w:hAnsi="宋体"/>
          <w:szCs w:val="21"/>
          <w:highlight w:val="none"/>
        </w:rPr>
        <w:t>本</w:t>
      </w:r>
      <w:r>
        <w:rPr>
          <w:rFonts w:ascii="宋体" w:hAnsi="宋体"/>
          <w:szCs w:val="21"/>
          <w:highlight w:val="none"/>
        </w:rPr>
        <w:t>项目</w:t>
      </w:r>
      <w:r>
        <w:rPr>
          <w:rFonts w:hint="eastAsia" w:ascii="宋体" w:hAnsi="宋体"/>
          <w:szCs w:val="21"/>
          <w:highlight w:val="none"/>
        </w:rPr>
        <w:t>中形成的知识产权的申请权、所有权与利益（包括：专利权、商标权、著作权、</w:t>
      </w:r>
      <w:r>
        <w:rPr>
          <w:highlight w:val="none"/>
        </w:rPr>
        <w:fldChar w:fldCharType="begin"/>
      </w:r>
      <w:r>
        <w:rPr>
          <w:highlight w:val="none"/>
        </w:rP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rPr>
          <w:highlight w:val="none"/>
        </w:rPr>
        <w:fldChar w:fldCharType="separate"/>
      </w:r>
      <w:r>
        <w:rPr>
          <w:rFonts w:hint="eastAsia" w:ascii="宋体" w:hAnsi="宋体"/>
          <w:szCs w:val="21"/>
          <w:highlight w:val="none"/>
        </w:rPr>
        <w:t>商业秘密</w:t>
      </w:r>
      <w:r>
        <w:rPr>
          <w:rFonts w:hint="eastAsia" w:ascii="宋体" w:hAnsi="宋体"/>
          <w:szCs w:val="21"/>
          <w:highlight w:val="none"/>
        </w:rPr>
        <w:fldChar w:fldCharType="end"/>
      </w:r>
      <w:r>
        <w:rPr>
          <w:rFonts w:hint="eastAsia" w:ascii="宋体" w:hAnsi="宋体"/>
          <w:szCs w:val="21"/>
          <w:highlight w:val="none"/>
        </w:rPr>
        <w:t>专有权等，</w:t>
      </w:r>
      <w:r>
        <w:rPr>
          <w:rFonts w:ascii="宋体" w:hAnsi="宋体"/>
          <w:szCs w:val="21"/>
          <w:highlight w:val="none"/>
        </w:rPr>
        <w:t>但</w:t>
      </w:r>
      <w:r>
        <w:rPr>
          <w:rFonts w:hint="eastAsia" w:ascii="宋体" w:hAnsi="宋体"/>
          <w:szCs w:val="21"/>
          <w:highlight w:val="none"/>
        </w:rPr>
        <w:t>不限于上述权益的申请权）归建设单位所有。未经建设单位书面同意，</w:t>
      </w:r>
      <w:r>
        <w:rPr>
          <w:rFonts w:hint="eastAsia" w:ascii="宋体" w:hAnsi="宋体"/>
          <w:szCs w:val="21"/>
          <w:highlight w:val="none"/>
          <w:lang w:eastAsia="zh-CN"/>
        </w:rPr>
        <w:t>供应商</w:t>
      </w:r>
      <w:r>
        <w:rPr>
          <w:rFonts w:hint="eastAsia" w:ascii="宋体" w:hAnsi="宋体"/>
          <w:szCs w:val="21"/>
          <w:highlight w:val="none"/>
        </w:rPr>
        <w:t>不得以任何形式申请。</w:t>
      </w:r>
    </w:p>
    <w:p w14:paraId="6EA85932">
      <w:pPr>
        <w:numPr>
          <w:ilvl w:val="0"/>
          <w:numId w:val="20"/>
        </w:numPr>
        <w:adjustRightInd w:val="0"/>
        <w:snapToGrid w:val="0"/>
        <w:spacing w:line="360" w:lineRule="auto"/>
        <w:ind w:left="0" w:firstLine="371"/>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不得以任何形式侵害本项目中形成的知识产权。未经建设单位书面同意，</w:t>
      </w:r>
      <w:r>
        <w:rPr>
          <w:rFonts w:hint="eastAsia" w:ascii="宋体" w:hAnsi="宋体"/>
          <w:szCs w:val="21"/>
          <w:highlight w:val="none"/>
          <w:lang w:eastAsia="zh-CN"/>
        </w:rPr>
        <w:t>供应商</w:t>
      </w:r>
      <w:r>
        <w:rPr>
          <w:rFonts w:hint="eastAsia" w:ascii="宋体" w:hAnsi="宋体"/>
          <w:szCs w:val="21"/>
          <w:highlight w:val="none"/>
        </w:rPr>
        <w:t>不得以任何形式提供或出售给同行业/同性质单位使用。若发生侵害行为，</w:t>
      </w:r>
      <w:r>
        <w:rPr>
          <w:rFonts w:hint="eastAsia" w:ascii="宋体" w:hAnsi="宋体"/>
          <w:szCs w:val="21"/>
          <w:highlight w:val="none"/>
          <w:lang w:eastAsia="zh-CN"/>
        </w:rPr>
        <w:t>供应商</w:t>
      </w:r>
      <w:r>
        <w:rPr>
          <w:rFonts w:hint="eastAsia" w:ascii="宋体" w:hAnsi="宋体"/>
          <w:szCs w:val="21"/>
          <w:highlight w:val="none"/>
        </w:rPr>
        <w:t>则全额赔付建设单位本项目中标金额以及</w:t>
      </w:r>
      <w:r>
        <w:rPr>
          <w:rFonts w:hint="eastAsia" w:ascii="宋体" w:hAnsi="宋体"/>
          <w:szCs w:val="21"/>
          <w:highlight w:val="none"/>
          <w:lang w:eastAsia="zh-CN"/>
        </w:rPr>
        <w:t>供应商</w:t>
      </w:r>
      <w:r>
        <w:rPr>
          <w:rFonts w:hint="eastAsia" w:ascii="宋体" w:hAnsi="宋体"/>
          <w:szCs w:val="21"/>
          <w:highlight w:val="none"/>
        </w:rPr>
        <w:t>通过侵害行为获得的全部收益。</w:t>
      </w:r>
    </w:p>
    <w:p w14:paraId="31B37BDC">
      <w:pPr>
        <w:numPr>
          <w:ilvl w:val="0"/>
          <w:numId w:val="20"/>
        </w:numPr>
        <w:adjustRightInd w:val="0"/>
        <w:snapToGrid w:val="0"/>
        <w:spacing w:line="360" w:lineRule="auto"/>
        <w:ind w:left="0" w:firstLine="371"/>
        <w:rPr>
          <w:rFonts w:hint="eastAsia" w:ascii="宋体" w:hAnsi="宋体"/>
          <w:szCs w:val="21"/>
          <w:highlight w:val="none"/>
        </w:rPr>
      </w:pPr>
      <w:r>
        <w:rPr>
          <w:rFonts w:hint="eastAsia" w:ascii="宋体" w:hAnsi="宋体"/>
          <w:szCs w:val="21"/>
          <w:highlight w:val="none"/>
        </w:rPr>
        <w:t>没有建设单位明示的书面同意，</w:t>
      </w:r>
      <w:r>
        <w:rPr>
          <w:rFonts w:hint="eastAsia" w:ascii="宋体" w:hAnsi="宋体"/>
          <w:szCs w:val="21"/>
          <w:highlight w:val="none"/>
          <w:lang w:eastAsia="zh-CN"/>
        </w:rPr>
        <w:t>供应商</w:t>
      </w:r>
      <w:r>
        <w:rPr>
          <w:rFonts w:hint="eastAsia" w:ascii="宋体" w:hAnsi="宋体"/>
          <w:szCs w:val="21"/>
          <w:highlight w:val="none"/>
        </w:rPr>
        <w:t>不能作出关于本</w:t>
      </w:r>
      <w:r>
        <w:rPr>
          <w:rFonts w:ascii="宋体" w:hAnsi="宋体"/>
          <w:szCs w:val="21"/>
          <w:highlight w:val="none"/>
        </w:rPr>
        <w:t>项目</w:t>
      </w:r>
      <w:r>
        <w:rPr>
          <w:rFonts w:hint="eastAsia" w:ascii="宋体" w:hAnsi="宋体"/>
          <w:szCs w:val="21"/>
          <w:highlight w:val="none"/>
        </w:rPr>
        <w:t>或者其条款的任何新闻公告、媒体宣传或其他形式的公开披露。</w:t>
      </w:r>
    </w:p>
    <w:p w14:paraId="53EB10D6">
      <w:pPr>
        <w:numPr>
          <w:ilvl w:val="0"/>
          <w:numId w:val="20"/>
        </w:numPr>
        <w:adjustRightInd w:val="0"/>
        <w:snapToGrid w:val="0"/>
        <w:spacing w:line="360" w:lineRule="auto"/>
        <w:ind w:left="0" w:firstLine="371"/>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提供的产品和服务等不得侵犯任何第三方的知识产权。若发生侵权行为，一切法律责任、</w:t>
      </w:r>
      <w:r>
        <w:rPr>
          <w:rFonts w:ascii="宋体" w:hAnsi="宋体"/>
          <w:szCs w:val="21"/>
          <w:highlight w:val="none"/>
        </w:rPr>
        <w:t>后果</w:t>
      </w:r>
      <w:r>
        <w:rPr>
          <w:rFonts w:hint="eastAsia" w:ascii="宋体" w:hAnsi="宋体"/>
          <w:szCs w:val="21"/>
          <w:highlight w:val="none"/>
        </w:rPr>
        <w:t>及损失均由</w:t>
      </w:r>
      <w:r>
        <w:rPr>
          <w:rFonts w:hint="eastAsia" w:ascii="宋体" w:hAnsi="宋体"/>
          <w:szCs w:val="21"/>
          <w:highlight w:val="none"/>
          <w:lang w:eastAsia="zh-CN"/>
        </w:rPr>
        <w:t>供应商</w:t>
      </w:r>
      <w:r>
        <w:rPr>
          <w:rFonts w:hint="eastAsia" w:ascii="宋体" w:hAnsi="宋体"/>
          <w:szCs w:val="21"/>
          <w:highlight w:val="none"/>
        </w:rPr>
        <w:t>承担，建设单位不承担任何法律责任及后果，且保留追责权。</w:t>
      </w:r>
    </w:p>
    <w:p w14:paraId="07AC4DC5">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保密承诺</w:t>
      </w:r>
    </w:p>
    <w:p w14:paraId="209BD80E">
      <w:pPr>
        <w:numPr>
          <w:ilvl w:val="0"/>
          <w:numId w:val="21"/>
        </w:numPr>
        <w:adjustRightInd w:val="0"/>
        <w:snapToGrid w:val="0"/>
        <w:spacing w:line="360" w:lineRule="auto"/>
        <w:ind w:left="0" w:firstLine="371"/>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承诺参与本项目的所有服务人员需严格保守与本</w:t>
      </w:r>
      <w:r>
        <w:rPr>
          <w:rFonts w:ascii="宋体" w:hAnsi="宋体"/>
          <w:szCs w:val="21"/>
          <w:highlight w:val="none"/>
        </w:rPr>
        <w:t>项目</w:t>
      </w:r>
      <w:r>
        <w:rPr>
          <w:rFonts w:hint="eastAsia" w:ascii="宋体" w:hAnsi="宋体"/>
          <w:szCs w:val="21"/>
          <w:highlight w:val="none"/>
        </w:rPr>
        <w:t>有关的技术秘密和商业秘密，任何涉及建设单位及使用单位的信息，包括但不限于数据、特有的功能需求等，未得到建设单位及使用单位的书面同意，不得对任何第三方展示、举例乃至销售，否则</w:t>
      </w:r>
      <w:r>
        <w:rPr>
          <w:rFonts w:hint="eastAsia" w:ascii="宋体" w:hAnsi="宋体"/>
          <w:szCs w:val="21"/>
          <w:highlight w:val="none"/>
          <w:lang w:eastAsia="zh-CN"/>
        </w:rPr>
        <w:t>供应商</w:t>
      </w:r>
      <w:r>
        <w:rPr>
          <w:rFonts w:hint="eastAsia" w:ascii="宋体" w:hAnsi="宋体"/>
          <w:szCs w:val="21"/>
          <w:highlight w:val="none"/>
        </w:rPr>
        <w:t>将承担由此产生的一切后果。</w:t>
      </w:r>
    </w:p>
    <w:p w14:paraId="49BFF59A">
      <w:pPr>
        <w:numPr>
          <w:ilvl w:val="0"/>
          <w:numId w:val="21"/>
        </w:numPr>
        <w:adjustRightInd w:val="0"/>
        <w:snapToGrid w:val="0"/>
        <w:spacing w:line="360" w:lineRule="auto"/>
        <w:ind w:left="0" w:firstLine="371"/>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不以实施项目为名，侵害本项目各参与单位的技术、商业秘密或者知识产权。</w:t>
      </w:r>
    </w:p>
    <w:p w14:paraId="61BCA523">
      <w:pPr>
        <w:pStyle w:val="3"/>
        <w:adjustRightInd w:val="0"/>
        <w:snapToGrid w:val="0"/>
        <w:spacing w:before="0" w:after="0" w:line="360" w:lineRule="auto"/>
        <w:ind w:left="0"/>
        <w:rPr>
          <w:rFonts w:hint="eastAsia" w:ascii="宋体" w:hAnsi="宋体" w:eastAsia="宋体"/>
          <w:b/>
          <w:sz w:val="21"/>
          <w:szCs w:val="21"/>
          <w:highlight w:val="none"/>
        </w:rPr>
      </w:pPr>
      <w:r>
        <w:rPr>
          <w:rFonts w:hint="eastAsia" w:ascii="宋体" w:hAnsi="宋体" w:eastAsia="宋体"/>
          <w:b/>
          <w:sz w:val="21"/>
          <w:szCs w:val="21"/>
          <w:highlight w:val="none"/>
        </w:rPr>
        <w:t>其他要求</w:t>
      </w:r>
    </w:p>
    <w:p w14:paraId="3E54F00D">
      <w:pPr>
        <w:adjustRightInd w:val="0"/>
        <w:snapToGrid w:val="0"/>
        <w:spacing w:line="360" w:lineRule="auto"/>
        <w:ind w:firstLine="424" w:firstLineChars="201"/>
        <w:rPr>
          <w:rFonts w:hint="eastAsia" w:ascii="宋体" w:hAnsi="宋体"/>
          <w:szCs w:val="21"/>
          <w:highlight w:val="none"/>
        </w:rPr>
      </w:pPr>
      <w:r>
        <w:rPr>
          <w:rFonts w:hint="eastAsia" w:ascii="宋体" w:hAnsi="宋体"/>
          <w:b/>
          <w:szCs w:val="21"/>
          <w:highlight w:val="none"/>
        </w:rPr>
        <w:t>报价说明：</w:t>
      </w:r>
      <w:r>
        <w:rPr>
          <w:rFonts w:hint="eastAsia" w:ascii="宋体" w:hAnsi="宋体"/>
          <w:szCs w:val="21"/>
          <w:highlight w:val="none"/>
        </w:rPr>
        <w:t>本系统所涉及运行的各类模块与现有医联工程大数据平台的对接开发费用，应包括在本次投报总价中，用户不再另行支付相关费用。</w:t>
      </w:r>
    </w:p>
    <w:bookmarkEnd w:id="1"/>
    <w:p w14:paraId="790EA34C">
      <w:pPr>
        <w:pStyle w:val="2"/>
        <w:pageBreakBefore w:val="0"/>
        <w:adjustRightInd w:val="0"/>
        <w:snapToGrid w:val="0"/>
        <w:spacing w:before="0" w:after="0" w:line="360" w:lineRule="auto"/>
        <w:ind w:left="0" w:firstLine="0"/>
        <w:rPr>
          <w:rFonts w:hint="eastAsia" w:ascii="宋体" w:hAnsi="宋体" w:eastAsia="宋体" w:cs="Arial"/>
          <w:sz w:val="21"/>
          <w:szCs w:val="21"/>
          <w:highlight w:val="none"/>
        </w:rPr>
      </w:pPr>
      <w:r>
        <w:rPr>
          <w:rFonts w:hint="eastAsia" w:ascii="宋体" w:hAnsi="宋体" w:eastAsia="宋体" w:cs="Arial"/>
          <w:sz w:val="21"/>
          <w:szCs w:val="21"/>
          <w:highlight w:val="none"/>
          <w:lang w:eastAsia="zh-CN"/>
        </w:rPr>
        <w:t>供应商</w:t>
      </w:r>
      <w:r>
        <w:rPr>
          <w:rFonts w:hint="eastAsia" w:ascii="宋体" w:hAnsi="宋体" w:eastAsia="宋体" w:cs="Arial"/>
          <w:sz w:val="21"/>
          <w:szCs w:val="21"/>
          <w:highlight w:val="none"/>
        </w:rPr>
        <w:t>要求</w:t>
      </w:r>
    </w:p>
    <w:p w14:paraId="59EAA025">
      <w:pPr>
        <w:adjustRightInd w:val="0"/>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lang w:eastAsia="zh-CN"/>
        </w:rPr>
        <w:t>供应商</w:t>
      </w:r>
      <w:r>
        <w:rPr>
          <w:rFonts w:hint="eastAsia" w:ascii="宋体" w:hAnsi="宋体"/>
          <w:szCs w:val="21"/>
          <w:highlight w:val="none"/>
        </w:rPr>
        <w:t>需提供相应的技术服务，在满足用户方的应用与需求的前提下，配合完成与“上海市医联工程”有关的系统集成工作。</w:t>
      </w:r>
    </w:p>
    <w:p w14:paraId="5D6CB40A">
      <w:pPr>
        <w:adjustRightInd w:val="0"/>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lang w:eastAsia="zh-CN"/>
        </w:rPr>
        <w:t>供应商</w:t>
      </w:r>
      <w:r>
        <w:rPr>
          <w:rFonts w:hint="eastAsia" w:ascii="宋体" w:hAnsi="宋体"/>
          <w:szCs w:val="21"/>
          <w:highlight w:val="none"/>
        </w:rPr>
        <w:t>提供的产品及其配置应该是安全、可靠和成熟的，不是技术上已经或即将淘汰的。</w:t>
      </w:r>
    </w:p>
    <w:p w14:paraId="4672D04C">
      <w:pPr>
        <w:adjustRightInd w:val="0"/>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rPr>
        <w:tab/>
      </w:r>
      <w:r>
        <w:rPr>
          <w:rFonts w:hint="eastAsia" w:ascii="宋体" w:hAnsi="宋体"/>
          <w:szCs w:val="21"/>
          <w:highlight w:val="none"/>
          <w:lang w:eastAsia="zh-CN"/>
        </w:rPr>
        <w:t>供应商</w:t>
      </w:r>
      <w:r>
        <w:rPr>
          <w:rFonts w:hint="eastAsia" w:ascii="宋体" w:hAnsi="宋体"/>
          <w:szCs w:val="21"/>
          <w:highlight w:val="none"/>
        </w:rPr>
        <w:t>提供的产品在升级、扩展时不应改变整个系统的结构、通信方式、管理模式，不应破坏应用软件的正常工作环境。</w:t>
      </w:r>
    </w:p>
    <w:p w14:paraId="3A5A85A8">
      <w:pPr>
        <w:adjustRightInd w:val="0"/>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lang w:eastAsia="zh-CN"/>
        </w:rPr>
        <w:t>供应商</w:t>
      </w:r>
      <w:r>
        <w:rPr>
          <w:rFonts w:hint="eastAsia" w:ascii="宋体" w:hAnsi="宋体"/>
          <w:szCs w:val="21"/>
          <w:highlight w:val="none"/>
        </w:rPr>
        <w:t>应该保证所提供的所有产品皆不侵犯任何第三方的版权、知识产权和其他合法权利。</w:t>
      </w:r>
    </w:p>
    <w:p w14:paraId="66B012F1">
      <w:pPr>
        <w:adjustRightInd w:val="0"/>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rPr>
        <w:tab/>
      </w:r>
      <w:r>
        <w:rPr>
          <w:rFonts w:hint="eastAsia" w:ascii="宋体" w:hAnsi="宋体"/>
          <w:szCs w:val="21"/>
          <w:highlight w:val="none"/>
        </w:rPr>
        <w:t>用户可在保证满足本项目应用需求的情况下，调整上述采购</w:t>
      </w:r>
      <w:r>
        <w:rPr>
          <w:rFonts w:hint="eastAsia"/>
          <w:lang w:val="en-US" w:eastAsia="zh-CN"/>
        </w:rPr>
        <w:t>内容</w:t>
      </w:r>
      <w:r>
        <w:rPr>
          <w:rFonts w:hint="eastAsia" w:ascii="宋体" w:hAnsi="宋体"/>
          <w:szCs w:val="21"/>
          <w:highlight w:val="none"/>
        </w:rPr>
        <w:t>的数量和配置。</w:t>
      </w:r>
    </w:p>
    <w:p w14:paraId="2226270A">
      <w:pPr>
        <w:adjustRightInd w:val="0"/>
        <w:snapToGrid w:val="0"/>
        <w:spacing w:line="360" w:lineRule="auto"/>
        <w:ind w:firstLine="424" w:firstLineChars="202"/>
        <w:rPr>
          <w:rFonts w:hint="eastAsia" w:ascii="宋体" w:hAnsi="宋体"/>
          <w:szCs w:val="21"/>
          <w:highlight w:val="yellow"/>
        </w:rPr>
      </w:pPr>
    </w:p>
    <w:sectPr>
      <w:headerReference r:id="rId3" w:type="default"/>
      <w:footerReference r:id="rId5" w:type="default"/>
      <w:headerReference r:id="rId4" w:type="even"/>
      <w:footerReference r:id="rId6" w:type="even"/>
      <w:pgSz w:w="11906" w:h="16838"/>
      <w:pgMar w:top="1440" w:right="1274" w:bottom="1440" w:left="1276"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PingFang SC">
    <w:altName w:val="思源宋体"/>
    <w:panose1 w:val="00000000000000000000"/>
    <w:charset w:val="86"/>
    <w:family w:val="auto"/>
    <w:pitch w:val="default"/>
    <w:sig w:usb0="00000000" w:usb1="00000000" w:usb2="00000017" w:usb3="00000000" w:csb0="00040001" w:csb1="00000000"/>
  </w:font>
  <w:font w:name="思源宋体">
    <w:panose1 w:val="02020400000000000000"/>
    <w:charset w:val="86"/>
    <w:family w:val="auto"/>
    <w:pitch w:val="default"/>
    <w:sig w:usb0="30000083" w:usb1="2BDF3C10" w:usb2="00000016" w:usb3="00000000" w:csb0="602E0107"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Helvetica Neue">
    <w:altName w:val="国标宋体-超大字符集"/>
    <w:panose1 w:val="00000000000000000000"/>
    <w:charset w:val="00"/>
    <w:family w:val="auto"/>
    <w:pitch w:val="default"/>
    <w:sig w:usb0="00000000" w:usb1="00000000" w:usb2="00000010" w:usb3="00000000" w:csb0="00000000" w:csb1="00000000"/>
  </w:font>
  <w:font w:name="国标宋体-超大字符集">
    <w:panose1 w:val="03000509000000000000"/>
    <w:charset w:val="86"/>
    <w:family w:val="auto"/>
    <w:pitch w:val="default"/>
    <w:sig w:usb0="00000001" w:usb1="08000000" w:usb2="00000000"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A9FB">
    <w:pPr>
      <w:pStyle w:val="18"/>
      <w:jc w:val="center"/>
    </w:pPr>
    <w:r>
      <w:fldChar w:fldCharType="begin"/>
    </w:r>
    <w:r>
      <w:instrText xml:space="preserve">PAGE   \* MERGEFORMAT</w:instrText>
    </w:r>
    <w:r>
      <w:fldChar w:fldCharType="separate"/>
    </w:r>
    <w:r>
      <w:rPr>
        <w:lang w:val="zh-CN"/>
      </w:rPr>
      <w:t>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756E">
    <w:pPr>
      <w:pStyle w:val="18"/>
      <w:jc w:val="center"/>
    </w:pPr>
    <w:r>
      <w:fldChar w:fldCharType="begin"/>
    </w:r>
    <w:r>
      <w:instrText xml:space="preserve">PAGE   \* MERGEFORMAT</w:instrText>
    </w:r>
    <w:r>
      <w:fldChar w:fldCharType="separate"/>
    </w:r>
    <w:r>
      <w:rPr>
        <w:lang w:val="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FDDA">
    <w:pPr>
      <w:pStyle w:val="1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807F">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CB875"/>
    <w:multiLevelType w:val="multilevel"/>
    <w:tmpl w:val="873CB87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5.%2.%3."/>
      <w:lvlJc w:val="left"/>
      <w:pPr>
        <w:ind w:left="1508" w:hanging="975"/>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EB652EFD"/>
    <w:multiLevelType w:val="multilevel"/>
    <w:tmpl w:val="EB652EFD"/>
    <w:lvl w:ilvl="0" w:tentative="0">
      <w:start w:val="1"/>
      <w:numFmt w:val="decimal"/>
      <w:lvlText w:val="5.2.%1."/>
      <w:lvlJc w:val="left"/>
      <w:pPr>
        <w:ind w:left="420" w:hanging="420"/>
      </w:pPr>
      <w:rPr>
        <w:rFonts w:hint="default" w:ascii="宋体" w:hAnsi="宋体" w:eastAsia="宋体"/>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00DB081F"/>
    <w:multiLevelType w:val="singleLevel"/>
    <w:tmpl w:val="00DB081F"/>
    <w:lvl w:ilvl="0" w:tentative="0">
      <w:start w:val="1"/>
      <w:numFmt w:val="decimalEnclosedCircleChinese"/>
      <w:suff w:val="nothing"/>
      <w:lvlText w:val="%1　"/>
      <w:lvlJc w:val="left"/>
      <w:pPr>
        <w:ind w:left="0" w:firstLine="400"/>
      </w:pPr>
      <w:rPr>
        <w:rFonts w:hint="eastAsia"/>
      </w:rPr>
    </w:lvl>
  </w:abstractNum>
  <w:abstractNum w:abstractNumId="4">
    <w:nsid w:val="09E96428"/>
    <w:multiLevelType w:val="multilevel"/>
    <w:tmpl w:val="09E964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
    <w:nsid w:val="0B765953"/>
    <w:multiLevelType w:val="singleLevel"/>
    <w:tmpl w:val="0B765953"/>
    <w:lvl w:ilvl="0" w:tentative="0">
      <w:start w:val="1"/>
      <w:numFmt w:val="decimalEnclosedCircleChinese"/>
      <w:suff w:val="nothing"/>
      <w:lvlText w:val="%1　"/>
      <w:lvlJc w:val="left"/>
      <w:pPr>
        <w:ind w:left="0" w:firstLine="400"/>
      </w:pPr>
      <w:rPr>
        <w:rFonts w:hint="eastAsia"/>
      </w:rPr>
    </w:lvl>
  </w:abstractNum>
  <w:abstractNum w:abstractNumId="6">
    <w:nsid w:val="0C3C10A4"/>
    <w:multiLevelType w:val="multilevel"/>
    <w:tmpl w:val="0C3C10A4"/>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0C4A135A"/>
    <w:multiLevelType w:val="multilevel"/>
    <w:tmpl w:val="0C4A135A"/>
    <w:lvl w:ilvl="0" w:tentative="0">
      <w:start w:val="1"/>
      <w:numFmt w:val="decimal"/>
      <w:pStyle w:val="2"/>
      <w:lvlText w:val="%1."/>
      <w:lvlJc w:val="left"/>
      <w:pPr>
        <w:ind w:left="425" w:hanging="425"/>
      </w:pPr>
      <w:rPr>
        <w:rFonts w:hint="default"/>
      </w:rPr>
    </w:lvl>
    <w:lvl w:ilvl="1" w:tentative="0">
      <w:start w:val="1"/>
      <w:numFmt w:val="decimal"/>
      <w:pStyle w:val="3"/>
      <w:suff w:val="space"/>
      <w:lvlText w:val="%1.%2."/>
      <w:lvlJc w:val="left"/>
      <w:pPr>
        <w:ind w:left="270" w:firstLine="0"/>
      </w:pPr>
      <w:rPr>
        <w:rFonts w:hint="eastAsia" w:ascii="宋体" w:hAnsi="宋体" w:eastAsia="宋体"/>
        <w:b/>
        <w:lang w:val="en-US"/>
      </w:rPr>
    </w:lvl>
    <w:lvl w:ilvl="2" w:tentative="0">
      <w:start w:val="1"/>
      <w:numFmt w:val="bullet"/>
      <w:lvlText w:val=""/>
      <w:lvlJc w:val="left"/>
      <w:pPr>
        <w:ind w:left="4679" w:firstLine="0"/>
      </w:pPr>
      <w:rPr>
        <w:rFonts w:hint="default" w:ascii="Wingdings" w:hAnsi="Wingdings"/>
      </w:rPr>
    </w:lvl>
    <w:lvl w:ilvl="3" w:tentative="0">
      <w:start w:val="1"/>
      <w:numFmt w:val="decimal"/>
      <w:pStyle w:val="5"/>
      <w:suff w:val="space"/>
      <w:lvlText w:val="%1.%2.%3.%4."/>
      <w:lvlJc w:val="left"/>
      <w:pPr>
        <w:ind w:left="0" w:firstLine="0"/>
      </w:pPr>
      <w:rPr>
        <w:rFonts w:hint="eastAsia"/>
      </w:rPr>
    </w:lvl>
    <w:lvl w:ilvl="4" w:tentative="0">
      <w:start w:val="1"/>
      <w:numFmt w:val="decimal"/>
      <w:pStyle w:val="6"/>
      <w:suff w:val="space"/>
      <w:lvlText w:val="%1.%2.%3.%4.%5."/>
      <w:lvlJc w:val="left"/>
      <w:pPr>
        <w:ind w:left="0" w:firstLine="0"/>
      </w:pPr>
      <w:rPr>
        <w:rFonts w:hint="eastAsia"/>
      </w:rPr>
    </w:lvl>
    <w:lvl w:ilvl="5" w:tentative="0">
      <w:start w:val="1"/>
      <w:numFmt w:val="decimal"/>
      <w:pStyle w:val="7"/>
      <w:suff w:val="space"/>
      <w:lvlText w:val="%1.%2.%3.%4.%5.%6."/>
      <w:lvlJc w:val="left"/>
      <w:pPr>
        <w:ind w:left="0" w:firstLine="0"/>
      </w:pPr>
      <w:rPr>
        <w:rFonts w:hint="eastAsia"/>
      </w:rPr>
    </w:lvl>
    <w:lvl w:ilvl="6" w:tentative="0">
      <w:start w:val="1"/>
      <w:numFmt w:val="decimal"/>
      <w:pStyle w:val="8"/>
      <w:suff w:val="space"/>
      <w:lvlText w:val="%1.%2.%3.%4.%5.%6.%7."/>
      <w:lvlJc w:val="left"/>
      <w:pPr>
        <w:ind w:left="0" w:firstLine="0"/>
      </w:pPr>
      <w:rPr>
        <w:rFonts w:hint="eastAsia"/>
      </w:rPr>
    </w:lvl>
    <w:lvl w:ilvl="7" w:tentative="0">
      <w:start w:val="1"/>
      <w:numFmt w:val="decimal"/>
      <w:pStyle w:val="9"/>
      <w:suff w:val="space"/>
      <w:lvlText w:val="%1.%2.%3.%4.%5.%6.%7.%8."/>
      <w:lvlJc w:val="left"/>
      <w:pPr>
        <w:ind w:left="0" w:firstLine="0"/>
      </w:pPr>
      <w:rPr>
        <w:rFonts w:hint="eastAsia"/>
      </w:rPr>
    </w:lvl>
    <w:lvl w:ilvl="8" w:tentative="0">
      <w:start w:val="1"/>
      <w:numFmt w:val="decimal"/>
      <w:pStyle w:val="10"/>
      <w:suff w:val="space"/>
      <w:lvlText w:val="%1.%2.%3.%4.%5.%6.%7.%8.%9."/>
      <w:lvlJc w:val="left"/>
      <w:pPr>
        <w:ind w:left="0" w:firstLine="0"/>
      </w:pPr>
      <w:rPr>
        <w:rFonts w:hint="default" w:ascii="Calibri" w:hAnsi="Calibri"/>
      </w:rPr>
    </w:lvl>
  </w:abstractNum>
  <w:abstractNum w:abstractNumId="8">
    <w:nsid w:val="115C296F"/>
    <w:multiLevelType w:val="singleLevel"/>
    <w:tmpl w:val="115C296F"/>
    <w:lvl w:ilvl="0" w:tentative="0">
      <w:start w:val="1"/>
      <w:numFmt w:val="decimalEnclosedCircleChinese"/>
      <w:suff w:val="nothing"/>
      <w:lvlText w:val="%1　"/>
      <w:lvlJc w:val="left"/>
      <w:pPr>
        <w:ind w:left="0" w:firstLine="400"/>
      </w:pPr>
      <w:rPr>
        <w:rFonts w:hint="eastAsia"/>
      </w:rPr>
    </w:lvl>
  </w:abstractNum>
  <w:abstractNum w:abstractNumId="9">
    <w:nsid w:val="13DF7746"/>
    <w:multiLevelType w:val="singleLevel"/>
    <w:tmpl w:val="13DF7746"/>
    <w:lvl w:ilvl="0" w:tentative="0">
      <w:start w:val="1"/>
      <w:numFmt w:val="decimalEnclosedCircleChinese"/>
      <w:suff w:val="nothing"/>
      <w:lvlText w:val="%1　"/>
      <w:lvlJc w:val="left"/>
      <w:pPr>
        <w:ind w:left="0" w:firstLine="400"/>
      </w:pPr>
      <w:rPr>
        <w:rFonts w:hint="eastAsia"/>
      </w:rPr>
    </w:lvl>
  </w:abstractNum>
  <w:abstractNum w:abstractNumId="10">
    <w:nsid w:val="16B009A4"/>
    <w:multiLevelType w:val="singleLevel"/>
    <w:tmpl w:val="16B009A4"/>
    <w:lvl w:ilvl="0" w:tentative="0">
      <w:start w:val="1"/>
      <w:numFmt w:val="decimalEnclosedCircleChinese"/>
      <w:suff w:val="nothing"/>
      <w:lvlText w:val="%1　"/>
      <w:lvlJc w:val="left"/>
      <w:pPr>
        <w:ind w:left="0" w:firstLine="400"/>
      </w:pPr>
      <w:rPr>
        <w:rFonts w:hint="eastAsia"/>
      </w:rPr>
    </w:lvl>
  </w:abstractNum>
  <w:abstractNum w:abstractNumId="11">
    <w:nsid w:val="19FA3C9F"/>
    <w:multiLevelType w:val="singleLevel"/>
    <w:tmpl w:val="19FA3C9F"/>
    <w:lvl w:ilvl="0" w:tentative="0">
      <w:start w:val="1"/>
      <w:numFmt w:val="decimalEnclosedCircleChinese"/>
      <w:suff w:val="nothing"/>
      <w:lvlText w:val="%1　"/>
      <w:lvlJc w:val="left"/>
      <w:pPr>
        <w:ind w:left="0" w:firstLine="400"/>
      </w:pPr>
      <w:rPr>
        <w:rFonts w:hint="eastAsia"/>
      </w:rPr>
    </w:lvl>
  </w:abstractNum>
  <w:abstractNum w:abstractNumId="12">
    <w:nsid w:val="1D7E19AA"/>
    <w:multiLevelType w:val="singleLevel"/>
    <w:tmpl w:val="1D7E19AA"/>
    <w:lvl w:ilvl="0" w:tentative="0">
      <w:start w:val="1"/>
      <w:numFmt w:val="decimalEnclosedCircleChinese"/>
      <w:suff w:val="nothing"/>
      <w:lvlText w:val="%1　"/>
      <w:lvlJc w:val="left"/>
      <w:pPr>
        <w:ind w:left="0" w:firstLine="400"/>
      </w:pPr>
      <w:rPr>
        <w:rFonts w:hint="eastAsia"/>
      </w:rPr>
    </w:lvl>
  </w:abstractNum>
  <w:abstractNum w:abstractNumId="13">
    <w:nsid w:val="1E7E072C"/>
    <w:multiLevelType w:val="multilevel"/>
    <w:tmpl w:val="1E7E07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094B277"/>
    <w:multiLevelType w:val="multilevel"/>
    <w:tmpl w:val="2094B277"/>
    <w:lvl w:ilvl="0" w:tentative="0">
      <w:start w:val="1"/>
      <w:numFmt w:val="bullet"/>
      <w:lvlText w:val=""/>
      <w:lvlJc w:val="left"/>
      <w:pPr>
        <w:tabs>
          <w:tab w:val="left" w:pos="567"/>
        </w:tabs>
        <w:ind w:left="420" w:firstLine="147"/>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0C42B37"/>
    <w:multiLevelType w:val="multilevel"/>
    <w:tmpl w:val="20C42B37"/>
    <w:lvl w:ilvl="0" w:tentative="0">
      <w:start w:val="1"/>
      <w:numFmt w:val="decimal"/>
      <w:lvlText w:val="6.5.%1."/>
      <w:lvlJc w:val="left"/>
      <w:pPr>
        <w:ind w:left="420" w:hanging="420"/>
      </w:pPr>
      <w:rPr>
        <w:rFonts w:hint="default" w:ascii="宋体" w:hAnsi="宋体" w:eastAsia="宋体"/>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DF46ABE"/>
    <w:multiLevelType w:val="singleLevel"/>
    <w:tmpl w:val="3DF46ABE"/>
    <w:lvl w:ilvl="0" w:tentative="0">
      <w:start w:val="1"/>
      <w:numFmt w:val="decimalEnclosedCircleChinese"/>
      <w:suff w:val="nothing"/>
      <w:lvlText w:val="%1　"/>
      <w:lvlJc w:val="left"/>
      <w:pPr>
        <w:ind w:left="0" w:firstLine="400"/>
      </w:pPr>
      <w:rPr>
        <w:rFonts w:hint="eastAsia"/>
      </w:rPr>
    </w:lvl>
  </w:abstractNum>
  <w:abstractNum w:abstractNumId="17">
    <w:nsid w:val="51D939D4"/>
    <w:multiLevelType w:val="singleLevel"/>
    <w:tmpl w:val="51D939D4"/>
    <w:lvl w:ilvl="0" w:tentative="0">
      <w:start w:val="1"/>
      <w:numFmt w:val="decimalEnclosedCircleChinese"/>
      <w:suff w:val="nothing"/>
      <w:lvlText w:val="%1　"/>
      <w:lvlJc w:val="left"/>
      <w:pPr>
        <w:ind w:left="0" w:firstLine="400"/>
      </w:pPr>
      <w:rPr>
        <w:rFonts w:hint="eastAsia"/>
      </w:rPr>
    </w:lvl>
  </w:abstractNum>
  <w:abstractNum w:abstractNumId="18">
    <w:nsid w:val="5F1CBE0A"/>
    <w:multiLevelType w:val="multilevel"/>
    <w:tmpl w:val="5F1CBE0A"/>
    <w:lvl w:ilvl="0" w:tentative="0">
      <w:start w:val="1"/>
      <w:numFmt w:val="decimal"/>
      <w:lvlText w:val="6.2.%1."/>
      <w:lvlJc w:val="left"/>
      <w:pPr>
        <w:ind w:left="420" w:hanging="420"/>
      </w:pPr>
      <w:rPr>
        <w:rFonts w:hint="default" w:ascii="宋体" w:hAnsi="宋体" w:eastAsia="宋体"/>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048B5"/>
    <w:multiLevelType w:val="multilevel"/>
    <w:tmpl w:val="626048B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639C1F49"/>
    <w:multiLevelType w:val="multilevel"/>
    <w:tmpl w:val="639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1"/>
  </w:num>
  <w:num w:numId="4">
    <w:abstractNumId w:val="17"/>
  </w:num>
  <w:num w:numId="5">
    <w:abstractNumId w:val="8"/>
  </w:num>
  <w:num w:numId="6">
    <w:abstractNumId w:val="9"/>
  </w:num>
  <w:num w:numId="7">
    <w:abstractNumId w:val="10"/>
  </w:num>
  <w:num w:numId="8">
    <w:abstractNumId w:val="12"/>
  </w:num>
  <w:num w:numId="9">
    <w:abstractNumId w:val="16"/>
  </w:num>
  <w:num w:numId="10">
    <w:abstractNumId w:val="5"/>
  </w:num>
  <w:num w:numId="11">
    <w:abstractNumId w:val="3"/>
  </w:num>
  <w:num w:numId="12">
    <w:abstractNumId w:val="11"/>
  </w:num>
  <w:num w:numId="13">
    <w:abstractNumId w:val="18"/>
  </w:num>
  <w:num w:numId="14">
    <w:abstractNumId w:val="20"/>
  </w:num>
  <w:num w:numId="15">
    <w:abstractNumId w:val="19"/>
  </w:num>
  <w:num w:numId="16">
    <w:abstractNumId w:val="13"/>
  </w:num>
  <w:num w:numId="17">
    <w:abstractNumId w:val="14"/>
  </w:num>
  <w:num w:numId="18">
    <w:abstractNumId w:val="15"/>
  </w:num>
  <w:num w:numId="19">
    <w:abstractNumId w:val="2"/>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mIxNzI4ZGQ3ZWQ1ZDA0YzA0YjM3YjI4NzdkMWUifQ=="/>
  </w:docVars>
  <w:rsids>
    <w:rsidRoot w:val="00C238A2"/>
    <w:rsid w:val="000004A5"/>
    <w:rsid w:val="00000C59"/>
    <w:rsid w:val="00000E8E"/>
    <w:rsid w:val="00001168"/>
    <w:rsid w:val="000022F0"/>
    <w:rsid w:val="000035C4"/>
    <w:rsid w:val="0000642A"/>
    <w:rsid w:val="000074E3"/>
    <w:rsid w:val="0000754D"/>
    <w:rsid w:val="0001083C"/>
    <w:rsid w:val="00011469"/>
    <w:rsid w:val="00011B33"/>
    <w:rsid w:val="00011D82"/>
    <w:rsid w:val="00012495"/>
    <w:rsid w:val="00012787"/>
    <w:rsid w:val="0001321C"/>
    <w:rsid w:val="00016815"/>
    <w:rsid w:val="00017091"/>
    <w:rsid w:val="0001736B"/>
    <w:rsid w:val="00017E24"/>
    <w:rsid w:val="00021C68"/>
    <w:rsid w:val="00021F93"/>
    <w:rsid w:val="0002335D"/>
    <w:rsid w:val="0002625B"/>
    <w:rsid w:val="00026420"/>
    <w:rsid w:val="00027AA8"/>
    <w:rsid w:val="00027B5C"/>
    <w:rsid w:val="000304A8"/>
    <w:rsid w:val="00030DA4"/>
    <w:rsid w:val="000314C4"/>
    <w:rsid w:val="00032A5C"/>
    <w:rsid w:val="00032D13"/>
    <w:rsid w:val="00034B77"/>
    <w:rsid w:val="00034F1E"/>
    <w:rsid w:val="000354CC"/>
    <w:rsid w:val="000360E0"/>
    <w:rsid w:val="000442DD"/>
    <w:rsid w:val="0004450E"/>
    <w:rsid w:val="00044656"/>
    <w:rsid w:val="00044935"/>
    <w:rsid w:val="00045231"/>
    <w:rsid w:val="00046347"/>
    <w:rsid w:val="000468A9"/>
    <w:rsid w:val="00047069"/>
    <w:rsid w:val="000474C9"/>
    <w:rsid w:val="00050198"/>
    <w:rsid w:val="00050243"/>
    <w:rsid w:val="00052A82"/>
    <w:rsid w:val="000537B8"/>
    <w:rsid w:val="00053E4D"/>
    <w:rsid w:val="0005498E"/>
    <w:rsid w:val="000550B5"/>
    <w:rsid w:val="000559F7"/>
    <w:rsid w:val="00055B22"/>
    <w:rsid w:val="00056D8D"/>
    <w:rsid w:val="00057939"/>
    <w:rsid w:val="00061A71"/>
    <w:rsid w:val="00065DB6"/>
    <w:rsid w:val="000669B6"/>
    <w:rsid w:val="00067339"/>
    <w:rsid w:val="00071A63"/>
    <w:rsid w:val="00071F2C"/>
    <w:rsid w:val="00072BF8"/>
    <w:rsid w:val="000731C6"/>
    <w:rsid w:val="000736CB"/>
    <w:rsid w:val="00073E6D"/>
    <w:rsid w:val="0007447A"/>
    <w:rsid w:val="000754A9"/>
    <w:rsid w:val="00075D9B"/>
    <w:rsid w:val="000773E1"/>
    <w:rsid w:val="000808B0"/>
    <w:rsid w:val="00080BA6"/>
    <w:rsid w:val="00080ED5"/>
    <w:rsid w:val="000811F2"/>
    <w:rsid w:val="00081B29"/>
    <w:rsid w:val="00081CB5"/>
    <w:rsid w:val="00081CE9"/>
    <w:rsid w:val="00083ECA"/>
    <w:rsid w:val="00084553"/>
    <w:rsid w:val="00086211"/>
    <w:rsid w:val="00087349"/>
    <w:rsid w:val="000902EA"/>
    <w:rsid w:val="00090767"/>
    <w:rsid w:val="000913E1"/>
    <w:rsid w:val="00092BC4"/>
    <w:rsid w:val="00093782"/>
    <w:rsid w:val="00094410"/>
    <w:rsid w:val="00094D52"/>
    <w:rsid w:val="000960D4"/>
    <w:rsid w:val="00097FBB"/>
    <w:rsid w:val="000A12A1"/>
    <w:rsid w:val="000A2904"/>
    <w:rsid w:val="000A2A4F"/>
    <w:rsid w:val="000A2A8C"/>
    <w:rsid w:val="000A38C3"/>
    <w:rsid w:val="000A39D4"/>
    <w:rsid w:val="000A3B8B"/>
    <w:rsid w:val="000A3E20"/>
    <w:rsid w:val="000A4F33"/>
    <w:rsid w:val="000A6691"/>
    <w:rsid w:val="000A7F72"/>
    <w:rsid w:val="000B1D97"/>
    <w:rsid w:val="000B2A7A"/>
    <w:rsid w:val="000B42F8"/>
    <w:rsid w:val="000B510A"/>
    <w:rsid w:val="000B5AB7"/>
    <w:rsid w:val="000B63D9"/>
    <w:rsid w:val="000C03EA"/>
    <w:rsid w:val="000C0B82"/>
    <w:rsid w:val="000C1F6B"/>
    <w:rsid w:val="000C22A6"/>
    <w:rsid w:val="000C243B"/>
    <w:rsid w:val="000C24C7"/>
    <w:rsid w:val="000C4727"/>
    <w:rsid w:val="000C503B"/>
    <w:rsid w:val="000C5312"/>
    <w:rsid w:val="000C59A1"/>
    <w:rsid w:val="000C5AB2"/>
    <w:rsid w:val="000C6633"/>
    <w:rsid w:val="000C6A4E"/>
    <w:rsid w:val="000C6CAE"/>
    <w:rsid w:val="000C6F37"/>
    <w:rsid w:val="000C7855"/>
    <w:rsid w:val="000D0003"/>
    <w:rsid w:val="000D032B"/>
    <w:rsid w:val="000D07B5"/>
    <w:rsid w:val="000D1B89"/>
    <w:rsid w:val="000D391F"/>
    <w:rsid w:val="000D3F52"/>
    <w:rsid w:val="000D4019"/>
    <w:rsid w:val="000D5244"/>
    <w:rsid w:val="000D701F"/>
    <w:rsid w:val="000E06FA"/>
    <w:rsid w:val="000E0F8F"/>
    <w:rsid w:val="000E1706"/>
    <w:rsid w:val="000E1B4A"/>
    <w:rsid w:val="000E1D63"/>
    <w:rsid w:val="000E1F6A"/>
    <w:rsid w:val="000E29B3"/>
    <w:rsid w:val="000E365A"/>
    <w:rsid w:val="000E5002"/>
    <w:rsid w:val="000E64E1"/>
    <w:rsid w:val="000E6919"/>
    <w:rsid w:val="000F1CE2"/>
    <w:rsid w:val="000F2707"/>
    <w:rsid w:val="000F2C64"/>
    <w:rsid w:val="000F3107"/>
    <w:rsid w:val="000F3C0D"/>
    <w:rsid w:val="000F550A"/>
    <w:rsid w:val="000F647E"/>
    <w:rsid w:val="000F6E6D"/>
    <w:rsid w:val="000F7636"/>
    <w:rsid w:val="000F7904"/>
    <w:rsid w:val="00100CAC"/>
    <w:rsid w:val="00101AC1"/>
    <w:rsid w:val="0010240E"/>
    <w:rsid w:val="001025F7"/>
    <w:rsid w:val="00102D92"/>
    <w:rsid w:val="00104FE3"/>
    <w:rsid w:val="001056CC"/>
    <w:rsid w:val="00105D2C"/>
    <w:rsid w:val="001062D0"/>
    <w:rsid w:val="00107A35"/>
    <w:rsid w:val="001114E0"/>
    <w:rsid w:val="00111AD1"/>
    <w:rsid w:val="00111AFD"/>
    <w:rsid w:val="00111DA0"/>
    <w:rsid w:val="00111E8C"/>
    <w:rsid w:val="00115293"/>
    <w:rsid w:val="001172FF"/>
    <w:rsid w:val="001179CF"/>
    <w:rsid w:val="00121DCB"/>
    <w:rsid w:val="00121E3D"/>
    <w:rsid w:val="00123BBC"/>
    <w:rsid w:val="00123F72"/>
    <w:rsid w:val="001242F2"/>
    <w:rsid w:val="00124420"/>
    <w:rsid w:val="0012563F"/>
    <w:rsid w:val="001257C4"/>
    <w:rsid w:val="00125C18"/>
    <w:rsid w:val="00125C62"/>
    <w:rsid w:val="00126F9F"/>
    <w:rsid w:val="00130AA1"/>
    <w:rsid w:val="001312F3"/>
    <w:rsid w:val="00132308"/>
    <w:rsid w:val="00132325"/>
    <w:rsid w:val="00134307"/>
    <w:rsid w:val="00135DD0"/>
    <w:rsid w:val="0013774E"/>
    <w:rsid w:val="00140BC5"/>
    <w:rsid w:val="00142AF0"/>
    <w:rsid w:val="001437FB"/>
    <w:rsid w:val="001447B1"/>
    <w:rsid w:val="00145010"/>
    <w:rsid w:val="001465E0"/>
    <w:rsid w:val="001467E7"/>
    <w:rsid w:val="00146FE3"/>
    <w:rsid w:val="0014794D"/>
    <w:rsid w:val="001479C4"/>
    <w:rsid w:val="00147D79"/>
    <w:rsid w:val="00150237"/>
    <w:rsid w:val="00150D87"/>
    <w:rsid w:val="00151C87"/>
    <w:rsid w:val="00151E47"/>
    <w:rsid w:val="0015250F"/>
    <w:rsid w:val="00152CB1"/>
    <w:rsid w:val="00153692"/>
    <w:rsid w:val="0015396D"/>
    <w:rsid w:val="00153BE3"/>
    <w:rsid w:val="00153C59"/>
    <w:rsid w:val="00154976"/>
    <w:rsid w:val="00154F3D"/>
    <w:rsid w:val="00156BE7"/>
    <w:rsid w:val="0016041D"/>
    <w:rsid w:val="00161F10"/>
    <w:rsid w:val="00162DCB"/>
    <w:rsid w:val="00163B4F"/>
    <w:rsid w:val="00163B75"/>
    <w:rsid w:val="00163D12"/>
    <w:rsid w:val="001640C5"/>
    <w:rsid w:val="001658FD"/>
    <w:rsid w:val="0016684A"/>
    <w:rsid w:val="001705EA"/>
    <w:rsid w:val="0017118D"/>
    <w:rsid w:val="0017119A"/>
    <w:rsid w:val="00171218"/>
    <w:rsid w:val="0017292B"/>
    <w:rsid w:val="00174FA8"/>
    <w:rsid w:val="0017797B"/>
    <w:rsid w:val="00177F49"/>
    <w:rsid w:val="001803BD"/>
    <w:rsid w:val="00181B2D"/>
    <w:rsid w:val="00182101"/>
    <w:rsid w:val="00182415"/>
    <w:rsid w:val="00182D67"/>
    <w:rsid w:val="001845E3"/>
    <w:rsid w:val="00184BD1"/>
    <w:rsid w:val="001900C2"/>
    <w:rsid w:val="00192173"/>
    <w:rsid w:val="00192CF0"/>
    <w:rsid w:val="001930A2"/>
    <w:rsid w:val="00194C28"/>
    <w:rsid w:val="001967D4"/>
    <w:rsid w:val="00197DED"/>
    <w:rsid w:val="001A02DC"/>
    <w:rsid w:val="001A2805"/>
    <w:rsid w:val="001A2BCA"/>
    <w:rsid w:val="001A3D32"/>
    <w:rsid w:val="001A4B0D"/>
    <w:rsid w:val="001A6F5D"/>
    <w:rsid w:val="001A7042"/>
    <w:rsid w:val="001A7BB3"/>
    <w:rsid w:val="001B0612"/>
    <w:rsid w:val="001B1013"/>
    <w:rsid w:val="001B1701"/>
    <w:rsid w:val="001B23FF"/>
    <w:rsid w:val="001B3648"/>
    <w:rsid w:val="001B3D9F"/>
    <w:rsid w:val="001B3E8F"/>
    <w:rsid w:val="001B7DF1"/>
    <w:rsid w:val="001B7F38"/>
    <w:rsid w:val="001C0DC5"/>
    <w:rsid w:val="001C1F10"/>
    <w:rsid w:val="001C25DC"/>
    <w:rsid w:val="001C2CBB"/>
    <w:rsid w:val="001C3DE3"/>
    <w:rsid w:val="001C52C6"/>
    <w:rsid w:val="001C6AE7"/>
    <w:rsid w:val="001C6BBF"/>
    <w:rsid w:val="001C6C10"/>
    <w:rsid w:val="001C7470"/>
    <w:rsid w:val="001D029B"/>
    <w:rsid w:val="001D07FE"/>
    <w:rsid w:val="001D1063"/>
    <w:rsid w:val="001D420F"/>
    <w:rsid w:val="001D423C"/>
    <w:rsid w:val="001D4561"/>
    <w:rsid w:val="001D46AB"/>
    <w:rsid w:val="001D480D"/>
    <w:rsid w:val="001D4F2F"/>
    <w:rsid w:val="001D5250"/>
    <w:rsid w:val="001D61FC"/>
    <w:rsid w:val="001D7400"/>
    <w:rsid w:val="001D78F8"/>
    <w:rsid w:val="001E1210"/>
    <w:rsid w:val="001E3273"/>
    <w:rsid w:val="001E3DC1"/>
    <w:rsid w:val="001E430A"/>
    <w:rsid w:val="001E6B32"/>
    <w:rsid w:val="001E6FF7"/>
    <w:rsid w:val="001E76F6"/>
    <w:rsid w:val="001E7930"/>
    <w:rsid w:val="001E7A17"/>
    <w:rsid w:val="001F0C37"/>
    <w:rsid w:val="001F175A"/>
    <w:rsid w:val="001F249D"/>
    <w:rsid w:val="001F2C9B"/>
    <w:rsid w:val="001F5444"/>
    <w:rsid w:val="001F6E00"/>
    <w:rsid w:val="001F6E4A"/>
    <w:rsid w:val="0020153A"/>
    <w:rsid w:val="00201BEE"/>
    <w:rsid w:val="00202062"/>
    <w:rsid w:val="002022FB"/>
    <w:rsid w:val="0020253B"/>
    <w:rsid w:val="00202D11"/>
    <w:rsid w:val="00203375"/>
    <w:rsid w:val="00203B01"/>
    <w:rsid w:val="00203BFE"/>
    <w:rsid w:val="0020420A"/>
    <w:rsid w:val="00204315"/>
    <w:rsid w:val="0020450F"/>
    <w:rsid w:val="00207A33"/>
    <w:rsid w:val="00207B34"/>
    <w:rsid w:val="00210F9D"/>
    <w:rsid w:val="0021103B"/>
    <w:rsid w:val="00211D39"/>
    <w:rsid w:val="002129E7"/>
    <w:rsid w:val="00212A39"/>
    <w:rsid w:val="00214018"/>
    <w:rsid w:val="0021590A"/>
    <w:rsid w:val="00215D36"/>
    <w:rsid w:val="00216D43"/>
    <w:rsid w:val="00220C24"/>
    <w:rsid w:val="00222308"/>
    <w:rsid w:val="002229DC"/>
    <w:rsid w:val="00222B4D"/>
    <w:rsid w:val="00223E58"/>
    <w:rsid w:val="002252DA"/>
    <w:rsid w:val="00226261"/>
    <w:rsid w:val="0022703C"/>
    <w:rsid w:val="00230A17"/>
    <w:rsid w:val="002319A4"/>
    <w:rsid w:val="0023235B"/>
    <w:rsid w:val="00233584"/>
    <w:rsid w:val="00234429"/>
    <w:rsid w:val="00234C32"/>
    <w:rsid w:val="002352B1"/>
    <w:rsid w:val="00235550"/>
    <w:rsid w:val="002358AE"/>
    <w:rsid w:val="00235B74"/>
    <w:rsid w:val="00236BA0"/>
    <w:rsid w:val="0024068A"/>
    <w:rsid w:val="00240C82"/>
    <w:rsid w:val="00241477"/>
    <w:rsid w:val="00242CB6"/>
    <w:rsid w:val="002440A2"/>
    <w:rsid w:val="00244277"/>
    <w:rsid w:val="00247848"/>
    <w:rsid w:val="00247E93"/>
    <w:rsid w:val="002527DA"/>
    <w:rsid w:val="00252BB2"/>
    <w:rsid w:val="00253E15"/>
    <w:rsid w:val="0025460B"/>
    <w:rsid w:val="002558C7"/>
    <w:rsid w:val="00255C46"/>
    <w:rsid w:val="0025608D"/>
    <w:rsid w:val="002561B9"/>
    <w:rsid w:val="0025656E"/>
    <w:rsid w:val="00257114"/>
    <w:rsid w:val="0025746C"/>
    <w:rsid w:val="00260013"/>
    <w:rsid w:val="00260B8D"/>
    <w:rsid w:val="00262093"/>
    <w:rsid w:val="0026258E"/>
    <w:rsid w:val="00262DFC"/>
    <w:rsid w:val="00263287"/>
    <w:rsid w:val="00263E86"/>
    <w:rsid w:val="00265AFE"/>
    <w:rsid w:val="00265F83"/>
    <w:rsid w:val="002662BF"/>
    <w:rsid w:val="002662C5"/>
    <w:rsid w:val="0026661E"/>
    <w:rsid w:val="00267AC2"/>
    <w:rsid w:val="00270154"/>
    <w:rsid w:val="002701D5"/>
    <w:rsid w:val="002714B4"/>
    <w:rsid w:val="00271D6C"/>
    <w:rsid w:val="00272190"/>
    <w:rsid w:val="002728F4"/>
    <w:rsid w:val="00273B25"/>
    <w:rsid w:val="00273DC2"/>
    <w:rsid w:val="00274DA4"/>
    <w:rsid w:val="00275C87"/>
    <w:rsid w:val="00275DCB"/>
    <w:rsid w:val="00280ADD"/>
    <w:rsid w:val="00280F9B"/>
    <w:rsid w:val="0028234B"/>
    <w:rsid w:val="002841C0"/>
    <w:rsid w:val="00285213"/>
    <w:rsid w:val="002853C3"/>
    <w:rsid w:val="00286985"/>
    <w:rsid w:val="00286C72"/>
    <w:rsid w:val="002904ED"/>
    <w:rsid w:val="00290A00"/>
    <w:rsid w:val="00291D5C"/>
    <w:rsid w:val="0029264A"/>
    <w:rsid w:val="00294565"/>
    <w:rsid w:val="002959C9"/>
    <w:rsid w:val="00296178"/>
    <w:rsid w:val="002968E9"/>
    <w:rsid w:val="002A105C"/>
    <w:rsid w:val="002A1675"/>
    <w:rsid w:val="002A2F06"/>
    <w:rsid w:val="002A331D"/>
    <w:rsid w:val="002A4017"/>
    <w:rsid w:val="002A4132"/>
    <w:rsid w:val="002A4C09"/>
    <w:rsid w:val="002B07A6"/>
    <w:rsid w:val="002B142D"/>
    <w:rsid w:val="002B2C0A"/>
    <w:rsid w:val="002B62EB"/>
    <w:rsid w:val="002B7DEC"/>
    <w:rsid w:val="002C3DFC"/>
    <w:rsid w:val="002C51D9"/>
    <w:rsid w:val="002C577C"/>
    <w:rsid w:val="002C597E"/>
    <w:rsid w:val="002C5D33"/>
    <w:rsid w:val="002C79E3"/>
    <w:rsid w:val="002C7D00"/>
    <w:rsid w:val="002C7ED0"/>
    <w:rsid w:val="002D24A9"/>
    <w:rsid w:val="002D2D7D"/>
    <w:rsid w:val="002D31A6"/>
    <w:rsid w:val="002D4C43"/>
    <w:rsid w:val="002D7A9E"/>
    <w:rsid w:val="002E29C9"/>
    <w:rsid w:val="002E49D3"/>
    <w:rsid w:val="002E4BE6"/>
    <w:rsid w:val="002E7030"/>
    <w:rsid w:val="002E711F"/>
    <w:rsid w:val="002E7BD7"/>
    <w:rsid w:val="002F079D"/>
    <w:rsid w:val="002F1A92"/>
    <w:rsid w:val="002F2EE3"/>
    <w:rsid w:val="002F4C81"/>
    <w:rsid w:val="002F5039"/>
    <w:rsid w:val="002F5122"/>
    <w:rsid w:val="002F5E20"/>
    <w:rsid w:val="002F6BCB"/>
    <w:rsid w:val="002F6CF7"/>
    <w:rsid w:val="002F74DE"/>
    <w:rsid w:val="002F780C"/>
    <w:rsid w:val="003007BE"/>
    <w:rsid w:val="00300BF1"/>
    <w:rsid w:val="00301EFC"/>
    <w:rsid w:val="00302888"/>
    <w:rsid w:val="00311B99"/>
    <w:rsid w:val="00312936"/>
    <w:rsid w:val="00312B50"/>
    <w:rsid w:val="0031362D"/>
    <w:rsid w:val="00313A72"/>
    <w:rsid w:val="00313D6F"/>
    <w:rsid w:val="0031417E"/>
    <w:rsid w:val="0031476D"/>
    <w:rsid w:val="00314E58"/>
    <w:rsid w:val="0031519F"/>
    <w:rsid w:val="0031587B"/>
    <w:rsid w:val="0031592A"/>
    <w:rsid w:val="0031663C"/>
    <w:rsid w:val="00316A64"/>
    <w:rsid w:val="003224FA"/>
    <w:rsid w:val="00323B50"/>
    <w:rsid w:val="00323C7F"/>
    <w:rsid w:val="00323DF0"/>
    <w:rsid w:val="00323E69"/>
    <w:rsid w:val="00325636"/>
    <w:rsid w:val="0032714B"/>
    <w:rsid w:val="0033103D"/>
    <w:rsid w:val="003351EA"/>
    <w:rsid w:val="0033553A"/>
    <w:rsid w:val="00335EDF"/>
    <w:rsid w:val="00335FA5"/>
    <w:rsid w:val="00341344"/>
    <w:rsid w:val="00342C3C"/>
    <w:rsid w:val="00344CF6"/>
    <w:rsid w:val="003465BE"/>
    <w:rsid w:val="003513E5"/>
    <w:rsid w:val="00351840"/>
    <w:rsid w:val="00352811"/>
    <w:rsid w:val="0035319C"/>
    <w:rsid w:val="00353362"/>
    <w:rsid w:val="00354319"/>
    <w:rsid w:val="003546EF"/>
    <w:rsid w:val="00354957"/>
    <w:rsid w:val="00355FF8"/>
    <w:rsid w:val="00356062"/>
    <w:rsid w:val="0035615E"/>
    <w:rsid w:val="0035753E"/>
    <w:rsid w:val="00360F23"/>
    <w:rsid w:val="003619CC"/>
    <w:rsid w:val="00362062"/>
    <w:rsid w:val="00363322"/>
    <w:rsid w:val="00366208"/>
    <w:rsid w:val="003707D2"/>
    <w:rsid w:val="00371653"/>
    <w:rsid w:val="0037179B"/>
    <w:rsid w:val="00372452"/>
    <w:rsid w:val="0037473D"/>
    <w:rsid w:val="00374DD9"/>
    <w:rsid w:val="00375478"/>
    <w:rsid w:val="0037548F"/>
    <w:rsid w:val="003756E1"/>
    <w:rsid w:val="003762A9"/>
    <w:rsid w:val="00376B06"/>
    <w:rsid w:val="00376BCD"/>
    <w:rsid w:val="0038034F"/>
    <w:rsid w:val="003803E9"/>
    <w:rsid w:val="00380AC9"/>
    <w:rsid w:val="00381C2C"/>
    <w:rsid w:val="003820B2"/>
    <w:rsid w:val="00383066"/>
    <w:rsid w:val="00383BD4"/>
    <w:rsid w:val="00384BE6"/>
    <w:rsid w:val="00385EF7"/>
    <w:rsid w:val="00387818"/>
    <w:rsid w:val="00391108"/>
    <w:rsid w:val="003921C0"/>
    <w:rsid w:val="00392602"/>
    <w:rsid w:val="00392B76"/>
    <w:rsid w:val="003931F8"/>
    <w:rsid w:val="00393302"/>
    <w:rsid w:val="00393C04"/>
    <w:rsid w:val="00393DA5"/>
    <w:rsid w:val="0039592B"/>
    <w:rsid w:val="00396505"/>
    <w:rsid w:val="00396DBC"/>
    <w:rsid w:val="00396ED7"/>
    <w:rsid w:val="00396EF4"/>
    <w:rsid w:val="00397403"/>
    <w:rsid w:val="003A1E73"/>
    <w:rsid w:val="003A26E7"/>
    <w:rsid w:val="003A2C55"/>
    <w:rsid w:val="003A3121"/>
    <w:rsid w:val="003A3D94"/>
    <w:rsid w:val="003A425F"/>
    <w:rsid w:val="003A42A2"/>
    <w:rsid w:val="003A4B14"/>
    <w:rsid w:val="003A555E"/>
    <w:rsid w:val="003A683B"/>
    <w:rsid w:val="003A722D"/>
    <w:rsid w:val="003B09F3"/>
    <w:rsid w:val="003B0CEA"/>
    <w:rsid w:val="003B4381"/>
    <w:rsid w:val="003B45F8"/>
    <w:rsid w:val="003B61D4"/>
    <w:rsid w:val="003B696C"/>
    <w:rsid w:val="003B6EBC"/>
    <w:rsid w:val="003C1E16"/>
    <w:rsid w:val="003C212B"/>
    <w:rsid w:val="003C22D0"/>
    <w:rsid w:val="003C53A0"/>
    <w:rsid w:val="003C636A"/>
    <w:rsid w:val="003C7127"/>
    <w:rsid w:val="003D0BBA"/>
    <w:rsid w:val="003D0E86"/>
    <w:rsid w:val="003D22E2"/>
    <w:rsid w:val="003D29A7"/>
    <w:rsid w:val="003D40C9"/>
    <w:rsid w:val="003D4FD3"/>
    <w:rsid w:val="003D5649"/>
    <w:rsid w:val="003D5EB9"/>
    <w:rsid w:val="003D6293"/>
    <w:rsid w:val="003D6EDF"/>
    <w:rsid w:val="003D78B1"/>
    <w:rsid w:val="003E1983"/>
    <w:rsid w:val="003E2792"/>
    <w:rsid w:val="003E366F"/>
    <w:rsid w:val="003E36F4"/>
    <w:rsid w:val="003E5394"/>
    <w:rsid w:val="003E59C4"/>
    <w:rsid w:val="003E71A9"/>
    <w:rsid w:val="003E754F"/>
    <w:rsid w:val="003F04C2"/>
    <w:rsid w:val="003F06E7"/>
    <w:rsid w:val="003F4AE8"/>
    <w:rsid w:val="003F4F49"/>
    <w:rsid w:val="003F6193"/>
    <w:rsid w:val="003F6AC5"/>
    <w:rsid w:val="003F6BCD"/>
    <w:rsid w:val="0040178D"/>
    <w:rsid w:val="004019E8"/>
    <w:rsid w:val="004049A6"/>
    <w:rsid w:val="00404C31"/>
    <w:rsid w:val="004079F6"/>
    <w:rsid w:val="00407C60"/>
    <w:rsid w:val="00407FEB"/>
    <w:rsid w:val="004105B7"/>
    <w:rsid w:val="00411552"/>
    <w:rsid w:val="004123C7"/>
    <w:rsid w:val="004125C7"/>
    <w:rsid w:val="00412CD9"/>
    <w:rsid w:val="00413CB1"/>
    <w:rsid w:val="004149DB"/>
    <w:rsid w:val="00415142"/>
    <w:rsid w:val="00415E08"/>
    <w:rsid w:val="00416BA9"/>
    <w:rsid w:val="004178A4"/>
    <w:rsid w:val="004202FB"/>
    <w:rsid w:val="00421C2C"/>
    <w:rsid w:val="004224D6"/>
    <w:rsid w:val="004237E5"/>
    <w:rsid w:val="0042473A"/>
    <w:rsid w:val="00424918"/>
    <w:rsid w:val="0042635C"/>
    <w:rsid w:val="00426E91"/>
    <w:rsid w:val="004274B3"/>
    <w:rsid w:val="00427E0C"/>
    <w:rsid w:val="004320D6"/>
    <w:rsid w:val="0043269C"/>
    <w:rsid w:val="00432AD7"/>
    <w:rsid w:val="00432C8E"/>
    <w:rsid w:val="004354CD"/>
    <w:rsid w:val="00435714"/>
    <w:rsid w:val="00435F7B"/>
    <w:rsid w:val="004362FD"/>
    <w:rsid w:val="004379BB"/>
    <w:rsid w:val="00437BD5"/>
    <w:rsid w:val="004416C3"/>
    <w:rsid w:val="004421A9"/>
    <w:rsid w:val="00442774"/>
    <w:rsid w:val="00443719"/>
    <w:rsid w:val="0044504F"/>
    <w:rsid w:val="00446A5A"/>
    <w:rsid w:val="0044737E"/>
    <w:rsid w:val="004473AD"/>
    <w:rsid w:val="00447AE4"/>
    <w:rsid w:val="0045041B"/>
    <w:rsid w:val="00450AFA"/>
    <w:rsid w:val="00450FD3"/>
    <w:rsid w:val="00451E26"/>
    <w:rsid w:val="00451E88"/>
    <w:rsid w:val="00451FB6"/>
    <w:rsid w:val="004520E5"/>
    <w:rsid w:val="00452614"/>
    <w:rsid w:val="0045304C"/>
    <w:rsid w:val="00453593"/>
    <w:rsid w:val="004538B6"/>
    <w:rsid w:val="0046209B"/>
    <w:rsid w:val="00467B59"/>
    <w:rsid w:val="00470A93"/>
    <w:rsid w:val="004718E9"/>
    <w:rsid w:val="00471B98"/>
    <w:rsid w:val="00471D78"/>
    <w:rsid w:val="004724E0"/>
    <w:rsid w:val="00472895"/>
    <w:rsid w:val="0047409D"/>
    <w:rsid w:val="00474936"/>
    <w:rsid w:val="00476A06"/>
    <w:rsid w:val="00477552"/>
    <w:rsid w:val="00477A11"/>
    <w:rsid w:val="0048183C"/>
    <w:rsid w:val="00481D8D"/>
    <w:rsid w:val="00483F81"/>
    <w:rsid w:val="0048494B"/>
    <w:rsid w:val="00486509"/>
    <w:rsid w:val="00491346"/>
    <w:rsid w:val="00492534"/>
    <w:rsid w:val="00493C03"/>
    <w:rsid w:val="004945DF"/>
    <w:rsid w:val="00495D16"/>
    <w:rsid w:val="00497592"/>
    <w:rsid w:val="004A0C3A"/>
    <w:rsid w:val="004A283A"/>
    <w:rsid w:val="004A33DC"/>
    <w:rsid w:val="004A3C3B"/>
    <w:rsid w:val="004A3C51"/>
    <w:rsid w:val="004A3FFD"/>
    <w:rsid w:val="004A74C3"/>
    <w:rsid w:val="004A758E"/>
    <w:rsid w:val="004A7C83"/>
    <w:rsid w:val="004B0108"/>
    <w:rsid w:val="004B1F54"/>
    <w:rsid w:val="004B2128"/>
    <w:rsid w:val="004B37AD"/>
    <w:rsid w:val="004B565A"/>
    <w:rsid w:val="004B5911"/>
    <w:rsid w:val="004B5ADF"/>
    <w:rsid w:val="004B60E4"/>
    <w:rsid w:val="004B6BEF"/>
    <w:rsid w:val="004B715D"/>
    <w:rsid w:val="004B7170"/>
    <w:rsid w:val="004C058C"/>
    <w:rsid w:val="004C0E74"/>
    <w:rsid w:val="004C0EA6"/>
    <w:rsid w:val="004C15E6"/>
    <w:rsid w:val="004C1A28"/>
    <w:rsid w:val="004C1CE4"/>
    <w:rsid w:val="004C37EE"/>
    <w:rsid w:val="004C3AA0"/>
    <w:rsid w:val="004C59E9"/>
    <w:rsid w:val="004C5F68"/>
    <w:rsid w:val="004C6193"/>
    <w:rsid w:val="004C678B"/>
    <w:rsid w:val="004C6BC4"/>
    <w:rsid w:val="004D026D"/>
    <w:rsid w:val="004D0678"/>
    <w:rsid w:val="004D16B1"/>
    <w:rsid w:val="004D277C"/>
    <w:rsid w:val="004D2AFF"/>
    <w:rsid w:val="004D391C"/>
    <w:rsid w:val="004D39F3"/>
    <w:rsid w:val="004D412A"/>
    <w:rsid w:val="004D4B24"/>
    <w:rsid w:val="004D5940"/>
    <w:rsid w:val="004D5AEF"/>
    <w:rsid w:val="004D6DA7"/>
    <w:rsid w:val="004E0DD1"/>
    <w:rsid w:val="004E3683"/>
    <w:rsid w:val="004E4B1A"/>
    <w:rsid w:val="004E5E27"/>
    <w:rsid w:val="004E6030"/>
    <w:rsid w:val="004E622E"/>
    <w:rsid w:val="004E63EB"/>
    <w:rsid w:val="004E68E6"/>
    <w:rsid w:val="004E6EBC"/>
    <w:rsid w:val="004E7C4E"/>
    <w:rsid w:val="004F0E2D"/>
    <w:rsid w:val="004F24E8"/>
    <w:rsid w:val="004F261F"/>
    <w:rsid w:val="004F2DE7"/>
    <w:rsid w:val="004F3CF1"/>
    <w:rsid w:val="004F5347"/>
    <w:rsid w:val="004F57A0"/>
    <w:rsid w:val="004F6267"/>
    <w:rsid w:val="004F678A"/>
    <w:rsid w:val="004F6A69"/>
    <w:rsid w:val="004F6BCE"/>
    <w:rsid w:val="004F7F70"/>
    <w:rsid w:val="00500794"/>
    <w:rsid w:val="005007EB"/>
    <w:rsid w:val="00502F36"/>
    <w:rsid w:val="00504215"/>
    <w:rsid w:val="00504877"/>
    <w:rsid w:val="0050592E"/>
    <w:rsid w:val="0050597B"/>
    <w:rsid w:val="00510F03"/>
    <w:rsid w:val="00511015"/>
    <w:rsid w:val="00511B4F"/>
    <w:rsid w:val="00511F72"/>
    <w:rsid w:val="005124C4"/>
    <w:rsid w:val="0051364F"/>
    <w:rsid w:val="00513A51"/>
    <w:rsid w:val="00516E36"/>
    <w:rsid w:val="0052038D"/>
    <w:rsid w:val="00520652"/>
    <w:rsid w:val="005206B0"/>
    <w:rsid w:val="0052453C"/>
    <w:rsid w:val="0052475B"/>
    <w:rsid w:val="00524958"/>
    <w:rsid w:val="00524BD0"/>
    <w:rsid w:val="005263D4"/>
    <w:rsid w:val="00526F19"/>
    <w:rsid w:val="005274C9"/>
    <w:rsid w:val="0052755A"/>
    <w:rsid w:val="00527C37"/>
    <w:rsid w:val="00530FBC"/>
    <w:rsid w:val="00531668"/>
    <w:rsid w:val="00532296"/>
    <w:rsid w:val="005340C1"/>
    <w:rsid w:val="00534FED"/>
    <w:rsid w:val="00535595"/>
    <w:rsid w:val="005402CD"/>
    <w:rsid w:val="00541085"/>
    <w:rsid w:val="00541F95"/>
    <w:rsid w:val="005422CD"/>
    <w:rsid w:val="005440FE"/>
    <w:rsid w:val="00544534"/>
    <w:rsid w:val="00546DEA"/>
    <w:rsid w:val="0054713C"/>
    <w:rsid w:val="00547913"/>
    <w:rsid w:val="00547C58"/>
    <w:rsid w:val="00547F91"/>
    <w:rsid w:val="0055014A"/>
    <w:rsid w:val="0055135E"/>
    <w:rsid w:val="0055180E"/>
    <w:rsid w:val="0055190C"/>
    <w:rsid w:val="005529A2"/>
    <w:rsid w:val="00554D0F"/>
    <w:rsid w:val="005568C4"/>
    <w:rsid w:val="00556B65"/>
    <w:rsid w:val="00556BCB"/>
    <w:rsid w:val="0056169E"/>
    <w:rsid w:val="00563250"/>
    <w:rsid w:val="00563B84"/>
    <w:rsid w:val="005655E4"/>
    <w:rsid w:val="0056616E"/>
    <w:rsid w:val="00567236"/>
    <w:rsid w:val="0057011A"/>
    <w:rsid w:val="005709C1"/>
    <w:rsid w:val="0057102B"/>
    <w:rsid w:val="0057262F"/>
    <w:rsid w:val="00573457"/>
    <w:rsid w:val="00573595"/>
    <w:rsid w:val="00573D58"/>
    <w:rsid w:val="00574975"/>
    <w:rsid w:val="00577E91"/>
    <w:rsid w:val="005804A7"/>
    <w:rsid w:val="005805B2"/>
    <w:rsid w:val="00580653"/>
    <w:rsid w:val="00582E8F"/>
    <w:rsid w:val="00586604"/>
    <w:rsid w:val="005906D2"/>
    <w:rsid w:val="00594CBA"/>
    <w:rsid w:val="00595DB1"/>
    <w:rsid w:val="005963F1"/>
    <w:rsid w:val="0059651B"/>
    <w:rsid w:val="005A0CA7"/>
    <w:rsid w:val="005A1D96"/>
    <w:rsid w:val="005A2085"/>
    <w:rsid w:val="005A2939"/>
    <w:rsid w:val="005A2E96"/>
    <w:rsid w:val="005A36EE"/>
    <w:rsid w:val="005A3887"/>
    <w:rsid w:val="005A5CFA"/>
    <w:rsid w:val="005A7A8C"/>
    <w:rsid w:val="005A7F97"/>
    <w:rsid w:val="005B07A5"/>
    <w:rsid w:val="005B151D"/>
    <w:rsid w:val="005B153D"/>
    <w:rsid w:val="005B3C39"/>
    <w:rsid w:val="005B3EDD"/>
    <w:rsid w:val="005B471E"/>
    <w:rsid w:val="005B4A51"/>
    <w:rsid w:val="005B4F1E"/>
    <w:rsid w:val="005B50A8"/>
    <w:rsid w:val="005B53E2"/>
    <w:rsid w:val="005B5807"/>
    <w:rsid w:val="005B5A38"/>
    <w:rsid w:val="005B74B9"/>
    <w:rsid w:val="005C1132"/>
    <w:rsid w:val="005C436B"/>
    <w:rsid w:val="005C5589"/>
    <w:rsid w:val="005C6159"/>
    <w:rsid w:val="005C7013"/>
    <w:rsid w:val="005C7248"/>
    <w:rsid w:val="005D07EF"/>
    <w:rsid w:val="005D1831"/>
    <w:rsid w:val="005D337C"/>
    <w:rsid w:val="005D35E0"/>
    <w:rsid w:val="005D36ED"/>
    <w:rsid w:val="005D4466"/>
    <w:rsid w:val="005D6619"/>
    <w:rsid w:val="005D663C"/>
    <w:rsid w:val="005D6C37"/>
    <w:rsid w:val="005D7970"/>
    <w:rsid w:val="005E11C2"/>
    <w:rsid w:val="005E1822"/>
    <w:rsid w:val="005E2609"/>
    <w:rsid w:val="005E40E2"/>
    <w:rsid w:val="005E577B"/>
    <w:rsid w:val="005E5D1A"/>
    <w:rsid w:val="005E6077"/>
    <w:rsid w:val="005E6B59"/>
    <w:rsid w:val="005F0183"/>
    <w:rsid w:val="005F01E2"/>
    <w:rsid w:val="005F0330"/>
    <w:rsid w:val="005F087E"/>
    <w:rsid w:val="005F1AAE"/>
    <w:rsid w:val="005F2547"/>
    <w:rsid w:val="005F25D1"/>
    <w:rsid w:val="005F53EC"/>
    <w:rsid w:val="005F7A63"/>
    <w:rsid w:val="00600BE0"/>
    <w:rsid w:val="006022BC"/>
    <w:rsid w:val="00604655"/>
    <w:rsid w:val="00604B82"/>
    <w:rsid w:val="00604E1B"/>
    <w:rsid w:val="00604F4A"/>
    <w:rsid w:val="00606C66"/>
    <w:rsid w:val="006074A9"/>
    <w:rsid w:val="00610885"/>
    <w:rsid w:val="00611709"/>
    <w:rsid w:val="006117BD"/>
    <w:rsid w:val="0061240C"/>
    <w:rsid w:val="0061301D"/>
    <w:rsid w:val="006138D5"/>
    <w:rsid w:val="00613A27"/>
    <w:rsid w:val="00613AA8"/>
    <w:rsid w:val="00615346"/>
    <w:rsid w:val="00615EFB"/>
    <w:rsid w:val="0061606D"/>
    <w:rsid w:val="00620312"/>
    <w:rsid w:val="00621A4A"/>
    <w:rsid w:val="00621C88"/>
    <w:rsid w:val="00621F78"/>
    <w:rsid w:val="006227AC"/>
    <w:rsid w:val="00622D69"/>
    <w:rsid w:val="006231B4"/>
    <w:rsid w:val="006237B6"/>
    <w:rsid w:val="0062440B"/>
    <w:rsid w:val="00624932"/>
    <w:rsid w:val="00624BFB"/>
    <w:rsid w:val="00624C9E"/>
    <w:rsid w:val="00626715"/>
    <w:rsid w:val="0062697E"/>
    <w:rsid w:val="00626A36"/>
    <w:rsid w:val="006271A7"/>
    <w:rsid w:val="0062781B"/>
    <w:rsid w:val="00627E7C"/>
    <w:rsid w:val="006313F3"/>
    <w:rsid w:val="00636B69"/>
    <w:rsid w:val="00636DD5"/>
    <w:rsid w:val="006373C1"/>
    <w:rsid w:val="00640B6E"/>
    <w:rsid w:val="00641A3A"/>
    <w:rsid w:val="00642F93"/>
    <w:rsid w:val="00644A06"/>
    <w:rsid w:val="00646B21"/>
    <w:rsid w:val="00646CB3"/>
    <w:rsid w:val="00651BFF"/>
    <w:rsid w:val="00652951"/>
    <w:rsid w:val="00653095"/>
    <w:rsid w:val="0065368F"/>
    <w:rsid w:val="00653B2A"/>
    <w:rsid w:val="0065622C"/>
    <w:rsid w:val="00656605"/>
    <w:rsid w:val="00656DAA"/>
    <w:rsid w:val="00657E33"/>
    <w:rsid w:val="006603CC"/>
    <w:rsid w:val="0066065C"/>
    <w:rsid w:val="00660C2A"/>
    <w:rsid w:val="0066217A"/>
    <w:rsid w:val="00662302"/>
    <w:rsid w:val="00663238"/>
    <w:rsid w:val="006634B3"/>
    <w:rsid w:val="0066398D"/>
    <w:rsid w:val="00664221"/>
    <w:rsid w:val="0066589C"/>
    <w:rsid w:val="0066639D"/>
    <w:rsid w:val="0066706B"/>
    <w:rsid w:val="006702E5"/>
    <w:rsid w:val="00672832"/>
    <w:rsid w:val="00675B51"/>
    <w:rsid w:val="00676285"/>
    <w:rsid w:val="00677DBA"/>
    <w:rsid w:val="00681649"/>
    <w:rsid w:val="00681C54"/>
    <w:rsid w:val="00681E7D"/>
    <w:rsid w:val="006829D7"/>
    <w:rsid w:val="0068357C"/>
    <w:rsid w:val="00683ADA"/>
    <w:rsid w:val="0068407A"/>
    <w:rsid w:val="006859CB"/>
    <w:rsid w:val="00685EBE"/>
    <w:rsid w:val="006870A8"/>
    <w:rsid w:val="00690083"/>
    <w:rsid w:val="00690ABC"/>
    <w:rsid w:val="00692CAF"/>
    <w:rsid w:val="0069307C"/>
    <w:rsid w:val="006934FD"/>
    <w:rsid w:val="00693763"/>
    <w:rsid w:val="00694408"/>
    <w:rsid w:val="00695986"/>
    <w:rsid w:val="00695AD6"/>
    <w:rsid w:val="0069620B"/>
    <w:rsid w:val="00696A49"/>
    <w:rsid w:val="00696BF1"/>
    <w:rsid w:val="00697A81"/>
    <w:rsid w:val="00697C58"/>
    <w:rsid w:val="006A069D"/>
    <w:rsid w:val="006A071C"/>
    <w:rsid w:val="006A0B1B"/>
    <w:rsid w:val="006A2060"/>
    <w:rsid w:val="006A2092"/>
    <w:rsid w:val="006A36F4"/>
    <w:rsid w:val="006A3B31"/>
    <w:rsid w:val="006A3FB8"/>
    <w:rsid w:val="006A563A"/>
    <w:rsid w:val="006A6129"/>
    <w:rsid w:val="006A758B"/>
    <w:rsid w:val="006B1DB7"/>
    <w:rsid w:val="006B20AC"/>
    <w:rsid w:val="006B21D4"/>
    <w:rsid w:val="006B21E0"/>
    <w:rsid w:val="006B23FC"/>
    <w:rsid w:val="006B2886"/>
    <w:rsid w:val="006B3E62"/>
    <w:rsid w:val="006B4831"/>
    <w:rsid w:val="006B490E"/>
    <w:rsid w:val="006B5EDF"/>
    <w:rsid w:val="006B5FB0"/>
    <w:rsid w:val="006B634E"/>
    <w:rsid w:val="006B6D73"/>
    <w:rsid w:val="006C002A"/>
    <w:rsid w:val="006C271B"/>
    <w:rsid w:val="006C36AC"/>
    <w:rsid w:val="006C474D"/>
    <w:rsid w:val="006C4D7F"/>
    <w:rsid w:val="006C528D"/>
    <w:rsid w:val="006C580A"/>
    <w:rsid w:val="006C623B"/>
    <w:rsid w:val="006D00AA"/>
    <w:rsid w:val="006D0269"/>
    <w:rsid w:val="006D0691"/>
    <w:rsid w:val="006D1D9F"/>
    <w:rsid w:val="006D1F64"/>
    <w:rsid w:val="006D2FCF"/>
    <w:rsid w:val="006D3E95"/>
    <w:rsid w:val="006D5555"/>
    <w:rsid w:val="006D5933"/>
    <w:rsid w:val="006D7208"/>
    <w:rsid w:val="006D7706"/>
    <w:rsid w:val="006E0346"/>
    <w:rsid w:val="006E0A48"/>
    <w:rsid w:val="006E13B2"/>
    <w:rsid w:val="006E1544"/>
    <w:rsid w:val="006E23C8"/>
    <w:rsid w:val="006E43E3"/>
    <w:rsid w:val="006E457E"/>
    <w:rsid w:val="006E4ECA"/>
    <w:rsid w:val="006E5181"/>
    <w:rsid w:val="006E5298"/>
    <w:rsid w:val="006F07FA"/>
    <w:rsid w:val="006F2789"/>
    <w:rsid w:val="006F51BA"/>
    <w:rsid w:val="006F7E4B"/>
    <w:rsid w:val="006F7EE7"/>
    <w:rsid w:val="0070182D"/>
    <w:rsid w:val="00701D99"/>
    <w:rsid w:val="00702909"/>
    <w:rsid w:val="0070432D"/>
    <w:rsid w:val="00705676"/>
    <w:rsid w:val="007059A3"/>
    <w:rsid w:val="00705E6C"/>
    <w:rsid w:val="00706AB2"/>
    <w:rsid w:val="00706D08"/>
    <w:rsid w:val="007109E2"/>
    <w:rsid w:val="007115DD"/>
    <w:rsid w:val="007117D2"/>
    <w:rsid w:val="007119D4"/>
    <w:rsid w:val="00712265"/>
    <w:rsid w:val="007125FE"/>
    <w:rsid w:val="00714E01"/>
    <w:rsid w:val="007150E5"/>
    <w:rsid w:val="00716045"/>
    <w:rsid w:val="00717960"/>
    <w:rsid w:val="00723322"/>
    <w:rsid w:val="00723486"/>
    <w:rsid w:val="00724F94"/>
    <w:rsid w:val="007267C4"/>
    <w:rsid w:val="0072770F"/>
    <w:rsid w:val="00731BAE"/>
    <w:rsid w:val="00732140"/>
    <w:rsid w:val="00732984"/>
    <w:rsid w:val="00732C0C"/>
    <w:rsid w:val="0073321E"/>
    <w:rsid w:val="0073322F"/>
    <w:rsid w:val="00733F2D"/>
    <w:rsid w:val="0073401E"/>
    <w:rsid w:val="0073697F"/>
    <w:rsid w:val="007369AF"/>
    <w:rsid w:val="00740B41"/>
    <w:rsid w:val="007428A0"/>
    <w:rsid w:val="00744943"/>
    <w:rsid w:val="00745CF1"/>
    <w:rsid w:val="00746383"/>
    <w:rsid w:val="00751BCA"/>
    <w:rsid w:val="00751DFE"/>
    <w:rsid w:val="00752EC3"/>
    <w:rsid w:val="00755441"/>
    <w:rsid w:val="00755E1C"/>
    <w:rsid w:val="0075722C"/>
    <w:rsid w:val="00757E58"/>
    <w:rsid w:val="007616C5"/>
    <w:rsid w:val="007626AF"/>
    <w:rsid w:val="007646DB"/>
    <w:rsid w:val="00766730"/>
    <w:rsid w:val="007672B0"/>
    <w:rsid w:val="00767301"/>
    <w:rsid w:val="00767634"/>
    <w:rsid w:val="00770BBA"/>
    <w:rsid w:val="00770D78"/>
    <w:rsid w:val="0077338C"/>
    <w:rsid w:val="00773983"/>
    <w:rsid w:val="0077455F"/>
    <w:rsid w:val="00774825"/>
    <w:rsid w:val="0077484D"/>
    <w:rsid w:val="00780E5B"/>
    <w:rsid w:val="00780E87"/>
    <w:rsid w:val="0078124C"/>
    <w:rsid w:val="007817AC"/>
    <w:rsid w:val="00781815"/>
    <w:rsid w:val="00782872"/>
    <w:rsid w:val="00783C96"/>
    <w:rsid w:val="00785DB1"/>
    <w:rsid w:val="00786A79"/>
    <w:rsid w:val="007872C6"/>
    <w:rsid w:val="00787329"/>
    <w:rsid w:val="007874C7"/>
    <w:rsid w:val="007876C7"/>
    <w:rsid w:val="00787E53"/>
    <w:rsid w:val="00790F61"/>
    <w:rsid w:val="00791B41"/>
    <w:rsid w:val="00792395"/>
    <w:rsid w:val="007938B1"/>
    <w:rsid w:val="00793BFD"/>
    <w:rsid w:val="00794E93"/>
    <w:rsid w:val="007963A7"/>
    <w:rsid w:val="00796C5C"/>
    <w:rsid w:val="007A02EC"/>
    <w:rsid w:val="007A45C6"/>
    <w:rsid w:val="007A57C5"/>
    <w:rsid w:val="007A5B05"/>
    <w:rsid w:val="007B0647"/>
    <w:rsid w:val="007B165B"/>
    <w:rsid w:val="007B1E24"/>
    <w:rsid w:val="007B2E69"/>
    <w:rsid w:val="007B4E0F"/>
    <w:rsid w:val="007B6566"/>
    <w:rsid w:val="007B7AF8"/>
    <w:rsid w:val="007C0CB3"/>
    <w:rsid w:val="007C12E0"/>
    <w:rsid w:val="007C17E0"/>
    <w:rsid w:val="007C1EC8"/>
    <w:rsid w:val="007C2C08"/>
    <w:rsid w:val="007C37B7"/>
    <w:rsid w:val="007C3B42"/>
    <w:rsid w:val="007C4B2D"/>
    <w:rsid w:val="007C535D"/>
    <w:rsid w:val="007C7569"/>
    <w:rsid w:val="007C7BC3"/>
    <w:rsid w:val="007D0761"/>
    <w:rsid w:val="007D0FFD"/>
    <w:rsid w:val="007D1025"/>
    <w:rsid w:val="007D19C8"/>
    <w:rsid w:val="007D1F2A"/>
    <w:rsid w:val="007D21C1"/>
    <w:rsid w:val="007D2309"/>
    <w:rsid w:val="007D428F"/>
    <w:rsid w:val="007D43D7"/>
    <w:rsid w:val="007D4495"/>
    <w:rsid w:val="007D5F2C"/>
    <w:rsid w:val="007D72AE"/>
    <w:rsid w:val="007D79FE"/>
    <w:rsid w:val="007D7D74"/>
    <w:rsid w:val="007E029E"/>
    <w:rsid w:val="007E3017"/>
    <w:rsid w:val="007E58C2"/>
    <w:rsid w:val="007F0319"/>
    <w:rsid w:val="007F05A2"/>
    <w:rsid w:val="007F0BD8"/>
    <w:rsid w:val="007F2AD2"/>
    <w:rsid w:val="007F3052"/>
    <w:rsid w:val="007F3588"/>
    <w:rsid w:val="007F4ED1"/>
    <w:rsid w:val="007F7BFA"/>
    <w:rsid w:val="007F7C15"/>
    <w:rsid w:val="007F7E17"/>
    <w:rsid w:val="00801269"/>
    <w:rsid w:val="00801D72"/>
    <w:rsid w:val="008029A3"/>
    <w:rsid w:val="008034FB"/>
    <w:rsid w:val="008064CC"/>
    <w:rsid w:val="00810620"/>
    <w:rsid w:val="00810669"/>
    <w:rsid w:val="008124AB"/>
    <w:rsid w:val="0081288E"/>
    <w:rsid w:val="00813A15"/>
    <w:rsid w:val="008168B4"/>
    <w:rsid w:val="0082253D"/>
    <w:rsid w:val="00823363"/>
    <w:rsid w:val="00823E62"/>
    <w:rsid w:val="008242BB"/>
    <w:rsid w:val="008247D0"/>
    <w:rsid w:val="008258F3"/>
    <w:rsid w:val="00830C2F"/>
    <w:rsid w:val="00833084"/>
    <w:rsid w:val="00833576"/>
    <w:rsid w:val="00833A00"/>
    <w:rsid w:val="00835EE6"/>
    <w:rsid w:val="00836013"/>
    <w:rsid w:val="00836322"/>
    <w:rsid w:val="00836ED3"/>
    <w:rsid w:val="00836FDA"/>
    <w:rsid w:val="008375BD"/>
    <w:rsid w:val="00837ED4"/>
    <w:rsid w:val="00843A72"/>
    <w:rsid w:val="00844FB5"/>
    <w:rsid w:val="00845125"/>
    <w:rsid w:val="0084570D"/>
    <w:rsid w:val="00846186"/>
    <w:rsid w:val="008477B9"/>
    <w:rsid w:val="00847F91"/>
    <w:rsid w:val="00850211"/>
    <w:rsid w:val="008524A0"/>
    <w:rsid w:val="00852D9E"/>
    <w:rsid w:val="00853F9E"/>
    <w:rsid w:val="00855572"/>
    <w:rsid w:val="008558A1"/>
    <w:rsid w:val="008564FF"/>
    <w:rsid w:val="008566A2"/>
    <w:rsid w:val="00857DBA"/>
    <w:rsid w:val="00860228"/>
    <w:rsid w:val="00861222"/>
    <w:rsid w:val="00862408"/>
    <w:rsid w:val="00863063"/>
    <w:rsid w:val="00863397"/>
    <w:rsid w:val="00863E93"/>
    <w:rsid w:val="00865367"/>
    <w:rsid w:val="008660D1"/>
    <w:rsid w:val="008660F9"/>
    <w:rsid w:val="008662B4"/>
    <w:rsid w:val="0086732B"/>
    <w:rsid w:val="00867D1D"/>
    <w:rsid w:val="0087016A"/>
    <w:rsid w:val="00870FF1"/>
    <w:rsid w:val="00873191"/>
    <w:rsid w:val="008731FE"/>
    <w:rsid w:val="008733AC"/>
    <w:rsid w:val="00874718"/>
    <w:rsid w:val="00874B00"/>
    <w:rsid w:val="0087512B"/>
    <w:rsid w:val="00876249"/>
    <w:rsid w:val="00877137"/>
    <w:rsid w:val="0087796D"/>
    <w:rsid w:val="008800BE"/>
    <w:rsid w:val="008807A4"/>
    <w:rsid w:val="008814CC"/>
    <w:rsid w:val="008833D6"/>
    <w:rsid w:val="00884A99"/>
    <w:rsid w:val="008856E3"/>
    <w:rsid w:val="00885923"/>
    <w:rsid w:val="00886438"/>
    <w:rsid w:val="0088643D"/>
    <w:rsid w:val="00886547"/>
    <w:rsid w:val="00886DF1"/>
    <w:rsid w:val="008874FC"/>
    <w:rsid w:val="00891427"/>
    <w:rsid w:val="00891E8E"/>
    <w:rsid w:val="00892B36"/>
    <w:rsid w:val="00892E35"/>
    <w:rsid w:val="00893105"/>
    <w:rsid w:val="00893859"/>
    <w:rsid w:val="00893D27"/>
    <w:rsid w:val="00895331"/>
    <w:rsid w:val="0089621E"/>
    <w:rsid w:val="008965BA"/>
    <w:rsid w:val="008A0C54"/>
    <w:rsid w:val="008A1124"/>
    <w:rsid w:val="008A2A2B"/>
    <w:rsid w:val="008A34D7"/>
    <w:rsid w:val="008A3E1F"/>
    <w:rsid w:val="008A42E1"/>
    <w:rsid w:val="008A4E10"/>
    <w:rsid w:val="008A61B8"/>
    <w:rsid w:val="008B0082"/>
    <w:rsid w:val="008B027C"/>
    <w:rsid w:val="008B1CFD"/>
    <w:rsid w:val="008B2E10"/>
    <w:rsid w:val="008B3BCF"/>
    <w:rsid w:val="008B3C84"/>
    <w:rsid w:val="008B40A6"/>
    <w:rsid w:val="008B4A17"/>
    <w:rsid w:val="008B4AD3"/>
    <w:rsid w:val="008B4E7D"/>
    <w:rsid w:val="008B4F3F"/>
    <w:rsid w:val="008B6534"/>
    <w:rsid w:val="008B686A"/>
    <w:rsid w:val="008B6C54"/>
    <w:rsid w:val="008B79FE"/>
    <w:rsid w:val="008C027A"/>
    <w:rsid w:val="008C1BAF"/>
    <w:rsid w:val="008C2947"/>
    <w:rsid w:val="008C3792"/>
    <w:rsid w:val="008C4449"/>
    <w:rsid w:val="008C6445"/>
    <w:rsid w:val="008C673F"/>
    <w:rsid w:val="008C7EDC"/>
    <w:rsid w:val="008D1564"/>
    <w:rsid w:val="008D4E7F"/>
    <w:rsid w:val="008D5D06"/>
    <w:rsid w:val="008D5E62"/>
    <w:rsid w:val="008D7904"/>
    <w:rsid w:val="008E0D58"/>
    <w:rsid w:val="008E24E7"/>
    <w:rsid w:val="008E2FA7"/>
    <w:rsid w:val="008E344A"/>
    <w:rsid w:val="008E3661"/>
    <w:rsid w:val="008E3760"/>
    <w:rsid w:val="008E5980"/>
    <w:rsid w:val="008E7DC7"/>
    <w:rsid w:val="008F02A1"/>
    <w:rsid w:val="008F03E2"/>
    <w:rsid w:val="008F0495"/>
    <w:rsid w:val="008F12CC"/>
    <w:rsid w:val="008F1382"/>
    <w:rsid w:val="008F1A75"/>
    <w:rsid w:val="008F2FD6"/>
    <w:rsid w:val="008F3A51"/>
    <w:rsid w:val="008F448B"/>
    <w:rsid w:val="008F49E4"/>
    <w:rsid w:val="008F4F1E"/>
    <w:rsid w:val="008F5B98"/>
    <w:rsid w:val="008F7287"/>
    <w:rsid w:val="00903965"/>
    <w:rsid w:val="00903E24"/>
    <w:rsid w:val="00904048"/>
    <w:rsid w:val="00904385"/>
    <w:rsid w:val="00906367"/>
    <w:rsid w:val="00906761"/>
    <w:rsid w:val="00906EB0"/>
    <w:rsid w:val="00906FCF"/>
    <w:rsid w:val="00907363"/>
    <w:rsid w:val="00907C23"/>
    <w:rsid w:val="00912E97"/>
    <w:rsid w:val="009142CD"/>
    <w:rsid w:val="00914986"/>
    <w:rsid w:val="00916015"/>
    <w:rsid w:val="009161DD"/>
    <w:rsid w:val="0092052E"/>
    <w:rsid w:val="00921F03"/>
    <w:rsid w:val="009224C9"/>
    <w:rsid w:val="00922876"/>
    <w:rsid w:val="00922DD8"/>
    <w:rsid w:val="00923E79"/>
    <w:rsid w:val="00923F45"/>
    <w:rsid w:val="00926455"/>
    <w:rsid w:val="009300EC"/>
    <w:rsid w:val="00930174"/>
    <w:rsid w:val="0093114A"/>
    <w:rsid w:val="009313B4"/>
    <w:rsid w:val="00931BA5"/>
    <w:rsid w:val="00932059"/>
    <w:rsid w:val="009332F5"/>
    <w:rsid w:val="009342D8"/>
    <w:rsid w:val="00934B30"/>
    <w:rsid w:val="00934B87"/>
    <w:rsid w:val="00935483"/>
    <w:rsid w:val="0093770F"/>
    <w:rsid w:val="009402A5"/>
    <w:rsid w:val="009437BF"/>
    <w:rsid w:val="00944B11"/>
    <w:rsid w:val="0094689B"/>
    <w:rsid w:val="0094723B"/>
    <w:rsid w:val="009502F1"/>
    <w:rsid w:val="009509D1"/>
    <w:rsid w:val="009516F5"/>
    <w:rsid w:val="00952C29"/>
    <w:rsid w:val="009537E8"/>
    <w:rsid w:val="009545B2"/>
    <w:rsid w:val="009549B9"/>
    <w:rsid w:val="009558D0"/>
    <w:rsid w:val="009561CA"/>
    <w:rsid w:val="00957417"/>
    <w:rsid w:val="00960CC7"/>
    <w:rsid w:val="009621BE"/>
    <w:rsid w:val="0096283D"/>
    <w:rsid w:val="009638F4"/>
    <w:rsid w:val="00963B37"/>
    <w:rsid w:val="00965A80"/>
    <w:rsid w:val="00967103"/>
    <w:rsid w:val="00970D39"/>
    <w:rsid w:val="00970F97"/>
    <w:rsid w:val="0097263E"/>
    <w:rsid w:val="0097418A"/>
    <w:rsid w:val="0097495E"/>
    <w:rsid w:val="009756D7"/>
    <w:rsid w:val="00976B25"/>
    <w:rsid w:val="00976FB3"/>
    <w:rsid w:val="00982BD5"/>
    <w:rsid w:val="00982E8A"/>
    <w:rsid w:val="00986C8A"/>
    <w:rsid w:val="00990199"/>
    <w:rsid w:val="0099379F"/>
    <w:rsid w:val="00996398"/>
    <w:rsid w:val="009965E3"/>
    <w:rsid w:val="00997321"/>
    <w:rsid w:val="00997521"/>
    <w:rsid w:val="009979D1"/>
    <w:rsid w:val="009A0236"/>
    <w:rsid w:val="009A1E60"/>
    <w:rsid w:val="009A3E7E"/>
    <w:rsid w:val="009A3F78"/>
    <w:rsid w:val="009A4979"/>
    <w:rsid w:val="009A4D36"/>
    <w:rsid w:val="009A5266"/>
    <w:rsid w:val="009A5721"/>
    <w:rsid w:val="009A5F40"/>
    <w:rsid w:val="009A66EA"/>
    <w:rsid w:val="009A67D7"/>
    <w:rsid w:val="009B05F0"/>
    <w:rsid w:val="009B1D47"/>
    <w:rsid w:val="009B23F1"/>
    <w:rsid w:val="009B2C7C"/>
    <w:rsid w:val="009B495A"/>
    <w:rsid w:val="009B4A92"/>
    <w:rsid w:val="009B65C4"/>
    <w:rsid w:val="009C098A"/>
    <w:rsid w:val="009C1852"/>
    <w:rsid w:val="009C191A"/>
    <w:rsid w:val="009C1EC4"/>
    <w:rsid w:val="009C23E2"/>
    <w:rsid w:val="009C295B"/>
    <w:rsid w:val="009C29C7"/>
    <w:rsid w:val="009C5F04"/>
    <w:rsid w:val="009C5FF2"/>
    <w:rsid w:val="009C650B"/>
    <w:rsid w:val="009D074B"/>
    <w:rsid w:val="009D0FC7"/>
    <w:rsid w:val="009D22AB"/>
    <w:rsid w:val="009D3525"/>
    <w:rsid w:val="009D4E54"/>
    <w:rsid w:val="009D763B"/>
    <w:rsid w:val="009D796A"/>
    <w:rsid w:val="009E08F9"/>
    <w:rsid w:val="009E1560"/>
    <w:rsid w:val="009E1BC4"/>
    <w:rsid w:val="009E2602"/>
    <w:rsid w:val="009E30A7"/>
    <w:rsid w:val="009E30B8"/>
    <w:rsid w:val="009E35B6"/>
    <w:rsid w:val="009E35CB"/>
    <w:rsid w:val="009E5957"/>
    <w:rsid w:val="009E5E87"/>
    <w:rsid w:val="009F3917"/>
    <w:rsid w:val="009F4168"/>
    <w:rsid w:val="009F5321"/>
    <w:rsid w:val="00A00181"/>
    <w:rsid w:val="00A00BE4"/>
    <w:rsid w:val="00A010F7"/>
    <w:rsid w:val="00A01341"/>
    <w:rsid w:val="00A014D5"/>
    <w:rsid w:val="00A030CD"/>
    <w:rsid w:val="00A03E09"/>
    <w:rsid w:val="00A049DE"/>
    <w:rsid w:val="00A06747"/>
    <w:rsid w:val="00A07251"/>
    <w:rsid w:val="00A07815"/>
    <w:rsid w:val="00A12325"/>
    <w:rsid w:val="00A139FC"/>
    <w:rsid w:val="00A15B10"/>
    <w:rsid w:val="00A16943"/>
    <w:rsid w:val="00A16BCB"/>
    <w:rsid w:val="00A16C7A"/>
    <w:rsid w:val="00A176EA"/>
    <w:rsid w:val="00A2082C"/>
    <w:rsid w:val="00A21879"/>
    <w:rsid w:val="00A218A8"/>
    <w:rsid w:val="00A21E85"/>
    <w:rsid w:val="00A24EE9"/>
    <w:rsid w:val="00A26749"/>
    <w:rsid w:val="00A2702B"/>
    <w:rsid w:val="00A3001C"/>
    <w:rsid w:val="00A30B58"/>
    <w:rsid w:val="00A30E23"/>
    <w:rsid w:val="00A314B2"/>
    <w:rsid w:val="00A31ADD"/>
    <w:rsid w:val="00A32E76"/>
    <w:rsid w:val="00A33A93"/>
    <w:rsid w:val="00A35142"/>
    <w:rsid w:val="00A3550A"/>
    <w:rsid w:val="00A37DD6"/>
    <w:rsid w:val="00A40F51"/>
    <w:rsid w:val="00A41147"/>
    <w:rsid w:val="00A42044"/>
    <w:rsid w:val="00A42124"/>
    <w:rsid w:val="00A4228E"/>
    <w:rsid w:val="00A4244F"/>
    <w:rsid w:val="00A43848"/>
    <w:rsid w:val="00A43D04"/>
    <w:rsid w:val="00A458FD"/>
    <w:rsid w:val="00A46D1B"/>
    <w:rsid w:val="00A47418"/>
    <w:rsid w:val="00A47EFB"/>
    <w:rsid w:val="00A50AB6"/>
    <w:rsid w:val="00A511F6"/>
    <w:rsid w:val="00A528CD"/>
    <w:rsid w:val="00A54205"/>
    <w:rsid w:val="00A54887"/>
    <w:rsid w:val="00A555B9"/>
    <w:rsid w:val="00A55620"/>
    <w:rsid w:val="00A56411"/>
    <w:rsid w:val="00A5686E"/>
    <w:rsid w:val="00A56CF7"/>
    <w:rsid w:val="00A56D11"/>
    <w:rsid w:val="00A56F9B"/>
    <w:rsid w:val="00A57A9B"/>
    <w:rsid w:val="00A61168"/>
    <w:rsid w:val="00A614A2"/>
    <w:rsid w:val="00A62CA2"/>
    <w:rsid w:val="00A67C99"/>
    <w:rsid w:val="00A70227"/>
    <w:rsid w:val="00A7036F"/>
    <w:rsid w:val="00A72227"/>
    <w:rsid w:val="00A749B5"/>
    <w:rsid w:val="00A74CFF"/>
    <w:rsid w:val="00A803F2"/>
    <w:rsid w:val="00A809A7"/>
    <w:rsid w:val="00A8282B"/>
    <w:rsid w:val="00A8486C"/>
    <w:rsid w:val="00A86517"/>
    <w:rsid w:val="00A86688"/>
    <w:rsid w:val="00A87448"/>
    <w:rsid w:val="00A87BB6"/>
    <w:rsid w:val="00A918A0"/>
    <w:rsid w:val="00A91BEC"/>
    <w:rsid w:val="00A929F9"/>
    <w:rsid w:val="00A9328C"/>
    <w:rsid w:val="00A9573B"/>
    <w:rsid w:val="00A968F5"/>
    <w:rsid w:val="00A97205"/>
    <w:rsid w:val="00A977D9"/>
    <w:rsid w:val="00AA06EC"/>
    <w:rsid w:val="00AA087A"/>
    <w:rsid w:val="00AA4823"/>
    <w:rsid w:val="00AA58CA"/>
    <w:rsid w:val="00AA5C65"/>
    <w:rsid w:val="00AA6556"/>
    <w:rsid w:val="00AA7D8A"/>
    <w:rsid w:val="00AB1681"/>
    <w:rsid w:val="00AB2661"/>
    <w:rsid w:val="00AB2C32"/>
    <w:rsid w:val="00AB3334"/>
    <w:rsid w:val="00AB3D90"/>
    <w:rsid w:val="00AB5963"/>
    <w:rsid w:val="00AC0AD3"/>
    <w:rsid w:val="00AC1722"/>
    <w:rsid w:val="00AC1AC1"/>
    <w:rsid w:val="00AC297D"/>
    <w:rsid w:val="00AC3FF4"/>
    <w:rsid w:val="00AC4FA2"/>
    <w:rsid w:val="00AD158B"/>
    <w:rsid w:val="00AD1A3E"/>
    <w:rsid w:val="00AD2716"/>
    <w:rsid w:val="00AD2B67"/>
    <w:rsid w:val="00AD7417"/>
    <w:rsid w:val="00AD775A"/>
    <w:rsid w:val="00AD7FD1"/>
    <w:rsid w:val="00AE0CA4"/>
    <w:rsid w:val="00AE11C2"/>
    <w:rsid w:val="00AE19BC"/>
    <w:rsid w:val="00AE2761"/>
    <w:rsid w:val="00AE356A"/>
    <w:rsid w:val="00AE40CB"/>
    <w:rsid w:val="00AE4234"/>
    <w:rsid w:val="00AE5321"/>
    <w:rsid w:val="00AF089D"/>
    <w:rsid w:val="00AF0EFA"/>
    <w:rsid w:val="00AF13C6"/>
    <w:rsid w:val="00AF3658"/>
    <w:rsid w:val="00AF3812"/>
    <w:rsid w:val="00AF3BF9"/>
    <w:rsid w:val="00AF3EE8"/>
    <w:rsid w:val="00AF3F83"/>
    <w:rsid w:val="00AF40B5"/>
    <w:rsid w:val="00AF47D5"/>
    <w:rsid w:val="00AF504F"/>
    <w:rsid w:val="00AF6869"/>
    <w:rsid w:val="00AF70A4"/>
    <w:rsid w:val="00B0013C"/>
    <w:rsid w:val="00B00258"/>
    <w:rsid w:val="00B00A32"/>
    <w:rsid w:val="00B0116F"/>
    <w:rsid w:val="00B011B1"/>
    <w:rsid w:val="00B0264D"/>
    <w:rsid w:val="00B02752"/>
    <w:rsid w:val="00B02974"/>
    <w:rsid w:val="00B0334F"/>
    <w:rsid w:val="00B03397"/>
    <w:rsid w:val="00B03735"/>
    <w:rsid w:val="00B03AE0"/>
    <w:rsid w:val="00B04F40"/>
    <w:rsid w:val="00B06818"/>
    <w:rsid w:val="00B07528"/>
    <w:rsid w:val="00B07868"/>
    <w:rsid w:val="00B1092F"/>
    <w:rsid w:val="00B116D6"/>
    <w:rsid w:val="00B12905"/>
    <w:rsid w:val="00B16529"/>
    <w:rsid w:val="00B2013F"/>
    <w:rsid w:val="00B20630"/>
    <w:rsid w:val="00B22428"/>
    <w:rsid w:val="00B24392"/>
    <w:rsid w:val="00B24D30"/>
    <w:rsid w:val="00B261E2"/>
    <w:rsid w:val="00B2696E"/>
    <w:rsid w:val="00B27CB8"/>
    <w:rsid w:val="00B362E4"/>
    <w:rsid w:val="00B362E6"/>
    <w:rsid w:val="00B36886"/>
    <w:rsid w:val="00B36B3D"/>
    <w:rsid w:val="00B37339"/>
    <w:rsid w:val="00B377B1"/>
    <w:rsid w:val="00B42952"/>
    <w:rsid w:val="00B43D20"/>
    <w:rsid w:val="00B43F98"/>
    <w:rsid w:val="00B46114"/>
    <w:rsid w:val="00B474C8"/>
    <w:rsid w:val="00B539D8"/>
    <w:rsid w:val="00B56686"/>
    <w:rsid w:val="00B57030"/>
    <w:rsid w:val="00B57223"/>
    <w:rsid w:val="00B57B5F"/>
    <w:rsid w:val="00B60186"/>
    <w:rsid w:val="00B62129"/>
    <w:rsid w:val="00B6228E"/>
    <w:rsid w:val="00B6235A"/>
    <w:rsid w:val="00B62D2B"/>
    <w:rsid w:val="00B62E56"/>
    <w:rsid w:val="00B647B5"/>
    <w:rsid w:val="00B66028"/>
    <w:rsid w:val="00B668B8"/>
    <w:rsid w:val="00B66C43"/>
    <w:rsid w:val="00B67288"/>
    <w:rsid w:val="00B717E2"/>
    <w:rsid w:val="00B73442"/>
    <w:rsid w:val="00B74E89"/>
    <w:rsid w:val="00B76191"/>
    <w:rsid w:val="00B76335"/>
    <w:rsid w:val="00B763E8"/>
    <w:rsid w:val="00B8104F"/>
    <w:rsid w:val="00B81821"/>
    <w:rsid w:val="00B81A94"/>
    <w:rsid w:val="00B81E32"/>
    <w:rsid w:val="00B82FB6"/>
    <w:rsid w:val="00B8391A"/>
    <w:rsid w:val="00B84526"/>
    <w:rsid w:val="00B84665"/>
    <w:rsid w:val="00B84C90"/>
    <w:rsid w:val="00B8642F"/>
    <w:rsid w:val="00B871C9"/>
    <w:rsid w:val="00B873AF"/>
    <w:rsid w:val="00B93351"/>
    <w:rsid w:val="00B9343A"/>
    <w:rsid w:val="00B93868"/>
    <w:rsid w:val="00B94829"/>
    <w:rsid w:val="00B973B9"/>
    <w:rsid w:val="00BA0D0E"/>
    <w:rsid w:val="00BA17BB"/>
    <w:rsid w:val="00BA17C7"/>
    <w:rsid w:val="00BA38F7"/>
    <w:rsid w:val="00BA51A2"/>
    <w:rsid w:val="00BA7901"/>
    <w:rsid w:val="00BA7F7E"/>
    <w:rsid w:val="00BB0E6E"/>
    <w:rsid w:val="00BB1C15"/>
    <w:rsid w:val="00BB2F5A"/>
    <w:rsid w:val="00BB3990"/>
    <w:rsid w:val="00BB6399"/>
    <w:rsid w:val="00BB6E4E"/>
    <w:rsid w:val="00BB7A41"/>
    <w:rsid w:val="00BC0BC2"/>
    <w:rsid w:val="00BC12B4"/>
    <w:rsid w:val="00BC1DE7"/>
    <w:rsid w:val="00BC3B1C"/>
    <w:rsid w:val="00BC5A58"/>
    <w:rsid w:val="00BC6FAF"/>
    <w:rsid w:val="00BC7F0A"/>
    <w:rsid w:val="00BD09F8"/>
    <w:rsid w:val="00BD26A8"/>
    <w:rsid w:val="00BD3141"/>
    <w:rsid w:val="00BD3B7F"/>
    <w:rsid w:val="00BD4571"/>
    <w:rsid w:val="00BD58C9"/>
    <w:rsid w:val="00BD734D"/>
    <w:rsid w:val="00BD767B"/>
    <w:rsid w:val="00BD7869"/>
    <w:rsid w:val="00BD78D9"/>
    <w:rsid w:val="00BE02B2"/>
    <w:rsid w:val="00BE0F61"/>
    <w:rsid w:val="00BE2D73"/>
    <w:rsid w:val="00BE3A01"/>
    <w:rsid w:val="00BE613E"/>
    <w:rsid w:val="00BE6FDD"/>
    <w:rsid w:val="00BE791D"/>
    <w:rsid w:val="00BF0A0F"/>
    <w:rsid w:val="00BF19B5"/>
    <w:rsid w:val="00BF2C76"/>
    <w:rsid w:val="00BF2C9B"/>
    <w:rsid w:val="00BF2CBB"/>
    <w:rsid w:val="00BF588E"/>
    <w:rsid w:val="00BF5AAE"/>
    <w:rsid w:val="00BF5D48"/>
    <w:rsid w:val="00BF5DC5"/>
    <w:rsid w:val="00BF6638"/>
    <w:rsid w:val="00BF6CF3"/>
    <w:rsid w:val="00C010D6"/>
    <w:rsid w:val="00C01874"/>
    <w:rsid w:val="00C03981"/>
    <w:rsid w:val="00C040D4"/>
    <w:rsid w:val="00C071AE"/>
    <w:rsid w:val="00C073C0"/>
    <w:rsid w:val="00C0779C"/>
    <w:rsid w:val="00C078D4"/>
    <w:rsid w:val="00C07A08"/>
    <w:rsid w:val="00C1075D"/>
    <w:rsid w:val="00C11A83"/>
    <w:rsid w:val="00C12A03"/>
    <w:rsid w:val="00C13466"/>
    <w:rsid w:val="00C13905"/>
    <w:rsid w:val="00C15A1A"/>
    <w:rsid w:val="00C15FF1"/>
    <w:rsid w:val="00C16106"/>
    <w:rsid w:val="00C17201"/>
    <w:rsid w:val="00C203C7"/>
    <w:rsid w:val="00C2108A"/>
    <w:rsid w:val="00C217FA"/>
    <w:rsid w:val="00C21DA7"/>
    <w:rsid w:val="00C21DE2"/>
    <w:rsid w:val="00C237AB"/>
    <w:rsid w:val="00C238A2"/>
    <w:rsid w:val="00C26946"/>
    <w:rsid w:val="00C27AD6"/>
    <w:rsid w:val="00C313E1"/>
    <w:rsid w:val="00C367A9"/>
    <w:rsid w:val="00C36FBD"/>
    <w:rsid w:val="00C3762C"/>
    <w:rsid w:val="00C37BAA"/>
    <w:rsid w:val="00C40492"/>
    <w:rsid w:val="00C41249"/>
    <w:rsid w:val="00C41D6E"/>
    <w:rsid w:val="00C42C8A"/>
    <w:rsid w:val="00C42E7E"/>
    <w:rsid w:val="00C43964"/>
    <w:rsid w:val="00C44022"/>
    <w:rsid w:val="00C44B4B"/>
    <w:rsid w:val="00C44B5F"/>
    <w:rsid w:val="00C45792"/>
    <w:rsid w:val="00C45F2E"/>
    <w:rsid w:val="00C461A7"/>
    <w:rsid w:val="00C46D79"/>
    <w:rsid w:val="00C4778E"/>
    <w:rsid w:val="00C50B20"/>
    <w:rsid w:val="00C510BC"/>
    <w:rsid w:val="00C525A4"/>
    <w:rsid w:val="00C53884"/>
    <w:rsid w:val="00C53C60"/>
    <w:rsid w:val="00C542B0"/>
    <w:rsid w:val="00C550DE"/>
    <w:rsid w:val="00C555B9"/>
    <w:rsid w:val="00C5645C"/>
    <w:rsid w:val="00C56CE5"/>
    <w:rsid w:val="00C56E43"/>
    <w:rsid w:val="00C60198"/>
    <w:rsid w:val="00C608D5"/>
    <w:rsid w:val="00C6238A"/>
    <w:rsid w:val="00C623FF"/>
    <w:rsid w:val="00C65602"/>
    <w:rsid w:val="00C658F2"/>
    <w:rsid w:val="00C6614D"/>
    <w:rsid w:val="00C713D8"/>
    <w:rsid w:val="00C72E37"/>
    <w:rsid w:val="00C74706"/>
    <w:rsid w:val="00C74E15"/>
    <w:rsid w:val="00C75497"/>
    <w:rsid w:val="00C7565B"/>
    <w:rsid w:val="00C759E6"/>
    <w:rsid w:val="00C7627F"/>
    <w:rsid w:val="00C7658C"/>
    <w:rsid w:val="00C766D4"/>
    <w:rsid w:val="00C76E01"/>
    <w:rsid w:val="00C77101"/>
    <w:rsid w:val="00C771F0"/>
    <w:rsid w:val="00C7759C"/>
    <w:rsid w:val="00C82024"/>
    <w:rsid w:val="00C820CA"/>
    <w:rsid w:val="00C821EE"/>
    <w:rsid w:val="00C83332"/>
    <w:rsid w:val="00C83F96"/>
    <w:rsid w:val="00C84137"/>
    <w:rsid w:val="00C84DA4"/>
    <w:rsid w:val="00C85E7C"/>
    <w:rsid w:val="00C91035"/>
    <w:rsid w:val="00C913FB"/>
    <w:rsid w:val="00C92A35"/>
    <w:rsid w:val="00C92E78"/>
    <w:rsid w:val="00C931DC"/>
    <w:rsid w:val="00C9328A"/>
    <w:rsid w:val="00C941DA"/>
    <w:rsid w:val="00C949F8"/>
    <w:rsid w:val="00C95399"/>
    <w:rsid w:val="00C95D56"/>
    <w:rsid w:val="00C96929"/>
    <w:rsid w:val="00C96FEF"/>
    <w:rsid w:val="00C97A1A"/>
    <w:rsid w:val="00CA2150"/>
    <w:rsid w:val="00CA38E7"/>
    <w:rsid w:val="00CA444D"/>
    <w:rsid w:val="00CA46EA"/>
    <w:rsid w:val="00CA59CA"/>
    <w:rsid w:val="00CA7791"/>
    <w:rsid w:val="00CB25FF"/>
    <w:rsid w:val="00CB3481"/>
    <w:rsid w:val="00CB3DA0"/>
    <w:rsid w:val="00CB666E"/>
    <w:rsid w:val="00CB6E15"/>
    <w:rsid w:val="00CB7A01"/>
    <w:rsid w:val="00CC16E6"/>
    <w:rsid w:val="00CC19EF"/>
    <w:rsid w:val="00CC2DE2"/>
    <w:rsid w:val="00CC350E"/>
    <w:rsid w:val="00CC3769"/>
    <w:rsid w:val="00CC576F"/>
    <w:rsid w:val="00CC5D78"/>
    <w:rsid w:val="00CC6020"/>
    <w:rsid w:val="00CD06B0"/>
    <w:rsid w:val="00CD14AE"/>
    <w:rsid w:val="00CD1FF2"/>
    <w:rsid w:val="00CD2349"/>
    <w:rsid w:val="00CD29E1"/>
    <w:rsid w:val="00CD484D"/>
    <w:rsid w:val="00CD51F0"/>
    <w:rsid w:val="00CD5E1A"/>
    <w:rsid w:val="00CD6074"/>
    <w:rsid w:val="00CD6FB1"/>
    <w:rsid w:val="00CD7FB8"/>
    <w:rsid w:val="00CE0171"/>
    <w:rsid w:val="00CE0256"/>
    <w:rsid w:val="00CE025B"/>
    <w:rsid w:val="00CE1296"/>
    <w:rsid w:val="00CE252A"/>
    <w:rsid w:val="00CE284F"/>
    <w:rsid w:val="00CE3ADB"/>
    <w:rsid w:val="00CE5E78"/>
    <w:rsid w:val="00CE7775"/>
    <w:rsid w:val="00CE7C0B"/>
    <w:rsid w:val="00CF014C"/>
    <w:rsid w:val="00CF03E1"/>
    <w:rsid w:val="00CF0DFD"/>
    <w:rsid w:val="00CF2AE9"/>
    <w:rsid w:val="00CF2E5C"/>
    <w:rsid w:val="00CF31D0"/>
    <w:rsid w:val="00CF3DC8"/>
    <w:rsid w:val="00CF42F2"/>
    <w:rsid w:val="00CF5369"/>
    <w:rsid w:val="00CF6719"/>
    <w:rsid w:val="00CF6999"/>
    <w:rsid w:val="00D0039C"/>
    <w:rsid w:val="00D01409"/>
    <w:rsid w:val="00D014E0"/>
    <w:rsid w:val="00D02658"/>
    <w:rsid w:val="00D02918"/>
    <w:rsid w:val="00D03672"/>
    <w:rsid w:val="00D03861"/>
    <w:rsid w:val="00D04676"/>
    <w:rsid w:val="00D05389"/>
    <w:rsid w:val="00D057AE"/>
    <w:rsid w:val="00D07E99"/>
    <w:rsid w:val="00D10A97"/>
    <w:rsid w:val="00D13DC6"/>
    <w:rsid w:val="00D13DDC"/>
    <w:rsid w:val="00D147DC"/>
    <w:rsid w:val="00D174AE"/>
    <w:rsid w:val="00D17EF6"/>
    <w:rsid w:val="00D2010B"/>
    <w:rsid w:val="00D21711"/>
    <w:rsid w:val="00D22755"/>
    <w:rsid w:val="00D23152"/>
    <w:rsid w:val="00D234E8"/>
    <w:rsid w:val="00D23515"/>
    <w:rsid w:val="00D271CA"/>
    <w:rsid w:val="00D27BE2"/>
    <w:rsid w:val="00D309B4"/>
    <w:rsid w:val="00D35B9F"/>
    <w:rsid w:val="00D35FCC"/>
    <w:rsid w:val="00D361FF"/>
    <w:rsid w:val="00D3667B"/>
    <w:rsid w:val="00D3748C"/>
    <w:rsid w:val="00D37C67"/>
    <w:rsid w:val="00D40B68"/>
    <w:rsid w:val="00D40E34"/>
    <w:rsid w:val="00D412CF"/>
    <w:rsid w:val="00D42CD5"/>
    <w:rsid w:val="00D4356E"/>
    <w:rsid w:val="00D43700"/>
    <w:rsid w:val="00D449E3"/>
    <w:rsid w:val="00D45A4D"/>
    <w:rsid w:val="00D46A1A"/>
    <w:rsid w:val="00D47260"/>
    <w:rsid w:val="00D479A5"/>
    <w:rsid w:val="00D47D32"/>
    <w:rsid w:val="00D501D9"/>
    <w:rsid w:val="00D50830"/>
    <w:rsid w:val="00D50851"/>
    <w:rsid w:val="00D50D8A"/>
    <w:rsid w:val="00D50D96"/>
    <w:rsid w:val="00D51F73"/>
    <w:rsid w:val="00D520FD"/>
    <w:rsid w:val="00D52A89"/>
    <w:rsid w:val="00D55999"/>
    <w:rsid w:val="00D56127"/>
    <w:rsid w:val="00D5756D"/>
    <w:rsid w:val="00D57703"/>
    <w:rsid w:val="00D60941"/>
    <w:rsid w:val="00D60E88"/>
    <w:rsid w:val="00D646DF"/>
    <w:rsid w:val="00D651D2"/>
    <w:rsid w:val="00D65DE9"/>
    <w:rsid w:val="00D6677D"/>
    <w:rsid w:val="00D70139"/>
    <w:rsid w:val="00D70AAB"/>
    <w:rsid w:val="00D71254"/>
    <w:rsid w:val="00D7157A"/>
    <w:rsid w:val="00D715E3"/>
    <w:rsid w:val="00D73877"/>
    <w:rsid w:val="00D74215"/>
    <w:rsid w:val="00D74C3F"/>
    <w:rsid w:val="00D74C8D"/>
    <w:rsid w:val="00D7551D"/>
    <w:rsid w:val="00D75D35"/>
    <w:rsid w:val="00D77D94"/>
    <w:rsid w:val="00D80F91"/>
    <w:rsid w:val="00D813C8"/>
    <w:rsid w:val="00D83833"/>
    <w:rsid w:val="00D85CF3"/>
    <w:rsid w:val="00D85F32"/>
    <w:rsid w:val="00D86109"/>
    <w:rsid w:val="00D87C83"/>
    <w:rsid w:val="00D90226"/>
    <w:rsid w:val="00D91A4F"/>
    <w:rsid w:val="00D93905"/>
    <w:rsid w:val="00D943E3"/>
    <w:rsid w:val="00D9481F"/>
    <w:rsid w:val="00D95573"/>
    <w:rsid w:val="00D9594A"/>
    <w:rsid w:val="00D95EDB"/>
    <w:rsid w:val="00DA0381"/>
    <w:rsid w:val="00DA116D"/>
    <w:rsid w:val="00DA24F5"/>
    <w:rsid w:val="00DA2882"/>
    <w:rsid w:val="00DA56A2"/>
    <w:rsid w:val="00DA5DA5"/>
    <w:rsid w:val="00DA6FF7"/>
    <w:rsid w:val="00DB06C6"/>
    <w:rsid w:val="00DB26F9"/>
    <w:rsid w:val="00DB3736"/>
    <w:rsid w:val="00DB3FF0"/>
    <w:rsid w:val="00DB4034"/>
    <w:rsid w:val="00DB4608"/>
    <w:rsid w:val="00DB47F4"/>
    <w:rsid w:val="00DB75BF"/>
    <w:rsid w:val="00DC0EC7"/>
    <w:rsid w:val="00DC2002"/>
    <w:rsid w:val="00DC2232"/>
    <w:rsid w:val="00DC232E"/>
    <w:rsid w:val="00DC2508"/>
    <w:rsid w:val="00DC25C0"/>
    <w:rsid w:val="00DC3DC5"/>
    <w:rsid w:val="00DC4661"/>
    <w:rsid w:val="00DC4754"/>
    <w:rsid w:val="00DC6721"/>
    <w:rsid w:val="00DD062D"/>
    <w:rsid w:val="00DD0662"/>
    <w:rsid w:val="00DD158C"/>
    <w:rsid w:val="00DD1F8E"/>
    <w:rsid w:val="00DD2388"/>
    <w:rsid w:val="00DD261E"/>
    <w:rsid w:val="00DD28C3"/>
    <w:rsid w:val="00DD37F1"/>
    <w:rsid w:val="00DD3E82"/>
    <w:rsid w:val="00DD3E8A"/>
    <w:rsid w:val="00DD43EE"/>
    <w:rsid w:val="00DD46E6"/>
    <w:rsid w:val="00DD5C4A"/>
    <w:rsid w:val="00DE02E3"/>
    <w:rsid w:val="00DE1B0C"/>
    <w:rsid w:val="00DE3A19"/>
    <w:rsid w:val="00DE4F37"/>
    <w:rsid w:val="00DE519B"/>
    <w:rsid w:val="00DE51E7"/>
    <w:rsid w:val="00DE5CF1"/>
    <w:rsid w:val="00DE7244"/>
    <w:rsid w:val="00DF0391"/>
    <w:rsid w:val="00DF0934"/>
    <w:rsid w:val="00DF0C63"/>
    <w:rsid w:val="00DF10B0"/>
    <w:rsid w:val="00DF1A29"/>
    <w:rsid w:val="00DF23FB"/>
    <w:rsid w:val="00DF375E"/>
    <w:rsid w:val="00DF3EF7"/>
    <w:rsid w:val="00DF4520"/>
    <w:rsid w:val="00DF4D07"/>
    <w:rsid w:val="00DF5C74"/>
    <w:rsid w:val="00E00D3C"/>
    <w:rsid w:val="00E01209"/>
    <w:rsid w:val="00E01844"/>
    <w:rsid w:val="00E01AB0"/>
    <w:rsid w:val="00E02E6D"/>
    <w:rsid w:val="00E03710"/>
    <w:rsid w:val="00E04237"/>
    <w:rsid w:val="00E04298"/>
    <w:rsid w:val="00E06666"/>
    <w:rsid w:val="00E07780"/>
    <w:rsid w:val="00E07C5B"/>
    <w:rsid w:val="00E07E34"/>
    <w:rsid w:val="00E11B1B"/>
    <w:rsid w:val="00E12558"/>
    <w:rsid w:val="00E136C4"/>
    <w:rsid w:val="00E1639F"/>
    <w:rsid w:val="00E21B26"/>
    <w:rsid w:val="00E2206C"/>
    <w:rsid w:val="00E22ECE"/>
    <w:rsid w:val="00E23E9F"/>
    <w:rsid w:val="00E23FD6"/>
    <w:rsid w:val="00E240D8"/>
    <w:rsid w:val="00E257FC"/>
    <w:rsid w:val="00E26DF6"/>
    <w:rsid w:val="00E26FDC"/>
    <w:rsid w:val="00E271B3"/>
    <w:rsid w:val="00E33526"/>
    <w:rsid w:val="00E3577B"/>
    <w:rsid w:val="00E36473"/>
    <w:rsid w:val="00E4021A"/>
    <w:rsid w:val="00E40885"/>
    <w:rsid w:val="00E409B1"/>
    <w:rsid w:val="00E41B4D"/>
    <w:rsid w:val="00E41E06"/>
    <w:rsid w:val="00E42EC2"/>
    <w:rsid w:val="00E439CA"/>
    <w:rsid w:val="00E43E47"/>
    <w:rsid w:val="00E43F69"/>
    <w:rsid w:val="00E44101"/>
    <w:rsid w:val="00E44711"/>
    <w:rsid w:val="00E44DB4"/>
    <w:rsid w:val="00E50122"/>
    <w:rsid w:val="00E510D7"/>
    <w:rsid w:val="00E52504"/>
    <w:rsid w:val="00E543A3"/>
    <w:rsid w:val="00E55925"/>
    <w:rsid w:val="00E559CA"/>
    <w:rsid w:val="00E62197"/>
    <w:rsid w:val="00E63746"/>
    <w:rsid w:val="00E63CD1"/>
    <w:rsid w:val="00E65212"/>
    <w:rsid w:val="00E65541"/>
    <w:rsid w:val="00E711FA"/>
    <w:rsid w:val="00E71818"/>
    <w:rsid w:val="00E72F95"/>
    <w:rsid w:val="00E741B9"/>
    <w:rsid w:val="00E7476B"/>
    <w:rsid w:val="00E766C5"/>
    <w:rsid w:val="00E80E0D"/>
    <w:rsid w:val="00E81EA7"/>
    <w:rsid w:val="00E81EDA"/>
    <w:rsid w:val="00E8354F"/>
    <w:rsid w:val="00E85671"/>
    <w:rsid w:val="00E85E28"/>
    <w:rsid w:val="00E86365"/>
    <w:rsid w:val="00E87257"/>
    <w:rsid w:val="00E878DD"/>
    <w:rsid w:val="00E90923"/>
    <w:rsid w:val="00E90929"/>
    <w:rsid w:val="00E90C20"/>
    <w:rsid w:val="00E91A25"/>
    <w:rsid w:val="00E91B20"/>
    <w:rsid w:val="00E9571C"/>
    <w:rsid w:val="00E95ED3"/>
    <w:rsid w:val="00EA0C36"/>
    <w:rsid w:val="00EA0E9E"/>
    <w:rsid w:val="00EA1147"/>
    <w:rsid w:val="00EA114B"/>
    <w:rsid w:val="00EA17B6"/>
    <w:rsid w:val="00EA36AF"/>
    <w:rsid w:val="00EA38FC"/>
    <w:rsid w:val="00EA5B6B"/>
    <w:rsid w:val="00EA62D1"/>
    <w:rsid w:val="00EA7DE6"/>
    <w:rsid w:val="00EA7F96"/>
    <w:rsid w:val="00EB06E7"/>
    <w:rsid w:val="00EB0A4D"/>
    <w:rsid w:val="00EB0C85"/>
    <w:rsid w:val="00EB392D"/>
    <w:rsid w:val="00EB6578"/>
    <w:rsid w:val="00EB68D6"/>
    <w:rsid w:val="00EB6B78"/>
    <w:rsid w:val="00EB786B"/>
    <w:rsid w:val="00EB79C3"/>
    <w:rsid w:val="00EB7EAE"/>
    <w:rsid w:val="00EC01D1"/>
    <w:rsid w:val="00EC0B33"/>
    <w:rsid w:val="00EC2450"/>
    <w:rsid w:val="00EC2498"/>
    <w:rsid w:val="00EC3F9D"/>
    <w:rsid w:val="00EC4A8B"/>
    <w:rsid w:val="00EC7291"/>
    <w:rsid w:val="00EC7C19"/>
    <w:rsid w:val="00ED0CCE"/>
    <w:rsid w:val="00ED1335"/>
    <w:rsid w:val="00ED13BD"/>
    <w:rsid w:val="00ED1932"/>
    <w:rsid w:val="00ED2CD0"/>
    <w:rsid w:val="00ED3E3A"/>
    <w:rsid w:val="00ED42C9"/>
    <w:rsid w:val="00ED77D5"/>
    <w:rsid w:val="00ED7D2F"/>
    <w:rsid w:val="00EE057D"/>
    <w:rsid w:val="00EE1EF5"/>
    <w:rsid w:val="00EE1F7B"/>
    <w:rsid w:val="00EE2EFB"/>
    <w:rsid w:val="00EE45D8"/>
    <w:rsid w:val="00EE4A96"/>
    <w:rsid w:val="00EE5940"/>
    <w:rsid w:val="00EE60C0"/>
    <w:rsid w:val="00EE6A71"/>
    <w:rsid w:val="00EE6C8F"/>
    <w:rsid w:val="00EE7237"/>
    <w:rsid w:val="00EF0467"/>
    <w:rsid w:val="00EF0502"/>
    <w:rsid w:val="00EF1709"/>
    <w:rsid w:val="00EF3459"/>
    <w:rsid w:val="00EF3A0B"/>
    <w:rsid w:val="00EF4512"/>
    <w:rsid w:val="00EF4FD0"/>
    <w:rsid w:val="00EF633D"/>
    <w:rsid w:val="00EF647C"/>
    <w:rsid w:val="00EF67BB"/>
    <w:rsid w:val="00F0008B"/>
    <w:rsid w:val="00F016A5"/>
    <w:rsid w:val="00F0238D"/>
    <w:rsid w:val="00F04A2C"/>
    <w:rsid w:val="00F0523D"/>
    <w:rsid w:val="00F059F3"/>
    <w:rsid w:val="00F072A6"/>
    <w:rsid w:val="00F10C4F"/>
    <w:rsid w:val="00F113CC"/>
    <w:rsid w:val="00F11413"/>
    <w:rsid w:val="00F121C6"/>
    <w:rsid w:val="00F12491"/>
    <w:rsid w:val="00F126D6"/>
    <w:rsid w:val="00F1490D"/>
    <w:rsid w:val="00F14B80"/>
    <w:rsid w:val="00F14BF0"/>
    <w:rsid w:val="00F157C7"/>
    <w:rsid w:val="00F159D0"/>
    <w:rsid w:val="00F1627E"/>
    <w:rsid w:val="00F1642D"/>
    <w:rsid w:val="00F1675F"/>
    <w:rsid w:val="00F167D0"/>
    <w:rsid w:val="00F167F4"/>
    <w:rsid w:val="00F16C61"/>
    <w:rsid w:val="00F16F21"/>
    <w:rsid w:val="00F17402"/>
    <w:rsid w:val="00F2012C"/>
    <w:rsid w:val="00F2280D"/>
    <w:rsid w:val="00F22EF8"/>
    <w:rsid w:val="00F2440A"/>
    <w:rsid w:val="00F2744F"/>
    <w:rsid w:val="00F277EA"/>
    <w:rsid w:val="00F30FAD"/>
    <w:rsid w:val="00F333DE"/>
    <w:rsid w:val="00F3387C"/>
    <w:rsid w:val="00F33A7C"/>
    <w:rsid w:val="00F3428B"/>
    <w:rsid w:val="00F34562"/>
    <w:rsid w:val="00F347CA"/>
    <w:rsid w:val="00F359F6"/>
    <w:rsid w:val="00F35E82"/>
    <w:rsid w:val="00F360F0"/>
    <w:rsid w:val="00F3701A"/>
    <w:rsid w:val="00F40D5F"/>
    <w:rsid w:val="00F45EDE"/>
    <w:rsid w:val="00F46087"/>
    <w:rsid w:val="00F46428"/>
    <w:rsid w:val="00F470FD"/>
    <w:rsid w:val="00F474CC"/>
    <w:rsid w:val="00F50424"/>
    <w:rsid w:val="00F50654"/>
    <w:rsid w:val="00F530A4"/>
    <w:rsid w:val="00F53F3B"/>
    <w:rsid w:val="00F54196"/>
    <w:rsid w:val="00F54736"/>
    <w:rsid w:val="00F54D44"/>
    <w:rsid w:val="00F57AA1"/>
    <w:rsid w:val="00F61A11"/>
    <w:rsid w:val="00F61B93"/>
    <w:rsid w:val="00F61E74"/>
    <w:rsid w:val="00F63CA2"/>
    <w:rsid w:val="00F6439F"/>
    <w:rsid w:val="00F64F31"/>
    <w:rsid w:val="00F6552B"/>
    <w:rsid w:val="00F657E9"/>
    <w:rsid w:val="00F66FF2"/>
    <w:rsid w:val="00F71711"/>
    <w:rsid w:val="00F71A7E"/>
    <w:rsid w:val="00F71A91"/>
    <w:rsid w:val="00F71BBE"/>
    <w:rsid w:val="00F71CFA"/>
    <w:rsid w:val="00F72113"/>
    <w:rsid w:val="00F72158"/>
    <w:rsid w:val="00F7226D"/>
    <w:rsid w:val="00F723E3"/>
    <w:rsid w:val="00F736FB"/>
    <w:rsid w:val="00F73CB9"/>
    <w:rsid w:val="00F74317"/>
    <w:rsid w:val="00F751A2"/>
    <w:rsid w:val="00F75E4B"/>
    <w:rsid w:val="00F76109"/>
    <w:rsid w:val="00F7612B"/>
    <w:rsid w:val="00F80037"/>
    <w:rsid w:val="00F81430"/>
    <w:rsid w:val="00F81AC6"/>
    <w:rsid w:val="00F84487"/>
    <w:rsid w:val="00F84810"/>
    <w:rsid w:val="00F84ACE"/>
    <w:rsid w:val="00F8516F"/>
    <w:rsid w:val="00F8597E"/>
    <w:rsid w:val="00F85C97"/>
    <w:rsid w:val="00F85D5E"/>
    <w:rsid w:val="00F86388"/>
    <w:rsid w:val="00F87B16"/>
    <w:rsid w:val="00F9296D"/>
    <w:rsid w:val="00F94238"/>
    <w:rsid w:val="00F94282"/>
    <w:rsid w:val="00F94483"/>
    <w:rsid w:val="00F95285"/>
    <w:rsid w:val="00F9628C"/>
    <w:rsid w:val="00F96381"/>
    <w:rsid w:val="00F97544"/>
    <w:rsid w:val="00F97A57"/>
    <w:rsid w:val="00F97E4B"/>
    <w:rsid w:val="00FA0D6E"/>
    <w:rsid w:val="00FA18C3"/>
    <w:rsid w:val="00FA1F8E"/>
    <w:rsid w:val="00FA477F"/>
    <w:rsid w:val="00FA6406"/>
    <w:rsid w:val="00FA6684"/>
    <w:rsid w:val="00FA6B15"/>
    <w:rsid w:val="00FA6FE4"/>
    <w:rsid w:val="00FA77D3"/>
    <w:rsid w:val="00FA7863"/>
    <w:rsid w:val="00FB1188"/>
    <w:rsid w:val="00FB1BF6"/>
    <w:rsid w:val="00FB3444"/>
    <w:rsid w:val="00FB4B79"/>
    <w:rsid w:val="00FB6B85"/>
    <w:rsid w:val="00FC1329"/>
    <w:rsid w:val="00FC1E8E"/>
    <w:rsid w:val="00FC4242"/>
    <w:rsid w:val="00FC502C"/>
    <w:rsid w:val="00FC60B5"/>
    <w:rsid w:val="00FC626E"/>
    <w:rsid w:val="00FC7408"/>
    <w:rsid w:val="00FC79E0"/>
    <w:rsid w:val="00FD2C5F"/>
    <w:rsid w:val="00FD2F67"/>
    <w:rsid w:val="00FD6FED"/>
    <w:rsid w:val="00FE24E8"/>
    <w:rsid w:val="00FE378B"/>
    <w:rsid w:val="00FE4618"/>
    <w:rsid w:val="00FE5A9A"/>
    <w:rsid w:val="00FF033E"/>
    <w:rsid w:val="00FF25E3"/>
    <w:rsid w:val="00FF3809"/>
    <w:rsid w:val="00FF4657"/>
    <w:rsid w:val="00FF5E64"/>
    <w:rsid w:val="00FF7118"/>
    <w:rsid w:val="01AC264C"/>
    <w:rsid w:val="01AF7AD6"/>
    <w:rsid w:val="02FC3273"/>
    <w:rsid w:val="036C6675"/>
    <w:rsid w:val="044E35ED"/>
    <w:rsid w:val="04F25140"/>
    <w:rsid w:val="0539645C"/>
    <w:rsid w:val="055A4C1E"/>
    <w:rsid w:val="070B2AC4"/>
    <w:rsid w:val="08311C75"/>
    <w:rsid w:val="085C69A7"/>
    <w:rsid w:val="0AD153CD"/>
    <w:rsid w:val="0B610167"/>
    <w:rsid w:val="0B7C5D3A"/>
    <w:rsid w:val="0B8F0E43"/>
    <w:rsid w:val="0C936D89"/>
    <w:rsid w:val="0C9A243A"/>
    <w:rsid w:val="0CD229EB"/>
    <w:rsid w:val="0D3E7461"/>
    <w:rsid w:val="0F981AFE"/>
    <w:rsid w:val="0FC818A5"/>
    <w:rsid w:val="102060BE"/>
    <w:rsid w:val="10D714C2"/>
    <w:rsid w:val="117B2C81"/>
    <w:rsid w:val="11862D7A"/>
    <w:rsid w:val="12180668"/>
    <w:rsid w:val="123456D2"/>
    <w:rsid w:val="134B2A8F"/>
    <w:rsid w:val="140838EB"/>
    <w:rsid w:val="15565D98"/>
    <w:rsid w:val="15634011"/>
    <w:rsid w:val="17316607"/>
    <w:rsid w:val="17501F1D"/>
    <w:rsid w:val="1793457E"/>
    <w:rsid w:val="181034A9"/>
    <w:rsid w:val="18511967"/>
    <w:rsid w:val="190D2C12"/>
    <w:rsid w:val="1910182A"/>
    <w:rsid w:val="1BE75251"/>
    <w:rsid w:val="1BEE4F4C"/>
    <w:rsid w:val="1C2C7853"/>
    <w:rsid w:val="1CC70965"/>
    <w:rsid w:val="1D166A47"/>
    <w:rsid w:val="1D181B85"/>
    <w:rsid w:val="1FEB2CED"/>
    <w:rsid w:val="20895E3E"/>
    <w:rsid w:val="21285B72"/>
    <w:rsid w:val="21B0513E"/>
    <w:rsid w:val="24121964"/>
    <w:rsid w:val="24445E71"/>
    <w:rsid w:val="24E20621"/>
    <w:rsid w:val="25146733"/>
    <w:rsid w:val="25965D3D"/>
    <w:rsid w:val="26180EBB"/>
    <w:rsid w:val="26DB434F"/>
    <w:rsid w:val="27750300"/>
    <w:rsid w:val="27C625ED"/>
    <w:rsid w:val="280B22B6"/>
    <w:rsid w:val="284E7454"/>
    <w:rsid w:val="2879048E"/>
    <w:rsid w:val="28BB61E6"/>
    <w:rsid w:val="29EF31B8"/>
    <w:rsid w:val="29F4798A"/>
    <w:rsid w:val="2BA447C0"/>
    <w:rsid w:val="2C0B12F4"/>
    <w:rsid w:val="2C220E0D"/>
    <w:rsid w:val="2CC14374"/>
    <w:rsid w:val="2E726CCD"/>
    <w:rsid w:val="2EA83941"/>
    <w:rsid w:val="30AD6621"/>
    <w:rsid w:val="30D16555"/>
    <w:rsid w:val="31175E18"/>
    <w:rsid w:val="32330F2F"/>
    <w:rsid w:val="34141F7E"/>
    <w:rsid w:val="34424815"/>
    <w:rsid w:val="34504361"/>
    <w:rsid w:val="34666E4F"/>
    <w:rsid w:val="349019DA"/>
    <w:rsid w:val="356C4477"/>
    <w:rsid w:val="3630363A"/>
    <w:rsid w:val="363475D8"/>
    <w:rsid w:val="367926B6"/>
    <w:rsid w:val="37321062"/>
    <w:rsid w:val="37607F59"/>
    <w:rsid w:val="37D921E5"/>
    <w:rsid w:val="389A5389"/>
    <w:rsid w:val="392354E5"/>
    <w:rsid w:val="3C4D2A71"/>
    <w:rsid w:val="3CA803D8"/>
    <w:rsid w:val="3CF97FA9"/>
    <w:rsid w:val="3D3C6E6B"/>
    <w:rsid w:val="3DA612BE"/>
    <w:rsid w:val="3E0F6071"/>
    <w:rsid w:val="3E353EED"/>
    <w:rsid w:val="3E6F5651"/>
    <w:rsid w:val="3EBA0173"/>
    <w:rsid w:val="3EF178D3"/>
    <w:rsid w:val="3F2930E3"/>
    <w:rsid w:val="3FFDD9DE"/>
    <w:rsid w:val="420A437F"/>
    <w:rsid w:val="420D388A"/>
    <w:rsid w:val="42951615"/>
    <w:rsid w:val="454E6B14"/>
    <w:rsid w:val="454F55A2"/>
    <w:rsid w:val="46D5738D"/>
    <w:rsid w:val="46FF1576"/>
    <w:rsid w:val="472F039C"/>
    <w:rsid w:val="4752082D"/>
    <w:rsid w:val="4813399D"/>
    <w:rsid w:val="483E7FBD"/>
    <w:rsid w:val="49F44F9A"/>
    <w:rsid w:val="4A2D1802"/>
    <w:rsid w:val="4AFF1CE1"/>
    <w:rsid w:val="4BB02020"/>
    <w:rsid w:val="4BFFB7F4"/>
    <w:rsid w:val="4C7155B7"/>
    <w:rsid w:val="4D1D6057"/>
    <w:rsid w:val="4D85337B"/>
    <w:rsid w:val="4DB4772D"/>
    <w:rsid w:val="4E214DDA"/>
    <w:rsid w:val="4EF85351"/>
    <w:rsid w:val="50C874C0"/>
    <w:rsid w:val="50D443DC"/>
    <w:rsid w:val="50EE283A"/>
    <w:rsid w:val="514E15B2"/>
    <w:rsid w:val="517E5D29"/>
    <w:rsid w:val="51BF0E1B"/>
    <w:rsid w:val="58ED735B"/>
    <w:rsid w:val="59110DF3"/>
    <w:rsid w:val="599A77EA"/>
    <w:rsid w:val="59E2011F"/>
    <w:rsid w:val="5A263D91"/>
    <w:rsid w:val="5A7E48C2"/>
    <w:rsid w:val="5A873891"/>
    <w:rsid w:val="5ADF3707"/>
    <w:rsid w:val="5B1E4804"/>
    <w:rsid w:val="5CA2595D"/>
    <w:rsid w:val="5CDA0831"/>
    <w:rsid w:val="5D74628C"/>
    <w:rsid w:val="5D8A30C1"/>
    <w:rsid w:val="5DA24633"/>
    <w:rsid w:val="5DD15589"/>
    <w:rsid w:val="5E686382"/>
    <w:rsid w:val="5E7D0FD8"/>
    <w:rsid w:val="60B46A9C"/>
    <w:rsid w:val="60BF680D"/>
    <w:rsid w:val="63E68E30"/>
    <w:rsid w:val="647A1406"/>
    <w:rsid w:val="64AA481F"/>
    <w:rsid w:val="6545693A"/>
    <w:rsid w:val="66802037"/>
    <w:rsid w:val="66EC325B"/>
    <w:rsid w:val="67F12128"/>
    <w:rsid w:val="68203328"/>
    <w:rsid w:val="68AF73EA"/>
    <w:rsid w:val="696373B2"/>
    <w:rsid w:val="6AB5101D"/>
    <w:rsid w:val="6AF9611F"/>
    <w:rsid w:val="6B731339"/>
    <w:rsid w:val="6B8818AA"/>
    <w:rsid w:val="6B9715A0"/>
    <w:rsid w:val="6D5910F7"/>
    <w:rsid w:val="6D9C5FB3"/>
    <w:rsid w:val="6DFEDDA3"/>
    <w:rsid w:val="6FF59044"/>
    <w:rsid w:val="6FFC6E94"/>
    <w:rsid w:val="70617B92"/>
    <w:rsid w:val="733E0D8A"/>
    <w:rsid w:val="73CE11FB"/>
    <w:rsid w:val="75A5650E"/>
    <w:rsid w:val="76764AC8"/>
    <w:rsid w:val="77FDBF24"/>
    <w:rsid w:val="78BD6BA5"/>
    <w:rsid w:val="78F68809"/>
    <w:rsid w:val="795F1843"/>
    <w:rsid w:val="798B5E75"/>
    <w:rsid w:val="7BFC3606"/>
    <w:rsid w:val="7C211032"/>
    <w:rsid w:val="7C5E4034"/>
    <w:rsid w:val="7D19349A"/>
    <w:rsid w:val="7D9F4AF6"/>
    <w:rsid w:val="7E85259B"/>
    <w:rsid w:val="7EDFB852"/>
    <w:rsid w:val="7EFB3037"/>
    <w:rsid w:val="7F379FE9"/>
    <w:rsid w:val="7FCF2A9F"/>
    <w:rsid w:val="7FF9289F"/>
    <w:rsid w:val="B7E4AC05"/>
    <w:rsid w:val="BD5E420E"/>
    <w:rsid w:val="BFDF4868"/>
    <w:rsid w:val="CFBFD0AC"/>
    <w:rsid w:val="DBCB2F71"/>
    <w:rsid w:val="DEBF8E03"/>
    <w:rsid w:val="DEBFD858"/>
    <w:rsid w:val="DFD9477A"/>
    <w:rsid w:val="F2EF454D"/>
    <w:rsid w:val="F4AF3DA4"/>
    <w:rsid w:val="F752ECA5"/>
    <w:rsid w:val="F9AFE8BF"/>
    <w:rsid w:val="FB7D81B2"/>
    <w:rsid w:val="FD5A733D"/>
    <w:rsid w:val="FD7F60AC"/>
    <w:rsid w:val="FD9F8E81"/>
    <w:rsid w:val="FDAF90DD"/>
    <w:rsid w:val="FF4E9419"/>
    <w:rsid w:val="FF5FE326"/>
    <w:rsid w:val="FFB965F9"/>
    <w:rsid w:val="FFBCE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0"/>
    <w:pPr>
      <w:keepNext/>
      <w:keepLines/>
      <w:pageBreakBefore/>
      <w:numPr>
        <w:ilvl w:val="0"/>
        <w:numId w:val="1"/>
      </w:numPr>
      <w:spacing w:before="240" w:after="240" w:line="480" w:lineRule="auto"/>
      <w:outlineLvl w:val="0"/>
    </w:pPr>
    <w:rPr>
      <w:rFonts w:eastAsia="微软雅黑"/>
      <w:b/>
      <w:bCs/>
      <w:kern w:val="44"/>
      <w:sz w:val="36"/>
      <w:szCs w:val="44"/>
    </w:rPr>
  </w:style>
  <w:style w:type="paragraph" w:styleId="3">
    <w:name w:val="heading 2"/>
    <w:basedOn w:val="1"/>
    <w:next w:val="1"/>
    <w:link w:val="33"/>
    <w:qFormat/>
    <w:uiPriority w:val="0"/>
    <w:pPr>
      <w:keepNext/>
      <w:keepLines/>
      <w:numPr>
        <w:ilvl w:val="1"/>
        <w:numId w:val="1"/>
      </w:numPr>
      <w:spacing w:before="180" w:after="180" w:line="480" w:lineRule="auto"/>
      <w:outlineLvl w:val="1"/>
    </w:pPr>
    <w:rPr>
      <w:rFonts w:eastAsia="微软雅黑"/>
      <w:bCs/>
      <w:sz w:val="32"/>
      <w:szCs w:val="32"/>
    </w:rPr>
  </w:style>
  <w:style w:type="paragraph" w:styleId="4">
    <w:name w:val="heading 3"/>
    <w:basedOn w:val="1"/>
    <w:next w:val="1"/>
    <w:link w:val="34"/>
    <w:qFormat/>
    <w:uiPriority w:val="0"/>
    <w:pPr>
      <w:keepNext/>
      <w:keepLines/>
      <w:spacing w:before="120" w:after="120" w:line="360" w:lineRule="auto"/>
      <w:outlineLvl w:val="2"/>
    </w:pPr>
    <w:rPr>
      <w:rFonts w:eastAsia="微软雅黑"/>
      <w:bCs/>
      <w:sz w:val="30"/>
      <w:szCs w:val="32"/>
    </w:rPr>
  </w:style>
  <w:style w:type="paragraph" w:styleId="5">
    <w:name w:val="heading 4"/>
    <w:basedOn w:val="1"/>
    <w:next w:val="1"/>
    <w:link w:val="35"/>
    <w:qFormat/>
    <w:uiPriority w:val="0"/>
    <w:pPr>
      <w:keepNext/>
      <w:keepLines/>
      <w:numPr>
        <w:ilvl w:val="3"/>
        <w:numId w:val="1"/>
      </w:numPr>
      <w:spacing w:before="60" w:after="60" w:line="360" w:lineRule="auto"/>
      <w:outlineLvl w:val="3"/>
    </w:pPr>
    <w:rPr>
      <w:rFonts w:eastAsia="微软雅黑"/>
      <w:bCs/>
      <w:sz w:val="28"/>
      <w:szCs w:val="28"/>
    </w:rPr>
  </w:style>
  <w:style w:type="paragraph" w:styleId="6">
    <w:name w:val="heading 5"/>
    <w:basedOn w:val="1"/>
    <w:next w:val="1"/>
    <w:link w:val="36"/>
    <w:qFormat/>
    <w:uiPriority w:val="0"/>
    <w:pPr>
      <w:keepNext/>
      <w:keepLines/>
      <w:numPr>
        <w:ilvl w:val="4"/>
        <w:numId w:val="1"/>
      </w:numPr>
      <w:spacing w:line="360" w:lineRule="auto"/>
      <w:outlineLvl w:val="4"/>
    </w:pPr>
    <w:rPr>
      <w:rFonts w:eastAsia="微软雅黑"/>
      <w:bCs/>
      <w:sz w:val="28"/>
      <w:szCs w:val="28"/>
    </w:rPr>
  </w:style>
  <w:style w:type="paragraph" w:styleId="7">
    <w:name w:val="heading 6"/>
    <w:basedOn w:val="1"/>
    <w:next w:val="1"/>
    <w:link w:val="37"/>
    <w:qFormat/>
    <w:uiPriority w:val="0"/>
    <w:pPr>
      <w:keepNext/>
      <w:keepLines/>
      <w:numPr>
        <w:ilvl w:val="5"/>
        <w:numId w:val="1"/>
      </w:numPr>
      <w:spacing w:line="360" w:lineRule="auto"/>
      <w:outlineLvl w:val="5"/>
    </w:pPr>
    <w:rPr>
      <w:rFonts w:eastAsia="微软雅黑"/>
      <w:bCs/>
      <w:sz w:val="24"/>
      <w:szCs w:val="24"/>
    </w:rPr>
  </w:style>
  <w:style w:type="paragraph" w:styleId="8">
    <w:name w:val="heading 7"/>
    <w:basedOn w:val="1"/>
    <w:next w:val="1"/>
    <w:link w:val="38"/>
    <w:qFormat/>
    <w:uiPriority w:val="9"/>
    <w:pPr>
      <w:keepNext/>
      <w:keepLines/>
      <w:numPr>
        <w:ilvl w:val="6"/>
        <w:numId w:val="1"/>
      </w:numPr>
      <w:spacing w:before="240" w:after="64" w:line="320" w:lineRule="auto"/>
      <w:outlineLvl w:val="6"/>
    </w:pPr>
    <w:rPr>
      <w:rFonts w:eastAsia="微软雅黑"/>
      <w:bCs/>
      <w:sz w:val="24"/>
      <w:szCs w:val="24"/>
    </w:rPr>
  </w:style>
  <w:style w:type="paragraph" w:styleId="9">
    <w:name w:val="heading 8"/>
    <w:basedOn w:val="1"/>
    <w:next w:val="1"/>
    <w:link w:val="39"/>
    <w:qFormat/>
    <w:uiPriority w:val="0"/>
    <w:pPr>
      <w:keepNext/>
      <w:keepLines/>
      <w:numPr>
        <w:ilvl w:val="7"/>
        <w:numId w:val="1"/>
      </w:numPr>
      <w:spacing w:before="240" w:after="64" w:line="320" w:lineRule="auto"/>
      <w:outlineLvl w:val="7"/>
    </w:pPr>
    <w:rPr>
      <w:sz w:val="24"/>
      <w:szCs w:val="24"/>
    </w:rPr>
  </w:style>
  <w:style w:type="paragraph" w:styleId="10">
    <w:name w:val="heading 9"/>
    <w:basedOn w:val="1"/>
    <w:next w:val="1"/>
    <w:link w:val="40"/>
    <w:qFormat/>
    <w:uiPriority w:val="0"/>
    <w:pPr>
      <w:keepNext/>
      <w:keepLines/>
      <w:numPr>
        <w:ilvl w:val="8"/>
        <w:numId w:val="1"/>
      </w:numPr>
      <w:spacing w:before="240" w:after="64" w:line="320" w:lineRule="auto"/>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1"/>
    <w:unhideWhenUsed/>
    <w:qFormat/>
    <w:uiPriority w:val="99"/>
    <w:rPr>
      <w:rFonts w:ascii="宋体"/>
      <w:kern w:val="0"/>
      <w:sz w:val="18"/>
      <w:szCs w:val="18"/>
    </w:rPr>
  </w:style>
  <w:style w:type="paragraph" w:styleId="12">
    <w:name w:val="annotation text"/>
    <w:basedOn w:val="1"/>
    <w:link w:val="42"/>
    <w:unhideWhenUsed/>
    <w:qFormat/>
    <w:uiPriority w:val="99"/>
    <w:pPr>
      <w:jc w:val="left"/>
    </w:pPr>
  </w:style>
  <w:style w:type="paragraph" w:styleId="13">
    <w:name w:val="Body Text"/>
    <w:basedOn w:val="1"/>
    <w:link w:val="43"/>
    <w:unhideWhenUsed/>
    <w:qFormat/>
    <w:uiPriority w:val="99"/>
    <w:pPr>
      <w:spacing w:after="120"/>
    </w:pPr>
  </w:style>
  <w:style w:type="paragraph" w:styleId="14">
    <w:name w:val="toc 3"/>
    <w:basedOn w:val="1"/>
    <w:next w:val="1"/>
    <w:unhideWhenUsed/>
    <w:qFormat/>
    <w:uiPriority w:val="39"/>
    <w:pPr>
      <w:ind w:left="840" w:leftChars="400"/>
    </w:pPr>
  </w:style>
  <w:style w:type="paragraph" w:styleId="15">
    <w:name w:val="Plain Text"/>
    <w:basedOn w:val="1"/>
    <w:link w:val="44"/>
    <w:qFormat/>
    <w:uiPriority w:val="99"/>
    <w:rPr>
      <w:rFonts w:ascii="宋体" w:hAnsi="Courier New"/>
      <w:kern w:val="0"/>
      <w:sz w:val="20"/>
      <w:szCs w:val="20"/>
    </w:rPr>
  </w:style>
  <w:style w:type="paragraph" w:styleId="16">
    <w:name w:val="Date"/>
    <w:basedOn w:val="1"/>
    <w:next w:val="1"/>
    <w:link w:val="45"/>
    <w:unhideWhenUsed/>
    <w:qFormat/>
    <w:uiPriority w:val="99"/>
  </w:style>
  <w:style w:type="paragraph" w:styleId="17">
    <w:name w:val="Balloon Text"/>
    <w:basedOn w:val="1"/>
    <w:link w:val="46"/>
    <w:unhideWhenUsed/>
    <w:qFormat/>
    <w:uiPriority w:val="99"/>
    <w:rPr>
      <w:kern w:val="0"/>
      <w:sz w:val="18"/>
      <w:szCs w:val="18"/>
    </w:rPr>
  </w:style>
  <w:style w:type="paragraph" w:styleId="18">
    <w:name w:val="footer"/>
    <w:basedOn w:val="1"/>
    <w:link w:val="47"/>
    <w:unhideWhenUsed/>
    <w:qFormat/>
    <w:uiPriority w:val="99"/>
    <w:pPr>
      <w:tabs>
        <w:tab w:val="center" w:pos="4153"/>
        <w:tab w:val="right" w:pos="8306"/>
      </w:tabs>
      <w:snapToGrid w:val="0"/>
      <w:jc w:val="left"/>
    </w:pPr>
    <w:rPr>
      <w:kern w:val="0"/>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Body Text Indent 3"/>
    <w:basedOn w:val="1"/>
    <w:link w:val="49"/>
    <w:unhideWhenUsed/>
    <w:qFormat/>
    <w:uiPriority w:val="0"/>
    <w:pPr>
      <w:spacing w:after="120" w:line="288" w:lineRule="auto"/>
      <w:ind w:left="420" w:leftChars="200"/>
    </w:pPr>
    <w:rPr>
      <w:rFonts w:ascii="Times New Roman" w:hAnsi="Times New Roman"/>
      <w:kern w:val="0"/>
      <w:sz w:val="16"/>
      <w:szCs w:val="16"/>
      <w:lang w:val="zh-CN"/>
    </w:rPr>
  </w:style>
  <w:style w:type="paragraph" w:styleId="22">
    <w:name w:val="toc 2"/>
    <w:basedOn w:val="1"/>
    <w:next w:val="1"/>
    <w:unhideWhenUsed/>
    <w:qFormat/>
    <w:uiPriority w:val="39"/>
    <w:pPr>
      <w:ind w:left="420" w:leftChars="200"/>
    </w:pPr>
  </w:style>
  <w:style w:type="paragraph" w:styleId="23">
    <w:name w:val="toc 9"/>
    <w:basedOn w:val="1"/>
    <w:next w:val="1"/>
    <w:unhideWhenUsed/>
    <w:qFormat/>
    <w:uiPriority w:val="39"/>
    <w:pPr>
      <w:ind w:left="3360" w:leftChars="1600"/>
    </w:pPr>
  </w:style>
  <w:style w:type="paragraph" w:styleId="24">
    <w:name w:val="Normal (Web)"/>
    <w:basedOn w:val="1"/>
    <w:unhideWhenUsed/>
    <w:qFormat/>
    <w:uiPriority w:val="99"/>
    <w:rPr>
      <w:sz w:val="24"/>
    </w:rPr>
  </w:style>
  <w:style w:type="paragraph" w:styleId="25">
    <w:name w:val="Title"/>
    <w:basedOn w:val="1"/>
    <w:next w:val="1"/>
    <w:link w:val="50"/>
    <w:qFormat/>
    <w:uiPriority w:val="0"/>
    <w:pPr>
      <w:spacing w:before="240" w:after="60"/>
      <w:jc w:val="center"/>
      <w:outlineLvl w:val="0"/>
    </w:pPr>
    <w:rPr>
      <w:rFonts w:ascii="Cambria" w:hAnsi="Cambria"/>
      <w:b/>
      <w:bCs/>
      <w:kern w:val="0"/>
      <w:sz w:val="32"/>
      <w:szCs w:val="32"/>
      <w:lang w:val="zh-CN"/>
    </w:rPr>
  </w:style>
  <w:style w:type="paragraph" w:styleId="26">
    <w:name w:val="annotation subject"/>
    <w:basedOn w:val="12"/>
    <w:next w:val="12"/>
    <w:link w:val="51"/>
    <w:unhideWhenUsed/>
    <w:qFormat/>
    <w:uiPriority w:val="99"/>
    <w:rPr>
      <w:b/>
      <w:bCs/>
      <w:kern w:val="0"/>
      <w:sz w:val="20"/>
      <w:szCs w:val="20"/>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标题 1 字符"/>
    <w:link w:val="2"/>
    <w:qFormat/>
    <w:uiPriority w:val="0"/>
    <w:rPr>
      <w:rFonts w:eastAsia="微软雅黑" w:cs="Times New Roman"/>
      <w:b/>
      <w:bCs/>
      <w:kern w:val="44"/>
      <w:sz w:val="36"/>
      <w:szCs w:val="44"/>
    </w:rPr>
  </w:style>
  <w:style w:type="character" w:customStyle="1" w:styleId="33">
    <w:name w:val="标题 2 字符"/>
    <w:link w:val="3"/>
    <w:qFormat/>
    <w:uiPriority w:val="0"/>
    <w:rPr>
      <w:rFonts w:eastAsia="微软雅黑" w:cs="Times New Roman"/>
      <w:bCs/>
      <w:kern w:val="2"/>
      <w:sz w:val="32"/>
      <w:szCs w:val="32"/>
    </w:rPr>
  </w:style>
  <w:style w:type="character" w:customStyle="1" w:styleId="34">
    <w:name w:val="标题 3 字符"/>
    <w:link w:val="4"/>
    <w:qFormat/>
    <w:uiPriority w:val="0"/>
    <w:rPr>
      <w:rFonts w:ascii="Calibri" w:hAnsi="Calibri" w:eastAsia="微软雅黑"/>
      <w:bCs/>
      <w:kern w:val="2"/>
      <w:sz w:val="30"/>
      <w:szCs w:val="32"/>
    </w:rPr>
  </w:style>
  <w:style w:type="character" w:customStyle="1" w:styleId="35">
    <w:name w:val="标题 4 字符"/>
    <w:link w:val="5"/>
    <w:qFormat/>
    <w:uiPriority w:val="0"/>
    <w:rPr>
      <w:rFonts w:eastAsia="微软雅黑" w:cs="Times New Roman"/>
      <w:bCs/>
      <w:kern w:val="2"/>
      <w:sz w:val="28"/>
      <w:szCs w:val="28"/>
    </w:rPr>
  </w:style>
  <w:style w:type="character" w:customStyle="1" w:styleId="36">
    <w:name w:val="标题 5 字符"/>
    <w:link w:val="6"/>
    <w:qFormat/>
    <w:uiPriority w:val="0"/>
    <w:rPr>
      <w:rFonts w:eastAsia="微软雅黑" w:cs="Times New Roman"/>
      <w:bCs/>
      <w:kern w:val="2"/>
      <w:sz w:val="28"/>
      <w:szCs w:val="28"/>
    </w:rPr>
  </w:style>
  <w:style w:type="character" w:customStyle="1" w:styleId="37">
    <w:name w:val="标题 6 字符"/>
    <w:link w:val="7"/>
    <w:qFormat/>
    <w:uiPriority w:val="0"/>
    <w:rPr>
      <w:rFonts w:eastAsia="微软雅黑" w:cs="Times New Roman"/>
      <w:bCs/>
      <w:kern w:val="2"/>
      <w:sz w:val="24"/>
      <w:szCs w:val="24"/>
    </w:rPr>
  </w:style>
  <w:style w:type="character" w:customStyle="1" w:styleId="38">
    <w:name w:val="标题 7 字符"/>
    <w:link w:val="8"/>
    <w:qFormat/>
    <w:uiPriority w:val="9"/>
    <w:rPr>
      <w:rFonts w:eastAsia="微软雅黑" w:cs="Times New Roman"/>
      <w:bCs/>
      <w:kern w:val="2"/>
      <w:sz w:val="24"/>
      <w:szCs w:val="24"/>
    </w:rPr>
  </w:style>
  <w:style w:type="character" w:customStyle="1" w:styleId="39">
    <w:name w:val="标题 8 字符"/>
    <w:link w:val="9"/>
    <w:qFormat/>
    <w:uiPriority w:val="0"/>
    <w:rPr>
      <w:rFonts w:cs="Times New Roman"/>
      <w:kern w:val="2"/>
      <w:sz w:val="24"/>
      <w:szCs w:val="24"/>
    </w:rPr>
  </w:style>
  <w:style w:type="character" w:customStyle="1" w:styleId="40">
    <w:name w:val="标题 9 字符"/>
    <w:link w:val="10"/>
    <w:qFormat/>
    <w:uiPriority w:val="0"/>
    <w:rPr>
      <w:rFonts w:ascii="Cambria" w:hAnsi="Cambria" w:cs="Times New Roman"/>
      <w:kern w:val="2"/>
      <w:sz w:val="21"/>
      <w:szCs w:val="21"/>
    </w:rPr>
  </w:style>
  <w:style w:type="character" w:customStyle="1" w:styleId="41">
    <w:name w:val="文档结构图 字符"/>
    <w:link w:val="11"/>
    <w:semiHidden/>
    <w:qFormat/>
    <w:uiPriority w:val="99"/>
    <w:rPr>
      <w:rFonts w:ascii="宋体" w:eastAsia="宋体"/>
      <w:sz w:val="18"/>
      <w:szCs w:val="18"/>
    </w:rPr>
  </w:style>
  <w:style w:type="character" w:customStyle="1" w:styleId="42">
    <w:name w:val="批注文字 字符"/>
    <w:link w:val="12"/>
    <w:qFormat/>
    <w:uiPriority w:val="99"/>
  </w:style>
  <w:style w:type="character" w:customStyle="1" w:styleId="43">
    <w:name w:val="正文文本 字符"/>
    <w:link w:val="13"/>
    <w:semiHidden/>
    <w:qFormat/>
    <w:uiPriority w:val="99"/>
  </w:style>
  <w:style w:type="character" w:customStyle="1" w:styleId="44">
    <w:name w:val="纯文本 字符"/>
    <w:link w:val="15"/>
    <w:qFormat/>
    <w:uiPriority w:val="99"/>
    <w:rPr>
      <w:rFonts w:ascii="宋体" w:hAnsi="Courier New" w:eastAsia="宋体" w:cs="Times New Roman"/>
      <w:szCs w:val="20"/>
    </w:rPr>
  </w:style>
  <w:style w:type="character" w:customStyle="1" w:styleId="45">
    <w:name w:val="日期 字符"/>
    <w:link w:val="16"/>
    <w:semiHidden/>
    <w:qFormat/>
    <w:uiPriority w:val="99"/>
    <w:rPr>
      <w:rFonts w:cs="Times New Roman"/>
      <w:kern w:val="2"/>
      <w:sz w:val="21"/>
      <w:szCs w:val="22"/>
    </w:rPr>
  </w:style>
  <w:style w:type="character" w:customStyle="1" w:styleId="46">
    <w:name w:val="批注框文本 字符"/>
    <w:link w:val="17"/>
    <w:semiHidden/>
    <w:qFormat/>
    <w:uiPriority w:val="99"/>
    <w:rPr>
      <w:sz w:val="18"/>
      <w:szCs w:val="18"/>
    </w:rPr>
  </w:style>
  <w:style w:type="character" w:customStyle="1" w:styleId="47">
    <w:name w:val="页脚 字符"/>
    <w:link w:val="18"/>
    <w:qFormat/>
    <w:uiPriority w:val="99"/>
    <w:rPr>
      <w:sz w:val="18"/>
      <w:szCs w:val="18"/>
    </w:rPr>
  </w:style>
  <w:style w:type="character" w:customStyle="1" w:styleId="48">
    <w:name w:val="页眉 字符"/>
    <w:link w:val="19"/>
    <w:qFormat/>
    <w:uiPriority w:val="99"/>
    <w:rPr>
      <w:sz w:val="18"/>
      <w:szCs w:val="18"/>
    </w:rPr>
  </w:style>
  <w:style w:type="character" w:customStyle="1" w:styleId="49">
    <w:name w:val="正文文本缩进 3 字符"/>
    <w:link w:val="21"/>
    <w:qFormat/>
    <w:uiPriority w:val="0"/>
    <w:rPr>
      <w:rFonts w:ascii="Times New Roman" w:hAnsi="Times New Roman" w:eastAsia="宋体" w:cs="Times New Roman"/>
      <w:sz w:val="16"/>
      <w:szCs w:val="16"/>
      <w:lang w:val="zh-CN" w:eastAsia="zh-CN"/>
    </w:rPr>
  </w:style>
  <w:style w:type="character" w:customStyle="1" w:styleId="50">
    <w:name w:val="标题 字符"/>
    <w:link w:val="25"/>
    <w:qFormat/>
    <w:uiPriority w:val="0"/>
    <w:rPr>
      <w:rFonts w:ascii="Cambria" w:hAnsi="Cambria" w:eastAsia="宋体" w:cs="Times New Roman"/>
      <w:b/>
      <w:bCs/>
      <w:sz w:val="32"/>
      <w:szCs w:val="32"/>
      <w:lang w:val="zh-CN" w:eastAsia="zh-CN"/>
    </w:rPr>
  </w:style>
  <w:style w:type="character" w:customStyle="1" w:styleId="51">
    <w:name w:val="批注主题 字符"/>
    <w:link w:val="26"/>
    <w:semiHidden/>
    <w:qFormat/>
    <w:uiPriority w:val="99"/>
    <w:rPr>
      <w:b/>
      <w:bCs/>
    </w:rPr>
  </w:style>
  <w:style w:type="paragraph" w:styleId="52">
    <w:name w:val="List Paragraph"/>
    <w:basedOn w:val="1"/>
    <w:qFormat/>
    <w:uiPriority w:val="99"/>
    <w:pPr>
      <w:ind w:firstLine="420" w:firstLineChars="200"/>
    </w:pPr>
  </w:style>
  <w:style w:type="paragraph" w:customStyle="1" w:styleId="53">
    <w:name w:val="TOC 标题1"/>
    <w:basedOn w:val="2"/>
    <w:next w:val="1"/>
    <w:unhideWhenUsed/>
    <w:qFormat/>
    <w:uiPriority w:val="39"/>
    <w:pPr>
      <w:pageBreakBefore w:val="0"/>
      <w:widowControl/>
      <w:numPr>
        <w:numId w:val="0"/>
      </w:numPr>
      <w:spacing w:before="480" w:after="0" w:line="276" w:lineRule="auto"/>
      <w:jc w:val="left"/>
      <w:outlineLvl w:val="9"/>
    </w:pPr>
    <w:rPr>
      <w:rFonts w:ascii="Cambria" w:hAnsi="Cambria" w:eastAsia="宋体"/>
      <w:b w:val="0"/>
      <w:color w:val="365F91"/>
      <w:kern w:val="0"/>
      <w:sz w:val="28"/>
      <w:szCs w:val="28"/>
    </w:rPr>
  </w:style>
  <w:style w:type="character" w:styleId="54">
    <w:name w:val="Placeholder Text"/>
    <w:semiHidden/>
    <w:qFormat/>
    <w:uiPriority w:val="99"/>
    <w:rPr>
      <w:color w:val="808080"/>
    </w:rPr>
  </w:style>
  <w:style w:type="paragraph" w:customStyle="1" w:styleId="55">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56">
    <w:name w:val="列出段落2"/>
    <w:basedOn w:val="1"/>
    <w:link w:val="57"/>
    <w:qFormat/>
    <w:uiPriority w:val="0"/>
    <w:pPr>
      <w:spacing w:line="288" w:lineRule="auto"/>
      <w:ind w:firstLine="420" w:firstLineChars="200"/>
    </w:pPr>
    <w:rPr>
      <w:rFonts w:ascii="Times New Roman" w:hAnsi="Times New Roman"/>
      <w:kern w:val="0"/>
      <w:sz w:val="24"/>
      <w:szCs w:val="24"/>
      <w:lang w:val="zh-CN"/>
    </w:rPr>
  </w:style>
  <w:style w:type="character" w:customStyle="1" w:styleId="57">
    <w:name w:val="列出段落 Char"/>
    <w:link w:val="56"/>
    <w:qFormat/>
    <w:uiPriority w:val="0"/>
    <w:rPr>
      <w:rFonts w:ascii="Times New Roman" w:hAnsi="Times New Roman" w:eastAsia="宋体" w:cs="Times New Roman"/>
      <w:sz w:val="24"/>
      <w:szCs w:val="24"/>
      <w:lang w:val="zh-CN" w:eastAsia="zh-CN"/>
    </w:rPr>
  </w:style>
  <w:style w:type="paragraph" w:customStyle="1" w:styleId="58">
    <w:name w:val="U_编号2"/>
    <w:basedOn w:val="1"/>
    <w:link w:val="59"/>
    <w:qFormat/>
    <w:uiPriority w:val="0"/>
    <w:pPr>
      <w:spacing w:beforeLines="10" w:afterLines="10" w:line="300" w:lineRule="auto"/>
    </w:pPr>
    <w:rPr>
      <w:rFonts w:ascii="Times New Roman" w:hAnsi="Times New Roman"/>
      <w:kern w:val="0"/>
      <w:sz w:val="24"/>
      <w:szCs w:val="20"/>
      <w:lang w:val="zh-CN"/>
    </w:rPr>
  </w:style>
  <w:style w:type="character" w:customStyle="1" w:styleId="59">
    <w:name w:val="U_编号2 Char"/>
    <w:link w:val="58"/>
    <w:qFormat/>
    <w:uiPriority w:val="0"/>
    <w:rPr>
      <w:rFonts w:ascii="Times New Roman" w:hAnsi="Times New Roman" w:eastAsia="宋体" w:cs="Times New Roman"/>
      <w:sz w:val="24"/>
      <w:szCs w:val="20"/>
      <w:lang w:val="zh-CN" w:eastAsia="zh-CN"/>
    </w:rPr>
  </w:style>
  <w:style w:type="paragraph" w:customStyle="1" w:styleId="60">
    <w:name w:val="正文样式1"/>
    <w:basedOn w:val="13"/>
    <w:link w:val="61"/>
    <w:qFormat/>
    <w:uiPriority w:val="0"/>
    <w:pPr>
      <w:snapToGrid w:val="0"/>
      <w:spacing w:after="0" w:line="300" w:lineRule="auto"/>
      <w:ind w:firstLine="420" w:firstLineChars="200"/>
    </w:pPr>
    <w:rPr>
      <w:rFonts w:ascii="微软雅黑" w:hAnsi="微软雅黑" w:eastAsia="微软雅黑"/>
      <w:kern w:val="0"/>
      <w:sz w:val="20"/>
      <w:szCs w:val="24"/>
      <w:lang w:val="zh-CN"/>
    </w:rPr>
  </w:style>
  <w:style w:type="character" w:customStyle="1" w:styleId="61">
    <w:name w:val="正文样式1 Char"/>
    <w:link w:val="60"/>
    <w:qFormat/>
    <w:uiPriority w:val="0"/>
    <w:rPr>
      <w:rFonts w:ascii="微软雅黑" w:hAnsi="微软雅黑" w:eastAsia="微软雅黑" w:cs="Times New Roman"/>
      <w:szCs w:val="24"/>
      <w:lang w:val="zh-CN" w:eastAsia="zh-CN"/>
    </w:rPr>
  </w:style>
  <w:style w:type="paragraph" w:customStyle="1" w:styleId="62">
    <w:name w:val="无间距"/>
    <w:qFormat/>
    <w:uiPriority w:val="1"/>
    <w:pPr>
      <w:widowControl w:val="0"/>
      <w:spacing w:line="360" w:lineRule="auto"/>
      <w:jc w:val="both"/>
    </w:pPr>
    <w:rPr>
      <w:rFonts w:ascii="Calibri" w:hAnsi="Calibri" w:eastAsia="宋体" w:cs="Times New Roman"/>
      <w:kern w:val="2"/>
      <w:sz w:val="24"/>
      <w:szCs w:val="22"/>
      <w:lang w:val="en-US" w:eastAsia="zh-CN" w:bidi="ar-SA"/>
    </w:rPr>
  </w:style>
  <w:style w:type="character" w:customStyle="1" w:styleId="63">
    <w:name w:val="文档结构图 Char"/>
    <w:semiHidden/>
    <w:qFormat/>
    <w:uiPriority w:val="99"/>
    <w:rPr>
      <w:rFonts w:ascii="宋体" w:eastAsia="宋体"/>
      <w:sz w:val="18"/>
      <w:szCs w:val="18"/>
    </w:rPr>
  </w:style>
  <w:style w:type="character" w:customStyle="1" w:styleId="64">
    <w:name w:val="批注文字 字符1"/>
    <w:semiHidden/>
    <w:qFormat/>
    <w:uiPriority w:val="99"/>
    <w:rPr>
      <w:rFonts w:ascii="Calibri" w:hAnsi="Calibri" w:eastAsia="宋体" w:cs="Times New Roman"/>
      <w:sz w:val="24"/>
    </w:rPr>
  </w:style>
  <w:style w:type="character" w:customStyle="1" w:styleId="65">
    <w:name w:val="font21"/>
    <w:qFormat/>
    <w:uiPriority w:val="0"/>
    <w:rPr>
      <w:rFonts w:hint="eastAsia" w:ascii="宋体" w:hAnsi="宋体" w:eastAsia="宋体" w:cs="宋体"/>
      <w:color w:val="000000"/>
      <w:sz w:val="18"/>
      <w:szCs w:val="18"/>
      <w:u w:val="none"/>
    </w:rPr>
  </w:style>
  <w:style w:type="paragraph" w:customStyle="1" w:styleId="66">
    <w:name w:val="样式2"/>
    <w:basedOn w:val="1"/>
    <w:qFormat/>
    <w:uiPriority w:val="0"/>
    <w:pPr>
      <w:widowControl/>
      <w:adjustRightInd w:val="0"/>
      <w:spacing w:line="360" w:lineRule="auto"/>
      <w:ind w:firstLine="480" w:firstLineChars="200"/>
    </w:pPr>
    <w:rPr>
      <w:rFonts w:ascii="宋体" w:hAnsi="宋体"/>
      <w:kern w:val="0"/>
      <w:sz w:val="24"/>
      <w:lang w:eastAsia="en-US"/>
    </w:rPr>
  </w:style>
  <w:style w:type="paragraph" w:customStyle="1" w:styleId="67">
    <w:name w:val="_Style 66"/>
    <w:unhideWhenUsed/>
    <w:qFormat/>
    <w:uiPriority w:val="99"/>
    <w:rPr>
      <w:rFonts w:ascii="Calibri" w:hAnsi="Calibri" w:eastAsia="宋体" w:cs="Times New Roman"/>
      <w:kern w:val="2"/>
      <w:sz w:val="21"/>
      <w:szCs w:val="22"/>
      <w:lang w:val="en-US" w:eastAsia="zh-CN" w:bidi="ar-SA"/>
    </w:rPr>
  </w:style>
  <w:style w:type="paragraph" w:customStyle="1" w:styleId="68">
    <w:name w:val="p4"/>
    <w:basedOn w:val="1"/>
    <w:qFormat/>
    <w:uiPriority w:val="0"/>
    <w:pPr>
      <w:shd w:val="clear" w:color="auto" w:fill="FFFFFF"/>
      <w:jc w:val="left"/>
    </w:pPr>
    <w:rPr>
      <w:rFonts w:hint="eastAsia" w:ascii="PingFang SC" w:hAnsi="PingFang SC" w:eastAsia="PingFang SC"/>
      <w:color w:val="070708"/>
      <w:kern w:val="0"/>
      <w:sz w:val="28"/>
      <w:szCs w:val="28"/>
    </w:rPr>
  </w:style>
  <w:style w:type="character" w:customStyle="1" w:styleId="69">
    <w:name w:val="s1"/>
    <w:basedOn w:val="29"/>
    <w:qFormat/>
    <w:uiPriority w:val="0"/>
  </w:style>
  <w:style w:type="character" w:customStyle="1" w:styleId="70">
    <w:name w:val="s4"/>
    <w:basedOn w:val="29"/>
    <w:qFormat/>
    <w:uiPriority w:val="0"/>
    <w:rPr>
      <w:rFonts w:hint="default" w:ascii="Helvetica" w:hAnsi="Helvetica" w:eastAsia="Helvetica" w:cs="Helvetica"/>
      <w:sz w:val="28"/>
      <w:szCs w:val="28"/>
      <w:shd w:val="clear" w:color="auto" w:fill="FFFFFF"/>
    </w:rPr>
  </w:style>
  <w:style w:type="character" w:customStyle="1" w:styleId="71">
    <w:name w:val="s5"/>
    <w:basedOn w:val="29"/>
    <w:qFormat/>
    <w:uiPriority w:val="0"/>
    <w:rPr>
      <w:rFonts w:hint="default" w:ascii="Helvetica Neue" w:hAnsi="Helvetica Neue" w:eastAsia="Helvetica Neue" w:cs="Helvetica Neue"/>
      <w:sz w:val="28"/>
      <w:szCs w:val="28"/>
      <w:shd w:val="clear" w:color="auto" w:fill="FFFFFF"/>
    </w:rPr>
  </w:style>
  <w:style w:type="character" w:customStyle="1" w:styleId="72">
    <w:name w:val="s6"/>
    <w:basedOn w:val="29"/>
    <w:qFormat/>
    <w:uiPriority w:val="0"/>
    <w:rPr>
      <w:shd w:val="clear" w:color="auto" w:fill="FFFFFF"/>
    </w:rPr>
  </w:style>
  <w:style w:type="paragraph" w:customStyle="1" w:styleId="73">
    <w:name w:val="p10"/>
    <w:basedOn w:val="1"/>
    <w:qFormat/>
    <w:uiPriority w:val="0"/>
    <w:pPr>
      <w:shd w:val="clear" w:color="auto" w:fill="FFFFFF"/>
      <w:spacing w:after="372"/>
      <w:jc w:val="left"/>
    </w:pPr>
    <w:rPr>
      <w:rFonts w:ascii="Helvetica" w:hAnsi="Helvetica" w:eastAsia="Helvetica"/>
      <w:color w:val="070708"/>
      <w:kern w:val="0"/>
      <w:sz w:val="28"/>
      <w:szCs w:val="28"/>
    </w:rPr>
  </w:style>
  <w:style w:type="paragraph" w:customStyle="1" w:styleId="74">
    <w:name w:val="可研正文"/>
    <w:basedOn w:val="1"/>
    <w:autoRedefine/>
    <w:qFormat/>
    <w:uiPriority w:val="0"/>
    <w:pPr>
      <w:spacing w:line="360" w:lineRule="auto"/>
      <w:ind w:firstLine="200" w:firstLineChars="200"/>
    </w:pPr>
    <w:rPr>
      <w:rFonts w:ascii="仿宋" w:hAnsi="仿宋" w:eastAsia="仿宋"/>
      <w:sz w:val="28"/>
      <w:szCs w:val="28"/>
    </w:rPr>
  </w:style>
  <w:style w:type="paragraph" w:customStyle="1" w:styleId="75">
    <w:name w:val="修订1"/>
    <w:hidden/>
    <w:unhideWhenUsed/>
    <w:qFormat/>
    <w:uiPriority w:val="99"/>
    <w:rPr>
      <w:rFonts w:ascii="Calibri" w:hAnsi="Calibri" w:eastAsia="宋体" w:cs="Times New Roman"/>
      <w:kern w:val="2"/>
      <w:sz w:val="21"/>
      <w:szCs w:val="22"/>
      <w:lang w:val="en-US" w:eastAsia="zh-CN" w:bidi="ar-SA"/>
    </w:rPr>
  </w:style>
  <w:style w:type="paragraph" w:customStyle="1" w:styleId="76">
    <w:name w:val="修订2"/>
    <w:hidden/>
    <w:unhideWhenUsed/>
    <w:qFormat/>
    <w:uiPriority w:val="99"/>
    <w:rPr>
      <w:rFonts w:ascii="Calibri" w:hAnsi="Calibri" w:eastAsia="宋体" w:cs="Times New Roman"/>
      <w:kern w:val="2"/>
      <w:sz w:val="21"/>
      <w:szCs w:val="22"/>
      <w:lang w:val="en-US" w:eastAsia="zh-CN" w:bidi="ar-SA"/>
    </w:rPr>
  </w:style>
  <w:style w:type="paragraph" w:customStyle="1" w:styleId="77">
    <w:name w:val="修订3"/>
    <w:hidden/>
    <w:unhideWhenUsed/>
    <w:qFormat/>
    <w:uiPriority w:val="99"/>
    <w:rPr>
      <w:rFonts w:ascii="Calibri" w:hAnsi="Calibri" w:eastAsia="宋体" w:cs="Times New Roman"/>
      <w:kern w:val="2"/>
      <w:sz w:val="21"/>
      <w:szCs w:val="22"/>
      <w:lang w:val="en-US" w:eastAsia="zh-CN" w:bidi="ar-SA"/>
    </w:rPr>
  </w:style>
  <w:style w:type="paragraph" w:customStyle="1" w:styleId="78">
    <w:name w:val="列表段落1"/>
    <w:basedOn w:val="1"/>
    <w:qFormat/>
    <w:uiPriority w:val="99"/>
    <w:pPr>
      <w:spacing w:after="160" w:line="278" w:lineRule="auto"/>
      <w:ind w:firstLine="420" w:firstLineChars="200"/>
    </w:pPr>
  </w:style>
  <w:style w:type="paragraph" w:customStyle="1" w:styleId="79">
    <w:name w:val="修订4"/>
    <w:hidden/>
    <w:unhideWhenUsed/>
    <w:qFormat/>
    <w:uiPriority w:val="99"/>
    <w:rPr>
      <w:rFonts w:ascii="Calibri" w:hAnsi="Calibri" w:eastAsia="宋体" w:cs="Times New Roman"/>
      <w:kern w:val="2"/>
      <w:sz w:val="21"/>
      <w:szCs w:val="22"/>
      <w:lang w:val="en-US" w:eastAsia="zh-CN" w:bidi="ar-SA"/>
    </w:rPr>
  </w:style>
  <w:style w:type="paragraph" w:customStyle="1" w:styleId="80">
    <w:name w:val="修订5"/>
    <w:hidden/>
    <w:unhideWhenUsed/>
    <w:qFormat/>
    <w:uiPriority w:val="99"/>
    <w:rPr>
      <w:rFonts w:ascii="Calibri" w:hAnsi="Calibri" w:eastAsia="宋体" w:cs="Times New Roman"/>
      <w:kern w:val="2"/>
      <w:sz w:val="21"/>
      <w:szCs w:val="22"/>
      <w:lang w:val="en-US" w:eastAsia="zh-CN" w:bidi="ar-SA"/>
    </w:rPr>
  </w:style>
  <w:style w:type="paragraph" w:customStyle="1" w:styleId="81">
    <w:name w:val="修订6"/>
    <w:hidden/>
    <w:unhideWhenUsed/>
    <w:qFormat/>
    <w:uiPriority w:val="99"/>
    <w:rPr>
      <w:rFonts w:ascii="Calibri" w:hAnsi="Calibri" w:eastAsia="宋体" w:cs="Times New Roman"/>
      <w:kern w:val="2"/>
      <w:sz w:val="21"/>
      <w:szCs w:val="22"/>
      <w:lang w:val="en-US" w:eastAsia="zh-CN" w:bidi="ar-SA"/>
    </w:rPr>
  </w:style>
  <w:style w:type="paragraph" w:customStyle="1" w:styleId="8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3765</Words>
  <Characters>4015</Characters>
  <Lines>84</Lines>
  <Paragraphs>23</Paragraphs>
  <TotalTime>564</TotalTime>
  <ScaleCrop>false</ScaleCrop>
  <LinksUpToDate>false</LinksUpToDate>
  <CharactersWithSpaces>4034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2022-03-20T16:07:00Z</dcterms:created>
  <dc:creator>01053262</dc:creator>
  <cp:lastModifiedBy>李修辞</cp:lastModifiedBy>
  <cp:lastPrinted>2026-01-28T09:28:00Z</cp:lastPrinted>
  <dcterms:modified xsi:type="dcterms:W3CDTF">2026-04-21T10:47:36Z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A92F458A3E5E4CDB87D4CB92DF83BF90_13</vt:lpwstr>
  </property>
  <property fmtid="{D5CDD505-2E9C-101B-9397-08002B2CF9AE}" pid="4" name="KSOTemplateDocerSaveRecord">
    <vt:lpwstr>eyJoZGlkIjoiMDYxMWI4NTExYmFmNWExYzhkMWNlMzY1YThkYzE3MTQiLCJ1c2VySWQiOiI3MDczMDI4MjIifQ==</vt:lpwstr>
  </property>
</Properties>
</file>