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农业农村地理信息应用大系统建设项目（2026年升级改造）</w:t>
      </w: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采购需求</w:t>
      </w:r>
    </w:p>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ind w:firstLine="1040"/>
        <w:rPr>
          <w:rFonts w:hint="eastAsia" w:ascii="黑体" w:hAnsi="黑体" w:eastAsia="黑体"/>
          <w:sz w:val="52"/>
          <w:szCs w:val="52"/>
          <w:highlight w:val="none"/>
        </w:rPr>
      </w:pPr>
    </w:p>
    <w:p>
      <w:pPr>
        <w:jc w:val="center"/>
        <w:rPr>
          <w:rFonts w:hint="eastAsia"/>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rPr>
          <w:rFonts w:hint="eastAsia"/>
          <w:highlight w:val="none"/>
        </w:rPr>
      </w:pPr>
      <w:bookmarkStart w:id="0" w:name="_Toc63785461"/>
      <w:r>
        <w:rPr>
          <w:rFonts w:hint="eastAsia"/>
          <w:highlight w:val="none"/>
        </w:rPr>
        <w:t>项目概况</w:t>
      </w:r>
      <w:bookmarkEnd w:id="0"/>
    </w:p>
    <w:p>
      <w:pPr>
        <w:spacing w:line="560" w:lineRule="exact"/>
        <w:rPr>
          <w:rFonts w:hint="eastAsia"/>
          <w:highlight w:val="none"/>
        </w:rPr>
      </w:pPr>
      <w:r>
        <w:rPr>
          <w:rFonts w:hint="eastAsia"/>
          <w:highlight w:val="none"/>
        </w:rPr>
        <w:t>市农业农村委落实党中央国务院精神，持续对耕地管理深化改革，扎实推进乡村全面振兴的工作。</w:t>
      </w:r>
    </w:p>
    <w:p>
      <w:pPr>
        <w:spacing w:line="560" w:lineRule="exact"/>
        <w:rPr>
          <w:rFonts w:hint="eastAsia"/>
          <w:highlight w:val="none"/>
        </w:rPr>
      </w:pPr>
      <w:r>
        <w:rPr>
          <w:rFonts w:hint="eastAsia"/>
          <w:highlight w:val="none"/>
        </w:rPr>
        <w:t>现有的农业农村地理信息应用大系统，依托市级“一张图”能力，实现对上海农业地理空间数据资源的审核、入库、发布和授权管理，是农用</w:t>
      </w:r>
      <w:r>
        <w:rPr>
          <w:rFonts w:hint="eastAsia"/>
          <w:highlight w:val="none"/>
          <w:lang w:val="en-US" w:eastAsia="zh-CN"/>
        </w:rPr>
        <w:t>地理</w:t>
      </w:r>
      <w:r>
        <w:rPr>
          <w:rFonts w:hint="eastAsia"/>
          <w:highlight w:val="none"/>
        </w:rPr>
        <w:t>信息精准化管理的基础。市农业农村委按照政策要求，已陆续完成了高标准农田建设、宅基地管理等围绕农用地的数字化系统建设和升级改造。</w:t>
      </w:r>
    </w:p>
    <w:p>
      <w:pPr>
        <w:spacing w:line="560" w:lineRule="exact"/>
        <w:rPr>
          <w:rFonts w:hint="eastAsia"/>
          <w:highlight w:val="none"/>
        </w:rPr>
      </w:pPr>
      <w:r>
        <w:rPr>
          <w:rFonts w:hint="eastAsia"/>
          <w:highlight w:val="none"/>
        </w:rPr>
        <w:t>对标2025年中央一号文件《中共中央 国务院关于进一步深化农村改革 扎实推进乡村全面振兴的意见》的精神要求，市农业农村委目前缺少支撑承包地和集体耕地管理、耕地用途监测的数字化系统，影响高效精准落实相关工作。因此筹划本次升级改造项目，在农业农村地理信息应用大系统中建设用于承包地和集体耕地管理、耕地</w:t>
      </w:r>
      <w:r>
        <w:rPr>
          <w:rFonts w:hint="eastAsia"/>
          <w:highlight w:val="none"/>
          <w:lang w:val="en-US" w:eastAsia="zh-CN"/>
        </w:rPr>
        <w:t>种植</w:t>
      </w:r>
      <w:r>
        <w:rPr>
          <w:rFonts w:hint="eastAsia"/>
          <w:highlight w:val="none"/>
        </w:rPr>
        <w:t>用途监测的功能模块，补足短板。</w:t>
      </w:r>
    </w:p>
    <w:p>
      <w:pPr>
        <w:spacing w:line="560" w:lineRule="exact"/>
        <w:rPr>
          <w:rFonts w:hint="eastAsia"/>
          <w:highlight w:val="none"/>
        </w:rPr>
      </w:pPr>
      <w:r>
        <w:rPr>
          <w:rFonts w:hint="eastAsia"/>
          <w:highlight w:val="none"/>
        </w:rPr>
        <w:t>建设期限：</w:t>
      </w:r>
      <w:r>
        <w:rPr>
          <w:rFonts w:hint="eastAsia"/>
          <w:highlight w:val="none"/>
          <w:lang w:val="en-US" w:eastAsia="zh-CN"/>
        </w:rPr>
        <w:t>自合同签订之日起9个月</w:t>
      </w:r>
    </w:p>
    <w:p>
      <w:pPr>
        <w:spacing w:line="560" w:lineRule="exact"/>
        <w:rPr>
          <w:rFonts w:hint="eastAsia"/>
          <w:highlight w:val="none"/>
        </w:rPr>
      </w:pPr>
      <w:r>
        <w:rPr>
          <w:rFonts w:hint="eastAsia"/>
          <w:highlight w:val="none"/>
        </w:rPr>
        <w:t>建设地点：上海市</w:t>
      </w:r>
    </w:p>
    <w:p>
      <w:pPr>
        <w:spacing w:line="560" w:lineRule="exact"/>
        <w:rPr>
          <w:rFonts w:hint="eastAsia"/>
          <w:highlight w:val="none"/>
        </w:rPr>
      </w:pPr>
      <w:r>
        <w:rPr>
          <w:rFonts w:hint="eastAsia"/>
          <w:highlight w:val="none"/>
        </w:rPr>
        <w:t>预算金额：</w:t>
      </w:r>
      <w:bookmarkStart w:id="1" w:name="_Hlk211165536"/>
      <w:r>
        <w:rPr>
          <w:rFonts w:hint="eastAsia"/>
          <w:highlight w:val="none"/>
        </w:rPr>
        <w:t>2287500.00</w:t>
      </w:r>
      <w:bookmarkEnd w:id="1"/>
      <w:r>
        <w:rPr>
          <w:rFonts w:hint="eastAsia"/>
          <w:highlight w:val="none"/>
        </w:rPr>
        <w:t>元</w:t>
      </w:r>
    </w:p>
    <w:p>
      <w:pPr>
        <w:spacing w:line="560" w:lineRule="exact"/>
        <w:rPr>
          <w:rFonts w:hint="eastAsia"/>
          <w:highlight w:val="none"/>
        </w:rPr>
      </w:pPr>
      <w:r>
        <w:rPr>
          <w:rFonts w:hint="eastAsia"/>
          <w:highlight w:val="none"/>
        </w:rPr>
        <w:t>采购金额（最高限价）：2287500.00元</w:t>
      </w:r>
    </w:p>
    <w:p>
      <w:pPr>
        <w:rPr>
          <w:rFonts w:hint="eastAsia"/>
          <w:highlight w:val="none"/>
        </w:rPr>
      </w:pPr>
      <w:r>
        <w:rPr>
          <w:rFonts w:hint="eastAsia"/>
          <w:highlight w:val="none"/>
        </w:rPr>
        <w:t>组织形式：集中采购</w:t>
      </w:r>
    </w:p>
    <w:p>
      <w:pPr>
        <w:rPr>
          <w:rFonts w:hint="eastAsia"/>
          <w:highlight w:val="none"/>
        </w:rPr>
      </w:pPr>
      <w:r>
        <w:rPr>
          <w:rFonts w:hint="eastAsia"/>
          <w:highlight w:val="none"/>
        </w:rPr>
        <w:t>采购方式：竞争性磋商</w:t>
      </w:r>
    </w:p>
    <w:p>
      <w:pPr>
        <w:rPr>
          <w:rFonts w:hint="eastAsia"/>
          <w:highlight w:val="none"/>
        </w:rPr>
      </w:pPr>
      <w:r>
        <w:rPr>
          <w:rFonts w:hint="eastAsia"/>
          <w:highlight w:val="none"/>
        </w:rPr>
        <w:t>是否接受联合体投标：否</w:t>
      </w:r>
    </w:p>
    <w:p>
      <w:pPr>
        <w:rPr>
          <w:rFonts w:hint="eastAsia"/>
          <w:highlight w:val="none"/>
        </w:rPr>
      </w:pPr>
      <w:r>
        <w:rPr>
          <w:highlight w:val="none"/>
        </w:rPr>
        <w:t>是否按</w:t>
      </w:r>
      <w:r>
        <w:rPr>
          <w:rFonts w:hint="eastAsia"/>
          <w:highlight w:val="none"/>
          <w:lang w:eastAsia="zh-CN"/>
        </w:rPr>
        <w:t>XC</w:t>
      </w:r>
      <w:r>
        <w:rPr>
          <w:highlight w:val="none"/>
        </w:rPr>
        <w:t>要求建设：是</w:t>
      </w:r>
    </w:p>
    <w:p>
      <w:pPr>
        <w:rPr>
          <w:rFonts w:hint="eastAsia"/>
          <w:highlight w:val="none"/>
        </w:rPr>
      </w:pPr>
      <w:r>
        <w:rPr>
          <w:rFonts w:hint="eastAsia"/>
          <w:highlight w:val="none"/>
        </w:rPr>
        <w:t xml:space="preserve">运维后所属大系统：农业农村地理信息应用大系统 </w:t>
      </w:r>
    </w:p>
    <w:p>
      <w:pPr>
        <w:pStyle w:val="2"/>
        <w:rPr>
          <w:rFonts w:hint="eastAsia"/>
          <w:highlight w:val="none"/>
        </w:rPr>
      </w:pPr>
      <w:bookmarkStart w:id="2" w:name="_Toc47532891"/>
      <w:bookmarkEnd w:id="2"/>
      <w:bookmarkStart w:id="3" w:name="_Toc47539070"/>
      <w:bookmarkEnd w:id="3"/>
      <w:bookmarkStart w:id="4" w:name="_Toc47537134"/>
      <w:bookmarkEnd w:id="4"/>
      <w:bookmarkStart w:id="5" w:name="_Toc47531634"/>
      <w:bookmarkEnd w:id="5"/>
      <w:bookmarkStart w:id="6" w:name="_Toc47532255"/>
      <w:bookmarkEnd w:id="6"/>
      <w:bookmarkStart w:id="7" w:name="_Toc47536272"/>
      <w:bookmarkEnd w:id="7"/>
      <w:bookmarkStart w:id="8" w:name="_Toc47533256"/>
      <w:bookmarkEnd w:id="8"/>
      <w:bookmarkStart w:id="9" w:name="_Toc47536644"/>
      <w:bookmarkEnd w:id="9"/>
      <w:bookmarkStart w:id="10" w:name="_Toc63785463"/>
      <w:bookmarkStart w:id="11" w:name="_Toc48223882"/>
      <w:r>
        <w:rPr>
          <w:rFonts w:hint="eastAsia"/>
          <w:highlight w:val="none"/>
        </w:rPr>
        <w:t>建设目标</w:t>
      </w:r>
      <w:bookmarkEnd w:id="10"/>
      <w:bookmarkEnd w:id="11"/>
    </w:p>
    <w:p>
      <w:pPr>
        <w:jc w:val="left"/>
        <w:rPr>
          <w:rFonts w:hint="default" w:eastAsia="宋体"/>
          <w:b/>
          <w:bCs/>
          <w:highlight w:val="none"/>
          <w:lang w:val="en-US" w:eastAsia="zh-CN"/>
        </w:rPr>
      </w:pPr>
      <w:r>
        <w:rPr>
          <w:rFonts w:hint="eastAsia"/>
          <w:b/>
          <w:bCs/>
          <w:highlight w:val="none"/>
          <w:lang w:val="en-US" w:eastAsia="zh-CN"/>
        </w:rPr>
        <w:t>2.1总体建设目标</w:t>
      </w:r>
    </w:p>
    <w:p>
      <w:pPr>
        <w:rPr>
          <w:rFonts w:hint="eastAsia"/>
          <w:highlight w:val="none"/>
        </w:rPr>
      </w:pPr>
      <w:r>
        <w:rPr>
          <w:rFonts w:hint="eastAsia"/>
          <w:highlight w:val="none"/>
        </w:rPr>
        <w:t>本项目立足我国“三农”工作关于坚守耕地红线、保障粮食安全、推进农业农村现代化等大政方针，打造全面且高效的耕地保护与农业发展数字化管理模式：</w:t>
      </w:r>
    </w:p>
    <w:p>
      <w:pPr>
        <w:rPr>
          <w:rFonts w:hint="eastAsia"/>
          <w:highlight w:val="none"/>
        </w:rPr>
      </w:pPr>
      <w:r>
        <w:rPr>
          <w:rFonts w:hint="eastAsia"/>
          <w:highlight w:val="none"/>
        </w:rPr>
        <w:t>以土地二轮延包为契机，聚焦打造“承包地一张图”数字底座，构建“一张图、一套数、一个码”管理体系。整合确权登记、承包合同、经营权流转、地块变更、补充耕地质量等全环节数据资源，形成统一权威的“以图管地”核心数据底座；推动农业农村、自然资源等多部门数据共享与业务协同，赋能耕地用途管控、农业补贴等场景应用。</w:t>
      </w:r>
    </w:p>
    <w:p>
      <w:pPr>
        <w:rPr>
          <w:rFonts w:hint="eastAsia"/>
          <w:highlight w:val="none"/>
        </w:rPr>
      </w:pPr>
      <w:r>
        <w:rPr>
          <w:rFonts w:hint="eastAsia"/>
          <w:highlight w:val="none"/>
        </w:rPr>
        <w:t>构建覆盖全域的耕地种植用途动态监测体系，实现区域内耕地地块种植用途监测全覆盖。在主要作物生长季内对耕地内主要农作物种植情况开展监测与数据分析，保障国家粮食安全、严守耕地保护红线，助力农业的可持续发展。同时，对本市菜田用途管控加以保障，尤其是保障财政性设施菜田用于种菜，通过农事档案核验尽可能减少“非菜化”现象的发生，满足人们对蔬菜等农产品的需求，推动耕地保护与粮食生产能力提升、农业结构优化等协同发展。</w:t>
      </w:r>
    </w:p>
    <w:p>
      <w:pPr>
        <w:rPr>
          <w:rFonts w:hint="eastAsia"/>
          <w:highlight w:val="none"/>
          <w:lang w:val="en-US" w:eastAsia="zh-CN"/>
        </w:rPr>
      </w:pPr>
      <w:r>
        <w:rPr>
          <w:rFonts w:hint="eastAsia"/>
          <w:highlight w:val="none"/>
          <w:lang w:val="en-US" w:eastAsia="zh-CN"/>
        </w:rPr>
        <w:t>2.2应用指标</w:t>
      </w:r>
    </w:p>
    <w:p>
      <w:pPr>
        <w:rPr>
          <w:rFonts w:hint="eastAsia"/>
          <w:highlight w:val="none"/>
          <w:lang w:val="en-US" w:eastAsia="zh-CN"/>
        </w:rPr>
      </w:pPr>
      <w:r>
        <w:rPr>
          <w:rFonts w:hint="eastAsia"/>
          <w:highlight w:val="none"/>
          <w:lang w:val="en-US" w:eastAsia="zh-CN"/>
        </w:rPr>
        <w:t>完成农业农村地理信息应用大系统的升级改造，建设完成数据资源管理，</w:t>
      </w:r>
      <w:r>
        <w:rPr>
          <w:rFonts w:hint="eastAsia"/>
          <w:color w:val="auto"/>
          <w:highlight w:val="none"/>
          <w:lang w:val="en-US" w:eastAsia="zh-CN"/>
        </w:rPr>
        <w:t>承包地范围上图管理，数据资源统计分析，接口开发管理，数据建库，承包地管理辅助决策，专题图层可视化，分析指标设置，分析算法配置，利用情况分析和统计，补充耕地质量项目管理，补充耕地时空地图，承包地现场核查，承包地变更信息上报，补充耕地现场何核查，耕地种植用途监管数据分析与管理，耕地种植用途监测辅助决策场景，蔬菜生产核查数据分析与管理，</w:t>
      </w:r>
      <w:r>
        <w:rPr>
          <w:rFonts w:hint="eastAsia"/>
          <w:highlight w:val="none"/>
          <w:lang w:val="en-US" w:eastAsia="zh-CN"/>
        </w:rPr>
        <w:t>蔬菜生产数据信息核查辅助决策场景，耕地种植用途监管数据归集与应用，蔬菜生产核查数据归集与应用共计21个功能模块。</w:t>
      </w:r>
    </w:p>
    <w:p>
      <w:pPr>
        <w:rPr>
          <w:rFonts w:hint="eastAsia"/>
          <w:highlight w:val="none"/>
          <w:lang w:val="en-US" w:eastAsia="zh-CN"/>
        </w:rPr>
      </w:pPr>
      <w:r>
        <w:rPr>
          <w:rFonts w:hint="eastAsia"/>
          <w:highlight w:val="none"/>
          <w:lang w:val="en-US" w:eastAsia="zh-CN"/>
        </w:rPr>
        <w:t>2.3技术指标</w:t>
      </w:r>
    </w:p>
    <w:p>
      <w:pPr>
        <w:rPr>
          <w:rFonts w:hint="default"/>
          <w:highlight w:val="none"/>
          <w:lang w:val="en-US" w:eastAsia="zh-CN"/>
        </w:rPr>
      </w:pPr>
      <w:r>
        <w:rPr>
          <w:rFonts w:hint="default"/>
          <w:highlight w:val="none"/>
          <w:lang w:val="en-US" w:eastAsia="zh-CN"/>
        </w:rPr>
        <w:t>本项目各项性能指标要求如下：</w:t>
      </w:r>
    </w:p>
    <w:p>
      <w:pPr>
        <w:rPr>
          <w:rFonts w:hint="eastAsia"/>
          <w:highlight w:val="none"/>
          <w:lang w:val="en-US" w:eastAsia="zh-CN"/>
        </w:rPr>
      </w:pPr>
      <w:r>
        <w:rPr>
          <w:rFonts w:hint="default"/>
          <w:highlight w:val="none"/>
          <w:lang w:val="en-US" w:eastAsia="zh-CN"/>
        </w:rPr>
        <w:t>①最高并发量（用户数）</w:t>
      </w:r>
      <w:r>
        <w:rPr>
          <w:rFonts w:hint="eastAsia"/>
          <w:highlight w:val="none"/>
          <w:lang w:val="en-US" w:eastAsia="zh-CN"/>
        </w:rPr>
        <w:t>：100；</w:t>
      </w:r>
    </w:p>
    <w:p>
      <w:pPr>
        <w:rPr>
          <w:rFonts w:hint="eastAsia"/>
          <w:highlight w:val="none"/>
          <w:lang w:val="en-US" w:eastAsia="zh-CN"/>
        </w:rPr>
      </w:pPr>
      <w:r>
        <w:rPr>
          <w:rFonts w:hint="eastAsia"/>
          <w:highlight w:val="none"/>
          <w:lang w:val="en-US" w:eastAsia="zh-CN"/>
        </w:rPr>
        <w:t>②</w:t>
      </w:r>
      <w:r>
        <w:rPr>
          <w:rFonts w:hint="default"/>
          <w:highlight w:val="none"/>
          <w:lang w:val="en-US" w:eastAsia="zh-CN"/>
        </w:rPr>
        <w:t>总用户数（个）：</w:t>
      </w:r>
      <w:r>
        <w:rPr>
          <w:rFonts w:hint="eastAsia"/>
          <w:highlight w:val="none"/>
          <w:lang w:val="en-US" w:eastAsia="zh-CN"/>
        </w:rPr>
        <w:t>3000；</w:t>
      </w:r>
    </w:p>
    <w:p>
      <w:pPr>
        <w:rPr>
          <w:rFonts w:hint="eastAsia"/>
          <w:highlight w:val="none"/>
          <w:lang w:val="en-US" w:eastAsia="zh-CN"/>
        </w:rPr>
      </w:pPr>
      <w:r>
        <w:rPr>
          <w:rFonts w:hint="eastAsia"/>
          <w:highlight w:val="none"/>
          <w:lang w:val="en-US" w:eastAsia="zh-CN"/>
        </w:rPr>
        <w:t>③</w:t>
      </w:r>
      <w:r>
        <w:rPr>
          <w:rFonts w:hint="default"/>
          <w:highlight w:val="none"/>
          <w:lang w:val="en-US" w:eastAsia="zh-CN"/>
        </w:rPr>
        <w:t>年存储数据量（GB）：</w:t>
      </w:r>
      <w:r>
        <w:rPr>
          <w:rFonts w:hint="eastAsia"/>
          <w:highlight w:val="none"/>
          <w:lang w:val="en-US" w:eastAsia="zh-CN"/>
        </w:rPr>
        <w:t>2000；</w:t>
      </w:r>
    </w:p>
    <w:p>
      <w:pPr>
        <w:rPr>
          <w:rFonts w:hint="default"/>
          <w:highlight w:val="none"/>
          <w:lang w:val="en-US" w:eastAsia="zh-CN"/>
        </w:rPr>
      </w:pPr>
      <w:r>
        <w:rPr>
          <w:rFonts w:hint="eastAsia"/>
          <w:highlight w:val="none"/>
          <w:lang w:val="en-US" w:eastAsia="zh-CN"/>
        </w:rPr>
        <w:t>④</w:t>
      </w:r>
      <w:r>
        <w:rPr>
          <w:rFonts w:hint="default"/>
          <w:highlight w:val="none"/>
          <w:lang w:val="en-US" w:eastAsia="zh-CN"/>
        </w:rPr>
        <w:t>其他性能指标:系统在100M政务外网环境下进行增、删、改、查等业务 (不含大对象数据类型) 响应时间≤5秒; 一般网页响应速度≤3秒</w:t>
      </w:r>
      <w:r>
        <w:rPr>
          <w:rFonts w:hint="eastAsia"/>
          <w:highlight w:val="none"/>
          <w:lang w:val="en-US" w:eastAsia="zh-CN"/>
        </w:rPr>
        <w:t>；</w:t>
      </w:r>
    </w:p>
    <w:p>
      <w:pPr>
        <w:rPr>
          <w:rFonts w:hint="default"/>
          <w:highlight w:val="none"/>
          <w:lang w:val="en-US" w:eastAsia="zh-CN"/>
        </w:rPr>
      </w:pPr>
      <w:r>
        <w:rPr>
          <w:rFonts w:hint="eastAsia"/>
          <w:highlight w:val="none"/>
          <w:lang w:val="en-US" w:eastAsia="zh-CN"/>
        </w:rPr>
        <w:t>⑤</w:t>
      </w:r>
      <w:r>
        <w:rPr>
          <w:rFonts w:hint="default"/>
          <w:highlight w:val="none"/>
          <w:lang w:val="en-US" w:eastAsia="zh-CN"/>
        </w:rPr>
        <w:t>可靠性指标:系统需具备7*24小时连续服务的能力。在连续正常负荷运行过程中，系统不会出现响应性能和响应能力下降、资源占用显著增加等现象；</w:t>
      </w:r>
    </w:p>
    <w:p>
      <w:pPr>
        <w:rPr>
          <w:rFonts w:hint="eastAsia"/>
          <w:highlight w:val="none"/>
          <w:lang w:val="en-US" w:eastAsia="zh-CN"/>
        </w:rPr>
      </w:pPr>
      <w:r>
        <w:rPr>
          <w:rFonts w:hint="eastAsia"/>
          <w:highlight w:val="none"/>
          <w:lang w:val="en-US" w:eastAsia="zh-CN"/>
        </w:rPr>
        <w:t>⑥</w:t>
      </w:r>
      <w:r>
        <w:rPr>
          <w:rFonts w:hint="default"/>
          <w:highlight w:val="none"/>
          <w:lang w:val="en-US" w:eastAsia="zh-CN"/>
        </w:rPr>
        <w:t>基础服务组件性能:基础服务组件满足支撑应用系统实现7x24小时的连续运行。故障引发的宕机≤0.</w:t>
      </w:r>
      <w:r>
        <w:rPr>
          <w:rFonts w:hint="eastAsia"/>
          <w:highlight w:val="none"/>
          <w:lang w:val="en-US" w:eastAsia="zh-CN"/>
        </w:rPr>
        <w:t>5</w:t>
      </w:r>
      <w:r>
        <w:rPr>
          <w:rFonts w:hint="default"/>
          <w:highlight w:val="none"/>
          <w:lang w:val="en-US" w:eastAsia="zh-CN"/>
        </w:rPr>
        <w:t>%，平均年故障时间:&lt;</w:t>
      </w:r>
      <w:r>
        <w:rPr>
          <w:rFonts w:hint="eastAsia"/>
          <w:highlight w:val="none"/>
          <w:lang w:val="en-US" w:eastAsia="zh-CN"/>
        </w:rPr>
        <w:t>2</w:t>
      </w:r>
      <w:r>
        <w:rPr>
          <w:rFonts w:hint="default"/>
          <w:highlight w:val="none"/>
          <w:lang w:val="en-US" w:eastAsia="zh-CN"/>
        </w:rPr>
        <w:t>天，平均故障修复时间:&lt;</w:t>
      </w:r>
      <w:r>
        <w:rPr>
          <w:rFonts w:hint="eastAsia"/>
          <w:highlight w:val="none"/>
          <w:lang w:val="en-US" w:eastAsia="zh-CN"/>
        </w:rPr>
        <w:t>60</w:t>
      </w:r>
      <w:r>
        <w:rPr>
          <w:rFonts w:hint="default"/>
          <w:highlight w:val="none"/>
          <w:lang w:val="en-US" w:eastAsia="zh-CN"/>
        </w:rPr>
        <w:t>分钟</w:t>
      </w:r>
      <w:r>
        <w:rPr>
          <w:rFonts w:hint="eastAsia"/>
          <w:highlight w:val="none"/>
          <w:lang w:val="en-US" w:eastAsia="zh-CN"/>
        </w:rPr>
        <w:t>。</w:t>
      </w:r>
    </w:p>
    <w:p>
      <w:pPr>
        <w:rPr>
          <w:rFonts w:hint="eastAsia"/>
          <w:highlight w:val="none"/>
          <w:lang w:val="en-US" w:eastAsia="zh-CN"/>
        </w:rPr>
      </w:pPr>
      <w:r>
        <w:rPr>
          <w:rFonts w:hint="eastAsia"/>
          <w:highlight w:val="none"/>
          <w:lang w:val="en-US" w:eastAsia="zh-CN"/>
        </w:rPr>
        <w:t>2.4绩效目标</w:t>
      </w:r>
    </w:p>
    <w:p>
      <w:pPr>
        <w:rPr>
          <w:rFonts w:hint="default"/>
          <w:highlight w:val="none"/>
          <w:lang w:val="en-US" w:eastAsia="zh-CN"/>
        </w:rPr>
      </w:pPr>
      <w:r>
        <w:rPr>
          <w:rFonts w:hint="eastAsia"/>
          <w:highlight w:val="none"/>
          <w:lang w:val="en-US" w:eastAsia="zh-CN"/>
        </w:rPr>
        <w:t>①通过新建承包地及集体耕地数据管理，清晰界定土地权属，减少承包纠纷发生率。提升合同网签和信息化管理透明度，增强农民知情权和参与度，维护农民权益与社会稳定。搭建市级补充耕地质量信息化管理平台，实现全市补充耕地质量动态监测与标准化管理，提升管控效率与数据时效性。</w:t>
      </w:r>
    </w:p>
    <w:p>
      <w:pPr>
        <w:rPr>
          <w:rFonts w:hint="default"/>
          <w:highlight w:val="none"/>
          <w:lang w:val="en-US" w:eastAsia="zh-CN"/>
        </w:rPr>
      </w:pPr>
      <w:r>
        <w:rPr>
          <w:rFonts w:hint="eastAsia"/>
          <w:highlight w:val="none"/>
          <w:lang w:val="en-US" w:eastAsia="zh-CN"/>
        </w:rPr>
        <w:t>②通过新建耕地种植用途监测管理，构建“天上看、地上查”监测网络，提高耕地种植用途管理精度。通过“以图管地”等信息化手段，减少人为干预和腐败风险，</w:t>
      </w:r>
      <w:r>
        <w:rPr>
          <w:rFonts w:ascii="Arial" w:hAnsi="Arial" w:eastAsia="Arial" w:cs="Arial"/>
          <w:i w:val="0"/>
          <w:iCs w:val="0"/>
          <w:caps w:val="0"/>
          <w:color w:val="333333"/>
          <w:spacing w:val="0"/>
          <w:sz w:val="24"/>
          <w:szCs w:val="24"/>
          <w:highlight w:val="none"/>
          <w:shd w:val="clear" w:fill="FFFFFF"/>
        </w:rPr>
        <w:t>推动政府治理能力现代化。</w:t>
      </w:r>
      <w:r>
        <w:rPr>
          <w:rFonts w:hint="eastAsia"/>
          <w:highlight w:val="none"/>
        </w:rPr>
        <w:t>实现耕地用途的实时监控、数据分析和决策支持。</w:t>
      </w:r>
    </w:p>
    <w:p>
      <w:pPr>
        <w:pStyle w:val="2"/>
        <w:rPr>
          <w:rFonts w:hint="eastAsia"/>
          <w:highlight w:val="none"/>
        </w:rPr>
      </w:pPr>
      <w:bookmarkStart w:id="12" w:name="_Toc47533288"/>
      <w:bookmarkEnd w:id="12"/>
      <w:bookmarkStart w:id="13" w:name="_Toc47536676"/>
      <w:bookmarkEnd w:id="13"/>
      <w:bookmarkStart w:id="14" w:name="_Toc47536304"/>
      <w:bookmarkEnd w:id="14"/>
      <w:bookmarkStart w:id="15" w:name="_Toc47539102"/>
      <w:bookmarkEnd w:id="15"/>
      <w:bookmarkStart w:id="16" w:name="_Toc47532923"/>
      <w:bookmarkEnd w:id="16"/>
      <w:bookmarkStart w:id="17" w:name="_Toc47537166"/>
      <w:bookmarkEnd w:id="17"/>
      <w:r>
        <w:rPr>
          <w:rFonts w:hint="eastAsia"/>
          <w:highlight w:val="none"/>
        </w:rPr>
        <w:t>项目建设内容</w:t>
      </w:r>
    </w:p>
    <w:p>
      <w:pPr>
        <w:ind w:firstLine="482"/>
        <w:rPr>
          <w:rFonts w:hint="eastAsia"/>
          <w:b/>
          <w:highlight w:val="none"/>
          <w:lang w:val="en-US" w:eastAsia="zh-CN"/>
        </w:rPr>
      </w:pPr>
      <w:r>
        <w:rPr>
          <w:rFonts w:hint="eastAsia"/>
          <w:b/>
          <w:highlight w:val="none"/>
          <w:lang w:val="en-US" w:eastAsia="zh-CN"/>
        </w:rPr>
        <w:t>3.1技术路线</w:t>
      </w:r>
    </w:p>
    <w:p>
      <w:pPr>
        <w:ind w:firstLine="0"/>
        <w:rPr>
          <w:rFonts w:hint="eastAsia"/>
          <w:b w:val="0"/>
          <w:highlight w:val="none"/>
          <w:lang w:val="en-US" w:eastAsia="zh-CN"/>
        </w:rPr>
      </w:pPr>
      <w:r>
        <w:rPr>
          <w:rFonts w:hint="eastAsia"/>
          <w:b w:val="0"/>
          <w:highlight w:val="none"/>
          <w:lang w:val="en-US" w:eastAsia="zh-CN"/>
        </w:rPr>
        <w:t>①本项目技术路线需采用 JAVA 语言开发,支持 JAVA 主流技术架构，使用国产操作系统、数据库、中间件。</w:t>
      </w:r>
    </w:p>
    <w:p>
      <w:pPr>
        <w:ind w:firstLine="0"/>
        <w:rPr>
          <w:rFonts w:hint="eastAsia"/>
          <w:b w:val="0"/>
          <w:highlight w:val="none"/>
          <w:lang w:val="en-US" w:eastAsia="zh-CN"/>
        </w:rPr>
      </w:pPr>
      <w:r>
        <w:rPr>
          <w:rFonts w:hint="eastAsia"/>
          <w:b w:val="0"/>
          <w:highlight w:val="none"/>
          <w:lang w:val="en-US" w:eastAsia="zh-CN"/>
        </w:rPr>
        <w:t>②本项目中建设的系统采用技术需要符合XC要求，需要在市电子政务云XC环境完成部署和集成。需通过软件测试、安全测评和密码测评并符合上海市大数据中心相关要求。</w:t>
      </w:r>
    </w:p>
    <w:p>
      <w:pPr>
        <w:ind w:firstLine="482"/>
        <w:rPr>
          <w:rFonts w:hint="eastAsia"/>
          <w:b/>
          <w:highlight w:val="none"/>
          <w:lang w:val="en-US" w:eastAsia="zh-CN"/>
        </w:rPr>
      </w:pPr>
      <w:r>
        <w:rPr>
          <w:rFonts w:hint="eastAsia"/>
          <w:b/>
          <w:highlight w:val="none"/>
          <w:lang w:val="en-US" w:eastAsia="zh-CN"/>
        </w:rPr>
        <w:t>3.2项目整体架构</w:t>
      </w:r>
    </w:p>
    <w:p>
      <w:pPr>
        <w:ind w:firstLine="482"/>
        <w:rPr>
          <w:rFonts w:hint="eastAsia"/>
          <w:b/>
          <w:highlight w:val="none"/>
          <w:lang w:val="en-US" w:eastAsia="zh-CN"/>
        </w:rPr>
      </w:pPr>
      <w:r>
        <w:rPr>
          <w:rFonts w:hint="eastAsia"/>
          <w:b/>
          <w:highlight w:val="none"/>
          <w:lang w:val="en-US" w:eastAsia="zh-CN"/>
        </w:rPr>
        <w:t>3.2.1部署环境</w:t>
      </w:r>
    </w:p>
    <w:p>
      <w:pPr>
        <w:ind w:firstLine="482"/>
        <w:rPr>
          <w:rFonts w:hint="default"/>
          <w:b w:val="0"/>
          <w:bCs/>
          <w:highlight w:val="none"/>
          <w:lang w:val="en-US" w:eastAsia="zh-CN"/>
        </w:rPr>
      </w:pPr>
      <w:r>
        <w:rPr>
          <w:rFonts w:hint="default"/>
          <w:b w:val="0"/>
          <w:bCs/>
          <w:highlight w:val="none"/>
          <w:lang w:val="en-US" w:eastAsia="zh-CN"/>
        </w:rPr>
        <w:t>本项目应部署于上海市电子政务云</w:t>
      </w:r>
      <w:r>
        <w:rPr>
          <w:rFonts w:hint="eastAsia"/>
          <w:b w:val="0"/>
          <w:bCs/>
          <w:highlight w:val="none"/>
          <w:lang w:val="en-US" w:eastAsia="zh-CN"/>
        </w:rPr>
        <w:t>XC</w:t>
      </w:r>
      <w:r>
        <w:rPr>
          <w:rFonts w:hint="default"/>
          <w:b w:val="0"/>
          <w:bCs/>
          <w:highlight w:val="none"/>
          <w:lang w:val="en-US" w:eastAsia="zh-CN"/>
        </w:rPr>
        <w:t>环境。</w:t>
      </w:r>
    </w:p>
    <w:p>
      <w:pPr>
        <w:ind w:firstLine="482"/>
        <w:rPr>
          <w:rFonts w:hint="default"/>
          <w:b w:val="0"/>
          <w:bCs/>
          <w:highlight w:val="none"/>
          <w:lang w:val="en-US" w:eastAsia="zh-CN"/>
        </w:rPr>
      </w:pPr>
      <w:r>
        <w:rPr>
          <w:rFonts w:hint="default"/>
          <w:b w:val="0"/>
          <w:bCs/>
          <w:highlight w:val="none"/>
          <w:lang w:val="en-US" w:eastAsia="zh-CN"/>
        </w:rPr>
        <w:t>网络拓扑图如下：</w:t>
      </w:r>
    </w:p>
    <w:p>
      <w:pPr>
        <w:ind w:firstLine="482"/>
        <w:rPr>
          <w:highlight w:val="none"/>
        </w:rPr>
      </w:pPr>
      <w:r>
        <w:rPr>
          <w:highlight w:val="none"/>
        </w:rPr>
        <w:drawing>
          <wp:inline distT="0" distB="0" distL="0" distR="0">
            <wp:extent cx="5274310" cy="4491990"/>
            <wp:effectExtent l="0" t="0" r="2540" b="3810"/>
            <wp:docPr id="20596860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86026"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4491990"/>
                    </a:xfrm>
                    <a:prstGeom prst="rect">
                      <a:avLst/>
                    </a:prstGeom>
                    <a:noFill/>
                    <a:ln>
                      <a:noFill/>
                    </a:ln>
                  </pic:spPr>
                </pic:pic>
              </a:graphicData>
            </a:graphic>
          </wp:inline>
        </w:drawing>
      </w:r>
    </w:p>
    <w:p>
      <w:pPr>
        <w:ind w:firstLine="482"/>
        <w:rPr>
          <w:rFonts w:hint="eastAsia"/>
          <w:b/>
          <w:bCs/>
          <w:highlight w:val="none"/>
          <w:lang w:val="en-US" w:eastAsia="zh-CN"/>
        </w:rPr>
      </w:pPr>
      <w:r>
        <w:rPr>
          <w:rFonts w:hint="eastAsia"/>
          <w:b/>
          <w:bCs/>
          <w:highlight w:val="none"/>
          <w:lang w:val="en-US" w:eastAsia="zh-CN"/>
        </w:rPr>
        <w:t>3.2.2系统架构图</w:t>
      </w:r>
    </w:p>
    <w:p>
      <w:pPr>
        <w:ind w:firstLine="482"/>
        <w:rPr>
          <w:highlight w:val="none"/>
        </w:rPr>
      </w:pPr>
      <w:r>
        <w:rPr>
          <w:highlight w:val="none"/>
        </w:rPr>
        <w:drawing>
          <wp:inline distT="0" distB="0" distL="114300" distR="114300">
            <wp:extent cx="5267960" cy="6083935"/>
            <wp:effectExtent l="0" t="0" r="8890" b="12065"/>
            <wp:docPr id="1" name="图片 1" descr="b30327922cbd8031e59e59e233af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0327922cbd8031e59e59e233af6205"/>
                    <pic:cNvPicPr>
                      <a:picLocks noChangeAspect="1"/>
                    </pic:cNvPicPr>
                  </pic:nvPicPr>
                  <pic:blipFill>
                    <a:blip r:embed="rId14"/>
                    <a:stretch>
                      <a:fillRect/>
                    </a:stretch>
                  </pic:blipFill>
                  <pic:spPr>
                    <a:xfrm>
                      <a:off x="0" y="0"/>
                      <a:ext cx="5267960" cy="6083935"/>
                    </a:xfrm>
                    <a:prstGeom prst="rect">
                      <a:avLst/>
                    </a:prstGeom>
                  </pic:spPr>
                </pic:pic>
              </a:graphicData>
            </a:graphic>
          </wp:inline>
        </w:drawing>
      </w:r>
    </w:p>
    <w:p>
      <w:pPr>
        <w:ind w:firstLine="482"/>
        <w:rPr>
          <w:rFonts w:hint="default"/>
          <w:highlight w:val="none"/>
          <w:lang w:val="en-US" w:eastAsia="zh-CN"/>
        </w:rPr>
      </w:pPr>
      <w:r>
        <w:rPr>
          <w:rFonts w:hint="default"/>
          <w:highlight w:val="none"/>
          <w:lang w:val="en-US" w:eastAsia="zh-CN"/>
        </w:rPr>
        <w:t>基础设施层‌：提供虚拟机、网络环境、中间件、操作系统及数据库等公共支撑能力，为系统构建奠定基础资源保障。</w:t>
      </w:r>
    </w:p>
    <w:p>
      <w:pPr>
        <w:ind w:firstLine="482"/>
        <w:rPr>
          <w:rFonts w:hint="default"/>
          <w:highlight w:val="none"/>
          <w:lang w:val="en-US" w:eastAsia="zh-CN"/>
        </w:rPr>
      </w:pPr>
      <w:r>
        <w:rPr>
          <w:rFonts w:hint="default"/>
          <w:highlight w:val="none"/>
          <w:lang w:val="en-US" w:eastAsia="zh-CN"/>
        </w:rPr>
        <w:t>‌数据底座层‌：依托市级"一张图"共性服务能力、农业农村数据资源库与农业农村一张图数据资源，为系统提供标准化数据支撑。</w:t>
      </w:r>
    </w:p>
    <w:p>
      <w:pPr>
        <w:ind w:firstLine="482"/>
        <w:rPr>
          <w:rFonts w:hint="default"/>
          <w:highlight w:val="none"/>
          <w:lang w:val="en-US" w:eastAsia="zh-CN"/>
        </w:rPr>
      </w:pPr>
      <w:r>
        <w:rPr>
          <w:rFonts w:hint="default"/>
          <w:highlight w:val="none"/>
          <w:lang w:val="en-US" w:eastAsia="zh-CN"/>
        </w:rPr>
        <w:t>‌支撑能力层‌：通过统一集成市级共性能力、农委支撑能力及农委算法模型，形成系统级服务能力中台，实现跨业务模块的能力复用与调度。</w:t>
      </w:r>
    </w:p>
    <w:p>
      <w:pPr>
        <w:ind w:firstLine="482"/>
        <w:rPr>
          <w:rFonts w:hint="default"/>
          <w:highlight w:val="none"/>
          <w:lang w:val="en-US" w:eastAsia="zh-CN"/>
        </w:rPr>
      </w:pPr>
      <w:r>
        <w:rPr>
          <w:rFonts w:hint="default"/>
          <w:highlight w:val="none"/>
          <w:lang w:val="en-US" w:eastAsia="zh-CN"/>
        </w:rPr>
        <w:t>‌业务应用层：新增承包地及集体耕地数据管理、耕地种植用途动态监测管理、专题数据成果等应用。</w:t>
      </w:r>
    </w:p>
    <w:p>
      <w:pPr>
        <w:ind w:firstLine="482"/>
        <w:rPr>
          <w:rFonts w:hint="default"/>
          <w:highlight w:val="none"/>
          <w:lang w:val="en-US" w:eastAsia="zh-CN"/>
        </w:rPr>
      </w:pPr>
      <w:r>
        <w:rPr>
          <w:rFonts w:hint="default"/>
          <w:highlight w:val="none"/>
          <w:lang w:val="en-US" w:eastAsia="zh-CN"/>
        </w:rPr>
        <w:t>‌用户服务层‌：支持多终端访问，包括PC客户端与移动端应用，满足不同场景下的业务操作需求。</w:t>
      </w:r>
    </w:p>
    <w:p>
      <w:pPr>
        <w:ind w:firstLine="482"/>
        <w:rPr>
          <w:rFonts w:hint="eastAsia"/>
          <w:b/>
          <w:highlight w:val="none"/>
          <w:lang w:val="en-US" w:eastAsia="zh-CN"/>
        </w:rPr>
      </w:pPr>
      <w:r>
        <w:rPr>
          <w:rFonts w:hint="eastAsia"/>
          <w:b/>
          <w:highlight w:val="none"/>
          <w:lang w:val="en-US" w:eastAsia="zh-CN"/>
        </w:rPr>
        <w:t>3.3数据要求</w:t>
      </w:r>
    </w:p>
    <w:p>
      <w:pPr>
        <w:ind w:firstLine="482"/>
        <w:rPr>
          <w:rFonts w:hint="default"/>
          <w:b w:val="0"/>
          <w:highlight w:val="none"/>
          <w:lang w:val="en-US" w:eastAsia="zh-CN"/>
        </w:rPr>
      </w:pPr>
      <w:r>
        <w:rPr>
          <w:rFonts w:hint="default"/>
          <w:b w:val="0"/>
          <w:highlight w:val="none"/>
          <w:lang w:val="en-US" w:eastAsia="zh-CN"/>
        </w:rPr>
        <w:t>1、数据库设计文档中，原则上应包括新增/升级改造的二级功能模块对应的数据库表。</w:t>
      </w:r>
    </w:p>
    <w:p>
      <w:pPr>
        <w:ind w:firstLine="482"/>
        <w:rPr>
          <w:rFonts w:hint="default"/>
          <w:b w:val="0"/>
          <w:highlight w:val="none"/>
          <w:lang w:val="en-US" w:eastAsia="zh-CN"/>
        </w:rPr>
      </w:pPr>
      <w:r>
        <w:rPr>
          <w:rFonts w:hint="default"/>
          <w:b w:val="0"/>
          <w:highlight w:val="none"/>
          <w:lang w:val="en-US" w:eastAsia="zh-CN"/>
        </w:rPr>
        <w:t>2、新增/升级改造的业务功能模块涉及的业务对象、业务结果的数据库表应完成数据编目上链。</w:t>
      </w:r>
    </w:p>
    <w:p>
      <w:pPr>
        <w:ind w:firstLine="482"/>
        <w:rPr>
          <w:rFonts w:hint="default"/>
          <w:b w:val="0"/>
          <w:highlight w:val="none"/>
          <w:lang w:val="en-US" w:eastAsia="zh-CN"/>
        </w:rPr>
      </w:pPr>
      <w:r>
        <w:rPr>
          <w:rFonts w:hint="default"/>
          <w:b w:val="0"/>
          <w:highlight w:val="none"/>
          <w:lang w:val="en-US" w:eastAsia="zh-CN"/>
        </w:rPr>
        <w:t>3、数据目录名称应符合上海市《公共数据上链实施指南》数据资源命名规范。数据目录中的数据项应包含数据库表的核心数据项，其核心数据项应包含业务主体（人、企、事、产品、地址）、主体唯一标识、时间等关键信息。</w:t>
      </w:r>
    </w:p>
    <w:p>
      <w:pPr>
        <w:ind w:firstLine="482"/>
        <w:rPr>
          <w:rFonts w:hint="default"/>
          <w:b w:val="0"/>
          <w:highlight w:val="none"/>
          <w:lang w:val="en-US" w:eastAsia="zh-CN"/>
        </w:rPr>
      </w:pPr>
      <w:r>
        <w:rPr>
          <w:rFonts w:hint="default"/>
          <w:b w:val="0"/>
          <w:highlight w:val="none"/>
          <w:lang w:val="en-US" w:eastAsia="zh-CN"/>
        </w:rPr>
        <w:t>4、系统升级改造后应具备与分中心指定的数据中台对接并实现数据归集和共享的能力。</w:t>
      </w:r>
    </w:p>
    <w:p>
      <w:pPr>
        <w:ind w:firstLine="482"/>
        <w:rPr>
          <w:rFonts w:hint="default"/>
          <w:b w:val="0"/>
          <w:highlight w:val="none"/>
          <w:lang w:val="en-US" w:eastAsia="zh-CN"/>
        </w:rPr>
      </w:pPr>
      <w:r>
        <w:rPr>
          <w:rFonts w:hint="default"/>
          <w:b w:val="0"/>
          <w:highlight w:val="none"/>
          <w:lang w:val="en-US" w:eastAsia="zh-CN"/>
        </w:rPr>
        <w:t>5、配合完成业务数据标准编制，并按照相关管理规则和技术规范完成数据归集。</w:t>
      </w:r>
    </w:p>
    <w:p>
      <w:pPr>
        <w:ind w:firstLine="482"/>
        <w:rPr>
          <w:rFonts w:hint="default"/>
          <w:b w:val="0"/>
          <w:highlight w:val="none"/>
          <w:lang w:val="en-US" w:eastAsia="zh-CN"/>
        </w:rPr>
      </w:pPr>
      <w:r>
        <w:rPr>
          <w:rFonts w:hint="default"/>
          <w:b w:val="0"/>
          <w:highlight w:val="none"/>
          <w:lang w:val="en-US" w:eastAsia="zh-CN"/>
        </w:rPr>
        <w:t>6、按照《上海市大数据中心数字化项目验收公共数据上链评估规范（暂行）》要求做好公共数据上链工作。</w:t>
      </w:r>
    </w:p>
    <w:p>
      <w:pPr>
        <w:ind w:firstLine="482"/>
        <w:rPr>
          <w:rFonts w:hint="eastAsia"/>
          <w:b/>
          <w:highlight w:val="none"/>
        </w:rPr>
      </w:pPr>
      <w:r>
        <w:rPr>
          <w:rFonts w:hint="eastAsia"/>
          <w:b/>
          <w:highlight w:val="none"/>
          <w:lang w:val="en-US" w:eastAsia="zh-CN"/>
        </w:rPr>
        <w:t>3.4</w:t>
      </w:r>
      <w:r>
        <w:rPr>
          <w:rFonts w:hint="eastAsia"/>
          <w:b/>
          <w:highlight w:val="none"/>
        </w:rPr>
        <w:t>软件开发清单</w:t>
      </w:r>
    </w:p>
    <w:tbl>
      <w:tblPr>
        <w:tblStyle w:val="35"/>
        <w:tblW w:w="8926" w:type="dxa"/>
        <w:tblInd w:w="0" w:type="dxa"/>
        <w:tblLayout w:type="fixed"/>
        <w:tblCellMar>
          <w:top w:w="0" w:type="dxa"/>
          <w:left w:w="108" w:type="dxa"/>
          <w:bottom w:w="0" w:type="dxa"/>
          <w:right w:w="108" w:type="dxa"/>
        </w:tblCellMar>
      </w:tblPr>
      <w:tblGrid>
        <w:gridCol w:w="562"/>
        <w:gridCol w:w="709"/>
        <w:gridCol w:w="3544"/>
        <w:gridCol w:w="4111"/>
      </w:tblGrid>
      <w:tr>
        <w:tblPrEx>
          <w:tblCellMar>
            <w:top w:w="0" w:type="dxa"/>
            <w:left w:w="108" w:type="dxa"/>
            <w:bottom w:w="0" w:type="dxa"/>
            <w:right w:w="108" w:type="dxa"/>
          </w:tblCellMar>
        </w:tblPrEx>
        <w:trPr>
          <w:cantSplit/>
          <w:tblHeader/>
        </w:trPr>
        <w:tc>
          <w:tcPr>
            <w:tcW w:w="562" w:type="dxa"/>
            <w:tcBorders>
              <w:top w:val="single" w:color="auto" w:sz="4" w:space="0"/>
              <w:left w:val="single" w:color="auto" w:sz="4" w:space="0"/>
              <w:bottom w:val="single" w:color="auto" w:sz="4" w:space="0"/>
              <w:right w:val="single" w:color="auto" w:sz="4" w:space="0"/>
            </w:tcBorders>
            <w:shd w:val="clear" w:color="000000" w:fill="F2F2F2"/>
            <w:vAlign w:val="center"/>
          </w:tcPr>
          <w:p>
            <w:pPr>
              <w:widowControl/>
              <w:spacing w:line="240" w:lineRule="auto"/>
              <w:ind w:firstLine="0" w:firstLineChars="0"/>
              <w:jc w:val="center"/>
              <w:rPr>
                <w:rFonts w:hint="eastAsia" w:cs="宋体"/>
                <w:b/>
                <w:bCs/>
                <w:kern w:val="0"/>
                <w:sz w:val="21"/>
                <w:szCs w:val="21"/>
                <w:highlight w:val="none"/>
              </w:rPr>
            </w:pPr>
            <w:r>
              <w:rPr>
                <w:rFonts w:hint="eastAsia" w:cs="宋体"/>
                <w:b/>
                <w:bCs/>
                <w:kern w:val="0"/>
                <w:sz w:val="21"/>
                <w:szCs w:val="21"/>
                <w:highlight w:val="none"/>
              </w:rPr>
              <w:t>序号</w:t>
            </w:r>
          </w:p>
        </w:tc>
        <w:tc>
          <w:tcPr>
            <w:tcW w:w="709" w:type="dxa"/>
            <w:tcBorders>
              <w:top w:val="single" w:color="auto" w:sz="4" w:space="0"/>
              <w:left w:val="nil"/>
              <w:bottom w:val="single" w:color="auto" w:sz="4" w:space="0"/>
              <w:right w:val="single" w:color="auto" w:sz="4" w:space="0"/>
            </w:tcBorders>
            <w:shd w:val="clear" w:color="000000" w:fill="F2F2F2"/>
            <w:vAlign w:val="center"/>
          </w:tcPr>
          <w:p>
            <w:pPr>
              <w:widowControl/>
              <w:spacing w:line="240" w:lineRule="auto"/>
              <w:ind w:firstLine="0" w:firstLineChars="0"/>
              <w:jc w:val="center"/>
              <w:rPr>
                <w:rFonts w:hint="eastAsia" w:cs="宋体"/>
                <w:b/>
                <w:bCs/>
                <w:kern w:val="0"/>
                <w:sz w:val="21"/>
                <w:szCs w:val="21"/>
                <w:highlight w:val="none"/>
              </w:rPr>
            </w:pPr>
            <w:r>
              <w:rPr>
                <w:rFonts w:hint="eastAsia" w:cs="宋体"/>
                <w:b/>
                <w:bCs/>
                <w:kern w:val="0"/>
                <w:sz w:val="21"/>
                <w:szCs w:val="21"/>
                <w:highlight w:val="none"/>
              </w:rPr>
              <w:t>模块名称</w:t>
            </w:r>
          </w:p>
        </w:tc>
        <w:tc>
          <w:tcPr>
            <w:tcW w:w="3544" w:type="dxa"/>
            <w:tcBorders>
              <w:top w:val="single" w:color="auto" w:sz="4" w:space="0"/>
              <w:left w:val="nil"/>
              <w:bottom w:val="single" w:color="auto" w:sz="4" w:space="0"/>
              <w:right w:val="single" w:color="auto" w:sz="4" w:space="0"/>
            </w:tcBorders>
            <w:shd w:val="clear" w:color="000000" w:fill="F2F2F2"/>
            <w:vAlign w:val="center"/>
          </w:tcPr>
          <w:p>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功能名称</w:t>
            </w:r>
          </w:p>
        </w:tc>
        <w:tc>
          <w:tcPr>
            <w:tcW w:w="4111" w:type="dxa"/>
            <w:tcBorders>
              <w:top w:val="single" w:color="auto" w:sz="4" w:space="0"/>
              <w:left w:val="nil"/>
              <w:bottom w:val="single" w:color="auto" w:sz="4" w:space="0"/>
              <w:right w:val="single" w:color="auto" w:sz="4" w:space="0"/>
            </w:tcBorders>
            <w:shd w:val="clear" w:color="000000" w:fill="F2F2F2"/>
            <w:vAlign w:val="center"/>
          </w:tcPr>
          <w:p>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功能描述</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w:t>
            </w:r>
          </w:p>
        </w:tc>
        <w:tc>
          <w:tcPr>
            <w:tcW w:w="709"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承包地及集体耕地数据管理</w:t>
            </w: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承包地数据管理-数据资源管理-数据源适配和资源目录管理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1、管理多源数据接入与格式适配；</w:t>
            </w:r>
            <w:r>
              <w:rPr>
                <w:rFonts w:hint="eastAsia" w:cs="宋体"/>
                <w:kern w:val="0"/>
                <w:sz w:val="21"/>
                <w:szCs w:val="21"/>
                <w:highlight w:val="none"/>
              </w:rPr>
              <w:br w:type="textWrapping"/>
            </w:r>
            <w:r>
              <w:rPr>
                <w:rFonts w:hint="eastAsia" w:cs="宋体"/>
                <w:kern w:val="0"/>
                <w:sz w:val="21"/>
                <w:szCs w:val="21"/>
                <w:highlight w:val="none"/>
              </w:rPr>
              <w:t>2、构建与维护数据资源目录。</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承包地数据管理-承包地范围上图管理-承包地范围创建业务管理及地块编码生成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按承包合同创建业务数据记录，并生成承包地地块唯一标识码。</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承包地数据管理-承包地范围上图管理-承包地范围图形管理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新增、删除地块，更新地块图形信息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承包地数据管理-承包地范围上图管理-承包地范围图形边界自动检测、图形检查与提交。</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1、自动检测并提示采集人员地块边界的完整性；</w:t>
            </w:r>
            <w:r>
              <w:rPr>
                <w:rFonts w:hint="eastAsia" w:cs="宋体"/>
                <w:kern w:val="0"/>
                <w:sz w:val="21"/>
                <w:szCs w:val="21"/>
                <w:highlight w:val="none"/>
              </w:rPr>
              <w:br w:type="textWrapping"/>
            </w:r>
            <w:r>
              <w:rPr>
                <w:rFonts w:hint="eastAsia" w:cs="宋体"/>
                <w:kern w:val="0"/>
                <w:sz w:val="21"/>
                <w:szCs w:val="21"/>
                <w:highlight w:val="none"/>
              </w:rPr>
              <w:t>2、承包地范围图形自动化检查与提交。</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承包地数据管理-承包地范围上图管理-承包地范围上图审核管理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按权限审核承包地范围提交的数据</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承包地数据管理-承包地范围上图管理-承包地时空数据查询</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1、查询承包合同对应地块范围及属性信息</w:t>
            </w:r>
            <w:r>
              <w:rPr>
                <w:rFonts w:hint="eastAsia" w:cs="宋体"/>
                <w:kern w:val="0"/>
                <w:sz w:val="21"/>
                <w:szCs w:val="21"/>
                <w:highlight w:val="none"/>
              </w:rPr>
              <w:br w:type="textWrapping"/>
            </w:r>
            <w:r>
              <w:rPr>
                <w:rFonts w:hint="eastAsia" w:cs="宋体"/>
                <w:kern w:val="0"/>
                <w:sz w:val="21"/>
                <w:szCs w:val="21"/>
                <w:highlight w:val="none"/>
              </w:rPr>
              <w:t>2、查询地块编码对应地块范围及属性信息</w:t>
            </w:r>
            <w:r>
              <w:rPr>
                <w:rFonts w:hint="eastAsia" w:cs="宋体"/>
                <w:kern w:val="0"/>
                <w:sz w:val="21"/>
                <w:szCs w:val="21"/>
                <w:highlight w:val="none"/>
              </w:rPr>
              <w:br w:type="textWrapping"/>
            </w:r>
            <w:r>
              <w:rPr>
                <w:rFonts w:hint="eastAsia" w:cs="宋体"/>
                <w:kern w:val="0"/>
                <w:sz w:val="21"/>
                <w:szCs w:val="21"/>
                <w:highlight w:val="none"/>
              </w:rPr>
              <w:t>3、查询承包权、经营权对应地块范围及属性信息</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承包地数据管理-承包地范围上图管理-承包地疑似变更信息审查</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审查移动端提交的疑似变更信息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承包地数据管理-承包地范围上图管理-承包地疑似变更信息推送</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推送疑似变更信息到承包地管理系统</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承包地数据管理-数据资源统计分析-承包地和集体耕地总体情况统计分析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1、承包地资源数量和空间分布现状；</w:t>
            </w:r>
            <w:r>
              <w:rPr>
                <w:rFonts w:hint="eastAsia" w:cs="宋体"/>
                <w:kern w:val="0"/>
                <w:sz w:val="21"/>
                <w:szCs w:val="21"/>
                <w:highlight w:val="none"/>
              </w:rPr>
              <w:br w:type="textWrapping"/>
            </w:r>
            <w:r>
              <w:rPr>
                <w:rFonts w:hint="eastAsia" w:cs="宋体"/>
                <w:kern w:val="0"/>
                <w:sz w:val="21"/>
                <w:szCs w:val="21"/>
                <w:highlight w:val="none"/>
              </w:rPr>
              <w:t>2、集体耕地资源数量和空间分布现状。</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承包地数据管理-数据资源统计分析-承包地资源变化趋势分析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基于承包地历史数据对承包地的面积演变、权属变更、流转格局进行时序分析。</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承包地数据管理-数据资源统计分析-承包地资源情况区域分析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以行政单元为粒度对承包地的空间分布、质量等级、流转活跃度进行横向对比。</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承包地数据管理-数据资源统计分析-承包地和集体耕地与永久基本农田数据叠加分析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1、实现承包地与永久基本农田数据叠加分析；</w:t>
            </w:r>
            <w:r>
              <w:rPr>
                <w:rFonts w:hint="eastAsia" w:cs="宋体"/>
                <w:kern w:val="0"/>
                <w:sz w:val="21"/>
                <w:szCs w:val="21"/>
                <w:highlight w:val="none"/>
              </w:rPr>
              <w:br w:type="textWrapping"/>
            </w:r>
            <w:r>
              <w:rPr>
                <w:rFonts w:hint="eastAsia" w:cs="宋体"/>
                <w:kern w:val="0"/>
                <w:sz w:val="21"/>
                <w:szCs w:val="21"/>
                <w:highlight w:val="none"/>
              </w:rPr>
              <w:t>2、实现集体耕地与永久基本农田数据叠加分析。</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承包地数据管理-数据资源统计分析-承包地和集体耕地与高标准农田数据叠加分析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实现承包地与高标准农田数据叠加分析</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承包地数据管理-数据资源统计分析-承包地和集体耕地与现状农用地数据叠加分析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1、实现承包地与现状农用地数据叠加分析；</w:t>
            </w:r>
            <w:r>
              <w:rPr>
                <w:rFonts w:hint="eastAsia" w:cs="宋体"/>
                <w:kern w:val="0"/>
                <w:sz w:val="21"/>
                <w:szCs w:val="21"/>
                <w:highlight w:val="none"/>
              </w:rPr>
              <w:br w:type="textWrapping"/>
            </w:r>
            <w:r>
              <w:rPr>
                <w:rFonts w:hint="eastAsia" w:cs="宋体"/>
                <w:kern w:val="0"/>
                <w:sz w:val="21"/>
                <w:szCs w:val="21"/>
                <w:highlight w:val="none"/>
              </w:rPr>
              <w:t>2、实现集体耕地与现状农用地数据叠加分析。</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承包地数据管理-数据资源统计分析-承包地经营权流转统计分析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实现承包地经营权流转情况分析</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承包地数据管理-数据资源统计分析-承包地和集体耕地质量等级空间分析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1、实现承包地质量等级分布情况分析；</w:t>
            </w:r>
            <w:r>
              <w:rPr>
                <w:rFonts w:hint="eastAsia" w:cs="宋体"/>
                <w:kern w:val="0"/>
                <w:sz w:val="21"/>
                <w:szCs w:val="21"/>
                <w:highlight w:val="none"/>
              </w:rPr>
              <w:br w:type="textWrapping"/>
            </w:r>
            <w:r>
              <w:rPr>
                <w:rFonts w:hint="eastAsia" w:cs="宋体"/>
                <w:kern w:val="0"/>
                <w:sz w:val="21"/>
                <w:szCs w:val="21"/>
                <w:highlight w:val="none"/>
              </w:rPr>
              <w:t>2、实现集体耕地质量等级分布情况分析。</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承包地数据管理-数据资源统计分析-承包地和集体耕地数据分析报告</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根据分析结果分别形成承包地、集体耕地数据分析报告。</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承包地数据管理-数据资源统计分析-集体耕地流转情况统计分析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实现集体耕地经营权流转情况分析</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承包地数据管理-接口开发管理-接口管理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数据接口管理负责登记配置对外服务数据接口，并对系统与外部系统进行数据交互的接口进行全面管理。</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承包地数据管理-接口开发管理-对接上海农村经营管理信息网络平台</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开发用于对接上海农村经营管理信息网络平台接口</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承包地数据管理-接口开发管理-对接上海农业农村数据资源库</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开发用于对接上海农业农村数据资源库接口</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承包地数据管理-数据建库-承包地管理数据库</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建承包地管理专题数据库</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承包地数据管理-数据建库-补充耕地质量管理数据库</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建补充耕地质量管理专题数据库</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承包地数据管理-数据建库-集体耕地管理数据库</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建集体耕地管理专题数据库</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承包地数据管理-数据建库-承包地空间数据库</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建承包地信息的空间数据库</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承包地数据管理-数据建库-补充耕地空间数据库</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建补充耕地信息的空间数据库</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承包地数据管理-数据建库-集体耕地空间数据库</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建集体耕地信息的空间数据库</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承包地时空数据可视化-承包地管理辅助决策-承包地资源情况</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承包地资源数量和空间分布现状、变化趋势及各区域情况</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29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承包地时空数据可视化-承包地管理辅助决策-集体耕地数据落图</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集体耕地资源数量和空间分布现状、变化趋势及各区域情况</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承包地时空数据可视化-承包地管理辅助决策-承包地档案</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定位展示承包地块位置、基础信息、流转历史、合同等全生命周期档案信息</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承包地时空数据可视化-承包地管理辅助决策-承包地综合查询</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多条件组合查询承包地信息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承包地时空数据可视化-专题图层可视化-承包地权属专题图</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可视化展示地块权属登记情况、承包合同、不动产登记、空间等信息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承包地时空数据可视化-专题图层可视化-承包地流转专题图</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可视化展示地块流转情况、流转合同、空间等信息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承包地时空数据可视化-专题图层可视化-承包地二轮延包专题图</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可视化展示承包地延包工作进展、工作成果、统计图表等</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承包地利用情况-分析指标设置</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设置管理分析指标及范围</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承包地利用情况-分析算法配置</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配置管理分析算法及说明</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承包地利用情况-利用情况分析和统计</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生成地块利用情况分析结果</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补充耕地质量管理-补充耕地质量项目管理-占用耕地基本项目信息管理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填报提交、审查、管理占用耕地图斑信息</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39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补充耕地质量管理-补充耕地质量项目管理-补充耕地项目信息管理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填报提交、审查、管理补充耕地图斑信息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补充耕地质量管理-补充耕地质量项目管理-农业生产符合性信息管理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填报提交、审查、管理提交农业生产符合性信息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补充耕地质量管理-补充耕地质量项目管理-质量等级评价信息管理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填报提交、审查、管理耕地质量等级评价专项数据库成果</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补充耕地质量管理-补充耕地质量项目管理-补充耕地上图</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补充耕地地块图形信息落图</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补充耕地质量管理-补充耕地质量项目管理-空间数据校验</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补充耕地空间数据质量校验</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补充耕地质量管理-补充耕地质量项目管理-补充耕地信息查询和导出</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1、补充耕地项目数据查询与导出；</w:t>
            </w:r>
            <w:r>
              <w:rPr>
                <w:rFonts w:hint="eastAsia" w:cs="宋体"/>
                <w:kern w:val="0"/>
                <w:sz w:val="21"/>
                <w:szCs w:val="21"/>
                <w:highlight w:val="none"/>
              </w:rPr>
              <w:br w:type="textWrapping"/>
            </w:r>
            <w:r>
              <w:rPr>
                <w:rFonts w:hint="eastAsia" w:cs="宋体"/>
                <w:kern w:val="0"/>
                <w:sz w:val="21"/>
                <w:szCs w:val="21"/>
                <w:highlight w:val="none"/>
              </w:rPr>
              <w:t>2、补充耕地详细信息查询。</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补充耕地质量管理-补充耕地质量项目管理-办结时间预警</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预警提醒流程办理时间节点</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补充耕地质量管理-补充耕地质量项目管理-未通过审核项目编辑更新</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更新和上报补充耕地数据</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补充耕地质量管理-补充耕地质量项目管理-项目成果初步审核</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区级项目成果初审验收成果</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补充耕地质量管理-补充耕地质量项目管理-项目成果最终审核</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市级项目成果终审验收成果</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49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补充耕地质量管理-补充耕地时空地图-补充耕地地图浏览</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提供地图加载、浏览、漫游、放大、缩小等功能</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补充耕地质量管理-补充耕地时空地图-图层控制管理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实现多图层开关与叠加展示</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补充耕地质量管理-补充耕地时空地图-补充耕地项目验收全流程跟踪</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提供补充耕地质量验收项目全流程信息查询</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补充耕地质量管理-补充耕地时空地图-专题统计展示</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支持补充耕地分布等多维度专题图展示</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移动端应用开发-承包地现场核查-承包地基础信息</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承包地基础信息核查功能</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移动端应用开发-承包地现场核查-承包地权属变更历史</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承包地权属变更历史信息核查功能</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移动端应用开发-承包地现场核查-承包地流转记录</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承包地流转记录核查功能</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移动端应用开发-承包地现场核查-承包地利用情况</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承包地利用情况查询功能</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移动端应用开发-承包地变更信息上报-承包地疑似变更地块新建</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多边形框选疑似变更地块</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移动端应用开发-承包地变更信息上报-承包地疑似变更信息上报</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疑似变更地块信息上报功能</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59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移动端应用开发-承包地变更信息上报-承包地疑似变更进度查询</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查询疑似变更地块信息审查情况</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移动端应用开发-补充耕地现场何核查-补充耕地地块分布地图</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移动端查看补充耕地分布情况</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移动端应用开发-补充耕地现场何核查-补充耕地项目查询</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移动端的查询与定位地块功能</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移动端应用开发-补充耕地现场何核查-补充耕地项目进展情况</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项目进展的移动端查询功能</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63</w:t>
            </w:r>
          </w:p>
        </w:tc>
        <w:tc>
          <w:tcPr>
            <w:tcW w:w="709"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耕地种植用途监测管理</w:t>
            </w: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耕地种植用途监管-耕地种植用途监管数据分析与管理-检查数据总览-耕地种植用途任务核查进度和耕地种植用途整治完成情况分析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1、实现耕地种植用途任务核查进度分析</w:t>
            </w:r>
            <w:r>
              <w:rPr>
                <w:rFonts w:hint="eastAsia" w:cs="宋体"/>
                <w:kern w:val="0"/>
                <w:sz w:val="21"/>
                <w:szCs w:val="21"/>
                <w:highlight w:val="none"/>
              </w:rPr>
              <w:br w:type="textWrapping"/>
            </w:r>
            <w:r>
              <w:rPr>
                <w:rFonts w:hint="eastAsia" w:cs="宋体"/>
                <w:kern w:val="0"/>
                <w:sz w:val="21"/>
                <w:szCs w:val="21"/>
                <w:highlight w:val="none"/>
              </w:rPr>
              <w:t>2、实现耕地种植用途整治完成情况分析</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耕地种植用途监管-耕地种植用途监管数据分析与管理-检查数据总览-粮食蔬菜种植比例统计分析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实现粮食蔬菜种植比例统计分析</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耕地种植用途监管-耕地种植用途监管数据分析与管理-检查数据总览-耕地种植提升比例分析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实现耕地种植提升比例分析</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耕地种植用途监管-耕地种植用途监管数据分析与管理-检查数据总览-核查问题类型统计分析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实现核查问题类型统计分析</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耕地种植用途监管-耕地种植用途监管数据分析与管理-地块所属区域变更-耕地所属行政区域变更</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实现对地块所属行政区域的变更</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耕地种植用途监管-耕地种植用途监管数据分析与管理-地块所属区域变更-区域变更审核流程管理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规范种植监管区域的变更申请、审核与生效流程</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69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耕地种植用途监管-耕地种植用途监管数据分析与管理-耕地种植用途核查审核管理-种植用途监管审核</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实现系统化的任务分配，同时将审核流程固化为标准化规则</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耕地种植用途监管-耕地种植用途监管数据分析与管理-耕地种植用途核查审核管理-撂荒地治理核实审核</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实现对耕地种植核查信息进行流程性审查</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耕地种植用途监管-耕地种植用途监管数据分析与管理-撂荒地核实信息管理-撂荒地种植用途核查</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获取耕地种植用途识别情况，实现对耕地种植用途现场核查</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耕地种植用途监管-耕地种植用途监管数据分析与管理-撂荒地核实信息管理-种植用途信息复核</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实现从数据采集到审核闭环的全流程管理，为农业数字化管理提供核心支撑。</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耕地种植用途监管-耕地种植用途监管数据分析与管理-撂荒地核实信息管理-种植用途监管任务分配</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实现高效、合理、精准地将各类种植用途监管任务分配给最对应的核查人员</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耕地种植用途监管-耕地种植用途监管数据分析与管理-撂荒地核实信息管理-核查轨迹记录</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轨迹记录通过技术手段记录目标核查员的移动路径、时间点及活动状态的过程</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耕地种植用途监管-耕地种植用途监管数据分析与管理-撂荒地核实信息管理-区域变更信息记录(历史)</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实现对历史区域变更信息的追溯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耕地种植用途监管-耕地种植用途监管数据分析与管理-撂荒地核实信息管理-用途核查信记录(历史)</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完整保留了不同时期耕地用途核查的结果与过程信息，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耕地种植用途监管-耕地种植用途监管数据分析与管理-撂荒地治理信息管理-撂荒地治理情况核实及信息复查</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1、实现对地块治理的监督和督促，确保耕地整理情况复合相关要求；</w:t>
            </w:r>
            <w:r>
              <w:rPr>
                <w:rFonts w:hint="eastAsia" w:cs="宋体"/>
                <w:kern w:val="0"/>
                <w:sz w:val="21"/>
                <w:szCs w:val="21"/>
                <w:highlight w:val="none"/>
              </w:rPr>
              <w:br w:type="textWrapping"/>
            </w:r>
            <w:r>
              <w:rPr>
                <w:rFonts w:hint="eastAsia" w:cs="宋体"/>
                <w:kern w:val="0"/>
                <w:sz w:val="21"/>
                <w:szCs w:val="21"/>
                <w:highlight w:val="none"/>
              </w:rPr>
              <w:t>2、对已治理地块进行复查，旨在确保撂荒地治理数据的真实性，精准掌握耕地复耕复种动态。</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耕地种植用途监管-耕地种植用途监管数据分析与管理-撂荒地治理信息管理-撂荒地治理核实任务派发</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实现任务精准派发，便于对工作进行监督和考核</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79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耕地种植用途监管-耕地种植用途监管数据分析与管理-撂荒地治理信息管理-治理核实信息记录(历史)</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实现快速追溯问题发生环节，明确责任主体，让监管工作有迹可循</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耕地种植用途监管-耕地种植用途监测辅助决策场景-图层管理、空间查询分析、可视化展示</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图层管理、空间查询分析、可视化展示</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耕地种植用途监管-耕地种植用途监测辅助决策场景-耕地种植现状统计与分析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基于接入的多源底图数据与耕地数据，在地图上呈现全市耕地的种植结构分布，直观地展示每块耕地的位置、面积等详细信息</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耕地种植用途监管-耕地种植用途监测辅助决策场景-非农化非粮化碎片化地块信息统计分析及专题核查与治理进度跟踪</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1、非农化非粮化碎片化统计分析地块信息统计分析；</w:t>
            </w:r>
            <w:r>
              <w:rPr>
                <w:rFonts w:hint="eastAsia" w:cs="宋体"/>
                <w:kern w:val="0"/>
                <w:sz w:val="21"/>
                <w:szCs w:val="21"/>
                <w:highlight w:val="none"/>
              </w:rPr>
              <w:br w:type="textWrapping"/>
            </w:r>
            <w:r>
              <w:rPr>
                <w:rFonts w:hint="eastAsia" w:cs="宋体"/>
                <w:kern w:val="0"/>
                <w:sz w:val="21"/>
                <w:szCs w:val="21"/>
                <w:highlight w:val="none"/>
              </w:rPr>
              <w:t>2、非粮化、非农化、碎片化专题核查与治理进度跟踪，在地图上展示不同类型的地块情况分布。</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蔬菜生产数据信息核查-蔬菜生产核查数据分析与管理-蔬菜生产核查提醒信息管理-不合格待复查信息</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实现对处理未通过审核的核查任务的跟踪，确保核查问题及时修正并重新提交复查</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蔬菜生产数据信息核查-蔬菜生产核查数据分析与管理-蔬菜生产核查提醒信息管理-待办任务接收与管理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通过系统化的方式对核查任务进行管理和督促</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蔬菜生产数据信息核查-蔬菜生产核查数据分析与管理-蔬菜生产核查提醒信息管理-待审核任务预警信息</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通过系统化的信息触达与流程监控，确保审核环节高效、规范执行，避免因人为疏漏或延迟导致的风险</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蔬菜生产数据信息核查-蔬菜生产核查数据分析与管理-蔬菜生产核查数据统计与分析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将蔬菜生产数据进行处理与分析，统计展示菜田生产等关键指标数据</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蔬菜生产数据信息核查-蔬菜生产核查数据分析与管理-菜田生产信息核查管理-菜田生产信息核实</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实现对菜田用途实际情况的核查和监管</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蔬菜生产数据信息核查-蔬菜生产核查数据分析与管理-菜田生产信息核查管理-待核实任务分派</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实现对菜田生产过程中疑似问题地块的智能化任务分配、跟踪与闭环管理，提升核查效率与精准性。</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89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蔬菜生产数据信息核查-蔬菜生产核查数据分析与管理-菜田整改情况管理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1、对菜田用途整改情况的核查和监管；</w:t>
            </w:r>
            <w:r>
              <w:rPr>
                <w:rFonts w:hint="eastAsia" w:cs="宋体"/>
                <w:kern w:val="0"/>
                <w:sz w:val="21"/>
                <w:szCs w:val="21"/>
                <w:highlight w:val="none"/>
              </w:rPr>
              <w:br w:type="textWrapping"/>
            </w:r>
            <w:r>
              <w:rPr>
                <w:rFonts w:hint="eastAsia" w:cs="宋体"/>
                <w:kern w:val="0"/>
                <w:sz w:val="21"/>
                <w:szCs w:val="21"/>
                <w:highlight w:val="none"/>
              </w:rPr>
              <w:t>2、实现对整改完成地块/菜田的智能化复核任务分配。</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蔬菜生产数据信息核查-蔬菜生产核查数据分析与管理-蔬菜生产数据核查审核管理</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1、通过 “数据质控 - 风险防控 - 效率提升 - 责任追溯” 的全流程管控。确保菜田检查核查工作高效推进。</w:t>
            </w:r>
            <w:r>
              <w:rPr>
                <w:rFonts w:hint="eastAsia" w:cs="宋体"/>
                <w:kern w:val="0"/>
                <w:sz w:val="21"/>
                <w:szCs w:val="21"/>
                <w:highlight w:val="none"/>
              </w:rPr>
              <w:br w:type="textWrapping"/>
            </w:r>
            <w:r>
              <w:rPr>
                <w:rFonts w:hint="eastAsia" w:cs="宋体"/>
                <w:kern w:val="0"/>
                <w:sz w:val="21"/>
                <w:szCs w:val="21"/>
                <w:highlight w:val="none"/>
              </w:rPr>
              <w:t>2、对菜田整改过程中的各类信息进行系统性核查与管理。</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91</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蔬菜生产数据信息核查-蔬菜生产数据信息核查辅助决策场景-长期撂荒、未更新农事操作、非菜化统计分析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对未更新长期撂荒菜田、未更新农事操作菜田及非菜化菜田数据进行统计分析展示</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92</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蔬菜生产数据信息核查-蔬菜生产数据信息核查辅助决策场景-设施菜田落图分析和绿叶菜菜田空间分布</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1、将全市设施菜田进行地图落图，统计展示菜田关键指标数据</w:t>
            </w:r>
            <w:r>
              <w:rPr>
                <w:rFonts w:hint="eastAsia" w:cs="宋体"/>
                <w:kern w:val="0"/>
                <w:sz w:val="21"/>
                <w:szCs w:val="21"/>
                <w:highlight w:val="none"/>
              </w:rPr>
              <w:br w:type="textWrapping"/>
            </w:r>
            <w:r>
              <w:rPr>
                <w:rFonts w:hint="eastAsia" w:cs="宋体"/>
                <w:kern w:val="0"/>
                <w:sz w:val="21"/>
                <w:szCs w:val="21"/>
                <w:highlight w:val="none"/>
              </w:rPr>
              <w:t>2、展示绿叶菜菜田的空间分布、品种面积占比等；以双轴趋势图的方式给出面积分布与其同步增长率</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93</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移动端应用开发-耕地种植用途监管数据归集与应用-撂荒地核查消息助手</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不合格预警推送，待办、待审核任务提醒</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94</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移动端应用开发-耕地种植用途监管数据归集与应用-撂荒地种植用途核查</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实现对撂荒地种植及用途信息进行“实地核查”</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95</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移动端应用开发-耕地种植用途监管数据归集与应用-撂荒地治理情况核实</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实现对地块治理或整改情况的监管</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96</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移动端应用开发-耕地种植用途监管数据归集与应用-撂荒地核实数据统计分析</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按照区域、类型等多个维度对核查数据进行处理和分析　</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97</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移动端应用开发-蔬菜生产核查数据归集与应用-菜田生产信息核查</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获取地块的作物农事档案，并实现菜田用途现场核查，实时掌握当前菜田种植情况</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98</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移动端应用开发-蔬菜生产核查数据归集与应用-菜田整改情况核实</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对存在“非菜化”和长期撂荒、未更新农事操作的及时预警，并通报到有关部门责令限期整改</w:t>
            </w:r>
          </w:p>
        </w:tc>
      </w:tr>
      <w:tr>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99</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移动端应用开发-蔬菜生产核查数据归集与应用-蔬菜生产核查数据统计</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对菜田用途核查数据进行处理和分析，将分析结果以可视化图表的方式进行展示</w:t>
            </w:r>
          </w:p>
        </w:tc>
      </w:tr>
      <w:tr>
        <w:tblPrEx>
          <w:tblCellMar>
            <w:top w:w="0" w:type="dxa"/>
            <w:left w:w="108" w:type="dxa"/>
            <w:bottom w:w="0" w:type="dxa"/>
            <w:right w:w="108" w:type="dxa"/>
          </w:tblCellMar>
        </w:tblPrEx>
        <w:trPr>
          <w:cantSplit/>
        </w:trPr>
        <w:tc>
          <w:tcPr>
            <w:tcW w:w="562"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cs="宋体"/>
                <w:kern w:val="0"/>
                <w:sz w:val="21"/>
                <w:szCs w:val="21"/>
                <w:highlight w:val="none"/>
              </w:rPr>
            </w:pPr>
            <w:r>
              <w:rPr>
                <w:rFonts w:hint="eastAsia" w:cs="宋体"/>
                <w:kern w:val="0"/>
                <w:sz w:val="21"/>
                <w:szCs w:val="21"/>
                <w:highlight w:val="none"/>
              </w:rPr>
              <w:t>100</w:t>
            </w:r>
          </w:p>
        </w:tc>
        <w:tc>
          <w:tcPr>
            <w:tcW w:w="70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p>
        </w:tc>
        <w:tc>
          <w:tcPr>
            <w:tcW w:w="3544"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移动端应用开发-接口开发管理-对接随申办政务云（移动端）</w:t>
            </w:r>
          </w:p>
        </w:tc>
        <w:tc>
          <w:tcPr>
            <w:tcW w:w="4111" w:type="dxa"/>
            <w:tcBorders>
              <w:top w:val="nil"/>
              <w:left w:val="nil"/>
              <w:bottom w:val="single" w:color="auto" w:sz="4" w:space="0"/>
              <w:right w:val="single" w:color="auto" w:sz="4" w:space="0"/>
            </w:tcBorders>
            <w:vAlign w:val="center"/>
          </w:tcPr>
          <w:p>
            <w:pPr>
              <w:widowControl/>
              <w:spacing w:line="240" w:lineRule="auto"/>
              <w:ind w:firstLine="0" w:firstLineChars="0"/>
              <w:jc w:val="left"/>
              <w:rPr>
                <w:rFonts w:hint="eastAsia" w:cs="宋体"/>
                <w:kern w:val="0"/>
                <w:sz w:val="21"/>
                <w:szCs w:val="21"/>
                <w:highlight w:val="none"/>
              </w:rPr>
            </w:pPr>
            <w:r>
              <w:rPr>
                <w:rFonts w:hint="eastAsia" w:cs="宋体"/>
                <w:kern w:val="0"/>
                <w:sz w:val="21"/>
                <w:szCs w:val="21"/>
                <w:highlight w:val="none"/>
              </w:rPr>
              <w:t>基于一体化办公平台统一支撑能力和统一标准规范,推进高频业务应用上平台,稳步接入一体化办公平台,实现统一入口、统一身份认证、统一组织架构。</w:t>
            </w:r>
          </w:p>
        </w:tc>
      </w:tr>
    </w:tbl>
    <w:p>
      <w:pPr>
        <w:pStyle w:val="2"/>
        <w:numPr>
          <w:ilvl w:val="-1"/>
          <w:numId w:val="0"/>
        </w:numPr>
        <w:rPr>
          <w:rFonts w:hint="eastAsia"/>
          <w:highlight w:val="none"/>
        </w:rPr>
      </w:pPr>
      <w:bookmarkStart w:id="18" w:name="_Toc63785502"/>
      <w:r>
        <w:rPr>
          <w:rFonts w:hint="eastAsia"/>
          <w:highlight w:val="none"/>
        </w:rPr>
        <w:t>3.5 硬件购置清单</w:t>
      </w:r>
    </w:p>
    <w:p>
      <w:pPr>
        <w:ind w:firstLine="482"/>
        <w:rPr>
          <w:rFonts w:hint="default"/>
          <w:b w:val="0"/>
          <w:highlight w:val="none"/>
        </w:rPr>
      </w:pPr>
      <w:r>
        <w:rPr>
          <w:rFonts w:hint="default"/>
          <w:b w:val="0"/>
          <w:highlight w:val="none"/>
        </w:rPr>
        <w:t>本项目不涉及硬件购置。</w:t>
      </w:r>
    </w:p>
    <w:p>
      <w:pPr>
        <w:pStyle w:val="2"/>
        <w:numPr>
          <w:ilvl w:val="-1"/>
          <w:numId w:val="0"/>
        </w:numPr>
        <w:rPr>
          <w:rFonts w:hint="eastAsia"/>
          <w:highlight w:val="none"/>
        </w:rPr>
      </w:pPr>
      <w:r>
        <w:rPr>
          <w:rFonts w:hint="eastAsia"/>
          <w:highlight w:val="none"/>
        </w:rPr>
        <w:t>3.6 产品软件购置清单</w:t>
      </w:r>
    </w:p>
    <w:p>
      <w:pPr>
        <w:ind w:firstLine="482"/>
        <w:rPr>
          <w:rFonts w:hint="eastAsia"/>
          <w:highlight w:val="none"/>
        </w:rPr>
      </w:pPr>
      <w:r>
        <w:rPr>
          <w:rFonts w:hint="eastAsia"/>
          <w:highlight w:val="none"/>
        </w:rPr>
        <w:t>本项目不涉及产品软件购置。</w:t>
      </w:r>
    </w:p>
    <w:p>
      <w:pPr>
        <w:pStyle w:val="2"/>
        <w:numPr>
          <w:ilvl w:val="-1"/>
          <w:numId w:val="0"/>
        </w:numPr>
        <w:rPr>
          <w:rFonts w:hint="eastAsia"/>
          <w:highlight w:val="none"/>
        </w:rPr>
      </w:pPr>
      <w:r>
        <w:rPr>
          <w:rFonts w:hint="eastAsia"/>
          <w:highlight w:val="none"/>
        </w:rPr>
        <w:t>3.7 安全产品购置清单</w:t>
      </w:r>
    </w:p>
    <w:p>
      <w:pPr>
        <w:ind w:firstLine="482"/>
        <w:rPr>
          <w:rFonts w:hint="eastAsia"/>
          <w:highlight w:val="none"/>
        </w:rPr>
      </w:pPr>
      <w:r>
        <w:rPr>
          <w:rFonts w:hint="eastAsia"/>
          <w:highlight w:val="none"/>
        </w:rPr>
        <w:t>本项目不涉及安全产品购置。</w:t>
      </w:r>
    </w:p>
    <w:p>
      <w:pPr>
        <w:pStyle w:val="2"/>
        <w:rPr>
          <w:rFonts w:hint="eastAsia"/>
          <w:highlight w:val="none"/>
        </w:rPr>
      </w:pPr>
      <w:r>
        <w:rPr>
          <w:rFonts w:hint="eastAsia"/>
          <w:highlight w:val="none"/>
        </w:rPr>
        <w:t>电子政务云资源需求</w:t>
      </w:r>
      <w:bookmarkEnd w:id="18"/>
    </w:p>
    <w:p>
      <w:pPr>
        <w:rPr>
          <w:rFonts w:hint="eastAsia" w:ascii="Times New Roman" w:hAnsi="Times New Roman" w:eastAsia="仿宋" w:cstheme="minorBidi"/>
          <w:b w:val="0"/>
          <w:bCs w:val="0"/>
          <w:color w:val="auto"/>
          <w:kern w:val="2"/>
          <w:sz w:val="28"/>
          <w:szCs w:val="24"/>
          <w:lang w:val="en-US" w:eastAsia="zh-CN" w:bidi="ar-SA"/>
        </w:rPr>
      </w:pPr>
      <w:r>
        <w:rPr>
          <w:rFonts w:hint="eastAsia" w:ascii="Times New Roman" w:hAnsi="Times New Roman" w:eastAsia="仿宋" w:cstheme="minorBidi"/>
          <w:b w:val="0"/>
          <w:bCs w:val="0"/>
          <w:color w:val="auto"/>
          <w:kern w:val="2"/>
          <w:sz w:val="28"/>
          <w:szCs w:val="24"/>
          <w:lang w:val="en-US" w:eastAsia="zh-CN" w:bidi="ar-SA"/>
        </w:rPr>
        <w:t>本项目依托上海市电子政务云申请资源。项目实施过程中可按照上海市电子政务云平台实际分配的资源情况作动态调整，同时可整合利用原有系统主机资源。</w:t>
      </w:r>
    </w:p>
    <w:p>
      <w:pPr>
        <w:pStyle w:val="2"/>
        <w:rPr>
          <w:rFonts w:hint="eastAsia"/>
          <w:highlight w:val="none"/>
        </w:rPr>
      </w:pPr>
      <w:bookmarkStart w:id="19" w:name="_Toc63785503"/>
      <w:r>
        <w:rPr>
          <w:rFonts w:hint="eastAsia"/>
          <w:highlight w:val="none"/>
        </w:rPr>
        <w:t>其他工作要求</w:t>
      </w:r>
      <w:bookmarkEnd w:id="19"/>
    </w:p>
    <w:p>
      <w:pPr>
        <w:keepNext/>
        <w:keepLines/>
        <w:numPr>
          <w:ilvl w:val="1"/>
          <w:numId w:val="3"/>
        </w:numPr>
        <w:tabs>
          <w:tab w:val="left" w:pos="360"/>
        </w:tabs>
        <w:spacing w:before="120" w:line="240" w:lineRule="auto"/>
        <w:ind w:left="0" w:firstLine="0" w:firstLineChars="0"/>
        <w:outlineLvl w:val="1"/>
        <w:rPr>
          <w:rFonts w:hint="eastAsia" w:ascii="仿宋" w:hAnsi="仿宋" w:eastAsia="仿宋"/>
          <w:b/>
          <w:vanish/>
          <w:color w:val="000000"/>
          <w:sz w:val="28"/>
          <w:szCs w:val="20"/>
          <w:highlight w:val="none"/>
        </w:rPr>
      </w:pPr>
      <w:bookmarkStart w:id="20" w:name="_Toc63585480"/>
      <w:bookmarkEnd w:id="20"/>
      <w:bookmarkStart w:id="21" w:name="_Toc62209488"/>
      <w:bookmarkEnd w:id="21"/>
      <w:bookmarkStart w:id="22" w:name="_Toc63785504"/>
      <w:bookmarkEnd w:id="22"/>
      <w:bookmarkStart w:id="23" w:name="_Toc61968111"/>
      <w:bookmarkEnd w:id="23"/>
      <w:bookmarkStart w:id="24" w:name="_Toc63785439"/>
      <w:bookmarkEnd w:id="24"/>
      <w:bookmarkStart w:id="25" w:name="_Toc63762370"/>
      <w:bookmarkEnd w:id="25"/>
      <w:bookmarkStart w:id="26" w:name="_Toc63151871"/>
      <w:bookmarkEnd w:id="26"/>
      <w:bookmarkStart w:id="27" w:name="_Toc62219358"/>
      <w:bookmarkEnd w:id="27"/>
    </w:p>
    <w:p>
      <w:pPr>
        <w:pStyle w:val="3"/>
        <w:rPr>
          <w:rFonts w:hint="eastAsia"/>
          <w:highlight w:val="none"/>
        </w:rPr>
      </w:pPr>
      <w:bookmarkStart w:id="28" w:name="_Toc63785505"/>
      <w:r>
        <w:rPr>
          <w:rFonts w:hint="eastAsia"/>
          <w:highlight w:val="none"/>
        </w:rPr>
        <w:t>售后服务要求</w:t>
      </w:r>
      <w:bookmarkEnd w:id="28"/>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本项目从系统验收通过之日起1年内提供</w:t>
      </w:r>
      <w:r>
        <w:rPr>
          <w:rFonts w:ascii="宋体" w:hAnsi="宋体"/>
          <w:sz w:val="24"/>
          <w:szCs w:val="24"/>
          <w:highlight w:val="none"/>
        </w:rPr>
        <w:t>7*24小时免费技术支持</w:t>
      </w:r>
      <w:r>
        <w:rPr>
          <w:rFonts w:hint="eastAsia" w:ascii="宋体" w:hAnsi="宋体"/>
          <w:sz w:val="24"/>
          <w:szCs w:val="24"/>
          <w:highlight w:val="none"/>
        </w:rPr>
        <w:t>和售后服务，1年后进入有偿维护期。</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在质量保证期内，供应商将按照售后服务的承诺提供保修和运行维护服务，如果厂商对信息系统中软、硬件设备等产品中的部分保修期超过上述期限的，则按照厂商的规定进行免费保修。</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在质量保证期内，供应商负责信息系统的运行维护工作，确保信息系统安全、稳定、可靠地运行。本项目涉及的运行维护工作范围</w:t>
      </w:r>
      <w:r>
        <w:rPr>
          <w:rFonts w:hint="eastAsia" w:ascii="宋体" w:hAnsi="宋体"/>
          <w:sz w:val="24"/>
          <w:szCs w:val="24"/>
          <w:highlight w:val="none"/>
          <w:lang w:val="en-US" w:eastAsia="zh-CN"/>
        </w:rPr>
        <w:t>如下</w:t>
      </w:r>
      <w:r>
        <w:rPr>
          <w:rFonts w:hint="eastAsia" w:ascii="宋体" w:hAnsi="宋体"/>
          <w:sz w:val="24"/>
          <w:szCs w:val="24"/>
          <w:highlight w:val="none"/>
        </w:rPr>
        <w:t>：</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项目运维团队应负责项目相关软硬件的安装、调试、软硬件集成、日常巡查、故障修复以及日常运维管理工作，协助对接完成云资源租赁服务。按照服务质量保证的标准要求提供售后服务，负责对系统进行维护或升级。需提供热线电话、电子邮件和在线网站等技术支持方式，确保7*24小时电话响应服务，重大故障1小时到场、4小时恢复业务</w:t>
      </w:r>
      <w:r>
        <w:rPr>
          <w:rFonts w:hint="eastAsia" w:ascii="宋体" w:hAnsi="宋体"/>
          <w:sz w:val="24"/>
          <w:szCs w:val="24"/>
          <w:highlight w:val="none"/>
          <w:lang w:eastAsia="zh-CN"/>
        </w:rPr>
        <w:t>，在</w:t>
      </w:r>
      <w:r>
        <w:rPr>
          <w:rFonts w:hint="eastAsia" w:ascii="宋体" w:hAnsi="宋体"/>
          <w:sz w:val="24"/>
          <w:szCs w:val="24"/>
          <w:highlight w:val="none"/>
        </w:rPr>
        <w:t>重要时间段强化安全保障，保证系统整体可用性不低于99.5%。</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日常监控与巡检方面，需对系统进行实时监控，处理监控告警和巡检异常内容，制定维护规范并按周期执行详细作业计划。系统扩容需在资源使用率超出限额或无法满足用户需求时及时实施，项目</w:t>
      </w:r>
      <w:r>
        <w:rPr>
          <w:rFonts w:hint="eastAsia" w:ascii="宋体" w:hAnsi="宋体"/>
          <w:sz w:val="24"/>
          <w:szCs w:val="24"/>
          <w:highlight w:val="none"/>
          <w:lang w:val="en-US" w:eastAsia="zh-CN"/>
        </w:rPr>
        <w:t>建设</w:t>
      </w:r>
      <w:r>
        <w:rPr>
          <w:rFonts w:hint="eastAsia" w:ascii="宋体" w:hAnsi="宋体"/>
          <w:sz w:val="24"/>
          <w:szCs w:val="24"/>
          <w:highlight w:val="none"/>
        </w:rPr>
        <w:t>单位发起需求后1个工作日内响应，60个自然日内完成扩容任务。</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安全方面需定期对系统模块进行安全扫描、漏洞加固，并提供加固建议。应急管理要求每年至少组织1次针对性演练，制订应急预案；重大事件发生时需及时响应并编制事件报告。节假日期间需重点保障系统运行安全。故障处理需建立分级管理体系，明确故障等级、职责分工和处理界面，各环节需电子化记录并落实到具体接口人，不同等级故障需匹配相应的处理时长和恢复时限。</w:t>
      </w:r>
    </w:p>
    <w:p>
      <w:pPr>
        <w:pStyle w:val="3"/>
        <w:rPr>
          <w:rFonts w:hint="eastAsia"/>
          <w:highlight w:val="none"/>
        </w:rPr>
      </w:pPr>
      <w:bookmarkStart w:id="29" w:name="_Toc63785506"/>
      <w:r>
        <w:rPr>
          <w:rFonts w:hint="eastAsia"/>
          <w:highlight w:val="none"/>
        </w:rPr>
        <w:t>应急响应要求</w:t>
      </w:r>
      <w:bookmarkEnd w:id="29"/>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供应商对系统故障应能够实时响应，若系统发生故障，接到通知后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。特殊故障与客户沟通协商后，按照协商的方式制定解决方案并进行处理。</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具体故障级别及对应的应急响应要求如下：</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一级故障：在</w:t>
      </w:r>
      <w:r>
        <w:rPr>
          <w:rFonts w:ascii="宋体" w:hAnsi="宋体"/>
          <w:sz w:val="24"/>
          <w:szCs w:val="24"/>
          <w:highlight w:val="none"/>
        </w:rPr>
        <w:t>1小时内确诊，总故障解决时间不超过4小时。</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二级故障：在</w:t>
      </w:r>
      <w:r>
        <w:rPr>
          <w:rFonts w:ascii="宋体" w:hAnsi="宋体"/>
          <w:sz w:val="24"/>
          <w:szCs w:val="24"/>
          <w:highlight w:val="none"/>
        </w:rPr>
        <w:t>2小时内确诊，并在4小时内由专家到达现场确诊并解决，总故障解决时间不超过8小时；</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三、四级故障：在</w:t>
      </w:r>
      <w:r>
        <w:rPr>
          <w:rFonts w:ascii="宋体" w:hAnsi="宋体"/>
          <w:sz w:val="24"/>
          <w:szCs w:val="24"/>
          <w:highlight w:val="none"/>
        </w:rPr>
        <w:t>4小时内确诊故障，总故障解决时间不超过16小时。</w:t>
      </w:r>
    </w:p>
    <w:p>
      <w:pPr>
        <w:pStyle w:val="3"/>
        <w:rPr>
          <w:rFonts w:hint="eastAsia"/>
          <w:highlight w:val="none"/>
        </w:rPr>
      </w:pPr>
      <w:bookmarkStart w:id="30" w:name="_Toc63785507"/>
      <w:r>
        <w:rPr>
          <w:rFonts w:hint="eastAsia"/>
          <w:highlight w:val="none"/>
        </w:rPr>
        <w:t>培训要求</w:t>
      </w:r>
      <w:bookmarkEnd w:id="30"/>
    </w:p>
    <w:p>
      <w:pPr>
        <w:rPr>
          <w:rFonts w:hint="eastAsia"/>
          <w:highlight w:val="none"/>
        </w:rPr>
      </w:pPr>
      <w:r>
        <w:rPr>
          <w:rFonts w:hint="eastAsia"/>
          <w:highlight w:val="none"/>
        </w:rPr>
        <w:t>对系统使用单位提供业务操作培训，应提供详细培训方案。</w:t>
      </w:r>
    </w:p>
    <w:p>
      <w:pPr>
        <w:rPr>
          <w:rFonts w:hint="eastAsia"/>
          <w:highlight w:val="none"/>
        </w:rPr>
      </w:pPr>
      <w:r>
        <w:rPr>
          <w:rFonts w:hint="eastAsia"/>
          <w:highlight w:val="none"/>
        </w:rPr>
        <w:t>(1)在12个月的质量保证期内，提供2次与项目相关的必要培训。</w:t>
      </w:r>
    </w:p>
    <w:p>
      <w:pPr>
        <w:rPr>
          <w:rFonts w:hint="eastAsia"/>
          <w:highlight w:val="none"/>
        </w:rPr>
      </w:pPr>
      <w:r>
        <w:rPr>
          <w:rFonts w:hint="eastAsia"/>
          <w:highlight w:val="none"/>
        </w:rPr>
        <w:t>(2)供应商需要开展分层次的人员培训工作，每次培训后应对参加培训人员进行测试，评估培训成果。培训应具有培训教材、培训环境和高水平的培训讲师。</w:t>
      </w:r>
    </w:p>
    <w:p>
      <w:pPr>
        <w:rPr>
          <w:rFonts w:hint="eastAsia"/>
          <w:highlight w:val="none"/>
        </w:rPr>
      </w:pPr>
      <w:r>
        <w:rPr>
          <w:rFonts w:hint="eastAsia"/>
          <w:highlight w:val="none"/>
        </w:rPr>
        <w:t>(3)供应商应提供一般用户的基础操作培训和部门信息管理员的日常应用维护的培训，确保用户对象能够掌握对应的操作技能。</w:t>
      </w:r>
    </w:p>
    <w:p>
      <w:pPr>
        <w:pStyle w:val="3"/>
        <w:rPr>
          <w:rFonts w:hint="eastAsia"/>
          <w:highlight w:val="none"/>
        </w:rPr>
      </w:pPr>
      <w:bookmarkStart w:id="31" w:name="_Toc63785508"/>
      <w:r>
        <w:rPr>
          <w:rFonts w:hint="eastAsia"/>
          <w:highlight w:val="none"/>
        </w:rPr>
        <w:t>验收要求</w:t>
      </w:r>
      <w:bookmarkEnd w:id="31"/>
    </w:p>
    <w:p>
      <w:pPr>
        <w:rPr>
          <w:rFonts w:hint="eastAsia"/>
          <w:szCs w:val="21"/>
          <w:highlight w:val="none"/>
        </w:rPr>
      </w:pPr>
      <w:r>
        <w:rPr>
          <w:rFonts w:hint="eastAsia"/>
          <w:szCs w:val="21"/>
          <w:highlight w:val="none"/>
        </w:rPr>
        <w:t>本项目按下述方式开展验收。</w:t>
      </w:r>
    </w:p>
    <w:p>
      <w:pPr>
        <w:rPr>
          <w:rFonts w:hint="eastAsia"/>
          <w:szCs w:val="21"/>
          <w:highlight w:val="none"/>
        </w:rPr>
      </w:pPr>
      <w:r>
        <w:rPr>
          <w:rFonts w:hint="eastAsia"/>
          <w:szCs w:val="21"/>
          <w:highlight w:val="none"/>
        </w:rPr>
        <w:t>（</w:t>
      </w:r>
      <w:r>
        <w:rPr>
          <w:szCs w:val="21"/>
          <w:highlight w:val="none"/>
        </w:rPr>
        <w:t>1）验收分初验和终验。</w:t>
      </w:r>
    </w:p>
    <w:p>
      <w:pPr>
        <w:rPr>
          <w:rFonts w:hint="eastAsia"/>
          <w:szCs w:val="21"/>
          <w:highlight w:val="none"/>
        </w:rPr>
      </w:pPr>
      <w:r>
        <w:rPr>
          <w:rFonts w:hint="eastAsia"/>
          <w:szCs w:val="21"/>
          <w:highlight w:val="none"/>
        </w:rPr>
        <w:t>（</w:t>
      </w:r>
      <w:r>
        <w:rPr>
          <w:szCs w:val="21"/>
          <w:highlight w:val="none"/>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rFonts w:hint="eastAsia"/>
          <w:szCs w:val="21"/>
          <w:highlight w:val="none"/>
        </w:rPr>
      </w:pPr>
      <w:r>
        <w:rPr>
          <w:rFonts w:hint="eastAsia"/>
          <w:szCs w:val="21"/>
          <w:highlight w:val="none"/>
        </w:rPr>
        <w:t>（</w:t>
      </w:r>
      <w:r>
        <w:rPr>
          <w:szCs w:val="21"/>
          <w:highlight w:val="none"/>
        </w:rPr>
        <w:t>3）初验时，供应商须提供软件文档包括《用户需求说明书》《系统概要设计说明书》《系统详细设计说明书》</w:t>
      </w:r>
      <w:r>
        <w:rPr>
          <w:rFonts w:hint="eastAsia"/>
          <w:szCs w:val="21"/>
          <w:highlight w:val="none"/>
        </w:rPr>
        <w:t>《三方功能需求确认单》</w:t>
      </w:r>
      <w:r>
        <w:rPr>
          <w:szCs w:val="21"/>
          <w:highlight w:val="none"/>
        </w:rPr>
        <w:t>《测试报告》《用户使用手册》《系统部署文档》等</w:t>
      </w:r>
      <w:r>
        <w:rPr>
          <w:rFonts w:hint="eastAsia"/>
          <w:szCs w:val="21"/>
          <w:highlight w:val="none"/>
        </w:rPr>
        <w:t>，</w:t>
      </w:r>
      <w:r>
        <w:rPr>
          <w:szCs w:val="21"/>
          <w:highlight w:val="none"/>
        </w:rPr>
        <w:t>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rFonts w:hint="eastAsia"/>
          <w:szCs w:val="21"/>
          <w:highlight w:val="none"/>
        </w:rPr>
      </w:pPr>
      <w:r>
        <w:rPr>
          <w:rFonts w:hint="eastAsia"/>
          <w:szCs w:val="21"/>
          <w:highlight w:val="none"/>
        </w:rPr>
        <w:t>（</w:t>
      </w:r>
      <w:r>
        <w:rPr>
          <w:szCs w:val="21"/>
          <w:highlight w:val="none"/>
        </w:rPr>
        <w:t>4）自初验通过之日起，招标方享有供应商免费提供的</w:t>
      </w:r>
      <w:r>
        <w:rPr>
          <w:rFonts w:hint="eastAsia"/>
          <w:szCs w:val="21"/>
          <w:highlight w:val="none"/>
        </w:rPr>
        <w:t>30</w:t>
      </w:r>
      <w:r>
        <w:rPr>
          <w:szCs w:val="21"/>
          <w:highlight w:val="none"/>
        </w:rPr>
        <w:t>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highlight w:val="none"/>
        </w:rPr>
      </w:pPr>
      <w:r>
        <w:rPr>
          <w:rFonts w:hint="eastAsia"/>
          <w:szCs w:val="21"/>
          <w:highlight w:val="none"/>
        </w:rPr>
        <w:t>（</w:t>
      </w:r>
      <w:r>
        <w:rPr>
          <w:szCs w:val="21"/>
          <w:highlight w:val="none"/>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highlight w:val="none"/>
          <w:lang w:val="en-US" w:eastAsia="zh-CN"/>
        </w:rPr>
        <w:t>10</w:t>
      </w:r>
      <w:r>
        <w:rPr>
          <w:szCs w:val="21"/>
          <w:highlight w:val="none"/>
        </w:rPr>
        <w:t>个工作日内发起组织专家验收会。</w:t>
      </w:r>
    </w:p>
    <w:p>
      <w:pPr>
        <w:rPr>
          <w:rFonts w:hint="eastAsia"/>
          <w:szCs w:val="21"/>
          <w:highlight w:val="none"/>
        </w:rPr>
      </w:pPr>
      <w:r>
        <w:rPr>
          <w:rFonts w:hint="eastAsia"/>
          <w:szCs w:val="21"/>
          <w:highlight w:val="none"/>
        </w:rPr>
        <w:t>（6</w:t>
      </w:r>
      <w:r>
        <w:rPr>
          <w:szCs w:val="21"/>
          <w:highlight w:val="none"/>
        </w:rPr>
        <w:t>）如果属于供应商原因致使本项目未能通过终验，供应商应当排除缺陷，直至本项目完全符合验收标准，由上述情形而产生的相关费用应由供应商自行承担。</w:t>
      </w:r>
    </w:p>
    <w:p>
      <w:pPr>
        <w:rPr>
          <w:rFonts w:hint="eastAsia"/>
          <w:szCs w:val="21"/>
          <w:highlight w:val="none"/>
        </w:rPr>
      </w:pPr>
      <w:r>
        <w:rPr>
          <w:rFonts w:hint="eastAsia"/>
          <w:szCs w:val="21"/>
          <w:highlight w:val="none"/>
        </w:rPr>
        <w:t>（7</w:t>
      </w:r>
      <w:r>
        <w:rPr>
          <w:szCs w:val="21"/>
          <w:highlight w:val="none"/>
        </w:rPr>
        <w:t>）如果由于招标方原因导致本项目在终验通过前出现故障或问题，供应商应及时配合排除该方面的故障或问题。</w:t>
      </w:r>
    </w:p>
    <w:p>
      <w:pPr>
        <w:rPr>
          <w:rFonts w:hint="eastAsia"/>
          <w:szCs w:val="21"/>
          <w:highlight w:val="none"/>
        </w:rPr>
      </w:pPr>
      <w:r>
        <w:rPr>
          <w:rFonts w:hint="eastAsia"/>
          <w:szCs w:val="21"/>
          <w:highlight w:val="none"/>
        </w:rPr>
        <w:t>（8</w:t>
      </w:r>
      <w:r>
        <w:rPr>
          <w:szCs w:val="21"/>
          <w:highlight w:val="none"/>
        </w:rPr>
        <w:t>）如本项目连续3次验收未通过（含初验未通过或终验未通过），招标方有权解除项目，并有权依照本项目约定的违约条款追究供应商的违约责任。</w:t>
      </w:r>
    </w:p>
    <w:p>
      <w:pPr>
        <w:pStyle w:val="3"/>
        <w:rPr>
          <w:rFonts w:hint="eastAsia"/>
          <w:highlight w:val="none"/>
        </w:rPr>
      </w:pPr>
      <w:bookmarkStart w:id="32" w:name="_Toc63785509"/>
      <w:r>
        <w:rPr>
          <w:rFonts w:hint="eastAsia"/>
          <w:highlight w:val="none"/>
        </w:rPr>
        <w:t>进度要求</w:t>
      </w:r>
      <w:bookmarkEnd w:id="32"/>
    </w:p>
    <w:p>
      <w:pPr>
        <w:rPr>
          <w:rFonts w:hint="eastAsia"/>
          <w:highlight w:val="none"/>
        </w:rPr>
      </w:pPr>
      <w:r>
        <w:rPr>
          <w:rFonts w:hint="eastAsia"/>
          <w:highlight w:val="none"/>
        </w:rPr>
        <w:t>投标人应根据建设内容，分阶段制定合理的时间进度，并且应根据招标方要求进行调整和细化。</w:t>
      </w:r>
    </w:p>
    <w:p>
      <w:pPr>
        <w:rPr>
          <w:rFonts w:hint="eastAsia"/>
          <w:highlight w:val="none"/>
        </w:rPr>
      </w:pPr>
      <w:r>
        <w:rPr>
          <w:rFonts w:hint="eastAsia"/>
          <w:highlight w:val="none"/>
        </w:rPr>
        <w:t>总建设周期为9个月，分为</w:t>
      </w:r>
      <w:r>
        <w:rPr>
          <w:rFonts w:hint="eastAsia"/>
          <w:highlight w:val="none"/>
          <w:lang w:val="en-US" w:eastAsia="zh-CN"/>
        </w:rPr>
        <w:t>5</w:t>
      </w:r>
      <w:r>
        <w:rPr>
          <w:rFonts w:hint="eastAsia"/>
          <w:highlight w:val="none"/>
        </w:rPr>
        <w:t>个阶段。</w:t>
      </w:r>
    </w:p>
    <w:p>
      <w:pPr>
        <w:ind w:firstLine="560"/>
        <w:rPr>
          <w:rFonts w:hint="eastAsia"/>
          <w:highlight w:val="none"/>
          <w:lang w:val="en-US" w:eastAsia="zh-CN"/>
        </w:rPr>
      </w:pPr>
      <w:r>
        <w:rPr>
          <w:rFonts w:hint="eastAsia"/>
          <w:highlight w:val="none"/>
        </w:rPr>
        <w:t>第一阶段</w:t>
      </w:r>
      <w:r>
        <w:rPr>
          <w:rFonts w:hint="eastAsia"/>
          <w:highlight w:val="none"/>
          <w:lang w:val="en-US" w:eastAsia="zh-CN"/>
        </w:rPr>
        <w:t>0.5个月</w:t>
      </w:r>
      <w:r>
        <w:rPr>
          <w:rFonts w:hint="eastAsia"/>
          <w:highlight w:val="none"/>
        </w:rPr>
        <w:t>，完成项目</w:t>
      </w:r>
      <w:r>
        <w:rPr>
          <w:rFonts w:hint="eastAsia"/>
          <w:highlight w:val="none"/>
          <w:lang w:val="en-US" w:eastAsia="zh-CN"/>
        </w:rPr>
        <w:t>启动。</w:t>
      </w:r>
    </w:p>
    <w:p>
      <w:pPr>
        <w:ind w:firstLine="560"/>
        <w:rPr>
          <w:rFonts w:hint="eastAsia"/>
          <w:highlight w:val="none"/>
          <w:lang w:eastAsia="zh-CN"/>
        </w:rPr>
      </w:pPr>
      <w:r>
        <w:rPr>
          <w:rFonts w:hint="eastAsia"/>
          <w:highlight w:val="none"/>
          <w:lang w:val="en-US" w:eastAsia="zh-CN"/>
        </w:rPr>
        <w:t>第二阶段1.5个月，完成项目</w:t>
      </w:r>
      <w:r>
        <w:rPr>
          <w:rFonts w:hint="eastAsia"/>
          <w:highlight w:val="none"/>
        </w:rPr>
        <w:t>需求</w:t>
      </w:r>
      <w:r>
        <w:rPr>
          <w:rFonts w:hint="eastAsia"/>
          <w:highlight w:val="none"/>
          <w:lang w:val="en-US" w:eastAsia="zh-CN"/>
        </w:rPr>
        <w:t>分析与方案</w:t>
      </w:r>
      <w:r>
        <w:rPr>
          <w:rFonts w:hint="eastAsia"/>
          <w:highlight w:val="none"/>
        </w:rPr>
        <w:t>设计</w:t>
      </w:r>
      <w:r>
        <w:rPr>
          <w:rFonts w:hint="eastAsia"/>
          <w:highlight w:val="none"/>
          <w:lang w:eastAsia="zh-CN"/>
        </w:rPr>
        <w:t>。</w:t>
      </w:r>
    </w:p>
    <w:p>
      <w:pPr>
        <w:ind w:firstLine="560"/>
        <w:rPr>
          <w:rFonts w:hint="eastAsia"/>
          <w:highlight w:val="none"/>
        </w:rPr>
      </w:pPr>
      <w:r>
        <w:rPr>
          <w:rFonts w:hint="eastAsia"/>
          <w:highlight w:val="none"/>
          <w:lang w:val="en-US" w:eastAsia="zh-CN"/>
        </w:rPr>
        <w:t>第三阶段5.5个月，完成系统</w:t>
      </w:r>
      <w:r>
        <w:rPr>
          <w:rFonts w:hint="eastAsia"/>
          <w:highlight w:val="none"/>
        </w:rPr>
        <w:t>开发</w:t>
      </w:r>
      <w:r>
        <w:rPr>
          <w:rFonts w:hint="eastAsia"/>
          <w:highlight w:val="none"/>
          <w:lang w:val="en-US" w:eastAsia="zh-CN"/>
        </w:rPr>
        <w:t>与</w:t>
      </w:r>
      <w:r>
        <w:rPr>
          <w:rFonts w:hint="eastAsia"/>
          <w:highlight w:val="none"/>
        </w:rPr>
        <w:t>测试。</w:t>
      </w:r>
    </w:p>
    <w:p>
      <w:pPr>
        <w:ind w:firstLine="560"/>
        <w:rPr>
          <w:rFonts w:hint="default" w:eastAsia="宋体"/>
          <w:highlight w:val="none"/>
          <w:lang w:val="en-US" w:eastAsia="zh-CN"/>
        </w:rPr>
      </w:pPr>
      <w:r>
        <w:rPr>
          <w:rFonts w:hint="eastAsia"/>
          <w:highlight w:val="none"/>
          <w:lang w:val="en-US" w:eastAsia="zh-CN"/>
        </w:rPr>
        <w:t>第四阶段1个月，完成系统试运行。</w:t>
      </w:r>
    </w:p>
    <w:p>
      <w:pPr>
        <w:ind w:firstLine="560"/>
        <w:rPr>
          <w:rStyle w:val="41"/>
          <w:highlight w:val="none"/>
        </w:rPr>
      </w:pPr>
      <w:r>
        <w:rPr>
          <w:rFonts w:hint="eastAsia"/>
          <w:highlight w:val="none"/>
        </w:rPr>
        <w:t>第</w:t>
      </w:r>
      <w:r>
        <w:rPr>
          <w:rFonts w:hint="eastAsia"/>
          <w:highlight w:val="none"/>
          <w:lang w:val="en-US" w:eastAsia="zh-CN"/>
        </w:rPr>
        <w:t>五</w:t>
      </w:r>
      <w:r>
        <w:rPr>
          <w:rFonts w:hint="eastAsia"/>
          <w:highlight w:val="none"/>
        </w:rPr>
        <w:t>阶段</w:t>
      </w:r>
      <w:r>
        <w:rPr>
          <w:rFonts w:hint="eastAsia"/>
          <w:highlight w:val="none"/>
          <w:lang w:val="en-US" w:eastAsia="zh-CN"/>
        </w:rPr>
        <w:t>0.5个月</w:t>
      </w:r>
      <w:r>
        <w:rPr>
          <w:rFonts w:hint="eastAsia"/>
          <w:highlight w:val="none"/>
        </w:rPr>
        <w:t>，完成</w:t>
      </w:r>
      <w:r>
        <w:rPr>
          <w:rFonts w:hint="eastAsia"/>
          <w:highlight w:val="none"/>
          <w:lang w:val="en-US" w:eastAsia="zh-CN"/>
        </w:rPr>
        <w:t>项目</w:t>
      </w:r>
      <w:r>
        <w:rPr>
          <w:rFonts w:hint="eastAsia"/>
          <w:highlight w:val="none"/>
        </w:rPr>
        <w:t>验收。</w:t>
      </w:r>
    </w:p>
    <w:p>
      <w:pPr>
        <w:pStyle w:val="3"/>
        <w:rPr>
          <w:rFonts w:hint="eastAsia"/>
          <w:highlight w:val="none"/>
        </w:rPr>
      </w:pPr>
      <w:bookmarkStart w:id="33" w:name="_Toc63785510"/>
      <w:r>
        <w:rPr>
          <w:rFonts w:hint="eastAsia"/>
          <w:highlight w:val="none"/>
        </w:rPr>
        <w:t>项目团队及驻场人员要求</w:t>
      </w:r>
      <w:bookmarkEnd w:id="33"/>
    </w:p>
    <w:p>
      <w:pPr>
        <w:rPr>
          <w:rFonts w:hint="eastAsia"/>
          <w:highlight w:val="none"/>
        </w:rPr>
      </w:pPr>
      <w:r>
        <w:rPr>
          <w:highlight w:val="none"/>
        </w:rPr>
        <w:t>1）投标人须具有稳定的在职技术保障力量，能够提供及时的技术支援或服务，应针对本项目提供不少于</w:t>
      </w:r>
      <w:r>
        <w:rPr>
          <w:rFonts w:hint="eastAsia"/>
          <w:highlight w:val="none"/>
        </w:rPr>
        <w:t>20</w:t>
      </w:r>
      <w:r>
        <w:rPr>
          <w:highlight w:val="none"/>
        </w:rPr>
        <w:t>人的项目服务团队（包括项目经理、产品经理、研发等），投标单位的相关服务人员需具备相应的服务能力，需提供相关证明</w:t>
      </w:r>
      <w:r>
        <w:rPr>
          <w:rFonts w:hint="eastAsia"/>
          <w:highlight w:val="none"/>
        </w:rPr>
        <w:t>（最近一个季度任意一个月依法缴纳社保费的证明）</w:t>
      </w:r>
      <w:r>
        <w:rPr>
          <w:highlight w:val="none"/>
        </w:rP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871"/>
        <w:gridCol w:w="1180"/>
        <w:gridCol w:w="1433"/>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b/>
                <w:highlight w:val="none"/>
              </w:rPr>
            </w:pPr>
            <w:r>
              <w:rPr>
                <w:rFonts w:hint="eastAsia"/>
                <w:b/>
                <w:highlight w:val="none"/>
              </w:rPr>
              <w:t>角色</w:t>
            </w:r>
          </w:p>
        </w:tc>
        <w:tc>
          <w:tcPr>
            <w:tcW w:w="2871" w:type="dxa"/>
            <w:noWrap/>
            <w:vAlign w:val="center"/>
          </w:tcPr>
          <w:p>
            <w:pPr>
              <w:widowControl/>
              <w:spacing w:line="240" w:lineRule="auto"/>
              <w:ind w:firstLine="0" w:firstLineChars="0"/>
              <w:jc w:val="center"/>
              <w:rPr>
                <w:rFonts w:hint="eastAsia"/>
                <w:b/>
                <w:highlight w:val="none"/>
              </w:rPr>
            </w:pPr>
            <w:r>
              <w:rPr>
                <w:rFonts w:hint="eastAsia"/>
                <w:b/>
                <w:highlight w:val="none"/>
              </w:rPr>
              <w:t>主要职责</w:t>
            </w:r>
          </w:p>
        </w:tc>
        <w:tc>
          <w:tcPr>
            <w:tcW w:w="1180" w:type="dxa"/>
            <w:noWrap/>
            <w:vAlign w:val="center"/>
          </w:tcPr>
          <w:p>
            <w:pPr>
              <w:widowControl/>
              <w:spacing w:line="240" w:lineRule="auto"/>
              <w:ind w:firstLine="0" w:firstLineChars="0"/>
              <w:jc w:val="center"/>
              <w:rPr>
                <w:rFonts w:hint="eastAsia"/>
                <w:b/>
                <w:highlight w:val="none"/>
              </w:rPr>
            </w:pPr>
            <w:r>
              <w:rPr>
                <w:rFonts w:hint="eastAsia"/>
                <w:b/>
                <w:highlight w:val="none"/>
              </w:rPr>
              <w:t>人员数量</w:t>
            </w:r>
          </w:p>
        </w:tc>
        <w:tc>
          <w:tcPr>
            <w:tcW w:w="1433" w:type="dxa"/>
            <w:vAlign w:val="center"/>
          </w:tcPr>
          <w:p>
            <w:pPr>
              <w:widowControl/>
              <w:spacing w:line="240" w:lineRule="auto"/>
              <w:ind w:firstLine="0" w:firstLineChars="0"/>
              <w:jc w:val="center"/>
              <w:rPr>
                <w:rFonts w:hint="eastAsia"/>
                <w:b/>
                <w:highlight w:val="none"/>
              </w:rPr>
            </w:pPr>
            <w:r>
              <w:rPr>
                <w:rFonts w:hint="eastAsia"/>
                <w:b/>
                <w:highlight w:val="none"/>
              </w:rPr>
              <w:t>人员要求</w:t>
            </w:r>
          </w:p>
        </w:tc>
        <w:tc>
          <w:tcPr>
            <w:tcW w:w="1868" w:type="dxa"/>
            <w:noWrap/>
            <w:vAlign w:val="center"/>
          </w:tcPr>
          <w:p>
            <w:pPr>
              <w:widowControl/>
              <w:spacing w:line="240" w:lineRule="auto"/>
              <w:ind w:firstLine="0" w:firstLineChars="0"/>
              <w:jc w:val="center"/>
              <w:rPr>
                <w:rFonts w:hint="eastAsia"/>
                <w:b/>
                <w:highlight w:val="none"/>
              </w:rPr>
            </w:pPr>
            <w:r>
              <w:rPr>
                <w:rFonts w:hint="eastAsia"/>
                <w:b/>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highlight w:val="none"/>
              </w:rPr>
            </w:pPr>
            <w:r>
              <w:rPr>
                <w:rFonts w:hint="eastAsia"/>
                <w:highlight w:val="none"/>
              </w:rPr>
              <w:t>项目经理</w:t>
            </w:r>
          </w:p>
        </w:tc>
        <w:tc>
          <w:tcPr>
            <w:tcW w:w="2871" w:type="dxa"/>
            <w:vAlign w:val="center"/>
          </w:tcPr>
          <w:p>
            <w:pPr>
              <w:widowControl/>
              <w:spacing w:line="240" w:lineRule="auto"/>
              <w:ind w:firstLine="0" w:firstLineChars="0"/>
              <w:jc w:val="center"/>
              <w:rPr>
                <w:rFonts w:hint="eastAsia"/>
                <w:highlight w:val="none"/>
              </w:rPr>
            </w:pPr>
            <w:r>
              <w:rPr>
                <w:rFonts w:hint="eastAsia"/>
                <w:highlight w:val="none"/>
              </w:rPr>
              <w:t>负责项目质量和进度控制</w:t>
            </w:r>
          </w:p>
        </w:tc>
        <w:tc>
          <w:tcPr>
            <w:tcW w:w="1180" w:type="dxa"/>
            <w:noWrap/>
            <w:vAlign w:val="center"/>
          </w:tcPr>
          <w:p>
            <w:pPr>
              <w:widowControl/>
              <w:spacing w:line="240" w:lineRule="auto"/>
              <w:ind w:firstLine="0" w:firstLineChars="0"/>
              <w:jc w:val="center"/>
              <w:rPr>
                <w:rFonts w:hint="eastAsia"/>
                <w:highlight w:val="none"/>
              </w:rPr>
            </w:pPr>
            <w:r>
              <w:rPr>
                <w:rFonts w:hint="eastAsia"/>
                <w:highlight w:val="none"/>
              </w:rPr>
              <w:t>1人</w:t>
            </w:r>
          </w:p>
        </w:tc>
        <w:tc>
          <w:tcPr>
            <w:tcW w:w="1433" w:type="dxa"/>
            <w:vAlign w:val="center"/>
          </w:tcPr>
          <w:p>
            <w:pPr>
              <w:widowControl/>
              <w:spacing w:line="240" w:lineRule="auto"/>
              <w:ind w:firstLine="0" w:firstLineChars="0"/>
              <w:jc w:val="center"/>
              <w:rPr>
                <w:rFonts w:hint="eastAsia"/>
                <w:highlight w:val="none"/>
              </w:rPr>
            </w:pPr>
            <w:r>
              <w:rPr>
                <w:rFonts w:hint="eastAsia"/>
                <w:highlight w:val="none"/>
              </w:rPr>
              <w:t>具备高级工程师</w:t>
            </w:r>
            <w:r>
              <w:rPr>
                <w:rFonts w:hint="eastAsia"/>
                <w:highlight w:val="none"/>
                <w:lang w:val="en-US" w:eastAsia="zh-CN"/>
              </w:rPr>
              <w:t>职称</w:t>
            </w:r>
            <w:r>
              <w:rPr>
                <w:rFonts w:hint="eastAsia"/>
                <w:highlight w:val="none"/>
                <w:lang w:eastAsia="zh-CN"/>
              </w:rPr>
              <w:t>（</w:t>
            </w:r>
            <w:r>
              <w:rPr>
                <w:rFonts w:hint="eastAsia"/>
                <w:highlight w:val="none"/>
              </w:rPr>
              <w:t>信息技术</w:t>
            </w:r>
            <w:r>
              <w:rPr>
                <w:rFonts w:hint="eastAsia"/>
                <w:highlight w:val="none"/>
                <w:lang w:eastAsia="zh-CN"/>
              </w:rPr>
              <w:t>类</w:t>
            </w:r>
            <w:r>
              <w:rPr>
                <w:rFonts w:hint="eastAsia"/>
                <w:highlight w:val="none"/>
              </w:rPr>
              <w:t>或测绘地理信息</w:t>
            </w:r>
            <w:r>
              <w:rPr>
                <w:rFonts w:hint="eastAsia"/>
                <w:highlight w:val="none"/>
                <w:lang w:eastAsia="zh-CN"/>
              </w:rPr>
              <w:t>类</w:t>
            </w:r>
            <w:r>
              <w:rPr>
                <w:rFonts w:hint="eastAsia"/>
                <w:highlight w:val="none"/>
              </w:rPr>
              <w:t>专业</w:t>
            </w:r>
            <w:r>
              <w:rPr>
                <w:rFonts w:hint="eastAsia"/>
                <w:highlight w:val="none"/>
                <w:lang w:eastAsia="zh-CN"/>
              </w:rPr>
              <w:t>）</w:t>
            </w:r>
            <w:r>
              <w:rPr>
                <w:rFonts w:hint="eastAsia"/>
                <w:highlight w:val="none"/>
                <w:lang w:val="en-US" w:eastAsia="zh-CN"/>
              </w:rPr>
              <w:t>，本科以上学历</w:t>
            </w:r>
          </w:p>
        </w:tc>
        <w:tc>
          <w:tcPr>
            <w:tcW w:w="1868" w:type="dxa"/>
            <w:vMerge w:val="restart"/>
            <w:noWrap/>
            <w:vAlign w:val="center"/>
          </w:tcPr>
          <w:p>
            <w:pPr>
              <w:widowControl/>
              <w:spacing w:line="240" w:lineRule="auto"/>
              <w:ind w:firstLine="0" w:firstLineChars="0"/>
              <w:jc w:val="center"/>
              <w:rPr>
                <w:rFonts w:hint="eastAsia"/>
                <w:highlight w:val="none"/>
              </w:rPr>
            </w:pPr>
            <w:r>
              <w:rPr>
                <w:rFonts w:hint="eastAsia"/>
                <w:highlight w:val="none"/>
                <w:lang w:val="en-US" w:eastAsia="zh-CN"/>
              </w:rPr>
              <w:t>至少安排1名人员提供连续不少于30天的现场驻场服务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highlight w:val="none"/>
              </w:rPr>
            </w:pPr>
            <w:r>
              <w:rPr>
                <w:rFonts w:hint="eastAsia"/>
                <w:highlight w:val="none"/>
              </w:rPr>
              <w:t>产品经理</w:t>
            </w:r>
          </w:p>
        </w:tc>
        <w:tc>
          <w:tcPr>
            <w:tcW w:w="2871" w:type="dxa"/>
            <w:vAlign w:val="center"/>
          </w:tcPr>
          <w:p>
            <w:pPr>
              <w:widowControl/>
              <w:spacing w:line="240" w:lineRule="auto"/>
              <w:ind w:firstLine="0" w:firstLineChars="0"/>
              <w:jc w:val="center"/>
              <w:rPr>
                <w:rFonts w:hint="eastAsia"/>
                <w:highlight w:val="none"/>
              </w:rPr>
            </w:pPr>
            <w:r>
              <w:rPr>
                <w:rFonts w:hint="eastAsia"/>
                <w:highlight w:val="none"/>
              </w:rPr>
              <w:t>负责项目需求评估与产品设计</w:t>
            </w:r>
          </w:p>
        </w:tc>
        <w:tc>
          <w:tcPr>
            <w:tcW w:w="1180" w:type="dxa"/>
            <w:noWrap/>
            <w:vAlign w:val="center"/>
          </w:tcPr>
          <w:p>
            <w:pPr>
              <w:widowControl/>
              <w:spacing w:line="240" w:lineRule="auto"/>
              <w:ind w:firstLine="0" w:firstLineChars="0"/>
              <w:jc w:val="center"/>
              <w:rPr>
                <w:rFonts w:hint="eastAsia"/>
                <w:highlight w:val="none"/>
              </w:rPr>
            </w:pPr>
            <w:r>
              <w:rPr>
                <w:rFonts w:hint="eastAsia"/>
                <w:highlight w:val="none"/>
              </w:rPr>
              <w:t>2人</w:t>
            </w:r>
          </w:p>
        </w:tc>
        <w:tc>
          <w:tcPr>
            <w:tcW w:w="1433" w:type="dxa"/>
            <w:vAlign w:val="center"/>
          </w:tcPr>
          <w:p>
            <w:pPr>
              <w:widowControl/>
              <w:spacing w:line="240" w:lineRule="auto"/>
              <w:ind w:firstLine="0" w:firstLineChars="0"/>
              <w:jc w:val="center"/>
              <w:rPr>
                <w:rFonts w:hint="default" w:eastAsia="宋体"/>
                <w:highlight w:val="none"/>
                <w:lang w:val="en-US" w:eastAsia="zh-CN"/>
              </w:rPr>
            </w:pPr>
            <w:r>
              <w:rPr>
                <w:rFonts w:hint="eastAsia"/>
                <w:highlight w:val="none"/>
                <w:lang w:val="en-US" w:eastAsia="zh-CN"/>
              </w:rPr>
              <w:t>具备高级工程师</w:t>
            </w:r>
            <w:r>
              <w:rPr>
                <w:rFonts w:hint="eastAsia"/>
                <w:lang w:val="en-US" w:eastAsia="zh-CN"/>
              </w:rPr>
              <w:t>职称</w:t>
            </w:r>
            <w:r>
              <w:rPr>
                <w:rFonts w:hint="eastAsia"/>
                <w:highlight w:val="none"/>
                <w:lang w:eastAsia="zh-CN"/>
              </w:rPr>
              <w:t>（</w:t>
            </w:r>
            <w:r>
              <w:rPr>
                <w:rFonts w:hint="eastAsia"/>
                <w:highlight w:val="none"/>
              </w:rPr>
              <w:t>信息技术</w:t>
            </w:r>
            <w:r>
              <w:rPr>
                <w:rFonts w:hint="eastAsia"/>
                <w:highlight w:val="none"/>
                <w:lang w:eastAsia="zh-CN"/>
              </w:rPr>
              <w:t>类</w:t>
            </w:r>
            <w:r>
              <w:rPr>
                <w:rFonts w:hint="eastAsia"/>
                <w:highlight w:val="none"/>
              </w:rPr>
              <w:t>或测绘地理信息</w:t>
            </w:r>
            <w:r>
              <w:rPr>
                <w:rFonts w:hint="eastAsia"/>
                <w:highlight w:val="none"/>
                <w:lang w:eastAsia="zh-CN"/>
              </w:rPr>
              <w:t>类</w:t>
            </w:r>
            <w:r>
              <w:rPr>
                <w:rFonts w:hint="eastAsia"/>
                <w:highlight w:val="none"/>
              </w:rPr>
              <w:t>专业</w:t>
            </w:r>
            <w:r>
              <w:rPr>
                <w:rFonts w:hint="eastAsia"/>
                <w:highlight w:val="none"/>
                <w:lang w:eastAsia="zh-CN"/>
              </w:rPr>
              <w:t>）</w:t>
            </w:r>
            <w:bookmarkStart w:id="38" w:name="_GoBack"/>
            <w:bookmarkEnd w:id="38"/>
            <w:r>
              <w:rPr>
                <w:rFonts w:hint="eastAsia"/>
                <w:lang w:val="en-US" w:eastAsia="zh-CN"/>
              </w:rPr>
              <w:t>，本科以上学历</w:t>
            </w:r>
          </w:p>
        </w:tc>
        <w:tc>
          <w:tcPr>
            <w:tcW w:w="1868" w:type="dxa"/>
            <w:vMerge w:val="continue"/>
            <w:noWrap/>
            <w:vAlign w:val="center"/>
          </w:tcPr>
          <w:p>
            <w:pPr>
              <w:widowControl/>
              <w:spacing w:line="240" w:lineRule="auto"/>
              <w:ind w:firstLine="0" w:firstLineChars="0"/>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highlight w:val="none"/>
              </w:rPr>
            </w:pPr>
            <w:r>
              <w:rPr>
                <w:rFonts w:hint="eastAsia"/>
                <w:highlight w:val="none"/>
              </w:rPr>
              <w:t>研发</w:t>
            </w:r>
          </w:p>
        </w:tc>
        <w:tc>
          <w:tcPr>
            <w:tcW w:w="2871" w:type="dxa"/>
            <w:noWrap/>
            <w:vAlign w:val="center"/>
          </w:tcPr>
          <w:p>
            <w:pPr>
              <w:widowControl/>
              <w:spacing w:line="240" w:lineRule="auto"/>
              <w:ind w:firstLine="0" w:firstLineChars="0"/>
              <w:jc w:val="center"/>
              <w:rPr>
                <w:rFonts w:hint="eastAsia"/>
                <w:highlight w:val="none"/>
              </w:rPr>
            </w:pPr>
            <w:r>
              <w:rPr>
                <w:rFonts w:hint="eastAsia"/>
                <w:highlight w:val="none"/>
              </w:rPr>
              <w:t>负责项目具体开发与实施</w:t>
            </w:r>
          </w:p>
        </w:tc>
        <w:tc>
          <w:tcPr>
            <w:tcW w:w="1180" w:type="dxa"/>
            <w:noWrap/>
            <w:vAlign w:val="center"/>
          </w:tcPr>
          <w:p>
            <w:pPr>
              <w:widowControl/>
              <w:spacing w:line="240" w:lineRule="auto"/>
              <w:ind w:firstLine="0" w:firstLineChars="0"/>
              <w:jc w:val="center"/>
              <w:rPr>
                <w:rFonts w:hint="eastAsia"/>
                <w:highlight w:val="none"/>
              </w:rPr>
            </w:pPr>
            <w:r>
              <w:rPr>
                <w:rFonts w:hint="eastAsia"/>
                <w:highlight w:val="none"/>
              </w:rPr>
              <w:t>17人</w:t>
            </w:r>
          </w:p>
        </w:tc>
        <w:tc>
          <w:tcPr>
            <w:tcW w:w="1433" w:type="dxa"/>
            <w:vAlign w:val="center"/>
          </w:tcPr>
          <w:p>
            <w:pPr>
              <w:widowControl/>
              <w:spacing w:line="240" w:lineRule="auto"/>
              <w:ind w:firstLine="0" w:firstLineChars="0"/>
              <w:jc w:val="center"/>
              <w:rPr>
                <w:rFonts w:hint="default" w:eastAsia="宋体"/>
                <w:highlight w:val="none"/>
                <w:lang w:val="en-US" w:eastAsia="zh-CN"/>
              </w:rPr>
            </w:pPr>
            <w:r>
              <w:rPr>
                <w:rFonts w:hint="eastAsia"/>
                <w:highlight w:val="none"/>
                <w:lang w:val="en-US" w:eastAsia="zh-CN"/>
              </w:rPr>
              <w:t>具有相关经验</w:t>
            </w:r>
          </w:p>
        </w:tc>
        <w:tc>
          <w:tcPr>
            <w:tcW w:w="1868" w:type="dxa"/>
            <w:vMerge w:val="continue"/>
            <w:noWrap/>
            <w:vAlign w:val="center"/>
          </w:tcPr>
          <w:p>
            <w:pPr>
              <w:widowControl/>
              <w:spacing w:line="240" w:lineRule="auto"/>
              <w:ind w:firstLine="0" w:firstLineChars="0"/>
              <w:jc w:val="center"/>
              <w:rPr>
                <w:rFonts w:hint="eastAsia"/>
                <w:highlight w:val="none"/>
              </w:rPr>
            </w:pPr>
          </w:p>
        </w:tc>
      </w:tr>
    </w:tbl>
    <w:p>
      <w:pPr>
        <w:rPr>
          <w:rFonts w:hint="eastAsia"/>
          <w:highlight w:val="none"/>
        </w:rPr>
      </w:pPr>
      <w:r>
        <w:rPr>
          <w:highlight w:val="none"/>
        </w:rPr>
        <w:t>2）投标人应针对本项目提供不少于</w:t>
      </w:r>
      <w:r>
        <w:rPr>
          <w:rFonts w:hint="eastAsia"/>
          <w:highlight w:val="none"/>
        </w:rPr>
        <w:t>5</w:t>
      </w:r>
      <w:r>
        <w:rPr>
          <w:highlight w:val="none"/>
        </w:rPr>
        <w:t>人的质保期间支撑团队（其中</w:t>
      </w:r>
      <w:r>
        <w:rPr>
          <w:rFonts w:hint="eastAsia"/>
          <w:highlight w:val="none"/>
          <w:lang w:val="en-US" w:eastAsia="zh-CN"/>
        </w:rPr>
        <w:t>项目</w:t>
      </w:r>
      <w:r>
        <w:rPr>
          <w:highlight w:val="none"/>
        </w:rPr>
        <w:t>经理</w:t>
      </w:r>
      <w:r>
        <w:rPr>
          <w:rFonts w:hint="eastAsia"/>
          <w:highlight w:val="none"/>
        </w:rPr>
        <w:t>1</w:t>
      </w:r>
      <w:r>
        <w:rPr>
          <w:highlight w:val="none"/>
        </w:rPr>
        <w:t>人，产品经理</w:t>
      </w:r>
      <w:r>
        <w:rPr>
          <w:rFonts w:hint="eastAsia"/>
          <w:highlight w:val="none"/>
        </w:rPr>
        <w:t>1</w:t>
      </w:r>
      <w:r>
        <w:rPr>
          <w:highlight w:val="none"/>
        </w:rPr>
        <w:t>人，技术工程师不少于</w:t>
      </w:r>
      <w:r>
        <w:rPr>
          <w:rFonts w:hint="eastAsia"/>
          <w:highlight w:val="none"/>
        </w:rPr>
        <w:t>3</w:t>
      </w:r>
      <w:r>
        <w:rPr>
          <w:highlight w:val="none"/>
        </w:rPr>
        <w:t>人）；投标人的相关服务人员需具备相应的服务能力，需提供相关证明</w:t>
      </w:r>
      <w:r>
        <w:rPr>
          <w:rFonts w:hint="eastAsia"/>
          <w:highlight w:val="none"/>
        </w:rPr>
        <w:t>（最近一个季度任意一个月依法缴纳社保费的证明）</w:t>
      </w:r>
      <w:r>
        <w:rPr>
          <w:highlight w:val="none"/>
        </w:rP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92"/>
        <w:gridCol w:w="1180"/>
        <w:gridCol w:w="22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角色</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主要职责</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人员数量</w:t>
            </w:r>
          </w:p>
        </w:tc>
        <w:tc>
          <w:tcPr>
            <w:tcW w:w="0" w:type="auto"/>
            <w:vAlign w:val="center"/>
          </w:tcPr>
          <w:p>
            <w:pPr>
              <w:widowControl/>
              <w:spacing w:line="240" w:lineRule="auto"/>
              <w:ind w:firstLine="0" w:firstLineChars="0"/>
              <w:jc w:val="center"/>
              <w:rPr>
                <w:rFonts w:hint="eastAsia"/>
                <w:b/>
                <w:highlight w:val="none"/>
              </w:rPr>
            </w:pPr>
            <w:r>
              <w:rPr>
                <w:rFonts w:hint="eastAsia"/>
                <w:b/>
                <w:highlight w:val="none"/>
              </w:rPr>
              <w:t>人员要求</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lang w:val="en-US" w:eastAsia="zh-CN"/>
              </w:rPr>
              <w:t>项目</w:t>
            </w:r>
            <w:r>
              <w:rPr>
                <w:rFonts w:hint="eastAsia"/>
                <w:highlight w:val="none"/>
              </w:rPr>
              <w:t>经理</w:t>
            </w:r>
          </w:p>
        </w:tc>
        <w:tc>
          <w:tcPr>
            <w:tcW w:w="0" w:type="auto"/>
            <w:vAlign w:val="center"/>
          </w:tcPr>
          <w:p>
            <w:pPr>
              <w:widowControl/>
              <w:spacing w:line="240" w:lineRule="auto"/>
              <w:ind w:firstLine="0" w:firstLineChars="0"/>
              <w:jc w:val="center"/>
              <w:rPr>
                <w:rFonts w:hint="eastAsia"/>
                <w:highlight w:val="none"/>
              </w:rPr>
            </w:pPr>
            <w:r>
              <w:rPr>
                <w:rFonts w:hint="eastAsia"/>
                <w:highlight w:val="none"/>
              </w:rPr>
              <w:t>负责项目质量和进度控制</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1人</w:t>
            </w:r>
          </w:p>
        </w:tc>
        <w:tc>
          <w:tcPr>
            <w:tcW w:w="0" w:type="auto"/>
            <w:vAlign w:val="center"/>
          </w:tcPr>
          <w:p>
            <w:pPr>
              <w:widowControl/>
              <w:spacing w:line="240" w:lineRule="auto"/>
              <w:ind w:firstLine="0" w:firstLineChars="0"/>
              <w:jc w:val="center"/>
              <w:rPr>
                <w:rFonts w:hint="eastAsia"/>
                <w:highlight w:val="none"/>
              </w:rPr>
            </w:pPr>
            <w:r>
              <w:rPr>
                <w:rFonts w:hint="eastAsia"/>
                <w:highlight w:val="none"/>
              </w:rPr>
              <w:t>具备高级工程师</w:t>
            </w:r>
            <w:r>
              <w:rPr>
                <w:rFonts w:hint="eastAsia"/>
                <w:highlight w:val="none"/>
                <w:lang w:eastAsia="zh-CN"/>
              </w:rPr>
              <w:t>（</w:t>
            </w:r>
            <w:r>
              <w:rPr>
                <w:rFonts w:hint="eastAsia"/>
                <w:highlight w:val="none"/>
              </w:rPr>
              <w:t>信息技术</w:t>
            </w:r>
            <w:r>
              <w:rPr>
                <w:rFonts w:hint="eastAsia"/>
                <w:highlight w:val="none"/>
                <w:lang w:eastAsia="zh-CN"/>
              </w:rPr>
              <w:t>类</w:t>
            </w:r>
            <w:r>
              <w:rPr>
                <w:rFonts w:hint="eastAsia"/>
                <w:highlight w:val="none"/>
              </w:rPr>
              <w:t>或测绘地理信息</w:t>
            </w:r>
            <w:r>
              <w:rPr>
                <w:rFonts w:hint="eastAsia"/>
                <w:highlight w:val="none"/>
                <w:lang w:eastAsia="zh-CN"/>
              </w:rPr>
              <w:t>类</w:t>
            </w:r>
            <w:r>
              <w:rPr>
                <w:rFonts w:hint="eastAsia"/>
                <w:highlight w:val="none"/>
              </w:rPr>
              <w:t>专业</w:t>
            </w:r>
            <w:r>
              <w:rPr>
                <w:rFonts w:hint="eastAsia"/>
                <w:highlight w:val="none"/>
                <w:lang w:eastAsia="zh-CN"/>
              </w:rPr>
              <w:t>）</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产品经理</w:t>
            </w:r>
          </w:p>
        </w:tc>
        <w:tc>
          <w:tcPr>
            <w:tcW w:w="0" w:type="auto"/>
            <w:vAlign w:val="center"/>
          </w:tcPr>
          <w:p>
            <w:pPr>
              <w:widowControl/>
              <w:spacing w:line="240" w:lineRule="auto"/>
              <w:ind w:firstLine="0" w:firstLineChars="0"/>
              <w:jc w:val="center"/>
              <w:rPr>
                <w:rFonts w:hint="eastAsia"/>
                <w:highlight w:val="none"/>
              </w:rPr>
            </w:pPr>
            <w:r>
              <w:rPr>
                <w:rFonts w:hint="eastAsia"/>
                <w:highlight w:val="none"/>
              </w:rPr>
              <w:t>负责项目需求评估与产品设计</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1人</w:t>
            </w:r>
          </w:p>
        </w:tc>
        <w:tc>
          <w:tcPr>
            <w:tcW w:w="0" w:type="auto"/>
            <w:shd w:val="clear" w:color="auto" w:fill="auto"/>
            <w:vAlign w:val="center"/>
          </w:tcPr>
          <w:p>
            <w:pPr>
              <w:widowControl/>
              <w:spacing w:line="240" w:lineRule="auto"/>
              <w:ind w:firstLine="0" w:firstLineChars="0"/>
              <w:jc w:val="center"/>
              <w:rPr>
                <w:rFonts w:hint="eastAsia" w:ascii="宋体" w:hAnsi="宋体" w:eastAsia="宋体" w:cs="Times New Roman"/>
                <w:kern w:val="2"/>
                <w:sz w:val="24"/>
                <w:szCs w:val="24"/>
                <w:highlight w:val="none"/>
                <w:lang w:val="en-US" w:eastAsia="zh-CN" w:bidi="ar-SA"/>
              </w:rPr>
            </w:pPr>
            <w:r>
              <w:rPr>
                <w:rFonts w:hint="eastAsia"/>
                <w:highlight w:val="none"/>
                <w:lang w:val="en-US" w:eastAsia="zh-CN"/>
              </w:rPr>
              <w:t>高级工程师</w:t>
            </w:r>
            <w:r>
              <w:rPr>
                <w:rFonts w:hint="eastAsia"/>
                <w:highlight w:val="none"/>
                <w:lang w:eastAsia="zh-CN"/>
              </w:rPr>
              <w:t>（</w:t>
            </w:r>
            <w:r>
              <w:rPr>
                <w:rFonts w:hint="eastAsia"/>
                <w:highlight w:val="none"/>
              </w:rPr>
              <w:t>信息技术</w:t>
            </w:r>
            <w:r>
              <w:rPr>
                <w:rFonts w:hint="eastAsia"/>
                <w:highlight w:val="none"/>
                <w:lang w:eastAsia="zh-CN"/>
              </w:rPr>
              <w:t>类</w:t>
            </w:r>
            <w:r>
              <w:rPr>
                <w:rFonts w:hint="eastAsia"/>
                <w:highlight w:val="none"/>
              </w:rPr>
              <w:t>或测绘地理信息</w:t>
            </w:r>
            <w:r>
              <w:rPr>
                <w:rFonts w:hint="eastAsia"/>
                <w:highlight w:val="none"/>
                <w:lang w:eastAsia="zh-CN"/>
              </w:rPr>
              <w:t>类</w:t>
            </w:r>
            <w:r>
              <w:rPr>
                <w:rFonts w:hint="eastAsia"/>
                <w:highlight w:val="none"/>
              </w:rPr>
              <w:t>专业</w:t>
            </w:r>
            <w:r>
              <w:rPr>
                <w:rFonts w:hint="eastAsia"/>
                <w:highlight w:val="none"/>
                <w:lang w:eastAsia="zh-CN"/>
              </w:rPr>
              <w:t>）</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技术工程师</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负责项目运行维护</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3人</w:t>
            </w:r>
          </w:p>
        </w:tc>
        <w:tc>
          <w:tcPr>
            <w:tcW w:w="0" w:type="auto"/>
            <w:shd w:val="clear" w:color="auto" w:fill="auto"/>
            <w:vAlign w:val="center"/>
          </w:tcPr>
          <w:p>
            <w:pPr>
              <w:widowControl/>
              <w:spacing w:line="240" w:lineRule="auto"/>
              <w:ind w:firstLine="0" w:firstLineChars="0"/>
              <w:jc w:val="center"/>
              <w:rPr>
                <w:rFonts w:hint="eastAsia" w:ascii="宋体" w:hAnsi="宋体" w:eastAsia="宋体" w:cs="Times New Roman"/>
                <w:kern w:val="2"/>
                <w:sz w:val="24"/>
                <w:szCs w:val="24"/>
                <w:highlight w:val="none"/>
                <w:lang w:val="en-US" w:eastAsia="zh-CN" w:bidi="ar-SA"/>
              </w:rPr>
            </w:pPr>
            <w:r>
              <w:rPr>
                <w:rFonts w:hint="eastAsia"/>
                <w:highlight w:val="none"/>
                <w:lang w:val="en-US" w:eastAsia="zh-CN"/>
              </w:rPr>
              <w:t>具有相关经验</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不驻场</w:t>
            </w:r>
          </w:p>
        </w:tc>
      </w:tr>
    </w:tbl>
    <w:p>
      <w:pPr>
        <w:pStyle w:val="3"/>
        <w:rPr>
          <w:rFonts w:hint="eastAsia"/>
          <w:highlight w:val="none"/>
        </w:rPr>
      </w:pPr>
      <w:bookmarkStart w:id="34" w:name="_Toc63785511"/>
      <w:r>
        <w:rPr>
          <w:highlight w:val="none"/>
        </w:rPr>
        <w:t>等级保护要求</w:t>
      </w:r>
      <w:bookmarkEnd w:id="34"/>
    </w:p>
    <w:p>
      <w:pPr>
        <w:rPr>
          <w:rFonts w:hint="eastAsia"/>
          <w:highlight w:val="none"/>
        </w:rPr>
      </w:pPr>
      <w:r>
        <w:rPr>
          <w:highlight w:val="none"/>
        </w:rPr>
        <w:t>本项目等级保护要求：</w:t>
      </w:r>
      <w:r>
        <w:rPr>
          <w:rFonts w:hint="eastAsia"/>
          <w:highlight w:val="none"/>
        </w:rPr>
        <w:t>等保二级。</w:t>
      </w:r>
    </w:p>
    <w:p>
      <w:pPr>
        <w:pStyle w:val="3"/>
        <w:rPr>
          <w:rFonts w:hint="eastAsia"/>
          <w:highlight w:val="none"/>
        </w:rPr>
      </w:pPr>
      <w:r>
        <w:rPr>
          <w:rFonts w:hint="eastAsia"/>
          <w:highlight w:val="none"/>
        </w:rPr>
        <w:t>商</w:t>
      </w:r>
      <w:r>
        <w:rPr>
          <w:rFonts w:hint="eastAsia"/>
          <w:highlight w:val="none"/>
          <w:lang w:val="en-US" w:eastAsia="zh-CN"/>
        </w:rPr>
        <w:t>用</w:t>
      </w:r>
      <w:r>
        <w:rPr>
          <w:rFonts w:hint="eastAsia"/>
          <w:highlight w:val="none"/>
        </w:rPr>
        <w:t>密码应用需求</w:t>
      </w:r>
    </w:p>
    <w:p>
      <w:pPr>
        <w:rPr>
          <w:rFonts w:hint="eastAsia"/>
          <w:highlight w:val="none"/>
        </w:rPr>
      </w:pPr>
      <w:r>
        <w:rPr>
          <w:rFonts w:hint="eastAsia"/>
          <w:highlight w:val="none"/>
        </w:rPr>
        <w:t>系统密码应用安全要求等级与等级保护定级一致，即第二级。</w:t>
      </w:r>
    </w:p>
    <w:p>
      <w:pPr>
        <w:pStyle w:val="3"/>
        <w:rPr>
          <w:rFonts w:hint="eastAsia"/>
          <w:highlight w:val="none"/>
        </w:rPr>
      </w:pPr>
      <w:bookmarkStart w:id="35" w:name="_Toc63785512"/>
      <w:r>
        <w:rPr>
          <w:rFonts w:hint="eastAsia"/>
          <w:highlight w:val="none"/>
        </w:rPr>
        <w:t>技术文件要求</w:t>
      </w:r>
    </w:p>
    <w:p>
      <w:pPr>
        <w:rPr>
          <w:rFonts w:hint="eastAsia"/>
          <w:highlight w:val="none"/>
        </w:rPr>
      </w:pPr>
      <w:r>
        <w:rPr>
          <w:rFonts w:hint="eastAsia"/>
          <w:highlight w:val="none"/>
        </w:rPr>
        <w:t>投标人提供的书面技术资料应能确保系统正常运行所需的管理、运营及维护有关的全套文件。技术文件应该全面、完整、详细。投标人提供的技术文件至少应包括：</w:t>
      </w:r>
    </w:p>
    <w:p>
      <w:pPr>
        <w:rPr>
          <w:rFonts w:hint="eastAsia"/>
          <w:highlight w:val="none"/>
        </w:rPr>
      </w:pPr>
      <w:r>
        <w:rPr>
          <w:rFonts w:hint="eastAsia"/>
          <w:highlight w:val="none"/>
        </w:rPr>
        <w:t>－</w:t>
      </w:r>
      <w:r>
        <w:rPr>
          <w:highlight w:val="none"/>
        </w:rPr>
        <w:t xml:space="preserve"> 系统说明文件； </w:t>
      </w:r>
    </w:p>
    <w:p>
      <w:pPr>
        <w:rPr>
          <w:rFonts w:hint="eastAsia"/>
          <w:highlight w:val="none"/>
        </w:rPr>
      </w:pPr>
      <w:r>
        <w:rPr>
          <w:rFonts w:hint="eastAsia"/>
          <w:highlight w:val="none"/>
        </w:rPr>
        <w:t>－</w:t>
      </w:r>
      <w:r>
        <w:rPr>
          <w:highlight w:val="none"/>
        </w:rPr>
        <w:t xml:space="preserve"> 技术手册(安装、测试、操作、维护、故障排除等)； </w:t>
      </w:r>
    </w:p>
    <w:p>
      <w:pPr>
        <w:rPr>
          <w:rFonts w:hint="eastAsia"/>
          <w:highlight w:val="none"/>
        </w:rPr>
      </w:pPr>
      <w:r>
        <w:rPr>
          <w:rFonts w:hint="eastAsia"/>
          <w:highlight w:val="none"/>
        </w:rPr>
        <w:t>－</w:t>
      </w:r>
      <w:r>
        <w:rPr>
          <w:highlight w:val="none"/>
        </w:rPr>
        <w:t xml:space="preserve"> 项目文档，应该包括：</w:t>
      </w:r>
    </w:p>
    <w:p>
      <w:pPr>
        <w:ind w:left="360"/>
        <w:rPr>
          <w:rFonts w:hint="eastAsia"/>
          <w:highlight w:val="none"/>
        </w:rPr>
      </w:pPr>
      <w:r>
        <w:rPr>
          <w:highlight w:val="none"/>
        </w:rPr>
        <w:t>(1)软件需求说明书</w:t>
      </w:r>
    </w:p>
    <w:p>
      <w:pPr>
        <w:ind w:left="360"/>
        <w:rPr>
          <w:rFonts w:hint="eastAsia"/>
          <w:highlight w:val="none"/>
        </w:rPr>
      </w:pPr>
      <w:r>
        <w:rPr>
          <w:highlight w:val="none"/>
        </w:rPr>
        <w:t>(2)</w:t>
      </w:r>
      <w:r>
        <w:rPr>
          <w:highlight w:val="none"/>
        </w:rPr>
        <w:tab/>
      </w:r>
      <w:r>
        <w:rPr>
          <w:highlight w:val="none"/>
        </w:rPr>
        <w:t>系统总体设计说明书</w:t>
      </w:r>
    </w:p>
    <w:p>
      <w:pPr>
        <w:ind w:left="360"/>
        <w:rPr>
          <w:rFonts w:hint="eastAsia"/>
          <w:highlight w:val="none"/>
        </w:rPr>
      </w:pPr>
      <w:r>
        <w:rPr>
          <w:highlight w:val="none"/>
        </w:rPr>
        <w:t>(3)</w:t>
      </w:r>
      <w:r>
        <w:rPr>
          <w:highlight w:val="none"/>
        </w:rPr>
        <w:tab/>
      </w:r>
      <w:r>
        <w:rPr>
          <w:highlight w:val="none"/>
        </w:rPr>
        <w:t>应用软件功能清单</w:t>
      </w:r>
    </w:p>
    <w:p>
      <w:pPr>
        <w:rPr>
          <w:rFonts w:hint="eastAsia"/>
          <w:highlight w:val="none"/>
        </w:rPr>
      </w:pPr>
      <w:r>
        <w:rPr>
          <w:rFonts w:hint="eastAsia"/>
          <w:highlight w:val="none"/>
        </w:rPr>
        <w:t>提供全套技术文件纸介质</w:t>
      </w:r>
      <w:r>
        <w:rPr>
          <w:highlight w:val="none"/>
        </w:rPr>
        <w:t>3套以及电子文件1套。</w:t>
      </w:r>
    </w:p>
    <w:bookmarkEnd w:id="35"/>
    <w:p>
      <w:pPr>
        <w:pStyle w:val="2"/>
        <w:rPr>
          <w:rFonts w:hint="eastAsia"/>
          <w:highlight w:val="none"/>
        </w:rPr>
      </w:pPr>
      <w:bookmarkStart w:id="36" w:name="_Toc63785513"/>
      <w:r>
        <w:rPr>
          <w:rFonts w:hint="eastAsia"/>
          <w:highlight w:val="none"/>
        </w:rPr>
        <w:t>关于转让和分包的规定</w:t>
      </w:r>
    </w:p>
    <w:p>
      <w:pPr>
        <w:spacing w:line="560" w:lineRule="exact"/>
        <w:ind w:firstLine="562"/>
        <w:rPr>
          <w:rFonts w:hint="eastAsia" w:ascii="Times New Roman" w:hAnsi="仿宋" w:eastAsia="仿宋_GB2312"/>
          <w:b w:val="0"/>
          <w:bCs/>
          <w:sz w:val="28"/>
          <w:szCs w:val="28"/>
          <w:highlight w:val="none"/>
        </w:rPr>
      </w:pPr>
      <w:r>
        <w:rPr>
          <w:rFonts w:hint="eastAsia" w:ascii="Times New Roman" w:hAnsi="仿宋" w:eastAsia="仿宋_GB2312"/>
          <w:b w:val="0"/>
          <w:bCs/>
          <w:sz w:val="28"/>
          <w:szCs w:val="28"/>
          <w:highlight w:val="none"/>
        </w:rPr>
        <w:t>项目不得转让，项目主体部分不可分包。</w:t>
      </w:r>
    </w:p>
    <w:p>
      <w:pPr>
        <w:spacing w:line="560" w:lineRule="exact"/>
        <w:ind w:firstLine="562"/>
        <w:rPr>
          <w:rFonts w:ascii="Times New Roman" w:hAnsi="仿宋" w:eastAsia="仿宋_GB2312"/>
          <w:b w:val="0"/>
          <w:bCs/>
          <w:sz w:val="28"/>
          <w:szCs w:val="28"/>
          <w:highlight w:val="none"/>
        </w:rPr>
      </w:pPr>
      <w:r>
        <w:rPr>
          <w:rFonts w:hint="eastAsia" w:ascii="Times New Roman" w:hAnsi="仿宋" w:eastAsia="仿宋_GB2312"/>
          <w:b w:val="0"/>
          <w:bCs/>
          <w:sz w:val="28"/>
          <w:szCs w:val="28"/>
          <w:highlight w:val="none"/>
        </w:rPr>
        <w:t>本项目非主体部分耕地种植用途监测管理子系统的部分建设内容可分包。可分包金额限价为875000元。详细可分包功能清单如下：</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1"/>
        <w:gridCol w:w="6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62" w:type="dxa"/>
            <w:vAlign w:val="center"/>
          </w:tcPr>
          <w:p>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序号</w:t>
            </w:r>
          </w:p>
        </w:tc>
        <w:tc>
          <w:tcPr>
            <w:tcW w:w="851" w:type="dxa"/>
            <w:vAlign w:val="center"/>
          </w:tcPr>
          <w:p>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子系统名称</w:t>
            </w:r>
          </w:p>
        </w:tc>
        <w:tc>
          <w:tcPr>
            <w:tcW w:w="6889" w:type="dxa"/>
            <w:vAlign w:val="center"/>
          </w:tcPr>
          <w:p>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功能名称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w:t>
            </w:r>
          </w:p>
        </w:tc>
        <w:tc>
          <w:tcPr>
            <w:tcW w:w="851" w:type="dxa"/>
            <w:vMerge w:val="restart"/>
            <w:vAlign w:val="center"/>
          </w:tcPr>
          <w:p>
            <w:pPr>
              <w:widowControl/>
              <w:spacing w:line="240" w:lineRule="auto"/>
              <w:ind w:firstLine="0" w:firstLineChars="0"/>
              <w:jc w:val="left"/>
              <w:rPr>
                <w:rFonts w:hint="eastAsia" w:cs="宋体"/>
                <w:color w:val="000000"/>
                <w:kern w:val="0"/>
                <w:sz w:val="21"/>
                <w:szCs w:val="21"/>
                <w:highlight w:val="none"/>
              </w:rPr>
            </w:pPr>
            <w:r>
              <w:rPr>
                <w:rFonts w:cs="宋体"/>
                <w:color w:val="000000"/>
                <w:kern w:val="0"/>
                <w:sz w:val="21"/>
                <w:szCs w:val="21"/>
                <w:highlight w:val="none"/>
              </w:rPr>
              <w:t>耕地种植用途监测管理</w:t>
            </w: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耕地种植用途监管-耕地种植用途监管数据分析与管理-检查数据总览-耕地种植用途任务核查进度和耕地种植用途整治完成情况分析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耕地种植用途监管-耕地种植用途监管数据分析与管理-检查数据总览-粮食蔬菜种植比例统计分析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耕地种植用途监管-耕地种植用途监管数据分析与管理-检查数据总览-耕地种植提升比例分析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耕地种植用途监管-耕地种植用途监管数据分析与管理-检查数据总览-核查问题类型统计分析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耕地种植用途监管-耕地种植用途监管数据分析与管理-地块所属区域变更-耕地所属行政区域变更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耕地种植用途监管-耕地种植用途监管数据分析与管理-地块所属区域变更-区域变更审核流程管理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7</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耕地种植用途监管-耕地种植用途监管数据分析与管理-耕地种植用途核查审核管理-种植用途监管审核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耕地种植用途监管-耕地种植用途监管数据分析与管理-耕地种植用途核查审核管理-撂荒地治理核实审核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9</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耕地种植用途监管-耕地种植用途监管数据分析与管理-撂荒地核实信息管理-撂荒地种植用途核查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耕地种植用途监管-耕地种植用途监管数据分析与管理-撂荒地核实信息管理-种植用途信息复核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11</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耕地种植用途监管-耕地种植用途监管数据分析与管理-撂荒地核实信息管理-种植用途监管任务分配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12</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耕地种植用途监管-耕地种植用途监管数据分析与管理-撂荒地核实信息管理-核查轨迹记录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13</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耕地种植用途监管-耕地种植用途监管数据分析与管理-撂荒地核实信息管理-区域变更信息记录(历史)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14</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耕地种植用途监管-耕地种植用途监管数据分析与管理-撂荒地核实信息管理-用途核查信记录(历史)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15</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耕地种植用途监管-耕地种植用途监管数据分析与管理-撂荒地治理信息管理-撂荒地治理情况核实及信息复查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耕地种植用途监管-耕地种植用途监管数据分析与管理-撂荒地治理信息管理-撂荒地治理核实任务派发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17</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耕地种植用途监管-耕地种植用途监管数据分析与管理-撂荒地治理信息管理-治理核实信息记录(历史)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18</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蔬菜生产数据信息核查-蔬菜生产核查数据分析与管理-蔬菜生产核查提醒信息管理-不合格待复查信息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19</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蔬菜生产数据信息核查-蔬菜生产核查数据分析与管理-蔬菜生产核查提醒信息管理-待办任务接收与管理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20</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蔬菜生产数据信息核查-蔬菜生产核查数据分析与管理-蔬菜生产核查提醒信息管理-待审核任务预警信息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21</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蔬菜生产数据信息核查-蔬菜生产核查数据分析与管理-蔬菜生产核查数据统计与分析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22</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蔬菜生产数据信息核查-蔬菜生产核查数据分析与管理-菜田生产信息核查管理-菜田生产信息核实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23</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蔬菜生产数据信息核查-蔬菜生产核查数据分析与管理-菜田生产信息核查管理-待核实任务分派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24</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蔬菜生产数据信息核查-蔬菜生产核查数据分析与管理-菜田整改情况管理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25</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蔬菜生产数据信息核查-蔬菜生产核查数据分析与管理-蔬菜生产数据核查审核管理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26</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移动端应用开发-耕地种植用途监管数据归集与应用-撂荒地核查消息助手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27</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移动端应用开发-耕地种植用途监管数据归集与应用-撂荒地种植用途核查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28</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移动端应用开发-耕地种植用途监管数据归集与应用-撂荒地治理情况核实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29</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移动端应用开发-耕地种植用途监管数据归集与应用-撂荒地核实数据统计分析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30</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移动端应用开发-蔬菜生产核查数据归集与应用-菜田生产信息核查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31</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移动端应用开发-蔬菜生产核查数据归集与应用-菜田整改情况核实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32</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移动端应用开发-蔬菜生产核查数据归集与应用-蔬菜生产核查数据统计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2" w:type="dxa"/>
            <w:vAlign w:val="center"/>
          </w:tcPr>
          <w:p>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lang w:val="en-US" w:eastAsia="zh-CN"/>
              </w:rPr>
              <w:t>33</w:t>
            </w:r>
          </w:p>
        </w:tc>
        <w:tc>
          <w:tcPr>
            <w:tcW w:w="851" w:type="dxa"/>
            <w:vMerge w:val="continue"/>
            <w:vAlign w:val="center"/>
          </w:tcPr>
          <w:p>
            <w:pPr>
              <w:widowControl/>
              <w:spacing w:line="240" w:lineRule="auto"/>
              <w:ind w:firstLine="0" w:firstLineChars="0"/>
              <w:jc w:val="center"/>
              <w:rPr>
                <w:rFonts w:hint="eastAsia" w:cs="宋体"/>
                <w:color w:val="000000"/>
                <w:kern w:val="0"/>
                <w:sz w:val="21"/>
                <w:szCs w:val="21"/>
                <w:highlight w:val="none"/>
              </w:rPr>
            </w:pPr>
          </w:p>
        </w:tc>
        <w:tc>
          <w:tcPr>
            <w:tcW w:w="6889" w:type="dxa"/>
            <w:vAlign w:val="center"/>
          </w:tcPr>
          <w:p>
            <w:pPr>
              <w:widowControl/>
              <w:spacing w:line="240" w:lineRule="auto"/>
              <w:ind w:firstLine="0" w:firstLineChars="0"/>
              <w:jc w:val="left"/>
              <w:rPr>
                <w:rFonts w:hint="eastAsia" w:cs="宋体"/>
                <w:color w:val="000000"/>
                <w:kern w:val="0"/>
                <w:sz w:val="21"/>
                <w:szCs w:val="21"/>
                <w:highlight w:val="none"/>
              </w:rPr>
            </w:pPr>
            <w:r>
              <w:rPr>
                <w:rFonts w:hint="eastAsia" w:cs="宋体"/>
                <w:color w:val="000000"/>
                <w:kern w:val="0"/>
                <w:sz w:val="21"/>
                <w:szCs w:val="21"/>
                <w:highlight w:val="none"/>
              </w:rPr>
              <w:t>移动端应用开发-接口开发管理-对接随申办政务云（移动端）</w:t>
            </w:r>
          </w:p>
        </w:tc>
      </w:tr>
      <w:bookmarkEnd w:id="36"/>
    </w:tbl>
    <w:p>
      <w:pPr>
        <w:pStyle w:val="2"/>
        <w:rPr>
          <w:rFonts w:hint="eastAsia"/>
          <w:highlight w:val="none"/>
        </w:rPr>
      </w:pPr>
      <w:bookmarkStart w:id="37" w:name="_Toc68798863"/>
      <w:r>
        <w:rPr>
          <w:rFonts w:hint="eastAsia"/>
          <w:highlight w:val="none"/>
        </w:rPr>
        <w:t>附录</w:t>
      </w:r>
      <w:bookmarkEnd w:id="37"/>
    </w:p>
    <w:p>
      <w:pPr>
        <w:ind w:firstLine="0" w:firstLineChars="0"/>
        <w:rPr>
          <w:rFonts w:hint="eastAsia"/>
          <w:highlight w:val="none"/>
        </w:rPr>
      </w:pPr>
      <w:r>
        <w:rPr>
          <w:rFonts w:hint="eastAsia"/>
          <w:highlight w:val="none"/>
        </w:rPr>
        <w:t>1、</w:t>
      </w:r>
      <w:r>
        <w:rPr>
          <w:highlight w:val="none"/>
        </w:rPr>
        <w:t>《政务网络安全监测平台总体技术要求》</w:t>
      </w:r>
    </w:p>
    <w:p>
      <w:pPr>
        <w:ind w:firstLine="0" w:firstLineChars="0"/>
        <w:rPr>
          <w:rFonts w:hint="eastAsia"/>
          <w:highlight w:val="none"/>
        </w:rPr>
      </w:pPr>
      <w:r>
        <w:rPr>
          <w:highlight w:val="none"/>
        </w:rPr>
        <w:object>
          <v:shape id="_x0000_i1025" o:spt="75" type="#_x0000_t75" style="height:55.2pt;width:76.8pt;" o:ole="t" filled="f" o:preferrelative="t" stroked="f" coordsize="21600,21600">
            <v:path/>
            <v:fill on="f" focussize="0,0"/>
            <v:stroke on="f" joinstyle="miter"/>
            <v:imagedata r:id="rId16" o:title=""/>
            <o:lock v:ext="edit" aspectratio="t"/>
            <w10:wrap type="none"/>
            <w10:anchorlock/>
          </v:shape>
          <o:OLEObject Type="Embed" ProgID="Package" ShapeID="_x0000_i1025" DrawAspect="Icon" ObjectID="_1468075725" r:id="rId15">
            <o:LockedField>false</o:LockedField>
          </o:OLEObject>
        </w:object>
      </w:r>
    </w:p>
    <w:p>
      <w:pPr>
        <w:ind w:firstLine="0" w:firstLineChars="0"/>
        <w:rPr>
          <w:rFonts w:hint="eastAsia"/>
          <w:highlight w:val="none"/>
        </w:rPr>
      </w:pPr>
    </w:p>
    <w:p>
      <w:pPr>
        <w:ind w:firstLine="0" w:firstLineChars="0"/>
        <w:jc w:val="left"/>
        <w:rPr>
          <w:rFonts w:hint="eastAsia"/>
          <w:highlight w:val="none"/>
        </w:rPr>
      </w:pPr>
      <w:r>
        <w:rPr>
          <w:rFonts w:hint="eastAsia"/>
          <w:highlight w:val="none"/>
        </w:rPr>
        <w:t>2、《上海市电子政务外网建设和运行管理指南（试行）》</w:t>
      </w:r>
    </w:p>
    <w:p>
      <w:pPr>
        <w:ind w:firstLine="0" w:firstLineChars="0"/>
        <w:jc w:val="left"/>
        <w:rPr>
          <w:rFonts w:hint="eastAsia"/>
          <w:highlight w:val="none"/>
        </w:rPr>
      </w:pPr>
      <w:r>
        <w:rPr>
          <w:highlight w:val="none"/>
        </w:rPr>
        <w:object>
          <v:shape id="_x0000_i1026" o:spt="75" type="#_x0000_t75" style="height:55.2pt;width:76.8pt;" o:ole="t" filled="f" o:preferrelative="t" stroked="f" coordsize="21600,21600">
            <v:path/>
            <v:fill on="f" focussize="0,0"/>
            <v:stroke on="f" joinstyle="miter"/>
            <v:imagedata r:id="rId18" o:title=""/>
            <o:lock v:ext="edit" aspectratio="t"/>
            <w10:wrap type="none"/>
            <w10:anchorlock/>
          </v:shape>
          <o:OLEObject Type="Embed" ProgID="Package" ShapeID="_x0000_i1026" DrawAspect="Icon" ObjectID="_1468075726" r:id="rId17">
            <o:LockedField>false</o:LockedField>
          </o:OLEObject>
        </w:object>
      </w:r>
    </w:p>
    <w:sectPr>
      <w:footerReference r:id="rId11" w:type="first"/>
      <w:pgSz w:w="11906" w:h="16838"/>
      <w:pgMar w:top="1134" w:right="1797" w:bottom="1135" w:left="1797" w:header="340" w:footer="454"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0"/>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C0"/>
    <w:rsid w:val="0000005A"/>
    <w:rsid w:val="00000AED"/>
    <w:rsid w:val="0000217C"/>
    <w:rsid w:val="00003516"/>
    <w:rsid w:val="0000380E"/>
    <w:rsid w:val="00005AFD"/>
    <w:rsid w:val="00006563"/>
    <w:rsid w:val="00006D78"/>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4DA"/>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0C7D"/>
    <w:rsid w:val="00145512"/>
    <w:rsid w:val="001465BD"/>
    <w:rsid w:val="00146768"/>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444"/>
    <w:rsid w:val="002C28E8"/>
    <w:rsid w:val="002C3027"/>
    <w:rsid w:val="002C674D"/>
    <w:rsid w:val="002C7648"/>
    <w:rsid w:val="002C7DC4"/>
    <w:rsid w:val="002D0821"/>
    <w:rsid w:val="002D1929"/>
    <w:rsid w:val="002D1B73"/>
    <w:rsid w:val="002D3CB0"/>
    <w:rsid w:val="002D3DFE"/>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1C88"/>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6FCB"/>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119F"/>
    <w:rsid w:val="003B2167"/>
    <w:rsid w:val="003B5F5D"/>
    <w:rsid w:val="003B62C8"/>
    <w:rsid w:val="003B6CFE"/>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5F5A"/>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26E9"/>
    <w:rsid w:val="00584221"/>
    <w:rsid w:val="00584EB6"/>
    <w:rsid w:val="00586B68"/>
    <w:rsid w:val="0058774E"/>
    <w:rsid w:val="005878CF"/>
    <w:rsid w:val="00590CA0"/>
    <w:rsid w:val="00595B01"/>
    <w:rsid w:val="00596D98"/>
    <w:rsid w:val="005979A5"/>
    <w:rsid w:val="005A0021"/>
    <w:rsid w:val="005A017B"/>
    <w:rsid w:val="005A1701"/>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1FE3"/>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44CF"/>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3C6D"/>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16BF"/>
    <w:rsid w:val="00892955"/>
    <w:rsid w:val="00893628"/>
    <w:rsid w:val="008941EB"/>
    <w:rsid w:val="0089545A"/>
    <w:rsid w:val="00895A02"/>
    <w:rsid w:val="008A01EE"/>
    <w:rsid w:val="008A0DAC"/>
    <w:rsid w:val="008A3B78"/>
    <w:rsid w:val="008A4166"/>
    <w:rsid w:val="008A7DBF"/>
    <w:rsid w:val="008B136C"/>
    <w:rsid w:val="008B3FEE"/>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5FA1"/>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470"/>
    <w:rsid w:val="009B259E"/>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3DA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51FC"/>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3DFA"/>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2CCF"/>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0F3"/>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3B2F"/>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F15816"/>
    <w:rsid w:val="03430854"/>
    <w:rsid w:val="039F5FA6"/>
    <w:rsid w:val="053E4E4E"/>
    <w:rsid w:val="07300CC3"/>
    <w:rsid w:val="09305ADA"/>
    <w:rsid w:val="0CA036A7"/>
    <w:rsid w:val="0E641EC6"/>
    <w:rsid w:val="0E8013B7"/>
    <w:rsid w:val="10D604C6"/>
    <w:rsid w:val="11335518"/>
    <w:rsid w:val="11B515E0"/>
    <w:rsid w:val="12174F59"/>
    <w:rsid w:val="13A53267"/>
    <w:rsid w:val="13F970D2"/>
    <w:rsid w:val="14AA4136"/>
    <w:rsid w:val="163A420B"/>
    <w:rsid w:val="19413B26"/>
    <w:rsid w:val="1AED2CD4"/>
    <w:rsid w:val="1B665EBA"/>
    <w:rsid w:val="1C4734EF"/>
    <w:rsid w:val="1C6D3688"/>
    <w:rsid w:val="1CC63D0A"/>
    <w:rsid w:val="1DC2081A"/>
    <w:rsid w:val="1DD94266"/>
    <w:rsid w:val="1F9D0947"/>
    <w:rsid w:val="1FFB29C6"/>
    <w:rsid w:val="2197737E"/>
    <w:rsid w:val="22AF3620"/>
    <w:rsid w:val="22E70AD4"/>
    <w:rsid w:val="24F1508D"/>
    <w:rsid w:val="266F634F"/>
    <w:rsid w:val="2805169F"/>
    <w:rsid w:val="291059EA"/>
    <w:rsid w:val="29B335E0"/>
    <w:rsid w:val="2BBF12EC"/>
    <w:rsid w:val="2BC649D9"/>
    <w:rsid w:val="2BDC5B80"/>
    <w:rsid w:val="31E42A16"/>
    <w:rsid w:val="32423E69"/>
    <w:rsid w:val="3515160D"/>
    <w:rsid w:val="359E56D7"/>
    <w:rsid w:val="36C02C1A"/>
    <w:rsid w:val="3B18497D"/>
    <w:rsid w:val="3BC2034E"/>
    <w:rsid w:val="3C7D00D8"/>
    <w:rsid w:val="3CA06C0C"/>
    <w:rsid w:val="3CEA5BE8"/>
    <w:rsid w:val="3EA25851"/>
    <w:rsid w:val="3F6C3757"/>
    <w:rsid w:val="405D6A10"/>
    <w:rsid w:val="41DA6594"/>
    <w:rsid w:val="444C1A75"/>
    <w:rsid w:val="4473014B"/>
    <w:rsid w:val="44A3526F"/>
    <w:rsid w:val="44B032F4"/>
    <w:rsid w:val="457D25F7"/>
    <w:rsid w:val="468341CD"/>
    <w:rsid w:val="46A0451A"/>
    <w:rsid w:val="46BF0811"/>
    <w:rsid w:val="472C2589"/>
    <w:rsid w:val="480079C6"/>
    <w:rsid w:val="4A2B014A"/>
    <w:rsid w:val="4A760AEB"/>
    <w:rsid w:val="4F3162CA"/>
    <w:rsid w:val="50C3182D"/>
    <w:rsid w:val="50D95873"/>
    <w:rsid w:val="511A7D02"/>
    <w:rsid w:val="5124706D"/>
    <w:rsid w:val="526102AF"/>
    <w:rsid w:val="528444DA"/>
    <w:rsid w:val="537745D5"/>
    <w:rsid w:val="552306F6"/>
    <w:rsid w:val="55821D0F"/>
    <w:rsid w:val="56E352D5"/>
    <w:rsid w:val="57E435FE"/>
    <w:rsid w:val="582D0655"/>
    <w:rsid w:val="59173568"/>
    <w:rsid w:val="5951205C"/>
    <w:rsid w:val="59D079E8"/>
    <w:rsid w:val="59D40847"/>
    <w:rsid w:val="5AE37F25"/>
    <w:rsid w:val="5B8E0185"/>
    <w:rsid w:val="5CB23D47"/>
    <w:rsid w:val="5FAF09C4"/>
    <w:rsid w:val="608C4642"/>
    <w:rsid w:val="62795572"/>
    <w:rsid w:val="62D90583"/>
    <w:rsid w:val="64DD6417"/>
    <w:rsid w:val="66004745"/>
    <w:rsid w:val="6A567F20"/>
    <w:rsid w:val="6BFED63A"/>
    <w:rsid w:val="6C7C7ED1"/>
    <w:rsid w:val="6CD97953"/>
    <w:rsid w:val="6D0A1FB5"/>
    <w:rsid w:val="6ED30FD7"/>
    <w:rsid w:val="727D78FD"/>
    <w:rsid w:val="73CC655F"/>
    <w:rsid w:val="75957445"/>
    <w:rsid w:val="75D01AE1"/>
    <w:rsid w:val="766D1FFB"/>
    <w:rsid w:val="77524363"/>
    <w:rsid w:val="77B917B5"/>
    <w:rsid w:val="78703975"/>
    <w:rsid w:val="7BE420FD"/>
    <w:rsid w:val="7D0D296B"/>
    <w:rsid w:val="7D1B17FD"/>
    <w:rsid w:val="7D4E0B54"/>
    <w:rsid w:val="7D503E78"/>
    <w:rsid w:val="7D771968"/>
    <w:rsid w:val="7DA22646"/>
    <w:rsid w:val="7E0160D4"/>
    <w:rsid w:val="BFDFEA21"/>
    <w:rsid w:val="DFEFF539"/>
    <w:rsid w:val="F5DE6D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left="0"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left="0"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Revision"/>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Template>
  <Pages>22</Pages>
  <Words>10979</Words>
  <Characters>11196</Characters>
  <Lines>121</Lines>
  <Paragraphs>34</Paragraphs>
  <TotalTime>0</TotalTime>
  <ScaleCrop>false</ScaleCrop>
  <LinksUpToDate>false</LinksUpToDate>
  <CharactersWithSpaces>11218</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2025-11-20T15:43:00Z</dcterms:created>
  <dc:creator>gtig_tzb</dc:creator>
  <cp:lastModifiedBy>user</cp:lastModifiedBy>
  <cp:lastPrinted>2020-08-07T20:08:00Z</cp:lastPrinted>
  <dcterms:modified xsi:type="dcterms:W3CDTF">2026-01-09T08:42:06Z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KSOTemplateDocerSaveRecord">
    <vt:lpwstr>eyJoZGlkIjoiYzNiNmU3ODBhNjNmMzM1ZWY3YmI4MzliOTY3NGMxNzMiLCJ1c2VySWQiOiIxNjkwMzU1OTI0In0=</vt:lpwstr>
  </property>
  <property fmtid="{D5CDD505-2E9C-101B-9397-08002B2CF9AE}" pid="4" name="ICV">
    <vt:lpwstr>2002E436B32C4F6DA4B9278A91ABC798_12</vt:lpwstr>
  </property>
</Properties>
</file>