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4E840">
      <w:pPr>
        <w:jc w:val="center"/>
        <w:rPr>
          <w:b/>
          <w:sz w:val="24"/>
          <w:szCs w:val="24"/>
        </w:rPr>
      </w:pPr>
      <w:r>
        <w:rPr>
          <w:rFonts w:hint="eastAsia"/>
          <w:b/>
          <w:sz w:val="24"/>
          <w:szCs w:val="24"/>
        </w:rPr>
        <w:t>上海交通职业技术学院</w:t>
      </w:r>
      <w:r>
        <w:rPr>
          <w:rFonts w:hint="eastAsia"/>
          <w:b/>
          <w:sz w:val="24"/>
          <w:szCs w:val="24"/>
          <w:lang w:val="en-US" w:eastAsia="zh-CN"/>
        </w:rPr>
        <w:t>宝山</w:t>
      </w:r>
      <w:r>
        <w:rPr>
          <w:rFonts w:hint="eastAsia"/>
          <w:b/>
          <w:sz w:val="24"/>
          <w:szCs w:val="24"/>
        </w:rPr>
        <w:t>校区物业管理服务项目采购需求</w:t>
      </w:r>
    </w:p>
    <w:p w14:paraId="4EEF0EF4">
      <w:pPr>
        <w:rPr>
          <w:sz w:val="24"/>
          <w:szCs w:val="24"/>
        </w:rPr>
      </w:pPr>
    </w:p>
    <w:p w14:paraId="7EE89197">
      <w:pPr>
        <w:spacing w:line="360" w:lineRule="auto"/>
        <w:rPr>
          <w:rFonts w:ascii="宋体"/>
        </w:rPr>
      </w:pPr>
      <w:r>
        <w:rPr>
          <w:rFonts w:hint="eastAsia" w:ascii="宋体" w:hAnsi="宋体"/>
        </w:rPr>
        <w:t>（一）物业基本情况</w:t>
      </w:r>
    </w:p>
    <w:p w14:paraId="6ADE8320">
      <w:pPr>
        <w:spacing w:line="360" w:lineRule="auto"/>
        <w:ind w:firstLine="420" w:firstLineChars="200"/>
        <w:rPr>
          <w:rFonts w:hint="default" w:ascii="宋体" w:hAnsi="宋体" w:eastAsia="宋体"/>
          <w:u w:val="single"/>
          <w:lang w:val="en-US" w:eastAsia="zh-CN"/>
        </w:rPr>
      </w:pPr>
      <w:r>
        <w:rPr>
          <w:rFonts w:hint="eastAsia" w:ascii="宋体" w:hAnsi="宋体"/>
        </w:rPr>
        <w:t>物业名称：</w:t>
      </w:r>
      <w:r>
        <w:rPr>
          <w:rFonts w:hint="eastAsia" w:ascii="宋体" w:hAnsi="宋体"/>
          <w:u w:val="single"/>
        </w:rPr>
        <w:t xml:space="preserve"> 上海交通职业技术学院</w:t>
      </w:r>
      <w:r>
        <w:rPr>
          <w:rFonts w:hint="eastAsia" w:ascii="宋体" w:hAnsi="宋体"/>
          <w:u w:val="single"/>
          <w:lang w:val="en-US" w:eastAsia="zh-CN"/>
        </w:rPr>
        <w:t>宝山校区</w:t>
      </w:r>
    </w:p>
    <w:p w14:paraId="405825B5">
      <w:pPr>
        <w:spacing w:line="360" w:lineRule="auto"/>
        <w:ind w:firstLine="420" w:firstLineChars="200"/>
        <w:rPr>
          <w:rFonts w:ascii="宋体"/>
        </w:rPr>
      </w:pPr>
      <w:r>
        <w:rPr>
          <w:rFonts w:hint="eastAsia" w:ascii="宋体" w:hAnsi="宋体"/>
        </w:rPr>
        <w:t>物业类型：</w:t>
      </w:r>
      <w:r>
        <w:rPr>
          <w:rFonts w:hint="eastAsia" w:ascii="宋体" w:hAnsi="宋体"/>
          <w:u w:val="single"/>
        </w:rPr>
        <w:t>综合</w:t>
      </w:r>
    </w:p>
    <w:p w14:paraId="5B86E145">
      <w:pPr>
        <w:spacing w:line="360" w:lineRule="auto"/>
        <w:ind w:firstLine="420" w:firstLineChars="200"/>
        <w:rPr>
          <w:rFonts w:ascii="宋体" w:hAnsi="宋体"/>
        </w:rPr>
      </w:pPr>
      <w:r>
        <w:rPr>
          <w:rFonts w:hint="eastAsia" w:ascii="宋体" w:hAnsi="宋体"/>
        </w:rPr>
        <w:t>坐落位置：</w:t>
      </w:r>
      <w:r>
        <w:rPr>
          <w:rFonts w:hint="eastAsia" w:ascii="宋体" w:hAnsi="宋体"/>
          <w:u w:val="single"/>
        </w:rPr>
        <w:t>上海</w:t>
      </w:r>
      <w:r>
        <w:rPr>
          <w:rFonts w:hint="eastAsia" w:ascii="宋体" w:hAnsi="宋体"/>
        </w:rPr>
        <w:t>市</w:t>
      </w:r>
      <w:r>
        <w:rPr>
          <w:rFonts w:hint="eastAsia" w:ascii="宋体" w:hAnsi="宋体"/>
          <w:u w:val="single"/>
        </w:rPr>
        <w:t>宝山</w:t>
      </w:r>
      <w:r>
        <w:rPr>
          <w:rFonts w:hint="eastAsia" w:ascii="宋体" w:hAnsi="宋体"/>
        </w:rPr>
        <w:t>区</w:t>
      </w:r>
      <w:r>
        <w:rPr>
          <w:rFonts w:hint="eastAsia" w:ascii="宋体" w:hAnsi="宋体"/>
          <w:u w:val="single"/>
        </w:rPr>
        <w:t>呼兰</w:t>
      </w:r>
      <w:r>
        <w:rPr>
          <w:rFonts w:hint="eastAsia" w:ascii="宋体" w:hAnsi="宋体"/>
        </w:rPr>
        <w:t>路</w:t>
      </w:r>
      <w:r>
        <w:rPr>
          <w:rFonts w:hint="eastAsia" w:ascii="宋体" w:hAnsi="宋体"/>
          <w:u w:val="single"/>
        </w:rPr>
        <w:t>883</w:t>
      </w:r>
      <w:r>
        <w:rPr>
          <w:rFonts w:hint="eastAsia" w:ascii="宋体" w:hAnsi="宋体"/>
        </w:rPr>
        <w:t>号(以下简称A区)</w:t>
      </w:r>
    </w:p>
    <w:p w14:paraId="1137E1DB">
      <w:pPr>
        <w:spacing w:line="360" w:lineRule="auto"/>
        <w:ind w:firstLine="1365" w:firstLineChars="650"/>
        <w:rPr>
          <w:rFonts w:ascii="宋体"/>
        </w:rPr>
      </w:pPr>
      <w:r>
        <w:rPr>
          <w:rFonts w:hint="eastAsia" w:ascii="宋体" w:hAnsi="宋体"/>
          <w:u w:val="single"/>
        </w:rPr>
        <w:t xml:space="preserve">上海 </w:t>
      </w:r>
      <w:r>
        <w:rPr>
          <w:rFonts w:hint="eastAsia" w:ascii="宋体" w:hAnsi="宋体"/>
        </w:rPr>
        <w:t>市</w:t>
      </w:r>
      <w:r>
        <w:rPr>
          <w:rFonts w:hint="eastAsia" w:ascii="宋体" w:hAnsi="宋体"/>
          <w:u w:val="single"/>
        </w:rPr>
        <w:t>宝山</w:t>
      </w:r>
      <w:r>
        <w:rPr>
          <w:rFonts w:hint="eastAsia" w:ascii="宋体" w:hAnsi="宋体"/>
        </w:rPr>
        <w:t>区</w:t>
      </w:r>
      <w:r>
        <w:rPr>
          <w:rFonts w:hint="eastAsia" w:ascii="宋体" w:hAnsi="宋体"/>
          <w:u w:val="single"/>
        </w:rPr>
        <w:t>呼兰</w:t>
      </w:r>
      <w:r>
        <w:rPr>
          <w:rFonts w:hint="eastAsia" w:ascii="宋体" w:hAnsi="宋体"/>
        </w:rPr>
        <w:t>路</w:t>
      </w:r>
      <w:r>
        <w:rPr>
          <w:rFonts w:hint="eastAsia" w:ascii="宋体" w:hAnsi="宋体"/>
          <w:u w:val="single"/>
        </w:rPr>
        <w:t>763</w:t>
      </w:r>
      <w:r>
        <w:rPr>
          <w:rFonts w:hint="eastAsia" w:ascii="宋体" w:hAnsi="宋体"/>
        </w:rPr>
        <w:t>号(以下简称B区)</w:t>
      </w:r>
    </w:p>
    <w:p w14:paraId="52A35C22">
      <w:pPr>
        <w:spacing w:line="360" w:lineRule="auto"/>
        <w:ind w:firstLine="420" w:firstLineChars="200"/>
        <w:rPr>
          <w:rFonts w:ascii="宋体" w:hAnsi="宋体"/>
          <w:u w:val="single"/>
        </w:rPr>
      </w:pPr>
      <w:r>
        <w:rPr>
          <w:rFonts w:hint="eastAsia" w:ascii="宋体" w:hAnsi="宋体"/>
        </w:rPr>
        <w:t>四面边界至：</w:t>
      </w:r>
      <w:r>
        <w:rPr>
          <w:rFonts w:hint="eastAsia" w:ascii="宋体" w:hAnsi="宋体"/>
          <w:u w:val="single"/>
        </w:rPr>
        <w:t>A区---东小区围墙；南呼兰路；西呼青路；北小区围墙</w:t>
      </w:r>
    </w:p>
    <w:p w14:paraId="37634300">
      <w:pPr>
        <w:spacing w:line="360" w:lineRule="auto"/>
        <w:ind w:firstLine="420" w:firstLineChars="200"/>
        <w:rPr>
          <w:rFonts w:ascii="宋体" w:hAnsi="宋体"/>
          <w:u w:val="single"/>
        </w:rPr>
      </w:pPr>
      <w:r>
        <w:rPr>
          <w:rFonts w:hint="eastAsia" w:ascii="宋体" w:hAnsi="宋体"/>
          <w:u w:val="single"/>
        </w:rPr>
        <w:t>B区---东小区围墙；南呼兰路；西通河路；北校区围墙</w:t>
      </w:r>
    </w:p>
    <w:p w14:paraId="443CF0F6">
      <w:pPr>
        <w:spacing w:line="360" w:lineRule="auto"/>
        <w:ind w:firstLine="420" w:firstLineChars="200"/>
        <w:rPr>
          <w:rFonts w:ascii="宋体"/>
        </w:rPr>
      </w:pPr>
      <w:r>
        <w:rPr>
          <w:rFonts w:hint="eastAsia" w:ascii="宋体" w:hAnsi="宋体"/>
        </w:rPr>
        <w:t>占地面积：</w:t>
      </w:r>
      <w:r>
        <w:rPr>
          <w:rFonts w:hint="eastAsia" w:ascii="宋体" w:hAnsi="宋体"/>
          <w:u w:val="single"/>
        </w:rPr>
        <w:t>48995 平</w:t>
      </w:r>
      <w:r>
        <w:rPr>
          <w:rFonts w:hint="eastAsia" w:ascii="宋体" w:hAnsi="宋体"/>
        </w:rPr>
        <w:t>方米，其中绿地面积</w:t>
      </w:r>
      <w:r>
        <w:rPr>
          <w:rFonts w:hint="eastAsia" w:ascii="宋体" w:hAnsi="宋体"/>
          <w:u w:val="single"/>
        </w:rPr>
        <w:t>3500</w:t>
      </w:r>
      <w:r>
        <w:rPr>
          <w:rFonts w:hint="eastAsia" w:ascii="宋体" w:hAnsi="宋体"/>
        </w:rPr>
        <w:t>平方米。</w:t>
      </w:r>
    </w:p>
    <w:p w14:paraId="1C7A10E0">
      <w:pPr>
        <w:spacing w:line="360" w:lineRule="auto"/>
        <w:ind w:firstLine="420" w:firstLineChars="200"/>
        <w:rPr>
          <w:rFonts w:ascii="宋体"/>
        </w:rPr>
      </w:pPr>
      <w:r>
        <w:rPr>
          <w:rFonts w:hint="eastAsia" w:ascii="宋体" w:hAnsi="宋体"/>
        </w:rPr>
        <w:t>建筑面积：</w:t>
      </w:r>
      <w:r>
        <w:rPr>
          <w:rFonts w:hint="eastAsia" w:ascii="宋体" w:hAnsi="宋体"/>
          <w:u w:val="single"/>
        </w:rPr>
        <w:t>38000</w:t>
      </w:r>
      <w:r>
        <w:rPr>
          <w:rFonts w:hint="eastAsia" w:ascii="宋体" w:hAnsi="宋体"/>
        </w:rPr>
        <w:t>平方米，(其中：A区27000平方米，B区11000平方米)</w:t>
      </w:r>
    </w:p>
    <w:p w14:paraId="0E4C4C0D">
      <w:pPr>
        <w:spacing w:line="360" w:lineRule="auto"/>
        <w:ind w:firstLine="420" w:firstLineChars="200"/>
        <w:rPr>
          <w:rFonts w:ascii="宋体"/>
        </w:rPr>
      </w:pPr>
      <w:r>
        <w:rPr>
          <w:rFonts w:hint="eastAsia" w:ascii="宋体" w:hAnsi="宋体"/>
        </w:rPr>
        <w:t>其中</w:t>
      </w:r>
      <w:r>
        <w:rPr>
          <w:rFonts w:ascii="宋体" w:hAnsi="宋体"/>
        </w:rPr>
        <w:t>:</w:t>
      </w:r>
      <w:r>
        <w:rPr>
          <w:rFonts w:hint="eastAsia" w:ascii="宋体" w:hAnsi="宋体"/>
        </w:rPr>
        <w:t>办公楼</w:t>
      </w:r>
      <w:r>
        <w:rPr>
          <w:rFonts w:hint="eastAsia" w:ascii="宋体" w:hAnsi="宋体"/>
          <w:u w:val="single"/>
        </w:rPr>
        <w:t>22000</w:t>
      </w:r>
      <w:r>
        <w:rPr>
          <w:rFonts w:hint="eastAsia" w:ascii="宋体" w:hAnsi="宋体"/>
        </w:rPr>
        <w:t>平方米（多层</w:t>
      </w:r>
      <w:r>
        <w:rPr>
          <w:rFonts w:hint="eastAsia" w:ascii="宋体" w:hAnsi="宋体"/>
          <w:u w:val="single"/>
        </w:rPr>
        <w:t>√</w:t>
      </w:r>
      <w:r>
        <w:rPr>
          <w:rFonts w:hint="eastAsia" w:ascii="宋体" w:hAnsi="宋体"/>
        </w:rPr>
        <w:t>，高层</w:t>
      </w:r>
      <w:r>
        <w:rPr>
          <w:rFonts w:hint="eastAsia" w:ascii="宋体" w:hAnsi="宋体"/>
          <w:u w:val="single"/>
        </w:rPr>
        <w:t>无</w:t>
      </w:r>
      <w:r>
        <w:rPr>
          <w:rFonts w:hint="eastAsia" w:ascii="宋体" w:hAnsi="宋体"/>
        </w:rPr>
        <w:t>，其中地下：</w:t>
      </w:r>
      <w:r>
        <w:rPr>
          <w:rFonts w:hint="eastAsia" w:ascii="宋体" w:hAnsi="宋体"/>
          <w:u w:val="single"/>
        </w:rPr>
        <w:t>无</w:t>
      </w:r>
      <w:r>
        <w:rPr>
          <w:rFonts w:hint="eastAsia" w:ascii="宋体" w:hAnsi="宋体"/>
        </w:rPr>
        <w:t>）；</w:t>
      </w:r>
    </w:p>
    <w:p w14:paraId="05907DC4">
      <w:pPr>
        <w:spacing w:line="360" w:lineRule="auto"/>
        <w:ind w:firstLine="420" w:firstLineChars="200"/>
        <w:rPr>
          <w:rFonts w:ascii="宋体"/>
        </w:rPr>
      </w:pPr>
      <w:r>
        <w:rPr>
          <w:rFonts w:hint="eastAsia" w:ascii="宋体" w:hAnsi="宋体"/>
        </w:rPr>
        <w:t>在第二教学楼4楼北侧、文体中心2楼内为学校会场约</w:t>
      </w:r>
      <w:r>
        <w:rPr>
          <w:rFonts w:hint="eastAsia" w:ascii="宋体" w:hAnsi="宋体"/>
          <w:u w:val="single"/>
        </w:rPr>
        <w:t>1800</w:t>
      </w:r>
      <w:r>
        <w:rPr>
          <w:rFonts w:hint="eastAsia" w:ascii="宋体" w:hAnsi="宋体"/>
        </w:rPr>
        <w:t>平方米（多层）；其他0平方米；</w:t>
      </w:r>
    </w:p>
    <w:p w14:paraId="14DE6EC4">
      <w:pPr>
        <w:spacing w:line="360" w:lineRule="auto"/>
        <w:ind w:firstLine="420" w:firstLineChars="200"/>
        <w:rPr>
          <w:rFonts w:ascii="宋体" w:hAnsi="宋体"/>
        </w:rPr>
      </w:pPr>
      <w:r>
        <w:rPr>
          <w:rFonts w:hint="eastAsia" w:ascii="宋体" w:hAnsi="宋体"/>
        </w:rPr>
        <w:t>停车场250平方米，均为露天停车场地；</w:t>
      </w:r>
    </w:p>
    <w:p w14:paraId="16648E46">
      <w:pPr>
        <w:spacing w:line="360" w:lineRule="auto"/>
        <w:ind w:firstLine="420" w:firstLineChars="200"/>
        <w:rPr>
          <w:rFonts w:ascii="宋体" w:hAnsi="宋体"/>
        </w:rPr>
      </w:pPr>
      <w:r>
        <w:rPr>
          <w:rFonts w:hint="eastAsia" w:ascii="宋体" w:hAnsi="宋体"/>
        </w:rPr>
        <w:t>餐厅</w:t>
      </w:r>
      <w:r>
        <w:rPr>
          <w:rFonts w:hint="eastAsia" w:ascii="宋体" w:hAnsi="宋体"/>
          <w:u w:val="single"/>
        </w:rPr>
        <w:t>1</w:t>
      </w:r>
      <w:r>
        <w:rPr>
          <w:rFonts w:hint="eastAsia" w:ascii="宋体" w:hAnsi="宋体"/>
        </w:rPr>
        <w:t>处，其中：一、二楼餐厅，约3000 平方米；</w:t>
      </w:r>
    </w:p>
    <w:p w14:paraId="7375321F">
      <w:pPr>
        <w:spacing w:line="360" w:lineRule="auto"/>
        <w:ind w:firstLine="420" w:firstLineChars="200"/>
        <w:rPr>
          <w:rFonts w:ascii="宋体"/>
        </w:rPr>
      </w:pPr>
      <w:r>
        <w:rPr>
          <w:rFonts w:hint="eastAsia" w:ascii="宋体" w:hAnsi="宋体"/>
        </w:rPr>
        <w:t>一、二楼厨房，</w:t>
      </w:r>
      <w:r>
        <w:rPr>
          <w:rFonts w:hint="eastAsia" w:ascii="宋体" w:hAnsi="宋体"/>
          <w:u w:val="single"/>
        </w:rPr>
        <w:t>800</w:t>
      </w:r>
      <w:r>
        <w:rPr>
          <w:rFonts w:hint="eastAsia" w:ascii="宋体" w:hAnsi="宋体"/>
        </w:rPr>
        <w:t>平方米；厨房设备情况：（简介）</w:t>
      </w:r>
    </w:p>
    <w:p w14:paraId="63E34A27">
      <w:pPr>
        <w:spacing w:line="360" w:lineRule="auto"/>
        <w:ind w:left="420" w:leftChars="200"/>
        <w:rPr>
          <w:rFonts w:ascii="宋体" w:hAnsi="宋体"/>
          <w:u w:val="single"/>
        </w:rPr>
      </w:pPr>
      <w:r>
        <w:rPr>
          <w:rFonts w:hint="eastAsia" w:ascii="宋体" w:hAnsi="宋体"/>
        </w:rPr>
        <w:t>带电梯楼共</w:t>
      </w:r>
      <w:r>
        <w:rPr>
          <w:rFonts w:hint="eastAsia" w:ascii="宋体" w:hAnsi="宋体"/>
          <w:u w:val="single"/>
        </w:rPr>
        <w:t>2</w:t>
      </w:r>
      <w:r>
        <w:rPr>
          <w:rFonts w:hint="eastAsia" w:ascii="宋体" w:hAnsi="宋体"/>
        </w:rPr>
        <w:t>栋，不带电梯楼共</w:t>
      </w:r>
      <w:r>
        <w:rPr>
          <w:rFonts w:hint="eastAsia" w:ascii="宋体" w:hAnsi="宋体"/>
          <w:u w:val="single"/>
        </w:rPr>
        <w:t>15</w:t>
      </w:r>
      <w:r>
        <w:rPr>
          <w:rFonts w:hint="eastAsia" w:ascii="宋体" w:hAnsi="宋体"/>
        </w:rPr>
        <w:t>栋；其它：</w:t>
      </w:r>
      <w:r>
        <w:rPr>
          <w:rFonts w:hint="eastAsia" w:ascii="宋体" w:hAnsi="宋体"/>
          <w:u w:val="single"/>
          <w:lang w:val="en-US" w:eastAsia="zh-CN"/>
        </w:rPr>
        <w:t>无</w:t>
      </w:r>
      <w:r>
        <w:rPr>
          <w:rFonts w:hint="eastAsia" w:ascii="宋体" w:hAnsi="宋体"/>
        </w:rPr>
        <w:t>。</w:t>
      </w:r>
    </w:p>
    <w:p w14:paraId="44306C9A">
      <w:pPr>
        <w:spacing w:line="360" w:lineRule="auto"/>
        <w:ind w:firstLine="420" w:firstLineChars="200"/>
        <w:rPr>
          <w:rFonts w:ascii="宋体"/>
        </w:rPr>
      </w:pPr>
      <w:r>
        <w:rPr>
          <w:rFonts w:hint="eastAsia" w:ascii="宋体" w:hAnsi="宋体"/>
        </w:rPr>
        <w:t>公用设施、设备及公共场所（地）情况：</w:t>
      </w:r>
    </w:p>
    <w:p w14:paraId="64006099">
      <w:pPr>
        <w:spacing w:line="360" w:lineRule="auto"/>
        <w:ind w:firstLine="420" w:firstLineChars="200"/>
        <w:rPr>
          <w:rFonts w:ascii="宋体"/>
        </w:rPr>
      </w:pPr>
      <w:r>
        <w:rPr>
          <w:rFonts w:ascii="宋体" w:hAnsi="宋体"/>
        </w:rPr>
        <w:t>1</w:t>
      </w:r>
      <w:r>
        <w:rPr>
          <w:rFonts w:hint="eastAsia" w:ascii="宋体" w:hAnsi="宋体"/>
        </w:rPr>
        <w:t>、院区车辆出入口</w:t>
      </w:r>
      <w:r>
        <w:rPr>
          <w:rFonts w:hint="eastAsia" w:ascii="宋体" w:hAnsi="宋体"/>
          <w:u w:val="single"/>
        </w:rPr>
        <w:t>3</w:t>
      </w:r>
      <w:r>
        <w:rPr>
          <w:rFonts w:hint="eastAsia" w:ascii="宋体" w:hAnsi="宋体"/>
        </w:rPr>
        <w:t>个，人行出入口</w:t>
      </w:r>
      <w:r>
        <w:rPr>
          <w:rFonts w:hint="eastAsia" w:ascii="宋体" w:hAnsi="宋体"/>
          <w:u w:val="single"/>
        </w:rPr>
        <w:t>3</w:t>
      </w:r>
      <w:r>
        <w:rPr>
          <w:rFonts w:hint="eastAsia" w:ascii="宋体" w:hAnsi="宋体"/>
        </w:rPr>
        <w:t>个，消防疏散通道出入口</w:t>
      </w:r>
      <w:r>
        <w:rPr>
          <w:rFonts w:hint="eastAsia" w:ascii="宋体" w:hAnsi="宋体"/>
          <w:u w:val="single"/>
        </w:rPr>
        <w:t>4</w:t>
      </w:r>
      <w:r>
        <w:rPr>
          <w:rFonts w:hint="eastAsia" w:ascii="宋体" w:hAnsi="宋体"/>
        </w:rPr>
        <w:t>处；</w:t>
      </w:r>
    </w:p>
    <w:p w14:paraId="69814768">
      <w:pPr>
        <w:spacing w:line="360" w:lineRule="auto"/>
        <w:ind w:firstLine="420" w:firstLineChars="200"/>
        <w:rPr>
          <w:rFonts w:ascii="宋体"/>
        </w:rPr>
      </w:pPr>
      <w:r>
        <w:rPr>
          <w:rFonts w:ascii="宋体" w:hAnsi="宋体"/>
        </w:rPr>
        <w:t>2</w:t>
      </w:r>
      <w:r>
        <w:rPr>
          <w:rFonts w:hint="eastAsia" w:ascii="宋体" w:hAnsi="宋体"/>
        </w:rPr>
        <w:t>、道路、车行道</w:t>
      </w:r>
      <w:r>
        <w:rPr>
          <w:rFonts w:hint="eastAsia" w:ascii="宋体" w:hAnsi="宋体"/>
          <w:u w:val="single"/>
        </w:rPr>
        <w:t>2500</w:t>
      </w:r>
      <w:r>
        <w:rPr>
          <w:rFonts w:hint="eastAsia" w:ascii="宋体" w:hAnsi="宋体"/>
        </w:rPr>
        <w:t>平方米，人行道</w:t>
      </w:r>
      <w:r>
        <w:rPr>
          <w:rFonts w:hint="eastAsia" w:ascii="宋体" w:hAnsi="宋体"/>
          <w:u w:val="single"/>
        </w:rPr>
        <w:t>300</w:t>
      </w:r>
      <w:r>
        <w:rPr>
          <w:rFonts w:hint="eastAsia" w:ascii="宋体" w:hAnsi="宋体"/>
        </w:rPr>
        <w:t>平方米；</w:t>
      </w:r>
    </w:p>
    <w:p w14:paraId="5B9912A2">
      <w:pPr>
        <w:spacing w:line="360" w:lineRule="auto"/>
        <w:ind w:firstLine="420" w:firstLineChars="200"/>
        <w:rPr>
          <w:rFonts w:ascii="宋体"/>
        </w:rPr>
      </w:pPr>
      <w:r>
        <w:rPr>
          <w:rFonts w:ascii="宋体" w:hAnsi="宋体"/>
        </w:rPr>
        <w:t>3</w:t>
      </w:r>
      <w:r>
        <w:rPr>
          <w:rFonts w:hint="eastAsia" w:ascii="宋体" w:hAnsi="宋体"/>
        </w:rPr>
        <w:t>、绿化面积</w:t>
      </w:r>
      <w:r>
        <w:rPr>
          <w:rFonts w:hint="eastAsia" w:ascii="宋体" w:hAnsi="宋体"/>
          <w:u w:val="single"/>
        </w:rPr>
        <w:t>3500</w:t>
      </w:r>
      <w:r>
        <w:rPr>
          <w:rFonts w:hint="eastAsia" w:ascii="宋体" w:hAnsi="宋体"/>
        </w:rPr>
        <w:t>平方米，园林建筑小品</w:t>
      </w:r>
      <w:r>
        <w:rPr>
          <w:rFonts w:hint="eastAsia" w:ascii="宋体" w:hAnsi="宋体"/>
          <w:u w:val="single"/>
        </w:rPr>
        <w:t>1</w:t>
      </w:r>
      <w:r>
        <w:rPr>
          <w:rFonts w:hint="eastAsia" w:ascii="宋体" w:hAnsi="宋体"/>
        </w:rPr>
        <w:t>座，水域</w:t>
      </w:r>
      <w:r>
        <w:rPr>
          <w:rFonts w:hint="eastAsia" w:ascii="宋体" w:hAnsi="宋体"/>
          <w:u w:val="single"/>
        </w:rPr>
        <w:t>0</w:t>
      </w:r>
      <w:r>
        <w:rPr>
          <w:rFonts w:hint="eastAsia" w:ascii="宋体" w:hAnsi="宋体"/>
        </w:rPr>
        <w:t>平方米；</w:t>
      </w:r>
    </w:p>
    <w:p w14:paraId="203B5F48">
      <w:pPr>
        <w:spacing w:line="360" w:lineRule="auto"/>
        <w:ind w:firstLine="420" w:firstLineChars="200"/>
        <w:rPr>
          <w:rFonts w:ascii="宋体"/>
        </w:rPr>
      </w:pPr>
      <w:r>
        <w:rPr>
          <w:rFonts w:ascii="宋体" w:hAnsi="宋体"/>
        </w:rPr>
        <w:t>4</w:t>
      </w:r>
      <w:r>
        <w:rPr>
          <w:rFonts w:hint="eastAsia" w:ascii="宋体" w:hAnsi="宋体"/>
        </w:rPr>
        <w:t>、污水管长</w:t>
      </w:r>
      <w:r>
        <w:rPr>
          <w:rFonts w:hint="eastAsia" w:ascii="宋体" w:hAnsi="宋体"/>
          <w:u w:val="single"/>
        </w:rPr>
        <w:t>600</w:t>
      </w:r>
      <w:r>
        <w:rPr>
          <w:rFonts w:hint="eastAsia" w:ascii="宋体" w:hAnsi="宋体"/>
        </w:rPr>
        <w:t>米，污水检查井</w:t>
      </w:r>
      <w:r>
        <w:rPr>
          <w:rFonts w:hint="eastAsia" w:ascii="宋体" w:hAnsi="宋体"/>
          <w:u w:val="single"/>
        </w:rPr>
        <w:t>20</w:t>
      </w:r>
      <w:r>
        <w:rPr>
          <w:rFonts w:hint="eastAsia" w:ascii="宋体" w:hAnsi="宋体"/>
        </w:rPr>
        <w:t>座；雨水管长米，雨水检查井</w:t>
      </w:r>
      <w:r>
        <w:rPr>
          <w:rFonts w:hint="eastAsia" w:ascii="宋体" w:hAnsi="宋体"/>
          <w:u w:val="single"/>
        </w:rPr>
        <w:t>20</w:t>
      </w:r>
      <w:r>
        <w:rPr>
          <w:rFonts w:hint="eastAsia" w:ascii="宋体" w:hAnsi="宋体"/>
        </w:rPr>
        <w:t>座，雨水进水井座，化粪池1座；</w:t>
      </w:r>
    </w:p>
    <w:p w14:paraId="0481FD4F">
      <w:pPr>
        <w:spacing w:line="360" w:lineRule="auto"/>
        <w:ind w:firstLine="420" w:firstLineChars="200"/>
        <w:rPr>
          <w:rFonts w:ascii="宋体"/>
        </w:rPr>
      </w:pPr>
      <w:r>
        <w:rPr>
          <w:rFonts w:ascii="宋体" w:hAnsi="宋体"/>
        </w:rPr>
        <w:t>5</w:t>
      </w:r>
      <w:r>
        <w:rPr>
          <w:rFonts w:hint="eastAsia" w:ascii="宋体" w:hAnsi="宋体"/>
        </w:rPr>
        <w:t>、路灯</w:t>
      </w:r>
      <w:r>
        <w:rPr>
          <w:rFonts w:hint="eastAsia" w:ascii="宋体" w:hAnsi="宋体"/>
          <w:u w:val="single"/>
        </w:rPr>
        <w:t>56</w:t>
      </w:r>
      <w:r>
        <w:rPr>
          <w:rFonts w:hint="eastAsia" w:ascii="宋体" w:hAnsi="宋体"/>
        </w:rPr>
        <w:t>盏，地灯</w:t>
      </w:r>
      <w:r>
        <w:rPr>
          <w:rFonts w:hint="eastAsia" w:ascii="宋体" w:hAnsi="宋体"/>
          <w:u w:val="single"/>
        </w:rPr>
        <w:t>48</w:t>
      </w:r>
      <w:r>
        <w:rPr>
          <w:rFonts w:hint="eastAsia" w:ascii="宋体" w:hAnsi="宋体"/>
        </w:rPr>
        <w:t>盏，草坪灯</w:t>
      </w:r>
      <w:r>
        <w:rPr>
          <w:rFonts w:hint="eastAsia" w:ascii="宋体" w:hAnsi="宋体"/>
          <w:u w:val="single"/>
        </w:rPr>
        <w:t>26</w:t>
      </w:r>
      <w:r>
        <w:rPr>
          <w:rFonts w:hint="eastAsia" w:ascii="宋体" w:hAnsi="宋体"/>
        </w:rPr>
        <w:t>盏，其他照明设施</w:t>
      </w:r>
      <w:r>
        <w:rPr>
          <w:rFonts w:hint="eastAsia" w:ascii="宋体" w:hAnsi="宋体"/>
          <w:u w:val="single"/>
        </w:rPr>
        <w:t xml:space="preserve">  无  </w:t>
      </w:r>
      <w:r>
        <w:rPr>
          <w:rFonts w:hint="eastAsia" w:ascii="宋体" w:hAnsi="宋体"/>
        </w:rPr>
        <w:t>；</w:t>
      </w:r>
    </w:p>
    <w:p w14:paraId="78CA1883">
      <w:pPr>
        <w:spacing w:line="360" w:lineRule="auto"/>
        <w:ind w:firstLine="420" w:firstLineChars="200"/>
        <w:rPr>
          <w:rFonts w:ascii="宋体"/>
        </w:rPr>
      </w:pPr>
      <w:r>
        <w:rPr>
          <w:rFonts w:ascii="宋体" w:hAnsi="宋体"/>
        </w:rPr>
        <w:t>6</w:t>
      </w:r>
      <w:r>
        <w:rPr>
          <w:rFonts w:hint="eastAsia" w:ascii="宋体" w:hAnsi="宋体"/>
        </w:rPr>
        <w:t>、垃圾箱</w:t>
      </w:r>
      <w:r>
        <w:rPr>
          <w:rFonts w:hint="eastAsia" w:ascii="宋体" w:hAnsi="宋体"/>
          <w:u w:val="single"/>
        </w:rPr>
        <w:t>20</w:t>
      </w:r>
      <w:r>
        <w:rPr>
          <w:rFonts w:hint="eastAsia" w:ascii="宋体" w:hAnsi="宋体"/>
        </w:rPr>
        <w:t>个，果皮箱</w:t>
      </w:r>
      <w:r>
        <w:rPr>
          <w:rFonts w:hint="eastAsia" w:ascii="宋体" w:hAnsi="宋体"/>
          <w:u w:val="single"/>
        </w:rPr>
        <w:t>50</w:t>
      </w:r>
      <w:r>
        <w:rPr>
          <w:rFonts w:hint="eastAsia" w:ascii="宋体" w:hAnsi="宋体"/>
        </w:rPr>
        <w:t>个，垃圾房（或垃圾中转站）建筑面积</w:t>
      </w:r>
      <w:r>
        <w:rPr>
          <w:rFonts w:hint="eastAsia" w:ascii="宋体" w:hAnsi="宋体"/>
          <w:u w:val="single"/>
        </w:rPr>
        <w:t>0</w:t>
      </w:r>
      <w:r>
        <w:rPr>
          <w:rFonts w:hint="eastAsia" w:ascii="宋体" w:hAnsi="宋体"/>
        </w:rPr>
        <w:t>平方米；</w:t>
      </w:r>
    </w:p>
    <w:p w14:paraId="26EF1628">
      <w:pPr>
        <w:spacing w:line="360" w:lineRule="auto"/>
        <w:ind w:firstLine="420" w:firstLineChars="200"/>
        <w:rPr>
          <w:rFonts w:ascii="宋体"/>
        </w:rPr>
      </w:pPr>
      <w:r>
        <w:rPr>
          <w:rFonts w:ascii="宋体" w:hAnsi="宋体"/>
        </w:rPr>
        <w:t>7</w:t>
      </w:r>
      <w:r>
        <w:rPr>
          <w:rFonts w:hint="eastAsia" w:ascii="宋体" w:hAnsi="宋体"/>
        </w:rPr>
        <w:t>、体育设施：</w:t>
      </w:r>
      <w:r>
        <w:rPr>
          <w:rFonts w:hint="eastAsia" w:ascii="宋体" w:hAnsi="宋体"/>
          <w:u w:val="single"/>
        </w:rPr>
        <w:t>田径运动场、篮球场、篮球馆</w:t>
      </w:r>
      <w:r>
        <w:rPr>
          <w:rFonts w:hint="eastAsia" w:ascii="宋体" w:hAnsi="宋体"/>
        </w:rPr>
        <w:t>；</w:t>
      </w:r>
    </w:p>
    <w:p w14:paraId="708047CD">
      <w:pPr>
        <w:spacing w:line="360" w:lineRule="auto"/>
        <w:ind w:firstLine="420" w:firstLineChars="200"/>
        <w:rPr>
          <w:rFonts w:ascii="宋体"/>
        </w:rPr>
      </w:pPr>
      <w:r>
        <w:rPr>
          <w:rFonts w:ascii="宋体" w:hAnsi="宋体"/>
        </w:rPr>
        <w:t>8</w:t>
      </w:r>
      <w:r>
        <w:rPr>
          <w:rFonts w:hint="eastAsia" w:ascii="宋体" w:hAnsi="宋体"/>
        </w:rPr>
        <w:t>、休闲设施；</w:t>
      </w:r>
      <w:r>
        <w:rPr>
          <w:rFonts w:hint="eastAsia" w:ascii="宋体" w:hAnsi="宋体"/>
          <w:u w:val="single"/>
        </w:rPr>
        <w:t>无</w:t>
      </w:r>
    </w:p>
    <w:p w14:paraId="7B76CA3A">
      <w:pPr>
        <w:spacing w:line="360" w:lineRule="auto"/>
        <w:ind w:left="210" w:leftChars="100" w:firstLine="210" w:firstLineChars="100"/>
        <w:rPr>
          <w:rFonts w:ascii="宋体"/>
        </w:rPr>
      </w:pPr>
      <w:r>
        <w:rPr>
          <w:rFonts w:ascii="宋体" w:hAnsi="宋体"/>
        </w:rPr>
        <w:t>9</w:t>
      </w:r>
      <w:r>
        <w:rPr>
          <w:rFonts w:hint="eastAsia" w:ascii="宋体" w:hAnsi="宋体"/>
        </w:rPr>
        <w:t>、停车场：室内停车场</w:t>
      </w:r>
      <w:r>
        <w:rPr>
          <w:rFonts w:hint="eastAsia" w:ascii="宋体" w:hAnsi="宋体"/>
          <w:u w:val="single"/>
        </w:rPr>
        <w:t>0</w:t>
      </w:r>
      <w:r>
        <w:rPr>
          <w:rFonts w:hint="eastAsia" w:ascii="宋体" w:hAnsi="宋体"/>
        </w:rPr>
        <w:t>个，面积共</w:t>
      </w:r>
      <w:r>
        <w:rPr>
          <w:rFonts w:hint="eastAsia" w:ascii="宋体" w:hAnsi="宋体"/>
          <w:u w:val="single"/>
        </w:rPr>
        <w:t>0</w:t>
      </w:r>
      <w:r>
        <w:rPr>
          <w:rFonts w:hint="eastAsia" w:ascii="宋体" w:hAnsi="宋体"/>
        </w:rPr>
        <w:t>平方米，停车位</w:t>
      </w:r>
      <w:r>
        <w:rPr>
          <w:rFonts w:hint="eastAsia" w:ascii="宋体" w:hAnsi="宋体"/>
          <w:u w:val="single"/>
        </w:rPr>
        <w:t>0</w:t>
      </w:r>
      <w:r>
        <w:rPr>
          <w:rFonts w:hint="eastAsia" w:ascii="宋体" w:hAnsi="宋体"/>
        </w:rPr>
        <w:t>个；露天专用停车场 1个，占地面积共</w:t>
      </w:r>
      <w:r>
        <w:rPr>
          <w:rFonts w:hint="eastAsia" w:ascii="宋体" w:hAnsi="宋体"/>
          <w:u w:val="single"/>
        </w:rPr>
        <w:t>250</w:t>
      </w:r>
      <w:r>
        <w:rPr>
          <w:rFonts w:hint="eastAsia" w:ascii="宋体" w:hAnsi="宋体"/>
        </w:rPr>
        <w:t>平方米，停车位</w:t>
      </w:r>
      <w:r>
        <w:rPr>
          <w:rFonts w:hint="eastAsia" w:ascii="宋体" w:hAnsi="宋体"/>
          <w:u w:val="single"/>
        </w:rPr>
        <w:t>20</w:t>
      </w:r>
      <w:r>
        <w:rPr>
          <w:rFonts w:hint="eastAsia" w:ascii="宋体" w:hAnsi="宋体"/>
        </w:rPr>
        <w:t>位，露天零散停车位</w:t>
      </w:r>
      <w:r>
        <w:rPr>
          <w:rFonts w:hint="eastAsia" w:ascii="宋体" w:hAnsi="宋体"/>
          <w:u w:val="single"/>
        </w:rPr>
        <w:t>10</w:t>
      </w:r>
      <w:r>
        <w:rPr>
          <w:rFonts w:hint="eastAsia" w:ascii="宋体" w:hAnsi="宋体"/>
        </w:rPr>
        <w:t>个；</w:t>
      </w:r>
      <w:r>
        <w:rPr>
          <w:rFonts w:hint="eastAsia" w:ascii="宋体"/>
        </w:rPr>
        <w:t>自行车停车位：</w:t>
      </w:r>
      <w:r>
        <w:rPr>
          <w:rFonts w:hint="eastAsia" w:ascii="宋体"/>
          <w:u w:val="single"/>
        </w:rPr>
        <w:t>自行车停放设在零散车棚</w:t>
      </w:r>
      <w:r>
        <w:rPr>
          <w:rFonts w:hint="eastAsia" w:ascii="宋体"/>
        </w:rPr>
        <w:t>。</w:t>
      </w:r>
    </w:p>
    <w:p w14:paraId="0F3CC473">
      <w:pPr>
        <w:spacing w:line="360" w:lineRule="auto"/>
        <w:ind w:left="105" w:leftChars="50" w:firstLine="315" w:firstLineChars="150"/>
        <w:rPr>
          <w:rFonts w:ascii="宋体"/>
        </w:rPr>
      </w:pPr>
      <w:r>
        <w:rPr>
          <w:rFonts w:hint="eastAsia" w:ascii="宋体" w:hAnsi="宋体"/>
        </w:rPr>
        <w:t>`</w:t>
      </w:r>
      <w:r>
        <w:rPr>
          <w:rFonts w:ascii="宋体" w:hAnsi="宋体"/>
        </w:rPr>
        <w:t>10</w:t>
      </w:r>
      <w:r>
        <w:rPr>
          <w:rFonts w:hint="eastAsia" w:ascii="宋体" w:hAnsi="宋体"/>
        </w:rPr>
        <w:t>、电梯</w:t>
      </w:r>
      <w:r>
        <w:rPr>
          <w:rFonts w:hint="eastAsia" w:ascii="宋体" w:hAnsi="宋体"/>
          <w:u w:val="single"/>
        </w:rPr>
        <w:t>4</w:t>
      </w:r>
      <w:r>
        <w:rPr>
          <w:rFonts w:hint="eastAsia" w:ascii="宋体" w:hAnsi="宋体"/>
        </w:rPr>
        <w:t>台，载重</w:t>
      </w:r>
      <w:r>
        <w:rPr>
          <w:rFonts w:hint="eastAsia" w:ascii="宋体" w:hAnsi="宋体"/>
          <w:u w:val="single"/>
        </w:rPr>
        <w:t>1000KG</w:t>
      </w:r>
      <w:r>
        <w:rPr>
          <w:rFonts w:hint="eastAsia" w:ascii="宋体" w:hAnsi="宋体"/>
        </w:rPr>
        <w:t>，品牌:</w:t>
      </w:r>
      <w:r>
        <w:rPr>
          <w:rFonts w:hint="eastAsia" w:ascii="宋体" w:hAnsi="宋体"/>
          <w:u w:val="single"/>
        </w:rPr>
        <w:t>KONE</w:t>
      </w:r>
      <w:r>
        <w:rPr>
          <w:rFonts w:hint="eastAsia" w:ascii="宋体" w:hAnsi="宋体"/>
        </w:rPr>
        <w:t>，型号</w:t>
      </w:r>
      <w:r>
        <w:rPr>
          <w:rFonts w:hint="eastAsia" w:ascii="宋体" w:hAnsi="宋体"/>
          <w:u w:val="single"/>
        </w:rPr>
        <w:t>XSQ115-12</w:t>
      </w:r>
      <w:r>
        <w:rPr>
          <w:rFonts w:hint="eastAsia" w:ascii="宋体" w:hAnsi="宋体"/>
        </w:rPr>
        <w:t>，启用时间：</w:t>
      </w:r>
      <w:r>
        <w:rPr>
          <w:rFonts w:hint="eastAsia" w:ascii="宋体" w:hAnsi="宋体"/>
          <w:u w:val="single"/>
        </w:rPr>
        <w:t>五年以上</w:t>
      </w:r>
    </w:p>
    <w:p w14:paraId="4301C919">
      <w:pPr>
        <w:spacing w:line="360" w:lineRule="auto"/>
        <w:ind w:firstLine="420" w:firstLineChars="200"/>
        <w:rPr>
          <w:rFonts w:ascii="宋体"/>
        </w:rPr>
      </w:pPr>
      <w:r>
        <w:rPr>
          <w:rFonts w:ascii="宋体" w:hAnsi="宋体"/>
        </w:rPr>
        <w:t>11</w:t>
      </w:r>
      <w:r>
        <w:rPr>
          <w:rFonts w:hint="eastAsia" w:ascii="宋体" w:hAnsi="宋体"/>
        </w:rPr>
        <w:t>、高压配电</w:t>
      </w:r>
      <w:r>
        <w:rPr>
          <w:rFonts w:hint="eastAsia" w:ascii="宋体" w:hAnsi="宋体"/>
          <w:u w:val="single"/>
        </w:rPr>
        <w:t>1</w:t>
      </w:r>
      <w:r>
        <w:rPr>
          <w:rFonts w:hint="eastAsia" w:ascii="宋体" w:hAnsi="宋体"/>
        </w:rPr>
        <w:t>台，容量共</w:t>
      </w:r>
      <w:r>
        <w:rPr>
          <w:rFonts w:hint="eastAsia" w:ascii="宋体" w:hAnsi="宋体"/>
          <w:u w:val="single"/>
        </w:rPr>
        <w:t>500</w:t>
      </w:r>
      <w:r>
        <w:rPr>
          <w:rFonts w:hint="eastAsia" w:ascii="宋体" w:hAnsi="宋体"/>
        </w:rPr>
        <w:t>千瓦，品牌型号</w:t>
      </w:r>
      <w:r>
        <w:rPr>
          <w:rFonts w:hint="eastAsia" w:ascii="宋体" w:hAnsi="宋体"/>
          <w:u w:val="single"/>
        </w:rPr>
        <w:t>上海</w:t>
      </w:r>
      <w:r>
        <w:rPr>
          <w:rFonts w:hint="eastAsia" w:ascii="宋体" w:hAnsi="宋体"/>
        </w:rPr>
        <w:t>，启用时间：</w:t>
      </w:r>
      <w:r>
        <w:rPr>
          <w:rFonts w:hint="eastAsia" w:ascii="宋体" w:hAnsi="宋体"/>
          <w:u w:val="single"/>
          <w:lang w:val="en-US" w:eastAsia="zh-CN"/>
        </w:rPr>
        <w:t>一</w:t>
      </w:r>
      <w:r>
        <w:rPr>
          <w:rFonts w:hint="eastAsia" w:ascii="宋体" w:hAnsi="宋体"/>
          <w:u w:val="single"/>
        </w:rPr>
        <w:t>年以上</w:t>
      </w:r>
      <w:r>
        <w:rPr>
          <w:rFonts w:hint="eastAsia" w:ascii="宋体" w:hAnsi="宋体"/>
        </w:rPr>
        <w:t>；发电机组功率</w:t>
      </w:r>
      <w:r>
        <w:rPr>
          <w:rFonts w:hint="eastAsia" w:ascii="宋体" w:hAnsi="宋体"/>
          <w:u w:val="single"/>
        </w:rPr>
        <w:t>0</w:t>
      </w:r>
      <w:r>
        <w:rPr>
          <w:rFonts w:hint="eastAsia" w:ascii="宋体" w:hAnsi="宋体"/>
        </w:rPr>
        <w:t>千瓦，品牌型号</w:t>
      </w:r>
      <w:r>
        <w:rPr>
          <w:rFonts w:hint="eastAsia" w:ascii="宋体" w:hAnsi="宋体"/>
          <w:u w:val="single"/>
        </w:rPr>
        <w:t>0</w:t>
      </w:r>
      <w:r>
        <w:rPr>
          <w:rFonts w:hint="eastAsia" w:ascii="宋体" w:hAnsi="宋体"/>
        </w:rPr>
        <w:t>；启用时间</w:t>
      </w:r>
      <w:r>
        <w:rPr>
          <w:rFonts w:hint="eastAsia" w:ascii="宋体" w:hAnsi="宋体"/>
          <w:u w:val="single"/>
        </w:rPr>
        <w:t>0</w:t>
      </w:r>
      <w:r>
        <w:rPr>
          <w:rFonts w:hint="eastAsia" w:ascii="宋体" w:hAnsi="宋体"/>
        </w:rPr>
        <w:t>；</w:t>
      </w:r>
    </w:p>
    <w:p w14:paraId="53362FFB">
      <w:pPr>
        <w:spacing w:line="360" w:lineRule="auto"/>
        <w:ind w:firstLine="420" w:firstLineChars="200"/>
        <w:rPr>
          <w:rFonts w:ascii="宋体"/>
        </w:rPr>
      </w:pPr>
      <w:r>
        <w:rPr>
          <w:rFonts w:ascii="宋体" w:hAnsi="宋体"/>
        </w:rPr>
        <w:t>12</w:t>
      </w:r>
      <w:r>
        <w:rPr>
          <w:rFonts w:hint="eastAsia" w:ascii="宋体" w:hAnsi="宋体"/>
        </w:rPr>
        <w:t>、生活蓄水池</w:t>
      </w:r>
      <w:r>
        <w:rPr>
          <w:rFonts w:hint="eastAsia" w:ascii="宋体" w:hAnsi="宋体"/>
          <w:u w:val="single"/>
        </w:rPr>
        <w:t>14</w:t>
      </w:r>
      <w:r>
        <w:rPr>
          <w:rFonts w:hint="eastAsia" w:ascii="宋体" w:hAnsi="宋体"/>
        </w:rPr>
        <w:t>立方米，消防水池</w:t>
      </w:r>
      <w:r>
        <w:rPr>
          <w:rFonts w:hint="eastAsia" w:ascii="宋体" w:hAnsi="宋体"/>
          <w:u w:val="single"/>
        </w:rPr>
        <w:t>0</w:t>
      </w:r>
      <w:r>
        <w:rPr>
          <w:rFonts w:hint="eastAsia" w:ascii="宋体" w:hAnsi="宋体"/>
        </w:rPr>
        <w:t>立方米，消防水箱</w:t>
      </w:r>
      <w:r>
        <w:rPr>
          <w:rFonts w:hint="eastAsia" w:ascii="宋体" w:hAnsi="宋体"/>
          <w:u w:val="single"/>
        </w:rPr>
        <w:t>12</w:t>
      </w:r>
      <w:r>
        <w:rPr>
          <w:rFonts w:hint="eastAsia" w:ascii="宋体" w:hAnsi="宋体"/>
        </w:rPr>
        <w:t>立方米；生活水泵</w:t>
      </w:r>
      <w:r>
        <w:rPr>
          <w:rFonts w:hint="eastAsia" w:ascii="宋体" w:hAnsi="宋体"/>
          <w:u w:val="single"/>
        </w:rPr>
        <w:t>2</w:t>
      </w:r>
      <w:r>
        <w:rPr>
          <w:rFonts w:hint="eastAsia" w:ascii="宋体" w:hAnsi="宋体"/>
        </w:rPr>
        <w:t>台，功率为</w:t>
      </w:r>
      <w:r>
        <w:rPr>
          <w:rFonts w:hint="eastAsia" w:ascii="宋体" w:hAnsi="宋体"/>
          <w:u w:val="single"/>
        </w:rPr>
        <w:t>11</w:t>
      </w:r>
      <w:r>
        <w:rPr>
          <w:rFonts w:hint="eastAsia" w:ascii="宋体" w:hAnsi="宋体"/>
        </w:rPr>
        <w:t>千瓦</w:t>
      </w:r>
      <w:r>
        <w:rPr>
          <w:rFonts w:ascii="宋体" w:hAnsi="宋体"/>
        </w:rPr>
        <w:t>/</w:t>
      </w:r>
      <w:r>
        <w:rPr>
          <w:rFonts w:hint="eastAsia" w:ascii="宋体" w:hAnsi="宋体"/>
        </w:rPr>
        <w:t>台，启用时间：</w:t>
      </w:r>
      <w:r>
        <w:rPr>
          <w:rFonts w:hint="eastAsia" w:ascii="宋体" w:hAnsi="宋体"/>
          <w:u w:val="single"/>
        </w:rPr>
        <w:t>2010年</w:t>
      </w:r>
      <w:r>
        <w:rPr>
          <w:rFonts w:hint="eastAsia" w:ascii="宋体" w:hAnsi="宋体"/>
        </w:rPr>
        <w:t>；排污水泵0台，功率为</w:t>
      </w:r>
      <w:r>
        <w:rPr>
          <w:rFonts w:hint="eastAsia" w:ascii="宋体" w:hAnsi="宋体"/>
          <w:u w:val="single"/>
        </w:rPr>
        <w:t>0</w:t>
      </w:r>
      <w:r>
        <w:rPr>
          <w:rFonts w:hint="eastAsia" w:ascii="宋体" w:hAnsi="宋体"/>
        </w:rPr>
        <w:t>千瓦</w:t>
      </w:r>
      <w:r>
        <w:rPr>
          <w:rFonts w:ascii="宋体" w:hAnsi="宋体"/>
        </w:rPr>
        <w:t>/</w:t>
      </w:r>
      <w:r>
        <w:rPr>
          <w:rFonts w:hint="eastAsia" w:ascii="宋体" w:hAnsi="宋体"/>
        </w:rPr>
        <w:t>台，启用时间：</w:t>
      </w:r>
      <w:r>
        <w:rPr>
          <w:rFonts w:hint="eastAsia" w:ascii="宋体" w:hAnsi="宋体"/>
          <w:u w:val="single"/>
        </w:rPr>
        <w:t>2010年</w:t>
      </w:r>
      <w:r>
        <w:rPr>
          <w:rFonts w:hint="eastAsia" w:ascii="宋体" w:hAnsi="宋体"/>
        </w:rPr>
        <w:t>，消防水泵</w:t>
      </w:r>
      <w:r>
        <w:rPr>
          <w:rFonts w:hint="eastAsia" w:ascii="宋体" w:hAnsi="宋体"/>
          <w:u w:val="single"/>
        </w:rPr>
        <w:t>2</w:t>
      </w:r>
      <w:r>
        <w:rPr>
          <w:rFonts w:hint="eastAsia" w:ascii="宋体" w:hAnsi="宋体"/>
        </w:rPr>
        <w:t>台，功率为</w:t>
      </w:r>
      <w:r>
        <w:rPr>
          <w:rFonts w:hint="eastAsia" w:ascii="宋体" w:hAnsi="宋体"/>
          <w:u w:val="single"/>
        </w:rPr>
        <w:t>11</w:t>
      </w:r>
      <w:r>
        <w:rPr>
          <w:rFonts w:hint="eastAsia" w:ascii="宋体" w:hAnsi="宋体"/>
        </w:rPr>
        <w:t>千瓦</w:t>
      </w:r>
      <w:r>
        <w:rPr>
          <w:rFonts w:ascii="宋体" w:hAnsi="宋体"/>
        </w:rPr>
        <w:t>/</w:t>
      </w:r>
      <w:r>
        <w:rPr>
          <w:rFonts w:hint="eastAsia" w:ascii="宋体" w:hAnsi="宋体"/>
        </w:rPr>
        <w:t>台，启用时间：</w:t>
      </w:r>
      <w:r>
        <w:rPr>
          <w:rFonts w:hint="eastAsia" w:ascii="宋体" w:hAnsi="宋体"/>
          <w:u w:val="single"/>
        </w:rPr>
        <w:t>2010年</w:t>
      </w:r>
      <w:r>
        <w:rPr>
          <w:rFonts w:hint="eastAsia" w:ascii="宋体" w:hAnsi="宋体"/>
        </w:rPr>
        <w:t>；</w:t>
      </w:r>
    </w:p>
    <w:p w14:paraId="2FB7F0C4">
      <w:pPr>
        <w:spacing w:line="360" w:lineRule="auto"/>
        <w:ind w:firstLine="420" w:firstLineChars="200"/>
        <w:rPr>
          <w:rFonts w:ascii="宋体"/>
        </w:rPr>
      </w:pPr>
      <w:r>
        <w:rPr>
          <w:rFonts w:ascii="宋体" w:hAnsi="宋体"/>
        </w:rPr>
        <w:t>13</w:t>
      </w:r>
      <w:r>
        <w:rPr>
          <w:rFonts w:hint="eastAsia" w:ascii="宋体" w:hAnsi="宋体"/>
        </w:rPr>
        <w:t>、消防灭火器配备情况：</w:t>
      </w:r>
      <w:r>
        <w:rPr>
          <w:rFonts w:hint="eastAsia" w:ascii="宋体" w:hAnsi="宋体"/>
          <w:u w:val="single"/>
        </w:rPr>
        <w:t>学校灭火器配置齐全</w:t>
      </w:r>
      <w:r>
        <w:rPr>
          <w:rFonts w:hint="eastAsia" w:ascii="宋体" w:hAnsi="宋体"/>
        </w:rPr>
        <w:t>。</w:t>
      </w:r>
    </w:p>
    <w:p w14:paraId="78B87AAD">
      <w:pPr>
        <w:spacing w:line="360" w:lineRule="auto"/>
        <w:ind w:firstLine="420" w:firstLineChars="200"/>
        <w:rPr>
          <w:rFonts w:ascii="宋体" w:hAnsi="宋体"/>
        </w:rPr>
      </w:pPr>
      <w:r>
        <w:rPr>
          <w:rFonts w:ascii="宋体" w:hAnsi="宋体"/>
        </w:rPr>
        <w:t>14</w:t>
      </w:r>
      <w:r>
        <w:rPr>
          <w:rFonts w:hint="eastAsia" w:ascii="宋体" w:hAnsi="宋体"/>
        </w:rPr>
        <w:t>、智能化系统</w:t>
      </w:r>
      <w:r>
        <w:rPr>
          <w:rFonts w:hint="eastAsia" w:ascii="宋体" w:hAnsi="宋体"/>
          <w:u w:val="single"/>
        </w:rPr>
        <w:t>监控</w:t>
      </w:r>
      <w:r>
        <w:rPr>
          <w:rFonts w:hint="eastAsia" w:ascii="宋体" w:hAnsi="宋体"/>
        </w:rPr>
        <w:t>：</w:t>
      </w:r>
      <w:r>
        <w:rPr>
          <w:rFonts w:hint="eastAsia" w:ascii="宋体" w:hAnsi="宋体"/>
          <w:u w:val="single"/>
        </w:rPr>
        <w:t>监控室1间</w:t>
      </w:r>
      <w:r>
        <w:rPr>
          <w:rFonts w:hint="eastAsia" w:ascii="宋体" w:hAnsi="宋体"/>
        </w:rPr>
        <w:t>，共有监控屏</w:t>
      </w:r>
      <w:r>
        <w:rPr>
          <w:rFonts w:hint="eastAsia" w:ascii="宋体" w:hAnsi="宋体"/>
          <w:u w:val="single"/>
        </w:rPr>
        <w:t>12</w:t>
      </w:r>
      <w:r>
        <w:rPr>
          <w:rFonts w:hint="eastAsia" w:ascii="宋体" w:hAnsi="宋体"/>
        </w:rPr>
        <w:t>个，校园总摄像头</w:t>
      </w:r>
      <w:r>
        <w:rPr>
          <w:rFonts w:hint="eastAsia" w:ascii="宋体" w:hAnsi="宋体"/>
          <w:u w:val="single"/>
        </w:rPr>
        <w:t>180</w:t>
      </w:r>
      <w:r>
        <w:rPr>
          <w:rFonts w:hint="eastAsia" w:ascii="宋体" w:hAnsi="宋体"/>
        </w:rPr>
        <w:t>个；</w:t>
      </w:r>
    </w:p>
    <w:p w14:paraId="3DF11571">
      <w:pPr>
        <w:spacing w:line="360" w:lineRule="auto"/>
        <w:ind w:firstLine="420" w:firstLineChars="200"/>
        <w:rPr>
          <w:rFonts w:ascii="宋体"/>
          <w:b/>
        </w:rPr>
      </w:pPr>
      <w:r>
        <w:rPr>
          <w:rFonts w:hint="eastAsia" w:ascii="宋体"/>
        </w:rPr>
        <w:t>未列明项请供应商踏勘时自行考量</w:t>
      </w:r>
      <w:r>
        <w:rPr>
          <w:rFonts w:hint="eastAsia" w:ascii="宋体"/>
          <w:b/>
        </w:rPr>
        <w:t>。</w:t>
      </w:r>
    </w:p>
    <w:p w14:paraId="51C49BC4">
      <w:pPr>
        <w:spacing w:line="360" w:lineRule="auto"/>
        <w:rPr>
          <w:rFonts w:ascii="宋体"/>
        </w:rPr>
      </w:pPr>
      <w:r>
        <w:rPr>
          <w:rFonts w:hint="eastAsia" w:ascii="宋体"/>
          <w:b/>
        </w:rPr>
        <w:t>（二）各楼宇各层功能分布情况</w:t>
      </w:r>
    </w:p>
    <w:p w14:paraId="66B01D67">
      <w:pPr>
        <w:spacing w:line="360" w:lineRule="auto"/>
        <w:ind w:firstLine="567" w:firstLineChars="270"/>
        <w:rPr>
          <w:rFonts w:ascii="宋体"/>
        </w:rPr>
      </w:pPr>
      <w:r>
        <w:rPr>
          <w:rFonts w:hint="eastAsia" w:ascii="宋体"/>
        </w:rPr>
        <w:t>1、A区校园：</w:t>
      </w:r>
    </w:p>
    <w:p w14:paraId="4175CF8C">
      <w:pPr>
        <w:spacing w:line="360" w:lineRule="auto"/>
        <w:ind w:firstLine="567" w:firstLineChars="270"/>
        <w:rPr>
          <w:rFonts w:ascii="宋体"/>
        </w:rPr>
      </w:pPr>
      <w:r>
        <w:rPr>
          <w:rFonts w:hint="eastAsia" w:ascii="宋体"/>
        </w:rPr>
        <w:t>第一教学楼(1号楼)。地面4层，无地下室。用于教学场所。</w:t>
      </w:r>
    </w:p>
    <w:p w14:paraId="2FE92F4E">
      <w:pPr>
        <w:spacing w:line="360" w:lineRule="auto"/>
        <w:ind w:firstLine="567" w:firstLineChars="270"/>
        <w:rPr>
          <w:rFonts w:ascii="宋体"/>
        </w:rPr>
      </w:pPr>
      <w:r>
        <w:rPr>
          <w:rFonts w:hint="eastAsia" w:ascii="宋体"/>
        </w:rPr>
        <w:t>第二教学楼(2号楼)。地面5层，无地下室，用于教学场所和学校办公场所。</w:t>
      </w:r>
    </w:p>
    <w:p w14:paraId="555DAA9C">
      <w:pPr>
        <w:spacing w:line="360" w:lineRule="auto"/>
        <w:ind w:firstLine="567" w:firstLineChars="270"/>
        <w:rPr>
          <w:rFonts w:ascii="宋体"/>
        </w:rPr>
      </w:pPr>
      <w:r>
        <w:rPr>
          <w:rFonts w:hint="eastAsia" w:ascii="宋体"/>
        </w:rPr>
        <w:t>物流仓储与配送实训室(3号楼)，地面1层，无地下室，培训场所。</w:t>
      </w:r>
    </w:p>
    <w:p w14:paraId="28465803">
      <w:pPr>
        <w:spacing w:line="360" w:lineRule="auto"/>
        <w:ind w:firstLine="567" w:firstLineChars="270"/>
        <w:rPr>
          <w:rFonts w:ascii="宋体"/>
        </w:rPr>
      </w:pPr>
      <w:r>
        <w:rPr>
          <w:rFonts w:hint="eastAsia" w:ascii="宋体"/>
        </w:rPr>
        <w:t>综合楼(4号楼)，地面3层，无地下室，主要包括食堂及室内体育场。</w:t>
      </w:r>
    </w:p>
    <w:p w14:paraId="1EC9C5F3">
      <w:pPr>
        <w:spacing w:line="360" w:lineRule="auto"/>
        <w:ind w:firstLine="567" w:firstLineChars="270"/>
        <w:rPr>
          <w:rFonts w:ascii="宋体"/>
        </w:rPr>
      </w:pPr>
      <w:r>
        <w:rPr>
          <w:rFonts w:hint="eastAsia" w:ascii="宋体"/>
        </w:rPr>
        <w:t>男生宿舍(5号楼)：地面5层，无地下室，主要用于学生住宿。</w:t>
      </w:r>
    </w:p>
    <w:p w14:paraId="0AA31C18">
      <w:pPr>
        <w:spacing w:line="360" w:lineRule="auto"/>
        <w:ind w:firstLine="567" w:firstLineChars="270"/>
        <w:rPr>
          <w:rFonts w:ascii="宋体"/>
        </w:rPr>
      </w:pPr>
      <w:r>
        <w:rPr>
          <w:rFonts w:hint="eastAsia" w:ascii="宋体"/>
        </w:rPr>
        <w:t>文体中心(6号楼)：共2层，无地下室，主要用于文体活动、保健室、会场等；</w:t>
      </w:r>
    </w:p>
    <w:p w14:paraId="7EA29326">
      <w:pPr>
        <w:spacing w:line="360" w:lineRule="auto"/>
        <w:ind w:firstLine="567" w:firstLineChars="270"/>
        <w:rPr>
          <w:rFonts w:ascii="宋体"/>
        </w:rPr>
      </w:pPr>
      <w:r>
        <w:rPr>
          <w:rFonts w:hint="eastAsia" w:ascii="宋体"/>
        </w:rPr>
        <w:t>男、女宿舍(7号楼)：地面5层，无地下室，宿舍进口独立，用于学生住宿；</w:t>
      </w:r>
    </w:p>
    <w:p w14:paraId="093ABD0E">
      <w:pPr>
        <w:spacing w:line="360" w:lineRule="auto"/>
        <w:ind w:firstLine="567" w:firstLineChars="270"/>
        <w:rPr>
          <w:rFonts w:ascii="宋体"/>
        </w:rPr>
      </w:pPr>
      <w:r>
        <w:rPr>
          <w:rFonts w:hint="eastAsia" w:ascii="宋体"/>
        </w:rPr>
        <w:t>电子阅览室(8号楼)：地面2层，无地下室；公开使用</w:t>
      </w:r>
    </w:p>
    <w:p w14:paraId="389403EF">
      <w:pPr>
        <w:spacing w:line="360" w:lineRule="auto"/>
        <w:ind w:firstLine="567" w:firstLineChars="270"/>
        <w:rPr>
          <w:rFonts w:ascii="宋体"/>
        </w:rPr>
      </w:pPr>
      <w:r>
        <w:rPr>
          <w:rFonts w:hint="eastAsia" w:ascii="宋体"/>
        </w:rPr>
        <w:t>口岸物流实训楼(9号楼)：地面1层，无地下室，培训专用；</w:t>
      </w:r>
    </w:p>
    <w:p w14:paraId="7BD025AE">
      <w:pPr>
        <w:spacing w:line="360" w:lineRule="auto"/>
        <w:ind w:firstLine="567" w:firstLineChars="270"/>
        <w:rPr>
          <w:rFonts w:ascii="宋体"/>
        </w:rPr>
      </w:pPr>
      <w:r>
        <w:rPr>
          <w:rFonts w:hint="eastAsia" w:ascii="宋体"/>
        </w:rPr>
        <w:t>物流运输实训楼(10号楼)：地面1层，无地下室，培训专用；</w:t>
      </w:r>
    </w:p>
    <w:p w14:paraId="00198AC9">
      <w:pPr>
        <w:spacing w:line="360" w:lineRule="auto"/>
        <w:ind w:firstLine="567" w:firstLineChars="270"/>
        <w:rPr>
          <w:rFonts w:ascii="宋体"/>
        </w:rPr>
      </w:pPr>
      <w:r>
        <w:rPr>
          <w:rFonts w:hint="eastAsia" w:ascii="宋体"/>
        </w:rPr>
        <w:t>配电间：地面1层，无地下室，主要存放校园高、低压配电设备。</w:t>
      </w:r>
    </w:p>
    <w:p w14:paraId="42BA2B1F">
      <w:pPr>
        <w:spacing w:line="360" w:lineRule="auto"/>
        <w:ind w:firstLine="567" w:firstLineChars="270"/>
        <w:rPr>
          <w:rFonts w:ascii="宋体"/>
        </w:rPr>
      </w:pPr>
      <w:r>
        <w:rPr>
          <w:rFonts w:hint="eastAsia" w:ascii="宋体"/>
        </w:rPr>
        <w:t>浴室：地面1层，无地下室，分男女浴室。</w:t>
      </w:r>
    </w:p>
    <w:p w14:paraId="31725332">
      <w:pPr>
        <w:spacing w:line="360" w:lineRule="auto"/>
        <w:ind w:firstLine="567" w:firstLineChars="270"/>
        <w:rPr>
          <w:rFonts w:ascii="宋体"/>
        </w:rPr>
      </w:pPr>
      <w:r>
        <w:rPr>
          <w:rFonts w:hint="eastAsia" w:ascii="宋体"/>
        </w:rPr>
        <w:t>水泵间：地面1层，无地下室，为整个A区校园生活供水。</w:t>
      </w:r>
    </w:p>
    <w:p w14:paraId="553FB9F4">
      <w:pPr>
        <w:spacing w:line="360" w:lineRule="auto"/>
        <w:rPr>
          <w:rFonts w:ascii="宋体"/>
        </w:rPr>
      </w:pPr>
      <w:r>
        <w:rPr>
          <w:rFonts w:hint="eastAsia" w:ascii="宋体"/>
        </w:rPr>
        <w:t>2、B区校园：</w:t>
      </w:r>
    </w:p>
    <w:p w14:paraId="0DE5BAFA">
      <w:pPr>
        <w:spacing w:line="360" w:lineRule="auto"/>
        <w:ind w:firstLine="567" w:firstLineChars="270"/>
        <w:rPr>
          <w:rFonts w:ascii="宋体"/>
        </w:rPr>
      </w:pPr>
      <w:r>
        <w:rPr>
          <w:rFonts w:hint="eastAsia" w:ascii="宋体"/>
        </w:rPr>
        <w:t>继续教育部(11号楼)：地面1层，无地下室，日常办公；</w:t>
      </w:r>
    </w:p>
    <w:p w14:paraId="065DCEE4">
      <w:pPr>
        <w:spacing w:line="360" w:lineRule="auto"/>
        <w:ind w:firstLine="567" w:firstLineChars="270"/>
        <w:rPr>
          <w:rFonts w:ascii="宋体"/>
        </w:rPr>
      </w:pPr>
      <w:r>
        <w:rPr>
          <w:rFonts w:hint="eastAsia" w:ascii="宋体"/>
        </w:rPr>
        <w:t>实训楼(12号楼)：地面4层，无地下室，教学培训使用；</w:t>
      </w:r>
    </w:p>
    <w:p w14:paraId="021068FA">
      <w:pPr>
        <w:spacing w:line="360" w:lineRule="auto"/>
        <w:ind w:firstLine="567" w:firstLineChars="270"/>
        <w:rPr>
          <w:rFonts w:ascii="宋体"/>
        </w:rPr>
      </w:pPr>
      <w:r>
        <w:rPr>
          <w:rFonts w:hint="eastAsia" w:ascii="宋体"/>
        </w:rPr>
        <w:t>汽车实训配件备料库(13号楼)：地面1层，无地下室；</w:t>
      </w:r>
    </w:p>
    <w:p w14:paraId="1CD54EF1">
      <w:pPr>
        <w:spacing w:line="360" w:lineRule="auto"/>
        <w:ind w:firstLine="567" w:firstLineChars="270"/>
        <w:rPr>
          <w:rFonts w:ascii="宋体"/>
        </w:rPr>
      </w:pPr>
      <w:r>
        <w:rPr>
          <w:rFonts w:hint="eastAsia" w:ascii="宋体"/>
        </w:rPr>
        <w:t>信息中心(14号楼)：地面2层，无地下室；具备教学、实训等综合功能；</w:t>
      </w:r>
    </w:p>
    <w:p w14:paraId="4EE020FF">
      <w:pPr>
        <w:spacing w:line="360" w:lineRule="auto"/>
        <w:ind w:firstLine="567" w:firstLineChars="270"/>
        <w:rPr>
          <w:rFonts w:ascii="宋体"/>
        </w:rPr>
      </w:pPr>
      <w:r>
        <w:rPr>
          <w:rFonts w:hint="eastAsia" w:ascii="宋体"/>
        </w:rPr>
        <w:t>科研所(15号楼)：地面3层，无地下室；用于办公；</w:t>
      </w:r>
    </w:p>
    <w:p w14:paraId="593C7FB3">
      <w:pPr>
        <w:spacing w:line="360" w:lineRule="auto"/>
        <w:ind w:firstLine="567" w:firstLineChars="270"/>
        <w:rPr>
          <w:rFonts w:ascii="宋体"/>
        </w:rPr>
      </w:pPr>
      <w:r>
        <w:rPr>
          <w:rFonts w:hint="eastAsia" w:ascii="宋体"/>
        </w:rPr>
        <w:t>档案室(16号楼)：地面3层，无地下室；</w:t>
      </w:r>
    </w:p>
    <w:p w14:paraId="39D23E54">
      <w:pPr>
        <w:spacing w:line="360" w:lineRule="auto"/>
        <w:ind w:firstLine="567" w:firstLineChars="270"/>
        <w:rPr>
          <w:rFonts w:ascii="宋体"/>
        </w:rPr>
      </w:pPr>
      <w:r>
        <w:rPr>
          <w:rFonts w:hint="eastAsia" w:ascii="宋体"/>
        </w:rPr>
        <w:t>第三教学楼(17号楼)：地面3层，无地下室，专项培训定点场所，具备多功能会场、日常办公、教学授课；</w:t>
      </w:r>
    </w:p>
    <w:p w14:paraId="510F665B">
      <w:pPr>
        <w:spacing w:line="360" w:lineRule="auto"/>
        <w:ind w:firstLine="525" w:firstLineChars="250"/>
        <w:rPr>
          <w:rFonts w:ascii="宋体"/>
        </w:rPr>
      </w:pPr>
    </w:p>
    <w:p w14:paraId="724457EB">
      <w:pPr>
        <w:spacing w:line="360" w:lineRule="auto"/>
        <w:ind w:firstLine="413" w:firstLineChars="196"/>
        <w:rPr>
          <w:rFonts w:ascii="宋体" w:hAnsi="宋体"/>
          <w:b/>
          <w:szCs w:val="21"/>
        </w:rPr>
      </w:pPr>
      <w:r>
        <w:rPr>
          <w:rFonts w:hint="eastAsia" w:ascii="宋体"/>
          <w:b/>
        </w:rPr>
        <w:t>（三）业主方</w:t>
      </w:r>
      <w:r>
        <w:rPr>
          <w:rFonts w:hint="eastAsia" w:ascii="宋体" w:hAnsi="宋体"/>
          <w:b/>
          <w:szCs w:val="21"/>
        </w:rPr>
        <w:t>为物业服务企业提供的物业管理服务用房情况</w:t>
      </w:r>
    </w:p>
    <w:p w14:paraId="62F23377">
      <w:pPr>
        <w:spacing w:line="360" w:lineRule="auto"/>
        <w:ind w:firstLine="420" w:firstLineChars="200"/>
        <w:rPr>
          <w:rFonts w:ascii="宋体" w:hAnsi="宋体"/>
        </w:rPr>
      </w:pPr>
      <w:r>
        <w:rPr>
          <w:rFonts w:hint="eastAsia" w:ascii="宋体" w:hAnsi="宋体"/>
        </w:rPr>
        <w:t>业主方提供物业管理用房面积</w:t>
      </w:r>
      <w:r>
        <w:rPr>
          <w:rFonts w:hint="eastAsia" w:ascii="宋体" w:hAnsi="宋体"/>
          <w:u w:val="single"/>
        </w:rPr>
        <w:t>50</w:t>
      </w:r>
      <w:r>
        <w:rPr>
          <w:rFonts w:hint="eastAsia" w:ascii="宋体" w:hAnsi="宋体"/>
        </w:rPr>
        <w:t>平方米，其中办公房</w:t>
      </w:r>
      <w:r>
        <w:rPr>
          <w:rFonts w:hint="eastAsia" w:ascii="宋体" w:hAnsi="宋体"/>
          <w:u w:val="single"/>
        </w:rPr>
        <w:t>1间</w:t>
      </w:r>
      <w:r>
        <w:rPr>
          <w:rFonts w:hint="eastAsia" w:ascii="宋体" w:hAnsi="宋体"/>
        </w:rPr>
        <w:t>；工作间1间；仓库 1间。</w:t>
      </w:r>
    </w:p>
    <w:p w14:paraId="625D79D0">
      <w:pPr>
        <w:spacing w:line="360" w:lineRule="auto"/>
        <w:ind w:firstLine="422" w:firstLineChars="200"/>
        <w:rPr>
          <w:rFonts w:ascii="宋体"/>
          <w:b/>
          <w:bCs/>
        </w:rPr>
      </w:pPr>
    </w:p>
    <w:p w14:paraId="71101E8E">
      <w:pPr>
        <w:spacing w:line="360" w:lineRule="auto"/>
        <w:ind w:left="-2" w:leftChars="-1" w:firstLine="422" w:firstLineChars="200"/>
        <w:rPr>
          <w:rFonts w:ascii="宋体"/>
        </w:rPr>
      </w:pPr>
      <w:r>
        <w:rPr>
          <w:rFonts w:hint="eastAsia" w:ascii="宋体" w:hAnsi="宋体"/>
          <w:b/>
          <w:szCs w:val="21"/>
        </w:rPr>
        <w:t>（四）采购人的特殊要求</w:t>
      </w:r>
    </w:p>
    <w:p w14:paraId="16A600FB">
      <w:pPr>
        <w:spacing w:line="360" w:lineRule="auto"/>
        <w:ind w:firstLine="525" w:firstLineChars="250"/>
        <w:rPr>
          <w:rFonts w:ascii="宋体" w:hAnsi="宋体"/>
          <w:szCs w:val="21"/>
        </w:rPr>
      </w:pPr>
      <w:r>
        <w:rPr>
          <w:rFonts w:hint="eastAsia" w:ascii="宋体" w:hAnsi="宋体"/>
          <w:szCs w:val="21"/>
        </w:rPr>
        <w:t>1.</w:t>
      </w:r>
      <w:r>
        <w:rPr>
          <w:rFonts w:ascii="宋体" w:hAnsi="宋体" w:cs="Arial"/>
          <w:color w:val="000000"/>
          <w:kern w:val="0"/>
          <w:szCs w:val="21"/>
        </w:rPr>
        <w:t xml:space="preserve"> 根据《政府采购促进中小企业发展</w:t>
      </w:r>
      <w:r>
        <w:rPr>
          <w:rFonts w:hint="eastAsia" w:ascii="宋体" w:hAnsi="宋体" w:cs="Arial"/>
          <w:color w:val="000000"/>
          <w:kern w:val="0"/>
          <w:szCs w:val="21"/>
        </w:rPr>
        <w:t>管理</w:t>
      </w:r>
      <w:r>
        <w:rPr>
          <w:rFonts w:ascii="宋体" w:hAnsi="宋体" w:cs="Arial"/>
          <w:color w:val="000000"/>
          <w:kern w:val="0"/>
          <w:szCs w:val="21"/>
        </w:rPr>
        <w:t>办法》等规定，本项目专门面向</w:t>
      </w:r>
      <w:r>
        <w:rPr>
          <w:rFonts w:ascii="宋体" w:hAnsi="宋体" w:cs="Arial"/>
          <w:b/>
          <w:bCs/>
          <w:color w:val="000000"/>
          <w:kern w:val="0"/>
          <w:szCs w:val="21"/>
          <w:u w:val="single"/>
        </w:rPr>
        <w:t>小型、微型</w:t>
      </w:r>
      <w:r>
        <w:rPr>
          <w:rFonts w:ascii="宋体" w:hAnsi="宋体" w:cs="Arial"/>
          <w:color w:val="000000"/>
          <w:kern w:val="0"/>
          <w:szCs w:val="21"/>
        </w:rPr>
        <w:t>企业采购</w:t>
      </w:r>
      <w:r>
        <w:rPr>
          <w:rFonts w:hint="eastAsia" w:ascii="宋体" w:hAnsi="宋体"/>
          <w:szCs w:val="21"/>
        </w:rPr>
        <w:t>；</w:t>
      </w:r>
    </w:p>
    <w:p w14:paraId="1CCF24DD">
      <w:pPr>
        <w:spacing w:line="360" w:lineRule="auto"/>
        <w:ind w:firstLine="525" w:firstLineChars="250"/>
        <w:rPr>
          <w:rFonts w:ascii="宋体" w:hAnsi="宋体"/>
        </w:rPr>
      </w:pPr>
      <w:r>
        <w:rPr>
          <w:rFonts w:hint="eastAsia" w:ascii="宋体" w:hAnsi="宋体"/>
        </w:rPr>
        <w:t>2.我校</w:t>
      </w:r>
      <w:r>
        <w:rPr>
          <w:rFonts w:hint="eastAsia" w:ascii="宋体" w:hAnsi="宋体"/>
          <w:lang w:val="en-US" w:eastAsia="zh-CN"/>
        </w:rPr>
        <w:t>注重对</w:t>
      </w:r>
      <w:r>
        <w:rPr>
          <w:rFonts w:hint="eastAsia" w:ascii="宋体" w:hAnsi="宋体"/>
        </w:rPr>
        <w:t>学生公寓</w:t>
      </w:r>
      <w:r>
        <w:rPr>
          <w:rFonts w:hint="eastAsia" w:ascii="宋体" w:hAnsi="宋体"/>
          <w:lang w:val="en-US" w:eastAsia="zh-CN"/>
        </w:rPr>
        <w:t>的管理</w:t>
      </w:r>
      <w:r>
        <w:rPr>
          <w:rFonts w:hint="eastAsia" w:ascii="宋体" w:hAnsi="宋体"/>
        </w:rPr>
        <w:t>，投标单位需在服务方案中单独编制对</w:t>
      </w:r>
      <w:r>
        <w:rPr>
          <w:rFonts w:hint="eastAsia" w:ascii="宋体" w:hAnsi="宋体"/>
          <w:lang w:val="en-US" w:eastAsia="zh-CN"/>
        </w:rPr>
        <w:t>宝山校区</w:t>
      </w:r>
      <w:r>
        <w:rPr>
          <w:rFonts w:hint="eastAsia" w:ascii="宋体" w:hAnsi="宋体"/>
        </w:rPr>
        <w:t>学生公寓实施6T管理具体举措的章节；如在管项目获得6T认定，需提供类似项目相关资料，并在类似项目中予以标注。</w:t>
      </w:r>
    </w:p>
    <w:p w14:paraId="3A4086F3">
      <w:pPr>
        <w:spacing w:line="360" w:lineRule="auto"/>
        <w:ind w:firstLine="525" w:firstLineChars="250"/>
        <w:rPr>
          <w:rFonts w:ascii="宋体"/>
        </w:rPr>
      </w:pPr>
      <w:r>
        <w:rPr>
          <w:rFonts w:hint="eastAsia" w:ascii="宋体"/>
        </w:rPr>
        <w:t>3.原物业服务人员留用人员不得低于80%。</w:t>
      </w:r>
    </w:p>
    <w:p w14:paraId="63F319B8">
      <w:pPr>
        <w:spacing w:line="360" w:lineRule="auto"/>
        <w:ind w:firstLine="525" w:firstLineChars="250"/>
        <w:rPr>
          <w:rFonts w:ascii="宋体"/>
        </w:rPr>
      </w:pPr>
      <w:r>
        <w:rPr>
          <w:rFonts w:hint="eastAsia" w:ascii="宋体"/>
        </w:rPr>
        <w:t>4.在校服务期内，服从校方公共设施设备撤移和物品的搬移需求，</w:t>
      </w:r>
      <w:r>
        <w:rPr>
          <w:rFonts w:hint="eastAsia" w:ascii="宋体"/>
          <w:lang w:val="en-US" w:eastAsia="zh-CN"/>
        </w:rPr>
        <w:t>投标</w:t>
      </w:r>
      <w:r>
        <w:rPr>
          <w:rFonts w:hint="eastAsia" w:ascii="宋体"/>
        </w:rPr>
        <w:t>单位需满足；</w:t>
      </w:r>
    </w:p>
    <w:p w14:paraId="1C275A3B">
      <w:pPr>
        <w:spacing w:line="360" w:lineRule="auto"/>
        <w:ind w:firstLine="525" w:firstLineChars="250"/>
        <w:rPr>
          <w:rFonts w:ascii="宋体" w:hAnsi="宋体"/>
        </w:rPr>
      </w:pPr>
      <w:r>
        <w:rPr>
          <w:rFonts w:hint="eastAsia" w:ascii="宋体" w:hAnsi="宋体"/>
        </w:rPr>
        <w:t>5.要求拟选派的项目经理应为中标单位的在职人员(需提供近</w:t>
      </w:r>
      <w:r>
        <w:rPr>
          <w:rFonts w:hint="eastAsia" w:ascii="宋体" w:hAnsi="宋体"/>
          <w:lang w:val="en-US" w:eastAsia="zh-CN"/>
        </w:rPr>
        <w:t>6</w:t>
      </w:r>
      <w:r>
        <w:rPr>
          <w:rFonts w:hint="eastAsia" w:ascii="宋体" w:hAnsi="宋体"/>
        </w:rPr>
        <w:t>个月的社保缴费证明)；项目经理应具备学校类项目</w:t>
      </w:r>
      <w:r>
        <w:rPr>
          <w:rFonts w:hint="eastAsia" w:ascii="宋体" w:hAnsi="宋体"/>
          <w:lang w:val="en-US" w:eastAsia="zh-CN"/>
        </w:rPr>
        <w:t>6</w:t>
      </w:r>
      <w:r>
        <w:rPr>
          <w:rFonts w:hint="eastAsia" w:ascii="宋体" w:hAnsi="宋体"/>
        </w:rPr>
        <w:t>年及以上的实际工作经验，学历大学本科及以上，需提交校方出具的履职证明和评价。</w:t>
      </w:r>
    </w:p>
    <w:p w14:paraId="0370076A">
      <w:pPr>
        <w:spacing w:line="360" w:lineRule="auto"/>
        <w:ind w:firstLine="525" w:firstLineChars="250"/>
        <w:rPr>
          <w:rFonts w:ascii="宋体" w:hAnsi="宋体"/>
        </w:rPr>
      </w:pPr>
      <w:r>
        <w:rPr>
          <w:rFonts w:hint="eastAsia" w:ascii="宋体" w:hAnsi="宋体"/>
        </w:rPr>
        <w:t>6.要求综合管理人员为中标单位的在职人员(需提供近</w:t>
      </w:r>
      <w:r>
        <w:rPr>
          <w:rFonts w:hint="eastAsia" w:ascii="宋体" w:hAnsi="宋体"/>
          <w:lang w:val="en-US" w:eastAsia="zh-CN"/>
        </w:rPr>
        <w:t>6</w:t>
      </w:r>
      <w:r>
        <w:rPr>
          <w:rFonts w:hint="eastAsia" w:ascii="宋体" w:hAnsi="宋体"/>
        </w:rPr>
        <w:t>个月的社保缴费证明)，应具备大专及以上的学历。</w:t>
      </w:r>
    </w:p>
    <w:p w14:paraId="0C7FD429">
      <w:pPr>
        <w:spacing w:line="360" w:lineRule="auto"/>
        <w:ind w:firstLine="525" w:firstLineChars="250"/>
        <w:rPr>
          <w:rFonts w:ascii="宋体"/>
        </w:rPr>
      </w:pPr>
      <w:r>
        <w:rPr>
          <w:rFonts w:hint="eastAsia" w:ascii="宋体"/>
        </w:rPr>
        <w:t>7.工程</w:t>
      </w:r>
      <w:r>
        <w:rPr>
          <w:rFonts w:hint="eastAsia" w:ascii="宋体"/>
          <w:u w:val="none"/>
        </w:rPr>
        <w:t>技术人员中需具备</w:t>
      </w:r>
      <w:r>
        <w:rPr>
          <w:rFonts w:hint="eastAsia" w:ascii="宋体"/>
        </w:rPr>
        <w:t>有高压电工证上岗证书。</w:t>
      </w:r>
    </w:p>
    <w:p w14:paraId="3DF7D0EE">
      <w:pPr>
        <w:spacing w:line="360" w:lineRule="auto"/>
        <w:ind w:firstLine="525" w:firstLineChars="250"/>
        <w:rPr>
          <w:rFonts w:ascii="宋体"/>
        </w:rPr>
      </w:pPr>
      <w:r>
        <w:rPr>
          <w:rFonts w:hint="eastAsia" w:ascii="宋体"/>
        </w:rPr>
        <w:t>8.中标单位的安保服务人员年龄需要在</w:t>
      </w:r>
      <w:r>
        <w:rPr>
          <w:rFonts w:hint="eastAsia" w:ascii="宋体"/>
          <w:lang w:val="en-US" w:eastAsia="zh-CN"/>
        </w:rPr>
        <w:t>35-45</w:t>
      </w:r>
      <w:r>
        <w:rPr>
          <w:rFonts w:hint="eastAsia" w:ascii="宋体"/>
        </w:rPr>
        <w:t>周岁，必须做到持证上岗。</w:t>
      </w:r>
    </w:p>
    <w:p w14:paraId="09FC5C35">
      <w:pPr>
        <w:spacing w:line="360" w:lineRule="auto"/>
        <w:ind w:firstLine="525" w:firstLineChars="250"/>
        <w:rPr>
          <w:rFonts w:hint="eastAsia" w:ascii="宋体"/>
        </w:rPr>
      </w:pPr>
      <w:r>
        <w:rPr>
          <w:rFonts w:hint="eastAsia" w:ascii="宋体"/>
        </w:rPr>
        <w:t>9.学生公寓属人员密集类场所，宿管人员应受过组织疏散人员的相关培训，具备类似培训证书的人员比例不低于50%。</w:t>
      </w:r>
    </w:p>
    <w:p w14:paraId="0130B88C">
      <w:pPr>
        <w:spacing w:line="360" w:lineRule="auto"/>
        <w:ind w:firstLine="525" w:firstLineChars="250"/>
        <w:rPr>
          <w:rFonts w:hint="eastAsia" w:ascii="宋体"/>
          <w:lang w:val="en-US" w:eastAsia="zh-CN"/>
        </w:rPr>
      </w:pPr>
      <w:r>
        <w:rPr>
          <w:rFonts w:hint="eastAsia" w:ascii="宋体"/>
          <w:lang w:val="en-US" w:eastAsia="zh-CN"/>
        </w:rPr>
        <w:t>10.投标人提供学校类项目业绩的业主满意度评价证明（综合得分在90分以上）的优先。</w:t>
      </w:r>
    </w:p>
    <w:p w14:paraId="33D89490">
      <w:pPr>
        <w:spacing w:line="360" w:lineRule="auto"/>
        <w:ind w:firstLine="525" w:firstLineChars="250"/>
        <w:rPr>
          <w:rFonts w:hint="eastAsia" w:ascii="宋体"/>
          <w:lang w:val="en-US" w:eastAsia="zh-CN"/>
        </w:rPr>
      </w:pPr>
      <w:r>
        <w:rPr>
          <w:rFonts w:hint="eastAsia" w:ascii="宋体"/>
          <w:lang w:val="en-US" w:eastAsia="zh-CN"/>
        </w:rPr>
        <w:t>11.通过质量管理体系认证（GB/T 19001 认证）、职业健康安全管理体系认证（GB/T 45001 认证）、环境管理体系认证（GB/T 24001 认证）并在认证有效期内的优先。</w:t>
      </w:r>
    </w:p>
    <w:p w14:paraId="481A41FF">
      <w:pPr>
        <w:spacing w:line="360" w:lineRule="auto"/>
        <w:ind w:firstLine="525" w:firstLineChars="250"/>
        <w:rPr>
          <w:rFonts w:ascii="宋体"/>
          <w:sz w:val="28"/>
          <w:szCs w:val="28"/>
          <w:u w:val="single"/>
        </w:rPr>
      </w:pPr>
      <w:r>
        <w:rPr>
          <w:rFonts w:hint="eastAsia" w:ascii="宋体"/>
          <w:lang w:val="en-US" w:eastAsia="zh-CN"/>
        </w:rPr>
        <w:t>12.承诺将购买足额的雇主责任险和公众责任险的优先。</w:t>
      </w:r>
    </w:p>
    <w:p w14:paraId="63FA78F6">
      <w:pPr>
        <w:spacing w:line="360" w:lineRule="auto"/>
        <w:ind w:firstLine="700" w:firstLineChars="250"/>
        <w:rPr>
          <w:rFonts w:ascii="宋体"/>
          <w:sz w:val="28"/>
          <w:szCs w:val="28"/>
        </w:rPr>
        <w:sectPr>
          <w:pgSz w:w="11906" w:h="16838"/>
          <w:pgMar w:top="1440" w:right="1800" w:bottom="1440" w:left="1800" w:header="851" w:footer="992" w:gutter="0"/>
          <w:cols w:space="425" w:num="1"/>
          <w:docGrid w:type="lines" w:linePitch="312" w:charSpace="0"/>
        </w:sectPr>
      </w:pPr>
    </w:p>
    <w:p w14:paraId="39375762">
      <w:pPr>
        <w:pStyle w:val="3"/>
        <w:spacing w:line="360" w:lineRule="auto"/>
        <w:rPr>
          <w:b/>
          <w:sz w:val="28"/>
          <w:szCs w:val="28"/>
        </w:rPr>
      </w:pPr>
      <w:r>
        <w:rPr>
          <w:rFonts w:hint="eastAsia"/>
          <w:sz w:val="28"/>
          <w:szCs w:val="28"/>
        </w:rPr>
        <w:t>二、</w:t>
      </w:r>
      <w:r>
        <w:rPr>
          <w:rFonts w:hint="eastAsia"/>
          <w:b/>
          <w:sz w:val="28"/>
          <w:szCs w:val="28"/>
        </w:rPr>
        <w:t>物业管理服务要求</w:t>
      </w:r>
    </w:p>
    <w:p w14:paraId="3A9D6338">
      <w:pPr>
        <w:spacing w:line="360" w:lineRule="auto"/>
        <w:ind w:left="-2" w:leftChars="-1" w:firstLine="422" w:firstLineChars="200"/>
        <w:rPr>
          <w:rFonts w:ascii="宋体" w:hAnsi="Courier New"/>
          <w:b/>
          <w:bCs/>
          <w:szCs w:val="20"/>
        </w:rPr>
      </w:pPr>
      <w:r>
        <w:rPr>
          <w:rFonts w:hint="eastAsia" w:ascii="宋体" w:hAnsi="Courier New"/>
          <w:b/>
          <w:bCs/>
          <w:szCs w:val="20"/>
        </w:rPr>
        <w:t>（一）管理服务</w:t>
      </w:r>
    </w:p>
    <w:p w14:paraId="2B57C3D4">
      <w:pPr>
        <w:spacing w:line="360" w:lineRule="auto"/>
        <w:ind w:left="-2" w:leftChars="-1" w:firstLine="420" w:firstLineChars="200"/>
      </w:pPr>
      <w:r>
        <w:rPr>
          <w:rFonts w:hint="eastAsia"/>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4875C510">
      <w:pPr>
        <w:spacing w:line="360" w:lineRule="auto"/>
        <w:ind w:left="-2" w:leftChars="-1" w:firstLine="420" w:firstLineChars="200"/>
      </w:pPr>
      <w:r>
        <w:rPr>
          <w:rFonts w:hint="eastAsia"/>
        </w:rPr>
        <w:t>2、项目经理须接受《上海交通职业技术学院物业服务管理制度》</w:t>
      </w:r>
    </w:p>
    <w:p w14:paraId="3C45FDA8">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26D43F4C">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14:paraId="482E8395">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14:paraId="0F27E00D">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6、执行重大事项报告制度，遇到险情和重大事故，或对违规行为劝阻无效时，立即向上级和当地行政主管部门报告，并及时通知业主方。</w:t>
      </w:r>
    </w:p>
    <w:p w14:paraId="40D867C6">
      <w:pPr>
        <w:spacing w:line="360" w:lineRule="auto"/>
        <w:ind w:left="-2" w:leftChars="-1" w:firstLine="420" w:firstLineChars="200"/>
      </w:pPr>
      <w:r>
        <w:rPr>
          <w:rFonts w:hint="eastAsia"/>
        </w:rPr>
        <w:t>7、对外包服务和外来施工的监管：</w:t>
      </w:r>
    </w:p>
    <w:p w14:paraId="5BE582D7">
      <w:pPr>
        <w:spacing w:line="360" w:lineRule="auto"/>
        <w:ind w:left="-2" w:leftChars="-1" w:firstLine="420" w:firstLineChars="200"/>
      </w:pPr>
      <w:r>
        <w:rPr>
          <w:rFonts w:hint="eastAsia"/>
        </w:rPr>
        <w:t>（1）查验登记相关资质和证明或批准文件；</w:t>
      </w:r>
    </w:p>
    <w:p w14:paraId="0C241F00">
      <w:pPr>
        <w:spacing w:line="360" w:lineRule="auto"/>
        <w:ind w:left="-2" w:leftChars="-1" w:firstLine="420" w:firstLineChars="200"/>
      </w:pPr>
      <w:r>
        <w:rPr>
          <w:rFonts w:hint="eastAsia"/>
        </w:rPr>
        <w:t>（2）有关作业计划、方案和图纸等存档备案；</w:t>
      </w:r>
    </w:p>
    <w:p w14:paraId="1681E591">
      <w:pPr>
        <w:spacing w:line="360" w:lineRule="auto"/>
        <w:ind w:left="-2" w:leftChars="-1" w:firstLine="420" w:firstLineChars="200"/>
      </w:pPr>
      <w:r>
        <w:rPr>
          <w:rFonts w:hint="eastAsia"/>
        </w:rPr>
        <w:t>（3）告知相关注意事项；</w:t>
      </w:r>
    </w:p>
    <w:p w14:paraId="33A8F6DE">
      <w:pPr>
        <w:spacing w:line="360" w:lineRule="auto"/>
        <w:ind w:left="-2" w:leftChars="-1" w:firstLine="420" w:firstLineChars="200"/>
      </w:pPr>
      <w:r>
        <w:rPr>
          <w:rFonts w:hint="eastAsia"/>
        </w:rPr>
        <w:t>（4）巡视或监督及配合作业过程，维修作业留下作业前后影像资料、在隐蔽工程结束前留下影像资料存档；</w:t>
      </w:r>
    </w:p>
    <w:p w14:paraId="6B4E012D">
      <w:pPr>
        <w:spacing w:line="360" w:lineRule="auto"/>
        <w:ind w:left="-2" w:leftChars="-1" w:firstLine="420" w:firstLineChars="200"/>
      </w:pPr>
      <w:r>
        <w:rPr>
          <w:rFonts w:hint="eastAsia"/>
        </w:rPr>
        <w:t>（5）及时向业主方和有关部门报告异常情况、劝阻违规作业并取证、发生事故时保护现场；</w:t>
      </w:r>
    </w:p>
    <w:p w14:paraId="2FD87D53">
      <w:pPr>
        <w:spacing w:line="360" w:lineRule="auto"/>
        <w:ind w:left="-2" w:leftChars="-1" w:firstLine="420" w:firstLineChars="200"/>
      </w:pPr>
      <w:r>
        <w:rPr>
          <w:rFonts w:hint="eastAsia"/>
        </w:rPr>
        <w:t>（6）作业结束参与验收，并做好记录。</w:t>
      </w:r>
    </w:p>
    <w:p w14:paraId="680FA251">
      <w:pPr>
        <w:spacing w:line="360" w:lineRule="auto"/>
        <w:ind w:left="-2" w:leftChars="-1" w:firstLine="420" w:firstLineChars="200"/>
        <w:rPr>
          <w:rFonts w:ascii="宋体" w:hAnsi="宋体" w:cs="Arial"/>
          <w:szCs w:val="21"/>
        </w:rPr>
      </w:pPr>
      <w:r>
        <w:rPr>
          <w:rFonts w:hint="eastAsia" w:ascii="Times New Roman" w:hAnsi="Times New Roman"/>
          <w:szCs w:val="24"/>
        </w:rPr>
        <w:t>8、</w:t>
      </w:r>
      <w:r>
        <w:rPr>
          <w:rFonts w:ascii="宋体" w:hAnsi="宋体" w:cs="Arial"/>
          <w:szCs w:val="21"/>
        </w:rPr>
        <w:t>在委托管理服务期内应配合保障学校</w:t>
      </w:r>
      <w:r>
        <w:rPr>
          <w:rFonts w:hint="eastAsia" w:ascii="宋体" w:hAnsi="宋体" w:cs="Arial"/>
          <w:szCs w:val="21"/>
        </w:rPr>
        <w:t>创建“上海</w:t>
      </w:r>
      <w:r>
        <w:rPr>
          <w:rFonts w:ascii="宋体" w:hAnsi="宋体" w:cs="Arial"/>
          <w:szCs w:val="21"/>
        </w:rPr>
        <w:t>市文明单位</w:t>
      </w:r>
      <w:r>
        <w:rPr>
          <w:rFonts w:hint="eastAsia" w:ascii="宋体" w:hAnsi="宋体" w:cs="Arial"/>
          <w:szCs w:val="21"/>
        </w:rPr>
        <w:t>”。</w:t>
      </w:r>
    </w:p>
    <w:p w14:paraId="0C8C9CF3">
      <w:pPr>
        <w:spacing w:line="360" w:lineRule="auto"/>
        <w:ind w:left="-2" w:leftChars="-1" w:firstLine="420" w:firstLineChars="200"/>
        <w:rPr>
          <w:rFonts w:ascii="Times New Roman" w:hAnsi="Times New Roman"/>
          <w:szCs w:val="24"/>
        </w:rPr>
      </w:pPr>
      <w:r>
        <w:rPr>
          <w:rFonts w:hint="eastAsia" w:ascii="宋体" w:hAnsi="宋体" w:cs="Arial"/>
          <w:szCs w:val="21"/>
        </w:rPr>
        <w:t>9、按照要求，学校对设施、设备等固定资产实施归口管理。中标单位应对分管使用的设备负有维护与保管责任，期间若发生盗窃、人为损坏、短缺等情况，需视设备成新程度给予必要的赔偿。</w:t>
      </w:r>
    </w:p>
    <w:p w14:paraId="05E418B7">
      <w:pPr>
        <w:pStyle w:val="3"/>
        <w:spacing w:line="360" w:lineRule="auto"/>
        <w:ind w:firstLine="480"/>
        <w:rPr>
          <w:sz w:val="24"/>
          <w:szCs w:val="24"/>
        </w:rPr>
      </w:pPr>
    </w:p>
    <w:p w14:paraId="52135191">
      <w:pPr>
        <w:pStyle w:val="3"/>
        <w:spacing w:line="360" w:lineRule="auto"/>
        <w:rPr>
          <w:b/>
          <w:bCs/>
        </w:rPr>
      </w:pPr>
      <w:r>
        <w:rPr>
          <w:rFonts w:hint="eastAsia"/>
        </w:rPr>
        <w:t>（</w:t>
      </w:r>
      <w:r>
        <w:rPr>
          <w:rFonts w:hint="eastAsia"/>
          <w:b/>
          <w:bCs/>
        </w:rPr>
        <w:t>二）建筑物日常维修、养护、管理（建筑物中大修由校方负责）</w:t>
      </w:r>
    </w:p>
    <w:p w14:paraId="27FB8E81">
      <w:pPr>
        <w:pStyle w:val="3"/>
        <w:spacing w:line="360" w:lineRule="auto"/>
      </w:pPr>
      <w:r>
        <w:t xml:space="preserve">      1</w:t>
      </w:r>
      <w:r>
        <w:rPr>
          <w:rFonts w:hint="eastAsia"/>
        </w:rPr>
        <w:t>、校院范围内建筑物、构筑物、道路、地面、墙台面及吊顶、门窗、楼梯等日常养护维修。</w:t>
      </w:r>
    </w:p>
    <w:p w14:paraId="519137C3">
      <w:pPr>
        <w:pStyle w:val="3"/>
        <w:spacing w:line="360" w:lineRule="auto"/>
      </w:pPr>
      <w:r>
        <w:t xml:space="preserve">      2</w:t>
      </w:r>
      <w:r>
        <w:rPr>
          <w:rFonts w:hint="eastAsia"/>
        </w:rPr>
        <w:t>、大修、装修的施工管理配合与相应水电使用管理与安全管理。</w:t>
      </w:r>
    </w:p>
    <w:p w14:paraId="2A8FA16C">
      <w:pPr>
        <w:pStyle w:val="3"/>
        <w:spacing w:line="360" w:lineRule="auto"/>
        <w:ind w:firstLine="420" w:firstLineChars="200"/>
      </w:pPr>
      <w:r>
        <w:rPr>
          <w:rFonts w:hint="eastAsia"/>
        </w:rPr>
        <w:t>服务标准：确保校院范围内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t>24</w:t>
      </w:r>
      <w:r>
        <w:rPr>
          <w:rFonts w:hint="eastAsia"/>
        </w:rPr>
        <w:t>小时，合格率应为</w:t>
      </w:r>
      <w:r>
        <w:t>100%</w:t>
      </w:r>
      <w:r>
        <w:rPr>
          <w:rFonts w:hint="eastAsia"/>
        </w:rPr>
        <w:t>。对房屋日常维修、养护记录完整。</w:t>
      </w:r>
    </w:p>
    <w:p w14:paraId="28661387">
      <w:pPr>
        <w:pStyle w:val="3"/>
        <w:spacing w:line="360" w:lineRule="auto"/>
        <w:rPr>
          <w:sz w:val="24"/>
          <w:szCs w:val="24"/>
        </w:rPr>
      </w:pPr>
    </w:p>
    <w:p w14:paraId="54C83BB3">
      <w:pPr>
        <w:pStyle w:val="3"/>
        <w:spacing w:line="360" w:lineRule="auto"/>
        <w:rPr>
          <w:b/>
          <w:bCs/>
        </w:rPr>
      </w:pPr>
      <w:r>
        <w:rPr>
          <w:rFonts w:hint="eastAsia"/>
        </w:rPr>
        <w:t>（</w:t>
      </w:r>
      <w:r>
        <w:rPr>
          <w:rFonts w:hint="eastAsia"/>
          <w:b/>
          <w:bCs/>
        </w:rPr>
        <w:t>三）公共设备维护、保养(公共设备维保、年检由校方负责)</w:t>
      </w:r>
    </w:p>
    <w:p w14:paraId="0EB08CF4">
      <w:pPr>
        <w:pStyle w:val="3"/>
        <w:spacing w:line="360" w:lineRule="auto"/>
        <w:ind w:firstLine="525" w:firstLineChars="250"/>
      </w:pPr>
      <w:r>
        <w:rPr>
          <w:rFonts w:hint="eastAsia"/>
        </w:rPr>
        <w:t>公共设备维护、保养的范围：保安监控、消防监控、电梯机房、电梯、泵房、锅炉、配电房、给排水、覆盖面办公区域所有建筑物设施、部门。有专业或资质要求的工作岗位，其从业人员必须符合国家与上海市相关要求。</w:t>
      </w:r>
    </w:p>
    <w:p w14:paraId="0E4D29E1">
      <w:pPr>
        <w:pStyle w:val="3"/>
        <w:spacing w:line="360" w:lineRule="auto"/>
      </w:pPr>
      <w:r>
        <w:t xml:space="preserve">    1 </w:t>
      </w:r>
      <w:r>
        <w:rPr>
          <w:rFonts w:hint="eastAsia"/>
        </w:rPr>
        <w:t>给排水、供水系统：</w:t>
      </w:r>
    </w:p>
    <w:p w14:paraId="01A6BB60">
      <w:pPr>
        <w:pStyle w:val="3"/>
        <w:spacing w:line="360" w:lineRule="auto"/>
      </w:pPr>
      <w:r>
        <w:rPr>
          <w:rFonts w:hint="eastAsia"/>
        </w:rPr>
        <w:t>（</w:t>
      </w:r>
      <w:r>
        <w:t>l</w:t>
      </w:r>
      <w:r>
        <w:rPr>
          <w:rFonts w:hint="eastAsia"/>
        </w:rPr>
        <w:t>）、建立正常用水、供水、排水管理制度并根据实际使用情况制订年度设备、设施管理、维修保养计划及总体节能计划；</w:t>
      </w:r>
    </w:p>
    <w:p w14:paraId="1AD7F4E8">
      <w:pPr>
        <w:pStyle w:val="3"/>
        <w:spacing w:line="360" w:lineRule="auto"/>
      </w:pPr>
      <w:r>
        <w:rPr>
          <w:rFonts w:hint="eastAsia"/>
        </w:rPr>
        <w:t>（</w:t>
      </w:r>
      <w:r>
        <w:t>2</w:t>
      </w:r>
      <w:r>
        <w:rPr>
          <w:rFonts w:hint="eastAsia"/>
        </w:rPr>
        <w:t>）、节约用水，防止冒、滴、漏，大面积跑水事故的发生；</w:t>
      </w:r>
    </w:p>
    <w:p w14:paraId="54512CCB">
      <w:pPr>
        <w:pStyle w:val="3"/>
        <w:spacing w:line="360" w:lineRule="auto"/>
      </w:pPr>
      <w:r>
        <w:rPr>
          <w:rFonts w:hint="eastAsia"/>
        </w:rPr>
        <w:t>（</w:t>
      </w:r>
      <w:r>
        <w:t>3</w:t>
      </w:r>
      <w:r>
        <w:rPr>
          <w:rFonts w:hint="eastAsia"/>
        </w:rPr>
        <w:t>）、保持供水系统的正常运转，定期检查水泵运转情况；</w:t>
      </w:r>
    </w:p>
    <w:p w14:paraId="1B056A21">
      <w:pPr>
        <w:pStyle w:val="3"/>
        <w:spacing w:line="360" w:lineRule="auto"/>
      </w:pPr>
      <w:r>
        <w:rPr>
          <w:rFonts w:hint="eastAsia"/>
        </w:rPr>
        <w:t>（</w:t>
      </w:r>
      <w:r>
        <w:t>4</w:t>
      </w:r>
      <w:r>
        <w:rPr>
          <w:rFonts w:hint="eastAsia"/>
        </w:rPr>
        <w:t>）、保持水池、水箱的清洁卫生，防止二次污染；</w:t>
      </w:r>
    </w:p>
    <w:p w14:paraId="17AFA859">
      <w:pPr>
        <w:pStyle w:val="3"/>
        <w:spacing w:line="360" w:lineRule="auto"/>
      </w:pPr>
      <w:r>
        <w:rPr>
          <w:rFonts w:hint="eastAsia"/>
        </w:rPr>
        <w:t>（</w:t>
      </w:r>
      <w:r>
        <w:t>5</w:t>
      </w:r>
      <w:r>
        <w:rPr>
          <w:rFonts w:hint="eastAsia"/>
        </w:rPr>
        <w:t>）、定期检修维护供水系统管路、水泵、水池、水箱、阀门、水表，保证其正常运转；</w:t>
      </w:r>
    </w:p>
    <w:p w14:paraId="1FD492C6">
      <w:pPr>
        <w:pStyle w:val="3"/>
        <w:spacing w:line="360" w:lineRule="auto"/>
      </w:pPr>
      <w:r>
        <w:rPr>
          <w:rFonts w:hint="eastAsia"/>
        </w:rPr>
        <w:t>（</w:t>
      </w:r>
      <w:r>
        <w:t>6</w:t>
      </w:r>
      <w:r>
        <w:rPr>
          <w:rFonts w:hint="eastAsia"/>
        </w:rPr>
        <w:t>）、保证排水系统的正常运转，防止阻塞；</w:t>
      </w:r>
    </w:p>
    <w:p w14:paraId="42DAA538">
      <w:pPr>
        <w:pStyle w:val="3"/>
        <w:spacing w:line="360" w:lineRule="auto"/>
      </w:pPr>
      <w:r>
        <w:rPr>
          <w:rFonts w:hint="eastAsia"/>
        </w:rPr>
        <w:t>（</w:t>
      </w:r>
      <w:r>
        <w:t>7</w:t>
      </w:r>
      <w:r>
        <w:rPr>
          <w:rFonts w:hint="eastAsia"/>
        </w:rPr>
        <w:t>）、停水预先通知学校，以便做好安排。</w:t>
      </w:r>
    </w:p>
    <w:p w14:paraId="75BF0535">
      <w:pPr>
        <w:spacing w:line="360" w:lineRule="auto"/>
        <w:ind w:firstLine="539" w:firstLineChars="257"/>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2F116B6B">
      <w:pPr>
        <w:spacing w:line="360" w:lineRule="auto"/>
      </w:pPr>
      <w:r>
        <w:rPr>
          <w:rFonts w:hint="eastAsia"/>
        </w:rPr>
        <w:t>及时发现并解决故障，维修合格率</w:t>
      </w:r>
      <w:r>
        <w:t>100</w:t>
      </w:r>
      <w:r>
        <w:rPr>
          <w:rFonts w:hint="eastAsia"/>
        </w:rPr>
        <w:t>％；给排水系统发生事故时，维修人员在</w:t>
      </w:r>
      <w:r>
        <w:t>10</w:t>
      </w:r>
      <w:r>
        <w:rPr>
          <w:rFonts w:hint="eastAsia"/>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17477CFD">
      <w:pPr>
        <w:pStyle w:val="3"/>
        <w:spacing w:line="360" w:lineRule="auto"/>
      </w:pPr>
      <w:r>
        <w:t xml:space="preserve">    2 </w:t>
      </w:r>
      <w:r>
        <w:rPr>
          <w:rFonts w:hint="eastAsia"/>
        </w:rPr>
        <w:t>电梯系统：</w:t>
      </w:r>
    </w:p>
    <w:p w14:paraId="7A789118">
      <w:pPr>
        <w:pStyle w:val="3"/>
        <w:spacing w:line="360" w:lineRule="auto"/>
      </w:pPr>
      <w:r>
        <w:rPr>
          <w:rFonts w:hint="eastAsia"/>
        </w:rPr>
        <w:t>（</w:t>
      </w:r>
      <w:r>
        <w:t>1</w:t>
      </w:r>
      <w:r>
        <w:rPr>
          <w:rFonts w:hint="eastAsia"/>
        </w:rPr>
        <w:t>）、根据电梯的图纸资料和技术性能制订电梯安全运行和维修保养的规章制度。</w:t>
      </w:r>
    </w:p>
    <w:p w14:paraId="2DB3117B">
      <w:pPr>
        <w:spacing w:line="360" w:lineRule="auto"/>
      </w:pPr>
      <w:r>
        <w:rPr>
          <w:rFonts w:hint="eastAsia"/>
        </w:rPr>
        <w:t>（</w:t>
      </w:r>
      <w:r>
        <w:t>2</w:t>
      </w:r>
      <w:r>
        <w:rPr>
          <w:rFonts w:hint="eastAsia"/>
        </w:rPr>
        <w:t>）、电梯运行管理和对机房设备、井道系统、轿厢设备进行日常运行管理和定期检查、维护、保养。</w:t>
      </w:r>
    </w:p>
    <w:p w14:paraId="11298F3E">
      <w:pPr>
        <w:pStyle w:val="3"/>
        <w:spacing w:line="360" w:lineRule="auto"/>
      </w:pPr>
      <w:r>
        <w:rPr>
          <w:rFonts w:hint="eastAsia"/>
        </w:rPr>
        <w:t>（</w:t>
      </w:r>
      <w:r>
        <w:t>3</w:t>
      </w:r>
      <w:r>
        <w:rPr>
          <w:rFonts w:hint="eastAsia"/>
        </w:rPr>
        <w:t>）、健全电梯设备档案及修理记录；安排好电梯安全年检工作。</w:t>
      </w:r>
    </w:p>
    <w:p w14:paraId="688A96AD">
      <w:pPr>
        <w:pStyle w:val="3"/>
        <w:spacing w:line="360" w:lineRule="auto"/>
      </w:pPr>
      <w:r>
        <w:rPr>
          <w:rFonts w:hint="eastAsia"/>
        </w:rPr>
        <w:t>（</w:t>
      </w:r>
      <w:r>
        <w:t>4</w:t>
      </w:r>
      <w:r>
        <w:rPr>
          <w:rFonts w:hint="eastAsia"/>
        </w:rPr>
        <w:t>）、保持电梯轿厢（包括厢内）、并道、底坑、机房及电梯整流控制柜的清洁。</w:t>
      </w:r>
    </w:p>
    <w:p w14:paraId="457E65B7">
      <w:pPr>
        <w:pStyle w:val="3"/>
        <w:spacing w:line="360" w:lineRule="auto"/>
      </w:pPr>
      <w:r>
        <w:rPr>
          <w:rFonts w:hint="eastAsia"/>
        </w:rPr>
        <w:t>（</w:t>
      </w:r>
      <w:r>
        <w:t>5</w:t>
      </w:r>
      <w:r>
        <w:rPr>
          <w:rFonts w:hint="eastAsia"/>
        </w:rPr>
        <w:t>）、保证所有电梯照明及内选外呼、层楼显示的巡视和修理。</w:t>
      </w:r>
    </w:p>
    <w:p w14:paraId="12A4E850">
      <w:pPr>
        <w:pStyle w:val="3"/>
        <w:spacing w:line="360" w:lineRule="auto"/>
      </w:pPr>
      <w:r>
        <w:rPr>
          <w:rFonts w:hint="eastAsia"/>
        </w:rPr>
        <w:t>（</w:t>
      </w:r>
      <w:r>
        <w:t>6</w:t>
      </w:r>
      <w:r>
        <w:rPr>
          <w:rFonts w:hint="eastAsia"/>
        </w:rPr>
        <w:t>）、密切监视和掌握电梯的运行动态，及时做好需变动的电梯运行的调度、管理工作。</w:t>
      </w:r>
    </w:p>
    <w:p w14:paraId="10860193">
      <w:pPr>
        <w:spacing w:line="360" w:lineRule="auto"/>
        <w:ind w:firstLine="840" w:firstLineChars="400"/>
      </w:pPr>
      <w:r>
        <w:rPr>
          <w:rFonts w:hint="eastAsia"/>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通知电梯维保单位人员应在3</w:t>
      </w:r>
      <w:r>
        <w:t>0</w:t>
      </w:r>
      <w:r>
        <w:rPr>
          <w:rFonts w:hint="eastAsia"/>
        </w:rPr>
        <w:t>分钟内到达现场抢修，及时排除故障。电梯设施完好率达到</w:t>
      </w:r>
      <w:r>
        <w:t>100</w:t>
      </w:r>
      <w:r>
        <w:rPr>
          <w:rFonts w:hint="eastAsia"/>
        </w:rPr>
        <w:t>％。</w:t>
      </w:r>
    </w:p>
    <w:p w14:paraId="3CE97BB6">
      <w:pPr>
        <w:pStyle w:val="3"/>
        <w:spacing w:line="360" w:lineRule="auto"/>
      </w:pPr>
      <w:r>
        <w:t xml:space="preserve">    3</w:t>
      </w:r>
      <w:r>
        <w:rPr>
          <w:rFonts w:hint="eastAsia"/>
        </w:rPr>
        <w:t>、机电、照明及自动化系统管理：</w:t>
      </w:r>
    </w:p>
    <w:p w14:paraId="1A56E255">
      <w:pPr>
        <w:pStyle w:val="3"/>
        <w:spacing w:line="360" w:lineRule="auto"/>
      </w:pPr>
      <w:r>
        <w:rPr>
          <w:rFonts w:hint="eastAsia"/>
        </w:rPr>
        <w:t>（</w:t>
      </w:r>
      <w:r>
        <w:t>1</w:t>
      </w:r>
      <w:r>
        <w:rPr>
          <w:rFonts w:hint="eastAsia"/>
        </w:rPr>
        <w:t>）、对校院范围内供电系统高、低压电器设备、照明装置等设备正常运行使用进行日常管理和养护维修并根据实际使用情况制订年度总体节能计划。</w:t>
      </w:r>
    </w:p>
    <w:p w14:paraId="1FF328A9">
      <w:pPr>
        <w:pStyle w:val="3"/>
        <w:spacing w:line="360" w:lineRule="auto"/>
      </w:pPr>
      <w:r>
        <w:rPr>
          <w:rFonts w:hint="eastAsia"/>
        </w:rPr>
        <w:t>（</w:t>
      </w:r>
      <w:r>
        <w:t>2</w:t>
      </w:r>
      <w:r>
        <w:rPr>
          <w:rFonts w:hint="eastAsia"/>
        </w:rPr>
        <w:t>）、建立严格的配送电运行制度和电气维修制度。</w:t>
      </w:r>
    </w:p>
    <w:p w14:paraId="297DFED5">
      <w:pPr>
        <w:pStyle w:val="3"/>
        <w:spacing w:line="360" w:lineRule="auto"/>
      </w:pPr>
      <w:r>
        <w:rPr>
          <w:rFonts w:hint="eastAsia"/>
        </w:rPr>
        <w:t>（</w:t>
      </w:r>
      <w:r>
        <w:t>3</w:t>
      </w:r>
      <w:r>
        <w:rPr>
          <w:rFonts w:hint="eastAsia"/>
        </w:rPr>
        <w:t>）、供电和维修人员持证上岗。保证</w:t>
      </w:r>
      <w:r>
        <w:t>24</w:t>
      </w:r>
      <w:r>
        <w:rPr>
          <w:rFonts w:hint="eastAsia"/>
        </w:rPr>
        <w:t>小时有人员值班，做到发现故障、及时排除。</w:t>
      </w:r>
    </w:p>
    <w:p w14:paraId="07F0BACD">
      <w:pPr>
        <w:pStyle w:val="3"/>
        <w:spacing w:line="360" w:lineRule="auto"/>
      </w:pPr>
      <w:r>
        <w:rPr>
          <w:rFonts w:hint="eastAsia"/>
        </w:rPr>
        <w:t>（</w:t>
      </w:r>
      <w:r>
        <w:t>4</w:t>
      </w:r>
      <w:r>
        <w:rPr>
          <w:rFonts w:hint="eastAsia"/>
        </w:rPr>
        <w:t>）、保证公共使用的照明、指示、显示灯完好；电气线路符设计、施工技术要求，线路负荷要满足用户的要求、确保发配电设备安全运行。</w:t>
      </w:r>
    </w:p>
    <w:p w14:paraId="02D2EC6D">
      <w:pPr>
        <w:pStyle w:val="3"/>
        <w:spacing w:line="360" w:lineRule="auto"/>
      </w:pPr>
      <w:r>
        <w:rPr>
          <w:rFonts w:hint="eastAsia"/>
        </w:rPr>
        <w:t>（</w:t>
      </w:r>
      <w:r>
        <w:t>5</w:t>
      </w:r>
      <w:r>
        <w:rPr>
          <w:rFonts w:hint="eastAsia"/>
        </w:rPr>
        <w:t>）、停电限电事先出通知、以免用户措手不及。</w:t>
      </w:r>
    </w:p>
    <w:p w14:paraId="31D8A17D">
      <w:pPr>
        <w:pStyle w:val="3"/>
        <w:spacing w:line="360" w:lineRule="auto"/>
      </w:pPr>
      <w:r>
        <w:rPr>
          <w:rFonts w:hint="eastAsia"/>
        </w:rPr>
        <w:t>（</w:t>
      </w:r>
      <w:r>
        <w:t>6</w:t>
      </w:r>
      <w:r>
        <w:rPr>
          <w:rFonts w:hint="eastAsia"/>
        </w:rPr>
        <w:t>）、对临时施工工程有用电管理措施。</w:t>
      </w:r>
    </w:p>
    <w:p w14:paraId="5DCD5524">
      <w:pPr>
        <w:pStyle w:val="3"/>
        <w:spacing w:line="360" w:lineRule="auto"/>
      </w:pPr>
      <w:r>
        <w:rPr>
          <w:rFonts w:hint="eastAsia"/>
        </w:rPr>
        <w:t>（</w:t>
      </w:r>
      <w:r>
        <w:t>7</w:t>
      </w:r>
      <w:r>
        <w:rPr>
          <w:rFonts w:hint="eastAsia"/>
        </w:rPr>
        <w:t>）、发生特殊情况，如火灾、地震、水灾时，及时切断电源。</w:t>
      </w:r>
    </w:p>
    <w:p w14:paraId="24150461">
      <w:pPr>
        <w:pStyle w:val="3"/>
        <w:spacing w:line="360" w:lineRule="auto"/>
      </w:pPr>
      <w:r>
        <w:rPr>
          <w:rFonts w:hint="eastAsia"/>
        </w:rPr>
        <w:t>（</w:t>
      </w:r>
      <w:r>
        <w:t>8</w:t>
      </w:r>
      <w:r>
        <w:rPr>
          <w:rFonts w:hint="eastAsia"/>
        </w:rPr>
        <w:t>）、负责对路灯电源的操作，保证供电正常。</w:t>
      </w:r>
    </w:p>
    <w:p w14:paraId="22F1A87E">
      <w:pPr>
        <w:pStyle w:val="3"/>
        <w:spacing w:line="360" w:lineRule="auto"/>
      </w:pPr>
      <w:r>
        <w:rPr>
          <w:rFonts w:hint="eastAsia"/>
        </w:rPr>
        <w:t>（</w:t>
      </w:r>
      <w:r>
        <w:t>9</w:t>
      </w:r>
      <w:r>
        <w:rPr>
          <w:rFonts w:hint="eastAsia"/>
        </w:rPr>
        <w:t>）、确保校院范围内所有公共及专用照明灯管灯泡完好，发现损坏，及时调换。</w:t>
      </w:r>
    </w:p>
    <w:p w14:paraId="0276B268">
      <w:pPr>
        <w:pStyle w:val="3"/>
        <w:spacing w:line="360" w:lineRule="auto"/>
      </w:pPr>
      <w:r>
        <w:rPr>
          <w:rFonts w:hint="eastAsia"/>
        </w:rPr>
        <w:t>（</w:t>
      </w:r>
      <w:r>
        <w:t>10</w:t>
      </w:r>
      <w:r>
        <w:rPr>
          <w:rFonts w:hint="eastAsia"/>
        </w:rPr>
        <w:t>）、负责校院范围内广播喇叭正常使用及维修保养工作。</w:t>
      </w:r>
    </w:p>
    <w:p w14:paraId="4182CE15">
      <w:pPr>
        <w:spacing w:line="360" w:lineRule="auto"/>
        <w:ind w:firstLine="420"/>
      </w:pP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t>24</w:t>
      </w:r>
      <w:r>
        <w:rPr>
          <w:rFonts w:hint="eastAsia"/>
        </w:rPr>
        <w:t>小时运行维修值班制度，及时排除故障，一般故障排除时间不超过</w:t>
      </w:r>
      <w:r>
        <w:t>2</w:t>
      </w:r>
      <w:r>
        <w:rPr>
          <w:rFonts w:hint="eastAsia"/>
        </w:rPr>
        <w:t>小时，维修合格率</w:t>
      </w:r>
      <w:r>
        <w:t>100</w:t>
      </w:r>
      <w:r>
        <w:rPr>
          <w:rFonts w:hint="eastAsia"/>
        </w:rPr>
        <w:t>％；加强日常维护检修，公共使用的照明、指示灯具线路、开关要保证完好，确保用电完全；管理和维护好校院范围内灯光亮化的设施；制定突发事件应急处理程序和临时用电管理措施，明确停、送审批权限；供电设备完好率达到</w:t>
      </w:r>
      <w:r>
        <w:t>99</w:t>
      </w:r>
      <w:r>
        <w:rPr>
          <w:rFonts w:hint="eastAsia"/>
        </w:rPr>
        <w:t>％、弱电设备完好率达到</w:t>
      </w:r>
      <w:r>
        <w:t>98</w:t>
      </w:r>
      <w:r>
        <w:rPr>
          <w:rFonts w:hint="eastAsia"/>
        </w:rPr>
        <w:t>％。每年雨季前对建筑避雷系统进行检测，留存检测合格报告，同时动员和组织校院范围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t>(</w:t>
      </w:r>
      <w:r>
        <w:rPr>
          <w:rFonts w:hint="eastAsia"/>
        </w:rPr>
        <w:t>箱</w:t>
      </w:r>
      <w:r>
        <w:t>)</w:t>
      </w:r>
      <w:r>
        <w:rPr>
          <w:rFonts w:hint="eastAsia"/>
        </w:rPr>
        <w:t>、管道、金属构架物接地良好。一年内无重大管理责任事故。</w:t>
      </w:r>
    </w:p>
    <w:p w14:paraId="7917A89F">
      <w:pPr>
        <w:pStyle w:val="3"/>
        <w:spacing w:line="360" w:lineRule="auto"/>
      </w:pPr>
      <w:r>
        <w:t xml:space="preserve">  4</w:t>
      </w:r>
      <w:r>
        <w:rPr>
          <w:rFonts w:hint="eastAsia"/>
        </w:rPr>
        <w:t>、消防系统：</w:t>
      </w:r>
    </w:p>
    <w:p w14:paraId="7B0699BA">
      <w:pPr>
        <w:pStyle w:val="3"/>
        <w:spacing w:line="360" w:lineRule="auto"/>
        <w:ind w:firstLine="424" w:firstLineChars="202"/>
      </w:pPr>
      <w:r>
        <w:rPr>
          <w:rFonts w:hint="eastAsia"/>
        </w:rPr>
        <w:t>（</w:t>
      </w:r>
      <w:r>
        <w:t>1</w:t>
      </w:r>
      <w:r>
        <w:rPr>
          <w:rFonts w:hint="eastAsia"/>
        </w:rPr>
        <w:t>）、对火灾自动报警系统；自动喷淋系统；室内灭火栓；排防烟系统；安全疏散、应急系统；防火门系统；二氧化碳等灭火系统进行日常管理和养护维修。</w:t>
      </w:r>
    </w:p>
    <w:p w14:paraId="69785435">
      <w:pPr>
        <w:pStyle w:val="3"/>
        <w:spacing w:line="360" w:lineRule="auto"/>
        <w:ind w:firstLine="424" w:firstLineChars="202"/>
      </w:pPr>
      <w:r>
        <w:rPr>
          <w:rFonts w:hint="eastAsia"/>
        </w:rPr>
        <w:t>（</w:t>
      </w:r>
      <w:r>
        <w:t>2</w:t>
      </w:r>
      <w:r>
        <w:rPr>
          <w:rFonts w:hint="eastAsia"/>
        </w:rPr>
        <w:t>）、按时对消防、喷淋、配电系统做启动测试，管道养护工作。将水管内污水排空，保证消防系统在应急处理中能正常运转，培训有关人员学会应急处理的方法。</w:t>
      </w:r>
    </w:p>
    <w:p w14:paraId="4E67C0BF">
      <w:pPr>
        <w:pStyle w:val="3"/>
        <w:spacing w:line="360" w:lineRule="auto"/>
        <w:ind w:firstLine="424" w:firstLineChars="202"/>
      </w:pPr>
      <w:r>
        <w:rPr>
          <w:rFonts w:hint="eastAsia"/>
        </w:rPr>
        <w:t>（</w:t>
      </w:r>
      <w:r>
        <w:t>3</w:t>
      </w:r>
      <w:r>
        <w:rPr>
          <w:rFonts w:hint="eastAsia"/>
        </w:rPr>
        <w:t>）、负责对消防水电设施进行例行保养，定期检查消防栓和消防器械。消防水电设施确保运行良好。</w:t>
      </w:r>
    </w:p>
    <w:p w14:paraId="07E72E27">
      <w:pPr>
        <w:pStyle w:val="3"/>
        <w:spacing w:line="360" w:lineRule="auto"/>
        <w:ind w:firstLine="420"/>
      </w:pPr>
      <w:r>
        <w:rPr>
          <w:rFonts w:hint="eastAsia"/>
        </w:rPr>
        <w:t>服务标准：严格执行消防法规，建立消防安全管理制度，搞好消防管理工作，确保整个系统处于良好的状态；定期检查保养消防设备，维保质量达到消防要求，保证系统开通率及完好率均为</w:t>
      </w:r>
      <w:r>
        <w:t>100</w:t>
      </w:r>
      <w:r>
        <w:rPr>
          <w:rFonts w:hint="eastAsia"/>
        </w:rPr>
        <w:t>％；安全出口、疏散指示灯在火灾时应维持</w:t>
      </w:r>
      <w:r>
        <w:t>90</w:t>
      </w:r>
      <w:r>
        <w:rPr>
          <w:rFonts w:hint="eastAsia"/>
        </w:rPr>
        <w:t>分钟以上的照明时间，引路标志完好，紧急疏散通道畅通；消防水带每半年检查一次，应无破损、发黑、发霉现象；联动控制台工作正常、显示正确，系统误报率不超过</w:t>
      </w:r>
      <w:r>
        <w:t>3</w:t>
      </w:r>
      <w:r>
        <w:rPr>
          <w:rFonts w:hint="eastAsia"/>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050DE357">
      <w:pPr>
        <w:pStyle w:val="3"/>
        <w:spacing w:line="360" w:lineRule="auto"/>
      </w:pPr>
      <w:r>
        <w:t xml:space="preserve">   5</w:t>
      </w:r>
      <w:r>
        <w:rPr>
          <w:rFonts w:hint="eastAsia"/>
        </w:rPr>
        <w:t>、中央控制室管理规定</w:t>
      </w:r>
    </w:p>
    <w:p w14:paraId="17B276B8">
      <w:pPr>
        <w:pStyle w:val="3"/>
        <w:spacing w:line="360" w:lineRule="auto"/>
      </w:pPr>
      <w:r>
        <w:rPr>
          <w:rFonts w:hint="eastAsia"/>
        </w:rPr>
        <w:t>（</w:t>
      </w:r>
      <w:r>
        <w:t>1</w:t>
      </w:r>
      <w:r>
        <w:rPr>
          <w:rFonts w:hint="eastAsia"/>
        </w:rPr>
        <w:t>）、中控室实行每日24小时人员值班、监控。</w:t>
      </w:r>
    </w:p>
    <w:p w14:paraId="0E0AD029">
      <w:pPr>
        <w:pStyle w:val="3"/>
        <w:spacing w:line="360" w:lineRule="auto"/>
      </w:pPr>
      <w:r>
        <w:rPr>
          <w:rFonts w:hint="eastAsia"/>
        </w:rPr>
        <w:t>（</w:t>
      </w:r>
      <w:r>
        <w:t>2</w:t>
      </w:r>
      <w:r>
        <w:rPr>
          <w:rFonts w:hint="eastAsia"/>
        </w:rPr>
        <w:t>）、控制非必要人员进入中控室。</w:t>
      </w:r>
    </w:p>
    <w:p w14:paraId="425EE4E3">
      <w:pPr>
        <w:pStyle w:val="3"/>
        <w:spacing w:line="360" w:lineRule="auto"/>
      </w:pPr>
      <w:r>
        <w:rPr>
          <w:rFonts w:hint="eastAsia"/>
        </w:rPr>
        <w:t>（</w:t>
      </w:r>
      <w:r>
        <w:t>3</w:t>
      </w:r>
      <w:r>
        <w:rPr>
          <w:rFonts w:hint="eastAsia"/>
        </w:rPr>
        <w:t>）、保证各控制相、显示屏、信号灯、控制线路等的运作始终处于良好状态，各类操作按钮、手柄在自动位置。</w:t>
      </w:r>
    </w:p>
    <w:p w14:paraId="4E09E2FC">
      <w:pPr>
        <w:pStyle w:val="3"/>
        <w:spacing w:line="360" w:lineRule="auto"/>
      </w:pPr>
      <w:r>
        <w:rPr>
          <w:rFonts w:hint="eastAsia"/>
        </w:rPr>
        <w:t>（</w:t>
      </w:r>
      <w:r>
        <w:t>4</w:t>
      </w:r>
      <w:r>
        <w:rPr>
          <w:rFonts w:hint="eastAsia"/>
        </w:rPr>
        <w:t>）、每班检查一次各类信号是否正常并做记录。</w:t>
      </w:r>
    </w:p>
    <w:p w14:paraId="1D9EAD82">
      <w:pPr>
        <w:pStyle w:val="3"/>
        <w:spacing w:line="360" w:lineRule="auto"/>
      </w:pPr>
      <w:r>
        <w:rPr>
          <w:rFonts w:hint="eastAsia"/>
        </w:rPr>
        <w:t>（</w:t>
      </w:r>
      <w:r>
        <w:t>5</w:t>
      </w:r>
      <w:r>
        <w:rPr>
          <w:rFonts w:hint="eastAsia"/>
        </w:rPr>
        <w:t>）、出现报警信号后，立即赶到事发现场进行处理。</w:t>
      </w:r>
    </w:p>
    <w:p w14:paraId="69318268">
      <w:pPr>
        <w:pStyle w:val="3"/>
        <w:spacing w:line="360" w:lineRule="auto"/>
      </w:pPr>
      <w:r>
        <w:rPr>
          <w:rFonts w:hint="eastAsia"/>
        </w:rPr>
        <w:t>（</w:t>
      </w:r>
      <w:r>
        <w:t>6</w:t>
      </w:r>
      <w:r>
        <w:rPr>
          <w:rFonts w:hint="eastAsia"/>
        </w:rPr>
        <w:t>）、中控室的清洁由值班人员负责。</w:t>
      </w:r>
    </w:p>
    <w:p w14:paraId="5F822732">
      <w:pPr>
        <w:pStyle w:val="3"/>
        <w:spacing w:line="360" w:lineRule="auto"/>
      </w:pPr>
      <w:r>
        <w:rPr>
          <w:rFonts w:hint="eastAsia"/>
        </w:rPr>
        <w:t>服务标准：按保养计划进行维修保养，并将维修保养情况记录于相应记录内，物业工程部主管每年按设备运行情况制订下一年度中修、大修计划。中控室设备故障维修一般不超过</w:t>
      </w:r>
      <w:r>
        <w:t>2</w:t>
      </w:r>
      <w:r>
        <w:rPr>
          <w:rFonts w:hint="eastAsia"/>
        </w:rPr>
        <w:t>小时。</w:t>
      </w:r>
    </w:p>
    <w:p w14:paraId="76B6E684">
      <w:pPr>
        <w:pStyle w:val="3"/>
        <w:spacing w:line="360" w:lineRule="auto"/>
        <w:ind w:firstLine="422" w:firstLineChars="201"/>
        <w:rPr>
          <w:rFonts w:ascii="Times New Roman" w:hAnsi="Times New Roman"/>
          <w:szCs w:val="24"/>
        </w:rPr>
      </w:pPr>
      <w:r>
        <w:rPr>
          <w:rFonts w:hint="eastAsia"/>
        </w:rPr>
        <w:t>6、锅炉管理规定</w:t>
      </w:r>
    </w:p>
    <w:p w14:paraId="37C7FF47">
      <w:pPr>
        <w:spacing w:line="360" w:lineRule="auto"/>
        <w:ind w:firstLine="424" w:firstLineChars="202"/>
        <w:rPr>
          <w:rFonts w:ascii="宋体" w:hAnsi="Courier New"/>
          <w:szCs w:val="20"/>
        </w:rPr>
      </w:pPr>
      <w:r>
        <w:rPr>
          <w:rFonts w:hint="eastAsia" w:ascii="宋体" w:hAnsi="Courier New"/>
          <w:szCs w:val="20"/>
        </w:rPr>
        <w:t>（</w:t>
      </w:r>
      <w:r>
        <w:rPr>
          <w:rFonts w:ascii="宋体" w:hAnsi="Courier New"/>
          <w:szCs w:val="20"/>
        </w:rPr>
        <w:t>1</w:t>
      </w:r>
      <w:r>
        <w:rPr>
          <w:rFonts w:hint="eastAsia" w:ascii="宋体" w:hAnsi="Courier New"/>
          <w:szCs w:val="20"/>
        </w:rPr>
        <w:t>）、根据锅炉的图纸资料和技术性能制订锅炉安全运行和维修保养的规章制度。</w:t>
      </w:r>
    </w:p>
    <w:p w14:paraId="04D8FFA3">
      <w:pPr>
        <w:spacing w:line="360" w:lineRule="auto"/>
        <w:ind w:firstLine="424" w:firstLineChars="202"/>
        <w:rPr>
          <w:rFonts w:ascii="Times New Roman" w:hAnsi="Times New Roman"/>
          <w:szCs w:val="24"/>
        </w:rPr>
      </w:pPr>
      <w:r>
        <w:rPr>
          <w:rFonts w:hint="eastAsia" w:ascii="Times New Roman" w:hAnsi="Times New Roman"/>
          <w:szCs w:val="24"/>
        </w:rPr>
        <w:t>（</w:t>
      </w:r>
      <w:r>
        <w:rPr>
          <w:rFonts w:ascii="Times New Roman" w:hAnsi="Times New Roman"/>
          <w:szCs w:val="24"/>
        </w:rPr>
        <w:t>2</w:t>
      </w:r>
      <w:r>
        <w:rPr>
          <w:rFonts w:hint="eastAsia" w:ascii="Times New Roman" w:hAnsi="Times New Roman"/>
          <w:szCs w:val="24"/>
        </w:rPr>
        <w:t>）、锅炉运行管理和对机房设备、监控系统、软水处理系统、汽水热交换系统进行日常运行管理和定期检查、维护、保养（锅炉、监控设备定期检查、维护、保养委托有资质的专业单位，日常操作、维护和管理纳入物业服务范围）。</w:t>
      </w:r>
    </w:p>
    <w:p w14:paraId="40F7ABD5">
      <w:pPr>
        <w:spacing w:line="360" w:lineRule="auto"/>
        <w:ind w:firstLine="424" w:firstLineChars="202"/>
        <w:rPr>
          <w:rFonts w:ascii="宋体" w:hAnsi="Courier New"/>
          <w:szCs w:val="20"/>
        </w:rPr>
      </w:pPr>
      <w:r>
        <w:rPr>
          <w:rFonts w:hint="eastAsia" w:ascii="宋体" w:hAnsi="Courier New"/>
          <w:szCs w:val="20"/>
        </w:rPr>
        <w:t>（</w:t>
      </w:r>
      <w:r>
        <w:rPr>
          <w:rFonts w:ascii="宋体" w:hAnsi="Courier New"/>
          <w:szCs w:val="20"/>
        </w:rPr>
        <w:t>3</w:t>
      </w:r>
      <w:r>
        <w:rPr>
          <w:rFonts w:hint="eastAsia" w:ascii="宋体" w:hAnsi="Courier New"/>
          <w:szCs w:val="20"/>
        </w:rPr>
        <w:t>）、健全锅炉设备档案及修理记录；做（安排）好锅炉安全年检工作。</w:t>
      </w:r>
    </w:p>
    <w:p w14:paraId="11582BB5">
      <w:pPr>
        <w:spacing w:line="360" w:lineRule="auto"/>
        <w:ind w:firstLine="424" w:firstLineChars="202"/>
        <w:rPr>
          <w:rFonts w:ascii="宋体" w:hAnsi="Courier New"/>
          <w:szCs w:val="20"/>
        </w:rPr>
      </w:pPr>
      <w:r>
        <w:rPr>
          <w:rFonts w:hint="eastAsia" w:ascii="宋体" w:hAnsi="Courier New"/>
          <w:szCs w:val="20"/>
        </w:rPr>
        <w:t>（4）、锅炉操作人员持证上岗。保证</w:t>
      </w:r>
      <w:r>
        <w:rPr>
          <w:rFonts w:ascii="宋体" w:hAnsi="Courier New"/>
          <w:szCs w:val="20"/>
        </w:rPr>
        <w:t>24</w:t>
      </w:r>
      <w:r>
        <w:rPr>
          <w:rFonts w:hint="eastAsia" w:ascii="宋体" w:hAnsi="Courier New"/>
          <w:szCs w:val="20"/>
        </w:rPr>
        <w:t>小时有人员值班，做到发现故障、及时排除。</w:t>
      </w:r>
    </w:p>
    <w:p w14:paraId="7C64D7AB">
      <w:pPr>
        <w:spacing w:line="360" w:lineRule="auto"/>
        <w:ind w:firstLine="567" w:firstLineChars="270"/>
        <w:rPr>
          <w:rFonts w:ascii="Times New Roman" w:hAnsi="Times New Roman"/>
          <w:szCs w:val="24"/>
        </w:rPr>
      </w:pPr>
      <w:r>
        <w:rPr>
          <w:rFonts w:hint="eastAsia" w:ascii="Times New Roman" w:hAnsi="Times New Roman"/>
          <w:szCs w:val="24"/>
        </w:rPr>
        <w:t>服务标准：建立锅炉运行管理、设备管理、安全管理制度，制订锅炉安全操作规程、水质化验流程、交接班制度，确保锅炉按规定时间运行，安全设备齐全有效，通风、照明及其它附属设施完好；严格执行国家有关锅炉管理规定和安全规程，锅炉准用证、年检合格证、维修保养合同完备。锅炉由专业资质的锅炉维修保养单位定期进行维修保养，并在有效期内运行；做好原水水质软化处理，每天进行水质取样化验，确保硬度指标达到标准；安全阀、压力表、水位表、压力温度流量传感器功能完备，管道保温良好无跑、冒、滴、漏现象，高低压安全装置有效无缺损，锅炉运行无异常；锅炉机房实行封闭管理，机房内温度不超过设备安全运行环境温度，配备应急照明、灭火器；定期检查原水增压泵、热交换器循环泵电机及泵体，每年进行一次添加更换润滑脂、清洁叶轮、基础紧固、除锈刷漆等维护保养。锅炉设施完好率达到</w:t>
      </w:r>
      <w:r>
        <w:rPr>
          <w:rFonts w:ascii="Times New Roman" w:hAnsi="Times New Roman"/>
          <w:szCs w:val="24"/>
        </w:rPr>
        <w:t>100</w:t>
      </w:r>
      <w:r>
        <w:rPr>
          <w:rFonts w:hint="eastAsia" w:ascii="Times New Roman" w:hAnsi="Times New Roman"/>
          <w:szCs w:val="24"/>
        </w:rPr>
        <w:t>％。</w:t>
      </w:r>
    </w:p>
    <w:p w14:paraId="765F16B2">
      <w:pPr>
        <w:pStyle w:val="3"/>
        <w:spacing w:line="360" w:lineRule="auto"/>
      </w:pPr>
    </w:p>
    <w:p w14:paraId="79FA886D">
      <w:pPr>
        <w:pStyle w:val="3"/>
        <w:spacing w:line="360" w:lineRule="auto"/>
        <w:rPr>
          <w:b/>
          <w:bCs/>
        </w:rPr>
      </w:pPr>
      <w:r>
        <w:rPr>
          <w:rFonts w:hint="eastAsia"/>
        </w:rPr>
        <w:t>（</w:t>
      </w:r>
      <w:r>
        <w:rPr>
          <w:rFonts w:hint="eastAsia"/>
          <w:b/>
          <w:bCs/>
        </w:rPr>
        <w:t>四）安保管理要求与服务标准</w:t>
      </w:r>
    </w:p>
    <w:p w14:paraId="227B8E87">
      <w:pPr>
        <w:pStyle w:val="3"/>
        <w:spacing w:line="360" w:lineRule="auto"/>
        <w:ind w:firstLine="480"/>
        <w:rPr>
          <w:b/>
          <w:bCs/>
        </w:rPr>
      </w:pPr>
      <w:r>
        <w:rPr>
          <w:rFonts w:hint="eastAsia"/>
        </w:rPr>
        <w:t>提供保安服务的单位和从业人员必须符合《保安服务管理条例》相关要求，并在其规定的权限内提供服务。具体内容如下：</w:t>
      </w:r>
    </w:p>
    <w:p w14:paraId="5353C2BF">
      <w:pPr>
        <w:pStyle w:val="3"/>
        <w:spacing w:line="360" w:lineRule="auto"/>
        <w:ind w:firstLine="450"/>
      </w:pPr>
      <w:r>
        <w:t>1</w:t>
      </w:r>
      <w:r>
        <w:rPr>
          <w:rFonts w:hint="eastAsia"/>
        </w:rPr>
        <w:t>、全天候负责区域内正门、边门、区域通道、围墙、办公区域</w:t>
      </w:r>
      <w:r>
        <w:t>1</w:t>
      </w:r>
      <w:r>
        <w:rPr>
          <w:rFonts w:hint="eastAsia"/>
        </w:rPr>
        <w:t>号楼、</w:t>
      </w:r>
      <w:r>
        <w:t>2</w:t>
      </w:r>
      <w:r>
        <w:rPr>
          <w:rFonts w:hint="eastAsia"/>
        </w:rPr>
        <w:t>号楼等楼宇内、餐厅及公共走道实施</w:t>
      </w:r>
      <w:r>
        <w:t>24</w:t>
      </w:r>
      <w:r>
        <w:rPr>
          <w:rFonts w:hint="eastAsia"/>
        </w:rPr>
        <w:t>小时保安、巡逻、值勤。</w:t>
      </w:r>
    </w:p>
    <w:p w14:paraId="4D393B78">
      <w:pPr>
        <w:pStyle w:val="3"/>
        <w:spacing w:line="360" w:lineRule="auto"/>
        <w:ind w:firstLine="420" w:firstLineChars="200"/>
      </w:pPr>
      <w:r>
        <w:t>2</w:t>
      </w:r>
      <w:r>
        <w:rPr>
          <w:rFonts w:hint="eastAsia"/>
        </w:rPr>
        <w:t>、校院来人来访人员通报、登记、证件检查等。</w:t>
      </w:r>
    </w:p>
    <w:p w14:paraId="31E1868A">
      <w:pPr>
        <w:pStyle w:val="3"/>
        <w:spacing w:line="360" w:lineRule="auto"/>
        <w:ind w:firstLine="450"/>
      </w:pPr>
      <w:r>
        <w:t>3</w:t>
      </w:r>
      <w:r>
        <w:rPr>
          <w:rFonts w:hint="eastAsia"/>
        </w:rPr>
        <w:t>、积极配合公安部门工作，完善监控室管理制度。</w:t>
      </w:r>
    </w:p>
    <w:p w14:paraId="00051A90">
      <w:pPr>
        <w:pStyle w:val="3"/>
        <w:spacing w:line="360" w:lineRule="auto"/>
      </w:pPr>
      <w:r>
        <w:t xml:space="preserve">    4</w:t>
      </w:r>
      <w:r>
        <w:rPr>
          <w:rFonts w:hint="eastAsia"/>
        </w:rPr>
        <w:t>、贯彻执行公安部门关于保安保卫工作方针、政策和有关条例。</w:t>
      </w:r>
    </w:p>
    <w:p w14:paraId="0E8CA86A">
      <w:pPr>
        <w:pStyle w:val="3"/>
        <w:spacing w:line="360" w:lineRule="auto"/>
      </w:pPr>
      <w:r>
        <w:t xml:space="preserve">    5</w:t>
      </w:r>
      <w:r>
        <w:rPr>
          <w:rFonts w:hint="eastAsia"/>
        </w:rPr>
        <w:t>、坚决制止物业管理区域内的不文明及违法行为。</w:t>
      </w:r>
    </w:p>
    <w:p w14:paraId="66801B48">
      <w:pPr>
        <w:pStyle w:val="3"/>
        <w:spacing w:line="360" w:lineRule="auto"/>
      </w:pPr>
      <w:r>
        <w:t xml:space="preserve">    6</w:t>
      </w:r>
      <w:r>
        <w:rPr>
          <w:rFonts w:hint="eastAsia"/>
        </w:rPr>
        <w:t>、定期对电气设备、开关、线路和照明灯具等进行检查。积极开展防盗、防火宣传。</w:t>
      </w:r>
    </w:p>
    <w:p w14:paraId="1812DBFA">
      <w:pPr>
        <w:pStyle w:val="3"/>
        <w:spacing w:line="360" w:lineRule="auto"/>
      </w:pPr>
      <w:r>
        <w:t xml:space="preserve">    7</w:t>
      </w:r>
      <w:r>
        <w:rPr>
          <w:rFonts w:hint="eastAsia"/>
        </w:rPr>
        <w:t>、保安巡逻范围包括区域的公共道路、绿地带、设备用房和各办公楼的各楼层。</w:t>
      </w:r>
    </w:p>
    <w:p w14:paraId="7081779D">
      <w:pPr>
        <w:pStyle w:val="3"/>
        <w:spacing w:line="360" w:lineRule="auto"/>
      </w:pPr>
      <w:r>
        <w:t xml:space="preserve">    8</w:t>
      </w:r>
      <w:r>
        <w:rPr>
          <w:rFonts w:hint="eastAsia"/>
        </w:rPr>
        <w:t>、处理各种突发事件。</w:t>
      </w:r>
    </w:p>
    <w:p w14:paraId="6EEFA271">
      <w:pPr>
        <w:pStyle w:val="3"/>
        <w:spacing w:line="360" w:lineRule="auto"/>
      </w:pPr>
      <w:r>
        <w:t xml:space="preserve">    9</w:t>
      </w:r>
      <w:r>
        <w:rPr>
          <w:rFonts w:hint="eastAsia"/>
        </w:rPr>
        <w:t>、实施三级防火责任制和岗位责任制，建立健全防火制度和安全操作制度。</w:t>
      </w:r>
    </w:p>
    <w:p w14:paraId="55410727">
      <w:pPr>
        <w:pStyle w:val="3"/>
        <w:spacing w:line="360" w:lineRule="auto"/>
      </w:pPr>
      <w:r>
        <w:t xml:space="preserve">    10</w:t>
      </w:r>
      <w:r>
        <w:rPr>
          <w:rFonts w:hint="eastAsia"/>
        </w:rPr>
        <w:t>、定期巡视、试验、维修、更新消防器材和设备，指定有关人员负责保养、维修和管理。</w:t>
      </w:r>
    </w:p>
    <w:p w14:paraId="3272DE78">
      <w:pPr>
        <w:pStyle w:val="3"/>
        <w:spacing w:line="360" w:lineRule="auto"/>
      </w:pPr>
      <w:r>
        <w:t xml:space="preserve">    11</w:t>
      </w:r>
      <w:r>
        <w:rPr>
          <w:rFonts w:hint="eastAsia"/>
        </w:rPr>
        <w:t>、建筑物内严禁焚烧物品。建筑物内的走道、楼梯、出口等部位，保持畅通，严禁堆放物品。</w:t>
      </w:r>
    </w:p>
    <w:p w14:paraId="2D8C11A1">
      <w:pPr>
        <w:pStyle w:val="3"/>
        <w:spacing w:line="360" w:lineRule="auto"/>
        <w:ind w:firstLine="420"/>
      </w:pPr>
      <w:r>
        <w:t>12</w:t>
      </w:r>
      <w:r>
        <w:rPr>
          <w:rFonts w:hint="eastAsia"/>
        </w:rPr>
        <w:t>、保安人员上班时着统一的制服，配戴工作证。执勤人员佩带对讲机、警棒、电筒等装备。</w:t>
      </w:r>
    </w:p>
    <w:p w14:paraId="7F73D499">
      <w:pPr>
        <w:pStyle w:val="3"/>
        <w:spacing w:line="360" w:lineRule="auto"/>
        <w:ind w:firstLine="420"/>
      </w:pPr>
      <w:r>
        <w:rPr>
          <w:rFonts w:hint="eastAsia"/>
        </w:rPr>
        <w:t>服务标准：建立校院范围内传达、保安、公共秩序等管理制度并认真落实，确保校院范围内安全和正常的工作环境，严格证件登记，杜绝闲杂人员进入校院范围内。环境秩序良好，维护和保证防盗、防火报警、监控设备的正常运行。对校院范围内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二小时至少巡逻</w:t>
      </w:r>
      <w:r>
        <w:t>1</w:t>
      </w:r>
      <w:r>
        <w:rPr>
          <w:rFonts w:hint="eastAsia"/>
        </w:rPr>
        <w:t>次，发现违法违章行为应及时制止。</w:t>
      </w:r>
    </w:p>
    <w:p w14:paraId="0F866668">
      <w:pPr>
        <w:pStyle w:val="3"/>
        <w:spacing w:line="360" w:lineRule="auto"/>
        <w:ind w:firstLine="420"/>
        <w:rPr>
          <w:u w:val="single"/>
        </w:rPr>
      </w:pPr>
      <w:r>
        <w:rPr>
          <w:rFonts w:hint="eastAsia"/>
          <w:u w:val="single"/>
        </w:rPr>
        <w:t>人员要求：安保队员年龄须在35-45周岁之间。</w:t>
      </w:r>
    </w:p>
    <w:p w14:paraId="23D0F25C">
      <w:pPr>
        <w:pStyle w:val="3"/>
        <w:spacing w:line="360" w:lineRule="auto"/>
        <w:ind w:firstLine="420"/>
      </w:pPr>
    </w:p>
    <w:p w14:paraId="45B7D352">
      <w:pPr>
        <w:pStyle w:val="3"/>
        <w:spacing w:line="360" w:lineRule="auto"/>
        <w:rPr>
          <w:b/>
          <w:bCs/>
        </w:rPr>
      </w:pPr>
      <w:r>
        <w:rPr>
          <w:rFonts w:hint="eastAsia"/>
          <w:b/>
        </w:rPr>
        <w:t>（</w:t>
      </w:r>
      <w:r>
        <w:rPr>
          <w:rFonts w:hint="eastAsia"/>
          <w:b/>
          <w:bCs/>
        </w:rPr>
        <w:t>五）</w:t>
      </w:r>
      <w:r>
        <w:rPr>
          <w:rFonts w:hint="eastAsia"/>
          <w:b/>
          <w:bCs/>
          <w:kern w:val="0"/>
        </w:rPr>
        <w:t>公共绿地和室内绿化、摆花的养护和管理(绿化耗材、绿植采购等由校方负责)</w:t>
      </w:r>
    </w:p>
    <w:p w14:paraId="5AAE8C51">
      <w:pPr>
        <w:pStyle w:val="3"/>
        <w:spacing w:line="360" w:lineRule="auto"/>
      </w:pPr>
      <w:r>
        <w:t xml:space="preserve">    l</w:t>
      </w:r>
      <w:r>
        <w:rPr>
          <w:rFonts w:hint="eastAsia"/>
        </w:rPr>
        <w:t>、专业的绿化管理，每天</w:t>
      </w:r>
      <w:r>
        <w:rPr>
          <w:rFonts w:hint="eastAsia"/>
          <w:lang w:val="en-US" w:eastAsia="zh-CN"/>
        </w:rPr>
        <w:t>浇</w:t>
      </w:r>
      <w:r>
        <w:rPr>
          <w:rFonts w:hint="eastAsia"/>
        </w:rPr>
        <w:t>水，修剪养护树木、花草等，行使正常的养护和管理工作。</w:t>
      </w:r>
    </w:p>
    <w:p w14:paraId="63F4D0D1">
      <w:pPr>
        <w:pStyle w:val="3"/>
        <w:spacing w:line="360" w:lineRule="auto"/>
      </w:pPr>
      <w:r>
        <w:t xml:space="preserve">    2</w:t>
      </w:r>
      <w:r>
        <w:rPr>
          <w:rFonts w:hint="eastAsia"/>
        </w:rPr>
        <w:t>、浇水、修剪的范围包括小区内的公共草坪、树木，定期做养护草木工作。</w:t>
      </w:r>
    </w:p>
    <w:p w14:paraId="79454CC3">
      <w:pPr>
        <w:pStyle w:val="3"/>
        <w:spacing w:line="360" w:lineRule="auto"/>
      </w:pPr>
      <w:r>
        <w:t xml:space="preserve">    3</w:t>
      </w:r>
      <w:r>
        <w:rPr>
          <w:rFonts w:hint="eastAsia"/>
        </w:rPr>
        <w:t>、提供时花、苗木、盆栽及室内绿化、摆花等服务。</w:t>
      </w:r>
    </w:p>
    <w:p w14:paraId="5F78A8B4">
      <w:pPr>
        <w:pStyle w:val="3"/>
        <w:spacing w:line="360" w:lineRule="auto"/>
      </w:pPr>
      <w:r>
        <w:t xml:space="preserve">    4</w:t>
      </w:r>
      <w:r>
        <w:rPr>
          <w:rFonts w:hint="eastAsia"/>
        </w:rPr>
        <w:t>、派专人负责区域内水面垃圾的清理，保持水面清洁、给排水畅通。</w:t>
      </w:r>
    </w:p>
    <w:p w14:paraId="151604C1">
      <w:pPr>
        <w:pStyle w:val="3"/>
        <w:spacing w:line="360" w:lineRule="auto"/>
      </w:pPr>
      <w:r>
        <w:t xml:space="preserve">    5</w:t>
      </w:r>
      <w:r>
        <w:rPr>
          <w:rFonts w:hint="eastAsia"/>
        </w:rPr>
        <w:t>、草坪：</w:t>
      </w:r>
    </w:p>
    <w:p w14:paraId="20DC0F3F">
      <w:pPr>
        <w:pStyle w:val="3"/>
        <w:spacing w:line="360" w:lineRule="auto"/>
      </w:pPr>
      <w:r>
        <w:t xml:space="preserve">   (1) </w:t>
      </w:r>
      <w:r>
        <w:rPr>
          <w:rFonts w:hint="eastAsia"/>
        </w:rPr>
        <w:t>春、夏两季每两个月对草坪进行一次修剪，秋、冬两季根据实际情况进行修剪。</w:t>
      </w:r>
    </w:p>
    <w:p w14:paraId="7D3D7E8B">
      <w:pPr>
        <w:pStyle w:val="3"/>
        <w:spacing w:line="360" w:lineRule="auto"/>
      </w:pPr>
      <w:r>
        <w:t xml:space="preserve">   (2) </w:t>
      </w:r>
      <w:r>
        <w:rPr>
          <w:rFonts w:hint="eastAsia"/>
        </w:rPr>
        <w:t>基本保证春、夏两季草皮不长于</w:t>
      </w:r>
      <w:r>
        <w:t>7</w:t>
      </w:r>
      <w:r>
        <w:rPr>
          <w:rFonts w:hint="eastAsia"/>
        </w:rPr>
        <w:t>厘米，秋、冬季不长于</w:t>
      </w:r>
      <w:r>
        <w:t>10</w:t>
      </w:r>
      <w:r>
        <w:rPr>
          <w:rFonts w:hint="eastAsia"/>
        </w:rPr>
        <w:t>厘米。</w:t>
      </w:r>
    </w:p>
    <w:p w14:paraId="417F6E5F">
      <w:pPr>
        <w:pStyle w:val="3"/>
        <w:spacing w:line="360" w:lineRule="auto"/>
      </w:pPr>
      <w:r>
        <w:t xml:space="preserve">   (3) </w:t>
      </w:r>
      <w:r>
        <w:rPr>
          <w:rFonts w:hint="eastAsia"/>
        </w:rPr>
        <w:t>每次修剪后对草皮施肥一次，以氮肥为主，结合磷、钾肥等有机肥，保持草坪全年常绿，肥料费用由中标方承担。</w:t>
      </w:r>
    </w:p>
    <w:p w14:paraId="3488FF28">
      <w:pPr>
        <w:pStyle w:val="3"/>
        <w:spacing w:line="360" w:lineRule="auto"/>
      </w:pPr>
      <w:r>
        <w:t xml:space="preserve">   (4) </w:t>
      </w:r>
      <w:r>
        <w:rPr>
          <w:rFonts w:hint="eastAsia"/>
        </w:rPr>
        <w:t>草皮杂草每周巡查拔除，做到每平方米不多于</w:t>
      </w:r>
      <w:r>
        <w:t>5</w:t>
      </w:r>
      <w:r>
        <w:rPr>
          <w:rFonts w:hint="eastAsia"/>
        </w:rPr>
        <w:t>裸杂草。</w:t>
      </w:r>
    </w:p>
    <w:p w14:paraId="7127F137">
      <w:pPr>
        <w:pStyle w:val="3"/>
        <w:spacing w:line="360" w:lineRule="auto"/>
      </w:pPr>
      <w:r>
        <w:t xml:space="preserve">   (5) </w:t>
      </w:r>
      <w:r>
        <w:rPr>
          <w:rFonts w:hint="eastAsia"/>
        </w:rPr>
        <w:t>拾除草坪、花丛内纸屑、果皮等杂物。</w:t>
      </w:r>
    </w:p>
    <w:p w14:paraId="7C6BFF80">
      <w:pPr>
        <w:pStyle w:val="3"/>
        <w:spacing w:line="360" w:lineRule="auto"/>
      </w:pPr>
      <w:r>
        <w:t xml:space="preserve">    6</w:t>
      </w:r>
      <w:r>
        <w:rPr>
          <w:rFonts w:hint="eastAsia"/>
        </w:rPr>
        <w:t>、绿篱、树木</w:t>
      </w:r>
    </w:p>
    <w:p w14:paraId="3FEC7CA2">
      <w:pPr>
        <w:pStyle w:val="3"/>
        <w:spacing w:line="360" w:lineRule="auto"/>
      </w:pPr>
      <w:r>
        <w:t xml:space="preserve">   (1) </w:t>
      </w:r>
      <w:r>
        <w:rPr>
          <w:rFonts w:hint="eastAsia"/>
        </w:rPr>
        <w:t>修剪绿篱做到平整圆滑，造型优美，修剪下的枝叶应立即清除。</w:t>
      </w:r>
    </w:p>
    <w:p w14:paraId="644929B4">
      <w:pPr>
        <w:pStyle w:val="3"/>
        <w:spacing w:line="360" w:lineRule="auto"/>
      </w:pPr>
      <w:r>
        <w:t xml:space="preserve">   (2) </w:t>
      </w:r>
      <w:r>
        <w:rPr>
          <w:rFonts w:hint="eastAsia"/>
        </w:rPr>
        <w:t>绿篱、树木春、夏两季每两个月施肥一次，秋冬两季每</w:t>
      </w:r>
      <w:r>
        <w:t>3</w:t>
      </w:r>
      <w:r>
        <w:rPr>
          <w:rFonts w:hint="eastAsia"/>
        </w:rPr>
        <w:t>个月施肥一次，使用复合肥保征长势旺盛。</w:t>
      </w:r>
    </w:p>
    <w:p w14:paraId="39C811BA">
      <w:pPr>
        <w:pStyle w:val="3"/>
        <w:spacing w:line="360" w:lineRule="auto"/>
      </w:pPr>
      <w:r>
        <w:t xml:space="preserve">    7</w:t>
      </w:r>
      <w:r>
        <w:rPr>
          <w:rFonts w:hint="eastAsia"/>
        </w:rPr>
        <w:t>、乔灌木</w:t>
      </w:r>
    </w:p>
    <w:p w14:paraId="21438DEB">
      <w:pPr>
        <w:pStyle w:val="3"/>
        <w:spacing w:line="360" w:lineRule="auto"/>
      </w:pPr>
      <w:r>
        <w:t xml:space="preserve">   (1) </w:t>
      </w:r>
      <w:r>
        <w:rPr>
          <w:rFonts w:hint="eastAsia"/>
        </w:rPr>
        <w:t>每月巡查，及时修剪枯枝、病虫枝、下垂妨碍观瞻和活动的枝条，修剪下的枝叶要立即清除。</w:t>
      </w:r>
    </w:p>
    <w:p w14:paraId="77555FBA">
      <w:pPr>
        <w:pStyle w:val="3"/>
        <w:spacing w:line="360" w:lineRule="auto"/>
      </w:pPr>
      <w:r>
        <w:t xml:space="preserve">   (2) </w:t>
      </w:r>
      <w:r>
        <w:rPr>
          <w:rFonts w:hint="eastAsia"/>
        </w:rPr>
        <w:t>每</w:t>
      </w:r>
      <w:r>
        <w:t>3</w:t>
      </w:r>
      <w:r>
        <w:rPr>
          <w:rFonts w:hint="eastAsia"/>
        </w:rPr>
        <w:t>个月施肥一次，施用复合肥料，保证长势旺盛。</w:t>
      </w:r>
    </w:p>
    <w:p w14:paraId="126F4828">
      <w:pPr>
        <w:pStyle w:val="3"/>
        <w:spacing w:line="360" w:lineRule="auto"/>
      </w:pPr>
      <w:r>
        <w:rPr>
          <w:rFonts w:hint="eastAsia"/>
        </w:rPr>
        <w:t>8、植保</w:t>
      </w:r>
    </w:p>
    <w:p w14:paraId="7134388A">
      <w:pPr>
        <w:pStyle w:val="3"/>
        <w:spacing w:line="360" w:lineRule="auto"/>
      </w:pPr>
      <w:r>
        <w:t xml:space="preserve">   (1) </w:t>
      </w:r>
      <w:r>
        <w:rPr>
          <w:rFonts w:hint="eastAsia"/>
        </w:rPr>
        <w:t>提倡生化物防治、人工防治，使用农药必须以不伤害人体健康为前提，尽量使用高效低毒的农药。</w:t>
      </w:r>
    </w:p>
    <w:p w14:paraId="1265A4F8">
      <w:pPr>
        <w:pStyle w:val="3"/>
        <w:spacing w:line="360" w:lineRule="auto"/>
      </w:pPr>
      <w:r>
        <w:t xml:space="preserve">   (2) </w:t>
      </w:r>
      <w:r>
        <w:rPr>
          <w:rFonts w:hint="eastAsia"/>
        </w:rPr>
        <w:t>在使用农药时，必须做好人员保护措施，必须在晴朗无风的天气一次完成，喷药后</w:t>
      </w:r>
      <w:r>
        <w:t>4</w:t>
      </w:r>
      <w:r>
        <w:rPr>
          <w:rFonts w:hint="eastAsia"/>
        </w:rPr>
        <w:t>小时内下雨的，则待天晴后重喷，农药费用由中标方承担</w:t>
      </w:r>
    </w:p>
    <w:p w14:paraId="114223D7">
      <w:pPr>
        <w:pStyle w:val="3"/>
        <w:spacing w:line="360" w:lineRule="auto"/>
      </w:pPr>
      <w:r>
        <w:t xml:space="preserve">   (3) </w:t>
      </w:r>
      <w:r>
        <w:rPr>
          <w:rFonts w:hint="eastAsia"/>
        </w:rPr>
        <w:t>使用小型喷雾器或手动喷雾器，避免药液扩散，影响他人健康。</w:t>
      </w:r>
    </w:p>
    <w:p w14:paraId="4ECFB32C">
      <w:pPr>
        <w:pStyle w:val="3"/>
        <w:spacing w:line="360" w:lineRule="auto"/>
      </w:pPr>
      <w:r>
        <w:t xml:space="preserve">   (4) </w:t>
      </w:r>
      <w:r>
        <w:rPr>
          <w:rFonts w:hint="eastAsia"/>
        </w:rPr>
        <w:t>上述工作每次完成后，应即时予以记录备案。</w:t>
      </w:r>
    </w:p>
    <w:p w14:paraId="3F5B4E3E">
      <w:pPr>
        <w:spacing w:line="360" w:lineRule="auto"/>
        <w:ind w:firstLine="630" w:firstLineChars="300"/>
      </w:pPr>
      <w:r>
        <w:rPr>
          <w:rFonts w:hint="eastAsia"/>
        </w:rPr>
        <w:t>服务标准：花草树木生长正常，修剪及时，叶面干净，具有光泽，无积尘，无枯枝败叶，无病虫害，无杂草；盆器及托盘完好干净，托盘无积土。室外绿化养护应达到绿地及花坛内各种植物存活率</w:t>
      </w:r>
      <w:r>
        <w:t>100</w:t>
      </w:r>
      <w:r>
        <w:rPr>
          <w:rFonts w:hint="eastAsia"/>
        </w:rPr>
        <w:t>％。绿地设施及硬质景观完好无损。植物群落完整，层次丰富，黄土不外露，有整体的观赏效果。植物季相分明，生长茂盛；草坪保持平整，修剪后高度不超过</w:t>
      </w:r>
      <w:r>
        <w:t>5</w:t>
      </w:r>
      <w:r>
        <w:rPr>
          <w:rFonts w:hint="eastAsia"/>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14:paraId="6AAA0843">
      <w:pPr>
        <w:pStyle w:val="3"/>
        <w:spacing w:line="360" w:lineRule="auto"/>
      </w:pPr>
    </w:p>
    <w:p w14:paraId="47DEAF43">
      <w:pPr>
        <w:pStyle w:val="3"/>
        <w:spacing w:line="360" w:lineRule="auto"/>
        <w:rPr>
          <w:b/>
          <w:bCs/>
        </w:rPr>
      </w:pPr>
      <w:r>
        <w:rPr>
          <w:rFonts w:hint="eastAsia"/>
          <w:b/>
        </w:rPr>
        <w:t>（</w:t>
      </w:r>
      <w:r>
        <w:rPr>
          <w:rFonts w:hint="eastAsia"/>
          <w:b/>
          <w:bCs/>
        </w:rPr>
        <w:t>六）环境卫生与保洁管理(保洁耗材由校方提供)</w:t>
      </w:r>
    </w:p>
    <w:p w14:paraId="57EE9ACF">
      <w:pPr>
        <w:pStyle w:val="3"/>
        <w:spacing w:line="360" w:lineRule="auto"/>
      </w:pPr>
      <w:r>
        <w:t xml:space="preserve">    1</w:t>
      </w:r>
      <w:r>
        <w:rPr>
          <w:rFonts w:hint="eastAsia"/>
        </w:rPr>
        <w:t>、组建专业公共卫生清洁班，每天打扫公共部位，做到杂物、废弃物立即清理。</w:t>
      </w:r>
    </w:p>
    <w:p w14:paraId="44896247">
      <w:pPr>
        <w:pStyle w:val="3"/>
        <w:spacing w:line="360" w:lineRule="auto"/>
      </w:pPr>
      <w:r>
        <w:t xml:space="preserve">    2</w:t>
      </w:r>
      <w:r>
        <w:rPr>
          <w:rFonts w:hint="eastAsia"/>
        </w:rPr>
        <w:t>、楼内垃圾实行袋装化，在各楼层公共部位设立公共垃圾箱，在露天公共部位设立杂物箱，由清洁工清运、处理（包括联系环卫部门运出处理）。</w:t>
      </w:r>
    </w:p>
    <w:p w14:paraId="519907EA">
      <w:pPr>
        <w:pStyle w:val="3"/>
        <w:spacing w:line="360" w:lineRule="auto"/>
      </w:pPr>
      <w:r>
        <w:t xml:space="preserve">    3</w:t>
      </w:r>
      <w:r>
        <w:rPr>
          <w:rFonts w:hint="eastAsia"/>
        </w:rPr>
        <w:t>、区域垃圾实行分类收集（有机垃圾、无机垃圾、有害垃圾），从而达到更高层次的环保效果。</w:t>
      </w:r>
    </w:p>
    <w:p w14:paraId="10F83A44">
      <w:pPr>
        <w:pStyle w:val="3"/>
        <w:spacing w:line="360" w:lineRule="auto"/>
      </w:pPr>
      <w:r>
        <w:t xml:space="preserve">    4</w:t>
      </w:r>
      <w:r>
        <w:rPr>
          <w:rFonts w:hint="eastAsia"/>
        </w:rPr>
        <w:t>、及时清扫大区域地面积水、垃圾、烟头等，使地面保持干净、无杂物、无积水等。</w:t>
      </w:r>
    </w:p>
    <w:p w14:paraId="35C1DDB9">
      <w:pPr>
        <w:pStyle w:val="3"/>
        <w:spacing w:line="360" w:lineRule="auto"/>
      </w:pPr>
      <w:r>
        <w:t xml:space="preserve">    5</w:t>
      </w:r>
      <w:r>
        <w:rPr>
          <w:rFonts w:hint="eastAsia"/>
        </w:rPr>
        <w:t>、对公共道路上之汽车道闸、垃圾筒等定期清洁或清洗，停车场、地面道路定期高压冲洗。</w:t>
      </w:r>
    </w:p>
    <w:p w14:paraId="5EDB4CB1">
      <w:pPr>
        <w:pStyle w:val="3"/>
        <w:spacing w:line="360" w:lineRule="auto"/>
      </w:pPr>
      <w:r>
        <w:t xml:space="preserve">    6</w:t>
      </w:r>
      <w:r>
        <w:rPr>
          <w:rFonts w:hint="eastAsia"/>
        </w:rPr>
        <w:t>、对设备、设施的表面进行清洁、抹净处理，保持洁净。</w:t>
      </w:r>
    </w:p>
    <w:p w14:paraId="2566168D">
      <w:pPr>
        <w:pStyle w:val="3"/>
        <w:spacing w:line="360" w:lineRule="auto"/>
      </w:pPr>
      <w:r>
        <w:t xml:space="preserve">    7</w:t>
      </w:r>
      <w:r>
        <w:rPr>
          <w:rFonts w:hint="eastAsia"/>
        </w:rPr>
        <w:t>．定期对设施、设备各类金属表层或表面使用专用保洁剂或防锈处理，保持光亮洁净。</w:t>
      </w:r>
    </w:p>
    <w:p w14:paraId="49419845">
      <w:pPr>
        <w:pStyle w:val="3"/>
        <w:spacing w:line="360" w:lineRule="auto"/>
      </w:pPr>
      <w:r>
        <w:t xml:space="preserve">    8</w:t>
      </w:r>
      <w:r>
        <w:rPr>
          <w:rFonts w:hint="eastAsia"/>
        </w:rPr>
        <w:t>、将楼层的垃圾清运、处理，对楼内公共设施进行擦抹保洁。</w:t>
      </w:r>
    </w:p>
    <w:p w14:paraId="4D4EDE3B">
      <w:pPr>
        <w:pStyle w:val="3"/>
        <w:spacing w:line="360" w:lineRule="auto"/>
      </w:pPr>
      <w:r>
        <w:t xml:space="preserve">    9</w:t>
      </w:r>
      <w:r>
        <w:rPr>
          <w:rFonts w:hint="eastAsia"/>
        </w:rPr>
        <w:t>．对人员出人频繁之地，进行不间断的走动保洁。</w:t>
      </w:r>
    </w:p>
    <w:p w14:paraId="634B1721">
      <w:pPr>
        <w:pStyle w:val="3"/>
        <w:spacing w:line="360" w:lineRule="auto"/>
      </w:pPr>
      <w:r>
        <w:t xml:space="preserve">    10</w:t>
      </w:r>
      <w:r>
        <w:rPr>
          <w:rFonts w:hint="eastAsia"/>
        </w:rPr>
        <w:t>、清扫、拖洗属于公共区域室内外的地面。</w:t>
      </w:r>
    </w:p>
    <w:p w14:paraId="78D5E7A9">
      <w:pPr>
        <w:pStyle w:val="3"/>
        <w:spacing w:line="360" w:lineRule="auto"/>
      </w:pPr>
      <w:r>
        <w:t xml:space="preserve">    11</w:t>
      </w:r>
      <w:r>
        <w:rPr>
          <w:rFonts w:hint="eastAsia"/>
        </w:rPr>
        <w:t>、擦净、抹净各楼层内会议室、接待室、图书馆、休息室等内的桌、椅台面、文件柜等家具。</w:t>
      </w:r>
    </w:p>
    <w:p w14:paraId="2CBDEFE4">
      <w:pPr>
        <w:pStyle w:val="3"/>
        <w:spacing w:line="360" w:lineRule="auto"/>
      </w:pPr>
      <w:r>
        <w:t xml:space="preserve">    12</w:t>
      </w:r>
      <w:r>
        <w:rPr>
          <w:rFonts w:hint="eastAsia"/>
        </w:rPr>
        <w:t>．定期清扫各楼天台、设备机房等部门。</w:t>
      </w:r>
    </w:p>
    <w:p w14:paraId="2843A0E1">
      <w:pPr>
        <w:pStyle w:val="3"/>
        <w:spacing w:line="360" w:lineRule="auto"/>
      </w:pPr>
      <w:r>
        <w:t xml:space="preserve">    13</w:t>
      </w:r>
      <w:r>
        <w:rPr>
          <w:rFonts w:hint="eastAsia"/>
        </w:rPr>
        <w:t>、清洗及保洁各楼层的洗手间、更换卫生纸、洗手液。抹净各类洁具等工作。</w:t>
      </w:r>
    </w:p>
    <w:p w14:paraId="56C2BFB7">
      <w:pPr>
        <w:pStyle w:val="3"/>
        <w:spacing w:line="360" w:lineRule="auto"/>
      </w:pPr>
      <w:r>
        <w:t xml:space="preserve">    14</w:t>
      </w:r>
      <w:r>
        <w:rPr>
          <w:rFonts w:hint="eastAsia"/>
        </w:rPr>
        <w:t>、定时收集各楼层内之生活垃圾，并更换垃圾袋，定期清洁垃圾筒等，保持洁净。</w:t>
      </w:r>
    </w:p>
    <w:p w14:paraId="6EF3B232">
      <w:pPr>
        <w:pStyle w:val="3"/>
        <w:spacing w:line="360" w:lineRule="auto"/>
      </w:pPr>
      <w:r>
        <w:t xml:space="preserve">    15</w:t>
      </w:r>
      <w:r>
        <w:rPr>
          <w:rFonts w:hint="eastAsia"/>
        </w:rPr>
        <w:t>、定期、定点、定计划使用专业消毒、杀虫害等药剂进行环保消杀工作。</w:t>
      </w:r>
    </w:p>
    <w:p w14:paraId="3C7CB9F0">
      <w:pPr>
        <w:pStyle w:val="3"/>
        <w:spacing w:line="360" w:lineRule="auto"/>
      </w:pPr>
      <w:r>
        <w:t xml:space="preserve">    16</w:t>
      </w:r>
      <w:r>
        <w:rPr>
          <w:rFonts w:hint="eastAsia"/>
        </w:rPr>
        <w:t>、按时清运、处理垃圾、定时高压冲洗收集站内外墙壁及地面、定期进行灭虫、消毒。</w:t>
      </w:r>
    </w:p>
    <w:p w14:paraId="4B6340BC">
      <w:pPr>
        <w:pStyle w:val="3"/>
        <w:spacing w:line="360" w:lineRule="auto"/>
        <w:ind w:firstLine="480"/>
      </w:pPr>
      <w:r>
        <w:t>17</w:t>
      </w:r>
      <w:r>
        <w:rPr>
          <w:rFonts w:hint="eastAsia"/>
        </w:rPr>
        <w:t>、保持大楼原有的建筑风貌，每年做一次外墙的清洗工作，使物业持久如新。</w:t>
      </w:r>
    </w:p>
    <w:p w14:paraId="2FB60CE7">
      <w:pPr>
        <w:spacing w:line="360" w:lineRule="auto"/>
        <w:ind w:left="0" w:leftChars="0" w:firstLine="420" w:firstLineChars="200"/>
      </w:pPr>
      <w:r>
        <w:rPr>
          <w:rFonts w:hint="eastAsia"/>
        </w:rPr>
        <w:t>服务标准：建立校院范围内环境管理制度并认真落实，环卫设施齐备，实行标准化清扫保洁，由专人负责检查监督，清洁率</w:t>
      </w:r>
      <w:r>
        <w:t>100%</w:t>
      </w:r>
      <w:r>
        <w:rPr>
          <w:rFonts w:hint="eastAsia"/>
        </w:rPr>
        <w:t>。具体区域标准要求如下：</w:t>
      </w:r>
    </w:p>
    <w:p w14:paraId="44B25225">
      <w:pPr>
        <w:spacing w:line="360" w:lineRule="auto"/>
        <w:ind w:left="0" w:leftChars="0" w:firstLine="420" w:firstLineChars="200"/>
      </w:pPr>
      <w:r>
        <w:rPr>
          <w:rFonts w:hint="eastAsia"/>
        </w:rPr>
        <w:t>外围及周边道路地面干净无杂物、无积水，无明显污迹、油渍；明沟、窨井内无杂物、无异味；各种标示标牌表面干净无积尘、无水印；路灯表面干净无污渍。</w:t>
      </w:r>
    </w:p>
    <w:p w14:paraId="7D2E7052">
      <w:pPr>
        <w:spacing w:line="360" w:lineRule="auto"/>
        <w:ind w:left="0" w:leftChars="0" w:firstLine="420" w:firstLineChars="200"/>
      </w:pPr>
      <w:r>
        <w:rPr>
          <w:rFonts w:hint="eastAsia"/>
        </w:rPr>
        <w:t>绿化带内无杂物，花台表面干净无污渍。</w:t>
      </w:r>
    </w:p>
    <w:p w14:paraId="6FC6666B">
      <w:pPr>
        <w:spacing w:line="360" w:lineRule="auto"/>
        <w:ind w:left="0" w:leftChars="0" w:firstLine="420" w:firstLineChars="200"/>
      </w:pPr>
      <w:r>
        <w:rPr>
          <w:rFonts w:hint="eastAsia"/>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进出口地垫摆放整齐，表面干净无杂物。</w:t>
      </w:r>
    </w:p>
    <w:p w14:paraId="509C2F49">
      <w:pPr>
        <w:spacing w:line="360" w:lineRule="auto"/>
        <w:ind w:left="0" w:leftChars="0" w:firstLine="420" w:firstLineChars="200"/>
      </w:pPr>
      <w:r>
        <w:rPr>
          <w:rFonts w:hint="eastAsia"/>
        </w:rPr>
        <w:t>会议室、接待室地面、墙面、干净，无灰尘、污渍；天花板、风口目视无灰尘、污渍；</w:t>
      </w:r>
    </w:p>
    <w:p w14:paraId="6FB6320A">
      <w:pPr>
        <w:spacing w:line="360" w:lineRule="auto"/>
        <w:ind w:left="0" w:leftChars="0" w:firstLine="420" w:firstLineChars="200"/>
      </w:pPr>
      <w:r>
        <w:rPr>
          <w:rFonts w:hint="eastAsia"/>
        </w:rPr>
        <w:t>桌椅干净，物品摆放整齐、有序。</w:t>
      </w:r>
    </w:p>
    <w:p w14:paraId="632D88AA">
      <w:pPr>
        <w:spacing w:line="360" w:lineRule="auto"/>
        <w:ind w:left="0" w:leftChars="0" w:firstLine="420" w:firstLineChars="200"/>
      </w:pP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6104C5C0">
      <w:pPr>
        <w:spacing w:line="360" w:lineRule="auto"/>
        <w:ind w:left="0" w:leftChars="0" w:firstLine="420" w:firstLineChars="200"/>
      </w:pPr>
      <w:r>
        <w:rPr>
          <w:rFonts w:hint="eastAsia"/>
        </w:rPr>
        <w:t>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2073B2B7">
      <w:pPr>
        <w:spacing w:line="360" w:lineRule="auto"/>
        <w:ind w:left="0" w:leftChars="0" w:firstLine="420" w:firstLineChars="200"/>
      </w:pPr>
      <w:r>
        <w:rPr>
          <w:rFonts w:hint="eastAsia"/>
        </w:rPr>
        <w:t>开水间及清洁间地面干净，无杂物、无积水，地垫摆放整齐干净，天花板干净无蛛网，灯罩表面无积尘、蛛网，墙面干净无污渍，各种物品表面干净无渍，清洁工具摆放整齐有序，室内无明显异味。</w:t>
      </w:r>
    </w:p>
    <w:p w14:paraId="2817E4CC">
      <w:pPr>
        <w:spacing w:line="360" w:lineRule="auto"/>
        <w:ind w:left="0" w:leftChars="0" w:firstLine="420" w:firstLineChars="200"/>
      </w:pP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4423D83D">
      <w:pPr>
        <w:spacing w:line="360" w:lineRule="auto"/>
        <w:ind w:left="0" w:leftChars="0" w:firstLine="420" w:firstLineChars="200"/>
      </w:pPr>
      <w:r>
        <w:rPr>
          <w:rFonts w:hint="eastAsia"/>
        </w:rPr>
        <w:t>电器设施灯泡、灯管、灯罩无积尘、无污迹。装饰件无积尘、无污迹；开关、插座、配电箱无积尘、无明显污迹。</w:t>
      </w:r>
    </w:p>
    <w:p w14:paraId="415788AB">
      <w:pPr>
        <w:spacing w:line="360" w:lineRule="auto"/>
        <w:ind w:left="0" w:leftChars="0" w:firstLine="420" w:firstLineChars="200"/>
      </w:pP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14:paraId="32C9A442">
      <w:pPr>
        <w:spacing w:line="360" w:lineRule="auto"/>
        <w:ind w:left="0" w:leftChars="0" w:firstLine="420" w:firstLineChars="200"/>
      </w:pPr>
      <w:r>
        <w:rPr>
          <w:rFonts w:hint="eastAsia"/>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0BB94827">
      <w:pPr>
        <w:spacing w:line="360" w:lineRule="auto"/>
        <w:ind w:left="0" w:leftChars="0" w:firstLine="420" w:firstLineChars="200"/>
      </w:pPr>
      <w:r>
        <w:rPr>
          <w:rFonts w:hint="eastAsia"/>
        </w:rPr>
        <w:t>垃圾中转房中转房应专人管理定时开放，袋装垃圾摆放整齐，地面无明显垃圾，无污水外溢，房内应无明显异味，垃圾日产日清。</w:t>
      </w:r>
    </w:p>
    <w:p w14:paraId="423BD648">
      <w:pPr>
        <w:spacing w:line="360" w:lineRule="auto"/>
        <w:ind w:left="0" w:leftChars="0" w:firstLine="420" w:firstLineChars="200"/>
      </w:pPr>
      <w:r>
        <w:rPr>
          <w:rFonts w:hint="eastAsia"/>
        </w:rPr>
        <w:t>设备机房、管道，指示牌无卫生死角、无垃圾堆积，无积尘、目视无蜘蛛网、无明显污渍、无水渍；指示牌、广告牌无灰尘、无污迹，金属件表面光亮，无痕迹。</w:t>
      </w:r>
    </w:p>
    <w:p w14:paraId="53AADDEB">
      <w:pPr>
        <w:pStyle w:val="3"/>
        <w:spacing w:line="360" w:lineRule="auto"/>
        <w:rPr>
          <w:sz w:val="24"/>
          <w:szCs w:val="24"/>
        </w:rPr>
      </w:pPr>
    </w:p>
    <w:p w14:paraId="0A17196C">
      <w:pPr>
        <w:pStyle w:val="3"/>
        <w:spacing w:line="360" w:lineRule="auto"/>
        <w:rPr>
          <w:b/>
          <w:bCs/>
        </w:rPr>
      </w:pPr>
      <w:r>
        <w:rPr>
          <w:rFonts w:hint="eastAsia"/>
          <w:b/>
        </w:rPr>
        <w:t>（</w:t>
      </w:r>
      <w:r>
        <w:rPr>
          <w:rFonts w:hint="eastAsia"/>
          <w:b/>
          <w:bCs/>
        </w:rPr>
        <w:t>七）垃圾清运、处理(垃圾外运由校方外包)</w:t>
      </w:r>
    </w:p>
    <w:p w14:paraId="27B1BEFF">
      <w:pPr>
        <w:pStyle w:val="3"/>
        <w:spacing w:line="360" w:lineRule="auto"/>
      </w:pPr>
      <w:r>
        <w:t xml:space="preserve">    1</w:t>
      </w:r>
      <w:r>
        <w:rPr>
          <w:rFonts w:hint="eastAsia"/>
        </w:rPr>
        <w:t>、垃圾清运、处理分为：生活垃圾（有机、无机、有害垃圾）清运处理、督促装修队伍装修垃圾清运处理和废纸及可再生废物的回收。所有垃圾清运处理应符合上海市有关法律、法规规定。</w:t>
      </w:r>
    </w:p>
    <w:p w14:paraId="14E2F4CC">
      <w:pPr>
        <w:pStyle w:val="3"/>
        <w:spacing w:line="360" w:lineRule="auto"/>
      </w:pPr>
      <w:r>
        <w:t xml:space="preserve">    2</w:t>
      </w:r>
      <w:r>
        <w:rPr>
          <w:rFonts w:hint="eastAsia"/>
        </w:rPr>
        <w:t>、垃圾清运、处理的范围分为：</w:t>
      </w:r>
    </w:p>
    <w:p w14:paraId="1D9BB8FF">
      <w:pPr>
        <w:pStyle w:val="3"/>
        <w:spacing w:line="360" w:lineRule="auto"/>
      </w:pPr>
      <w:r>
        <w:t xml:space="preserve">   (1) </w:t>
      </w:r>
      <w:r>
        <w:rPr>
          <w:rFonts w:hint="eastAsia"/>
        </w:rPr>
        <w:t>办公楼之日常办公垃圾</w:t>
      </w:r>
    </w:p>
    <w:p w14:paraId="4967C3BA">
      <w:pPr>
        <w:pStyle w:val="3"/>
        <w:spacing w:line="360" w:lineRule="auto"/>
      </w:pPr>
      <w:r>
        <w:t xml:space="preserve">   (2) </w:t>
      </w:r>
      <w:r>
        <w:rPr>
          <w:rFonts w:hint="eastAsia"/>
        </w:rPr>
        <w:t>办公楼之日常生活垃圾</w:t>
      </w:r>
    </w:p>
    <w:p w14:paraId="2669BB26">
      <w:pPr>
        <w:pStyle w:val="3"/>
        <w:spacing w:line="360" w:lineRule="auto"/>
      </w:pPr>
      <w:r>
        <w:t xml:space="preserve">   (3) </w:t>
      </w:r>
      <w:r>
        <w:rPr>
          <w:rFonts w:hint="eastAsia"/>
        </w:rPr>
        <w:t>餐厅等之日常垃圾</w:t>
      </w:r>
    </w:p>
    <w:p w14:paraId="28D74520">
      <w:pPr>
        <w:pStyle w:val="3"/>
        <w:spacing w:line="360" w:lineRule="auto"/>
      </w:pPr>
      <w:r>
        <w:t xml:space="preserve">   (4) </w:t>
      </w:r>
      <w:r>
        <w:rPr>
          <w:rFonts w:hint="eastAsia"/>
        </w:rPr>
        <w:t>建筑垃圾</w:t>
      </w:r>
    </w:p>
    <w:p w14:paraId="20FCBFFA">
      <w:pPr>
        <w:pStyle w:val="3"/>
        <w:spacing w:line="360" w:lineRule="auto"/>
      </w:pPr>
      <w:r>
        <w:t xml:space="preserve">   (5) </w:t>
      </w:r>
      <w:r>
        <w:rPr>
          <w:rFonts w:hint="eastAsia"/>
        </w:rPr>
        <w:t>公共部位上通道、园林、道路等之综合垃圾</w:t>
      </w:r>
    </w:p>
    <w:p w14:paraId="18F539AA">
      <w:pPr>
        <w:pStyle w:val="3"/>
        <w:spacing w:line="360" w:lineRule="auto"/>
      </w:pPr>
      <w:r>
        <w:t xml:space="preserve">    3</w:t>
      </w:r>
      <w:r>
        <w:rPr>
          <w:rFonts w:hint="eastAsia"/>
        </w:rPr>
        <w:t>、垃圾清运、处理工作分为：</w:t>
      </w:r>
    </w:p>
    <w:p w14:paraId="5A496335">
      <w:pPr>
        <w:pStyle w:val="3"/>
        <w:spacing w:line="360" w:lineRule="auto"/>
      </w:pPr>
      <w:r>
        <w:t xml:space="preserve">   (1) </w:t>
      </w:r>
      <w:r>
        <w:rPr>
          <w:rFonts w:hint="eastAsia"/>
        </w:rPr>
        <w:t>每天定时清运、处理</w:t>
      </w:r>
      <w:r>
        <w:t>2</w:t>
      </w:r>
      <w:r>
        <w:rPr>
          <w:rFonts w:hint="eastAsia"/>
        </w:rPr>
        <w:t>次。</w:t>
      </w:r>
    </w:p>
    <w:p w14:paraId="2A2683B4">
      <w:pPr>
        <w:pStyle w:val="3"/>
        <w:spacing w:line="360" w:lineRule="auto"/>
      </w:pPr>
      <w:r>
        <w:t xml:space="preserve">   (2) </w:t>
      </w:r>
      <w:r>
        <w:rPr>
          <w:rFonts w:hint="eastAsia"/>
        </w:rPr>
        <w:t>将物业项目内所有桶内垃圾清理干净封好胶袋口。</w:t>
      </w:r>
    </w:p>
    <w:p w14:paraId="2331CE21">
      <w:pPr>
        <w:pStyle w:val="3"/>
        <w:spacing w:line="360" w:lineRule="auto"/>
      </w:pPr>
      <w:r>
        <w:rPr>
          <w:rFonts w:hint="eastAsia"/>
        </w:rPr>
        <w:t>服务标准：垃圾的清运、处理，由中标单位监督四周必须无散积垃圾、无异味，必须经常喷洒药水，防止发生虫害。所有垃圾必须日产日清，清洁人员每天定时到各点收集废纸及可再生废弃物进行回收、处理。</w:t>
      </w:r>
    </w:p>
    <w:p w14:paraId="660A20E4">
      <w:pPr>
        <w:pStyle w:val="3"/>
        <w:spacing w:line="360" w:lineRule="auto"/>
        <w:ind w:firstLine="420"/>
      </w:pPr>
    </w:p>
    <w:p w14:paraId="37C71A42">
      <w:pPr>
        <w:pStyle w:val="3"/>
        <w:spacing w:line="360" w:lineRule="auto"/>
        <w:rPr>
          <w:b/>
          <w:bCs/>
        </w:rPr>
      </w:pPr>
      <w:r>
        <w:rPr>
          <w:rFonts w:hint="eastAsia"/>
          <w:b/>
          <w:bCs/>
        </w:rPr>
        <w:t>（八）污水管理</w:t>
      </w:r>
    </w:p>
    <w:p w14:paraId="7DE6F28C">
      <w:pPr>
        <w:pStyle w:val="3"/>
        <w:spacing w:line="360" w:lineRule="auto"/>
      </w:pPr>
      <w:r>
        <w:t xml:space="preserve">    l</w:t>
      </w:r>
      <w:r>
        <w:rPr>
          <w:rFonts w:hint="eastAsia"/>
        </w:rPr>
        <w:t>、区域内生活污水经污水管道集中排放处理。</w:t>
      </w:r>
    </w:p>
    <w:p w14:paraId="2D340B87">
      <w:pPr>
        <w:pStyle w:val="3"/>
        <w:spacing w:line="360" w:lineRule="auto"/>
      </w:pPr>
      <w:r>
        <w:t xml:space="preserve">    2</w:t>
      </w:r>
      <w:r>
        <w:rPr>
          <w:rFonts w:hint="eastAsia"/>
        </w:rPr>
        <w:t>、为保持污水管通畅，保洁员每月对排水沟清扫一次。</w:t>
      </w:r>
      <w:r>
        <w:t>(</w:t>
      </w:r>
      <w:r>
        <w:rPr>
          <w:rFonts w:hint="eastAsia"/>
        </w:rPr>
        <w:t>明沟每周一次，暗沟每月一次</w:t>
      </w:r>
      <w:r>
        <w:t>)</w:t>
      </w:r>
      <w:r>
        <w:rPr>
          <w:rFonts w:hint="eastAsia"/>
        </w:rPr>
        <w:t>。其他排水管道每月检查</w:t>
      </w:r>
      <w:r>
        <w:t>2</w:t>
      </w:r>
      <w:r>
        <w:rPr>
          <w:rFonts w:hint="eastAsia"/>
        </w:rPr>
        <w:t>次，如有堵塞应随时处理、疏通、及时采样及分析，保持构筑物进出流、水位正常。判断正常运作采取有力措施。</w:t>
      </w:r>
    </w:p>
    <w:p w14:paraId="15FC4918">
      <w:pPr>
        <w:spacing w:line="360" w:lineRule="auto"/>
        <w:ind w:firstLine="420"/>
      </w:pPr>
      <w:r>
        <w:rPr>
          <w:rFonts w:hint="eastAsia"/>
        </w:rPr>
        <w:t>服务标准：每日一次对排水系统进行检查巡视，定期对排水管进行清通、养护及清除污垢，保证室内外排水系统畅通，保证汛期道路、地下室、设备间无积水和浸泡的现象发生；化粪池每年清理</w:t>
      </w:r>
      <w:r>
        <w:t>1</w:t>
      </w:r>
      <w:r>
        <w:rPr>
          <w:rFonts w:hint="eastAsia"/>
        </w:rPr>
        <w:t>次，每季巡查</w:t>
      </w:r>
      <w:r>
        <w:t>1</w:t>
      </w:r>
      <w:r>
        <w:rPr>
          <w:rFonts w:hint="eastAsia"/>
        </w:rPr>
        <w:t>次。出入口畅通，井内无积物浮于面上，池盖无污渍、污物，清理后及时清洁现场；楼面落水管落水口等保持完好。开裂、破损等及时更换，定期检查；每</w:t>
      </w:r>
      <w:r>
        <w:t>2</w:t>
      </w:r>
      <w:r>
        <w:rPr>
          <w:rFonts w:hint="eastAsia"/>
        </w:rPr>
        <w:t>个月对地下管井清理</w:t>
      </w:r>
      <w:r>
        <w:t>1</w:t>
      </w:r>
      <w:r>
        <w:rPr>
          <w:rFonts w:hint="eastAsia"/>
        </w:rPr>
        <w:t>次，捞起井内泥沙和悬浮物；每季度对地下管并彻底疏通</w:t>
      </w:r>
      <w:r>
        <w:t>1</w:t>
      </w:r>
      <w:r>
        <w:rPr>
          <w:rFonts w:hint="eastAsia"/>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7E6CB719">
      <w:pPr>
        <w:pStyle w:val="3"/>
        <w:spacing w:line="360" w:lineRule="auto"/>
        <w:rPr>
          <w:rFonts w:ascii="Calibri" w:hAnsi="Calibri"/>
          <w:szCs w:val="22"/>
        </w:rPr>
      </w:pPr>
    </w:p>
    <w:p w14:paraId="1E823664">
      <w:pPr>
        <w:pStyle w:val="3"/>
        <w:spacing w:line="360" w:lineRule="auto"/>
        <w:rPr>
          <w:b/>
        </w:rPr>
      </w:pPr>
      <w:r>
        <w:rPr>
          <w:rFonts w:hint="eastAsia"/>
          <w:b/>
        </w:rPr>
        <w:t>(九)宿舍管理</w:t>
      </w:r>
    </w:p>
    <w:p w14:paraId="325C0BC1">
      <w:pPr>
        <w:spacing w:line="360" w:lineRule="auto"/>
        <w:ind w:firstLine="403" w:firstLineChars="192"/>
        <w:rPr>
          <w:rFonts w:ascii="宋体" w:hAnsi="宋体"/>
          <w:szCs w:val="21"/>
        </w:rPr>
      </w:pPr>
      <w:r>
        <w:rPr>
          <w:rFonts w:hint="eastAsia" w:ascii="宋体" w:hAnsi="宋体"/>
          <w:szCs w:val="21"/>
        </w:rPr>
        <w:t>1、24小时值班看守，确保宿舍的安全防范工作；</w:t>
      </w:r>
    </w:p>
    <w:p w14:paraId="2B8699A3">
      <w:pPr>
        <w:spacing w:line="360" w:lineRule="auto"/>
        <w:ind w:firstLine="403" w:firstLineChars="192"/>
        <w:rPr>
          <w:rFonts w:ascii="宋体" w:hAnsi="宋体"/>
          <w:szCs w:val="21"/>
        </w:rPr>
      </w:pPr>
      <w:r>
        <w:rPr>
          <w:rFonts w:hint="eastAsia" w:ascii="宋体" w:hAnsi="宋体"/>
          <w:szCs w:val="21"/>
        </w:rPr>
        <w:t>2、主动关心住宿学生情况，做好必要的记录工作，主动与校方相关负责人汇报；</w:t>
      </w:r>
    </w:p>
    <w:p w14:paraId="68A8227D">
      <w:pPr>
        <w:spacing w:line="360" w:lineRule="auto"/>
        <w:ind w:firstLine="403" w:firstLineChars="192"/>
        <w:rPr>
          <w:rFonts w:ascii="宋体" w:hAnsi="宋体"/>
          <w:szCs w:val="21"/>
        </w:rPr>
      </w:pPr>
      <w:r>
        <w:rPr>
          <w:rFonts w:hint="eastAsia" w:ascii="宋体" w:hAnsi="宋体"/>
          <w:szCs w:val="21"/>
        </w:rPr>
        <w:t>3、根据校方宿管制度，严格实行宿舍夜间人员清点工作，向校方相关负责人主动汇报；</w:t>
      </w:r>
    </w:p>
    <w:p w14:paraId="37DD2CB2">
      <w:pPr>
        <w:spacing w:line="360" w:lineRule="auto"/>
        <w:ind w:firstLine="403" w:firstLineChars="192"/>
        <w:rPr>
          <w:rFonts w:ascii="宋体" w:hAnsi="宋体"/>
          <w:szCs w:val="21"/>
        </w:rPr>
      </w:pPr>
      <w:r>
        <w:rPr>
          <w:rFonts w:hint="eastAsia" w:ascii="宋体" w:hAnsi="宋体"/>
          <w:szCs w:val="21"/>
        </w:rPr>
        <w:t>4、严格执行宿舍进出时间，严把宿舍门；</w:t>
      </w:r>
    </w:p>
    <w:p w14:paraId="00A77653">
      <w:pPr>
        <w:spacing w:line="360" w:lineRule="auto"/>
        <w:ind w:firstLine="403" w:firstLineChars="192"/>
        <w:rPr>
          <w:rFonts w:ascii="宋体" w:hAnsi="宋体"/>
          <w:szCs w:val="21"/>
        </w:rPr>
      </w:pPr>
      <w:r>
        <w:rPr>
          <w:rFonts w:hint="eastAsia" w:ascii="宋体" w:hAnsi="宋体"/>
          <w:szCs w:val="21"/>
        </w:rPr>
        <w:t>5、宿舍进出人员进行实名登记，接受校方随时抽查；</w:t>
      </w:r>
    </w:p>
    <w:p w14:paraId="6099A942">
      <w:pPr>
        <w:spacing w:line="360" w:lineRule="auto"/>
        <w:ind w:firstLine="403" w:firstLineChars="192"/>
        <w:rPr>
          <w:rFonts w:ascii="宋体" w:hAnsi="宋体"/>
          <w:szCs w:val="21"/>
        </w:rPr>
      </w:pPr>
      <w:r>
        <w:rPr>
          <w:rFonts w:hint="eastAsia" w:ascii="宋体" w:hAnsi="宋体"/>
          <w:szCs w:val="21"/>
        </w:rPr>
        <w:t>6、落实宿舍内公共区域的安全防范工作，加强住宿学生防火、防盗宣传，严禁学生使用大功率用电设备；</w:t>
      </w:r>
    </w:p>
    <w:p w14:paraId="28E9D13E">
      <w:pPr>
        <w:spacing w:line="360" w:lineRule="auto"/>
        <w:ind w:firstLine="403" w:firstLineChars="192"/>
        <w:rPr>
          <w:rFonts w:ascii="宋体" w:hAnsi="宋体"/>
          <w:szCs w:val="21"/>
        </w:rPr>
      </w:pPr>
      <w:r>
        <w:rPr>
          <w:rFonts w:hint="eastAsia" w:ascii="宋体" w:hAnsi="宋体"/>
          <w:szCs w:val="21"/>
        </w:rPr>
        <w:t>7、定时巡检宿舍区域，发现维修、隐患及时上报；</w:t>
      </w:r>
    </w:p>
    <w:p w14:paraId="24E23C52">
      <w:pPr>
        <w:spacing w:line="360" w:lineRule="auto"/>
        <w:ind w:firstLine="403" w:firstLineChars="192"/>
        <w:rPr>
          <w:rFonts w:ascii="宋体" w:hAnsi="宋体"/>
          <w:szCs w:val="21"/>
        </w:rPr>
      </w:pPr>
      <w:r>
        <w:rPr>
          <w:rFonts w:hint="eastAsia" w:ascii="宋体" w:hAnsi="宋体"/>
          <w:szCs w:val="21"/>
        </w:rPr>
        <w:t>8、负责宿舍区域内的消防设备安全检查工作；</w:t>
      </w:r>
    </w:p>
    <w:p w14:paraId="535B2FDA">
      <w:pPr>
        <w:pStyle w:val="3"/>
        <w:spacing w:line="360" w:lineRule="auto"/>
        <w:ind w:firstLine="359" w:firstLineChars="171"/>
      </w:pPr>
      <w:r>
        <w:rPr>
          <w:rFonts w:hint="eastAsia"/>
        </w:rPr>
        <w:t>服务标准：严格执行校方宿管制度，每日对住宿学生实行夜间清点，无遗漏。每二小时对宿舍区域实行巡逻。人员进出登记完整备查。熟练掌握和运用宿舍监控设施，关注宿舍区域安全，及时阻止宿舍区域内的意外事故发生。</w:t>
      </w:r>
    </w:p>
    <w:p w14:paraId="41DA5528">
      <w:pPr>
        <w:pStyle w:val="3"/>
        <w:spacing w:line="360" w:lineRule="auto"/>
        <w:ind w:firstLine="359" w:firstLineChars="171"/>
      </w:pPr>
    </w:p>
    <w:p w14:paraId="21370533">
      <w:pPr>
        <w:pStyle w:val="3"/>
        <w:spacing w:line="360" w:lineRule="auto"/>
        <w:rPr>
          <w:b/>
          <w:bCs/>
        </w:rPr>
      </w:pPr>
      <w:r>
        <w:rPr>
          <w:rFonts w:hint="eastAsia"/>
          <w:b/>
        </w:rPr>
        <w:t>（</w:t>
      </w:r>
      <w:r>
        <w:rPr>
          <w:rFonts w:hint="eastAsia"/>
          <w:b/>
          <w:bCs/>
        </w:rPr>
        <w:t>十）卫生管理</w:t>
      </w:r>
    </w:p>
    <w:p w14:paraId="093BE4BA">
      <w:pPr>
        <w:pStyle w:val="3"/>
        <w:numPr>
          <w:ilvl w:val="0"/>
          <w:numId w:val="1"/>
        </w:numPr>
        <w:spacing w:line="360" w:lineRule="auto"/>
      </w:pPr>
      <w:r>
        <w:rPr>
          <w:rFonts w:hint="eastAsia"/>
        </w:rPr>
        <w:t>灭鼠、灭蚊、灭苍蝇、灭蟑螂。</w:t>
      </w:r>
    </w:p>
    <w:p w14:paraId="7C62AF10">
      <w:pPr>
        <w:pStyle w:val="3"/>
        <w:numPr>
          <w:ilvl w:val="0"/>
          <w:numId w:val="1"/>
        </w:numPr>
        <w:spacing w:line="360" w:lineRule="auto"/>
      </w:pPr>
      <w:r>
        <w:rPr>
          <w:rFonts w:hint="eastAsia"/>
        </w:rPr>
        <w:t>科学有效地进行卫生消毒。</w:t>
      </w:r>
    </w:p>
    <w:p w14:paraId="2801BBF5">
      <w:pPr>
        <w:pStyle w:val="3"/>
        <w:spacing w:line="360" w:lineRule="auto"/>
      </w:pPr>
      <w:r>
        <w:rPr>
          <w:rFonts w:hint="eastAsia"/>
        </w:rPr>
        <w:t>服务标准：灭鼠、灭蚊、灭苍蝇、灭蟑螂达到全国爱国卫生运动委员会及上海市爱国卫生运动委员会规定的标准；定期科学有效地对办公区进行卫生消毒。在化学防治中注重科学合理用药，不使用国家禁用药品。</w:t>
      </w:r>
    </w:p>
    <w:p w14:paraId="663D9829">
      <w:pPr>
        <w:spacing w:line="360" w:lineRule="auto"/>
      </w:pPr>
    </w:p>
    <w:p w14:paraId="642EE270">
      <w:pPr>
        <w:spacing w:line="360" w:lineRule="auto"/>
        <w:rPr>
          <w:rFonts w:ascii="Times New Roman" w:hAnsi="Times New Roman"/>
          <w:b/>
          <w:szCs w:val="24"/>
        </w:rPr>
      </w:pPr>
      <w:r>
        <w:rPr>
          <w:rFonts w:hint="eastAsia" w:ascii="Times New Roman" w:hAnsi="Times New Roman"/>
          <w:b/>
          <w:szCs w:val="24"/>
        </w:rPr>
        <w:t>（十一）学校会场的相关物业服务</w:t>
      </w:r>
    </w:p>
    <w:p w14:paraId="5F0C785F">
      <w:pPr>
        <w:spacing w:line="360" w:lineRule="auto"/>
        <w:ind w:firstLine="420" w:firstLineChars="200"/>
        <w:rPr>
          <w:rFonts w:ascii="Times New Roman" w:hAnsi="Times New Roman"/>
          <w:szCs w:val="24"/>
        </w:rPr>
      </w:pPr>
      <w:r>
        <w:rPr>
          <w:rFonts w:hint="eastAsia" w:ascii="Times New Roman" w:hAnsi="Times New Roman"/>
          <w:szCs w:val="24"/>
        </w:rPr>
        <w:t>（1）主要负责对学校各类单体的报告厅、会议室、文体中心的设备日常使用和维护保养，系统发生故障时能进行应急处理，对常见一般故障能进行分析判断和维修处理。</w:t>
      </w:r>
    </w:p>
    <w:p w14:paraId="7F621DCC">
      <w:pPr>
        <w:spacing w:line="360" w:lineRule="auto"/>
        <w:ind w:firstLine="420" w:firstLineChars="200"/>
        <w:rPr>
          <w:rFonts w:ascii="Times New Roman" w:hAnsi="Times New Roman"/>
          <w:szCs w:val="24"/>
        </w:rPr>
      </w:pPr>
      <w:r>
        <w:rPr>
          <w:rFonts w:hint="eastAsia" w:ascii="Times New Roman" w:hAnsi="Times New Roman"/>
          <w:szCs w:val="24"/>
        </w:rPr>
        <w:t>（2）对重大重要活动、会议能根据会议要求进行系统搭建和设备调试，对需要提供技术支持的及时上报学校处理。</w:t>
      </w:r>
    </w:p>
    <w:p w14:paraId="40CDB44F">
      <w:pPr>
        <w:spacing w:line="360" w:lineRule="auto"/>
        <w:ind w:firstLine="420" w:firstLineChars="200"/>
        <w:rPr>
          <w:rFonts w:ascii="Times New Roman" w:hAnsi="Times New Roman"/>
          <w:szCs w:val="24"/>
        </w:rPr>
      </w:pPr>
      <w:r>
        <w:rPr>
          <w:rFonts w:hint="eastAsia" w:ascii="Times New Roman" w:hAnsi="Times New Roman"/>
          <w:szCs w:val="24"/>
        </w:rPr>
        <w:t>（3）按照学校会务单的要求，填写设备使用单，提前一天对会场进行设备布置、调试，并填写会场布置检查表；若遇重要会议，布置完毕后配合主办方进行相应的检查，完成后做好会场使用情况记录。</w:t>
      </w:r>
    </w:p>
    <w:p w14:paraId="55B761C9">
      <w:pPr>
        <w:spacing w:line="360" w:lineRule="auto"/>
        <w:ind w:firstLine="420" w:firstLineChars="200"/>
        <w:rPr>
          <w:rFonts w:ascii="Times New Roman" w:hAnsi="Times New Roman"/>
          <w:szCs w:val="24"/>
        </w:rPr>
      </w:pPr>
      <w:r>
        <w:rPr>
          <w:rFonts w:hint="eastAsia" w:ascii="Times New Roman" w:hAnsi="Times New Roman"/>
          <w:szCs w:val="24"/>
        </w:rPr>
        <w:t>（4）当天当班人员，应仔细对照设备使用单，按照会场使用要求，对设备进行会前调试，确保会议设备正常运行，并及时处理会场设备运行中发生的故障，完成后在值班本上做好相应记录。</w:t>
      </w:r>
    </w:p>
    <w:p w14:paraId="1B60B52B">
      <w:pPr>
        <w:spacing w:line="360" w:lineRule="auto"/>
        <w:ind w:firstLine="420" w:firstLineChars="200"/>
        <w:rPr>
          <w:rFonts w:ascii="Times New Roman" w:hAnsi="Times New Roman"/>
          <w:szCs w:val="24"/>
        </w:rPr>
      </w:pPr>
      <w:r>
        <w:rPr>
          <w:rFonts w:hint="eastAsia" w:ascii="Times New Roman" w:hAnsi="Times New Roman"/>
          <w:szCs w:val="24"/>
        </w:rPr>
        <w:t>（5）对每个会务班次进行服务质量进行回访，填写回访单。根据回访内容不断完善服务质量。</w:t>
      </w:r>
    </w:p>
    <w:p w14:paraId="268603F7">
      <w:pPr>
        <w:spacing w:line="360" w:lineRule="auto"/>
        <w:ind w:firstLine="420" w:firstLineChars="200"/>
        <w:rPr>
          <w:rFonts w:ascii="Times New Roman" w:hAnsi="Times New Roman"/>
          <w:szCs w:val="24"/>
        </w:rPr>
      </w:pPr>
      <w:r>
        <w:rPr>
          <w:rFonts w:hint="eastAsia" w:ascii="Times New Roman" w:hAnsi="Times New Roman"/>
          <w:szCs w:val="24"/>
        </w:rPr>
        <w:t>（6）根据学校监管部门的要求，制定全年设备维护工作计划，对会议设备进行功能性检查测试。检查中发现的问题，若不能自行处理的，上报学校处理。</w:t>
      </w:r>
    </w:p>
    <w:p w14:paraId="1D50BD43">
      <w:pPr>
        <w:spacing w:line="360" w:lineRule="auto"/>
        <w:ind w:firstLine="420" w:firstLineChars="200"/>
        <w:rPr>
          <w:rFonts w:ascii="Times New Roman" w:hAnsi="Times New Roman"/>
          <w:szCs w:val="24"/>
        </w:rPr>
      </w:pPr>
      <w:r>
        <w:rPr>
          <w:rFonts w:hint="eastAsia" w:ascii="Times New Roman" w:hAnsi="Times New Roman"/>
          <w:szCs w:val="24"/>
        </w:rPr>
        <w:t>（8）按照学校监管部门的要求，配合外保单位进行设备维修保养，安排专人配合，并记录存档。</w:t>
      </w:r>
    </w:p>
    <w:p w14:paraId="53963487">
      <w:pPr>
        <w:spacing w:line="360" w:lineRule="auto"/>
        <w:rPr>
          <w:rFonts w:ascii="Times New Roman" w:hAnsi="Times New Roman"/>
          <w:color w:val="000000"/>
          <w:szCs w:val="24"/>
        </w:rPr>
      </w:pPr>
    </w:p>
    <w:p w14:paraId="46B49ECA">
      <w:pPr>
        <w:spacing w:line="360" w:lineRule="auto"/>
        <w:rPr>
          <w:rFonts w:ascii="Times New Roman" w:hAnsi="Times New Roman"/>
          <w:b/>
          <w:bCs/>
          <w:szCs w:val="21"/>
        </w:rPr>
      </w:pPr>
      <w:r>
        <w:rPr>
          <w:rFonts w:hint="eastAsia" w:ascii="Times New Roman" w:hAnsi="Times New Roman"/>
          <w:b/>
          <w:szCs w:val="24"/>
        </w:rPr>
        <w:t>（</w:t>
      </w:r>
      <w:r>
        <w:rPr>
          <w:rFonts w:hint="eastAsia" w:ascii="Times New Roman" w:hAnsi="Times New Roman"/>
          <w:b/>
          <w:bCs/>
          <w:szCs w:val="24"/>
        </w:rPr>
        <w:t>十二）</w:t>
      </w:r>
      <w:r>
        <w:rPr>
          <w:rFonts w:hint="eastAsia" w:ascii="Times New Roman" w:hAnsi="Times New Roman"/>
          <w:b/>
          <w:bCs/>
          <w:szCs w:val="21"/>
        </w:rPr>
        <w:t>会务服务</w:t>
      </w:r>
    </w:p>
    <w:p w14:paraId="5C7DCEEB">
      <w:pPr>
        <w:spacing w:line="360" w:lineRule="auto"/>
        <w:ind w:firstLine="420" w:firstLineChars="200"/>
        <w:rPr>
          <w:rFonts w:ascii="宋体" w:hAnsi="宋体"/>
          <w:bCs/>
          <w:szCs w:val="21"/>
        </w:rPr>
      </w:pPr>
      <w:r>
        <w:rPr>
          <w:rFonts w:hint="eastAsia" w:ascii="宋体" w:hAnsi="宋体"/>
          <w:bCs/>
          <w:szCs w:val="21"/>
        </w:rPr>
        <w:t>为学校的会务提供服务保障。具体内容如下：</w:t>
      </w:r>
    </w:p>
    <w:p w14:paraId="76392B51">
      <w:pPr>
        <w:snapToGrid w:val="0"/>
        <w:spacing w:line="360" w:lineRule="auto"/>
        <w:ind w:left="426"/>
        <w:rPr>
          <w:rFonts w:ascii="宋体" w:hAnsi="宋体" w:cs="宋体"/>
          <w:color w:val="000000"/>
          <w:szCs w:val="21"/>
        </w:rPr>
      </w:pPr>
      <w:r>
        <w:rPr>
          <w:rFonts w:hint="eastAsia" w:ascii="宋体" w:hAnsi="宋体" w:cs="宋体"/>
          <w:color w:val="000000"/>
          <w:szCs w:val="21"/>
        </w:rPr>
        <w:t>1、会场的桌椅摆放及场地布置服务；</w:t>
      </w:r>
    </w:p>
    <w:p w14:paraId="29391AB9">
      <w:pPr>
        <w:snapToGrid w:val="0"/>
        <w:spacing w:line="360" w:lineRule="auto"/>
        <w:ind w:left="426"/>
        <w:rPr>
          <w:rFonts w:ascii="宋体" w:hAnsi="宋体" w:cs="宋体"/>
          <w:color w:val="000000"/>
          <w:szCs w:val="21"/>
        </w:rPr>
      </w:pPr>
      <w:r>
        <w:rPr>
          <w:rFonts w:hint="eastAsia" w:ascii="宋体" w:hAnsi="宋体" w:cs="宋体"/>
          <w:color w:val="000000"/>
          <w:szCs w:val="21"/>
        </w:rPr>
        <w:t>2、会务过程中会场的茶水服务；</w:t>
      </w:r>
    </w:p>
    <w:p w14:paraId="1309502E">
      <w:pPr>
        <w:snapToGrid w:val="0"/>
        <w:spacing w:line="360" w:lineRule="auto"/>
        <w:ind w:left="426"/>
        <w:rPr>
          <w:rFonts w:ascii="宋体" w:hAnsi="宋体" w:cs="宋体"/>
          <w:color w:val="000000"/>
          <w:szCs w:val="21"/>
        </w:rPr>
      </w:pPr>
      <w:r>
        <w:rPr>
          <w:rFonts w:hint="eastAsia" w:ascii="宋体" w:hAnsi="宋体" w:cs="宋体"/>
          <w:color w:val="000000"/>
          <w:szCs w:val="21"/>
        </w:rPr>
        <w:t>3、会议室设施清洁消毒服务；</w:t>
      </w:r>
    </w:p>
    <w:p w14:paraId="0A22B3B1">
      <w:pPr>
        <w:snapToGrid w:val="0"/>
        <w:spacing w:line="360" w:lineRule="auto"/>
        <w:ind w:left="426"/>
        <w:rPr>
          <w:rFonts w:ascii="宋体" w:hAnsi="宋体" w:cs="宋体"/>
          <w:color w:val="000000"/>
          <w:szCs w:val="21"/>
        </w:rPr>
      </w:pPr>
      <w:r>
        <w:rPr>
          <w:rFonts w:hint="eastAsia" w:ascii="宋体" w:hAnsi="宋体" w:cs="宋体"/>
          <w:color w:val="000000"/>
          <w:szCs w:val="21"/>
        </w:rPr>
        <w:t>4、会间茶歇服务；</w:t>
      </w:r>
    </w:p>
    <w:p w14:paraId="5B3E2EC0">
      <w:pPr>
        <w:snapToGrid w:val="0"/>
        <w:spacing w:line="360" w:lineRule="auto"/>
        <w:ind w:left="426"/>
        <w:rPr>
          <w:rFonts w:ascii="宋体" w:hAnsi="宋体" w:cs="宋体"/>
          <w:color w:val="000000"/>
          <w:szCs w:val="21"/>
        </w:rPr>
      </w:pPr>
      <w:r>
        <w:rPr>
          <w:rFonts w:hint="eastAsia" w:ascii="宋体" w:hAnsi="宋体" w:cs="宋体"/>
          <w:color w:val="000000"/>
          <w:szCs w:val="21"/>
        </w:rPr>
        <w:t>5、负责会场区域的安全保卫工作。</w:t>
      </w:r>
    </w:p>
    <w:p w14:paraId="1F1818E5">
      <w:pPr>
        <w:snapToGrid w:val="0"/>
        <w:spacing w:line="360" w:lineRule="auto"/>
        <w:ind w:firstLine="424" w:firstLineChars="202"/>
        <w:rPr>
          <w:rFonts w:ascii="宋体" w:hAnsi="宋体" w:cs="宋体"/>
          <w:color w:val="000000"/>
          <w:szCs w:val="21"/>
        </w:rPr>
      </w:pPr>
      <w:r>
        <w:rPr>
          <w:rFonts w:hint="eastAsia" w:ascii="宋体" w:hAnsi="宋体" w:cs="宋体"/>
          <w:color w:val="000000"/>
          <w:szCs w:val="21"/>
        </w:rPr>
        <w:t>服务标准：</w:t>
      </w:r>
    </w:p>
    <w:p w14:paraId="00FDECD0">
      <w:pPr>
        <w:snapToGrid w:val="0"/>
        <w:spacing w:line="360" w:lineRule="auto"/>
        <w:ind w:left="6" w:leftChars="0" w:firstLine="420" w:firstLineChars="200"/>
        <w:rPr>
          <w:rFonts w:ascii="宋体" w:hAnsi="宋体" w:cs="宋体"/>
          <w:color w:val="000000"/>
          <w:szCs w:val="21"/>
        </w:rPr>
      </w:pPr>
      <w:r>
        <w:rPr>
          <w:rFonts w:hint="eastAsia" w:ascii="宋体" w:hAnsi="宋体" w:cs="宋体"/>
          <w:color w:val="000000"/>
          <w:szCs w:val="21"/>
        </w:rPr>
        <w:t>1、建立健全各项管理制度、岗位职责、操作流程和突发事件处置预案，确保学校会议秩序；</w:t>
      </w:r>
    </w:p>
    <w:p w14:paraId="27D89A0C">
      <w:pPr>
        <w:snapToGrid w:val="0"/>
        <w:spacing w:line="360" w:lineRule="auto"/>
        <w:ind w:left="6" w:leftChars="0" w:firstLine="420" w:firstLineChars="200"/>
        <w:rPr>
          <w:rFonts w:ascii="宋体" w:hAnsi="宋体" w:cs="宋体"/>
          <w:color w:val="000000"/>
          <w:szCs w:val="21"/>
        </w:rPr>
      </w:pPr>
      <w:r>
        <w:rPr>
          <w:rFonts w:hint="eastAsia" w:ascii="宋体" w:hAnsi="宋体" w:cs="宋体"/>
          <w:color w:val="000000"/>
          <w:szCs w:val="21"/>
        </w:rPr>
        <w:t>2、根据项目通知书的要求，保证会务活动的正常进行；</w:t>
      </w:r>
    </w:p>
    <w:p w14:paraId="5FA30ECB">
      <w:pPr>
        <w:snapToGrid w:val="0"/>
        <w:spacing w:line="360" w:lineRule="auto"/>
        <w:ind w:left="6" w:leftChars="0" w:firstLine="420" w:firstLineChars="200"/>
        <w:rPr>
          <w:rFonts w:ascii="宋体" w:hAnsi="宋体" w:cs="宋体"/>
          <w:color w:val="000000"/>
          <w:szCs w:val="21"/>
        </w:rPr>
      </w:pPr>
      <w:r>
        <w:rPr>
          <w:rFonts w:hint="eastAsia" w:ascii="宋体" w:hAnsi="宋体" w:cs="宋体"/>
          <w:color w:val="000000"/>
          <w:szCs w:val="21"/>
        </w:rPr>
        <w:t>3、每天对会议室内的设施、设备进行常规检查，发现损坏及时报修，并配合工程部进行相关维修工作及修复后的验收、清洁工作；</w:t>
      </w:r>
    </w:p>
    <w:p w14:paraId="698F8770">
      <w:pPr>
        <w:snapToGrid w:val="0"/>
        <w:spacing w:line="360" w:lineRule="auto"/>
        <w:ind w:left="6" w:leftChars="0" w:firstLine="420" w:firstLineChars="200"/>
        <w:rPr>
          <w:rFonts w:ascii="宋体" w:hAnsi="宋体" w:cs="宋体"/>
          <w:color w:val="000000"/>
          <w:szCs w:val="21"/>
        </w:rPr>
      </w:pPr>
      <w:r>
        <w:rPr>
          <w:rFonts w:hint="eastAsia" w:ascii="宋体" w:hAnsi="宋体" w:cs="宋体"/>
          <w:color w:val="000000"/>
          <w:szCs w:val="21"/>
        </w:rPr>
        <w:t>4、做好低值易耗品的领用和登记工作。</w:t>
      </w:r>
    </w:p>
    <w:p w14:paraId="5BB4F350">
      <w:pPr>
        <w:spacing w:line="360" w:lineRule="auto"/>
        <w:rPr>
          <w:rFonts w:ascii="宋体" w:hAnsi="Courier New"/>
          <w:color w:val="000000"/>
          <w:szCs w:val="20"/>
        </w:rPr>
      </w:pPr>
    </w:p>
    <w:p w14:paraId="44395BB4">
      <w:pPr>
        <w:pStyle w:val="3"/>
        <w:spacing w:line="360" w:lineRule="auto"/>
        <w:rPr>
          <w:b/>
          <w:bCs/>
        </w:rPr>
      </w:pPr>
      <w:r>
        <w:rPr>
          <w:rFonts w:hint="eastAsia"/>
          <w:b/>
        </w:rPr>
        <w:t>（十</w:t>
      </w:r>
      <w:r>
        <w:rPr>
          <w:rFonts w:hint="eastAsia"/>
          <w:b/>
          <w:lang w:val="en-US" w:eastAsia="zh-CN"/>
        </w:rPr>
        <w:t>三</w:t>
      </w:r>
      <w:r>
        <w:rPr>
          <w:rFonts w:hint="eastAsia"/>
          <w:b/>
          <w:bCs/>
        </w:rPr>
        <w:t>）车辆管理</w:t>
      </w:r>
    </w:p>
    <w:p w14:paraId="091A14FB">
      <w:pPr>
        <w:pStyle w:val="3"/>
        <w:spacing w:line="360" w:lineRule="auto"/>
      </w:pPr>
      <w:r>
        <w:t xml:space="preserve">    l</w:t>
      </w:r>
      <w:r>
        <w:rPr>
          <w:rFonts w:hint="eastAsia"/>
        </w:rPr>
        <w:t>、制定停车使用条例，停车管理规定。</w:t>
      </w:r>
    </w:p>
    <w:p w14:paraId="2B715650">
      <w:pPr>
        <w:pStyle w:val="3"/>
        <w:spacing w:line="360" w:lineRule="auto"/>
      </w:pPr>
      <w:r>
        <w:t xml:space="preserve">    2</w:t>
      </w:r>
      <w:r>
        <w:rPr>
          <w:rFonts w:hint="eastAsia"/>
        </w:rPr>
        <w:t>、外来车辆进出辖区办理登记手续、记录车牌号码、进出时间。</w:t>
      </w:r>
    </w:p>
    <w:p w14:paraId="20D91D2D">
      <w:pPr>
        <w:pStyle w:val="3"/>
        <w:spacing w:line="360" w:lineRule="auto"/>
        <w:ind w:firstLine="420"/>
      </w:pPr>
      <w:r>
        <w:t>3</w:t>
      </w:r>
      <w:r>
        <w:rPr>
          <w:rFonts w:hint="eastAsia"/>
        </w:rPr>
        <w:t>、进入辖区停放的车辆，必须停放在划定的车位、车棚内。行车通道、消防通道及非停车位禁止停车。</w:t>
      </w:r>
    </w:p>
    <w:p w14:paraId="52534A28">
      <w:pPr>
        <w:pStyle w:val="3"/>
        <w:spacing w:line="360" w:lineRule="auto"/>
      </w:pPr>
      <w:r>
        <w:t xml:space="preserve">    4</w:t>
      </w:r>
      <w:r>
        <w:rPr>
          <w:rFonts w:hint="eastAsia"/>
        </w:rPr>
        <w:t>、进入辖区的车辆应注意汽车的清洁，严禁鸣笛，限速</w:t>
      </w:r>
      <w:r>
        <w:t>5</w:t>
      </w:r>
      <w:r>
        <w:rPr>
          <w:rFonts w:hint="eastAsia"/>
        </w:rPr>
        <w:t>公里／小时行驶。</w:t>
      </w:r>
    </w:p>
    <w:p w14:paraId="20DD2F39">
      <w:pPr>
        <w:pStyle w:val="3"/>
        <w:spacing w:line="360" w:lineRule="auto"/>
      </w:pPr>
      <w:r>
        <w:t xml:space="preserve">    5</w:t>
      </w:r>
      <w:r>
        <w:rPr>
          <w:rFonts w:hint="eastAsia"/>
        </w:rPr>
        <w:t>、保安队员严格执行车辆出入规定。</w:t>
      </w:r>
    </w:p>
    <w:p w14:paraId="514A55FA">
      <w:pPr>
        <w:pStyle w:val="3"/>
        <w:spacing w:line="360" w:lineRule="auto"/>
      </w:pPr>
      <w:r>
        <w:t xml:space="preserve">    6</w:t>
      </w:r>
      <w:r>
        <w:rPr>
          <w:rFonts w:hint="eastAsia"/>
        </w:rPr>
        <w:t>、保安队员若发现车辆门、窗没关好，速找车主提醒注意。</w:t>
      </w:r>
    </w:p>
    <w:p w14:paraId="5B511B7C">
      <w:pPr>
        <w:pStyle w:val="3"/>
        <w:spacing w:line="360" w:lineRule="auto"/>
        <w:ind w:firstLine="840" w:firstLineChars="400"/>
      </w:pPr>
      <w:r>
        <w:rPr>
          <w:rFonts w:hint="eastAsia"/>
        </w:rPr>
        <w:t>服务标准：确保车辆进出有记录、停放进出井然有序、车道通畅。凡装有易燃、易爆、剧毒物品或有污染性物品的车辆及其他来历不明车辆严禁驶入管理区内。</w:t>
      </w:r>
    </w:p>
    <w:p w14:paraId="6B921ED9">
      <w:pPr>
        <w:pStyle w:val="3"/>
        <w:spacing w:line="360" w:lineRule="auto"/>
      </w:pPr>
    </w:p>
    <w:p w14:paraId="17BAF417">
      <w:pPr>
        <w:pStyle w:val="3"/>
        <w:spacing w:line="360" w:lineRule="auto"/>
        <w:rPr>
          <w:b/>
          <w:bCs/>
        </w:rPr>
      </w:pPr>
      <w:r>
        <w:rPr>
          <w:rFonts w:hint="eastAsia"/>
          <w:b/>
        </w:rPr>
        <w:t>（</w:t>
      </w:r>
      <w:r>
        <w:rPr>
          <w:rFonts w:hint="eastAsia"/>
          <w:b/>
          <w:bCs/>
        </w:rPr>
        <w:t>十</w:t>
      </w:r>
      <w:r>
        <w:rPr>
          <w:rFonts w:hint="eastAsia"/>
          <w:b/>
          <w:bCs/>
          <w:lang w:val="en-US" w:eastAsia="zh-CN"/>
        </w:rPr>
        <w:t>四</w:t>
      </w:r>
      <w:r>
        <w:rPr>
          <w:rFonts w:hint="eastAsia"/>
          <w:b/>
          <w:bCs/>
        </w:rPr>
        <w:t>）收发服务</w:t>
      </w:r>
    </w:p>
    <w:p w14:paraId="55D3AB3A">
      <w:pPr>
        <w:pStyle w:val="3"/>
        <w:spacing w:line="360" w:lineRule="auto"/>
      </w:pPr>
      <w:r>
        <w:t xml:space="preserve">    1</w:t>
      </w:r>
      <w:r>
        <w:rPr>
          <w:rFonts w:hint="eastAsia"/>
        </w:rPr>
        <w:t>、建立收发中心，传递报刊、杂志、信件派发送至每一部门信箱。</w:t>
      </w:r>
    </w:p>
    <w:p w14:paraId="01410F62">
      <w:pPr>
        <w:pStyle w:val="3"/>
        <w:spacing w:line="360" w:lineRule="auto"/>
        <w:ind w:firstLine="420"/>
      </w:pPr>
      <w:r>
        <w:rPr>
          <w:rFonts w:hint="eastAsia"/>
        </w:rPr>
        <w:t>服务标准：报刊、杂志、信件派发及相关服务及时、准确、有记录。</w:t>
      </w:r>
    </w:p>
    <w:p w14:paraId="64DE8170">
      <w:pPr>
        <w:pStyle w:val="3"/>
        <w:spacing w:line="360" w:lineRule="auto"/>
      </w:pPr>
    </w:p>
    <w:p w14:paraId="00DEAA52">
      <w:pPr>
        <w:pStyle w:val="3"/>
        <w:spacing w:line="360" w:lineRule="auto"/>
        <w:rPr>
          <w:b/>
          <w:bCs/>
        </w:rPr>
      </w:pPr>
      <w:r>
        <w:rPr>
          <w:rFonts w:hint="eastAsia"/>
          <w:b/>
        </w:rPr>
        <w:t>（</w:t>
      </w:r>
      <w:r>
        <w:rPr>
          <w:rFonts w:hint="eastAsia"/>
          <w:b/>
          <w:bCs/>
        </w:rPr>
        <w:t>十</w:t>
      </w:r>
      <w:r>
        <w:rPr>
          <w:rFonts w:hint="eastAsia"/>
          <w:b/>
          <w:bCs/>
          <w:lang w:val="en-US" w:eastAsia="zh-CN"/>
        </w:rPr>
        <w:t>五</w:t>
      </w:r>
      <w:r>
        <w:rPr>
          <w:rFonts w:hint="eastAsia"/>
          <w:b/>
          <w:bCs/>
        </w:rPr>
        <w:t>）档案管理</w:t>
      </w:r>
    </w:p>
    <w:p w14:paraId="14159682">
      <w:pPr>
        <w:pStyle w:val="3"/>
        <w:spacing w:line="360" w:lineRule="auto"/>
      </w:pPr>
      <w:r>
        <w:t xml:space="preserve">    l</w:t>
      </w:r>
      <w:r>
        <w:rPr>
          <w:rFonts w:hint="eastAsia"/>
        </w:rPr>
        <w:t>、建立管理人员人事档案和各类行政文件、合同的存档工作。</w:t>
      </w:r>
    </w:p>
    <w:p w14:paraId="1AC44D96">
      <w:pPr>
        <w:pStyle w:val="3"/>
        <w:spacing w:line="360" w:lineRule="auto"/>
      </w:pPr>
      <w:r>
        <w:t xml:space="preserve">    2</w:t>
      </w:r>
      <w:r>
        <w:rPr>
          <w:rFonts w:hint="eastAsia"/>
        </w:rPr>
        <w:t>．健全所有建筑物、公用设施、设备的图纸资料，及时增加修改资料。</w:t>
      </w:r>
    </w:p>
    <w:p w14:paraId="04E6EEF8">
      <w:pPr>
        <w:pStyle w:val="3"/>
        <w:spacing w:line="360" w:lineRule="auto"/>
      </w:pPr>
      <w:r>
        <w:t xml:space="preserve">    3</w:t>
      </w:r>
      <w:r>
        <w:rPr>
          <w:rFonts w:hint="eastAsia"/>
        </w:rPr>
        <w:t>、建立设备、设施、保安、保洁、车辆等日常运作管理档案。</w:t>
      </w:r>
    </w:p>
    <w:p w14:paraId="597F0611">
      <w:pPr>
        <w:pStyle w:val="3"/>
        <w:spacing w:line="360" w:lineRule="auto"/>
      </w:pPr>
      <w:r>
        <w:t xml:space="preserve">    4</w:t>
      </w:r>
      <w:r>
        <w:rPr>
          <w:rFonts w:hint="eastAsia"/>
        </w:rPr>
        <w:t>、所有资料及管理资料分为图、档、卡、册四类，安放于防火、防潮、防蛀之专用档案箱内。</w:t>
      </w:r>
    </w:p>
    <w:p w14:paraId="24019318">
      <w:pPr>
        <w:pStyle w:val="3"/>
        <w:spacing w:line="360" w:lineRule="auto"/>
        <w:ind w:firstLine="420"/>
        <w:sectPr>
          <w:footerReference r:id="rId3" w:type="default"/>
          <w:pgSz w:w="11906" w:h="16838"/>
          <w:pgMar w:top="1440" w:right="1800" w:bottom="1440" w:left="1800" w:header="851" w:footer="992" w:gutter="0"/>
          <w:cols w:space="425" w:num="1"/>
          <w:docGrid w:type="lines" w:linePitch="312" w:charSpace="0"/>
        </w:sectPr>
      </w:pPr>
      <w:r>
        <w:rPr>
          <w:rFonts w:hint="eastAsia"/>
        </w:rPr>
        <w:t>服务标准：所有有关校方管理档案资料，必须保证完整、完好，撤离时全部移交校方。</w:t>
      </w:r>
    </w:p>
    <w:p w14:paraId="10F1E5E2">
      <w:pPr>
        <w:widowControl/>
        <w:jc w:val="left"/>
        <w:rPr>
          <w:rFonts w:ascii="宋体" w:hAnsi="宋体"/>
          <w:sz w:val="24"/>
        </w:rPr>
      </w:pPr>
    </w:p>
    <w:p w14:paraId="2DEE2CD9">
      <w:pPr>
        <w:adjustRightInd w:val="0"/>
        <w:snapToGrid w:val="0"/>
        <w:spacing w:line="360" w:lineRule="auto"/>
        <w:ind w:firstLine="420" w:firstLineChars="200"/>
        <w:jc w:val="left"/>
        <w:rPr>
          <w:rFonts w:ascii="宋体" w:hAnsi="宋体"/>
          <w:sz w:val="24"/>
        </w:rPr>
      </w:pPr>
      <w:r>
        <w:rPr>
          <w:rFonts w:hint="eastAsia"/>
        </w:rPr>
        <w:t>★</w:t>
      </w:r>
      <w:r>
        <w:rPr>
          <w:rFonts w:hint="eastAsia" w:ascii="宋体" w:hAnsi="宋体"/>
          <w:sz w:val="24"/>
        </w:rPr>
        <w:t>本项目业管理服务人员配置总数不得少于86人。</w:t>
      </w:r>
      <w:r>
        <w:rPr>
          <w:rFonts w:ascii="宋体" w:hAnsi="宋体"/>
          <w:sz w:val="24"/>
        </w:rPr>
        <w:t>具体</w:t>
      </w:r>
      <w:r>
        <w:rPr>
          <w:rFonts w:hint="eastAsia" w:ascii="宋体" w:hAnsi="宋体"/>
          <w:sz w:val="24"/>
        </w:rPr>
        <w:t>配置</w:t>
      </w:r>
      <w:r>
        <w:rPr>
          <w:rFonts w:ascii="宋体" w:hAnsi="宋体"/>
          <w:sz w:val="24"/>
        </w:rPr>
        <w:t>详见下</w:t>
      </w:r>
      <w:r>
        <w:rPr>
          <w:rFonts w:hint="eastAsia" w:ascii="宋体" w:hAnsi="宋体"/>
          <w:sz w:val="24"/>
        </w:rPr>
        <w:t>表</w:t>
      </w:r>
      <w:r>
        <w:rPr>
          <w:rFonts w:ascii="宋体" w:hAnsi="宋体"/>
          <w:sz w:val="24"/>
        </w:rPr>
        <w:t>。</w:t>
      </w:r>
    </w:p>
    <w:p w14:paraId="2F9047B0">
      <w:pPr>
        <w:pStyle w:val="7"/>
        <w:spacing w:line="360" w:lineRule="auto"/>
        <w:ind w:left="422" w:hanging="422"/>
        <w:jc w:val="center"/>
        <w:rPr>
          <w:rFonts w:ascii="宋体"/>
          <w:szCs w:val="21"/>
        </w:rPr>
      </w:pPr>
      <w:r>
        <w:rPr>
          <w:rFonts w:hint="eastAsia"/>
          <w:b/>
        </w:rPr>
        <w:t>物业管理服务人员设置需求表</w:t>
      </w:r>
    </w:p>
    <w:tbl>
      <w:tblPr>
        <w:tblStyle w:val="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134"/>
        <w:gridCol w:w="2693"/>
        <w:gridCol w:w="2126"/>
      </w:tblGrid>
      <w:tr w14:paraId="47F0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490A3ECE">
            <w:pPr>
              <w:spacing w:line="360" w:lineRule="auto"/>
              <w:jc w:val="center"/>
              <w:rPr>
                <w:rFonts w:ascii="宋体"/>
                <w:spacing w:val="20"/>
                <w:szCs w:val="21"/>
              </w:rPr>
            </w:pPr>
            <w:r>
              <w:rPr>
                <w:rFonts w:hint="eastAsia" w:ascii="宋体"/>
                <w:spacing w:val="20"/>
                <w:szCs w:val="21"/>
              </w:rPr>
              <w:t>岗位类型</w:t>
            </w:r>
          </w:p>
        </w:tc>
        <w:tc>
          <w:tcPr>
            <w:tcW w:w="1418" w:type="dxa"/>
            <w:tcBorders>
              <w:top w:val="single" w:color="auto" w:sz="4" w:space="0"/>
              <w:left w:val="single" w:color="auto" w:sz="4" w:space="0"/>
              <w:bottom w:val="single" w:color="auto" w:sz="4" w:space="0"/>
              <w:right w:val="single" w:color="auto" w:sz="4" w:space="0"/>
            </w:tcBorders>
          </w:tcPr>
          <w:p w14:paraId="08D352F7">
            <w:pPr>
              <w:spacing w:line="360" w:lineRule="auto"/>
              <w:ind w:left="27"/>
              <w:jc w:val="center"/>
              <w:rPr>
                <w:rFonts w:ascii="宋体"/>
                <w:spacing w:val="20"/>
                <w:szCs w:val="21"/>
              </w:rPr>
            </w:pPr>
            <w:r>
              <w:rPr>
                <w:rFonts w:hint="eastAsia" w:ascii="宋体"/>
                <w:spacing w:val="20"/>
                <w:szCs w:val="21"/>
              </w:rPr>
              <w:t>服务岗位</w:t>
            </w:r>
          </w:p>
        </w:tc>
        <w:tc>
          <w:tcPr>
            <w:tcW w:w="1134" w:type="dxa"/>
            <w:tcBorders>
              <w:top w:val="single" w:color="auto" w:sz="4" w:space="0"/>
              <w:left w:val="single" w:color="auto" w:sz="4" w:space="0"/>
              <w:bottom w:val="single" w:color="auto" w:sz="4" w:space="0"/>
              <w:right w:val="single" w:color="auto" w:sz="4" w:space="0"/>
            </w:tcBorders>
          </w:tcPr>
          <w:p w14:paraId="5A565FBA">
            <w:pPr>
              <w:spacing w:line="360" w:lineRule="auto"/>
              <w:jc w:val="center"/>
              <w:rPr>
                <w:rFonts w:ascii="宋体"/>
                <w:spacing w:val="20"/>
                <w:szCs w:val="21"/>
              </w:rPr>
            </w:pPr>
            <w:r>
              <w:rPr>
                <w:rFonts w:hint="eastAsia" w:ascii="宋体"/>
                <w:spacing w:val="20"/>
                <w:szCs w:val="21"/>
              </w:rPr>
              <w:t>底限人数</w:t>
            </w:r>
          </w:p>
        </w:tc>
        <w:tc>
          <w:tcPr>
            <w:tcW w:w="2693" w:type="dxa"/>
            <w:tcBorders>
              <w:top w:val="single" w:color="auto" w:sz="4" w:space="0"/>
              <w:left w:val="single" w:color="auto" w:sz="4" w:space="0"/>
              <w:bottom w:val="single" w:color="auto" w:sz="4" w:space="0"/>
              <w:right w:val="single" w:color="auto" w:sz="4" w:space="0"/>
            </w:tcBorders>
          </w:tcPr>
          <w:p w14:paraId="5506A6E5">
            <w:pPr>
              <w:spacing w:line="360" w:lineRule="auto"/>
              <w:jc w:val="center"/>
              <w:rPr>
                <w:rFonts w:ascii="宋体"/>
                <w:spacing w:val="20"/>
                <w:szCs w:val="21"/>
              </w:rPr>
            </w:pPr>
            <w:r>
              <w:rPr>
                <w:rFonts w:hint="eastAsia" w:ascii="宋体"/>
                <w:spacing w:val="20"/>
                <w:szCs w:val="21"/>
              </w:rPr>
              <w:t>主要工作</w:t>
            </w:r>
          </w:p>
        </w:tc>
        <w:tc>
          <w:tcPr>
            <w:tcW w:w="2126" w:type="dxa"/>
            <w:tcBorders>
              <w:top w:val="single" w:color="auto" w:sz="4" w:space="0"/>
              <w:left w:val="single" w:color="auto" w:sz="4" w:space="0"/>
              <w:bottom w:val="single" w:color="auto" w:sz="4" w:space="0"/>
              <w:right w:val="single" w:color="auto" w:sz="4" w:space="0"/>
            </w:tcBorders>
          </w:tcPr>
          <w:p w14:paraId="693B7F05">
            <w:pPr>
              <w:spacing w:line="360" w:lineRule="auto"/>
              <w:jc w:val="center"/>
              <w:rPr>
                <w:rFonts w:ascii="宋体"/>
                <w:spacing w:val="20"/>
                <w:szCs w:val="21"/>
              </w:rPr>
            </w:pPr>
            <w:r>
              <w:rPr>
                <w:rFonts w:hint="eastAsia" w:ascii="宋体"/>
                <w:spacing w:val="20"/>
                <w:szCs w:val="21"/>
              </w:rPr>
              <w:t>人员资质要求</w:t>
            </w:r>
          </w:p>
        </w:tc>
      </w:tr>
      <w:tr w14:paraId="34DA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tcPr>
          <w:p w14:paraId="40FF0E4C">
            <w:pPr>
              <w:spacing w:line="360" w:lineRule="auto"/>
              <w:rPr>
                <w:rFonts w:ascii="宋体"/>
                <w:spacing w:val="20"/>
                <w:szCs w:val="21"/>
              </w:rPr>
            </w:pPr>
            <w:r>
              <w:rPr>
                <w:rFonts w:hint="eastAsia" w:ascii="宋体"/>
                <w:spacing w:val="20"/>
                <w:szCs w:val="21"/>
              </w:rPr>
              <w:t>综合管理</w:t>
            </w:r>
          </w:p>
        </w:tc>
        <w:tc>
          <w:tcPr>
            <w:tcW w:w="1418" w:type="dxa"/>
            <w:tcBorders>
              <w:top w:val="single" w:color="auto" w:sz="4" w:space="0"/>
              <w:left w:val="single" w:color="auto" w:sz="4" w:space="0"/>
              <w:bottom w:val="single" w:color="auto" w:sz="4" w:space="0"/>
              <w:right w:val="single" w:color="auto" w:sz="4" w:space="0"/>
            </w:tcBorders>
          </w:tcPr>
          <w:p w14:paraId="35F532D3">
            <w:pPr>
              <w:spacing w:line="360" w:lineRule="auto"/>
              <w:rPr>
                <w:rFonts w:ascii="宋体"/>
                <w:spacing w:val="20"/>
                <w:szCs w:val="21"/>
              </w:rPr>
            </w:pPr>
            <w:r>
              <w:rPr>
                <w:rFonts w:hint="eastAsia" w:ascii="宋体"/>
                <w:spacing w:val="20"/>
                <w:szCs w:val="21"/>
              </w:rPr>
              <w:t>项目经理</w:t>
            </w:r>
          </w:p>
        </w:tc>
        <w:tc>
          <w:tcPr>
            <w:tcW w:w="1134" w:type="dxa"/>
            <w:tcBorders>
              <w:top w:val="single" w:color="auto" w:sz="4" w:space="0"/>
              <w:left w:val="single" w:color="auto" w:sz="4" w:space="0"/>
              <w:bottom w:val="single" w:color="auto" w:sz="4" w:space="0"/>
              <w:right w:val="single" w:color="auto" w:sz="4" w:space="0"/>
            </w:tcBorders>
          </w:tcPr>
          <w:p w14:paraId="26983ECE">
            <w:pPr>
              <w:spacing w:line="360" w:lineRule="auto"/>
              <w:jc w:val="center"/>
              <w:rPr>
                <w:rFonts w:ascii="宋体"/>
                <w:spacing w:val="20"/>
                <w:szCs w:val="21"/>
              </w:rPr>
            </w:pPr>
            <w:r>
              <w:rPr>
                <w:rFonts w:hint="eastAsia" w:ascii="宋体"/>
                <w:spacing w:val="20"/>
                <w:szCs w:val="21"/>
              </w:rPr>
              <w:t>1</w:t>
            </w:r>
          </w:p>
        </w:tc>
        <w:tc>
          <w:tcPr>
            <w:tcW w:w="2693" w:type="dxa"/>
            <w:tcBorders>
              <w:top w:val="single" w:color="auto" w:sz="4" w:space="0"/>
              <w:left w:val="single" w:color="auto" w:sz="4" w:space="0"/>
              <w:bottom w:val="single" w:color="auto" w:sz="4" w:space="0"/>
              <w:right w:val="single" w:color="auto" w:sz="4" w:space="0"/>
            </w:tcBorders>
          </w:tcPr>
          <w:p w14:paraId="4EF531F9">
            <w:pPr>
              <w:spacing w:line="360" w:lineRule="auto"/>
              <w:rPr>
                <w:rFonts w:ascii="宋体"/>
                <w:spacing w:val="20"/>
                <w:szCs w:val="21"/>
              </w:rPr>
            </w:pPr>
            <w:r>
              <w:rPr>
                <w:rFonts w:hint="eastAsia" w:ascii="宋体"/>
                <w:spacing w:val="20"/>
                <w:szCs w:val="21"/>
              </w:rPr>
              <w:t>项目整体管理</w:t>
            </w:r>
          </w:p>
        </w:tc>
        <w:tc>
          <w:tcPr>
            <w:tcW w:w="2126" w:type="dxa"/>
            <w:tcBorders>
              <w:top w:val="single" w:color="auto" w:sz="4" w:space="0"/>
              <w:left w:val="single" w:color="auto" w:sz="4" w:space="0"/>
              <w:bottom w:val="single" w:color="auto" w:sz="4" w:space="0"/>
              <w:right w:val="single" w:color="auto" w:sz="4" w:space="0"/>
            </w:tcBorders>
          </w:tcPr>
          <w:p w14:paraId="04D028DB">
            <w:pPr>
              <w:spacing w:line="360" w:lineRule="auto"/>
              <w:jc w:val="center"/>
              <w:rPr>
                <w:rFonts w:ascii="宋体"/>
                <w:spacing w:val="20"/>
                <w:szCs w:val="21"/>
              </w:rPr>
            </w:pPr>
          </w:p>
        </w:tc>
      </w:tr>
      <w:tr w14:paraId="657D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tcPr>
          <w:p w14:paraId="08C65588">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14DA73F0">
            <w:pPr>
              <w:spacing w:line="360" w:lineRule="auto"/>
              <w:rPr>
                <w:rFonts w:ascii="宋体"/>
                <w:spacing w:val="20"/>
                <w:szCs w:val="21"/>
              </w:rPr>
            </w:pPr>
            <w:r>
              <w:rPr>
                <w:rFonts w:hint="eastAsia" w:ascii="宋体"/>
                <w:spacing w:val="20"/>
                <w:szCs w:val="21"/>
              </w:rPr>
              <w:t>项目主管</w:t>
            </w:r>
          </w:p>
        </w:tc>
        <w:tc>
          <w:tcPr>
            <w:tcW w:w="1134" w:type="dxa"/>
            <w:tcBorders>
              <w:top w:val="single" w:color="auto" w:sz="4" w:space="0"/>
              <w:left w:val="single" w:color="auto" w:sz="4" w:space="0"/>
              <w:bottom w:val="single" w:color="auto" w:sz="4" w:space="0"/>
              <w:right w:val="single" w:color="auto" w:sz="4" w:space="0"/>
            </w:tcBorders>
          </w:tcPr>
          <w:p w14:paraId="0606AE59">
            <w:pPr>
              <w:spacing w:line="360" w:lineRule="auto"/>
              <w:jc w:val="center"/>
              <w:rPr>
                <w:rFonts w:ascii="宋体"/>
                <w:spacing w:val="20"/>
                <w:szCs w:val="21"/>
              </w:rPr>
            </w:pPr>
            <w:r>
              <w:rPr>
                <w:rFonts w:hint="eastAsia" w:ascii="宋体"/>
                <w:spacing w:val="20"/>
                <w:szCs w:val="21"/>
              </w:rPr>
              <w:t>3</w:t>
            </w:r>
          </w:p>
        </w:tc>
        <w:tc>
          <w:tcPr>
            <w:tcW w:w="2693" w:type="dxa"/>
            <w:tcBorders>
              <w:top w:val="single" w:color="auto" w:sz="4" w:space="0"/>
              <w:left w:val="single" w:color="auto" w:sz="4" w:space="0"/>
              <w:bottom w:val="single" w:color="auto" w:sz="4" w:space="0"/>
              <w:right w:val="single" w:color="auto" w:sz="4" w:space="0"/>
            </w:tcBorders>
          </w:tcPr>
          <w:p w14:paraId="6D630A5D">
            <w:pPr>
              <w:spacing w:line="360" w:lineRule="auto"/>
              <w:rPr>
                <w:rFonts w:ascii="宋体"/>
                <w:spacing w:val="20"/>
                <w:szCs w:val="21"/>
              </w:rPr>
            </w:pPr>
            <w:r>
              <w:rPr>
                <w:rFonts w:hint="eastAsia" w:ascii="宋体"/>
                <w:spacing w:val="20"/>
                <w:szCs w:val="21"/>
              </w:rPr>
              <w:t>分项工作管理</w:t>
            </w:r>
          </w:p>
        </w:tc>
        <w:tc>
          <w:tcPr>
            <w:tcW w:w="2126" w:type="dxa"/>
            <w:tcBorders>
              <w:top w:val="single" w:color="auto" w:sz="4" w:space="0"/>
              <w:left w:val="single" w:color="auto" w:sz="4" w:space="0"/>
              <w:bottom w:val="single" w:color="auto" w:sz="4" w:space="0"/>
              <w:right w:val="single" w:color="auto" w:sz="4" w:space="0"/>
            </w:tcBorders>
          </w:tcPr>
          <w:p w14:paraId="5EC34414">
            <w:pPr>
              <w:spacing w:line="360" w:lineRule="auto"/>
              <w:rPr>
                <w:rFonts w:ascii="宋体"/>
                <w:spacing w:val="20"/>
                <w:szCs w:val="21"/>
              </w:rPr>
            </w:pPr>
          </w:p>
        </w:tc>
      </w:tr>
      <w:tr w14:paraId="0888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tcPr>
          <w:p w14:paraId="231468D5">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77E94C51">
            <w:pPr>
              <w:spacing w:line="360" w:lineRule="auto"/>
              <w:rPr>
                <w:rFonts w:ascii="宋体"/>
                <w:spacing w:val="20"/>
                <w:szCs w:val="21"/>
              </w:rPr>
            </w:pPr>
            <w:r>
              <w:rPr>
                <w:rFonts w:hint="eastAsia" w:ascii="宋体"/>
                <w:spacing w:val="20"/>
                <w:szCs w:val="21"/>
              </w:rPr>
              <w:t>行政会务</w:t>
            </w:r>
          </w:p>
        </w:tc>
        <w:tc>
          <w:tcPr>
            <w:tcW w:w="1134" w:type="dxa"/>
            <w:tcBorders>
              <w:top w:val="single" w:color="auto" w:sz="4" w:space="0"/>
              <w:left w:val="single" w:color="auto" w:sz="4" w:space="0"/>
              <w:bottom w:val="single" w:color="auto" w:sz="4" w:space="0"/>
              <w:right w:val="single" w:color="auto" w:sz="4" w:space="0"/>
            </w:tcBorders>
          </w:tcPr>
          <w:p w14:paraId="0E3CFAC6">
            <w:pPr>
              <w:spacing w:line="360" w:lineRule="auto"/>
              <w:jc w:val="center"/>
              <w:rPr>
                <w:rFonts w:ascii="宋体"/>
                <w:color w:val="FF0000"/>
                <w:spacing w:val="20"/>
                <w:szCs w:val="21"/>
              </w:rPr>
            </w:pPr>
            <w:r>
              <w:rPr>
                <w:rFonts w:ascii="宋体"/>
                <w:spacing w:val="20"/>
                <w:szCs w:val="21"/>
              </w:rPr>
              <w:t>2</w:t>
            </w:r>
          </w:p>
        </w:tc>
        <w:tc>
          <w:tcPr>
            <w:tcW w:w="2693" w:type="dxa"/>
            <w:tcBorders>
              <w:top w:val="single" w:color="auto" w:sz="4" w:space="0"/>
              <w:left w:val="single" w:color="auto" w:sz="4" w:space="0"/>
              <w:bottom w:val="single" w:color="auto" w:sz="4" w:space="0"/>
              <w:right w:val="single" w:color="auto" w:sz="4" w:space="0"/>
            </w:tcBorders>
          </w:tcPr>
          <w:p w14:paraId="53E58DE2">
            <w:pPr>
              <w:spacing w:line="360" w:lineRule="auto"/>
              <w:rPr>
                <w:rFonts w:ascii="宋体"/>
                <w:spacing w:val="20"/>
                <w:szCs w:val="21"/>
              </w:rPr>
            </w:pPr>
            <w:r>
              <w:rPr>
                <w:rFonts w:hint="eastAsia" w:ascii="宋体"/>
                <w:spacing w:val="20"/>
                <w:szCs w:val="21"/>
              </w:rPr>
              <w:t>校园会务服务</w:t>
            </w:r>
          </w:p>
        </w:tc>
        <w:tc>
          <w:tcPr>
            <w:tcW w:w="2126" w:type="dxa"/>
            <w:tcBorders>
              <w:top w:val="single" w:color="auto" w:sz="4" w:space="0"/>
              <w:left w:val="single" w:color="auto" w:sz="4" w:space="0"/>
              <w:bottom w:val="single" w:color="auto" w:sz="4" w:space="0"/>
              <w:right w:val="single" w:color="auto" w:sz="4" w:space="0"/>
            </w:tcBorders>
          </w:tcPr>
          <w:p w14:paraId="7513DE89">
            <w:pPr>
              <w:spacing w:line="360" w:lineRule="auto"/>
              <w:rPr>
                <w:rFonts w:ascii="宋体"/>
                <w:spacing w:val="20"/>
                <w:szCs w:val="21"/>
              </w:rPr>
            </w:pPr>
          </w:p>
        </w:tc>
      </w:tr>
      <w:tr w14:paraId="72EA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tcPr>
          <w:p w14:paraId="7EB0DCED">
            <w:pPr>
              <w:spacing w:line="360" w:lineRule="auto"/>
              <w:rPr>
                <w:rFonts w:ascii="宋体"/>
                <w:spacing w:val="20"/>
                <w:szCs w:val="21"/>
              </w:rPr>
            </w:pPr>
            <w:r>
              <w:rPr>
                <w:rFonts w:hint="eastAsia" w:ascii="宋体"/>
                <w:spacing w:val="20"/>
                <w:szCs w:val="21"/>
              </w:rPr>
              <w:t>工程类</w:t>
            </w:r>
          </w:p>
        </w:tc>
        <w:tc>
          <w:tcPr>
            <w:tcW w:w="1418" w:type="dxa"/>
            <w:tcBorders>
              <w:top w:val="single" w:color="auto" w:sz="4" w:space="0"/>
              <w:left w:val="single" w:color="auto" w:sz="4" w:space="0"/>
              <w:bottom w:val="single" w:color="auto" w:sz="4" w:space="0"/>
              <w:right w:val="single" w:color="auto" w:sz="4" w:space="0"/>
            </w:tcBorders>
          </w:tcPr>
          <w:p w14:paraId="3377D89F">
            <w:pPr>
              <w:spacing w:line="360" w:lineRule="auto"/>
              <w:rPr>
                <w:rFonts w:ascii="宋体"/>
                <w:spacing w:val="20"/>
                <w:szCs w:val="21"/>
              </w:rPr>
            </w:pPr>
            <w:r>
              <w:rPr>
                <w:rFonts w:hint="eastAsia" w:ascii="宋体"/>
                <w:spacing w:val="20"/>
                <w:szCs w:val="21"/>
              </w:rPr>
              <w:t>工程领班</w:t>
            </w:r>
          </w:p>
        </w:tc>
        <w:tc>
          <w:tcPr>
            <w:tcW w:w="1134" w:type="dxa"/>
            <w:tcBorders>
              <w:top w:val="single" w:color="auto" w:sz="4" w:space="0"/>
              <w:left w:val="single" w:color="auto" w:sz="4" w:space="0"/>
              <w:bottom w:val="single" w:color="auto" w:sz="4" w:space="0"/>
              <w:right w:val="single" w:color="auto" w:sz="4" w:space="0"/>
            </w:tcBorders>
          </w:tcPr>
          <w:p w14:paraId="1CF887D6">
            <w:pPr>
              <w:spacing w:line="360" w:lineRule="auto"/>
              <w:jc w:val="center"/>
              <w:rPr>
                <w:rFonts w:ascii="宋体"/>
                <w:spacing w:val="20"/>
                <w:szCs w:val="21"/>
              </w:rPr>
            </w:pPr>
            <w:r>
              <w:rPr>
                <w:rFonts w:hint="eastAsia" w:ascii="宋体"/>
                <w:spacing w:val="20"/>
                <w:szCs w:val="21"/>
              </w:rPr>
              <w:t>1</w:t>
            </w:r>
          </w:p>
        </w:tc>
        <w:tc>
          <w:tcPr>
            <w:tcW w:w="2693" w:type="dxa"/>
            <w:tcBorders>
              <w:top w:val="single" w:color="auto" w:sz="4" w:space="0"/>
              <w:left w:val="single" w:color="auto" w:sz="4" w:space="0"/>
              <w:bottom w:val="single" w:color="auto" w:sz="4" w:space="0"/>
              <w:right w:val="single" w:color="auto" w:sz="4" w:space="0"/>
            </w:tcBorders>
          </w:tcPr>
          <w:p w14:paraId="563BBF4D">
            <w:pPr>
              <w:spacing w:line="360" w:lineRule="auto"/>
              <w:rPr>
                <w:rFonts w:ascii="宋体"/>
                <w:spacing w:val="20"/>
                <w:szCs w:val="21"/>
              </w:rPr>
            </w:pPr>
            <w:r>
              <w:rPr>
                <w:rFonts w:hint="eastAsia" w:ascii="宋体"/>
                <w:spacing w:val="20"/>
                <w:szCs w:val="21"/>
              </w:rPr>
              <w:t>维修日常管理检查</w:t>
            </w:r>
          </w:p>
        </w:tc>
        <w:tc>
          <w:tcPr>
            <w:tcW w:w="2126" w:type="dxa"/>
            <w:tcBorders>
              <w:top w:val="single" w:color="auto" w:sz="4" w:space="0"/>
              <w:left w:val="single" w:color="auto" w:sz="4" w:space="0"/>
              <w:bottom w:val="single" w:color="auto" w:sz="4" w:space="0"/>
              <w:right w:val="single" w:color="auto" w:sz="4" w:space="0"/>
            </w:tcBorders>
          </w:tcPr>
          <w:p w14:paraId="35821E64">
            <w:pPr>
              <w:spacing w:line="360" w:lineRule="auto"/>
              <w:rPr>
                <w:rFonts w:ascii="宋体"/>
                <w:spacing w:val="20"/>
                <w:szCs w:val="21"/>
              </w:rPr>
            </w:pPr>
          </w:p>
        </w:tc>
      </w:tr>
      <w:tr w14:paraId="4CD2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17" w:type="dxa"/>
            <w:vMerge w:val="continue"/>
            <w:tcBorders>
              <w:left w:val="single" w:color="auto" w:sz="4" w:space="0"/>
              <w:right w:val="single" w:color="auto" w:sz="4" w:space="0"/>
            </w:tcBorders>
          </w:tcPr>
          <w:p w14:paraId="623BBEFB">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54C9D04A">
            <w:pPr>
              <w:spacing w:line="360" w:lineRule="auto"/>
              <w:rPr>
                <w:rFonts w:ascii="宋体"/>
                <w:spacing w:val="20"/>
                <w:szCs w:val="21"/>
              </w:rPr>
            </w:pPr>
            <w:r>
              <w:rPr>
                <w:rFonts w:hint="eastAsia" w:ascii="宋体"/>
                <w:spacing w:val="20"/>
                <w:szCs w:val="21"/>
              </w:rPr>
              <w:t>工程维修</w:t>
            </w:r>
          </w:p>
        </w:tc>
        <w:tc>
          <w:tcPr>
            <w:tcW w:w="1134" w:type="dxa"/>
            <w:tcBorders>
              <w:top w:val="single" w:color="auto" w:sz="4" w:space="0"/>
              <w:left w:val="single" w:color="auto" w:sz="4" w:space="0"/>
              <w:bottom w:val="single" w:color="auto" w:sz="4" w:space="0"/>
              <w:right w:val="single" w:color="auto" w:sz="4" w:space="0"/>
            </w:tcBorders>
          </w:tcPr>
          <w:p w14:paraId="5DCF0159">
            <w:pPr>
              <w:spacing w:line="360" w:lineRule="auto"/>
              <w:jc w:val="center"/>
              <w:rPr>
                <w:rFonts w:hint="eastAsia" w:ascii="宋体" w:eastAsia="宋体"/>
                <w:spacing w:val="20"/>
                <w:szCs w:val="21"/>
                <w:lang w:eastAsia="zh-CN"/>
              </w:rPr>
            </w:pPr>
            <w:r>
              <w:rPr>
                <w:rFonts w:hint="eastAsia" w:ascii="宋体"/>
                <w:spacing w:val="20"/>
                <w:szCs w:val="21"/>
                <w:lang w:val="en-US" w:eastAsia="zh-CN"/>
              </w:rPr>
              <w:t>4</w:t>
            </w:r>
          </w:p>
        </w:tc>
        <w:tc>
          <w:tcPr>
            <w:tcW w:w="2693" w:type="dxa"/>
            <w:tcBorders>
              <w:top w:val="single" w:color="auto" w:sz="4" w:space="0"/>
              <w:left w:val="single" w:color="auto" w:sz="4" w:space="0"/>
              <w:bottom w:val="single" w:color="auto" w:sz="4" w:space="0"/>
              <w:right w:val="single" w:color="auto" w:sz="4" w:space="0"/>
            </w:tcBorders>
          </w:tcPr>
          <w:p w14:paraId="31BFFD74">
            <w:pPr>
              <w:spacing w:line="360" w:lineRule="auto"/>
              <w:rPr>
                <w:rFonts w:ascii="宋体"/>
                <w:spacing w:val="20"/>
                <w:szCs w:val="21"/>
              </w:rPr>
            </w:pPr>
            <w:r>
              <w:rPr>
                <w:rFonts w:hint="eastAsia" w:ascii="宋体"/>
                <w:spacing w:val="20"/>
                <w:szCs w:val="21"/>
              </w:rPr>
              <w:t>日常维修</w:t>
            </w:r>
          </w:p>
        </w:tc>
        <w:tc>
          <w:tcPr>
            <w:tcW w:w="2126" w:type="dxa"/>
            <w:tcBorders>
              <w:top w:val="single" w:color="auto" w:sz="4" w:space="0"/>
              <w:left w:val="single" w:color="auto" w:sz="4" w:space="0"/>
              <w:bottom w:val="single" w:color="auto" w:sz="4" w:space="0"/>
              <w:right w:val="single" w:color="auto" w:sz="4" w:space="0"/>
            </w:tcBorders>
          </w:tcPr>
          <w:p w14:paraId="3D3B8E29">
            <w:pPr>
              <w:spacing w:line="360" w:lineRule="auto"/>
              <w:rPr>
                <w:rFonts w:ascii="宋体"/>
                <w:spacing w:val="20"/>
                <w:szCs w:val="21"/>
              </w:rPr>
            </w:pPr>
            <w:r>
              <w:rPr>
                <w:rFonts w:hint="eastAsia" w:ascii="宋体"/>
                <w:spacing w:val="20"/>
                <w:szCs w:val="21"/>
              </w:rPr>
              <w:t>具备高压/低压电工作业证书</w:t>
            </w:r>
          </w:p>
        </w:tc>
      </w:tr>
      <w:tr w14:paraId="75D1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tcPr>
          <w:p w14:paraId="5B69748C">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004CEFB0">
            <w:pPr>
              <w:spacing w:line="360" w:lineRule="auto"/>
              <w:rPr>
                <w:rFonts w:ascii="宋体"/>
                <w:spacing w:val="20"/>
                <w:szCs w:val="21"/>
              </w:rPr>
            </w:pPr>
            <w:r>
              <w:rPr>
                <w:rFonts w:hint="eastAsia" w:ascii="宋体"/>
                <w:spacing w:val="20"/>
                <w:szCs w:val="21"/>
              </w:rPr>
              <w:t>锅炉人员</w:t>
            </w:r>
          </w:p>
        </w:tc>
        <w:tc>
          <w:tcPr>
            <w:tcW w:w="1134" w:type="dxa"/>
            <w:tcBorders>
              <w:top w:val="single" w:color="auto" w:sz="4" w:space="0"/>
              <w:left w:val="single" w:color="auto" w:sz="4" w:space="0"/>
              <w:bottom w:val="single" w:color="auto" w:sz="4" w:space="0"/>
              <w:right w:val="single" w:color="auto" w:sz="4" w:space="0"/>
            </w:tcBorders>
          </w:tcPr>
          <w:p w14:paraId="5432FC4D">
            <w:pPr>
              <w:spacing w:line="360" w:lineRule="auto"/>
              <w:jc w:val="center"/>
              <w:rPr>
                <w:rFonts w:hint="eastAsia" w:ascii="宋体" w:eastAsia="宋体"/>
                <w:spacing w:val="20"/>
                <w:szCs w:val="21"/>
                <w:lang w:eastAsia="zh-CN"/>
              </w:rPr>
            </w:pPr>
            <w:r>
              <w:rPr>
                <w:rFonts w:hint="eastAsia" w:ascii="宋体"/>
                <w:spacing w:val="20"/>
                <w:szCs w:val="21"/>
                <w:lang w:val="en-US" w:eastAsia="zh-CN"/>
              </w:rPr>
              <w:t>2</w:t>
            </w:r>
          </w:p>
        </w:tc>
        <w:tc>
          <w:tcPr>
            <w:tcW w:w="2693" w:type="dxa"/>
            <w:tcBorders>
              <w:top w:val="single" w:color="auto" w:sz="4" w:space="0"/>
              <w:left w:val="single" w:color="auto" w:sz="4" w:space="0"/>
              <w:bottom w:val="single" w:color="auto" w:sz="4" w:space="0"/>
              <w:right w:val="single" w:color="auto" w:sz="4" w:space="0"/>
            </w:tcBorders>
          </w:tcPr>
          <w:p w14:paraId="253AB519">
            <w:pPr>
              <w:spacing w:line="360" w:lineRule="auto"/>
              <w:rPr>
                <w:rFonts w:ascii="宋体"/>
                <w:spacing w:val="20"/>
                <w:szCs w:val="21"/>
              </w:rPr>
            </w:pPr>
            <w:r>
              <w:rPr>
                <w:rFonts w:hint="eastAsia" w:ascii="宋体"/>
                <w:spacing w:val="20"/>
                <w:szCs w:val="21"/>
              </w:rPr>
              <w:t>日常锅炉操作</w:t>
            </w:r>
          </w:p>
        </w:tc>
        <w:tc>
          <w:tcPr>
            <w:tcW w:w="2126" w:type="dxa"/>
            <w:tcBorders>
              <w:top w:val="single" w:color="auto" w:sz="4" w:space="0"/>
              <w:left w:val="single" w:color="auto" w:sz="4" w:space="0"/>
              <w:bottom w:val="single" w:color="auto" w:sz="4" w:space="0"/>
              <w:right w:val="single" w:color="auto" w:sz="4" w:space="0"/>
            </w:tcBorders>
          </w:tcPr>
          <w:p w14:paraId="5635090D">
            <w:pPr>
              <w:spacing w:line="360" w:lineRule="auto"/>
              <w:rPr>
                <w:rFonts w:ascii="宋体"/>
                <w:spacing w:val="20"/>
                <w:szCs w:val="21"/>
              </w:rPr>
            </w:pPr>
          </w:p>
        </w:tc>
      </w:tr>
      <w:tr w14:paraId="4E53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tcPr>
          <w:p w14:paraId="79F43AD4">
            <w:pPr>
              <w:spacing w:line="360" w:lineRule="auto"/>
              <w:rPr>
                <w:rFonts w:ascii="宋体"/>
                <w:spacing w:val="20"/>
                <w:szCs w:val="21"/>
              </w:rPr>
            </w:pPr>
            <w:r>
              <w:rPr>
                <w:rFonts w:hint="eastAsia" w:ascii="宋体"/>
                <w:spacing w:val="20"/>
                <w:szCs w:val="21"/>
              </w:rPr>
              <w:t>保洁类</w:t>
            </w:r>
          </w:p>
        </w:tc>
        <w:tc>
          <w:tcPr>
            <w:tcW w:w="1418" w:type="dxa"/>
            <w:tcBorders>
              <w:top w:val="single" w:color="auto" w:sz="4" w:space="0"/>
              <w:left w:val="single" w:color="auto" w:sz="4" w:space="0"/>
              <w:bottom w:val="single" w:color="auto" w:sz="4" w:space="0"/>
              <w:right w:val="single" w:color="auto" w:sz="4" w:space="0"/>
            </w:tcBorders>
          </w:tcPr>
          <w:p w14:paraId="00A4F1CB">
            <w:pPr>
              <w:spacing w:line="360" w:lineRule="auto"/>
              <w:rPr>
                <w:rFonts w:ascii="宋体"/>
                <w:spacing w:val="20"/>
                <w:szCs w:val="21"/>
              </w:rPr>
            </w:pPr>
            <w:r>
              <w:rPr>
                <w:rFonts w:hint="eastAsia" w:ascii="宋体"/>
                <w:spacing w:val="20"/>
                <w:szCs w:val="21"/>
              </w:rPr>
              <w:t>保洁领班</w:t>
            </w:r>
          </w:p>
        </w:tc>
        <w:tc>
          <w:tcPr>
            <w:tcW w:w="1134" w:type="dxa"/>
            <w:tcBorders>
              <w:top w:val="single" w:color="auto" w:sz="4" w:space="0"/>
              <w:left w:val="single" w:color="auto" w:sz="4" w:space="0"/>
              <w:bottom w:val="single" w:color="auto" w:sz="4" w:space="0"/>
              <w:right w:val="single" w:color="auto" w:sz="4" w:space="0"/>
            </w:tcBorders>
          </w:tcPr>
          <w:p w14:paraId="39BAF0CD">
            <w:pPr>
              <w:spacing w:line="360" w:lineRule="auto"/>
              <w:jc w:val="center"/>
              <w:rPr>
                <w:rFonts w:ascii="宋体"/>
                <w:spacing w:val="20"/>
                <w:szCs w:val="21"/>
              </w:rPr>
            </w:pPr>
            <w:r>
              <w:rPr>
                <w:rFonts w:hint="eastAsia" w:ascii="宋体"/>
                <w:spacing w:val="20"/>
                <w:szCs w:val="21"/>
              </w:rPr>
              <w:t>1</w:t>
            </w:r>
          </w:p>
        </w:tc>
        <w:tc>
          <w:tcPr>
            <w:tcW w:w="2693" w:type="dxa"/>
            <w:tcBorders>
              <w:top w:val="single" w:color="auto" w:sz="4" w:space="0"/>
              <w:left w:val="single" w:color="auto" w:sz="4" w:space="0"/>
              <w:bottom w:val="single" w:color="auto" w:sz="4" w:space="0"/>
              <w:right w:val="single" w:color="auto" w:sz="4" w:space="0"/>
            </w:tcBorders>
          </w:tcPr>
          <w:p w14:paraId="1085A51D">
            <w:pPr>
              <w:spacing w:line="360" w:lineRule="auto"/>
              <w:rPr>
                <w:rFonts w:ascii="宋体"/>
                <w:spacing w:val="20"/>
                <w:szCs w:val="21"/>
              </w:rPr>
            </w:pPr>
            <w:r>
              <w:rPr>
                <w:rFonts w:hint="eastAsia" w:ascii="宋体"/>
                <w:spacing w:val="20"/>
                <w:szCs w:val="21"/>
              </w:rPr>
              <w:t>保洁工作日常检查</w:t>
            </w:r>
          </w:p>
        </w:tc>
        <w:tc>
          <w:tcPr>
            <w:tcW w:w="2126" w:type="dxa"/>
            <w:tcBorders>
              <w:top w:val="single" w:color="auto" w:sz="4" w:space="0"/>
              <w:left w:val="single" w:color="auto" w:sz="4" w:space="0"/>
              <w:bottom w:val="single" w:color="auto" w:sz="4" w:space="0"/>
              <w:right w:val="single" w:color="auto" w:sz="4" w:space="0"/>
            </w:tcBorders>
          </w:tcPr>
          <w:p w14:paraId="74A74C14">
            <w:pPr>
              <w:spacing w:line="360" w:lineRule="auto"/>
              <w:rPr>
                <w:rFonts w:ascii="宋体"/>
                <w:spacing w:val="20"/>
                <w:szCs w:val="21"/>
              </w:rPr>
            </w:pPr>
          </w:p>
        </w:tc>
      </w:tr>
      <w:tr w14:paraId="666F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tcPr>
          <w:p w14:paraId="7321E480">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0AE8633D">
            <w:pPr>
              <w:spacing w:line="360" w:lineRule="auto"/>
              <w:rPr>
                <w:rFonts w:ascii="宋体"/>
                <w:spacing w:val="20"/>
                <w:szCs w:val="21"/>
              </w:rPr>
            </w:pPr>
            <w:r>
              <w:rPr>
                <w:rFonts w:hint="eastAsia" w:ascii="宋体"/>
                <w:spacing w:val="20"/>
                <w:szCs w:val="21"/>
              </w:rPr>
              <w:t>保洁人员</w:t>
            </w:r>
          </w:p>
        </w:tc>
        <w:tc>
          <w:tcPr>
            <w:tcW w:w="1134" w:type="dxa"/>
            <w:tcBorders>
              <w:top w:val="single" w:color="auto" w:sz="4" w:space="0"/>
              <w:left w:val="single" w:color="auto" w:sz="4" w:space="0"/>
              <w:bottom w:val="single" w:color="auto" w:sz="4" w:space="0"/>
              <w:right w:val="single" w:color="auto" w:sz="4" w:space="0"/>
            </w:tcBorders>
          </w:tcPr>
          <w:p w14:paraId="40B81981">
            <w:pPr>
              <w:spacing w:line="360" w:lineRule="auto"/>
              <w:jc w:val="center"/>
              <w:rPr>
                <w:rFonts w:ascii="宋体"/>
                <w:spacing w:val="20"/>
                <w:szCs w:val="21"/>
              </w:rPr>
            </w:pPr>
            <w:r>
              <w:rPr>
                <w:rFonts w:hint="eastAsia" w:ascii="宋体"/>
                <w:spacing w:val="20"/>
                <w:szCs w:val="21"/>
              </w:rPr>
              <w:t>17</w:t>
            </w:r>
          </w:p>
        </w:tc>
        <w:tc>
          <w:tcPr>
            <w:tcW w:w="2693" w:type="dxa"/>
            <w:tcBorders>
              <w:top w:val="single" w:color="auto" w:sz="4" w:space="0"/>
              <w:left w:val="single" w:color="auto" w:sz="4" w:space="0"/>
              <w:bottom w:val="single" w:color="auto" w:sz="4" w:space="0"/>
              <w:right w:val="single" w:color="auto" w:sz="4" w:space="0"/>
            </w:tcBorders>
          </w:tcPr>
          <w:p w14:paraId="0FC2CE57">
            <w:pPr>
              <w:spacing w:line="360" w:lineRule="auto"/>
              <w:rPr>
                <w:rFonts w:ascii="宋体"/>
                <w:spacing w:val="20"/>
                <w:szCs w:val="21"/>
              </w:rPr>
            </w:pPr>
            <w:r>
              <w:rPr>
                <w:rFonts w:hint="eastAsia" w:ascii="宋体"/>
                <w:spacing w:val="20"/>
                <w:szCs w:val="21"/>
              </w:rPr>
              <w:t>楼宇内/公共区域打扫</w:t>
            </w:r>
          </w:p>
        </w:tc>
        <w:tc>
          <w:tcPr>
            <w:tcW w:w="2126" w:type="dxa"/>
            <w:tcBorders>
              <w:top w:val="single" w:color="auto" w:sz="4" w:space="0"/>
              <w:left w:val="single" w:color="auto" w:sz="4" w:space="0"/>
              <w:bottom w:val="single" w:color="auto" w:sz="4" w:space="0"/>
              <w:right w:val="single" w:color="auto" w:sz="4" w:space="0"/>
            </w:tcBorders>
          </w:tcPr>
          <w:p w14:paraId="2D663EE0">
            <w:pPr>
              <w:spacing w:line="360" w:lineRule="auto"/>
              <w:rPr>
                <w:rFonts w:ascii="宋体"/>
                <w:spacing w:val="20"/>
                <w:szCs w:val="21"/>
              </w:rPr>
            </w:pPr>
          </w:p>
        </w:tc>
      </w:tr>
      <w:tr w14:paraId="410A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tcPr>
          <w:p w14:paraId="766AD0A7">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0065DDB9">
            <w:pPr>
              <w:spacing w:line="360" w:lineRule="auto"/>
              <w:rPr>
                <w:rFonts w:ascii="宋体"/>
                <w:spacing w:val="20"/>
                <w:szCs w:val="21"/>
              </w:rPr>
            </w:pPr>
            <w:r>
              <w:rPr>
                <w:rFonts w:hint="eastAsia" w:ascii="宋体"/>
                <w:spacing w:val="20"/>
                <w:szCs w:val="21"/>
              </w:rPr>
              <w:t>绿化养护</w:t>
            </w:r>
          </w:p>
        </w:tc>
        <w:tc>
          <w:tcPr>
            <w:tcW w:w="1134" w:type="dxa"/>
            <w:tcBorders>
              <w:top w:val="single" w:color="auto" w:sz="4" w:space="0"/>
              <w:left w:val="single" w:color="auto" w:sz="4" w:space="0"/>
              <w:bottom w:val="single" w:color="auto" w:sz="4" w:space="0"/>
              <w:right w:val="single" w:color="auto" w:sz="4" w:space="0"/>
            </w:tcBorders>
          </w:tcPr>
          <w:p w14:paraId="58305AD6">
            <w:pPr>
              <w:spacing w:line="360" w:lineRule="auto"/>
              <w:jc w:val="center"/>
              <w:rPr>
                <w:rFonts w:ascii="宋体"/>
                <w:spacing w:val="20"/>
                <w:szCs w:val="21"/>
              </w:rPr>
            </w:pPr>
            <w:r>
              <w:rPr>
                <w:rFonts w:hint="eastAsia" w:ascii="宋体"/>
                <w:spacing w:val="20"/>
                <w:szCs w:val="21"/>
              </w:rPr>
              <w:t>2</w:t>
            </w:r>
          </w:p>
        </w:tc>
        <w:tc>
          <w:tcPr>
            <w:tcW w:w="2693" w:type="dxa"/>
            <w:tcBorders>
              <w:top w:val="single" w:color="auto" w:sz="4" w:space="0"/>
              <w:left w:val="single" w:color="auto" w:sz="4" w:space="0"/>
              <w:bottom w:val="single" w:color="auto" w:sz="4" w:space="0"/>
              <w:right w:val="single" w:color="auto" w:sz="4" w:space="0"/>
            </w:tcBorders>
          </w:tcPr>
          <w:p w14:paraId="414A8BBB">
            <w:pPr>
              <w:spacing w:line="360" w:lineRule="auto"/>
              <w:rPr>
                <w:rFonts w:ascii="宋体"/>
                <w:spacing w:val="20"/>
                <w:szCs w:val="21"/>
              </w:rPr>
            </w:pPr>
            <w:r>
              <w:rPr>
                <w:rFonts w:hint="eastAsia" w:ascii="宋体"/>
                <w:spacing w:val="20"/>
                <w:szCs w:val="21"/>
              </w:rPr>
              <w:t>绿植修剪/施肥维护等</w:t>
            </w:r>
          </w:p>
        </w:tc>
        <w:tc>
          <w:tcPr>
            <w:tcW w:w="2126" w:type="dxa"/>
            <w:tcBorders>
              <w:top w:val="single" w:color="auto" w:sz="4" w:space="0"/>
              <w:left w:val="single" w:color="auto" w:sz="4" w:space="0"/>
              <w:bottom w:val="single" w:color="auto" w:sz="4" w:space="0"/>
              <w:right w:val="single" w:color="auto" w:sz="4" w:space="0"/>
            </w:tcBorders>
          </w:tcPr>
          <w:p w14:paraId="115D07ED">
            <w:pPr>
              <w:spacing w:line="360" w:lineRule="auto"/>
              <w:rPr>
                <w:rFonts w:ascii="宋体"/>
                <w:spacing w:val="20"/>
                <w:szCs w:val="21"/>
              </w:rPr>
            </w:pPr>
          </w:p>
        </w:tc>
      </w:tr>
      <w:tr w14:paraId="5697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tcPr>
          <w:p w14:paraId="32E66950">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36EA5ABF">
            <w:pPr>
              <w:spacing w:line="360" w:lineRule="auto"/>
              <w:rPr>
                <w:rFonts w:ascii="宋体"/>
                <w:spacing w:val="20"/>
                <w:szCs w:val="21"/>
              </w:rPr>
            </w:pPr>
            <w:r>
              <w:rPr>
                <w:rFonts w:hint="eastAsia" w:ascii="宋体"/>
                <w:spacing w:val="20"/>
                <w:szCs w:val="21"/>
              </w:rPr>
              <w:t>浴室看护</w:t>
            </w:r>
          </w:p>
        </w:tc>
        <w:tc>
          <w:tcPr>
            <w:tcW w:w="1134" w:type="dxa"/>
            <w:tcBorders>
              <w:top w:val="single" w:color="auto" w:sz="4" w:space="0"/>
              <w:left w:val="single" w:color="auto" w:sz="4" w:space="0"/>
              <w:bottom w:val="single" w:color="auto" w:sz="4" w:space="0"/>
              <w:right w:val="single" w:color="auto" w:sz="4" w:space="0"/>
            </w:tcBorders>
          </w:tcPr>
          <w:p w14:paraId="75905FD9">
            <w:pPr>
              <w:spacing w:line="360" w:lineRule="auto"/>
              <w:jc w:val="center"/>
              <w:rPr>
                <w:rFonts w:ascii="宋体"/>
                <w:spacing w:val="20"/>
                <w:szCs w:val="21"/>
              </w:rPr>
            </w:pPr>
            <w:r>
              <w:rPr>
                <w:rFonts w:hint="eastAsia" w:ascii="宋体"/>
                <w:spacing w:val="20"/>
                <w:szCs w:val="21"/>
              </w:rPr>
              <w:t>2</w:t>
            </w:r>
          </w:p>
        </w:tc>
        <w:tc>
          <w:tcPr>
            <w:tcW w:w="2693" w:type="dxa"/>
            <w:tcBorders>
              <w:top w:val="single" w:color="auto" w:sz="4" w:space="0"/>
              <w:left w:val="single" w:color="auto" w:sz="4" w:space="0"/>
              <w:bottom w:val="single" w:color="auto" w:sz="4" w:space="0"/>
              <w:right w:val="single" w:color="auto" w:sz="4" w:space="0"/>
            </w:tcBorders>
          </w:tcPr>
          <w:p w14:paraId="4A100B68">
            <w:pPr>
              <w:spacing w:line="360" w:lineRule="auto"/>
              <w:rPr>
                <w:rFonts w:ascii="宋体"/>
                <w:spacing w:val="20"/>
                <w:szCs w:val="21"/>
              </w:rPr>
            </w:pPr>
            <w:r>
              <w:rPr>
                <w:rFonts w:hint="eastAsia" w:ascii="宋体"/>
                <w:spacing w:val="20"/>
                <w:szCs w:val="21"/>
              </w:rPr>
              <w:t>浴室看护</w:t>
            </w:r>
          </w:p>
        </w:tc>
        <w:tc>
          <w:tcPr>
            <w:tcW w:w="2126" w:type="dxa"/>
            <w:tcBorders>
              <w:top w:val="single" w:color="auto" w:sz="4" w:space="0"/>
              <w:left w:val="single" w:color="auto" w:sz="4" w:space="0"/>
              <w:bottom w:val="single" w:color="auto" w:sz="4" w:space="0"/>
              <w:right w:val="single" w:color="auto" w:sz="4" w:space="0"/>
            </w:tcBorders>
          </w:tcPr>
          <w:p w14:paraId="1B2EC0B7">
            <w:pPr>
              <w:spacing w:line="360" w:lineRule="auto"/>
              <w:rPr>
                <w:rFonts w:ascii="宋体"/>
                <w:spacing w:val="20"/>
                <w:szCs w:val="21"/>
              </w:rPr>
            </w:pPr>
          </w:p>
        </w:tc>
      </w:tr>
      <w:tr w14:paraId="5FF1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tcPr>
          <w:p w14:paraId="1D53B9C9">
            <w:pPr>
              <w:spacing w:line="360" w:lineRule="auto"/>
              <w:rPr>
                <w:rFonts w:ascii="宋体"/>
                <w:spacing w:val="20"/>
                <w:szCs w:val="21"/>
              </w:rPr>
            </w:pPr>
            <w:r>
              <w:rPr>
                <w:rFonts w:hint="eastAsia" w:ascii="宋体"/>
                <w:spacing w:val="20"/>
                <w:szCs w:val="21"/>
              </w:rPr>
              <w:t>安保类</w:t>
            </w:r>
          </w:p>
        </w:tc>
        <w:tc>
          <w:tcPr>
            <w:tcW w:w="1418" w:type="dxa"/>
            <w:tcBorders>
              <w:top w:val="single" w:color="auto" w:sz="4" w:space="0"/>
              <w:left w:val="single" w:color="auto" w:sz="4" w:space="0"/>
              <w:bottom w:val="single" w:color="auto" w:sz="4" w:space="0"/>
              <w:right w:val="single" w:color="auto" w:sz="4" w:space="0"/>
            </w:tcBorders>
          </w:tcPr>
          <w:p w14:paraId="713B39CF">
            <w:pPr>
              <w:spacing w:line="360" w:lineRule="auto"/>
              <w:rPr>
                <w:rFonts w:ascii="宋体"/>
                <w:spacing w:val="20"/>
                <w:szCs w:val="21"/>
              </w:rPr>
            </w:pPr>
            <w:r>
              <w:rPr>
                <w:rFonts w:hint="eastAsia" w:ascii="宋体"/>
                <w:spacing w:val="20"/>
                <w:szCs w:val="21"/>
              </w:rPr>
              <w:t>安保队长</w:t>
            </w:r>
          </w:p>
        </w:tc>
        <w:tc>
          <w:tcPr>
            <w:tcW w:w="1134" w:type="dxa"/>
            <w:tcBorders>
              <w:top w:val="single" w:color="auto" w:sz="4" w:space="0"/>
              <w:left w:val="single" w:color="auto" w:sz="4" w:space="0"/>
              <w:bottom w:val="single" w:color="auto" w:sz="4" w:space="0"/>
              <w:right w:val="single" w:color="auto" w:sz="4" w:space="0"/>
            </w:tcBorders>
          </w:tcPr>
          <w:p w14:paraId="11405980">
            <w:pPr>
              <w:spacing w:line="360" w:lineRule="auto"/>
              <w:jc w:val="center"/>
              <w:rPr>
                <w:rFonts w:ascii="宋体"/>
                <w:spacing w:val="20"/>
                <w:szCs w:val="21"/>
              </w:rPr>
            </w:pPr>
            <w:r>
              <w:rPr>
                <w:rFonts w:hint="eastAsia" w:ascii="宋体"/>
                <w:spacing w:val="20"/>
                <w:szCs w:val="21"/>
              </w:rPr>
              <w:t>1</w:t>
            </w:r>
          </w:p>
        </w:tc>
        <w:tc>
          <w:tcPr>
            <w:tcW w:w="2693" w:type="dxa"/>
            <w:tcBorders>
              <w:top w:val="single" w:color="auto" w:sz="4" w:space="0"/>
              <w:left w:val="single" w:color="auto" w:sz="4" w:space="0"/>
              <w:bottom w:val="single" w:color="auto" w:sz="4" w:space="0"/>
              <w:right w:val="single" w:color="auto" w:sz="4" w:space="0"/>
            </w:tcBorders>
          </w:tcPr>
          <w:p w14:paraId="747B162F">
            <w:pPr>
              <w:spacing w:line="360" w:lineRule="auto"/>
              <w:rPr>
                <w:rFonts w:ascii="宋体"/>
                <w:spacing w:val="20"/>
                <w:szCs w:val="21"/>
              </w:rPr>
            </w:pPr>
            <w:r>
              <w:rPr>
                <w:rFonts w:hint="eastAsia" w:ascii="宋体"/>
                <w:spacing w:val="20"/>
                <w:szCs w:val="21"/>
              </w:rPr>
              <w:t>安保工作日常检查</w:t>
            </w:r>
          </w:p>
        </w:tc>
        <w:tc>
          <w:tcPr>
            <w:tcW w:w="2126" w:type="dxa"/>
            <w:tcBorders>
              <w:top w:val="single" w:color="auto" w:sz="4" w:space="0"/>
              <w:left w:val="single" w:color="auto" w:sz="4" w:space="0"/>
              <w:bottom w:val="single" w:color="auto" w:sz="4" w:space="0"/>
              <w:right w:val="single" w:color="auto" w:sz="4" w:space="0"/>
            </w:tcBorders>
          </w:tcPr>
          <w:p w14:paraId="02A94267">
            <w:pPr>
              <w:spacing w:line="360" w:lineRule="auto"/>
              <w:rPr>
                <w:rFonts w:ascii="宋体"/>
                <w:spacing w:val="20"/>
                <w:szCs w:val="21"/>
              </w:rPr>
            </w:pPr>
          </w:p>
        </w:tc>
      </w:tr>
      <w:tr w14:paraId="7833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tcPr>
          <w:p w14:paraId="7A283A0C">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253B7136">
            <w:pPr>
              <w:spacing w:line="360" w:lineRule="auto"/>
              <w:rPr>
                <w:rFonts w:ascii="宋体"/>
                <w:spacing w:val="20"/>
                <w:szCs w:val="21"/>
              </w:rPr>
            </w:pPr>
            <w:r>
              <w:rPr>
                <w:rFonts w:hint="eastAsia" w:ascii="宋体"/>
                <w:spacing w:val="20"/>
                <w:szCs w:val="21"/>
              </w:rPr>
              <w:t>监控安保</w:t>
            </w:r>
          </w:p>
        </w:tc>
        <w:tc>
          <w:tcPr>
            <w:tcW w:w="1134" w:type="dxa"/>
            <w:tcBorders>
              <w:top w:val="single" w:color="auto" w:sz="4" w:space="0"/>
              <w:left w:val="single" w:color="auto" w:sz="4" w:space="0"/>
              <w:bottom w:val="single" w:color="auto" w:sz="4" w:space="0"/>
              <w:right w:val="single" w:color="auto" w:sz="4" w:space="0"/>
            </w:tcBorders>
          </w:tcPr>
          <w:p w14:paraId="4207235A">
            <w:pPr>
              <w:spacing w:line="360" w:lineRule="auto"/>
              <w:jc w:val="center"/>
              <w:rPr>
                <w:rFonts w:ascii="宋体"/>
                <w:spacing w:val="20"/>
                <w:szCs w:val="21"/>
              </w:rPr>
            </w:pPr>
            <w:r>
              <w:rPr>
                <w:rFonts w:hint="eastAsia" w:ascii="宋体"/>
                <w:spacing w:val="20"/>
                <w:szCs w:val="21"/>
              </w:rPr>
              <w:t>4</w:t>
            </w:r>
          </w:p>
        </w:tc>
        <w:tc>
          <w:tcPr>
            <w:tcW w:w="2693" w:type="dxa"/>
            <w:tcBorders>
              <w:top w:val="single" w:color="auto" w:sz="4" w:space="0"/>
              <w:left w:val="single" w:color="auto" w:sz="4" w:space="0"/>
              <w:bottom w:val="single" w:color="auto" w:sz="4" w:space="0"/>
              <w:right w:val="single" w:color="auto" w:sz="4" w:space="0"/>
            </w:tcBorders>
          </w:tcPr>
          <w:p w14:paraId="16466425">
            <w:pPr>
              <w:spacing w:line="360" w:lineRule="auto"/>
              <w:rPr>
                <w:rFonts w:ascii="宋体"/>
                <w:spacing w:val="20"/>
                <w:szCs w:val="21"/>
              </w:rPr>
            </w:pPr>
            <w:r>
              <w:rPr>
                <w:rFonts w:hint="eastAsia" w:ascii="宋体"/>
                <w:spacing w:val="20"/>
                <w:szCs w:val="21"/>
              </w:rPr>
              <w:t>安全保障</w:t>
            </w:r>
          </w:p>
        </w:tc>
        <w:tc>
          <w:tcPr>
            <w:tcW w:w="2126" w:type="dxa"/>
            <w:tcBorders>
              <w:top w:val="single" w:color="auto" w:sz="4" w:space="0"/>
              <w:left w:val="single" w:color="auto" w:sz="4" w:space="0"/>
              <w:bottom w:val="single" w:color="auto" w:sz="4" w:space="0"/>
              <w:right w:val="single" w:color="auto" w:sz="4" w:space="0"/>
            </w:tcBorders>
          </w:tcPr>
          <w:p w14:paraId="1AF0C852">
            <w:pPr>
              <w:spacing w:line="360" w:lineRule="auto"/>
              <w:rPr>
                <w:rFonts w:ascii="宋体" w:eastAsiaTheme="minorEastAsia"/>
                <w:spacing w:val="20"/>
                <w:szCs w:val="21"/>
              </w:rPr>
            </w:pPr>
            <w:r>
              <w:rPr>
                <w:rFonts w:hint="eastAsia" w:ascii="宋体"/>
                <w:spacing w:val="20"/>
                <w:szCs w:val="21"/>
              </w:rPr>
              <w:t>具备</w:t>
            </w:r>
            <w:r>
              <w:rPr>
                <w:rFonts w:hint="eastAsia" w:asciiTheme="minorEastAsia" w:hAnsiTheme="minorEastAsia" w:eastAsiaTheme="minorEastAsia"/>
                <w:shd w:val="clear" w:color="auto" w:fill="FFFFFF"/>
              </w:rPr>
              <w:t>建（构）筑物消防员(</w:t>
            </w:r>
            <w:r>
              <w:rPr>
                <w:rFonts w:hint="eastAsia" w:asciiTheme="minorEastAsia" w:hAnsiTheme="minorEastAsia" w:eastAsiaTheme="minorEastAsia"/>
                <w:shd w:val="clear" w:color="auto" w:fill="FFFFFF"/>
                <w:lang w:val="en-US" w:eastAsia="zh-CN"/>
              </w:rPr>
              <w:t>四</w:t>
            </w:r>
            <w:r>
              <w:rPr>
                <w:rFonts w:hint="eastAsia" w:asciiTheme="minorEastAsia" w:hAnsiTheme="minorEastAsia" w:eastAsiaTheme="minorEastAsia"/>
                <w:shd w:val="clear" w:color="auto" w:fill="FFFFFF"/>
              </w:rPr>
              <w:t>级)或以上</w:t>
            </w:r>
          </w:p>
        </w:tc>
      </w:tr>
      <w:tr w14:paraId="305F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tcPr>
          <w:p w14:paraId="4D243D32">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4650FFD6">
            <w:pPr>
              <w:spacing w:line="360" w:lineRule="auto"/>
              <w:rPr>
                <w:rFonts w:ascii="宋体"/>
                <w:spacing w:val="20"/>
                <w:szCs w:val="21"/>
              </w:rPr>
            </w:pPr>
            <w:r>
              <w:rPr>
                <w:rFonts w:hint="eastAsia" w:ascii="宋体"/>
                <w:spacing w:val="20"/>
                <w:szCs w:val="21"/>
              </w:rPr>
              <w:t>安保队员</w:t>
            </w:r>
          </w:p>
        </w:tc>
        <w:tc>
          <w:tcPr>
            <w:tcW w:w="1134" w:type="dxa"/>
            <w:tcBorders>
              <w:top w:val="single" w:color="auto" w:sz="4" w:space="0"/>
              <w:left w:val="single" w:color="auto" w:sz="4" w:space="0"/>
              <w:bottom w:val="single" w:color="auto" w:sz="4" w:space="0"/>
              <w:right w:val="single" w:color="auto" w:sz="4" w:space="0"/>
            </w:tcBorders>
          </w:tcPr>
          <w:p w14:paraId="60BD5E8F">
            <w:pPr>
              <w:spacing w:line="360" w:lineRule="auto"/>
              <w:jc w:val="center"/>
              <w:rPr>
                <w:rFonts w:ascii="宋体"/>
                <w:spacing w:val="20"/>
                <w:szCs w:val="21"/>
              </w:rPr>
            </w:pPr>
            <w:r>
              <w:rPr>
                <w:rFonts w:hint="eastAsia" w:ascii="宋体"/>
                <w:spacing w:val="20"/>
                <w:szCs w:val="21"/>
              </w:rPr>
              <w:t>24</w:t>
            </w:r>
          </w:p>
        </w:tc>
        <w:tc>
          <w:tcPr>
            <w:tcW w:w="2693" w:type="dxa"/>
            <w:tcBorders>
              <w:top w:val="single" w:color="auto" w:sz="4" w:space="0"/>
              <w:left w:val="single" w:color="auto" w:sz="4" w:space="0"/>
              <w:bottom w:val="single" w:color="auto" w:sz="4" w:space="0"/>
              <w:right w:val="single" w:color="auto" w:sz="4" w:space="0"/>
            </w:tcBorders>
          </w:tcPr>
          <w:p w14:paraId="7730DA53">
            <w:pPr>
              <w:spacing w:line="360" w:lineRule="auto"/>
              <w:rPr>
                <w:rFonts w:ascii="宋体"/>
                <w:spacing w:val="20"/>
                <w:szCs w:val="21"/>
              </w:rPr>
            </w:pPr>
            <w:r>
              <w:rPr>
                <w:rFonts w:hint="eastAsia" w:ascii="宋体"/>
                <w:spacing w:val="20"/>
                <w:szCs w:val="21"/>
              </w:rPr>
              <w:t>安全保障</w:t>
            </w:r>
          </w:p>
        </w:tc>
        <w:tc>
          <w:tcPr>
            <w:tcW w:w="2126" w:type="dxa"/>
            <w:tcBorders>
              <w:top w:val="single" w:color="auto" w:sz="4" w:space="0"/>
              <w:left w:val="single" w:color="auto" w:sz="4" w:space="0"/>
              <w:bottom w:val="single" w:color="auto" w:sz="4" w:space="0"/>
              <w:right w:val="single" w:color="auto" w:sz="4" w:space="0"/>
            </w:tcBorders>
          </w:tcPr>
          <w:p w14:paraId="7FC385A9">
            <w:pPr>
              <w:spacing w:line="360" w:lineRule="auto"/>
              <w:rPr>
                <w:rFonts w:ascii="宋体"/>
                <w:spacing w:val="20"/>
                <w:szCs w:val="21"/>
              </w:rPr>
            </w:pPr>
          </w:p>
        </w:tc>
      </w:tr>
      <w:tr w14:paraId="2B10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tcPr>
          <w:p w14:paraId="057E5147">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56D4CB57">
            <w:pPr>
              <w:spacing w:line="360" w:lineRule="auto"/>
              <w:rPr>
                <w:rFonts w:ascii="宋体"/>
                <w:spacing w:val="20"/>
                <w:szCs w:val="21"/>
              </w:rPr>
            </w:pPr>
            <w:r>
              <w:rPr>
                <w:rFonts w:hint="eastAsia" w:ascii="宋体"/>
                <w:spacing w:val="20"/>
                <w:szCs w:val="21"/>
              </w:rPr>
              <w:t>巡逻安保</w:t>
            </w:r>
          </w:p>
        </w:tc>
        <w:tc>
          <w:tcPr>
            <w:tcW w:w="1134" w:type="dxa"/>
            <w:tcBorders>
              <w:top w:val="single" w:color="auto" w:sz="4" w:space="0"/>
              <w:left w:val="single" w:color="auto" w:sz="4" w:space="0"/>
              <w:bottom w:val="single" w:color="auto" w:sz="4" w:space="0"/>
              <w:right w:val="single" w:color="auto" w:sz="4" w:space="0"/>
            </w:tcBorders>
          </w:tcPr>
          <w:p w14:paraId="5DDA1682">
            <w:pPr>
              <w:spacing w:line="360" w:lineRule="auto"/>
              <w:jc w:val="center"/>
              <w:rPr>
                <w:rFonts w:ascii="宋体"/>
                <w:spacing w:val="20"/>
                <w:szCs w:val="21"/>
              </w:rPr>
            </w:pPr>
            <w:r>
              <w:rPr>
                <w:rFonts w:hint="eastAsia" w:ascii="宋体"/>
                <w:spacing w:val="20"/>
                <w:szCs w:val="21"/>
              </w:rPr>
              <w:t>6</w:t>
            </w:r>
          </w:p>
        </w:tc>
        <w:tc>
          <w:tcPr>
            <w:tcW w:w="2693" w:type="dxa"/>
            <w:tcBorders>
              <w:top w:val="single" w:color="auto" w:sz="4" w:space="0"/>
              <w:left w:val="single" w:color="auto" w:sz="4" w:space="0"/>
              <w:bottom w:val="single" w:color="auto" w:sz="4" w:space="0"/>
              <w:right w:val="single" w:color="auto" w:sz="4" w:space="0"/>
            </w:tcBorders>
          </w:tcPr>
          <w:p w14:paraId="7444A981">
            <w:pPr>
              <w:spacing w:line="360" w:lineRule="auto"/>
              <w:rPr>
                <w:rFonts w:ascii="宋体"/>
                <w:spacing w:val="20"/>
                <w:szCs w:val="21"/>
              </w:rPr>
            </w:pPr>
            <w:r>
              <w:rPr>
                <w:rFonts w:hint="eastAsia" w:ascii="宋体"/>
                <w:spacing w:val="20"/>
                <w:szCs w:val="21"/>
              </w:rPr>
              <w:t>安全保障</w:t>
            </w:r>
          </w:p>
        </w:tc>
        <w:tc>
          <w:tcPr>
            <w:tcW w:w="2126" w:type="dxa"/>
            <w:tcBorders>
              <w:top w:val="single" w:color="auto" w:sz="4" w:space="0"/>
              <w:left w:val="single" w:color="auto" w:sz="4" w:space="0"/>
              <w:bottom w:val="single" w:color="auto" w:sz="4" w:space="0"/>
              <w:right w:val="single" w:color="auto" w:sz="4" w:space="0"/>
            </w:tcBorders>
          </w:tcPr>
          <w:p w14:paraId="1DC29CE8">
            <w:pPr>
              <w:spacing w:line="360" w:lineRule="auto"/>
              <w:rPr>
                <w:rFonts w:ascii="宋体"/>
                <w:spacing w:val="20"/>
                <w:szCs w:val="21"/>
              </w:rPr>
            </w:pPr>
          </w:p>
        </w:tc>
      </w:tr>
      <w:tr w14:paraId="2AD3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67B016A9">
            <w:pPr>
              <w:spacing w:line="360" w:lineRule="auto"/>
              <w:rPr>
                <w:rFonts w:ascii="宋体"/>
                <w:spacing w:val="20"/>
                <w:szCs w:val="21"/>
              </w:rPr>
            </w:pPr>
            <w:r>
              <w:rPr>
                <w:rFonts w:hint="eastAsia" w:ascii="宋体"/>
                <w:spacing w:val="20"/>
                <w:szCs w:val="21"/>
              </w:rPr>
              <w:t>宿管</w:t>
            </w:r>
          </w:p>
        </w:tc>
        <w:tc>
          <w:tcPr>
            <w:tcW w:w="1418" w:type="dxa"/>
            <w:tcBorders>
              <w:top w:val="single" w:color="auto" w:sz="4" w:space="0"/>
              <w:left w:val="single" w:color="auto" w:sz="4" w:space="0"/>
              <w:bottom w:val="single" w:color="auto" w:sz="4" w:space="0"/>
              <w:right w:val="single" w:color="auto" w:sz="4" w:space="0"/>
            </w:tcBorders>
          </w:tcPr>
          <w:p w14:paraId="1C57BE4D">
            <w:pPr>
              <w:spacing w:line="360" w:lineRule="auto"/>
              <w:rPr>
                <w:rFonts w:ascii="宋体"/>
                <w:spacing w:val="20"/>
                <w:szCs w:val="21"/>
              </w:rPr>
            </w:pPr>
            <w:r>
              <w:rPr>
                <w:rFonts w:hint="eastAsia" w:ascii="宋体"/>
                <w:spacing w:val="20"/>
                <w:szCs w:val="21"/>
              </w:rPr>
              <w:t>宿管人员</w:t>
            </w:r>
          </w:p>
        </w:tc>
        <w:tc>
          <w:tcPr>
            <w:tcW w:w="1134" w:type="dxa"/>
            <w:tcBorders>
              <w:top w:val="single" w:color="auto" w:sz="4" w:space="0"/>
              <w:left w:val="single" w:color="auto" w:sz="4" w:space="0"/>
              <w:bottom w:val="single" w:color="auto" w:sz="4" w:space="0"/>
              <w:right w:val="single" w:color="auto" w:sz="4" w:space="0"/>
            </w:tcBorders>
          </w:tcPr>
          <w:p w14:paraId="08AB6E0A">
            <w:pPr>
              <w:spacing w:line="360" w:lineRule="auto"/>
              <w:jc w:val="center"/>
              <w:rPr>
                <w:rFonts w:ascii="宋体"/>
                <w:spacing w:val="20"/>
                <w:szCs w:val="21"/>
              </w:rPr>
            </w:pPr>
            <w:r>
              <w:rPr>
                <w:rFonts w:hint="eastAsia" w:ascii="宋体"/>
                <w:spacing w:val="20"/>
                <w:szCs w:val="21"/>
              </w:rPr>
              <w:t>16</w:t>
            </w:r>
          </w:p>
        </w:tc>
        <w:tc>
          <w:tcPr>
            <w:tcW w:w="2693" w:type="dxa"/>
            <w:tcBorders>
              <w:top w:val="single" w:color="auto" w:sz="4" w:space="0"/>
              <w:left w:val="single" w:color="auto" w:sz="4" w:space="0"/>
              <w:bottom w:val="single" w:color="auto" w:sz="4" w:space="0"/>
              <w:right w:val="single" w:color="auto" w:sz="4" w:space="0"/>
            </w:tcBorders>
          </w:tcPr>
          <w:p w14:paraId="16AE0B29">
            <w:pPr>
              <w:spacing w:line="360" w:lineRule="auto"/>
              <w:rPr>
                <w:rFonts w:ascii="宋体"/>
                <w:spacing w:val="20"/>
                <w:szCs w:val="21"/>
              </w:rPr>
            </w:pPr>
            <w:r>
              <w:rPr>
                <w:rFonts w:hint="eastAsia" w:ascii="宋体"/>
                <w:spacing w:val="20"/>
                <w:szCs w:val="21"/>
              </w:rPr>
              <w:t>宿舍管理</w:t>
            </w:r>
          </w:p>
        </w:tc>
        <w:tc>
          <w:tcPr>
            <w:tcW w:w="2126" w:type="dxa"/>
            <w:tcBorders>
              <w:top w:val="single" w:color="auto" w:sz="4" w:space="0"/>
              <w:left w:val="single" w:color="auto" w:sz="4" w:space="0"/>
              <w:bottom w:val="single" w:color="auto" w:sz="4" w:space="0"/>
              <w:right w:val="single" w:color="auto" w:sz="4" w:space="0"/>
            </w:tcBorders>
          </w:tcPr>
          <w:p w14:paraId="4C3C1A11">
            <w:pPr>
              <w:spacing w:line="360" w:lineRule="auto"/>
              <w:rPr>
                <w:rFonts w:ascii="宋体"/>
                <w:spacing w:val="20"/>
                <w:szCs w:val="21"/>
              </w:rPr>
            </w:pPr>
            <w:r>
              <w:rPr>
                <w:rFonts w:hint="eastAsia" w:ascii="宋体"/>
                <w:spacing w:val="20"/>
                <w:szCs w:val="21"/>
              </w:rPr>
              <w:t>具备健康合格证</w:t>
            </w:r>
          </w:p>
        </w:tc>
      </w:tr>
      <w:tr w14:paraId="036A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3FBD7D9D">
            <w:pPr>
              <w:spacing w:line="360" w:lineRule="auto"/>
              <w:rPr>
                <w:rFonts w:ascii="宋体"/>
                <w:spacing w:val="20"/>
                <w:szCs w:val="21"/>
              </w:rPr>
            </w:pPr>
          </w:p>
        </w:tc>
        <w:tc>
          <w:tcPr>
            <w:tcW w:w="1418" w:type="dxa"/>
            <w:tcBorders>
              <w:top w:val="single" w:color="auto" w:sz="4" w:space="0"/>
              <w:left w:val="single" w:color="auto" w:sz="4" w:space="0"/>
              <w:bottom w:val="single" w:color="auto" w:sz="4" w:space="0"/>
              <w:right w:val="single" w:color="auto" w:sz="4" w:space="0"/>
            </w:tcBorders>
          </w:tcPr>
          <w:p w14:paraId="54F60B2A">
            <w:pPr>
              <w:spacing w:line="360" w:lineRule="auto"/>
              <w:rPr>
                <w:rFonts w:ascii="宋体"/>
                <w:spacing w:val="20"/>
                <w:szCs w:val="21"/>
              </w:rPr>
            </w:pPr>
            <w:r>
              <w:rPr>
                <w:rFonts w:hint="eastAsia" w:ascii="宋体"/>
                <w:spacing w:val="20"/>
                <w:szCs w:val="21"/>
              </w:rPr>
              <w:t>合计</w:t>
            </w:r>
          </w:p>
        </w:tc>
        <w:tc>
          <w:tcPr>
            <w:tcW w:w="1134" w:type="dxa"/>
            <w:tcBorders>
              <w:top w:val="single" w:color="auto" w:sz="4" w:space="0"/>
              <w:left w:val="single" w:color="auto" w:sz="4" w:space="0"/>
              <w:bottom w:val="single" w:color="auto" w:sz="4" w:space="0"/>
              <w:right w:val="single" w:color="auto" w:sz="4" w:space="0"/>
            </w:tcBorders>
          </w:tcPr>
          <w:p w14:paraId="0E1EBA29">
            <w:pPr>
              <w:spacing w:line="360" w:lineRule="auto"/>
              <w:jc w:val="center"/>
              <w:rPr>
                <w:rFonts w:ascii="宋体"/>
                <w:color w:val="FF0000"/>
                <w:spacing w:val="20"/>
                <w:szCs w:val="21"/>
              </w:rPr>
            </w:pPr>
            <w:r>
              <w:rPr>
                <w:rFonts w:hint="eastAsia" w:ascii="宋体"/>
                <w:spacing w:val="20"/>
                <w:szCs w:val="21"/>
              </w:rPr>
              <w:t>★86人</w:t>
            </w:r>
          </w:p>
        </w:tc>
        <w:tc>
          <w:tcPr>
            <w:tcW w:w="2693" w:type="dxa"/>
            <w:tcBorders>
              <w:top w:val="single" w:color="auto" w:sz="4" w:space="0"/>
              <w:left w:val="single" w:color="auto" w:sz="4" w:space="0"/>
              <w:bottom w:val="single" w:color="auto" w:sz="4" w:space="0"/>
              <w:right w:val="single" w:color="auto" w:sz="4" w:space="0"/>
            </w:tcBorders>
          </w:tcPr>
          <w:p w14:paraId="73E52C4D">
            <w:pPr>
              <w:spacing w:line="360" w:lineRule="auto"/>
              <w:rPr>
                <w:rFonts w:ascii="宋体"/>
                <w:spacing w:val="20"/>
                <w:szCs w:val="21"/>
              </w:rPr>
            </w:pPr>
          </w:p>
        </w:tc>
        <w:tc>
          <w:tcPr>
            <w:tcW w:w="2126" w:type="dxa"/>
            <w:tcBorders>
              <w:top w:val="single" w:color="auto" w:sz="4" w:space="0"/>
              <w:left w:val="single" w:color="auto" w:sz="4" w:space="0"/>
              <w:bottom w:val="single" w:color="auto" w:sz="4" w:space="0"/>
              <w:right w:val="single" w:color="auto" w:sz="4" w:space="0"/>
            </w:tcBorders>
          </w:tcPr>
          <w:p w14:paraId="37593303">
            <w:pPr>
              <w:spacing w:line="360" w:lineRule="auto"/>
              <w:rPr>
                <w:rFonts w:ascii="宋体"/>
                <w:spacing w:val="20"/>
                <w:szCs w:val="21"/>
              </w:rPr>
            </w:pPr>
          </w:p>
        </w:tc>
      </w:tr>
    </w:tbl>
    <w:p w14:paraId="2EC638EF">
      <w:pPr>
        <w:pStyle w:val="3"/>
        <w:spacing w:line="360" w:lineRule="auto"/>
        <w:ind w:firstLine="420"/>
        <w:rPr>
          <w:b/>
        </w:rPr>
      </w:pPr>
    </w:p>
    <w:p w14:paraId="1838B7F5">
      <w:pPr>
        <w:pStyle w:val="3"/>
        <w:spacing w:line="360" w:lineRule="auto"/>
        <w:ind w:firstLine="420"/>
        <w:rPr>
          <w:lang w:val="en-US"/>
        </w:rPr>
        <w:sectPr>
          <w:pgSz w:w="11906" w:h="16838"/>
          <w:pgMar w:top="1440" w:right="1800" w:bottom="1440" w:left="1800" w:header="851" w:footer="992" w:gutter="0"/>
          <w:cols w:space="425" w:num="1"/>
          <w:docGrid w:type="lines" w:linePitch="312" w:charSpace="0"/>
        </w:sectPr>
      </w:pPr>
    </w:p>
    <w:p w14:paraId="250F7C6A">
      <w:pPr>
        <w:adjustRightInd w:val="0"/>
        <w:snapToGrid w:val="0"/>
        <w:spacing w:line="360" w:lineRule="auto"/>
        <w:jc w:val="left"/>
        <w:rPr>
          <w:rFonts w:ascii="宋体" w:hAnsi="Courier New"/>
          <w:b/>
          <w:sz w:val="28"/>
          <w:szCs w:val="28"/>
          <w:lang w:val="zh-CN"/>
        </w:rPr>
      </w:pPr>
      <w:r>
        <w:rPr>
          <w:rFonts w:hint="eastAsia" w:ascii="宋体" w:hAnsi="Courier New"/>
          <w:b/>
          <w:sz w:val="28"/>
          <w:szCs w:val="28"/>
          <w:lang w:val="zh-CN"/>
        </w:rPr>
        <w:t>四</w:t>
      </w:r>
      <w:r>
        <w:rPr>
          <w:rFonts w:hint="eastAsia" w:ascii="宋体" w:hAnsi="Courier New"/>
          <w:b/>
          <w:sz w:val="28"/>
          <w:szCs w:val="28"/>
          <w:lang w:val="zh-CN" w:eastAsia="zh-CN"/>
        </w:rPr>
        <w:t>、</w:t>
      </w:r>
      <w:r>
        <w:rPr>
          <w:rFonts w:hint="eastAsia" w:ascii="宋体" w:hAnsi="Courier New"/>
          <w:b/>
          <w:sz w:val="28"/>
          <w:szCs w:val="28"/>
          <w:lang w:val="zh-CN"/>
        </w:rPr>
        <w:t>其他</w:t>
      </w:r>
      <w:r>
        <w:rPr>
          <w:rFonts w:ascii="宋体" w:hAnsi="Courier New"/>
          <w:b/>
          <w:sz w:val="28"/>
          <w:szCs w:val="28"/>
          <w:lang w:val="zh-CN"/>
        </w:rPr>
        <w:t>说明</w:t>
      </w:r>
    </w:p>
    <w:p w14:paraId="704534FA">
      <w:pPr>
        <w:spacing w:line="360" w:lineRule="auto"/>
        <w:ind w:firstLine="465"/>
        <w:rPr>
          <w:rFonts w:ascii="宋体" w:hAnsi="宋体" w:cs="宋体" w:eastAsiaTheme="minorEastAsia"/>
          <w:b/>
          <w:bCs/>
          <w:szCs w:val="21"/>
        </w:rPr>
      </w:pP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关于委托第三方的说明</w:t>
      </w:r>
    </w:p>
    <w:p w14:paraId="30EE5103">
      <w:pPr>
        <w:spacing w:line="360" w:lineRule="auto"/>
        <w:ind w:firstLine="465"/>
        <w:jc w:val="left"/>
        <w:rPr>
          <w:rFonts w:ascii="宋体" w:hAnsi="宋体" w:cs="宋体"/>
          <w:b/>
          <w:bCs/>
          <w:szCs w:val="21"/>
        </w:rPr>
      </w:pPr>
      <w:r>
        <w:rPr>
          <w:rFonts w:hint="eastAsia" w:ascii="宋体" w:hAnsi="宋体" w:cs="宋体"/>
          <w:szCs w:val="21"/>
        </w:rPr>
        <w:t>空调维保维修、电梯维保、消防设备设施维保、外立面清洗、垃圾清运（含餐厨垃圾、生活垃圾），二次供水水箱清洗、避雷测试、充电桩维保、净水装置维保、油水分离器维保等由业主方自行选择具有相关资质第三方单位。</w:t>
      </w:r>
    </w:p>
    <w:p w14:paraId="69279DED">
      <w:pPr>
        <w:spacing w:line="360" w:lineRule="auto"/>
        <w:ind w:firstLine="465"/>
        <w:jc w:val="left"/>
        <w:rPr>
          <w:rFonts w:ascii="宋体" w:hAnsi="宋体" w:cs="宋体"/>
          <w:b/>
          <w:bCs/>
          <w:szCs w:val="21"/>
        </w:rPr>
      </w:pPr>
      <w:r>
        <w:rPr>
          <w:rFonts w:hint="eastAsia"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关于报价的说明</w:t>
      </w:r>
    </w:p>
    <w:p w14:paraId="5E250BB2">
      <w:pPr>
        <w:spacing w:line="360" w:lineRule="auto"/>
        <w:ind w:firstLine="465"/>
        <w:rPr>
          <w:rFonts w:ascii="宋体" w:hAnsi="宋体" w:cs="宋体"/>
          <w:szCs w:val="21"/>
        </w:rPr>
      </w:pPr>
      <w:r>
        <w:rPr>
          <w:rFonts w:hint="eastAsia" w:ascii="宋体" w:hAnsi="宋体" w:cs="宋体"/>
          <w:szCs w:val="21"/>
        </w:rPr>
        <w:t>本项目投标报价，应包含：人员工资、法律法规规定的福利待遇、人员服装及劳防用品、管理费及税费等方面。投标报价的具体要求主要有：</w:t>
      </w:r>
    </w:p>
    <w:p w14:paraId="486963CF">
      <w:pPr>
        <w:spacing w:line="360" w:lineRule="auto"/>
        <w:ind w:firstLine="420" w:firstLineChars="200"/>
        <w:rPr>
          <w:rFonts w:ascii="宋体" w:hAnsi="宋体" w:cs="宋体" w:eastAsiaTheme="minorEastAsia"/>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）投标报价应根据此次物业服务招标的范围，分类分项列明人员工资、福利待遇、管理费、税费等的明细及汇总。其中：</w:t>
      </w:r>
    </w:p>
    <w:p w14:paraId="3283D99F">
      <w:pPr>
        <w:spacing w:line="360" w:lineRule="auto"/>
        <w:ind w:firstLine="420" w:firstLineChars="200"/>
        <w:rPr>
          <w:rFonts w:ascii="宋体" w:hAnsi="宋体" w:cs="宋体" w:eastAsiaTheme="minorEastAsia"/>
          <w:szCs w:val="21"/>
        </w:rPr>
      </w:pPr>
      <w:r>
        <w:rPr>
          <w:rFonts w:ascii="宋体" w:hAnsi="宋体" w:cs="宋体"/>
          <w:szCs w:val="21"/>
        </w:rPr>
        <w:t>1</w:t>
      </w:r>
      <w:r>
        <w:rPr>
          <w:rFonts w:hint="eastAsia" w:ascii="宋体" w:hAnsi="宋体" w:cs="宋体"/>
          <w:szCs w:val="21"/>
        </w:rPr>
        <w:t>）</w:t>
      </w:r>
      <w:r>
        <w:rPr>
          <w:rFonts w:ascii="宋体" w:hAnsi="宋体" w:cs="宋体"/>
          <w:szCs w:val="21"/>
        </w:rPr>
        <w:t>投标人所投报的人工工资不得低于上海市20</w:t>
      </w:r>
      <w:r>
        <w:rPr>
          <w:rFonts w:hint="eastAsia" w:ascii="宋体" w:hAnsi="宋体" w:cs="宋体"/>
          <w:szCs w:val="21"/>
        </w:rPr>
        <w:t>2</w:t>
      </w:r>
      <w:r>
        <w:rPr>
          <w:rFonts w:hint="eastAsia" w:ascii="宋体" w:hAnsi="宋体" w:cs="宋体"/>
          <w:szCs w:val="21"/>
          <w:lang w:val="en-US" w:eastAsia="zh-CN"/>
        </w:rPr>
        <w:t>5</w:t>
      </w:r>
      <w:r>
        <w:rPr>
          <w:rFonts w:ascii="宋体" w:hAnsi="宋体" w:cs="宋体"/>
          <w:szCs w:val="21"/>
        </w:rPr>
        <w:t>年公布的员工最低工资，但可自行考虑上浮。</w:t>
      </w:r>
    </w:p>
    <w:p w14:paraId="4E2C62FE">
      <w:pPr>
        <w:spacing w:line="360" w:lineRule="auto"/>
        <w:ind w:firstLine="465"/>
        <w:rPr>
          <w:rFonts w:ascii="宋体" w:hAnsi="宋体" w:cs="宋体" w:eastAsiaTheme="minorEastAsia"/>
          <w:szCs w:val="21"/>
        </w:rPr>
      </w:pPr>
      <w:r>
        <w:rPr>
          <w:rFonts w:ascii="宋体" w:hAnsi="宋体" w:cs="宋体"/>
          <w:szCs w:val="21"/>
        </w:rPr>
        <w:t>2）投标人所投报的社会保障费、住房公积金及其他相关员工福利费用取费标准不得低于上海市20</w:t>
      </w:r>
      <w:r>
        <w:rPr>
          <w:rFonts w:hint="eastAsia" w:ascii="宋体" w:hAnsi="宋体" w:cs="宋体"/>
          <w:szCs w:val="21"/>
        </w:rPr>
        <w:t>2</w:t>
      </w:r>
      <w:r>
        <w:rPr>
          <w:rFonts w:hint="eastAsia" w:ascii="宋体" w:hAnsi="宋体" w:cs="宋体"/>
          <w:szCs w:val="21"/>
          <w:lang w:val="en-US" w:eastAsia="zh-CN"/>
        </w:rPr>
        <w:t>5</w:t>
      </w:r>
      <w:r>
        <w:rPr>
          <w:rFonts w:ascii="宋体" w:hAnsi="宋体" w:cs="宋体"/>
          <w:szCs w:val="21"/>
        </w:rPr>
        <w:t>年公布的最低标准，但可自行考虑上浮。</w:t>
      </w:r>
    </w:p>
    <w:p w14:paraId="046B85D7">
      <w:pPr>
        <w:spacing w:line="360" w:lineRule="auto"/>
        <w:ind w:firstLine="465"/>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）人员服装费</w:t>
      </w:r>
      <w:r>
        <w:rPr>
          <w:rFonts w:ascii="宋体" w:hAnsi="宋体" w:cs="宋体"/>
          <w:szCs w:val="21"/>
        </w:rPr>
        <w:t>2</w:t>
      </w:r>
      <w:r>
        <w:rPr>
          <w:rFonts w:hint="eastAsia" w:ascii="宋体" w:hAnsi="宋体" w:cs="宋体"/>
          <w:szCs w:val="21"/>
        </w:rPr>
        <w:t>年计收一次，依每人四套计算。此项费用平均计算到各年度中。</w:t>
      </w:r>
    </w:p>
    <w:p w14:paraId="7AD5E937">
      <w:pPr>
        <w:spacing w:line="360" w:lineRule="auto"/>
        <w:ind w:firstLine="465"/>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）管理费中，应包含为完成物业服务工作内部办公所必须的支出费用。</w:t>
      </w:r>
    </w:p>
    <w:p w14:paraId="6E41781A">
      <w:pPr>
        <w:spacing w:line="360" w:lineRule="auto"/>
        <w:ind w:firstLine="465"/>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）所有工具（含常用工具、专用工具等）均有业主方承担。</w:t>
      </w:r>
    </w:p>
    <w:p w14:paraId="520344FA">
      <w:pPr>
        <w:spacing w:line="360" w:lineRule="auto"/>
        <w:ind w:firstLine="465"/>
        <w:rPr>
          <w:rFonts w:ascii="宋体" w:hAnsi="宋体" w:cs="宋体"/>
          <w:szCs w:val="21"/>
        </w:rPr>
      </w:pPr>
      <w:r>
        <w:rPr>
          <w:rFonts w:hint="eastAsia" w:ascii="宋体" w:hAnsi="宋体" w:cs="宋体"/>
          <w:szCs w:val="21"/>
        </w:rPr>
        <w:t>（5）中标单位服务过程中涉及的保洁耗材、维修耗用品由业主方自行采购，物业单位根据实际需求提报领用，业主方审核批准。</w:t>
      </w:r>
    </w:p>
    <w:p w14:paraId="42339E1C">
      <w:pPr>
        <w:spacing w:line="360" w:lineRule="auto"/>
        <w:ind w:firstLine="465"/>
        <w:rPr>
          <w:rFonts w:ascii="宋体" w:hAnsi="宋体" w:cs="宋体"/>
          <w:szCs w:val="21"/>
        </w:rPr>
      </w:pPr>
      <w:r>
        <w:rPr>
          <w:rFonts w:hint="eastAsia" w:ascii="宋体" w:hAnsi="宋体" w:cs="宋体"/>
          <w:szCs w:val="21"/>
        </w:rPr>
        <w:t>（6）采购人在完成招标工作签订物业服务合同时，有权根据服务需求的变化情况，对合同成交价（物业</w:t>
      </w:r>
      <w:r>
        <w:rPr>
          <w:rFonts w:hint="eastAsia" w:ascii="宋体" w:hAnsi="宋体" w:cs="宋体"/>
          <w:szCs w:val="21"/>
          <w:u w:val="dotted"/>
        </w:rPr>
        <w:t>服务</w:t>
      </w:r>
      <w:r>
        <w:rPr>
          <w:rFonts w:hint="eastAsia" w:ascii="宋体" w:hAnsi="宋体" w:cs="宋体"/>
          <w:szCs w:val="21"/>
        </w:rPr>
        <w:t>费用总额）进行核减（增）。</w:t>
      </w:r>
    </w:p>
    <w:p w14:paraId="3391454D">
      <w:pPr>
        <w:spacing w:line="360" w:lineRule="auto"/>
        <w:ind w:firstLine="465"/>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、考核办法</w:t>
      </w:r>
    </w:p>
    <w:p w14:paraId="19099257">
      <w:pPr>
        <w:tabs>
          <w:tab w:val="left" w:pos="567"/>
        </w:tabs>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 考核依据</w:t>
      </w:r>
    </w:p>
    <w:p w14:paraId="40AB2363">
      <w:pPr>
        <w:tabs>
          <w:tab w:val="left" w:pos="567"/>
        </w:tabs>
        <w:adjustRightInd w:val="0"/>
        <w:snapToGrid w:val="0"/>
        <w:spacing w:line="360" w:lineRule="auto"/>
        <w:ind w:firstLine="420" w:firstLineChars="200"/>
        <w:jc w:val="left"/>
        <w:rPr>
          <w:rFonts w:asciiTheme="minorEastAsia" w:hAnsiTheme="minorEastAsia" w:eastAsiaTheme="minorEastAsia"/>
          <w:spacing w:val="-2"/>
          <w:szCs w:val="21"/>
        </w:rPr>
      </w:pPr>
      <w:r>
        <w:rPr>
          <w:rFonts w:hint="eastAsia" w:asciiTheme="minorEastAsia" w:hAnsiTheme="minorEastAsia" w:eastAsiaTheme="minorEastAsia"/>
          <w:szCs w:val="21"/>
        </w:rPr>
        <w:t>物业服务合同、招标文件所委托的物业管理服务范围、服务内容、服务要求（标准）和投标文件。</w:t>
      </w:r>
    </w:p>
    <w:p w14:paraId="5D612EF9">
      <w:pPr>
        <w:numPr>
          <w:ilvl w:val="0"/>
          <w:numId w:val="2"/>
        </w:num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考核评分评价</w:t>
      </w:r>
    </w:p>
    <w:p w14:paraId="1645A39C">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2.1 考核评分在90分及以上，考核评价为优秀。</w:t>
      </w:r>
    </w:p>
    <w:p w14:paraId="0E516E15">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2.2 考核评分在70分（含70分）至89分区间，考核评价为合格。</w:t>
      </w:r>
    </w:p>
    <w:p w14:paraId="25269963">
      <w:pPr>
        <w:tabs>
          <w:tab w:val="left" w:pos="567"/>
        </w:tabs>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2.3 考核评分在60分（含60分）至69分区间，考核评价为基本合格。</w:t>
      </w:r>
    </w:p>
    <w:p w14:paraId="3DE0FA41">
      <w:pPr>
        <w:tabs>
          <w:tab w:val="left" w:pos="567"/>
        </w:tabs>
        <w:adjustRightInd w:val="0"/>
        <w:snapToGrid w:val="0"/>
        <w:spacing w:line="360" w:lineRule="auto"/>
        <w:ind w:firstLine="412" w:firstLineChars="200"/>
        <w:jc w:val="left"/>
        <w:rPr>
          <w:rFonts w:asciiTheme="minorEastAsia" w:hAnsiTheme="minorEastAsia" w:eastAsiaTheme="minorEastAsia"/>
          <w:szCs w:val="21"/>
        </w:rPr>
      </w:pPr>
      <w:r>
        <w:rPr>
          <w:rFonts w:hint="eastAsia" w:asciiTheme="minorEastAsia" w:hAnsiTheme="minorEastAsia" w:eastAsiaTheme="minorEastAsia"/>
          <w:spacing w:val="-2"/>
          <w:szCs w:val="21"/>
        </w:rPr>
        <w:t>2.4 考核评分60分以下，考核评价为不合格。</w:t>
      </w:r>
    </w:p>
    <w:p w14:paraId="45E955D5">
      <w:pPr>
        <w:tabs>
          <w:tab w:val="left" w:pos="567"/>
        </w:tabs>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 考核组织实施</w:t>
      </w:r>
    </w:p>
    <w:p w14:paraId="3875D902">
      <w:pPr>
        <w:widowControl/>
        <w:adjustRightInd w:val="0"/>
        <w:snapToGrid w:val="0"/>
        <w:spacing w:line="360" w:lineRule="auto"/>
        <w:ind w:firstLine="412"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3.1 建立机构。院方组织相关人员成立考核评价小组，通常不少于3人；</w:t>
      </w:r>
    </w:p>
    <w:p w14:paraId="5FAB7D2A">
      <w:pPr>
        <w:widowControl/>
        <w:adjustRightInd w:val="0"/>
        <w:snapToGrid w:val="0"/>
        <w:spacing w:line="360" w:lineRule="auto"/>
        <w:ind w:firstLine="412" w:firstLineChars="200"/>
        <w:jc w:val="left"/>
        <w:rPr>
          <w:rFonts w:asciiTheme="minorEastAsia" w:hAnsiTheme="minorEastAsia" w:eastAsiaTheme="minorEastAsia"/>
          <w:szCs w:val="21"/>
        </w:rPr>
      </w:pPr>
      <w:r>
        <w:rPr>
          <w:rFonts w:hint="eastAsia" w:asciiTheme="minorEastAsia" w:hAnsiTheme="minorEastAsia" w:eastAsiaTheme="minorEastAsia"/>
          <w:spacing w:val="-2"/>
          <w:szCs w:val="21"/>
        </w:rPr>
        <w:t>3.2 考核方式。采取现场检查和台账检查。</w:t>
      </w:r>
      <w:r>
        <w:rPr>
          <w:rFonts w:hint="eastAsia" w:asciiTheme="minorEastAsia" w:hAnsiTheme="minorEastAsia" w:eastAsiaTheme="minorEastAsia"/>
          <w:szCs w:val="21"/>
        </w:rPr>
        <w:t>考核评价小组成员通过深入服务现场，查验现场服务，以及查阅各类运行台账记录，依据物业服务质量考核评价表（详见5.考核评分表）逐项打分。考核评分取考核人员单独打分总和的平均值。</w:t>
      </w:r>
    </w:p>
    <w:p w14:paraId="74EB3537">
      <w:pPr>
        <w:widowControl/>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3.3 考核周期。每季度考核一次。</w:t>
      </w:r>
    </w:p>
    <w:p w14:paraId="08CB2144">
      <w:pPr>
        <w:widowControl/>
        <w:adjustRightInd w:val="0"/>
        <w:snapToGrid w:val="0"/>
        <w:spacing w:line="360" w:lineRule="auto"/>
        <w:ind w:firstLine="42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4</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考核奖惩</w:t>
      </w:r>
    </w:p>
    <w:p w14:paraId="03724894">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 设合格、基本合格、不合格三个等级；</w:t>
      </w:r>
    </w:p>
    <w:p w14:paraId="0CF2D9A1">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4.2 季度考核，评分在70分及以上，为考核合格；根据合同院方全额支付该季度服务费；</w:t>
      </w:r>
    </w:p>
    <w:p w14:paraId="0C1A8069">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4.3 季度考核，评分在60分（含60分）至69分区间，为基本合格；院方将给予书面警告，并依据服务整体评价，酌情扣除该季度部分服务费用；</w:t>
      </w:r>
    </w:p>
    <w:p w14:paraId="0191B742">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4.4 季度考核，评分在60分以下，为不合格；院方将依据合同约定，有权单方解除合同。</w:t>
      </w:r>
    </w:p>
    <w:p w14:paraId="113878D5">
      <w:pPr>
        <w:tabs>
          <w:tab w:val="left" w:pos="567"/>
        </w:tabs>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4.5 物业服务期间出现下列情况的，业主方有权单方解除合同，并要求中标方赔偿对应损失的违约金。</w:t>
      </w:r>
    </w:p>
    <w:p w14:paraId="31C95AF2">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4.5.1 服务内容未达到合同及投标文件约定的；</w:t>
      </w:r>
    </w:p>
    <w:p w14:paraId="696D3D64">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4.5.2 服务标准未达到合同及投标文件承诺的；</w:t>
      </w:r>
    </w:p>
    <w:p w14:paraId="74291136">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4.5.3 广大师生对物业服务的满意率低于80%的；</w:t>
      </w:r>
    </w:p>
    <w:p w14:paraId="7B31DF12">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4.5.4 物业服务人员实际到岗率低于95%的；</w:t>
      </w:r>
    </w:p>
    <w:p w14:paraId="3582E848">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4.5.5 物业服务人员持证情况无法满足本项目需求；</w:t>
      </w:r>
    </w:p>
    <w:p w14:paraId="1FDAD39E">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4.5.6 未遵守保密协议，发生泄密事件；</w:t>
      </w:r>
    </w:p>
    <w:p w14:paraId="1C1B8366">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4.5.7因中标方过错，造成采购方巨大损失的；</w:t>
      </w:r>
    </w:p>
    <w:p w14:paraId="3AF62E5E">
      <w:pPr>
        <w:adjustRightInd w:val="0"/>
        <w:snapToGrid w:val="0"/>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4.5.8 发生严重影响、妨碍采购方正常工作秩序的。</w:t>
      </w:r>
    </w:p>
    <w:p w14:paraId="7650355C">
      <w:pPr>
        <w:adjustRightInd w:val="0"/>
        <w:snapToGrid w:val="0"/>
        <w:spacing w:line="360" w:lineRule="auto"/>
        <w:ind w:left="0" w:leftChars="0" w:firstLine="422" w:firstLineChars="200"/>
        <w:jc w:val="left"/>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5、服务期限</w:t>
      </w:r>
    </w:p>
    <w:p w14:paraId="1A90F0DE">
      <w:pPr>
        <w:adjustRightInd w:val="0"/>
        <w:snapToGrid w:val="0"/>
        <w:spacing w:line="360" w:lineRule="auto"/>
        <w:ind w:left="0" w:leftChars="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本项目服务期限自合同签订生效之日起，限期三年，采取一次招标三年沿用，分三个年度分别签订合同的方式实施。</w:t>
      </w:r>
    </w:p>
    <w:p w14:paraId="1FBAE2B1">
      <w:pPr>
        <w:numPr>
          <w:ilvl w:val="0"/>
          <w:numId w:val="0"/>
        </w:numPr>
        <w:adjustRightInd w:val="0"/>
        <w:snapToGrid w:val="0"/>
        <w:spacing w:line="360" w:lineRule="auto"/>
        <w:ind w:leftChars="200"/>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6、付款方式</w:t>
      </w:r>
    </w:p>
    <w:p w14:paraId="17F572EB">
      <w:pPr>
        <w:numPr>
          <w:ilvl w:val="0"/>
          <w:numId w:val="0"/>
        </w:numPr>
        <w:adjustRightInd w:val="0"/>
        <w:snapToGrid w:val="0"/>
        <w:spacing w:line="360" w:lineRule="auto"/>
        <w:ind w:left="0" w:leftChars="0" w:firstLine="367" w:firstLineChars="175"/>
        <w:jc w:val="left"/>
        <w:rPr>
          <w:rFonts w:hint="eastAsia" w:asciiTheme="majorEastAsia" w:hAnsiTheme="majorEastAsia" w:eastAsiaTheme="majorEastAsia" w:cstheme="majorEastAsia"/>
          <w:color w:val="auto"/>
          <w:sz w:val="21"/>
          <w:szCs w:val="21"/>
        </w:rPr>
      </w:pPr>
      <w:bookmarkStart w:id="0" w:name="_GoBack"/>
      <w:r>
        <w:rPr>
          <w:rFonts w:hint="eastAsia" w:asciiTheme="minorEastAsia" w:hAnsiTheme="minorEastAsia" w:eastAsiaTheme="minorEastAsia" w:cstheme="minorEastAsia"/>
          <w:color w:val="auto"/>
          <w:kern w:val="0"/>
          <w:sz w:val="21"/>
          <w:szCs w:val="21"/>
        </w:rPr>
        <w:t>乙方在完成一个季度的物业管理服务工作后，甲方根据合同规定的标准在对乙方上一该季度的服务情况进行考核，考核合格后，支付该季度费用服务费。</w:t>
      </w:r>
      <w:r>
        <w:rPr>
          <w:rFonts w:hint="eastAsia" w:asciiTheme="majorEastAsia" w:hAnsiTheme="majorEastAsia" w:eastAsiaTheme="majorEastAsia" w:cstheme="majorEastAsia"/>
          <w:color w:val="auto"/>
          <w:sz w:val="21"/>
          <w:szCs w:val="21"/>
          <w:lang w:val="en-US" w:eastAsia="zh-CN"/>
        </w:rPr>
        <w:t>当年</w:t>
      </w:r>
      <w:r>
        <w:rPr>
          <w:rFonts w:hint="eastAsia" w:asciiTheme="majorEastAsia" w:hAnsiTheme="majorEastAsia" w:eastAsiaTheme="majorEastAsia" w:cstheme="majorEastAsia"/>
          <w:color w:val="auto"/>
          <w:sz w:val="21"/>
          <w:szCs w:val="21"/>
        </w:rPr>
        <w:t>第四季度的考核分别在11月份和12月份进行。将11月考核结果作为第四季度支付依据。12月份进行单独考核，考核若有处罚扣款，乙方应于考核后的次月将扣款如数返还甲方指定账户，由甲方上缴财政。</w:t>
      </w:r>
    </w:p>
    <w:bookmarkEnd w:id="0"/>
    <w:p w14:paraId="3D829533">
      <w:pPr>
        <w:adjustRightInd w:val="0"/>
        <w:snapToGrid w:val="0"/>
        <w:spacing w:line="360" w:lineRule="auto"/>
        <w:ind w:left="0" w:leftChars="0" w:firstLine="422" w:firstLineChars="200"/>
        <w:jc w:val="lef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7、招标有关事项：</w:t>
      </w:r>
    </w:p>
    <w:p w14:paraId="10CEC931">
      <w:pPr>
        <w:adjustRightInd w:val="0"/>
        <w:snapToGrid w:val="0"/>
        <w:spacing w:line="360" w:lineRule="auto"/>
        <w:ind w:left="0" w:leftChars="0"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招标答疑会：不召开  勘察现场：不组织，投标人自行前往勘察  </w:t>
      </w:r>
    </w:p>
    <w:p w14:paraId="06F4A2CF">
      <w:pPr>
        <w:pStyle w:val="3"/>
        <w:spacing w:line="360" w:lineRule="auto"/>
        <w:jc w:val="center"/>
        <w:rPr>
          <w:sz w:val="32"/>
          <w:szCs w:val="32"/>
          <w:lang w:eastAsia="zh-CN"/>
        </w:rPr>
      </w:pPr>
      <w:r>
        <w:rPr>
          <w:rFonts w:hint="eastAsia"/>
          <w:sz w:val="32"/>
          <w:szCs w:val="32"/>
          <w:lang w:eastAsia="zh-CN"/>
        </w:rPr>
        <w:t>上海交通职业技术学院</w:t>
      </w:r>
      <w:r>
        <w:rPr>
          <w:rFonts w:hint="eastAsia"/>
          <w:sz w:val="32"/>
          <w:szCs w:val="32"/>
          <w:lang w:val="en-US" w:eastAsia="zh-CN"/>
        </w:rPr>
        <w:t>宝山校区</w:t>
      </w:r>
      <w:r>
        <w:rPr>
          <w:rFonts w:hint="eastAsia"/>
          <w:sz w:val="32"/>
          <w:szCs w:val="32"/>
          <w:lang w:eastAsia="zh-CN"/>
        </w:rPr>
        <w:t>物业管理考核表</w:t>
      </w:r>
    </w:p>
    <w:tbl>
      <w:tblPr>
        <w:tblStyle w:val="8"/>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
        <w:gridCol w:w="433"/>
        <w:gridCol w:w="1227"/>
        <w:gridCol w:w="3995"/>
        <w:gridCol w:w="355"/>
        <w:gridCol w:w="1246"/>
        <w:gridCol w:w="881"/>
      </w:tblGrid>
      <w:tr w14:paraId="1109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7" w:type="pct"/>
          </w:tcPr>
          <w:p w14:paraId="6D066792">
            <w:pPr>
              <w:rPr>
                <w:rFonts w:ascii="宋体" w:hAnsi="宋体"/>
                <w:b/>
                <w:sz w:val="18"/>
                <w:szCs w:val="18"/>
              </w:rPr>
            </w:pPr>
          </w:p>
        </w:tc>
        <w:tc>
          <w:tcPr>
            <w:tcW w:w="257" w:type="pct"/>
            <w:vAlign w:val="center"/>
          </w:tcPr>
          <w:p w14:paraId="3AEAAB0A">
            <w:pPr>
              <w:jc w:val="center"/>
              <w:rPr>
                <w:rFonts w:ascii="宋体" w:hAnsi="宋体"/>
                <w:b/>
                <w:bCs/>
                <w:sz w:val="18"/>
                <w:szCs w:val="18"/>
              </w:rPr>
            </w:pPr>
            <w:r>
              <w:rPr>
                <w:rFonts w:hint="eastAsia" w:ascii="宋体" w:hAnsi="宋体"/>
                <w:b/>
                <w:sz w:val="18"/>
                <w:szCs w:val="18"/>
              </w:rPr>
              <w:t>考核项目</w:t>
            </w:r>
          </w:p>
        </w:tc>
        <w:tc>
          <w:tcPr>
            <w:tcW w:w="729" w:type="pct"/>
            <w:vAlign w:val="center"/>
          </w:tcPr>
          <w:p w14:paraId="1C5B3CE6">
            <w:pPr>
              <w:jc w:val="center"/>
              <w:rPr>
                <w:rFonts w:ascii="宋体" w:hAnsi="宋体" w:cs="宋体"/>
                <w:b/>
                <w:bCs/>
                <w:sz w:val="18"/>
                <w:szCs w:val="18"/>
              </w:rPr>
            </w:pPr>
            <w:r>
              <w:rPr>
                <w:rFonts w:ascii="宋体" w:hAnsi="宋体"/>
                <w:b/>
                <w:sz w:val="18"/>
                <w:szCs w:val="18"/>
              </w:rPr>
              <w:t>考核内容</w:t>
            </w:r>
          </w:p>
        </w:tc>
        <w:tc>
          <w:tcPr>
            <w:tcW w:w="2373" w:type="pct"/>
            <w:vAlign w:val="center"/>
          </w:tcPr>
          <w:p w14:paraId="0231C78C">
            <w:pPr>
              <w:jc w:val="center"/>
              <w:rPr>
                <w:rFonts w:ascii="宋体" w:hAnsi="宋体" w:cs="宋体"/>
                <w:b/>
                <w:bCs/>
                <w:sz w:val="18"/>
                <w:szCs w:val="18"/>
              </w:rPr>
            </w:pPr>
            <w:r>
              <w:rPr>
                <w:rFonts w:ascii="宋体" w:hAnsi="宋体"/>
                <w:b/>
                <w:bCs/>
                <w:sz w:val="18"/>
                <w:szCs w:val="18"/>
              </w:rPr>
              <w:t>考 核 标 准</w:t>
            </w:r>
          </w:p>
        </w:tc>
        <w:tc>
          <w:tcPr>
            <w:tcW w:w="211" w:type="pct"/>
            <w:vAlign w:val="center"/>
          </w:tcPr>
          <w:p w14:paraId="0DEA6E83">
            <w:pPr>
              <w:jc w:val="center"/>
              <w:rPr>
                <w:rFonts w:ascii="宋体" w:hAnsi="宋体" w:cs="宋体"/>
                <w:b/>
                <w:bCs/>
                <w:sz w:val="18"/>
                <w:szCs w:val="18"/>
              </w:rPr>
            </w:pPr>
            <w:r>
              <w:rPr>
                <w:rFonts w:ascii="宋体" w:hAnsi="宋体"/>
                <w:b/>
                <w:bCs/>
                <w:sz w:val="18"/>
                <w:szCs w:val="18"/>
              </w:rPr>
              <w:t>分值</w:t>
            </w:r>
          </w:p>
        </w:tc>
        <w:tc>
          <w:tcPr>
            <w:tcW w:w="740" w:type="pct"/>
            <w:vAlign w:val="center"/>
          </w:tcPr>
          <w:p w14:paraId="10062BE2">
            <w:pPr>
              <w:jc w:val="center"/>
              <w:rPr>
                <w:rFonts w:ascii="宋体" w:hAnsi="宋体"/>
                <w:b/>
                <w:bCs/>
                <w:sz w:val="18"/>
                <w:szCs w:val="18"/>
              </w:rPr>
            </w:pPr>
            <w:r>
              <w:rPr>
                <w:rFonts w:ascii="宋体" w:hAnsi="宋体"/>
                <w:b/>
                <w:bCs/>
                <w:sz w:val="18"/>
                <w:szCs w:val="18"/>
              </w:rPr>
              <w:t>扣 分</w:t>
            </w:r>
          </w:p>
          <w:p w14:paraId="68EEB008">
            <w:pPr>
              <w:jc w:val="center"/>
              <w:rPr>
                <w:rFonts w:ascii="宋体" w:hAnsi="宋体" w:cs="宋体"/>
                <w:b/>
                <w:bCs/>
                <w:sz w:val="18"/>
                <w:szCs w:val="18"/>
              </w:rPr>
            </w:pPr>
            <w:r>
              <w:rPr>
                <w:rFonts w:ascii="宋体" w:hAnsi="宋体"/>
                <w:b/>
                <w:bCs/>
                <w:sz w:val="18"/>
                <w:szCs w:val="18"/>
              </w:rPr>
              <w:t>内 容</w:t>
            </w:r>
          </w:p>
        </w:tc>
        <w:tc>
          <w:tcPr>
            <w:tcW w:w="523" w:type="pct"/>
            <w:vAlign w:val="center"/>
          </w:tcPr>
          <w:p w14:paraId="6553CC42">
            <w:pPr>
              <w:widowControl/>
              <w:jc w:val="center"/>
              <w:rPr>
                <w:rFonts w:ascii="宋体" w:hAnsi="宋体"/>
                <w:b/>
                <w:sz w:val="18"/>
                <w:szCs w:val="18"/>
              </w:rPr>
            </w:pPr>
            <w:r>
              <w:rPr>
                <w:rFonts w:hint="eastAsia" w:ascii="宋体" w:hAnsi="宋体"/>
                <w:b/>
                <w:sz w:val="18"/>
                <w:szCs w:val="18"/>
              </w:rPr>
              <w:t>得分</w:t>
            </w:r>
          </w:p>
          <w:p w14:paraId="5FFC838C">
            <w:pPr>
              <w:widowControl/>
              <w:jc w:val="center"/>
              <w:rPr>
                <w:rFonts w:ascii="宋体" w:hAnsi="宋体"/>
                <w:sz w:val="18"/>
                <w:szCs w:val="18"/>
              </w:rPr>
            </w:pPr>
          </w:p>
        </w:tc>
      </w:tr>
      <w:tr w14:paraId="1EDC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Align w:val="center"/>
          </w:tcPr>
          <w:p w14:paraId="70220D2A">
            <w:pPr>
              <w:numPr>
                <w:ilvl w:val="0"/>
                <w:numId w:val="3"/>
              </w:numPr>
              <w:jc w:val="center"/>
              <w:rPr>
                <w:rFonts w:ascii="宋体" w:hAnsi="宋体"/>
                <w:sz w:val="18"/>
                <w:szCs w:val="18"/>
              </w:rPr>
            </w:pPr>
            <w:r>
              <w:rPr>
                <w:rFonts w:hint="eastAsia" w:ascii="宋体" w:hAnsi="宋体"/>
                <w:sz w:val="18"/>
                <w:szCs w:val="18"/>
              </w:rPr>
              <w:t>1</w:t>
            </w:r>
          </w:p>
        </w:tc>
        <w:tc>
          <w:tcPr>
            <w:tcW w:w="257" w:type="pct"/>
            <w:vAlign w:val="center"/>
          </w:tcPr>
          <w:p w14:paraId="6AD28B23">
            <w:pPr>
              <w:jc w:val="center"/>
              <w:rPr>
                <w:rFonts w:ascii="宋体" w:hAnsi="宋体"/>
                <w:b/>
                <w:bCs/>
                <w:sz w:val="18"/>
                <w:szCs w:val="18"/>
              </w:rPr>
            </w:pPr>
            <w:r>
              <w:rPr>
                <w:rFonts w:hint="eastAsia" w:ascii="宋体" w:hAnsi="宋体"/>
                <w:b/>
                <w:bCs/>
                <w:sz w:val="18"/>
                <w:szCs w:val="18"/>
              </w:rPr>
              <w:t>房屋建筑</w:t>
            </w:r>
          </w:p>
          <w:p w14:paraId="3542056A">
            <w:pPr>
              <w:ind w:firstLine="360" w:firstLineChars="200"/>
              <w:jc w:val="center"/>
              <w:rPr>
                <w:rFonts w:ascii="宋体" w:hAnsi="宋体"/>
                <w:bCs/>
                <w:sz w:val="18"/>
                <w:szCs w:val="18"/>
              </w:rPr>
            </w:pPr>
          </w:p>
        </w:tc>
        <w:tc>
          <w:tcPr>
            <w:tcW w:w="729" w:type="pct"/>
          </w:tcPr>
          <w:p w14:paraId="20EEA79B">
            <w:pPr>
              <w:rPr>
                <w:rFonts w:ascii="宋体" w:hAnsi="宋体"/>
                <w:sz w:val="18"/>
                <w:szCs w:val="18"/>
              </w:rPr>
            </w:pPr>
            <w:r>
              <w:rPr>
                <w:rFonts w:hint="eastAsia" w:ascii="宋体" w:hAnsi="宋体"/>
                <w:bCs/>
                <w:sz w:val="18"/>
                <w:szCs w:val="18"/>
              </w:rPr>
              <w:t>全校所有房屋建筑日常维修、养护、管理</w:t>
            </w:r>
          </w:p>
        </w:tc>
        <w:tc>
          <w:tcPr>
            <w:tcW w:w="2373" w:type="pct"/>
          </w:tcPr>
          <w:p w14:paraId="6E4CBF97">
            <w:pPr>
              <w:rPr>
                <w:rFonts w:ascii="宋体" w:hAnsi="宋体"/>
                <w:sz w:val="18"/>
                <w:szCs w:val="18"/>
              </w:rPr>
            </w:pPr>
            <w:r>
              <w:rPr>
                <w:rFonts w:hint="eastAsia" w:ascii="宋体" w:hAnsi="宋体"/>
                <w:sz w:val="18"/>
                <w:szCs w:val="18"/>
              </w:rPr>
              <w:t>确保校区内所有房屋、建筑完好等级和正常使用。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一般不超过</w:t>
            </w:r>
            <w:r>
              <w:rPr>
                <w:rFonts w:ascii="宋体" w:hAnsi="宋体"/>
                <w:sz w:val="18"/>
                <w:szCs w:val="18"/>
              </w:rPr>
              <w:t>24</w:t>
            </w:r>
            <w:r>
              <w:rPr>
                <w:rFonts w:hint="eastAsia" w:ascii="宋体" w:hAnsi="宋体"/>
                <w:sz w:val="18"/>
                <w:szCs w:val="18"/>
              </w:rPr>
              <w:t>小时，合格率应为</w:t>
            </w:r>
            <w:r>
              <w:rPr>
                <w:rFonts w:ascii="宋体" w:hAnsi="宋体"/>
                <w:sz w:val="18"/>
                <w:szCs w:val="18"/>
              </w:rPr>
              <w:t>100%</w:t>
            </w:r>
            <w:r>
              <w:rPr>
                <w:rFonts w:hint="eastAsia" w:ascii="宋体" w:hAnsi="宋体"/>
                <w:sz w:val="18"/>
                <w:szCs w:val="18"/>
              </w:rPr>
              <w:t>；对房屋日常维修、养护记录完整。</w:t>
            </w:r>
          </w:p>
        </w:tc>
        <w:tc>
          <w:tcPr>
            <w:tcW w:w="211" w:type="pct"/>
          </w:tcPr>
          <w:p w14:paraId="3A05D1EA">
            <w:pPr>
              <w:rPr>
                <w:rFonts w:ascii="宋体" w:hAnsi="宋体"/>
                <w:sz w:val="18"/>
                <w:szCs w:val="18"/>
              </w:rPr>
            </w:pPr>
            <w:r>
              <w:rPr>
                <w:rFonts w:hint="eastAsia" w:ascii="宋体" w:hAnsi="宋体"/>
                <w:sz w:val="18"/>
                <w:szCs w:val="18"/>
              </w:rPr>
              <w:t>10</w:t>
            </w:r>
          </w:p>
        </w:tc>
        <w:tc>
          <w:tcPr>
            <w:tcW w:w="740" w:type="pct"/>
          </w:tcPr>
          <w:p w14:paraId="736B2B52">
            <w:pPr>
              <w:rPr>
                <w:rFonts w:ascii="宋体" w:hAnsi="宋体"/>
                <w:sz w:val="18"/>
                <w:szCs w:val="18"/>
              </w:rPr>
            </w:pPr>
            <w:r>
              <w:rPr>
                <w:rFonts w:hint="eastAsia" w:ascii="宋体" w:hAnsi="宋体"/>
                <w:sz w:val="18"/>
                <w:szCs w:val="18"/>
              </w:rPr>
              <w:t>屋顶、外墙饰面、内饰墙面、楼梯间（消防通道）门窗防盗网、绿化围栏、地面及吊顶、管道和污水井、挡雨棚根据物业需求标准完成，未达标准每一单项扣1分</w:t>
            </w:r>
          </w:p>
        </w:tc>
        <w:tc>
          <w:tcPr>
            <w:tcW w:w="523" w:type="pct"/>
          </w:tcPr>
          <w:p w14:paraId="06960C69">
            <w:pPr>
              <w:rPr>
                <w:rFonts w:ascii="宋体" w:hAnsi="宋体"/>
                <w:sz w:val="18"/>
                <w:szCs w:val="18"/>
              </w:rPr>
            </w:pPr>
          </w:p>
        </w:tc>
      </w:tr>
      <w:tr w14:paraId="6B85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Align w:val="center"/>
          </w:tcPr>
          <w:p w14:paraId="5DFDBD52">
            <w:pPr>
              <w:numPr>
                <w:ilvl w:val="0"/>
                <w:numId w:val="3"/>
              </w:numPr>
              <w:jc w:val="center"/>
              <w:rPr>
                <w:rFonts w:ascii="宋体" w:hAnsi="宋体"/>
                <w:sz w:val="18"/>
                <w:szCs w:val="18"/>
              </w:rPr>
            </w:pPr>
            <w:r>
              <w:rPr>
                <w:rFonts w:hint="eastAsia" w:ascii="宋体" w:hAnsi="宋体"/>
                <w:sz w:val="18"/>
                <w:szCs w:val="18"/>
              </w:rPr>
              <w:t>2</w:t>
            </w:r>
          </w:p>
        </w:tc>
        <w:tc>
          <w:tcPr>
            <w:tcW w:w="257" w:type="pct"/>
            <w:vAlign w:val="center"/>
          </w:tcPr>
          <w:p w14:paraId="44925693">
            <w:pPr>
              <w:jc w:val="center"/>
              <w:rPr>
                <w:rFonts w:ascii="宋体" w:hAnsi="宋体"/>
                <w:sz w:val="18"/>
                <w:szCs w:val="18"/>
              </w:rPr>
            </w:pPr>
            <w:r>
              <w:rPr>
                <w:rFonts w:hint="eastAsia" w:ascii="宋体" w:hAnsi="宋体"/>
                <w:b/>
                <w:bCs/>
                <w:sz w:val="18"/>
                <w:szCs w:val="18"/>
              </w:rPr>
              <w:t>公共设备</w:t>
            </w:r>
          </w:p>
        </w:tc>
        <w:tc>
          <w:tcPr>
            <w:tcW w:w="729" w:type="pct"/>
          </w:tcPr>
          <w:p w14:paraId="26A1E843">
            <w:pPr>
              <w:rPr>
                <w:rFonts w:ascii="宋体" w:hAnsi="宋体"/>
                <w:sz w:val="18"/>
                <w:szCs w:val="18"/>
              </w:rPr>
            </w:pPr>
            <w:r>
              <w:rPr>
                <w:rFonts w:hint="eastAsia" w:ascii="宋体" w:hAnsi="宋体"/>
                <w:sz w:val="18"/>
                <w:szCs w:val="18"/>
              </w:rPr>
              <w:t>对校区内所有公共设备进行维护、保养。</w:t>
            </w:r>
          </w:p>
        </w:tc>
        <w:tc>
          <w:tcPr>
            <w:tcW w:w="2373" w:type="pct"/>
          </w:tcPr>
          <w:p w14:paraId="047BD368">
            <w:pPr>
              <w:rPr>
                <w:rFonts w:ascii="宋体" w:hAnsi="宋体"/>
                <w:sz w:val="18"/>
                <w:szCs w:val="18"/>
              </w:rPr>
            </w:pPr>
            <w:r>
              <w:rPr>
                <w:rFonts w:hint="eastAsia" w:ascii="宋体" w:hAnsi="宋体"/>
                <w:sz w:val="18"/>
                <w:szCs w:val="18"/>
              </w:rPr>
              <w:t>确保安保监控，消防监控，红外线报警系统，分体式式空调等，充电桩系统，电梯系统，机电、照明及自动化系统、配电房、水泵房、风机房、锅炉、给排水、覆盖各建筑物区域所有相关附属设施按照需求标准做好保障维护</w:t>
            </w:r>
          </w:p>
        </w:tc>
        <w:tc>
          <w:tcPr>
            <w:tcW w:w="211" w:type="pct"/>
          </w:tcPr>
          <w:p w14:paraId="3A64AB1B">
            <w:pPr>
              <w:rPr>
                <w:rFonts w:ascii="宋体" w:hAnsi="宋体"/>
                <w:sz w:val="18"/>
                <w:szCs w:val="18"/>
              </w:rPr>
            </w:pPr>
            <w:r>
              <w:rPr>
                <w:rFonts w:hint="eastAsia" w:ascii="宋体" w:hAnsi="宋体"/>
                <w:sz w:val="18"/>
                <w:szCs w:val="18"/>
              </w:rPr>
              <w:t>10</w:t>
            </w:r>
          </w:p>
        </w:tc>
        <w:tc>
          <w:tcPr>
            <w:tcW w:w="740" w:type="pct"/>
          </w:tcPr>
          <w:p w14:paraId="11F3FDA8">
            <w:pPr>
              <w:rPr>
                <w:rFonts w:ascii="宋体" w:hAnsi="宋体"/>
                <w:sz w:val="18"/>
                <w:szCs w:val="18"/>
              </w:rPr>
            </w:pPr>
            <w:r>
              <w:rPr>
                <w:rFonts w:hint="eastAsia" w:ascii="宋体" w:hAnsi="宋体"/>
                <w:sz w:val="18"/>
                <w:szCs w:val="18"/>
              </w:rPr>
              <w:t>每一单项未按物业需求达到标准扣1分</w:t>
            </w:r>
          </w:p>
        </w:tc>
        <w:tc>
          <w:tcPr>
            <w:tcW w:w="523" w:type="pct"/>
          </w:tcPr>
          <w:p w14:paraId="039725F6">
            <w:pPr>
              <w:rPr>
                <w:rFonts w:ascii="宋体" w:hAnsi="宋体"/>
                <w:sz w:val="18"/>
                <w:szCs w:val="18"/>
              </w:rPr>
            </w:pPr>
          </w:p>
        </w:tc>
      </w:tr>
      <w:tr w14:paraId="1E54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Align w:val="center"/>
          </w:tcPr>
          <w:p w14:paraId="086604D7">
            <w:pPr>
              <w:numPr>
                <w:ilvl w:val="0"/>
                <w:numId w:val="3"/>
              </w:numPr>
              <w:jc w:val="center"/>
              <w:rPr>
                <w:rFonts w:ascii="宋体" w:hAnsi="宋体"/>
                <w:sz w:val="18"/>
                <w:szCs w:val="18"/>
              </w:rPr>
            </w:pPr>
            <w:r>
              <w:rPr>
                <w:rFonts w:hint="eastAsia" w:ascii="宋体" w:hAnsi="宋体"/>
                <w:sz w:val="18"/>
                <w:szCs w:val="18"/>
              </w:rPr>
              <w:t>3</w:t>
            </w:r>
          </w:p>
        </w:tc>
        <w:tc>
          <w:tcPr>
            <w:tcW w:w="257" w:type="pct"/>
            <w:vAlign w:val="center"/>
          </w:tcPr>
          <w:p w14:paraId="1510DFD5">
            <w:pPr>
              <w:jc w:val="center"/>
              <w:rPr>
                <w:rFonts w:ascii="宋体" w:hAnsi="宋体"/>
                <w:sz w:val="18"/>
                <w:szCs w:val="18"/>
              </w:rPr>
            </w:pPr>
            <w:r>
              <w:rPr>
                <w:rFonts w:hint="eastAsia" w:ascii="宋体" w:hAnsi="宋体"/>
                <w:b/>
                <w:bCs/>
                <w:sz w:val="18"/>
                <w:szCs w:val="18"/>
              </w:rPr>
              <w:t>安保</w:t>
            </w:r>
          </w:p>
        </w:tc>
        <w:tc>
          <w:tcPr>
            <w:tcW w:w="729" w:type="pct"/>
          </w:tcPr>
          <w:p w14:paraId="6582C793">
            <w:pPr>
              <w:rPr>
                <w:rFonts w:ascii="宋体" w:hAnsi="宋体"/>
                <w:sz w:val="18"/>
                <w:szCs w:val="18"/>
              </w:rPr>
            </w:pPr>
            <w:r>
              <w:rPr>
                <w:rFonts w:hint="eastAsia" w:ascii="宋体" w:hAnsi="宋体"/>
                <w:sz w:val="18"/>
                <w:szCs w:val="18"/>
              </w:rPr>
              <w:t>符合《保安服务管理条例》相关要求，并提供安保服务。</w:t>
            </w:r>
          </w:p>
        </w:tc>
        <w:tc>
          <w:tcPr>
            <w:tcW w:w="2373" w:type="pct"/>
          </w:tcPr>
          <w:p w14:paraId="3D901B47">
            <w:pPr>
              <w:pStyle w:val="3"/>
              <w:ind w:firstLine="44"/>
              <w:rPr>
                <w:rFonts w:hAnsi="宋体"/>
                <w:sz w:val="18"/>
                <w:szCs w:val="18"/>
              </w:rPr>
            </w:pPr>
            <w:r>
              <w:rPr>
                <w:rFonts w:hint="eastAsia" w:hAnsi="宋体"/>
                <w:sz w:val="18"/>
                <w:szCs w:val="18"/>
              </w:rPr>
              <w:t>建立办公楼（区域）传达、保安、公共秩序等管理制度并认真落实，确保办公楼（区域）安全和正常的工作环境；严格执行外来访客证件登记制度，杜绝闲杂人员进入办公楼（区域）；环境秩序良好，维护和保证防盗、防火报警、监控设备的正常运行；对办公区域安全状况进行</w:t>
            </w:r>
            <w:r>
              <w:rPr>
                <w:rFonts w:hAnsi="宋体"/>
                <w:sz w:val="18"/>
                <w:szCs w:val="18"/>
              </w:rPr>
              <w:t>24</w:t>
            </w:r>
            <w:r>
              <w:rPr>
                <w:rFonts w:hint="eastAsia" w:hAnsi="宋体"/>
                <w:sz w:val="18"/>
                <w:szCs w:val="18"/>
              </w:rPr>
              <w:t>小时监控，监控记录保持完整；监控中心收到火情、险情及其他异常情况报警信号后应及时报警，并通知相关人员及时赶到现场进行处理；做好安全防范日常巡视工作，及时发现和处理各种安全事故隐患，迅速有效处置突法事件；重点、要害部位每</w:t>
            </w:r>
            <w:r>
              <w:rPr>
                <w:rFonts w:hint="eastAsia" w:hAnsi="宋体"/>
                <w:sz w:val="18"/>
                <w:szCs w:val="18"/>
                <w:lang w:eastAsia="zh-CN"/>
              </w:rPr>
              <w:t>两</w:t>
            </w:r>
            <w:r>
              <w:rPr>
                <w:rFonts w:hint="eastAsia" w:hAnsi="宋体"/>
                <w:sz w:val="18"/>
                <w:szCs w:val="18"/>
              </w:rPr>
              <w:t>小时至少巡逻</w:t>
            </w:r>
            <w:r>
              <w:rPr>
                <w:rFonts w:hAnsi="宋体"/>
                <w:sz w:val="18"/>
                <w:szCs w:val="18"/>
              </w:rPr>
              <w:t>1</w:t>
            </w:r>
            <w:r>
              <w:rPr>
                <w:rFonts w:hint="eastAsia" w:hAnsi="宋体"/>
                <w:sz w:val="18"/>
                <w:szCs w:val="18"/>
              </w:rPr>
              <w:t>次，发现违法违章行为应及时制止。</w:t>
            </w:r>
          </w:p>
          <w:p w14:paraId="6503B344">
            <w:pPr>
              <w:rPr>
                <w:rFonts w:ascii="宋体" w:hAnsi="宋体"/>
                <w:sz w:val="18"/>
                <w:szCs w:val="18"/>
              </w:rPr>
            </w:pPr>
          </w:p>
        </w:tc>
        <w:tc>
          <w:tcPr>
            <w:tcW w:w="211" w:type="pct"/>
          </w:tcPr>
          <w:p w14:paraId="319F3048">
            <w:pPr>
              <w:rPr>
                <w:rFonts w:ascii="宋体" w:hAnsi="宋体"/>
                <w:sz w:val="18"/>
                <w:szCs w:val="18"/>
              </w:rPr>
            </w:pPr>
            <w:r>
              <w:rPr>
                <w:rFonts w:hint="eastAsia" w:ascii="宋体" w:hAnsi="宋体"/>
                <w:sz w:val="18"/>
                <w:szCs w:val="18"/>
              </w:rPr>
              <w:t>10</w:t>
            </w:r>
          </w:p>
        </w:tc>
        <w:tc>
          <w:tcPr>
            <w:tcW w:w="740" w:type="pct"/>
          </w:tcPr>
          <w:p w14:paraId="00F3BE51">
            <w:pPr>
              <w:rPr>
                <w:rFonts w:ascii="宋体" w:hAnsi="宋体"/>
                <w:sz w:val="18"/>
                <w:szCs w:val="18"/>
              </w:rPr>
            </w:pPr>
            <w:r>
              <w:rPr>
                <w:rFonts w:hint="eastAsia" w:ascii="宋体" w:hAnsi="宋体"/>
                <w:sz w:val="18"/>
                <w:szCs w:val="18"/>
              </w:rPr>
              <w:t>每一单项未按物业需求达到标准扣1分</w:t>
            </w:r>
          </w:p>
        </w:tc>
        <w:tc>
          <w:tcPr>
            <w:tcW w:w="523" w:type="pct"/>
          </w:tcPr>
          <w:p w14:paraId="6BE16783">
            <w:pPr>
              <w:rPr>
                <w:rFonts w:ascii="宋体" w:hAnsi="宋体"/>
                <w:sz w:val="18"/>
                <w:szCs w:val="18"/>
              </w:rPr>
            </w:pPr>
          </w:p>
        </w:tc>
      </w:tr>
      <w:tr w14:paraId="455D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Align w:val="center"/>
          </w:tcPr>
          <w:p w14:paraId="647F942A">
            <w:pPr>
              <w:pStyle w:val="3"/>
              <w:rPr>
                <w:rFonts w:hAnsi="宋体"/>
                <w:sz w:val="18"/>
                <w:szCs w:val="18"/>
              </w:rPr>
            </w:pPr>
            <w:r>
              <w:rPr>
                <w:rFonts w:hint="eastAsia" w:hAnsi="宋体"/>
                <w:sz w:val="18"/>
                <w:szCs w:val="18"/>
              </w:rPr>
              <w:t>4</w:t>
            </w:r>
          </w:p>
        </w:tc>
        <w:tc>
          <w:tcPr>
            <w:tcW w:w="257" w:type="pct"/>
            <w:vAlign w:val="center"/>
          </w:tcPr>
          <w:p w14:paraId="27496291">
            <w:pPr>
              <w:pStyle w:val="3"/>
              <w:rPr>
                <w:rFonts w:hAnsi="宋体"/>
                <w:b/>
                <w:bCs/>
                <w:sz w:val="18"/>
                <w:szCs w:val="18"/>
              </w:rPr>
            </w:pPr>
            <w:r>
              <w:rPr>
                <w:rFonts w:hint="eastAsia" w:hAnsi="宋体"/>
                <w:b/>
                <w:bCs/>
                <w:sz w:val="18"/>
                <w:szCs w:val="18"/>
                <w:lang w:eastAsia="zh-CN"/>
              </w:rPr>
              <w:t>车</w:t>
            </w:r>
            <w:r>
              <w:rPr>
                <w:rFonts w:hint="eastAsia" w:hAnsi="宋体"/>
                <w:b/>
                <w:bCs/>
                <w:sz w:val="18"/>
                <w:szCs w:val="18"/>
              </w:rPr>
              <w:t>辆</w:t>
            </w:r>
          </w:p>
          <w:p w14:paraId="7D9AD946">
            <w:pPr>
              <w:jc w:val="center"/>
              <w:rPr>
                <w:rFonts w:ascii="宋体" w:hAnsi="宋体"/>
                <w:sz w:val="18"/>
                <w:szCs w:val="18"/>
              </w:rPr>
            </w:pPr>
          </w:p>
        </w:tc>
        <w:tc>
          <w:tcPr>
            <w:tcW w:w="729" w:type="pct"/>
          </w:tcPr>
          <w:p w14:paraId="3A81D689">
            <w:pPr>
              <w:rPr>
                <w:rFonts w:ascii="宋体" w:hAnsi="宋体"/>
                <w:sz w:val="18"/>
                <w:szCs w:val="18"/>
              </w:rPr>
            </w:pPr>
            <w:r>
              <w:rPr>
                <w:rFonts w:hint="eastAsia" w:ascii="宋体" w:hAnsi="宋体"/>
                <w:sz w:val="18"/>
                <w:szCs w:val="18"/>
              </w:rPr>
              <w:t>外来车辆管理有序。本校车队管理有序</w:t>
            </w:r>
          </w:p>
        </w:tc>
        <w:tc>
          <w:tcPr>
            <w:tcW w:w="2373" w:type="pct"/>
          </w:tcPr>
          <w:p w14:paraId="5764EA7F">
            <w:pPr>
              <w:ind w:left="1"/>
              <w:rPr>
                <w:rFonts w:ascii="宋体" w:hAnsi="宋体"/>
                <w:sz w:val="18"/>
                <w:szCs w:val="18"/>
              </w:rPr>
            </w:pPr>
            <w:r>
              <w:rPr>
                <w:rFonts w:hint="eastAsia" w:ascii="宋体" w:hAnsi="宋体"/>
                <w:sz w:val="18"/>
                <w:szCs w:val="18"/>
              </w:rPr>
              <w:t>按照《学校车辆管理办法》做好外来车辆的有序管理。</w:t>
            </w:r>
          </w:p>
          <w:p w14:paraId="39E23C9D">
            <w:pPr>
              <w:rPr>
                <w:rFonts w:ascii="宋体" w:hAnsi="宋体"/>
                <w:sz w:val="18"/>
                <w:szCs w:val="18"/>
              </w:rPr>
            </w:pPr>
          </w:p>
        </w:tc>
        <w:tc>
          <w:tcPr>
            <w:tcW w:w="211" w:type="pct"/>
          </w:tcPr>
          <w:p w14:paraId="4C45946F">
            <w:pPr>
              <w:rPr>
                <w:rFonts w:ascii="宋体" w:hAnsi="宋体"/>
                <w:sz w:val="18"/>
                <w:szCs w:val="18"/>
              </w:rPr>
            </w:pPr>
            <w:r>
              <w:rPr>
                <w:rFonts w:hint="eastAsia" w:ascii="宋体" w:hAnsi="宋体"/>
                <w:sz w:val="18"/>
                <w:szCs w:val="18"/>
              </w:rPr>
              <w:t>5</w:t>
            </w:r>
          </w:p>
        </w:tc>
        <w:tc>
          <w:tcPr>
            <w:tcW w:w="740" w:type="pct"/>
          </w:tcPr>
          <w:p w14:paraId="10B9B93F">
            <w:pPr>
              <w:rPr>
                <w:rFonts w:ascii="宋体" w:hAnsi="宋体"/>
                <w:sz w:val="18"/>
                <w:szCs w:val="18"/>
              </w:rPr>
            </w:pPr>
            <w:r>
              <w:rPr>
                <w:rFonts w:hint="eastAsia" w:ascii="宋体" w:hAnsi="宋体"/>
                <w:sz w:val="18"/>
                <w:szCs w:val="18"/>
              </w:rPr>
              <w:t>对照物业需求标准，未达标每个单项扣1分</w:t>
            </w:r>
          </w:p>
        </w:tc>
        <w:tc>
          <w:tcPr>
            <w:tcW w:w="523" w:type="pct"/>
          </w:tcPr>
          <w:p w14:paraId="416A4478">
            <w:pPr>
              <w:rPr>
                <w:rFonts w:ascii="宋体" w:hAnsi="宋体"/>
                <w:sz w:val="18"/>
                <w:szCs w:val="18"/>
              </w:rPr>
            </w:pPr>
          </w:p>
          <w:p w14:paraId="3B317662">
            <w:pPr>
              <w:rPr>
                <w:rFonts w:ascii="宋体" w:hAnsi="宋体"/>
                <w:sz w:val="18"/>
                <w:szCs w:val="18"/>
              </w:rPr>
            </w:pPr>
          </w:p>
        </w:tc>
      </w:tr>
      <w:tr w14:paraId="01A9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Align w:val="center"/>
          </w:tcPr>
          <w:p w14:paraId="47FCB4ED">
            <w:pPr>
              <w:jc w:val="center"/>
              <w:rPr>
                <w:rFonts w:ascii="宋体" w:hAnsi="宋体"/>
                <w:sz w:val="18"/>
                <w:szCs w:val="18"/>
              </w:rPr>
            </w:pPr>
            <w:r>
              <w:rPr>
                <w:rFonts w:hint="eastAsia" w:ascii="宋体" w:hAnsi="宋体"/>
                <w:sz w:val="18"/>
                <w:szCs w:val="18"/>
              </w:rPr>
              <w:t>5</w:t>
            </w:r>
          </w:p>
        </w:tc>
        <w:tc>
          <w:tcPr>
            <w:tcW w:w="257" w:type="pct"/>
            <w:vAlign w:val="center"/>
          </w:tcPr>
          <w:p w14:paraId="12E81A9E">
            <w:pPr>
              <w:pStyle w:val="3"/>
              <w:rPr>
                <w:rFonts w:hAnsi="宋体"/>
                <w:b/>
                <w:bCs/>
                <w:kern w:val="0"/>
                <w:sz w:val="18"/>
                <w:szCs w:val="18"/>
              </w:rPr>
            </w:pPr>
            <w:r>
              <w:rPr>
                <w:rFonts w:hint="eastAsia" w:hAnsi="宋体"/>
                <w:b/>
                <w:sz w:val="18"/>
                <w:szCs w:val="18"/>
                <w:lang w:eastAsia="zh-CN"/>
              </w:rPr>
              <w:t>绿</w:t>
            </w:r>
            <w:r>
              <w:rPr>
                <w:rFonts w:hint="eastAsia" w:hAnsi="宋体"/>
                <w:b/>
                <w:sz w:val="18"/>
                <w:szCs w:val="18"/>
              </w:rPr>
              <w:t>化</w:t>
            </w:r>
          </w:p>
        </w:tc>
        <w:tc>
          <w:tcPr>
            <w:tcW w:w="729" w:type="pct"/>
          </w:tcPr>
          <w:p w14:paraId="6D123186">
            <w:pPr>
              <w:pStyle w:val="3"/>
              <w:ind w:hanging="5"/>
              <w:rPr>
                <w:rFonts w:hAnsi="宋体"/>
                <w:b/>
                <w:bCs/>
                <w:sz w:val="18"/>
                <w:szCs w:val="18"/>
              </w:rPr>
            </w:pPr>
            <w:r>
              <w:rPr>
                <w:rFonts w:hint="eastAsia" w:hAnsi="宋体"/>
                <w:kern w:val="0"/>
                <w:sz w:val="18"/>
                <w:szCs w:val="18"/>
              </w:rPr>
              <w:t>公共绿地</w:t>
            </w:r>
            <w:r>
              <w:rPr>
                <w:rFonts w:hint="eastAsia" w:hAnsi="宋体"/>
                <w:kern w:val="0"/>
                <w:sz w:val="18"/>
                <w:szCs w:val="18"/>
                <w:lang w:eastAsia="zh-CN"/>
              </w:rPr>
              <w:t>的绿植花卉</w:t>
            </w:r>
            <w:r>
              <w:rPr>
                <w:rFonts w:hint="eastAsia" w:hAnsi="宋体"/>
                <w:kern w:val="0"/>
                <w:sz w:val="18"/>
                <w:szCs w:val="18"/>
              </w:rPr>
              <w:t>养护和管理</w:t>
            </w:r>
          </w:p>
        </w:tc>
        <w:tc>
          <w:tcPr>
            <w:tcW w:w="2373" w:type="pct"/>
          </w:tcPr>
          <w:p w14:paraId="56D723D2">
            <w:pPr>
              <w:rPr>
                <w:rFonts w:ascii="宋体" w:hAnsi="宋体"/>
                <w:sz w:val="18"/>
                <w:szCs w:val="18"/>
              </w:rPr>
            </w:pPr>
            <w:r>
              <w:rPr>
                <w:rFonts w:hint="eastAsia" w:ascii="宋体" w:hAnsi="宋体"/>
                <w:sz w:val="18"/>
                <w:szCs w:val="18"/>
              </w:rPr>
              <w:t>室外绿化：绿地植物、池塘水养植物、草坪、绿篱、树木、花卉、灌木均按需求标准管理维护</w:t>
            </w:r>
          </w:p>
        </w:tc>
        <w:tc>
          <w:tcPr>
            <w:tcW w:w="211" w:type="pct"/>
          </w:tcPr>
          <w:p w14:paraId="0EDCEFFB">
            <w:pPr>
              <w:rPr>
                <w:rFonts w:ascii="宋体" w:hAnsi="宋体"/>
                <w:sz w:val="18"/>
                <w:szCs w:val="18"/>
              </w:rPr>
            </w:pPr>
            <w:r>
              <w:rPr>
                <w:rFonts w:hint="eastAsia" w:ascii="宋体" w:hAnsi="宋体"/>
                <w:sz w:val="18"/>
                <w:szCs w:val="18"/>
              </w:rPr>
              <w:t>5</w:t>
            </w:r>
          </w:p>
        </w:tc>
        <w:tc>
          <w:tcPr>
            <w:tcW w:w="740" w:type="pct"/>
          </w:tcPr>
          <w:p w14:paraId="166F0581">
            <w:pPr>
              <w:rPr>
                <w:rFonts w:ascii="宋体" w:hAnsi="宋体"/>
                <w:sz w:val="18"/>
                <w:szCs w:val="18"/>
              </w:rPr>
            </w:pPr>
            <w:r>
              <w:rPr>
                <w:rFonts w:hint="eastAsia" w:ascii="宋体" w:hAnsi="宋体"/>
                <w:sz w:val="18"/>
                <w:szCs w:val="18"/>
              </w:rPr>
              <w:t>对照物业需求标准，未达标每个单项扣1分</w:t>
            </w:r>
          </w:p>
        </w:tc>
        <w:tc>
          <w:tcPr>
            <w:tcW w:w="523" w:type="pct"/>
          </w:tcPr>
          <w:p w14:paraId="5688BC8B">
            <w:pPr>
              <w:rPr>
                <w:rFonts w:ascii="宋体" w:hAnsi="宋体"/>
                <w:sz w:val="18"/>
                <w:szCs w:val="18"/>
              </w:rPr>
            </w:pPr>
          </w:p>
        </w:tc>
      </w:tr>
      <w:tr w14:paraId="5571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Align w:val="center"/>
          </w:tcPr>
          <w:p w14:paraId="187E29D8">
            <w:pPr>
              <w:jc w:val="center"/>
              <w:rPr>
                <w:rFonts w:ascii="宋体" w:hAnsi="宋体"/>
                <w:sz w:val="18"/>
                <w:szCs w:val="18"/>
              </w:rPr>
            </w:pPr>
            <w:r>
              <w:rPr>
                <w:rFonts w:hint="eastAsia" w:ascii="宋体" w:hAnsi="宋体"/>
                <w:sz w:val="18"/>
                <w:szCs w:val="18"/>
              </w:rPr>
              <w:t>6</w:t>
            </w:r>
          </w:p>
        </w:tc>
        <w:tc>
          <w:tcPr>
            <w:tcW w:w="257" w:type="pct"/>
            <w:vAlign w:val="center"/>
          </w:tcPr>
          <w:p w14:paraId="363CAF9F">
            <w:pPr>
              <w:jc w:val="center"/>
              <w:rPr>
                <w:rFonts w:ascii="宋体" w:hAnsi="宋体"/>
                <w:b/>
                <w:bCs/>
                <w:sz w:val="18"/>
                <w:szCs w:val="18"/>
              </w:rPr>
            </w:pPr>
            <w:r>
              <w:rPr>
                <w:rFonts w:hint="eastAsia" w:ascii="宋体" w:hAnsi="宋体"/>
                <w:b/>
                <w:bCs/>
                <w:sz w:val="18"/>
                <w:szCs w:val="18"/>
              </w:rPr>
              <w:t>卫生保洁</w:t>
            </w:r>
          </w:p>
          <w:p w14:paraId="3DBE3CB9">
            <w:pPr>
              <w:jc w:val="center"/>
              <w:rPr>
                <w:rFonts w:ascii="宋体" w:hAnsi="宋体"/>
                <w:b/>
                <w:bCs/>
                <w:sz w:val="18"/>
                <w:szCs w:val="18"/>
              </w:rPr>
            </w:pPr>
            <w:r>
              <w:rPr>
                <w:rFonts w:hint="eastAsia" w:ascii="宋体" w:hAnsi="宋体"/>
                <w:b/>
                <w:bCs/>
                <w:sz w:val="18"/>
                <w:szCs w:val="18"/>
              </w:rPr>
              <w:t>污水管理</w:t>
            </w:r>
          </w:p>
          <w:p w14:paraId="594ABAB4">
            <w:pPr>
              <w:jc w:val="center"/>
              <w:rPr>
                <w:rFonts w:ascii="宋体" w:hAnsi="宋体"/>
                <w:sz w:val="18"/>
                <w:szCs w:val="18"/>
              </w:rPr>
            </w:pPr>
            <w:r>
              <w:rPr>
                <w:rFonts w:hint="eastAsia" w:ascii="宋体" w:hAnsi="宋体"/>
                <w:b/>
                <w:bCs/>
                <w:sz w:val="18"/>
                <w:szCs w:val="18"/>
              </w:rPr>
              <w:t>垃圾清运</w:t>
            </w:r>
          </w:p>
        </w:tc>
        <w:tc>
          <w:tcPr>
            <w:tcW w:w="729" w:type="pct"/>
          </w:tcPr>
          <w:p w14:paraId="539D0EF6">
            <w:pPr>
              <w:rPr>
                <w:rFonts w:ascii="宋体" w:hAnsi="宋体"/>
                <w:sz w:val="18"/>
                <w:szCs w:val="18"/>
              </w:rPr>
            </w:pPr>
            <w:r>
              <w:rPr>
                <w:rFonts w:hint="eastAsia" w:ascii="宋体" w:hAnsi="宋体"/>
                <w:sz w:val="18"/>
                <w:szCs w:val="18"/>
              </w:rPr>
              <w:t>对全校室内外环境卫生、保洁管理、垃圾处理、消毒灭害等管理维护</w:t>
            </w:r>
          </w:p>
        </w:tc>
        <w:tc>
          <w:tcPr>
            <w:tcW w:w="2373" w:type="pct"/>
          </w:tcPr>
          <w:p w14:paraId="06134F8F">
            <w:pPr>
              <w:rPr>
                <w:rFonts w:ascii="宋体" w:hAnsi="宋体"/>
                <w:sz w:val="18"/>
                <w:szCs w:val="18"/>
              </w:rPr>
            </w:pPr>
            <w:r>
              <w:rPr>
                <w:rFonts w:hint="eastAsia" w:ascii="宋体" w:hAnsi="宋体"/>
                <w:sz w:val="18"/>
                <w:szCs w:val="18"/>
              </w:rPr>
              <w:t>建立责任区环境管理制度并认真落实，环卫设施齐备，实行标准化清扫保洁，由专人负责检查监督，清洁率</w:t>
            </w:r>
            <w:r>
              <w:rPr>
                <w:rFonts w:ascii="宋体" w:hAnsi="宋体"/>
                <w:sz w:val="18"/>
                <w:szCs w:val="18"/>
              </w:rPr>
              <w:t>100%</w:t>
            </w:r>
            <w:r>
              <w:rPr>
                <w:rFonts w:hint="eastAsia" w:ascii="宋体" w:hAnsi="宋体"/>
                <w:sz w:val="18"/>
                <w:szCs w:val="18"/>
              </w:rPr>
              <w:t>。</w:t>
            </w:r>
          </w:p>
          <w:p w14:paraId="4D56BF90">
            <w:pPr>
              <w:rPr>
                <w:rFonts w:ascii="宋体" w:hAnsi="宋体"/>
                <w:sz w:val="18"/>
                <w:szCs w:val="18"/>
              </w:rPr>
            </w:pPr>
            <w:r>
              <w:rPr>
                <w:rFonts w:hint="eastAsia" w:ascii="宋体" w:hAnsi="宋体"/>
                <w:sz w:val="18"/>
                <w:szCs w:val="18"/>
              </w:rPr>
              <w:t>区域内生活污水经污水管道集中排放处理。油池污物的定期清理。对污水管内污物隔离栏的定期清理。</w:t>
            </w:r>
          </w:p>
        </w:tc>
        <w:tc>
          <w:tcPr>
            <w:tcW w:w="211" w:type="pct"/>
          </w:tcPr>
          <w:p w14:paraId="6E350586">
            <w:pPr>
              <w:rPr>
                <w:rFonts w:ascii="宋体" w:hAnsi="宋体"/>
                <w:sz w:val="18"/>
                <w:szCs w:val="18"/>
              </w:rPr>
            </w:pPr>
            <w:r>
              <w:rPr>
                <w:rFonts w:hint="eastAsia" w:ascii="宋体" w:hAnsi="宋体"/>
                <w:sz w:val="18"/>
                <w:szCs w:val="18"/>
              </w:rPr>
              <w:t>15</w:t>
            </w:r>
          </w:p>
        </w:tc>
        <w:tc>
          <w:tcPr>
            <w:tcW w:w="740" w:type="pct"/>
          </w:tcPr>
          <w:p w14:paraId="6A743FD6">
            <w:pPr>
              <w:rPr>
                <w:rFonts w:ascii="宋体" w:hAnsi="宋体"/>
                <w:sz w:val="18"/>
                <w:szCs w:val="18"/>
              </w:rPr>
            </w:pPr>
            <w:r>
              <w:rPr>
                <w:rFonts w:hint="eastAsia" w:ascii="宋体" w:hAnsi="宋体"/>
                <w:sz w:val="18"/>
                <w:szCs w:val="18"/>
              </w:rPr>
              <w:t>对照物业需求标准，未达标每个单项扣1分</w:t>
            </w:r>
          </w:p>
        </w:tc>
        <w:tc>
          <w:tcPr>
            <w:tcW w:w="523" w:type="pct"/>
          </w:tcPr>
          <w:p w14:paraId="6EE76B68">
            <w:pPr>
              <w:rPr>
                <w:rFonts w:ascii="宋体" w:hAnsi="宋体"/>
                <w:sz w:val="18"/>
                <w:szCs w:val="18"/>
              </w:rPr>
            </w:pPr>
          </w:p>
        </w:tc>
      </w:tr>
      <w:tr w14:paraId="5D8F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67" w:type="pct"/>
            <w:vAlign w:val="center"/>
          </w:tcPr>
          <w:p w14:paraId="2B8E83CD">
            <w:pPr>
              <w:jc w:val="center"/>
              <w:rPr>
                <w:rFonts w:ascii="宋体" w:hAnsi="宋体"/>
                <w:sz w:val="18"/>
                <w:szCs w:val="18"/>
              </w:rPr>
            </w:pPr>
            <w:r>
              <w:rPr>
                <w:rFonts w:hint="eastAsia" w:ascii="宋体" w:hAnsi="宋体"/>
                <w:sz w:val="18"/>
                <w:szCs w:val="18"/>
              </w:rPr>
              <w:t>7</w:t>
            </w:r>
          </w:p>
        </w:tc>
        <w:tc>
          <w:tcPr>
            <w:tcW w:w="257" w:type="pct"/>
            <w:vAlign w:val="center"/>
          </w:tcPr>
          <w:p w14:paraId="5BAFF461">
            <w:pPr>
              <w:jc w:val="center"/>
              <w:rPr>
                <w:rFonts w:ascii="宋体" w:hAnsi="宋体"/>
                <w:b/>
                <w:sz w:val="18"/>
                <w:szCs w:val="18"/>
              </w:rPr>
            </w:pPr>
            <w:r>
              <w:rPr>
                <w:rFonts w:hint="eastAsia" w:ascii="宋体" w:hAnsi="宋体"/>
                <w:b/>
                <w:sz w:val="18"/>
                <w:szCs w:val="18"/>
              </w:rPr>
              <w:t>会务</w:t>
            </w:r>
          </w:p>
        </w:tc>
        <w:tc>
          <w:tcPr>
            <w:tcW w:w="729" w:type="pct"/>
          </w:tcPr>
          <w:p w14:paraId="55EC6623">
            <w:pPr>
              <w:rPr>
                <w:rFonts w:ascii="宋体" w:hAnsi="宋体"/>
                <w:sz w:val="18"/>
                <w:szCs w:val="18"/>
              </w:rPr>
            </w:pPr>
            <w:r>
              <w:rPr>
                <w:rFonts w:hint="eastAsia" w:ascii="宋体" w:hAnsi="宋体"/>
                <w:sz w:val="18"/>
                <w:szCs w:val="18"/>
              </w:rPr>
              <w:t>各类会务管理保障</w:t>
            </w:r>
          </w:p>
        </w:tc>
        <w:tc>
          <w:tcPr>
            <w:tcW w:w="2373" w:type="pct"/>
          </w:tcPr>
          <w:p w14:paraId="73975BEF">
            <w:pPr>
              <w:rPr>
                <w:rFonts w:ascii="宋体" w:hAnsi="宋体"/>
                <w:sz w:val="18"/>
                <w:szCs w:val="18"/>
              </w:rPr>
            </w:pPr>
            <w:r>
              <w:rPr>
                <w:rFonts w:hint="eastAsia" w:ascii="宋体" w:hAnsi="宋体"/>
                <w:sz w:val="18"/>
                <w:szCs w:val="18"/>
              </w:rPr>
              <w:t>按会务管理需求标准提供会务服务保障</w:t>
            </w:r>
          </w:p>
        </w:tc>
        <w:tc>
          <w:tcPr>
            <w:tcW w:w="211" w:type="pct"/>
          </w:tcPr>
          <w:p w14:paraId="6D7CFD13">
            <w:pPr>
              <w:rPr>
                <w:rFonts w:ascii="宋体" w:hAnsi="宋体"/>
                <w:sz w:val="18"/>
                <w:szCs w:val="18"/>
              </w:rPr>
            </w:pPr>
            <w:r>
              <w:rPr>
                <w:rFonts w:hint="eastAsia" w:ascii="宋体" w:hAnsi="宋体"/>
                <w:sz w:val="18"/>
                <w:szCs w:val="18"/>
              </w:rPr>
              <w:t>5</w:t>
            </w:r>
          </w:p>
        </w:tc>
        <w:tc>
          <w:tcPr>
            <w:tcW w:w="740" w:type="pct"/>
          </w:tcPr>
          <w:p w14:paraId="1AF58337">
            <w:pPr>
              <w:rPr>
                <w:rFonts w:ascii="宋体" w:hAnsi="宋体"/>
                <w:sz w:val="18"/>
                <w:szCs w:val="18"/>
              </w:rPr>
            </w:pPr>
            <w:r>
              <w:rPr>
                <w:rFonts w:hint="eastAsia" w:ascii="宋体" w:hAnsi="宋体"/>
                <w:sz w:val="18"/>
                <w:szCs w:val="18"/>
              </w:rPr>
              <w:t>对照物业需求标准，未达标每个单项扣1分</w:t>
            </w:r>
          </w:p>
        </w:tc>
        <w:tc>
          <w:tcPr>
            <w:tcW w:w="523" w:type="pct"/>
          </w:tcPr>
          <w:p w14:paraId="26EE19E7">
            <w:pPr>
              <w:rPr>
                <w:rFonts w:ascii="宋体" w:hAnsi="宋体"/>
                <w:sz w:val="18"/>
                <w:szCs w:val="18"/>
              </w:rPr>
            </w:pPr>
          </w:p>
        </w:tc>
      </w:tr>
      <w:tr w14:paraId="4CC6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 w:type="pct"/>
            <w:vAlign w:val="center"/>
          </w:tcPr>
          <w:p w14:paraId="16976B34">
            <w:pPr>
              <w:jc w:val="center"/>
              <w:rPr>
                <w:rFonts w:ascii="宋体" w:hAnsi="宋体"/>
                <w:sz w:val="18"/>
                <w:szCs w:val="18"/>
              </w:rPr>
            </w:pPr>
            <w:r>
              <w:rPr>
                <w:rFonts w:hint="eastAsia" w:ascii="宋体" w:hAnsi="宋体"/>
                <w:sz w:val="18"/>
                <w:szCs w:val="18"/>
              </w:rPr>
              <w:t>8</w:t>
            </w:r>
          </w:p>
        </w:tc>
        <w:tc>
          <w:tcPr>
            <w:tcW w:w="257" w:type="pct"/>
            <w:vAlign w:val="center"/>
          </w:tcPr>
          <w:p w14:paraId="3924EE1E">
            <w:pPr>
              <w:jc w:val="center"/>
              <w:rPr>
                <w:rFonts w:ascii="宋体" w:hAnsi="宋体"/>
                <w:b/>
                <w:sz w:val="18"/>
                <w:szCs w:val="18"/>
              </w:rPr>
            </w:pPr>
            <w:r>
              <w:rPr>
                <w:rFonts w:hint="eastAsia" w:ascii="宋体" w:hAnsi="宋体"/>
                <w:b/>
                <w:sz w:val="18"/>
                <w:szCs w:val="18"/>
              </w:rPr>
              <w:t xml:space="preserve">学生公寓 </w:t>
            </w:r>
          </w:p>
        </w:tc>
        <w:tc>
          <w:tcPr>
            <w:tcW w:w="729" w:type="pct"/>
          </w:tcPr>
          <w:p w14:paraId="4CBA2176">
            <w:pPr>
              <w:rPr>
                <w:rFonts w:ascii="宋体" w:hAnsi="宋体"/>
                <w:sz w:val="18"/>
                <w:szCs w:val="18"/>
              </w:rPr>
            </w:pPr>
            <w:r>
              <w:rPr>
                <w:rFonts w:hint="eastAsia" w:ascii="宋体" w:hAnsi="宋体"/>
                <w:sz w:val="18"/>
                <w:szCs w:val="18"/>
              </w:rPr>
              <w:t>客房服务保障和其他服务。</w:t>
            </w:r>
          </w:p>
        </w:tc>
        <w:tc>
          <w:tcPr>
            <w:tcW w:w="2373" w:type="pct"/>
          </w:tcPr>
          <w:p w14:paraId="2D948622">
            <w:pPr>
              <w:rPr>
                <w:rFonts w:ascii="宋体" w:hAnsi="宋体"/>
                <w:sz w:val="18"/>
                <w:szCs w:val="18"/>
              </w:rPr>
            </w:pPr>
            <w:r>
              <w:rPr>
                <w:rFonts w:hint="eastAsia" w:ascii="宋体" w:hAnsi="宋体"/>
                <w:sz w:val="18"/>
                <w:szCs w:val="18"/>
              </w:rPr>
              <w:t>以“6T”标准实施管理，建立学员宿舍楼管理和各项服务制度并认真落实。</w:t>
            </w:r>
          </w:p>
        </w:tc>
        <w:tc>
          <w:tcPr>
            <w:tcW w:w="211" w:type="pct"/>
          </w:tcPr>
          <w:p w14:paraId="44A6E5BE">
            <w:pPr>
              <w:rPr>
                <w:rFonts w:ascii="宋体" w:hAnsi="宋体"/>
                <w:sz w:val="18"/>
                <w:szCs w:val="18"/>
              </w:rPr>
            </w:pPr>
            <w:r>
              <w:rPr>
                <w:rFonts w:hint="eastAsia" w:ascii="宋体" w:hAnsi="宋体"/>
                <w:sz w:val="18"/>
                <w:szCs w:val="18"/>
              </w:rPr>
              <w:t>15</w:t>
            </w:r>
          </w:p>
        </w:tc>
        <w:tc>
          <w:tcPr>
            <w:tcW w:w="740" w:type="pct"/>
          </w:tcPr>
          <w:p w14:paraId="79E14B59">
            <w:pPr>
              <w:rPr>
                <w:rFonts w:ascii="宋体" w:hAnsi="宋体"/>
                <w:sz w:val="18"/>
                <w:szCs w:val="18"/>
              </w:rPr>
            </w:pPr>
            <w:r>
              <w:rPr>
                <w:rFonts w:hint="eastAsia" w:ascii="宋体" w:hAnsi="宋体"/>
                <w:sz w:val="18"/>
                <w:szCs w:val="18"/>
              </w:rPr>
              <w:t>对照物业需求标准，未达标每个单项扣1分</w:t>
            </w:r>
          </w:p>
        </w:tc>
        <w:tc>
          <w:tcPr>
            <w:tcW w:w="523" w:type="pct"/>
          </w:tcPr>
          <w:p w14:paraId="0AD719E5">
            <w:pPr>
              <w:rPr>
                <w:rFonts w:ascii="宋体" w:hAnsi="宋体"/>
                <w:sz w:val="18"/>
                <w:szCs w:val="18"/>
              </w:rPr>
            </w:pPr>
          </w:p>
        </w:tc>
      </w:tr>
      <w:tr w14:paraId="6F8F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67" w:type="pct"/>
            <w:vAlign w:val="center"/>
          </w:tcPr>
          <w:p w14:paraId="10CE8B05">
            <w:pPr>
              <w:jc w:val="center"/>
              <w:rPr>
                <w:rFonts w:ascii="宋体" w:hAnsi="宋体"/>
                <w:sz w:val="18"/>
                <w:szCs w:val="18"/>
              </w:rPr>
            </w:pPr>
            <w:r>
              <w:rPr>
                <w:rFonts w:hint="eastAsia" w:ascii="宋体" w:hAnsi="宋体"/>
                <w:sz w:val="18"/>
                <w:szCs w:val="18"/>
              </w:rPr>
              <w:t>9</w:t>
            </w:r>
          </w:p>
        </w:tc>
        <w:tc>
          <w:tcPr>
            <w:tcW w:w="257" w:type="pct"/>
            <w:vAlign w:val="center"/>
          </w:tcPr>
          <w:p w14:paraId="40AA98E9">
            <w:pPr>
              <w:jc w:val="center"/>
              <w:rPr>
                <w:rFonts w:ascii="宋体" w:hAnsi="宋体"/>
                <w:b/>
                <w:sz w:val="18"/>
                <w:szCs w:val="18"/>
              </w:rPr>
            </w:pPr>
            <w:r>
              <w:rPr>
                <w:rFonts w:hint="eastAsia" w:ascii="宋体" w:hAnsi="宋体"/>
                <w:b/>
                <w:sz w:val="18"/>
                <w:szCs w:val="18"/>
              </w:rPr>
              <w:t>公共关系管理</w:t>
            </w:r>
          </w:p>
        </w:tc>
        <w:tc>
          <w:tcPr>
            <w:tcW w:w="729" w:type="pct"/>
          </w:tcPr>
          <w:p w14:paraId="2D667E08">
            <w:pPr>
              <w:rPr>
                <w:rFonts w:ascii="宋体" w:hAnsi="宋体"/>
                <w:sz w:val="18"/>
                <w:szCs w:val="18"/>
              </w:rPr>
            </w:pPr>
            <w:r>
              <w:rPr>
                <w:rFonts w:hint="eastAsia" w:ascii="宋体" w:hAnsi="宋体"/>
                <w:sz w:val="18"/>
                <w:szCs w:val="18"/>
              </w:rPr>
              <w:t xml:space="preserve">根据物业委托工作范围对外要建立良好的工作联系，满足业主方工作需求 </w:t>
            </w:r>
          </w:p>
        </w:tc>
        <w:tc>
          <w:tcPr>
            <w:tcW w:w="2373" w:type="pct"/>
          </w:tcPr>
          <w:p w14:paraId="5E942CF2">
            <w:pPr>
              <w:rPr>
                <w:rFonts w:ascii="宋体" w:hAnsi="宋体"/>
                <w:sz w:val="18"/>
                <w:szCs w:val="18"/>
              </w:rPr>
            </w:pPr>
            <w:r>
              <w:rPr>
                <w:rFonts w:hint="eastAsia" w:ascii="宋体" w:hAnsi="宋体"/>
                <w:sz w:val="18"/>
                <w:szCs w:val="18"/>
              </w:rPr>
              <w:t>主动联系与学校有关的水、电、气的供应、管理部门和环卫、公安、电信等部门，建立良好关系和应急协调机制。</w:t>
            </w:r>
          </w:p>
          <w:p w14:paraId="53EE7C2A">
            <w:pPr>
              <w:rPr>
                <w:rFonts w:ascii="宋体" w:hAnsi="宋体"/>
                <w:sz w:val="18"/>
                <w:szCs w:val="18"/>
              </w:rPr>
            </w:pPr>
            <w:r>
              <w:rPr>
                <w:rFonts w:ascii="宋体" w:hAnsi="宋体"/>
                <w:sz w:val="18"/>
                <w:szCs w:val="18"/>
              </w:rPr>
              <w:t xml:space="preserve"> </w:t>
            </w:r>
            <w:r>
              <w:rPr>
                <w:rFonts w:hint="eastAsia" w:ascii="宋体" w:hAnsi="宋体"/>
                <w:sz w:val="18"/>
                <w:szCs w:val="18"/>
              </w:rPr>
              <w:t>主动联系公共设备制造供应商、维修保养商，了解设备使用、维护情况，为确保设备的正常使用创造条件。涉及到学校要求的其它工程、商业联系也要做到周到及时。</w:t>
            </w:r>
          </w:p>
        </w:tc>
        <w:tc>
          <w:tcPr>
            <w:tcW w:w="211" w:type="pct"/>
          </w:tcPr>
          <w:p w14:paraId="2298BFB0">
            <w:pPr>
              <w:rPr>
                <w:rFonts w:ascii="宋体" w:hAnsi="宋体"/>
                <w:sz w:val="18"/>
                <w:szCs w:val="18"/>
              </w:rPr>
            </w:pPr>
            <w:r>
              <w:rPr>
                <w:rFonts w:hint="eastAsia" w:ascii="宋体" w:hAnsi="宋体"/>
                <w:sz w:val="18"/>
                <w:szCs w:val="18"/>
              </w:rPr>
              <w:t>5</w:t>
            </w:r>
          </w:p>
        </w:tc>
        <w:tc>
          <w:tcPr>
            <w:tcW w:w="740" w:type="pct"/>
          </w:tcPr>
          <w:p w14:paraId="2E150FDF">
            <w:pPr>
              <w:rPr>
                <w:rFonts w:ascii="宋体" w:hAnsi="宋体"/>
                <w:sz w:val="18"/>
                <w:szCs w:val="18"/>
              </w:rPr>
            </w:pPr>
            <w:r>
              <w:rPr>
                <w:rFonts w:hint="eastAsia" w:ascii="宋体" w:hAnsi="宋体"/>
                <w:sz w:val="18"/>
                <w:szCs w:val="18"/>
              </w:rPr>
              <w:t>对照物业需求标准，未达标每个单项扣1分</w:t>
            </w:r>
          </w:p>
        </w:tc>
        <w:tc>
          <w:tcPr>
            <w:tcW w:w="523" w:type="pct"/>
          </w:tcPr>
          <w:p w14:paraId="456F12AF">
            <w:pPr>
              <w:rPr>
                <w:rFonts w:ascii="宋体" w:hAnsi="宋体"/>
                <w:sz w:val="18"/>
                <w:szCs w:val="18"/>
              </w:rPr>
            </w:pPr>
          </w:p>
        </w:tc>
      </w:tr>
      <w:tr w14:paraId="08D1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Align w:val="center"/>
          </w:tcPr>
          <w:p w14:paraId="429D5FD6">
            <w:pPr>
              <w:jc w:val="center"/>
              <w:rPr>
                <w:rFonts w:ascii="宋体" w:hAnsi="宋体"/>
                <w:sz w:val="18"/>
                <w:szCs w:val="18"/>
              </w:rPr>
            </w:pPr>
            <w:r>
              <w:rPr>
                <w:rFonts w:hint="eastAsia" w:ascii="宋体" w:hAnsi="宋体"/>
                <w:sz w:val="18"/>
                <w:szCs w:val="18"/>
              </w:rPr>
              <w:t>10</w:t>
            </w:r>
          </w:p>
        </w:tc>
        <w:tc>
          <w:tcPr>
            <w:tcW w:w="257" w:type="pct"/>
            <w:vAlign w:val="center"/>
          </w:tcPr>
          <w:p w14:paraId="1C6184E3">
            <w:pPr>
              <w:jc w:val="center"/>
              <w:rPr>
                <w:rFonts w:ascii="宋体" w:hAnsi="宋体"/>
                <w:b/>
                <w:sz w:val="18"/>
                <w:szCs w:val="18"/>
              </w:rPr>
            </w:pPr>
            <w:r>
              <w:rPr>
                <w:rFonts w:hint="eastAsia" w:ascii="宋体" w:hAnsi="宋体"/>
                <w:b/>
                <w:sz w:val="18"/>
                <w:szCs w:val="18"/>
              </w:rPr>
              <w:t>收发服务</w:t>
            </w:r>
          </w:p>
        </w:tc>
        <w:tc>
          <w:tcPr>
            <w:tcW w:w="729" w:type="pct"/>
          </w:tcPr>
          <w:p w14:paraId="3A76811D">
            <w:pPr>
              <w:rPr>
                <w:rFonts w:ascii="宋体" w:hAnsi="宋体"/>
                <w:sz w:val="18"/>
                <w:szCs w:val="18"/>
              </w:rPr>
            </w:pPr>
            <w:r>
              <w:rPr>
                <w:rFonts w:hint="eastAsia" w:ascii="宋体" w:hAnsi="宋体"/>
                <w:sz w:val="18"/>
                <w:szCs w:val="18"/>
              </w:rPr>
              <w:t>收发报刊杂志，快递等</w:t>
            </w:r>
          </w:p>
        </w:tc>
        <w:tc>
          <w:tcPr>
            <w:tcW w:w="2373" w:type="pct"/>
          </w:tcPr>
          <w:p w14:paraId="18EB4F7C">
            <w:pPr>
              <w:rPr>
                <w:rFonts w:ascii="宋体" w:hAnsi="宋体"/>
                <w:sz w:val="18"/>
                <w:szCs w:val="18"/>
              </w:rPr>
            </w:pPr>
            <w:r>
              <w:rPr>
                <w:rFonts w:hint="eastAsia" w:ascii="宋体" w:hAnsi="宋体"/>
                <w:sz w:val="18"/>
                <w:szCs w:val="18"/>
              </w:rPr>
              <w:t>报刊、杂志、信件的派发及快递服务及时、准确、有记录；</w:t>
            </w:r>
          </w:p>
        </w:tc>
        <w:tc>
          <w:tcPr>
            <w:tcW w:w="211" w:type="pct"/>
          </w:tcPr>
          <w:p w14:paraId="6707F6A5">
            <w:pPr>
              <w:rPr>
                <w:rFonts w:ascii="宋体" w:hAnsi="宋体"/>
                <w:sz w:val="18"/>
                <w:szCs w:val="18"/>
              </w:rPr>
            </w:pPr>
            <w:r>
              <w:rPr>
                <w:rFonts w:hint="eastAsia" w:ascii="宋体" w:hAnsi="宋体"/>
                <w:sz w:val="18"/>
                <w:szCs w:val="18"/>
              </w:rPr>
              <w:t>5</w:t>
            </w:r>
          </w:p>
        </w:tc>
        <w:tc>
          <w:tcPr>
            <w:tcW w:w="740" w:type="pct"/>
          </w:tcPr>
          <w:p w14:paraId="03CFD081">
            <w:pPr>
              <w:rPr>
                <w:rFonts w:ascii="宋体" w:hAnsi="宋体"/>
                <w:sz w:val="18"/>
                <w:szCs w:val="18"/>
              </w:rPr>
            </w:pPr>
            <w:r>
              <w:rPr>
                <w:rFonts w:hint="eastAsia" w:ascii="宋体" w:hAnsi="宋体"/>
                <w:sz w:val="18"/>
                <w:szCs w:val="18"/>
              </w:rPr>
              <w:t>对照物业需求标准，未达标每个单项扣1分</w:t>
            </w:r>
          </w:p>
        </w:tc>
        <w:tc>
          <w:tcPr>
            <w:tcW w:w="523" w:type="pct"/>
          </w:tcPr>
          <w:p w14:paraId="70D75A93">
            <w:pPr>
              <w:rPr>
                <w:rFonts w:ascii="宋体" w:hAnsi="宋体"/>
                <w:sz w:val="18"/>
                <w:szCs w:val="18"/>
              </w:rPr>
            </w:pPr>
          </w:p>
        </w:tc>
      </w:tr>
      <w:tr w14:paraId="5686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Align w:val="center"/>
          </w:tcPr>
          <w:p w14:paraId="099E533C">
            <w:pPr>
              <w:jc w:val="center"/>
              <w:rPr>
                <w:rFonts w:ascii="宋体" w:hAnsi="宋体"/>
                <w:sz w:val="18"/>
                <w:szCs w:val="18"/>
              </w:rPr>
            </w:pPr>
            <w:r>
              <w:rPr>
                <w:rFonts w:hint="eastAsia" w:ascii="宋体" w:hAnsi="宋体"/>
                <w:sz w:val="18"/>
                <w:szCs w:val="18"/>
              </w:rPr>
              <w:t>11</w:t>
            </w:r>
          </w:p>
        </w:tc>
        <w:tc>
          <w:tcPr>
            <w:tcW w:w="257" w:type="pct"/>
            <w:vAlign w:val="center"/>
          </w:tcPr>
          <w:p w14:paraId="067722FC">
            <w:pPr>
              <w:jc w:val="center"/>
              <w:rPr>
                <w:rFonts w:ascii="宋体" w:hAnsi="宋体"/>
                <w:b/>
                <w:sz w:val="18"/>
                <w:szCs w:val="18"/>
              </w:rPr>
            </w:pPr>
            <w:r>
              <w:rPr>
                <w:rFonts w:hint="eastAsia" w:ascii="宋体" w:hAnsi="宋体"/>
                <w:b/>
                <w:sz w:val="18"/>
                <w:szCs w:val="18"/>
              </w:rPr>
              <w:t>节能</w:t>
            </w:r>
          </w:p>
        </w:tc>
        <w:tc>
          <w:tcPr>
            <w:tcW w:w="729" w:type="pct"/>
          </w:tcPr>
          <w:p w14:paraId="138DE5E2">
            <w:pPr>
              <w:rPr>
                <w:rFonts w:ascii="宋体" w:hAnsi="宋体"/>
                <w:sz w:val="18"/>
                <w:szCs w:val="18"/>
              </w:rPr>
            </w:pPr>
            <w:r>
              <w:rPr>
                <w:rFonts w:hint="eastAsia" w:ascii="宋体" w:hAnsi="宋体"/>
                <w:sz w:val="18"/>
                <w:szCs w:val="18"/>
              </w:rPr>
              <w:t>节能环保，降低能耗</w:t>
            </w:r>
          </w:p>
        </w:tc>
        <w:tc>
          <w:tcPr>
            <w:tcW w:w="2373" w:type="pct"/>
          </w:tcPr>
          <w:p w14:paraId="351B0000">
            <w:pPr>
              <w:rPr>
                <w:rFonts w:ascii="宋体" w:hAnsi="宋体"/>
                <w:sz w:val="18"/>
                <w:szCs w:val="18"/>
              </w:rPr>
            </w:pPr>
            <w:r>
              <w:rPr>
                <w:rFonts w:hint="eastAsia" w:ascii="宋体" w:hAnsi="宋体"/>
                <w:sz w:val="18"/>
                <w:szCs w:val="18"/>
              </w:rPr>
              <w:t>加强检查，完善制度，有效合理管理使用水、电、等能源，降低能耗，杜绝浪费。</w:t>
            </w:r>
          </w:p>
        </w:tc>
        <w:tc>
          <w:tcPr>
            <w:tcW w:w="211" w:type="pct"/>
          </w:tcPr>
          <w:p w14:paraId="0F7C13F8">
            <w:pPr>
              <w:rPr>
                <w:rFonts w:ascii="宋体" w:hAnsi="宋体"/>
                <w:sz w:val="18"/>
                <w:szCs w:val="18"/>
              </w:rPr>
            </w:pPr>
            <w:r>
              <w:rPr>
                <w:rFonts w:hint="eastAsia" w:ascii="宋体" w:hAnsi="宋体"/>
                <w:sz w:val="18"/>
                <w:szCs w:val="18"/>
              </w:rPr>
              <w:t>10</w:t>
            </w:r>
          </w:p>
        </w:tc>
        <w:tc>
          <w:tcPr>
            <w:tcW w:w="740" w:type="pct"/>
          </w:tcPr>
          <w:p w14:paraId="4EB157AA">
            <w:pPr>
              <w:rPr>
                <w:rFonts w:ascii="宋体" w:hAnsi="宋体"/>
                <w:sz w:val="18"/>
                <w:szCs w:val="18"/>
              </w:rPr>
            </w:pPr>
            <w:r>
              <w:rPr>
                <w:rFonts w:hint="eastAsia" w:ascii="宋体" w:hAnsi="宋体"/>
                <w:sz w:val="18"/>
                <w:szCs w:val="18"/>
              </w:rPr>
              <w:t>对照物业需求标准，未达标每个单项扣1分</w:t>
            </w:r>
          </w:p>
        </w:tc>
        <w:tc>
          <w:tcPr>
            <w:tcW w:w="523" w:type="pct"/>
          </w:tcPr>
          <w:p w14:paraId="4CF9CF0B">
            <w:pPr>
              <w:rPr>
                <w:rFonts w:ascii="宋体" w:hAnsi="宋体"/>
                <w:sz w:val="18"/>
                <w:szCs w:val="18"/>
              </w:rPr>
            </w:pPr>
          </w:p>
        </w:tc>
      </w:tr>
      <w:tr w14:paraId="6D9E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Align w:val="center"/>
          </w:tcPr>
          <w:p w14:paraId="460F8F35">
            <w:pPr>
              <w:jc w:val="center"/>
              <w:rPr>
                <w:rFonts w:ascii="宋体" w:hAnsi="宋体"/>
                <w:sz w:val="18"/>
                <w:szCs w:val="18"/>
              </w:rPr>
            </w:pPr>
            <w:r>
              <w:rPr>
                <w:rFonts w:hint="eastAsia" w:ascii="宋体" w:hAnsi="宋体"/>
                <w:sz w:val="18"/>
                <w:szCs w:val="18"/>
              </w:rPr>
              <w:t>12</w:t>
            </w:r>
          </w:p>
        </w:tc>
        <w:tc>
          <w:tcPr>
            <w:tcW w:w="257" w:type="pct"/>
            <w:vAlign w:val="center"/>
          </w:tcPr>
          <w:p w14:paraId="3A32116D">
            <w:pPr>
              <w:jc w:val="center"/>
              <w:rPr>
                <w:rFonts w:ascii="宋体" w:hAnsi="宋体"/>
                <w:b/>
                <w:sz w:val="18"/>
                <w:szCs w:val="18"/>
              </w:rPr>
            </w:pPr>
            <w:r>
              <w:rPr>
                <w:rFonts w:hint="eastAsia" w:ascii="宋体" w:hAnsi="宋体"/>
                <w:b/>
                <w:sz w:val="18"/>
                <w:szCs w:val="18"/>
              </w:rPr>
              <w:t>人员</w:t>
            </w:r>
          </w:p>
        </w:tc>
        <w:tc>
          <w:tcPr>
            <w:tcW w:w="729" w:type="pct"/>
          </w:tcPr>
          <w:p w14:paraId="5CE8D948">
            <w:pPr>
              <w:rPr>
                <w:rFonts w:ascii="宋体" w:hAnsi="宋体"/>
                <w:sz w:val="18"/>
                <w:szCs w:val="18"/>
              </w:rPr>
            </w:pPr>
            <w:r>
              <w:rPr>
                <w:rFonts w:hint="eastAsia" w:ascii="宋体" w:hAnsi="宋体"/>
                <w:sz w:val="18"/>
                <w:szCs w:val="18"/>
              </w:rPr>
              <w:t>物业人员基本要求</w:t>
            </w:r>
          </w:p>
        </w:tc>
        <w:tc>
          <w:tcPr>
            <w:tcW w:w="2373" w:type="pct"/>
          </w:tcPr>
          <w:p w14:paraId="44539790">
            <w:pPr>
              <w:rPr>
                <w:rFonts w:ascii="宋体" w:hAnsi="宋体"/>
                <w:sz w:val="18"/>
                <w:szCs w:val="18"/>
              </w:rPr>
            </w:pPr>
            <w:r>
              <w:rPr>
                <w:rFonts w:hint="eastAsia" w:ascii="宋体" w:hAnsi="宋体"/>
                <w:sz w:val="18"/>
                <w:szCs w:val="18"/>
              </w:rPr>
              <w:t>物业聘用的各岗位人员要满足学校物业管理需求有关数量、年龄、证书等硬性指标。</w:t>
            </w:r>
          </w:p>
        </w:tc>
        <w:tc>
          <w:tcPr>
            <w:tcW w:w="211" w:type="pct"/>
          </w:tcPr>
          <w:p w14:paraId="0E2BA0DD">
            <w:pPr>
              <w:rPr>
                <w:rFonts w:ascii="宋体" w:hAnsi="宋体"/>
                <w:sz w:val="18"/>
                <w:szCs w:val="18"/>
              </w:rPr>
            </w:pPr>
            <w:r>
              <w:rPr>
                <w:rFonts w:hint="eastAsia" w:ascii="宋体" w:hAnsi="宋体"/>
                <w:sz w:val="18"/>
                <w:szCs w:val="18"/>
              </w:rPr>
              <w:t>5</w:t>
            </w:r>
          </w:p>
        </w:tc>
        <w:tc>
          <w:tcPr>
            <w:tcW w:w="740" w:type="pct"/>
          </w:tcPr>
          <w:p w14:paraId="2AE87F79">
            <w:pPr>
              <w:rPr>
                <w:rFonts w:ascii="宋体" w:hAnsi="宋体"/>
                <w:sz w:val="18"/>
                <w:szCs w:val="18"/>
              </w:rPr>
            </w:pPr>
            <w:r>
              <w:rPr>
                <w:rFonts w:hint="eastAsia" w:ascii="宋体" w:hAnsi="宋体"/>
                <w:sz w:val="18"/>
                <w:szCs w:val="18"/>
              </w:rPr>
              <w:t>对照物业需求标准，未达标每个单项扣1分</w:t>
            </w:r>
          </w:p>
        </w:tc>
        <w:tc>
          <w:tcPr>
            <w:tcW w:w="523" w:type="pct"/>
          </w:tcPr>
          <w:p w14:paraId="6F5CA594">
            <w:pPr>
              <w:rPr>
                <w:rFonts w:ascii="宋体" w:hAnsi="宋体"/>
                <w:sz w:val="18"/>
                <w:szCs w:val="18"/>
              </w:rPr>
            </w:pPr>
          </w:p>
        </w:tc>
      </w:tr>
    </w:tbl>
    <w:p w14:paraId="7EE3EED6">
      <w:pPr>
        <w:pStyle w:val="3"/>
        <w:spacing w:line="360" w:lineRule="auto"/>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FE9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0207FB3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302EEF"/>
    <w:multiLevelType w:val="multilevel"/>
    <w:tmpl w:val="35302EEF"/>
    <w:lvl w:ilvl="0" w:tentative="0">
      <w:start w:val="1"/>
      <w:numFmt w:val="decimal"/>
      <w:lvlText w:val="%1、"/>
      <w:lvlJc w:val="left"/>
      <w:pPr>
        <w:tabs>
          <w:tab w:val="left" w:pos="885"/>
        </w:tabs>
        <w:ind w:left="885"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692D0966"/>
    <w:multiLevelType w:val="singleLevel"/>
    <w:tmpl w:val="692D0966"/>
    <w:lvl w:ilvl="0" w:tentative="0">
      <w:start w:val="2"/>
      <w:numFmt w:val="decimal"/>
      <w:suff w:val="space"/>
      <w:lvlText w:val="%1."/>
      <w:lvlJc w:val="left"/>
    </w:lvl>
  </w:abstractNum>
  <w:abstractNum w:abstractNumId="2">
    <w:nsid w:val="75A86E8B"/>
    <w:multiLevelType w:val="multilevel"/>
    <w:tmpl w:val="75A86E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2NmOWViMzgzYjA3YmI3NTY5ZWFiNzdiOWNiZTEifQ=="/>
  </w:docVars>
  <w:rsids>
    <w:rsidRoot w:val="001C31E9"/>
    <w:rsid w:val="00000B66"/>
    <w:rsid w:val="00001B2D"/>
    <w:rsid w:val="00001B95"/>
    <w:rsid w:val="00002DE0"/>
    <w:rsid w:val="000032D7"/>
    <w:rsid w:val="00003776"/>
    <w:rsid w:val="00003AB0"/>
    <w:rsid w:val="000059B5"/>
    <w:rsid w:val="00005DE2"/>
    <w:rsid w:val="00005DE4"/>
    <w:rsid w:val="0000607E"/>
    <w:rsid w:val="0000714F"/>
    <w:rsid w:val="000075D3"/>
    <w:rsid w:val="00010A99"/>
    <w:rsid w:val="00011182"/>
    <w:rsid w:val="00011388"/>
    <w:rsid w:val="00011555"/>
    <w:rsid w:val="00012111"/>
    <w:rsid w:val="00014036"/>
    <w:rsid w:val="000145F1"/>
    <w:rsid w:val="00014855"/>
    <w:rsid w:val="00016E3A"/>
    <w:rsid w:val="00016E6C"/>
    <w:rsid w:val="0002115F"/>
    <w:rsid w:val="00023C36"/>
    <w:rsid w:val="000270AD"/>
    <w:rsid w:val="00031526"/>
    <w:rsid w:val="00031537"/>
    <w:rsid w:val="0003500E"/>
    <w:rsid w:val="000352A2"/>
    <w:rsid w:val="00035BC5"/>
    <w:rsid w:val="0003641F"/>
    <w:rsid w:val="00036543"/>
    <w:rsid w:val="00036E75"/>
    <w:rsid w:val="000373D7"/>
    <w:rsid w:val="000416F4"/>
    <w:rsid w:val="0004184C"/>
    <w:rsid w:val="000421A3"/>
    <w:rsid w:val="000423B7"/>
    <w:rsid w:val="00044143"/>
    <w:rsid w:val="00044700"/>
    <w:rsid w:val="00046ACC"/>
    <w:rsid w:val="00050316"/>
    <w:rsid w:val="00052823"/>
    <w:rsid w:val="00055336"/>
    <w:rsid w:val="000571DB"/>
    <w:rsid w:val="00057218"/>
    <w:rsid w:val="00060256"/>
    <w:rsid w:val="00061C31"/>
    <w:rsid w:val="00062C4D"/>
    <w:rsid w:val="00065438"/>
    <w:rsid w:val="000665AD"/>
    <w:rsid w:val="000671D6"/>
    <w:rsid w:val="000679CD"/>
    <w:rsid w:val="0007286B"/>
    <w:rsid w:val="00072A8D"/>
    <w:rsid w:val="00073164"/>
    <w:rsid w:val="000736B8"/>
    <w:rsid w:val="000747FB"/>
    <w:rsid w:val="00080554"/>
    <w:rsid w:val="000806D1"/>
    <w:rsid w:val="00080D90"/>
    <w:rsid w:val="000814BC"/>
    <w:rsid w:val="000822E7"/>
    <w:rsid w:val="000846FF"/>
    <w:rsid w:val="0008746A"/>
    <w:rsid w:val="00090498"/>
    <w:rsid w:val="000921BD"/>
    <w:rsid w:val="00092A08"/>
    <w:rsid w:val="000946EC"/>
    <w:rsid w:val="000960B6"/>
    <w:rsid w:val="00097949"/>
    <w:rsid w:val="000A0006"/>
    <w:rsid w:val="000A0154"/>
    <w:rsid w:val="000A0C32"/>
    <w:rsid w:val="000A18AA"/>
    <w:rsid w:val="000A2CB8"/>
    <w:rsid w:val="000A2DC1"/>
    <w:rsid w:val="000A4FEF"/>
    <w:rsid w:val="000A6D0C"/>
    <w:rsid w:val="000A6DE6"/>
    <w:rsid w:val="000A7EC1"/>
    <w:rsid w:val="000B0FD0"/>
    <w:rsid w:val="000B366F"/>
    <w:rsid w:val="000B401F"/>
    <w:rsid w:val="000B61BF"/>
    <w:rsid w:val="000B69B1"/>
    <w:rsid w:val="000B7B1E"/>
    <w:rsid w:val="000C0E3C"/>
    <w:rsid w:val="000C19AF"/>
    <w:rsid w:val="000C30BA"/>
    <w:rsid w:val="000C3388"/>
    <w:rsid w:val="000C3928"/>
    <w:rsid w:val="000C6331"/>
    <w:rsid w:val="000D30F7"/>
    <w:rsid w:val="000D3D18"/>
    <w:rsid w:val="000D41E1"/>
    <w:rsid w:val="000D4DC5"/>
    <w:rsid w:val="000D7A3B"/>
    <w:rsid w:val="000E1253"/>
    <w:rsid w:val="000E2338"/>
    <w:rsid w:val="000E2BF0"/>
    <w:rsid w:val="000E2E48"/>
    <w:rsid w:val="000E4AA1"/>
    <w:rsid w:val="000E5656"/>
    <w:rsid w:val="000E6301"/>
    <w:rsid w:val="000E7DDE"/>
    <w:rsid w:val="000F013B"/>
    <w:rsid w:val="000F0B67"/>
    <w:rsid w:val="000F1D85"/>
    <w:rsid w:val="000F2524"/>
    <w:rsid w:val="000F2B9E"/>
    <w:rsid w:val="000F4CD2"/>
    <w:rsid w:val="000F7FB8"/>
    <w:rsid w:val="001002F4"/>
    <w:rsid w:val="00100D91"/>
    <w:rsid w:val="0010245E"/>
    <w:rsid w:val="001039A5"/>
    <w:rsid w:val="00103FF0"/>
    <w:rsid w:val="001056BB"/>
    <w:rsid w:val="00105EC6"/>
    <w:rsid w:val="00107404"/>
    <w:rsid w:val="00107EA3"/>
    <w:rsid w:val="001105F4"/>
    <w:rsid w:val="001130C8"/>
    <w:rsid w:val="0011661F"/>
    <w:rsid w:val="00117F6F"/>
    <w:rsid w:val="00120036"/>
    <w:rsid w:val="001206D9"/>
    <w:rsid w:val="00120A71"/>
    <w:rsid w:val="001249AE"/>
    <w:rsid w:val="00124D58"/>
    <w:rsid w:val="00124DC7"/>
    <w:rsid w:val="001261E1"/>
    <w:rsid w:val="00127763"/>
    <w:rsid w:val="00130224"/>
    <w:rsid w:val="00132335"/>
    <w:rsid w:val="00133F89"/>
    <w:rsid w:val="001356C6"/>
    <w:rsid w:val="0013581E"/>
    <w:rsid w:val="00135A2B"/>
    <w:rsid w:val="0014097F"/>
    <w:rsid w:val="00140FB6"/>
    <w:rsid w:val="00141683"/>
    <w:rsid w:val="0014173E"/>
    <w:rsid w:val="00141F1C"/>
    <w:rsid w:val="001421BB"/>
    <w:rsid w:val="001438C8"/>
    <w:rsid w:val="00143DDC"/>
    <w:rsid w:val="0014424B"/>
    <w:rsid w:val="001447E2"/>
    <w:rsid w:val="001449B8"/>
    <w:rsid w:val="001464EE"/>
    <w:rsid w:val="00147DF8"/>
    <w:rsid w:val="00151AC7"/>
    <w:rsid w:val="001546C5"/>
    <w:rsid w:val="00155349"/>
    <w:rsid w:val="0015745F"/>
    <w:rsid w:val="001618D5"/>
    <w:rsid w:val="00163301"/>
    <w:rsid w:val="00164EFA"/>
    <w:rsid w:val="001657F1"/>
    <w:rsid w:val="00166F93"/>
    <w:rsid w:val="00167415"/>
    <w:rsid w:val="00167CE5"/>
    <w:rsid w:val="00170547"/>
    <w:rsid w:val="0017239C"/>
    <w:rsid w:val="00172595"/>
    <w:rsid w:val="0018094C"/>
    <w:rsid w:val="0018113B"/>
    <w:rsid w:val="0018207A"/>
    <w:rsid w:val="00184FC6"/>
    <w:rsid w:val="0019267C"/>
    <w:rsid w:val="001937ED"/>
    <w:rsid w:val="0019663B"/>
    <w:rsid w:val="001A04D6"/>
    <w:rsid w:val="001A094C"/>
    <w:rsid w:val="001A0DF8"/>
    <w:rsid w:val="001A132B"/>
    <w:rsid w:val="001A13D6"/>
    <w:rsid w:val="001A1D93"/>
    <w:rsid w:val="001A4F68"/>
    <w:rsid w:val="001A7336"/>
    <w:rsid w:val="001B4737"/>
    <w:rsid w:val="001B54F9"/>
    <w:rsid w:val="001C0D57"/>
    <w:rsid w:val="001C1F1C"/>
    <w:rsid w:val="001C31E9"/>
    <w:rsid w:val="001C53C0"/>
    <w:rsid w:val="001C6F04"/>
    <w:rsid w:val="001C6FB1"/>
    <w:rsid w:val="001C75CA"/>
    <w:rsid w:val="001C762B"/>
    <w:rsid w:val="001D1119"/>
    <w:rsid w:val="001D27A5"/>
    <w:rsid w:val="001D29B0"/>
    <w:rsid w:val="001D2D4E"/>
    <w:rsid w:val="001D3A74"/>
    <w:rsid w:val="001D4262"/>
    <w:rsid w:val="001D4329"/>
    <w:rsid w:val="001D508D"/>
    <w:rsid w:val="001D630D"/>
    <w:rsid w:val="001D7728"/>
    <w:rsid w:val="001D7EEE"/>
    <w:rsid w:val="001E1730"/>
    <w:rsid w:val="001E1F64"/>
    <w:rsid w:val="001E5C36"/>
    <w:rsid w:val="001F05C6"/>
    <w:rsid w:val="001F0FA7"/>
    <w:rsid w:val="001F157A"/>
    <w:rsid w:val="001F1769"/>
    <w:rsid w:val="001F1C9C"/>
    <w:rsid w:val="001F1D00"/>
    <w:rsid w:val="001F274C"/>
    <w:rsid w:val="001F4586"/>
    <w:rsid w:val="001F6FFD"/>
    <w:rsid w:val="001F7703"/>
    <w:rsid w:val="001F7BEB"/>
    <w:rsid w:val="001F7F27"/>
    <w:rsid w:val="001F7F47"/>
    <w:rsid w:val="00201E8B"/>
    <w:rsid w:val="00202DAF"/>
    <w:rsid w:val="002041B9"/>
    <w:rsid w:val="00205723"/>
    <w:rsid w:val="00205CF3"/>
    <w:rsid w:val="00205D0A"/>
    <w:rsid w:val="002064AF"/>
    <w:rsid w:val="002066AA"/>
    <w:rsid w:val="002079B9"/>
    <w:rsid w:val="00213E8B"/>
    <w:rsid w:val="002140E9"/>
    <w:rsid w:val="00214815"/>
    <w:rsid w:val="00214C5A"/>
    <w:rsid w:val="00217127"/>
    <w:rsid w:val="0022163C"/>
    <w:rsid w:val="002217AA"/>
    <w:rsid w:val="00224274"/>
    <w:rsid w:val="00224C5A"/>
    <w:rsid w:val="00224CC9"/>
    <w:rsid w:val="00226C19"/>
    <w:rsid w:val="00227EE7"/>
    <w:rsid w:val="002302AC"/>
    <w:rsid w:val="00232927"/>
    <w:rsid w:val="00232AE0"/>
    <w:rsid w:val="00233667"/>
    <w:rsid w:val="00233FE2"/>
    <w:rsid w:val="00234369"/>
    <w:rsid w:val="00234F88"/>
    <w:rsid w:val="00235F49"/>
    <w:rsid w:val="00236B01"/>
    <w:rsid w:val="00240EBF"/>
    <w:rsid w:val="0024134B"/>
    <w:rsid w:val="00241A2E"/>
    <w:rsid w:val="00242A23"/>
    <w:rsid w:val="0024336A"/>
    <w:rsid w:val="00243531"/>
    <w:rsid w:val="00243F2A"/>
    <w:rsid w:val="0025082D"/>
    <w:rsid w:val="00251667"/>
    <w:rsid w:val="00251D47"/>
    <w:rsid w:val="0025249A"/>
    <w:rsid w:val="00252EF5"/>
    <w:rsid w:val="002542F3"/>
    <w:rsid w:val="002550FB"/>
    <w:rsid w:val="0025741A"/>
    <w:rsid w:val="0025757D"/>
    <w:rsid w:val="002614B6"/>
    <w:rsid w:val="00261666"/>
    <w:rsid w:val="00262500"/>
    <w:rsid w:val="00262872"/>
    <w:rsid w:val="0026291C"/>
    <w:rsid w:val="002642C6"/>
    <w:rsid w:val="00264A73"/>
    <w:rsid w:val="00264C18"/>
    <w:rsid w:val="00266EAA"/>
    <w:rsid w:val="00267AB9"/>
    <w:rsid w:val="00267BDC"/>
    <w:rsid w:val="002704EF"/>
    <w:rsid w:val="002708E6"/>
    <w:rsid w:val="00270F3E"/>
    <w:rsid w:val="00271D78"/>
    <w:rsid w:val="002726FE"/>
    <w:rsid w:val="00273078"/>
    <w:rsid w:val="002733BB"/>
    <w:rsid w:val="00274AFA"/>
    <w:rsid w:val="0027561E"/>
    <w:rsid w:val="0027565D"/>
    <w:rsid w:val="002759F7"/>
    <w:rsid w:val="00275EB6"/>
    <w:rsid w:val="002769F1"/>
    <w:rsid w:val="00276D2C"/>
    <w:rsid w:val="002770A7"/>
    <w:rsid w:val="002771E8"/>
    <w:rsid w:val="002776EE"/>
    <w:rsid w:val="00280ACF"/>
    <w:rsid w:val="00281990"/>
    <w:rsid w:val="002837A0"/>
    <w:rsid w:val="0028528F"/>
    <w:rsid w:val="00286389"/>
    <w:rsid w:val="0029015B"/>
    <w:rsid w:val="00291D0F"/>
    <w:rsid w:val="002934E0"/>
    <w:rsid w:val="002955A1"/>
    <w:rsid w:val="002957AE"/>
    <w:rsid w:val="00297927"/>
    <w:rsid w:val="002A12D3"/>
    <w:rsid w:val="002A1B62"/>
    <w:rsid w:val="002A2634"/>
    <w:rsid w:val="002A2B68"/>
    <w:rsid w:val="002A3132"/>
    <w:rsid w:val="002A4561"/>
    <w:rsid w:val="002A559C"/>
    <w:rsid w:val="002B0995"/>
    <w:rsid w:val="002B1534"/>
    <w:rsid w:val="002B1C12"/>
    <w:rsid w:val="002B2A8A"/>
    <w:rsid w:val="002B49B8"/>
    <w:rsid w:val="002B4EC2"/>
    <w:rsid w:val="002B5861"/>
    <w:rsid w:val="002C11CB"/>
    <w:rsid w:val="002C2BFA"/>
    <w:rsid w:val="002C3B35"/>
    <w:rsid w:val="002C4CD9"/>
    <w:rsid w:val="002C51A4"/>
    <w:rsid w:val="002C5BB4"/>
    <w:rsid w:val="002C75BF"/>
    <w:rsid w:val="002C7798"/>
    <w:rsid w:val="002C7CC2"/>
    <w:rsid w:val="002D06A3"/>
    <w:rsid w:val="002D119B"/>
    <w:rsid w:val="002D1EB4"/>
    <w:rsid w:val="002D3814"/>
    <w:rsid w:val="002D5187"/>
    <w:rsid w:val="002D5470"/>
    <w:rsid w:val="002D78BD"/>
    <w:rsid w:val="002E098F"/>
    <w:rsid w:val="002E3032"/>
    <w:rsid w:val="002E3093"/>
    <w:rsid w:val="002E4D0A"/>
    <w:rsid w:val="002E5005"/>
    <w:rsid w:val="002E56E4"/>
    <w:rsid w:val="002E5FB9"/>
    <w:rsid w:val="002E60AE"/>
    <w:rsid w:val="002E6CF1"/>
    <w:rsid w:val="002E72FF"/>
    <w:rsid w:val="002F2375"/>
    <w:rsid w:val="002F2EE0"/>
    <w:rsid w:val="002F33E0"/>
    <w:rsid w:val="002F5100"/>
    <w:rsid w:val="002F5C45"/>
    <w:rsid w:val="002F66FF"/>
    <w:rsid w:val="002F6DC6"/>
    <w:rsid w:val="00300168"/>
    <w:rsid w:val="00300750"/>
    <w:rsid w:val="003021EE"/>
    <w:rsid w:val="00302FF5"/>
    <w:rsid w:val="00303868"/>
    <w:rsid w:val="00310AC1"/>
    <w:rsid w:val="003110C4"/>
    <w:rsid w:val="003112D4"/>
    <w:rsid w:val="00311EBA"/>
    <w:rsid w:val="00312B84"/>
    <w:rsid w:val="00313EC6"/>
    <w:rsid w:val="00314BAE"/>
    <w:rsid w:val="00315A32"/>
    <w:rsid w:val="00316A22"/>
    <w:rsid w:val="003170A1"/>
    <w:rsid w:val="003179C0"/>
    <w:rsid w:val="00317F00"/>
    <w:rsid w:val="00320642"/>
    <w:rsid w:val="00321B81"/>
    <w:rsid w:val="00321D98"/>
    <w:rsid w:val="0032235B"/>
    <w:rsid w:val="003227F3"/>
    <w:rsid w:val="003253DA"/>
    <w:rsid w:val="00326423"/>
    <w:rsid w:val="003267D8"/>
    <w:rsid w:val="00331C0F"/>
    <w:rsid w:val="0033313D"/>
    <w:rsid w:val="00337583"/>
    <w:rsid w:val="00340141"/>
    <w:rsid w:val="00343440"/>
    <w:rsid w:val="00343FE5"/>
    <w:rsid w:val="00343FF6"/>
    <w:rsid w:val="00345B0B"/>
    <w:rsid w:val="00345ED9"/>
    <w:rsid w:val="003472B4"/>
    <w:rsid w:val="00347D7F"/>
    <w:rsid w:val="00350A6A"/>
    <w:rsid w:val="003538A2"/>
    <w:rsid w:val="0035400D"/>
    <w:rsid w:val="003554E9"/>
    <w:rsid w:val="00355E6D"/>
    <w:rsid w:val="00357F0F"/>
    <w:rsid w:val="003622FB"/>
    <w:rsid w:val="00362DD5"/>
    <w:rsid w:val="00362F7A"/>
    <w:rsid w:val="0036306A"/>
    <w:rsid w:val="0036536A"/>
    <w:rsid w:val="00366481"/>
    <w:rsid w:val="0036701E"/>
    <w:rsid w:val="0036725C"/>
    <w:rsid w:val="003700D6"/>
    <w:rsid w:val="00371367"/>
    <w:rsid w:val="00371ABD"/>
    <w:rsid w:val="003720C1"/>
    <w:rsid w:val="00372C9E"/>
    <w:rsid w:val="00374448"/>
    <w:rsid w:val="00374902"/>
    <w:rsid w:val="003777FC"/>
    <w:rsid w:val="00380927"/>
    <w:rsid w:val="00380965"/>
    <w:rsid w:val="003831C0"/>
    <w:rsid w:val="003832B6"/>
    <w:rsid w:val="00385238"/>
    <w:rsid w:val="00385A72"/>
    <w:rsid w:val="003874BE"/>
    <w:rsid w:val="00387560"/>
    <w:rsid w:val="00387C4F"/>
    <w:rsid w:val="003907FF"/>
    <w:rsid w:val="00390F65"/>
    <w:rsid w:val="00392410"/>
    <w:rsid w:val="00392757"/>
    <w:rsid w:val="00392B38"/>
    <w:rsid w:val="00392D97"/>
    <w:rsid w:val="0039416E"/>
    <w:rsid w:val="003946F6"/>
    <w:rsid w:val="00395BA7"/>
    <w:rsid w:val="00396200"/>
    <w:rsid w:val="003A0F76"/>
    <w:rsid w:val="003A328C"/>
    <w:rsid w:val="003A597C"/>
    <w:rsid w:val="003A628E"/>
    <w:rsid w:val="003A787A"/>
    <w:rsid w:val="003B1ED8"/>
    <w:rsid w:val="003B1FE0"/>
    <w:rsid w:val="003B2264"/>
    <w:rsid w:val="003B24C4"/>
    <w:rsid w:val="003B2B9A"/>
    <w:rsid w:val="003B3E8D"/>
    <w:rsid w:val="003B3FE9"/>
    <w:rsid w:val="003B4435"/>
    <w:rsid w:val="003B694C"/>
    <w:rsid w:val="003B768E"/>
    <w:rsid w:val="003C12A4"/>
    <w:rsid w:val="003C1BFA"/>
    <w:rsid w:val="003C1ECC"/>
    <w:rsid w:val="003C26ED"/>
    <w:rsid w:val="003C30CA"/>
    <w:rsid w:val="003C431D"/>
    <w:rsid w:val="003C5B2D"/>
    <w:rsid w:val="003C65E0"/>
    <w:rsid w:val="003C763B"/>
    <w:rsid w:val="003D08D5"/>
    <w:rsid w:val="003D1780"/>
    <w:rsid w:val="003D3E24"/>
    <w:rsid w:val="003D4762"/>
    <w:rsid w:val="003D4D16"/>
    <w:rsid w:val="003D4D2F"/>
    <w:rsid w:val="003D50FD"/>
    <w:rsid w:val="003D57DD"/>
    <w:rsid w:val="003D6B22"/>
    <w:rsid w:val="003D70B8"/>
    <w:rsid w:val="003E2018"/>
    <w:rsid w:val="003E4BAD"/>
    <w:rsid w:val="003E4D47"/>
    <w:rsid w:val="003E4E04"/>
    <w:rsid w:val="003E5685"/>
    <w:rsid w:val="003E5A6C"/>
    <w:rsid w:val="003E5C7C"/>
    <w:rsid w:val="003E609A"/>
    <w:rsid w:val="003E6684"/>
    <w:rsid w:val="003F0924"/>
    <w:rsid w:val="003F0ABA"/>
    <w:rsid w:val="003F112A"/>
    <w:rsid w:val="003F1920"/>
    <w:rsid w:val="003F74CC"/>
    <w:rsid w:val="00400495"/>
    <w:rsid w:val="0040167A"/>
    <w:rsid w:val="00405D04"/>
    <w:rsid w:val="004062B8"/>
    <w:rsid w:val="0040719B"/>
    <w:rsid w:val="004116F2"/>
    <w:rsid w:val="00411D1F"/>
    <w:rsid w:val="00412ACF"/>
    <w:rsid w:val="00412BA2"/>
    <w:rsid w:val="00415917"/>
    <w:rsid w:val="0041736E"/>
    <w:rsid w:val="0042063E"/>
    <w:rsid w:val="00420A79"/>
    <w:rsid w:val="00422323"/>
    <w:rsid w:val="004224FF"/>
    <w:rsid w:val="00423A24"/>
    <w:rsid w:val="00426D7E"/>
    <w:rsid w:val="00426E14"/>
    <w:rsid w:val="00427410"/>
    <w:rsid w:val="00427850"/>
    <w:rsid w:val="00427E5D"/>
    <w:rsid w:val="00431D8E"/>
    <w:rsid w:val="00432D29"/>
    <w:rsid w:val="004418A7"/>
    <w:rsid w:val="00441D68"/>
    <w:rsid w:val="00444EAD"/>
    <w:rsid w:val="004454A4"/>
    <w:rsid w:val="0044611B"/>
    <w:rsid w:val="004463F2"/>
    <w:rsid w:val="004473CB"/>
    <w:rsid w:val="004477BD"/>
    <w:rsid w:val="00447EB5"/>
    <w:rsid w:val="00447FD9"/>
    <w:rsid w:val="004511EF"/>
    <w:rsid w:val="00451CB8"/>
    <w:rsid w:val="00451F4A"/>
    <w:rsid w:val="0045266D"/>
    <w:rsid w:val="004531DF"/>
    <w:rsid w:val="0045332D"/>
    <w:rsid w:val="004552AF"/>
    <w:rsid w:val="004604EC"/>
    <w:rsid w:val="004628CA"/>
    <w:rsid w:val="004630F4"/>
    <w:rsid w:val="00464257"/>
    <w:rsid w:val="0046461F"/>
    <w:rsid w:val="004655EB"/>
    <w:rsid w:val="0046599A"/>
    <w:rsid w:val="00471D73"/>
    <w:rsid w:val="00473A0D"/>
    <w:rsid w:val="0047491B"/>
    <w:rsid w:val="00474B2C"/>
    <w:rsid w:val="004750FD"/>
    <w:rsid w:val="0047591B"/>
    <w:rsid w:val="004760EF"/>
    <w:rsid w:val="00480B0F"/>
    <w:rsid w:val="00485069"/>
    <w:rsid w:val="004851CF"/>
    <w:rsid w:val="00485919"/>
    <w:rsid w:val="00486ED1"/>
    <w:rsid w:val="00487E22"/>
    <w:rsid w:val="00490164"/>
    <w:rsid w:val="00490B29"/>
    <w:rsid w:val="00490D45"/>
    <w:rsid w:val="00491023"/>
    <w:rsid w:val="0049231D"/>
    <w:rsid w:val="004927F0"/>
    <w:rsid w:val="0049332A"/>
    <w:rsid w:val="004A2E9C"/>
    <w:rsid w:val="004A3C4B"/>
    <w:rsid w:val="004A429B"/>
    <w:rsid w:val="004A496E"/>
    <w:rsid w:val="004A4D18"/>
    <w:rsid w:val="004A4FCC"/>
    <w:rsid w:val="004A5B25"/>
    <w:rsid w:val="004B0A4B"/>
    <w:rsid w:val="004B18B0"/>
    <w:rsid w:val="004B300A"/>
    <w:rsid w:val="004B5964"/>
    <w:rsid w:val="004B6B45"/>
    <w:rsid w:val="004C0B04"/>
    <w:rsid w:val="004C192F"/>
    <w:rsid w:val="004C301C"/>
    <w:rsid w:val="004C31A2"/>
    <w:rsid w:val="004C4329"/>
    <w:rsid w:val="004D0FA9"/>
    <w:rsid w:val="004D19D2"/>
    <w:rsid w:val="004D3863"/>
    <w:rsid w:val="004D5152"/>
    <w:rsid w:val="004D5C7B"/>
    <w:rsid w:val="004D7C9A"/>
    <w:rsid w:val="004E160E"/>
    <w:rsid w:val="004E1AD7"/>
    <w:rsid w:val="004E45B8"/>
    <w:rsid w:val="004E66AB"/>
    <w:rsid w:val="004E7CC3"/>
    <w:rsid w:val="004F1A95"/>
    <w:rsid w:val="004F2197"/>
    <w:rsid w:val="004F268D"/>
    <w:rsid w:val="004F3402"/>
    <w:rsid w:val="004F4D05"/>
    <w:rsid w:val="004F5E0C"/>
    <w:rsid w:val="005005BD"/>
    <w:rsid w:val="00500F2B"/>
    <w:rsid w:val="00500FBD"/>
    <w:rsid w:val="00501CF0"/>
    <w:rsid w:val="00503B99"/>
    <w:rsid w:val="00504683"/>
    <w:rsid w:val="00507692"/>
    <w:rsid w:val="00507787"/>
    <w:rsid w:val="005101B4"/>
    <w:rsid w:val="005169CD"/>
    <w:rsid w:val="00517DAF"/>
    <w:rsid w:val="00521613"/>
    <w:rsid w:val="00521E87"/>
    <w:rsid w:val="005243D0"/>
    <w:rsid w:val="0052450C"/>
    <w:rsid w:val="00525011"/>
    <w:rsid w:val="00526361"/>
    <w:rsid w:val="005277A5"/>
    <w:rsid w:val="00530A68"/>
    <w:rsid w:val="00532608"/>
    <w:rsid w:val="00534D11"/>
    <w:rsid w:val="00537232"/>
    <w:rsid w:val="00537B7C"/>
    <w:rsid w:val="00537D95"/>
    <w:rsid w:val="00541194"/>
    <w:rsid w:val="00541819"/>
    <w:rsid w:val="00542BC7"/>
    <w:rsid w:val="005434DE"/>
    <w:rsid w:val="0054380C"/>
    <w:rsid w:val="00544636"/>
    <w:rsid w:val="00545C27"/>
    <w:rsid w:val="00547A84"/>
    <w:rsid w:val="00552CD9"/>
    <w:rsid w:val="005539BE"/>
    <w:rsid w:val="00553A50"/>
    <w:rsid w:val="00553CF3"/>
    <w:rsid w:val="00553ED0"/>
    <w:rsid w:val="00557131"/>
    <w:rsid w:val="005603D4"/>
    <w:rsid w:val="00561513"/>
    <w:rsid w:val="005642DC"/>
    <w:rsid w:val="00565659"/>
    <w:rsid w:val="005658AF"/>
    <w:rsid w:val="005670ED"/>
    <w:rsid w:val="0057004A"/>
    <w:rsid w:val="00570C6B"/>
    <w:rsid w:val="00570F71"/>
    <w:rsid w:val="0057170A"/>
    <w:rsid w:val="00574194"/>
    <w:rsid w:val="00574E5A"/>
    <w:rsid w:val="0057546B"/>
    <w:rsid w:val="00575480"/>
    <w:rsid w:val="00575676"/>
    <w:rsid w:val="005814B1"/>
    <w:rsid w:val="00581C5F"/>
    <w:rsid w:val="00583466"/>
    <w:rsid w:val="00584040"/>
    <w:rsid w:val="00584D7E"/>
    <w:rsid w:val="00585544"/>
    <w:rsid w:val="005855B5"/>
    <w:rsid w:val="005869A7"/>
    <w:rsid w:val="00586DA3"/>
    <w:rsid w:val="00586E23"/>
    <w:rsid w:val="00586EC6"/>
    <w:rsid w:val="00594257"/>
    <w:rsid w:val="005962D3"/>
    <w:rsid w:val="005A095A"/>
    <w:rsid w:val="005A165D"/>
    <w:rsid w:val="005A369C"/>
    <w:rsid w:val="005A3F81"/>
    <w:rsid w:val="005A43A2"/>
    <w:rsid w:val="005A7304"/>
    <w:rsid w:val="005A765B"/>
    <w:rsid w:val="005A78BD"/>
    <w:rsid w:val="005B26E3"/>
    <w:rsid w:val="005B3D12"/>
    <w:rsid w:val="005B5AE9"/>
    <w:rsid w:val="005B683F"/>
    <w:rsid w:val="005C18CB"/>
    <w:rsid w:val="005C1F64"/>
    <w:rsid w:val="005C37ED"/>
    <w:rsid w:val="005C4D2F"/>
    <w:rsid w:val="005C5587"/>
    <w:rsid w:val="005C6C41"/>
    <w:rsid w:val="005C78ED"/>
    <w:rsid w:val="005D0166"/>
    <w:rsid w:val="005D0E71"/>
    <w:rsid w:val="005D1B13"/>
    <w:rsid w:val="005D2A45"/>
    <w:rsid w:val="005D2D83"/>
    <w:rsid w:val="005D33C8"/>
    <w:rsid w:val="005D3DC7"/>
    <w:rsid w:val="005D41E4"/>
    <w:rsid w:val="005D5E00"/>
    <w:rsid w:val="005D73DD"/>
    <w:rsid w:val="005D7CC8"/>
    <w:rsid w:val="005E2C0C"/>
    <w:rsid w:val="005E3975"/>
    <w:rsid w:val="005E45AC"/>
    <w:rsid w:val="005E5E71"/>
    <w:rsid w:val="005E6C90"/>
    <w:rsid w:val="005E7EA7"/>
    <w:rsid w:val="005F37CC"/>
    <w:rsid w:val="005F7338"/>
    <w:rsid w:val="00600B7A"/>
    <w:rsid w:val="00601892"/>
    <w:rsid w:val="006039D9"/>
    <w:rsid w:val="00603ECB"/>
    <w:rsid w:val="0060727B"/>
    <w:rsid w:val="0060756D"/>
    <w:rsid w:val="006076D3"/>
    <w:rsid w:val="0060783F"/>
    <w:rsid w:val="006102E9"/>
    <w:rsid w:val="00610A85"/>
    <w:rsid w:val="006114BC"/>
    <w:rsid w:val="006116BB"/>
    <w:rsid w:val="006125DB"/>
    <w:rsid w:val="00612A41"/>
    <w:rsid w:val="00615372"/>
    <w:rsid w:val="0061666D"/>
    <w:rsid w:val="0061753D"/>
    <w:rsid w:val="006175D1"/>
    <w:rsid w:val="00620BD0"/>
    <w:rsid w:val="00621895"/>
    <w:rsid w:val="00621AE8"/>
    <w:rsid w:val="006242E9"/>
    <w:rsid w:val="006247A8"/>
    <w:rsid w:val="00625333"/>
    <w:rsid w:val="006256D5"/>
    <w:rsid w:val="006302DD"/>
    <w:rsid w:val="006314DE"/>
    <w:rsid w:val="00631868"/>
    <w:rsid w:val="00632130"/>
    <w:rsid w:val="00632970"/>
    <w:rsid w:val="00635620"/>
    <w:rsid w:val="006356DE"/>
    <w:rsid w:val="006404C9"/>
    <w:rsid w:val="00640CE7"/>
    <w:rsid w:val="006415C5"/>
    <w:rsid w:val="006425BA"/>
    <w:rsid w:val="0064388F"/>
    <w:rsid w:val="00644203"/>
    <w:rsid w:val="006444DA"/>
    <w:rsid w:val="0064506F"/>
    <w:rsid w:val="00650346"/>
    <w:rsid w:val="00650481"/>
    <w:rsid w:val="006511AE"/>
    <w:rsid w:val="00651623"/>
    <w:rsid w:val="00652F37"/>
    <w:rsid w:val="006544F3"/>
    <w:rsid w:val="00654BBF"/>
    <w:rsid w:val="006551F8"/>
    <w:rsid w:val="006556D0"/>
    <w:rsid w:val="0065680D"/>
    <w:rsid w:val="00656F99"/>
    <w:rsid w:val="0065772B"/>
    <w:rsid w:val="006602E3"/>
    <w:rsid w:val="00663064"/>
    <w:rsid w:val="006632D4"/>
    <w:rsid w:val="00663E70"/>
    <w:rsid w:val="00665E69"/>
    <w:rsid w:val="00666473"/>
    <w:rsid w:val="006664D0"/>
    <w:rsid w:val="00666BEC"/>
    <w:rsid w:val="00667D82"/>
    <w:rsid w:val="00671F2A"/>
    <w:rsid w:val="006755D3"/>
    <w:rsid w:val="006757D8"/>
    <w:rsid w:val="00680AF4"/>
    <w:rsid w:val="006811B9"/>
    <w:rsid w:val="00684DD9"/>
    <w:rsid w:val="006865E7"/>
    <w:rsid w:val="00687585"/>
    <w:rsid w:val="00693D4B"/>
    <w:rsid w:val="00693EB5"/>
    <w:rsid w:val="006958F3"/>
    <w:rsid w:val="00696201"/>
    <w:rsid w:val="00696854"/>
    <w:rsid w:val="00696AD2"/>
    <w:rsid w:val="0069730F"/>
    <w:rsid w:val="006A1449"/>
    <w:rsid w:val="006A14A7"/>
    <w:rsid w:val="006A15E0"/>
    <w:rsid w:val="006A2BEE"/>
    <w:rsid w:val="006A2BF1"/>
    <w:rsid w:val="006A5B3C"/>
    <w:rsid w:val="006A732A"/>
    <w:rsid w:val="006A7D5C"/>
    <w:rsid w:val="006B09CE"/>
    <w:rsid w:val="006B0A7D"/>
    <w:rsid w:val="006B0D49"/>
    <w:rsid w:val="006B1B23"/>
    <w:rsid w:val="006B3270"/>
    <w:rsid w:val="006B4736"/>
    <w:rsid w:val="006B475C"/>
    <w:rsid w:val="006B482C"/>
    <w:rsid w:val="006B62CB"/>
    <w:rsid w:val="006C0328"/>
    <w:rsid w:val="006C0EF4"/>
    <w:rsid w:val="006C129F"/>
    <w:rsid w:val="006C1741"/>
    <w:rsid w:val="006C2197"/>
    <w:rsid w:val="006C287C"/>
    <w:rsid w:val="006C398E"/>
    <w:rsid w:val="006C6BAF"/>
    <w:rsid w:val="006C6E30"/>
    <w:rsid w:val="006D087D"/>
    <w:rsid w:val="006D145F"/>
    <w:rsid w:val="006D161A"/>
    <w:rsid w:val="006D3079"/>
    <w:rsid w:val="006E0CA5"/>
    <w:rsid w:val="006E1E4E"/>
    <w:rsid w:val="006E581F"/>
    <w:rsid w:val="006F045E"/>
    <w:rsid w:val="006F1BF6"/>
    <w:rsid w:val="006F3320"/>
    <w:rsid w:val="006F398E"/>
    <w:rsid w:val="006F51B4"/>
    <w:rsid w:val="006F6961"/>
    <w:rsid w:val="006F77AA"/>
    <w:rsid w:val="00703A26"/>
    <w:rsid w:val="00705F7F"/>
    <w:rsid w:val="0071110D"/>
    <w:rsid w:val="00712A33"/>
    <w:rsid w:val="0071478D"/>
    <w:rsid w:val="0071507B"/>
    <w:rsid w:val="0071548D"/>
    <w:rsid w:val="00715D9F"/>
    <w:rsid w:val="007176A3"/>
    <w:rsid w:val="00717A20"/>
    <w:rsid w:val="00720598"/>
    <w:rsid w:val="0072081C"/>
    <w:rsid w:val="007218BC"/>
    <w:rsid w:val="00722154"/>
    <w:rsid w:val="00722CD0"/>
    <w:rsid w:val="00723745"/>
    <w:rsid w:val="0072480F"/>
    <w:rsid w:val="0072481B"/>
    <w:rsid w:val="00725C65"/>
    <w:rsid w:val="0072609D"/>
    <w:rsid w:val="007325BB"/>
    <w:rsid w:val="007335B7"/>
    <w:rsid w:val="00733E6D"/>
    <w:rsid w:val="007348EF"/>
    <w:rsid w:val="007405D2"/>
    <w:rsid w:val="00740B5F"/>
    <w:rsid w:val="00741329"/>
    <w:rsid w:val="00742A77"/>
    <w:rsid w:val="00742EB9"/>
    <w:rsid w:val="00743C3A"/>
    <w:rsid w:val="00744B59"/>
    <w:rsid w:val="00744D6D"/>
    <w:rsid w:val="00745D8D"/>
    <w:rsid w:val="0074650F"/>
    <w:rsid w:val="0074771E"/>
    <w:rsid w:val="0075181E"/>
    <w:rsid w:val="00751AB6"/>
    <w:rsid w:val="0075215C"/>
    <w:rsid w:val="00752A82"/>
    <w:rsid w:val="0075369E"/>
    <w:rsid w:val="00754985"/>
    <w:rsid w:val="0076269A"/>
    <w:rsid w:val="0076460D"/>
    <w:rsid w:val="00764DC2"/>
    <w:rsid w:val="007667B7"/>
    <w:rsid w:val="007701FB"/>
    <w:rsid w:val="00770245"/>
    <w:rsid w:val="00770CD0"/>
    <w:rsid w:val="007710E5"/>
    <w:rsid w:val="00771AFC"/>
    <w:rsid w:val="0077508A"/>
    <w:rsid w:val="00775BCE"/>
    <w:rsid w:val="00777E37"/>
    <w:rsid w:val="00780D93"/>
    <w:rsid w:val="00781229"/>
    <w:rsid w:val="00781B18"/>
    <w:rsid w:val="007821A2"/>
    <w:rsid w:val="00783979"/>
    <w:rsid w:val="00783BA7"/>
    <w:rsid w:val="00784180"/>
    <w:rsid w:val="00784211"/>
    <w:rsid w:val="007854AD"/>
    <w:rsid w:val="007874DC"/>
    <w:rsid w:val="0078780D"/>
    <w:rsid w:val="0079187E"/>
    <w:rsid w:val="007925BE"/>
    <w:rsid w:val="00793FEA"/>
    <w:rsid w:val="0079447D"/>
    <w:rsid w:val="00794CD1"/>
    <w:rsid w:val="00797E40"/>
    <w:rsid w:val="007A1F2E"/>
    <w:rsid w:val="007A1F69"/>
    <w:rsid w:val="007A288B"/>
    <w:rsid w:val="007A3AFA"/>
    <w:rsid w:val="007A4836"/>
    <w:rsid w:val="007B08BC"/>
    <w:rsid w:val="007B08D5"/>
    <w:rsid w:val="007B2F9F"/>
    <w:rsid w:val="007B466D"/>
    <w:rsid w:val="007B5979"/>
    <w:rsid w:val="007B6B80"/>
    <w:rsid w:val="007C203D"/>
    <w:rsid w:val="007C2D03"/>
    <w:rsid w:val="007C43DE"/>
    <w:rsid w:val="007C589D"/>
    <w:rsid w:val="007C75E7"/>
    <w:rsid w:val="007D0F81"/>
    <w:rsid w:val="007D1FD6"/>
    <w:rsid w:val="007D2BA0"/>
    <w:rsid w:val="007D38D9"/>
    <w:rsid w:val="007D39BC"/>
    <w:rsid w:val="007D43C4"/>
    <w:rsid w:val="007D6D9C"/>
    <w:rsid w:val="007D765A"/>
    <w:rsid w:val="007D7EB4"/>
    <w:rsid w:val="007E0E63"/>
    <w:rsid w:val="007E1A83"/>
    <w:rsid w:val="007E2465"/>
    <w:rsid w:val="007E3A95"/>
    <w:rsid w:val="007E3DDA"/>
    <w:rsid w:val="007E3F85"/>
    <w:rsid w:val="007E42BB"/>
    <w:rsid w:val="007E53A8"/>
    <w:rsid w:val="007E62C7"/>
    <w:rsid w:val="007E65B6"/>
    <w:rsid w:val="007F07A9"/>
    <w:rsid w:val="007F0E68"/>
    <w:rsid w:val="007F14D1"/>
    <w:rsid w:val="007F29F7"/>
    <w:rsid w:val="007F2B61"/>
    <w:rsid w:val="007F55A5"/>
    <w:rsid w:val="007F5CE2"/>
    <w:rsid w:val="00802408"/>
    <w:rsid w:val="00802A1A"/>
    <w:rsid w:val="008059A5"/>
    <w:rsid w:val="008106BA"/>
    <w:rsid w:val="008134A2"/>
    <w:rsid w:val="00813981"/>
    <w:rsid w:val="00813E78"/>
    <w:rsid w:val="008153CC"/>
    <w:rsid w:val="008201A4"/>
    <w:rsid w:val="00820A4F"/>
    <w:rsid w:val="00820E02"/>
    <w:rsid w:val="0082389C"/>
    <w:rsid w:val="00824FA6"/>
    <w:rsid w:val="008303E6"/>
    <w:rsid w:val="008308F6"/>
    <w:rsid w:val="008314C9"/>
    <w:rsid w:val="00831549"/>
    <w:rsid w:val="0083291E"/>
    <w:rsid w:val="008364C8"/>
    <w:rsid w:val="008366D9"/>
    <w:rsid w:val="008370F7"/>
    <w:rsid w:val="00837B0C"/>
    <w:rsid w:val="00837E97"/>
    <w:rsid w:val="008412C6"/>
    <w:rsid w:val="008420BE"/>
    <w:rsid w:val="00842164"/>
    <w:rsid w:val="00842183"/>
    <w:rsid w:val="008429E3"/>
    <w:rsid w:val="00843043"/>
    <w:rsid w:val="0084364F"/>
    <w:rsid w:val="0084458A"/>
    <w:rsid w:val="00845131"/>
    <w:rsid w:val="0084638B"/>
    <w:rsid w:val="008473FE"/>
    <w:rsid w:val="0084780C"/>
    <w:rsid w:val="00847D94"/>
    <w:rsid w:val="00852C65"/>
    <w:rsid w:val="008532DE"/>
    <w:rsid w:val="008548CE"/>
    <w:rsid w:val="0085511F"/>
    <w:rsid w:val="00855D8B"/>
    <w:rsid w:val="00855ECB"/>
    <w:rsid w:val="00856F1C"/>
    <w:rsid w:val="00860C65"/>
    <w:rsid w:val="00860E8A"/>
    <w:rsid w:val="00862EB8"/>
    <w:rsid w:val="0086392C"/>
    <w:rsid w:val="0086498E"/>
    <w:rsid w:val="0086513A"/>
    <w:rsid w:val="00866073"/>
    <w:rsid w:val="00867F1F"/>
    <w:rsid w:val="0087245F"/>
    <w:rsid w:val="00873A79"/>
    <w:rsid w:val="00873CD7"/>
    <w:rsid w:val="00875488"/>
    <w:rsid w:val="00875BDA"/>
    <w:rsid w:val="00876764"/>
    <w:rsid w:val="00877887"/>
    <w:rsid w:val="00881601"/>
    <w:rsid w:val="008831A6"/>
    <w:rsid w:val="00885131"/>
    <w:rsid w:val="00886631"/>
    <w:rsid w:val="00887D1B"/>
    <w:rsid w:val="00890026"/>
    <w:rsid w:val="0089050A"/>
    <w:rsid w:val="00890597"/>
    <w:rsid w:val="008905F0"/>
    <w:rsid w:val="008912B3"/>
    <w:rsid w:val="00891B7F"/>
    <w:rsid w:val="00892929"/>
    <w:rsid w:val="008944AD"/>
    <w:rsid w:val="00894AB1"/>
    <w:rsid w:val="00895185"/>
    <w:rsid w:val="00897924"/>
    <w:rsid w:val="00897EEB"/>
    <w:rsid w:val="008A09BA"/>
    <w:rsid w:val="008A284D"/>
    <w:rsid w:val="008A36B3"/>
    <w:rsid w:val="008A6B3E"/>
    <w:rsid w:val="008A75FE"/>
    <w:rsid w:val="008B0691"/>
    <w:rsid w:val="008B2982"/>
    <w:rsid w:val="008B2C63"/>
    <w:rsid w:val="008B3636"/>
    <w:rsid w:val="008B4236"/>
    <w:rsid w:val="008B442B"/>
    <w:rsid w:val="008B568D"/>
    <w:rsid w:val="008B5CEC"/>
    <w:rsid w:val="008B60DA"/>
    <w:rsid w:val="008B7510"/>
    <w:rsid w:val="008B7A79"/>
    <w:rsid w:val="008C0C10"/>
    <w:rsid w:val="008C17C6"/>
    <w:rsid w:val="008C1859"/>
    <w:rsid w:val="008C298F"/>
    <w:rsid w:val="008C5C82"/>
    <w:rsid w:val="008C6051"/>
    <w:rsid w:val="008C656C"/>
    <w:rsid w:val="008C6B6A"/>
    <w:rsid w:val="008D0FC9"/>
    <w:rsid w:val="008D1E80"/>
    <w:rsid w:val="008D2D41"/>
    <w:rsid w:val="008D458A"/>
    <w:rsid w:val="008D4A4B"/>
    <w:rsid w:val="008D4B7D"/>
    <w:rsid w:val="008D4EEA"/>
    <w:rsid w:val="008D70DB"/>
    <w:rsid w:val="008D78A2"/>
    <w:rsid w:val="008E1CF8"/>
    <w:rsid w:val="008E24B2"/>
    <w:rsid w:val="008E2B1F"/>
    <w:rsid w:val="008E3AFC"/>
    <w:rsid w:val="008E77A1"/>
    <w:rsid w:val="008E7829"/>
    <w:rsid w:val="008F2175"/>
    <w:rsid w:val="008F43B9"/>
    <w:rsid w:val="008F4640"/>
    <w:rsid w:val="008F6092"/>
    <w:rsid w:val="008F6D6D"/>
    <w:rsid w:val="008F7F2F"/>
    <w:rsid w:val="00902006"/>
    <w:rsid w:val="00902300"/>
    <w:rsid w:val="0090422E"/>
    <w:rsid w:val="0090549C"/>
    <w:rsid w:val="0091211E"/>
    <w:rsid w:val="009137A2"/>
    <w:rsid w:val="00913BCB"/>
    <w:rsid w:val="00914D1B"/>
    <w:rsid w:val="00915D6A"/>
    <w:rsid w:val="00915E3C"/>
    <w:rsid w:val="0091642D"/>
    <w:rsid w:val="00916C46"/>
    <w:rsid w:val="00916D77"/>
    <w:rsid w:val="00916F83"/>
    <w:rsid w:val="00917095"/>
    <w:rsid w:val="009177E2"/>
    <w:rsid w:val="00917BAD"/>
    <w:rsid w:val="00917E6C"/>
    <w:rsid w:val="00917FF4"/>
    <w:rsid w:val="00920FC6"/>
    <w:rsid w:val="0092485E"/>
    <w:rsid w:val="00924BBB"/>
    <w:rsid w:val="00924CDB"/>
    <w:rsid w:val="009256B0"/>
    <w:rsid w:val="009305D0"/>
    <w:rsid w:val="00930BF0"/>
    <w:rsid w:val="00931ADD"/>
    <w:rsid w:val="00932281"/>
    <w:rsid w:val="009324C6"/>
    <w:rsid w:val="00932AE6"/>
    <w:rsid w:val="009335D1"/>
    <w:rsid w:val="00933A6D"/>
    <w:rsid w:val="00933D9D"/>
    <w:rsid w:val="009343C9"/>
    <w:rsid w:val="00935725"/>
    <w:rsid w:val="00937439"/>
    <w:rsid w:val="00940620"/>
    <w:rsid w:val="00941696"/>
    <w:rsid w:val="0094173C"/>
    <w:rsid w:val="0094242A"/>
    <w:rsid w:val="0094441D"/>
    <w:rsid w:val="00944988"/>
    <w:rsid w:val="009451F6"/>
    <w:rsid w:val="00951CA8"/>
    <w:rsid w:val="00951FCA"/>
    <w:rsid w:val="00952059"/>
    <w:rsid w:val="009521DB"/>
    <w:rsid w:val="00953227"/>
    <w:rsid w:val="00953AE6"/>
    <w:rsid w:val="00954AB1"/>
    <w:rsid w:val="009551B5"/>
    <w:rsid w:val="0095731B"/>
    <w:rsid w:val="00957D36"/>
    <w:rsid w:val="00957D57"/>
    <w:rsid w:val="009611AC"/>
    <w:rsid w:val="009625CA"/>
    <w:rsid w:val="00966AF1"/>
    <w:rsid w:val="00966B45"/>
    <w:rsid w:val="009676C8"/>
    <w:rsid w:val="009728B0"/>
    <w:rsid w:val="00973008"/>
    <w:rsid w:val="00974926"/>
    <w:rsid w:val="009749F0"/>
    <w:rsid w:val="00975B53"/>
    <w:rsid w:val="00975B69"/>
    <w:rsid w:val="00975C38"/>
    <w:rsid w:val="00976294"/>
    <w:rsid w:val="0097637D"/>
    <w:rsid w:val="00976523"/>
    <w:rsid w:val="0097655B"/>
    <w:rsid w:val="0098001B"/>
    <w:rsid w:val="009817B6"/>
    <w:rsid w:val="0098266E"/>
    <w:rsid w:val="0098363F"/>
    <w:rsid w:val="00983DED"/>
    <w:rsid w:val="00984E27"/>
    <w:rsid w:val="00985B11"/>
    <w:rsid w:val="009861B4"/>
    <w:rsid w:val="0098715C"/>
    <w:rsid w:val="00987994"/>
    <w:rsid w:val="00990C27"/>
    <w:rsid w:val="00990FED"/>
    <w:rsid w:val="00991653"/>
    <w:rsid w:val="00992ECB"/>
    <w:rsid w:val="00995137"/>
    <w:rsid w:val="00995437"/>
    <w:rsid w:val="00995ABB"/>
    <w:rsid w:val="00996F22"/>
    <w:rsid w:val="009A2270"/>
    <w:rsid w:val="009A2285"/>
    <w:rsid w:val="009A3625"/>
    <w:rsid w:val="009A41E2"/>
    <w:rsid w:val="009A4408"/>
    <w:rsid w:val="009A5808"/>
    <w:rsid w:val="009A60CF"/>
    <w:rsid w:val="009A6671"/>
    <w:rsid w:val="009A6D25"/>
    <w:rsid w:val="009A7DE4"/>
    <w:rsid w:val="009B127E"/>
    <w:rsid w:val="009B13CF"/>
    <w:rsid w:val="009B19E6"/>
    <w:rsid w:val="009B2D22"/>
    <w:rsid w:val="009B39DA"/>
    <w:rsid w:val="009B4F06"/>
    <w:rsid w:val="009B4F90"/>
    <w:rsid w:val="009B57D1"/>
    <w:rsid w:val="009B6361"/>
    <w:rsid w:val="009B67EB"/>
    <w:rsid w:val="009B6B18"/>
    <w:rsid w:val="009C2476"/>
    <w:rsid w:val="009C2F8C"/>
    <w:rsid w:val="009C5143"/>
    <w:rsid w:val="009C5FDB"/>
    <w:rsid w:val="009C684D"/>
    <w:rsid w:val="009C75A9"/>
    <w:rsid w:val="009D05ED"/>
    <w:rsid w:val="009D1327"/>
    <w:rsid w:val="009D1C07"/>
    <w:rsid w:val="009D3D98"/>
    <w:rsid w:val="009D43CE"/>
    <w:rsid w:val="009D547B"/>
    <w:rsid w:val="009D7ED7"/>
    <w:rsid w:val="009E04A4"/>
    <w:rsid w:val="009E09B5"/>
    <w:rsid w:val="009E0E6C"/>
    <w:rsid w:val="009E1B25"/>
    <w:rsid w:val="009E204F"/>
    <w:rsid w:val="009E312E"/>
    <w:rsid w:val="009E3B31"/>
    <w:rsid w:val="009E5A9B"/>
    <w:rsid w:val="009E61A1"/>
    <w:rsid w:val="009E68F9"/>
    <w:rsid w:val="009E6F20"/>
    <w:rsid w:val="009F0652"/>
    <w:rsid w:val="009F2FA1"/>
    <w:rsid w:val="009F356A"/>
    <w:rsid w:val="009F3606"/>
    <w:rsid w:val="009F39FC"/>
    <w:rsid w:val="009F52F6"/>
    <w:rsid w:val="009F6C9D"/>
    <w:rsid w:val="009F6E6E"/>
    <w:rsid w:val="009F7AA5"/>
    <w:rsid w:val="009F7E5E"/>
    <w:rsid w:val="00A00F0C"/>
    <w:rsid w:val="00A0272E"/>
    <w:rsid w:val="00A02B53"/>
    <w:rsid w:val="00A03259"/>
    <w:rsid w:val="00A038A3"/>
    <w:rsid w:val="00A064F6"/>
    <w:rsid w:val="00A06AF4"/>
    <w:rsid w:val="00A102D3"/>
    <w:rsid w:val="00A110D2"/>
    <w:rsid w:val="00A113EB"/>
    <w:rsid w:val="00A120D8"/>
    <w:rsid w:val="00A12396"/>
    <w:rsid w:val="00A1502F"/>
    <w:rsid w:val="00A158A4"/>
    <w:rsid w:val="00A171DE"/>
    <w:rsid w:val="00A17814"/>
    <w:rsid w:val="00A17B21"/>
    <w:rsid w:val="00A20440"/>
    <w:rsid w:val="00A20D2B"/>
    <w:rsid w:val="00A24C05"/>
    <w:rsid w:val="00A30CBB"/>
    <w:rsid w:val="00A30E91"/>
    <w:rsid w:val="00A31FF3"/>
    <w:rsid w:val="00A33491"/>
    <w:rsid w:val="00A37736"/>
    <w:rsid w:val="00A41157"/>
    <w:rsid w:val="00A42A12"/>
    <w:rsid w:val="00A437F0"/>
    <w:rsid w:val="00A44B6C"/>
    <w:rsid w:val="00A44C92"/>
    <w:rsid w:val="00A4539A"/>
    <w:rsid w:val="00A4787C"/>
    <w:rsid w:val="00A50074"/>
    <w:rsid w:val="00A501A1"/>
    <w:rsid w:val="00A5129B"/>
    <w:rsid w:val="00A52B77"/>
    <w:rsid w:val="00A55033"/>
    <w:rsid w:val="00A56181"/>
    <w:rsid w:val="00A56CB7"/>
    <w:rsid w:val="00A56CE4"/>
    <w:rsid w:val="00A57B3F"/>
    <w:rsid w:val="00A608E0"/>
    <w:rsid w:val="00A61685"/>
    <w:rsid w:val="00A63A36"/>
    <w:rsid w:val="00A66225"/>
    <w:rsid w:val="00A714A1"/>
    <w:rsid w:val="00A71E7E"/>
    <w:rsid w:val="00A7412A"/>
    <w:rsid w:val="00A767F1"/>
    <w:rsid w:val="00A8098D"/>
    <w:rsid w:val="00A83087"/>
    <w:rsid w:val="00A8402C"/>
    <w:rsid w:val="00A85AC7"/>
    <w:rsid w:val="00A86020"/>
    <w:rsid w:val="00A914E0"/>
    <w:rsid w:val="00A92D01"/>
    <w:rsid w:val="00A9401E"/>
    <w:rsid w:val="00A941E6"/>
    <w:rsid w:val="00A94EF8"/>
    <w:rsid w:val="00A95C2F"/>
    <w:rsid w:val="00A96499"/>
    <w:rsid w:val="00A971C5"/>
    <w:rsid w:val="00A97F61"/>
    <w:rsid w:val="00AA23CC"/>
    <w:rsid w:val="00AA7CDA"/>
    <w:rsid w:val="00AB0784"/>
    <w:rsid w:val="00AB25CA"/>
    <w:rsid w:val="00AB2654"/>
    <w:rsid w:val="00AB3A79"/>
    <w:rsid w:val="00AB47A4"/>
    <w:rsid w:val="00AB5CA1"/>
    <w:rsid w:val="00AB6959"/>
    <w:rsid w:val="00AB6BCC"/>
    <w:rsid w:val="00AC03A4"/>
    <w:rsid w:val="00AC0A7F"/>
    <w:rsid w:val="00AC1F3D"/>
    <w:rsid w:val="00AC3E04"/>
    <w:rsid w:val="00AC4F73"/>
    <w:rsid w:val="00AC4F7A"/>
    <w:rsid w:val="00AC601E"/>
    <w:rsid w:val="00AC6E6C"/>
    <w:rsid w:val="00AD044A"/>
    <w:rsid w:val="00AD25DC"/>
    <w:rsid w:val="00AD2807"/>
    <w:rsid w:val="00AD33F2"/>
    <w:rsid w:val="00AD47C5"/>
    <w:rsid w:val="00AD6B5B"/>
    <w:rsid w:val="00AD6C2F"/>
    <w:rsid w:val="00AD7D06"/>
    <w:rsid w:val="00AE016E"/>
    <w:rsid w:val="00AE05DB"/>
    <w:rsid w:val="00AE060E"/>
    <w:rsid w:val="00AE3FAB"/>
    <w:rsid w:val="00AE7AD9"/>
    <w:rsid w:val="00AE7CE7"/>
    <w:rsid w:val="00AE7F2D"/>
    <w:rsid w:val="00AF2CED"/>
    <w:rsid w:val="00AF45B2"/>
    <w:rsid w:val="00AF6AA6"/>
    <w:rsid w:val="00AF750E"/>
    <w:rsid w:val="00B01F18"/>
    <w:rsid w:val="00B02625"/>
    <w:rsid w:val="00B03656"/>
    <w:rsid w:val="00B036D3"/>
    <w:rsid w:val="00B061D8"/>
    <w:rsid w:val="00B07500"/>
    <w:rsid w:val="00B10805"/>
    <w:rsid w:val="00B11A4B"/>
    <w:rsid w:val="00B15E21"/>
    <w:rsid w:val="00B17316"/>
    <w:rsid w:val="00B201F6"/>
    <w:rsid w:val="00B20903"/>
    <w:rsid w:val="00B20EBE"/>
    <w:rsid w:val="00B224CE"/>
    <w:rsid w:val="00B22A07"/>
    <w:rsid w:val="00B25899"/>
    <w:rsid w:val="00B25BED"/>
    <w:rsid w:val="00B25E47"/>
    <w:rsid w:val="00B27B10"/>
    <w:rsid w:val="00B30672"/>
    <w:rsid w:val="00B32E69"/>
    <w:rsid w:val="00B361A7"/>
    <w:rsid w:val="00B363BB"/>
    <w:rsid w:val="00B367BA"/>
    <w:rsid w:val="00B403BA"/>
    <w:rsid w:val="00B4119F"/>
    <w:rsid w:val="00B420F2"/>
    <w:rsid w:val="00B4276A"/>
    <w:rsid w:val="00B42F94"/>
    <w:rsid w:val="00B432B4"/>
    <w:rsid w:val="00B46966"/>
    <w:rsid w:val="00B46F61"/>
    <w:rsid w:val="00B47FC5"/>
    <w:rsid w:val="00B5099D"/>
    <w:rsid w:val="00B50CE3"/>
    <w:rsid w:val="00B50E5B"/>
    <w:rsid w:val="00B51295"/>
    <w:rsid w:val="00B5185C"/>
    <w:rsid w:val="00B5186D"/>
    <w:rsid w:val="00B526F5"/>
    <w:rsid w:val="00B535E1"/>
    <w:rsid w:val="00B54424"/>
    <w:rsid w:val="00B54485"/>
    <w:rsid w:val="00B5514A"/>
    <w:rsid w:val="00B60052"/>
    <w:rsid w:val="00B60934"/>
    <w:rsid w:val="00B62B0B"/>
    <w:rsid w:val="00B646E7"/>
    <w:rsid w:val="00B64918"/>
    <w:rsid w:val="00B6579D"/>
    <w:rsid w:val="00B65A48"/>
    <w:rsid w:val="00B66CEA"/>
    <w:rsid w:val="00B66D67"/>
    <w:rsid w:val="00B7118A"/>
    <w:rsid w:val="00B72D31"/>
    <w:rsid w:val="00B76EB3"/>
    <w:rsid w:val="00B8047C"/>
    <w:rsid w:val="00B81254"/>
    <w:rsid w:val="00B815EC"/>
    <w:rsid w:val="00B81836"/>
    <w:rsid w:val="00B8464E"/>
    <w:rsid w:val="00B84D55"/>
    <w:rsid w:val="00B84F23"/>
    <w:rsid w:val="00B85517"/>
    <w:rsid w:val="00B93B94"/>
    <w:rsid w:val="00B93EA4"/>
    <w:rsid w:val="00B95225"/>
    <w:rsid w:val="00B959BB"/>
    <w:rsid w:val="00BA099F"/>
    <w:rsid w:val="00BA0D87"/>
    <w:rsid w:val="00BA1098"/>
    <w:rsid w:val="00BA1A57"/>
    <w:rsid w:val="00BA1E1F"/>
    <w:rsid w:val="00BA1F42"/>
    <w:rsid w:val="00BA3355"/>
    <w:rsid w:val="00BA34BB"/>
    <w:rsid w:val="00BA3B84"/>
    <w:rsid w:val="00BA47C8"/>
    <w:rsid w:val="00BA56CE"/>
    <w:rsid w:val="00BA581B"/>
    <w:rsid w:val="00BA6347"/>
    <w:rsid w:val="00BA7ADE"/>
    <w:rsid w:val="00BA7EF0"/>
    <w:rsid w:val="00BB125F"/>
    <w:rsid w:val="00BB1360"/>
    <w:rsid w:val="00BB155E"/>
    <w:rsid w:val="00BB1584"/>
    <w:rsid w:val="00BB598D"/>
    <w:rsid w:val="00BB7363"/>
    <w:rsid w:val="00BB745B"/>
    <w:rsid w:val="00BC045A"/>
    <w:rsid w:val="00BC08D9"/>
    <w:rsid w:val="00BC2258"/>
    <w:rsid w:val="00BC2F37"/>
    <w:rsid w:val="00BC55C0"/>
    <w:rsid w:val="00BC55DB"/>
    <w:rsid w:val="00BC610B"/>
    <w:rsid w:val="00BD19D3"/>
    <w:rsid w:val="00BD368F"/>
    <w:rsid w:val="00BD3C2B"/>
    <w:rsid w:val="00BD6B49"/>
    <w:rsid w:val="00BD702E"/>
    <w:rsid w:val="00BE15D2"/>
    <w:rsid w:val="00BE30D1"/>
    <w:rsid w:val="00BE38F6"/>
    <w:rsid w:val="00BE3AFE"/>
    <w:rsid w:val="00BE43EA"/>
    <w:rsid w:val="00BE483A"/>
    <w:rsid w:val="00BE4A11"/>
    <w:rsid w:val="00BE4D1D"/>
    <w:rsid w:val="00BE4F9D"/>
    <w:rsid w:val="00BE5346"/>
    <w:rsid w:val="00BE607A"/>
    <w:rsid w:val="00BE698E"/>
    <w:rsid w:val="00BE6C2A"/>
    <w:rsid w:val="00BE7916"/>
    <w:rsid w:val="00BF037A"/>
    <w:rsid w:val="00BF6A1C"/>
    <w:rsid w:val="00BF7879"/>
    <w:rsid w:val="00C01D33"/>
    <w:rsid w:val="00C02E7F"/>
    <w:rsid w:val="00C04A07"/>
    <w:rsid w:val="00C04B7E"/>
    <w:rsid w:val="00C04D4E"/>
    <w:rsid w:val="00C071DB"/>
    <w:rsid w:val="00C07C84"/>
    <w:rsid w:val="00C11E42"/>
    <w:rsid w:val="00C167D8"/>
    <w:rsid w:val="00C17109"/>
    <w:rsid w:val="00C27986"/>
    <w:rsid w:val="00C27AFC"/>
    <w:rsid w:val="00C3068C"/>
    <w:rsid w:val="00C30AC1"/>
    <w:rsid w:val="00C3208C"/>
    <w:rsid w:val="00C3227A"/>
    <w:rsid w:val="00C325E8"/>
    <w:rsid w:val="00C3418A"/>
    <w:rsid w:val="00C3467B"/>
    <w:rsid w:val="00C37E6E"/>
    <w:rsid w:val="00C40096"/>
    <w:rsid w:val="00C406D7"/>
    <w:rsid w:val="00C40D0E"/>
    <w:rsid w:val="00C4249B"/>
    <w:rsid w:val="00C4364E"/>
    <w:rsid w:val="00C43DBF"/>
    <w:rsid w:val="00C43F53"/>
    <w:rsid w:val="00C4406D"/>
    <w:rsid w:val="00C441D5"/>
    <w:rsid w:val="00C444D3"/>
    <w:rsid w:val="00C464AB"/>
    <w:rsid w:val="00C46ACC"/>
    <w:rsid w:val="00C51FE1"/>
    <w:rsid w:val="00C5463D"/>
    <w:rsid w:val="00C556DE"/>
    <w:rsid w:val="00C616F4"/>
    <w:rsid w:val="00C6237C"/>
    <w:rsid w:val="00C6262D"/>
    <w:rsid w:val="00C635AD"/>
    <w:rsid w:val="00C6491C"/>
    <w:rsid w:val="00C65242"/>
    <w:rsid w:val="00C65637"/>
    <w:rsid w:val="00C71D00"/>
    <w:rsid w:val="00C72300"/>
    <w:rsid w:val="00C72A92"/>
    <w:rsid w:val="00C73DAE"/>
    <w:rsid w:val="00C75924"/>
    <w:rsid w:val="00C75E0D"/>
    <w:rsid w:val="00C767A7"/>
    <w:rsid w:val="00C77A98"/>
    <w:rsid w:val="00C8366C"/>
    <w:rsid w:val="00C840C8"/>
    <w:rsid w:val="00C846E1"/>
    <w:rsid w:val="00C87A11"/>
    <w:rsid w:val="00C9029C"/>
    <w:rsid w:val="00C90441"/>
    <w:rsid w:val="00C921D6"/>
    <w:rsid w:val="00C934DA"/>
    <w:rsid w:val="00C935F8"/>
    <w:rsid w:val="00C94EEE"/>
    <w:rsid w:val="00C952A1"/>
    <w:rsid w:val="00C95303"/>
    <w:rsid w:val="00C97768"/>
    <w:rsid w:val="00C97EE8"/>
    <w:rsid w:val="00CA0BDB"/>
    <w:rsid w:val="00CA3D6C"/>
    <w:rsid w:val="00CA43F2"/>
    <w:rsid w:val="00CB10F6"/>
    <w:rsid w:val="00CB1201"/>
    <w:rsid w:val="00CB4E4E"/>
    <w:rsid w:val="00CB5736"/>
    <w:rsid w:val="00CB5D42"/>
    <w:rsid w:val="00CB613F"/>
    <w:rsid w:val="00CB642D"/>
    <w:rsid w:val="00CB7461"/>
    <w:rsid w:val="00CB7481"/>
    <w:rsid w:val="00CB793C"/>
    <w:rsid w:val="00CC03DA"/>
    <w:rsid w:val="00CC0879"/>
    <w:rsid w:val="00CC1391"/>
    <w:rsid w:val="00CC14E7"/>
    <w:rsid w:val="00CC1561"/>
    <w:rsid w:val="00CC170E"/>
    <w:rsid w:val="00CC1C54"/>
    <w:rsid w:val="00CC27BB"/>
    <w:rsid w:val="00CC2A5F"/>
    <w:rsid w:val="00CC327D"/>
    <w:rsid w:val="00CC3D81"/>
    <w:rsid w:val="00CC4F70"/>
    <w:rsid w:val="00CC6E31"/>
    <w:rsid w:val="00CD01CB"/>
    <w:rsid w:val="00CD187B"/>
    <w:rsid w:val="00CD1B64"/>
    <w:rsid w:val="00CD283F"/>
    <w:rsid w:val="00CD2C20"/>
    <w:rsid w:val="00CD3652"/>
    <w:rsid w:val="00CD4F54"/>
    <w:rsid w:val="00CD66C0"/>
    <w:rsid w:val="00CE063E"/>
    <w:rsid w:val="00CE0B07"/>
    <w:rsid w:val="00CE23B5"/>
    <w:rsid w:val="00CE29F6"/>
    <w:rsid w:val="00CE3CD7"/>
    <w:rsid w:val="00CE411D"/>
    <w:rsid w:val="00CE5249"/>
    <w:rsid w:val="00CE5E13"/>
    <w:rsid w:val="00CE6B72"/>
    <w:rsid w:val="00CE6F45"/>
    <w:rsid w:val="00CF03F9"/>
    <w:rsid w:val="00CF0B02"/>
    <w:rsid w:val="00CF0CEC"/>
    <w:rsid w:val="00CF1002"/>
    <w:rsid w:val="00CF1655"/>
    <w:rsid w:val="00CF2CC6"/>
    <w:rsid w:val="00CF3D33"/>
    <w:rsid w:val="00CF5374"/>
    <w:rsid w:val="00CF6254"/>
    <w:rsid w:val="00CF7E5E"/>
    <w:rsid w:val="00D01D1A"/>
    <w:rsid w:val="00D02C94"/>
    <w:rsid w:val="00D055E3"/>
    <w:rsid w:val="00D07F42"/>
    <w:rsid w:val="00D100E1"/>
    <w:rsid w:val="00D10AA7"/>
    <w:rsid w:val="00D10CA7"/>
    <w:rsid w:val="00D1122A"/>
    <w:rsid w:val="00D11D7F"/>
    <w:rsid w:val="00D12308"/>
    <w:rsid w:val="00D133AB"/>
    <w:rsid w:val="00D15556"/>
    <w:rsid w:val="00D1558D"/>
    <w:rsid w:val="00D15C1B"/>
    <w:rsid w:val="00D166BF"/>
    <w:rsid w:val="00D17A42"/>
    <w:rsid w:val="00D201A0"/>
    <w:rsid w:val="00D239AE"/>
    <w:rsid w:val="00D23A84"/>
    <w:rsid w:val="00D24C78"/>
    <w:rsid w:val="00D25245"/>
    <w:rsid w:val="00D257E9"/>
    <w:rsid w:val="00D26625"/>
    <w:rsid w:val="00D27530"/>
    <w:rsid w:val="00D27AA2"/>
    <w:rsid w:val="00D313A7"/>
    <w:rsid w:val="00D316B5"/>
    <w:rsid w:val="00D3229C"/>
    <w:rsid w:val="00D3280C"/>
    <w:rsid w:val="00D33293"/>
    <w:rsid w:val="00D34720"/>
    <w:rsid w:val="00D34CC2"/>
    <w:rsid w:val="00D3502B"/>
    <w:rsid w:val="00D35714"/>
    <w:rsid w:val="00D357F1"/>
    <w:rsid w:val="00D3597F"/>
    <w:rsid w:val="00D3635D"/>
    <w:rsid w:val="00D36B13"/>
    <w:rsid w:val="00D37679"/>
    <w:rsid w:val="00D42041"/>
    <w:rsid w:val="00D42A86"/>
    <w:rsid w:val="00D430A4"/>
    <w:rsid w:val="00D43600"/>
    <w:rsid w:val="00D44C01"/>
    <w:rsid w:val="00D44C74"/>
    <w:rsid w:val="00D44DF2"/>
    <w:rsid w:val="00D46F0A"/>
    <w:rsid w:val="00D47400"/>
    <w:rsid w:val="00D50AAC"/>
    <w:rsid w:val="00D518A4"/>
    <w:rsid w:val="00D51A1A"/>
    <w:rsid w:val="00D5302C"/>
    <w:rsid w:val="00D538F6"/>
    <w:rsid w:val="00D53CF7"/>
    <w:rsid w:val="00D55BC3"/>
    <w:rsid w:val="00D5648B"/>
    <w:rsid w:val="00D574A3"/>
    <w:rsid w:val="00D6232C"/>
    <w:rsid w:val="00D6502F"/>
    <w:rsid w:val="00D6589A"/>
    <w:rsid w:val="00D66509"/>
    <w:rsid w:val="00D6690A"/>
    <w:rsid w:val="00D70E05"/>
    <w:rsid w:val="00D72027"/>
    <w:rsid w:val="00D72464"/>
    <w:rsid w:val="00D735AB"/>
    <w:rsid w:val="00D7390C"/>
    <w:rsid w:val="00D77010"/>
    <w:rsid w:val="00D7782A"/>
    <w:rsid w:val="00D819C8"/>
    <w:rsid w:val="00D81DFC"/>
    <w:rsid w:val="00D82555"/>
    <w:rsid w:val="00D84A24"/>
    <w:rsid w:val="00D84EA8"/>
    <w:rsid w:val="00D863AA"/>
    <w:rsid w:val="00D87991"/>
    <w:rsid w:val="00D901D7"/>
    <w:rsid w:val="00D9099B"/>
    <w:rsid w:val="00D90CF8"/>
    <w:rsid w:val="00D90FED"/>
    <w:rsid w:val="00D930A4"/>
    <w:rsid w:val="00D9493B"/>
    <w:rsid w:val="00D9565C"/>
    <w:rsid w:val="00D95A69"/>
    <w:rsid w:val="00D97A53"/>
    <w:rsid w:val="00DA333B"/>
    <w:rsid w:val="00DA3688"/>
    <w:rsid w:val="00DA3A4B"/>
    <w:rsid w:val="00DA4FDB"/>
    <w:rsid w:val="00DA612B"/>
    <w:rsid w:val="00DB063D"/>
    <w:rsid w:val="00DB1DED"/>
    <w:rsid w:val="00DB378B"/>
    <w:rsid w:val="00DB4262"/>
    <w:rsid w:val="00DB4895"/>
    <w:rsid w:val="00DB5017"/>
    <w:rsid w:val="00DB51A9"/>
    <w:rsid w:val="00DB6300"/>
    <w:rsid w:val="00DB663F"/>
    <w:rsid w:val="00DB7002"/>
    <w:rsid w:val="00DC0D1D"/>
    <w:rsid w:val="00DC1579"/>
    <w:rsid w:val="00DC1D4A"/>
    <w:rsid w:val="00DC23F9"/>
    <w:rsid w:val="00DC262A"/>
    <w:rsid w:val="00DC2D64"/>
    <w:rsid w:val="00DC6F1D"/>
    <w:rsid w:val="00DD1365"/>
    <w:rsid w:val="00DD213D"/>
    <w:rsid w:val="00DD74B0"/>
    <w:rsid w:val="00DE06DA"/>
    <w:rsid w:val="00DE08D4"/>
    <w:rsid w:val="00DE35F0"/>
    <w:rsid w:val="00DE3600"/>
    <w:rsid w:val="00DE640C"/>
    <w:rsid w:val="00DE79C8"/>
    <w:rsid w:val="00DF072A"/>
    <w:rsid w:val="00DF1973"/>
    <w:rsid w:val="00DF19BA"/>
    <w:rsid w:val="00DF2B71"/>
    <w:rsid w:val="00DF3A09"/>
    <w:rsid w:val="00DF3F57"/>
    <w:rsid w:val="00DF43D9"/>
    <w:rsid w:val="00DF73E0"/>
    <w:rsid w:val="00E01F2F"/>
    <w:rsid w:val="00E045A5"/>
    <w:rsid w:val="00E05DAD"/>
    <w:rsid w:val="00E07919"/>
    <w:rsid w:val="00E10BB0"/>
    <w:rsid w:val="00E12EF3"/>
    <w:rsid w:val="00E150DD"/>
    <w:rsid w:val="00E16309"/>
    <w:rsid w:val="00E166BD"/>
    <w:rsid w:val="00E20669"/>
    <w:rsid w:val="00E2184E"/>
    <w:rsid w:val="00E22740"/>
    <w:rsid w:val="00E253D4"/>
    <w:rsid w:val="00E25A4A"/>
    <w:rsid w:val="00E26143"/>
    <w:rsid w:val="00E3005E"/>
    <w:rsid w:val="00E302A3"/>
    <w:rsid w:val="00E30DAF"/>
    <w:rsid w:val="00E31B85"/>
    <w:rsid w:val="00E31BEB"/>
    <w:rsid w:val="00E33C1E"/>
    <w:rsid w:val="00E34521"/>
    <w:rsid w:val="00E41C73"/>
    <w:rsid w:val="00E422ED"/>
    <w:rsid w:val="00E45C95"/>
    <w:rsid w:val="00E51319"/>
    <w:rsid w:val="00E5241D"/>
    <w:rsid w:val="00E52656"/>
    <w:rsid w:val="00E5443F"/>
    <w:rsid w:val="00E5486A"/>
    <w:rsid w:val="00E55441"/>
    <w:rsid w:val="00E60A5E"/>
    <w:rsid w:val="00E60CE4"/>
    <w:rsid w:val="00E61F47"/>
    <w:rsid w:val="00E64E8A"/>
    <w:rsid w:val="00E650AD"/>
    <w:rsid w:val="00E66211"/>
    <w:rsid w:val="00E66A85"/>
    <w:rsid w:val="00E67351"/>
    <w:rsid w:val="00E7028F"/>
    <w:rsid w:val="00E70E18"/>
    <w:rsid w:val="00E71B1D"/>
    <w:rsid w:val="00E72848"/>
    <w:rsid w:val="00E7372E"/>
    <w:rsid w:val="00E74800"/>
    <w:rsid w:val="00E7512C"/>
    <w:rsid w:val="00E75A73"/>
    <w:rsid w:val="00E7738D"/>
    <w:rsid w:val="00E806DD"/>
    <w:rsid w:val="00E80AA5"/>
    <w:rsid w:val="00E80AF0"/>
    <w:rsid w:val="00E8155E"/>
    <w:rsid w:val="00E829E2"/>
    <w:rsid w:val="00E82E06"/>
    <w:rsid w:val="00E8393F"/>
    <w:rsid w:val="00E876FD"/>
    <w:rsid w:val="00E914A8"/>
    <w:rsid w:val="00E91F9F"/>
    <w:rsid w:val="00E9307D"/>
    <w:rsid w:val="00E95623"/>
    <w:rsid w:val="00E95D82"/>
    <w:rsid w:val="00E95F26"/>
    <w:rsid w:val="00E96925"/>
    <w:rsid w:val="00E97E00"/>
    <w:rsid w:val="00EA0511"/>
    <w:rsid w:val="00EA0BD8"/>
    <w:rsid w:val="00EA0CB2"/>
    <w:rsid w:val="00EA0FCE"/>
    <w:rsid w:val="00EA2DF4"/>
    <w:rsid w:val="00EA35A6"/>
    <w:rsid w:val="00EA5638"/>
    <w:rsid w:val="00EA637F"/>
    <w:rsid w:val="00EB03B1"/>
    <w:rsid w:val="00EB14CB"/>
    <w:rsid w:val="00EB1984"/>
    <w:rsid w:val="00EB36A6"/>
    <w:rsid w:val="00EB4922"/>
    <w:rsid w:val="00EB5283"/>
    <w:rsid w:val="00EB5611"/>
    <w:rsid w:val="00EB7F95"/>
    <w:rsid w:val="00EC1B97"/>
    <w:rsid w:val="00EC22E7"/>
    <w:rsid w:val="00EC3F61"/>
    <w:rsid w:val="00EC40F0"/>
    <w:rsid w:val="00EC4937"/>
    <w:rsid w:val="00EC66F4"/>
    <w:rsid w:val="00ED0921"/>
    <w:rsid w:val="00ED1EE4"/>
    <w:rsid w:val="00ED3B15"/>
    <w:rsid w:val="00ED3B88"/>
    <w:rsid w:val="00ED3D54"/>
    <w:rsid w:val="00ED5497"/>
    <w:rsid w:val="00ED6340"/>
    <w:rsid w:val="00ED66AE"/>
    <w:rsid w:val="00ED6E45"/>
    <w:rsid w:val="00EE1157"/>
    <w:rsid w:val="00EE1B46"/>
    <w:rsid w:val="00EE2728"/>
    <w:rsid w:val="00EE4194"/>
    <w:rsid w:val="00EE49A2"/>
    <w:rsid w:val="00EE4C2E"/>
    <w:rsid w:val="00EE5E71"/>
    <w:rsid w:val="00EF0156"/>
    <w:rsid w:val="00EF2112"/>
    <w:rsid w:val="00EF3311"/>
    <w:rsid w:val="00EF3D48"/>
    <w:rsid w:val="00EF45D6"/>
    <w:rsid w:val="00EF4E78"/>
    <w:rsid w:val="00EF615F"/>
    <w:rsid w:val="00EF7C62"/>
    <w:rsid w:val="00F00A33"/>
    <w:rsid w:val="00F00B26"/>
    <w:rsid w:val="00F017E2"/>
    <w:rsid w:val="00F01AC6"/>
    <w:rsid w:val="00F01AF6"/>
    <w:rsid w:val="00F01C3B"/>
    <w:rsid w:val="00F03ACF"/>
    <w:rsid w:val="00F03B25"/>
    <w:rsid w:val="00F04A0B"/>
    <w:rsid w:val="00F05971"/>
    <w:rsid w:val="00F0704B"/>
    <w:rsid w:val="00F111B1"/>
    <w:rsid w:val="00F12B91"/>
    <w:rsid w:val="00F13EF6"/>
    <w:rsid w:val="00F14F0B"/>
    <w:rsid w:val="00F16504"/>
    <w:rsid w:val="00F16777"/>
    <w:rsid w:val="00F16A7D"/>
    <w:rsid w:val="00F16F14"/>
    <w:rsid w:val="00F20E1F"/>
    <w:rsid w:val="00F21D3C"/>
    <w:rsid w:val="00F22B5A"/>
    <w:rsid w:val="00F231E9"/>
    <w:rsid w:val="00F24005"/>
    <w:rsid w:val="00F2428F"/>
    <w:rsid w:val="00F2557B"/>
    <w:rsid w:val="00F26262"/>
    <w:rsid w:val="00F26877"/>
    <w:rsid w:val="00F26C97"/>
    <w:rsid w:val="00F271CE"/>
    <w:rsid w:val="00F277E0"/>
    <w:rsid w:val="00F31479"/>
    <w:rsid w:val="00F320E6"/>
    <w:rsid w:val="00F32B53"/>
    <w:rsid w:val="00F3594C"/>
    <w:rsid w:val="00F35D5A"/>
    <w:rsid w:val="00F361F9"/>
    <w:rsid w:val="00F37734"/>
    <w:rsid w:val="00F37EA8"/>
    <w:rsid w:val="00F42B10"/>
    <w:rsid w:val="00F45884"/>
    <w:rsid w:val="00F466C4"/>
    <w:rsid w:val="00F47E01"/>
    <w:rsid w:val="00F47FC8"/>
    <w:rsid w:val="00F516D3"/>
    <w:rsid w:val="00F52375"/>
    <w:rsid w:val="00F52A0E"/>
    <w:rsid w:val="00F53B39"/>
    <w:rsid w:val="00F54D6C"/>
    <w:rsid w:val="00F55870"/>
    <w:rsid w:val="00F56A6B"/>
    <w:rsid w:val="00F576E2"/>
    <w:rsid w:val="00F60411"/>
    <w:rsid w:val="00F6136F"/>
    <w:rsid w:val="00F615FE"/>
    <w:rsid w:val="00F61662"/>
    <w:rsid w:val="00F61D6F"/>
    <w:rsid w:val="00F627F3"/>
    <w:rsid w:val="00F64832"/>
    <w:rsid w:val="00F648CB"/>
    <w:rsid w:val="00F66A48"/>
    <w:rsid w:val="00F67405"/>
    <w:rsid w:val="00F67D38"/>
    <w:rsid w:val="00F72282"/>
    <w:rsid w:val="00F738F3"/>
    <w:rsid w:val="00F75659"/>
    <w:rsid w:val="00F77572"/>
    <w:rsid w:val="00F77A78"/>
    <w:rsid w:val="00F77B69"/>
    <w:rsid w:val="00F80479"/>
    <w:rsid w:val="00F8118A"/>
    <w:rsid w:val="00F815A4"/>
    <w:rsid w:val="00F821F1"/>
    <w:rsid w:val="00F86A0B"/>
    <w:rsid w:val="00F87FC7"/>
    <w:rsid w:val="00F90200"/>
    <w:rsid w:val="00F909F2"/>
    <w:rsid w:val="00F91731"/>
    <w:rsid w:val="00F91B89"/>
    <w:rsid w:val="00F923C6"/>
    <w:rsid w:val="00F94AD0"/>
    <w:rsid w:val="00F963A3"/>
    <w:rsid w:val="00F96CE8"/>
    <w:rsid w:val="00F978B5"/>
    <w:rsid w:val="00F97D4B"/>
    <w:rsid w:val="00FA2ABD"/>
    <w:rsid w:val="00FA479D"/>
    <w:rsid w:val="00FA4BC6"/>
    <w:rsid w:val="00FA5A75"/>
    <w:rsid w:val="00FA5F23"/>
    <w:rsid w:val="00FA61C6"/>
    <w:rsid w:val="00FA731C"/>
    <w:rsid w:val="00FA7E8E"/>
    <w:rsid w:val="00FB171A"/>
    <w:rsid w:val="00FB1ED6"/>
    <w:rsid w:val="00FB389C"/>
    <w:rsid w:val="00FB4D70"/>
    <w:rsid w:val="00FB4FBD"/>
    <w:rsid w:val="00FB67FA"/>
    <w:rsid w:val="00FB6825"/>
    <w:rsid w:val="00FC0C36"/>
    <w:rsid w:val="00FC24C4"/>
    <w:rsid w:val="00FC2BAB"/>
    <w:rsid w:val="00FC31FB"/>
    <w:rsid w:val="00FC3EEC"/>
    <w:rsid w:val="00FC4596"/>
    <w:rsid w:val="00FC72E3"/>
    <w:rsid w:val="00FD2036"/>
    <w:rsid w:val="00FD33CC"/>
    <w:rsid w:val="00FD3C9F"/>
    <w:rsid w:val="00FD4CD6"/>
    <w:rsid w:val="00FD52FD"/>
    <w:rsid w:val="00FD5835"/>
    <w:rsid w:val="00FE0261"/>
    <w:rsid w:val="00FE3594"/>
    <w:rsid w:val="00FE38DA"/>
    <w:rsid w:val="00FE40D2"/>
    <w:rsid w:val="00FE7C6D"/>
    <w:rsid w:val="00FF056F"/>
    <w:rsid w:val="00FF124C"/>
    <w:rsid w:val="00FF16D1"/>
    <w:rsid w:val="00FF21D5"/>
    <w:rsid w:val="00FF24BE"/>
    <w:rsid w:val="00FF570F"/>
    <w:rsid w:val="00FF6AC7"/>
    <w:rsid w:val="00FF711A"/>
    <w:rsid w:val="00FF7D86"/>
    <w:rsid w:val="02935784"/>
    <w:rsid w:val="032469B6"/>
    <w:rsid w:val="0E390A5A"/>
    <w:rsid w:val="202E09C7"/>
    <w:rsid w:val="236E41C4"/>
    <w:rsid w:val="2A476118"/>
    <w:rsid w:val="3E33621B"/>
    <w:rsid w:val="4B9572E6"/>
    <w:rsid w:val="4BC0440A"/>
    <w:rsid w:val="50EA1BFB"/>
    <w:rsid w:val="61D44C1D"/>
    <w:rsid w:val="758A3548"/>
    <w:rsid w:val="7FDB3602"/>
    <w:rsid w:val="BFCDC902"/>
    <w:rsid w:val="DF7AB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link w:val="14"/>
    <w:qFormat/>
    <w:uiPriority w:val="0"/>
    <w:rPr>
      <w:rFonts w:ascii="宋体" w:hAnsi="Courier New"/>
      <w:szCs w:val="20"/>
      <w:lang w:val="zh-CN" w:eastAsia="zh-CN"/>
    </w:rPr>
  </w:style>
  <w:style w:type="paragraph" w:styleId="4">
    <w:name w:val="Balloon Text"/>
    <w:basedOn w:val="1"/>
    <w:link w:val="15"/>
    <w:semiHidden/>
    <w:unhideWhenUsed/>
    <w:qFormat/>
    <w:uiPriority w:val="99"/>
    <w:rPr>
      <w:sz w:val="18"/>
      <w:szCs w:val="18"/>
      <w:lang w:val="zh-CN" w:eastAsia="zh-CN"/>
    </w:rPr>
  </w:style>
  <w:style w:type="paragraph" w:styleId="5">
    <w:name w:val="footer"/>
    <w:basedOn w:val="1"/>
    <w:link w:val="13"/>
    <w:unhideWhenUsed/>
    <w:qFormat/>
    <w:uiPriority w:val="99"/>
    <w:pPr>
      <w:tabs>
        <w:tab w:val="center" w:pos="4153"/>
        <w:tab w:val="right" w:pos="8306"/>
      </w:tabs>
      <w:snapToGrid w:val="0"/>
      <w:jc w:val="left"/>
    </w:pPr>
    <w:rPr>
      <w:kern w:val="0"/>
      <w:sz w:val="18"/>
      <w:szCs w:val="18"/>
      <w:lang w:val="zh-CN" w:eastAsia="zh-CN"/>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7">
    <w:name w:val="List"/>
    <w:basedOn w:val="1"/>
    <w:qFormat/>
    <w:uiPriority w:val="0"/>
    <w:pPr>
      <w:ind w:left="200" w:hanging="200" w:hangingChars="200"/>
    </w:pPr>
    <w:rPr>
      <w:rFonts w:ascii="Times New Roman" w:hAnsi="Times New Roman"/>
      <w:szCs w:val="24"/>
    </w:rPr>
  </w:style>
  <w:style w:type="character" w:styleId="10">
    <w:name w:val="page number"/>
    <w:basedOn w:val="9"/>
    <w:qFormat/>
    <w:uiPriority w:val="0"/>
  </w:style>
  <w:style w:type="paragraph" w:styleId="11">
    <w:name w:val="List Paragraph"/>
    <w:basedOn w:val="1"/>
    <w:qFormat/>
    <w:uiPriority w:val="34"/>
    <w:pPr>
      <w:ind w:firstLine="420" w:firstLineChars="200"/>
    </w:pPr>
  </w:style>
  <w:style w:type="character" w:customStyle="1" w:styleId="12">
    <w:name w:val="页眉 Char"/>
    <w:link w:val="6"/>
    <w:qFormat/>
    <w:uiPriority w:val="99"/>
    <w:rPr>
      <w:sz w:val="18"/>
      <w:szCs w:val="18"/>
    </w:rPr>
  </w:style>
  <w:style w:type="character" w:customStyle="1" w:styleId="13">
    <w:name w:val="页脚 Char"/>
    <w:link w:val="5"/>
    <w:qFormat/>
    <w:uiPriority w:val="99"/>
    <w:rPr>
      <w:sz w:val="18"/>
      <w:szCs w:val="18"/>
    </w:rPr>
  </w:style>
  <w:style w:type="character" w:customStyle="1" w:styleId="14">
    <w:name w:val="纯文本 Char"/>
    <w:link w:val="3"/>
    <w:qFormat/>
    <w:uiPriority w:val="0"/>
    <w:rPr>
      <w:rFonts w:ascii="宋体" w:hAnsi="Courier New"/>
      <w:kern w:val="2"/>
      <w:sz w:val="21"/>
    </w:rPr>
  </w:style>
  <w:style w:type="character" w:customStyle="1" w:styleId="15">
    <w:name w:val="批注框文本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11846</Words>
  <Characters>12111</Characters>
  <Lines>124</Lines>
  <Paragraphs>35</Paragraphs>
  <TotalTime>2</TotalTime>
  <ScaleCrop>false</ScaleCrop>
  <LinksUpToDate>false</LinksUpToDate>
  <CharactersWithSpaces>12383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2021-12-26T10:59:00Z</dcterms:created>
  <dc:creator>未定义</dc:creator>
  <cp:lastModifiedBy>吕  磊</cp:lastModifiedBy>
  <cp:lastPrinted>2018-12-13T10:31:00Z</cp:lastPrinted>
  <dcterms:modified xsi:type="dcterms:W3CDTF">2025-12-26T16:23:40Z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3024D21B2937412EBBFD92BAD3E0830E_13</vt:lpwstr>
  </property>
  <property fmtid="{D5CDD505-2E9C-101B-9397-08002B2CF9AE}" pid="4" name="KSOTemplateDocerSaveRecord">
    <vt:lpwstr>eyJoZGlkIjoiMTEzOGQ4NTZmYTVhMTJmNGY1YzY1ZDg4MTcxYTM1NDEiLCJ1c2VySWQiOiIxMTIyNDgxNjE1In0=</vt:lpwstr>
  </property>
</Properties>
</file>