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3A3A0">
      <w:pPr>
        <w:jc w:val="center"/>
        <w:rPr>
          <w:sz w:val="21"/>
          <w:szCs w:val="21"/>
        </w:rPr>
      </w:pPr>
      <w:r>
        <w:rPr>
          <w:rFonts w:hint="eastAsia"/>
          <w:b/>
          <w:bCs/>
          <w:sz w:val="32"/>
          <w:szCs w:val="32"/>
        </w:rPr>
        <w:t>青浦区精神卫生中心保安服务项目采购需求</w:t>
      </w:r>
    </w:p>
    <w:p w14:paraId="59CDC84F">
      <w:pPr>
        <w:pStyle w:val="13"/>
        <w:numPr>
          <w:ilvl w:val="0"/>
          <w:numId w:val="1"/>
        </w:numPr>
        <w:rPr>
          <w:sz w:val="21"/>
          <w:szCs w:val="21"/>
        </w:rPr>
      </w:pPr>
      <w:r>
        <w:rPr>
          <w:rFonts w:hint="eastAsia"/>
          <w:sz w:val="21"/>
          <w:szCs w:val="21"/>
        </w:rPr>
        <w:t>项目基本情况</w:t>
      </w:r>
    </w:p>
    <w:p w14:paraId="529D465C">
      <w:pPr>
        <w:rPr>
          <w:sz w:val="21"/>
          <w:szCs w:val="21"/>
        </w:rPr>
      </w:pPr>
      <w:r>
        <w:rPr>
          <w:rFonts w:hint="eastAsia"/>
          <w:bCs/>
          <w:sz w:val="21"/>
          <w:szCs w:val="21"/>
        </w:rPr>
        <w:t>本项目招标地址：</w:t>
      </w:r>
      <w:r>
        <w:rPr>
          <w:rFonts w:hint="eastAsia"/>
          <w:sz w:val="21"/>
          <w:szCs w:val="21"/>
        </w:rPr>
        <w:t>中心由西岑院区和城区门诊、社区药物维持治疗门诊构成，安保服务实行统一管理。分别位于青浦区金泽镇练西公路4865号、青浦区公园路2026弄22号和中山医院青浦分院2号门内。</w:t>
      </w:r>
    </w:p>
    <w:p w14:paraId="1CA2F6DB">
      <w:pPr>
        <w:pStyle w:val="13"/>
        <w:numPr>
          <w:ilvl w:val="0"/>
          <w:numId w:val="2"/>
        </w:numPr>
        <w:rPr>
          <w:sz w:val="21"/>
          <w:szCs w:val="21"/>
        </w:rPr>
      </w:pPr>
      <w:r>
        <w:rPr>
          <w:rFonts w:hint="eastAsia"/>
          <w:sz w:val="21"/>
          <w:szCs w:val="21"/>
        </w:rPr>
        <w:t>本项目招投标内容：西岑院区及社区药物维持治疗门诊保安服务，全年每天24小时值守；城区门诊保安服务，全年开诊时间8小时值守。</w:t>
      </w:r>
    </w:p>
    <w:p w14:paraId="3246B5B1">
      <w:pPr>
        <w:rPr>
          <w:sz w:val="21"/>
          <w:szCs w:val="21"/>
        </w:rPr>
      </w:pPr>
      <w:r>
        <w:rPr>
          <w:rFonts w:hint="eastAsia"/>
          <w:sz w:val="21"/>
          <w:szCs w:val="21"/>
        </w:rPr>
        <w:t>3、建筑情况</w:t>
      </w:r>
    </w:p>
    <w:p w14:paraId="20F763EE">
      <w:pPr>
        <w:rPr>
          <w:sz w:val="21"/>
          <w:szCs w:val="21"/>
        </w:rPr>
      </w:pPr>
      <w:r>
        <w:rPr>
          <w:rFonts w:hint="eastAsia"/>
          <w:sz w:val="21"/>
          <w:szCs w:val="21"/>
        </w:rPr>
        <w:t>坐落位置：西岑院区地址是青浦区金泽镇练西公路4865号；社区药物维持治疗门诊地址是青浦区公园路2026弄22号；城区门诊地址是中山医院青浦分院2号门内。</w:t>
      </w:r>
    </w:p>
    <w:p w14:paraId="116BF53F">
      <w:pPr>
        <w:rPr>
          <w:sz w:val="21"/>
          <w:szCs w:val="21"/>
        </w:rPr>
      </w:pPr>
      <w:r>
        <w:rPr>
          <w:rFonts w:hint="eastAsia"/>
          <w:sz w:val="21"/>
          <w:szCs w:val="21"/>
        </w:rPr>
        <w:t>建筑面积：西岑院区建筑面积约20444平方米；社区药物维持治疗门诊建筑面积约705平方米；。</w:t>
      </w:r>
    </w:p>
    <w:p w14:paraId="24448B24">
      <w:pPr>
        <w:rPr>
          <w:sz w:val="21"/>
          <w:szCs w:val="21"/>
        </w:rPr>
      </w:pPr>
      <w:r>
        <w:rPr>
          <w:rFonts w:hint="eastAsia"/>
          <w:sz w:val="21"/>
          <w:szCs w:val="21"/>
        </w:rPr>
        <w:t>4、公用设施、设备及公共场所（地）情况：</w:t>
      </w:r>
    </w:p>
    <w:p w14:paraId="2C5D7F25">
      <w:pPr>
        <w:rPr>
          <w:sz w:val="21"/>
          <w:szCs w:val="21"/>
        </w:rPr>
      </w:pPr>
      <w:r>
        <w:rPr>
          <w:rFonts w:hint="eastAsia"/>
          <w:sz w:val="21"/>
          <w:szCs w:val="21"/>
        </w:rPr>
        <w:t>1）车辆出入西岑院区</w:t>
      </w:r>
      <w:r>
        <w:rPr>
          <w:rFonts w:hint="eastAsia"/>
          <w:sz w:val="21"/>
          <w:szCs w:val="21"/>
          <w:u w:val="single"/>
        </w:rPr>
        <w:t xml:space="preserve"> 1 </w:t>
      </w:r>
      <w:r>
        <w:rPr>
          <w:rFonts w:hint="eastAsia"/>
          <w:sz w:val="21"/>
          <w:szCs w:val="21"/>
        </w:rPr>
        <w:t>个；</w:t>
      </w:r>
      <w:r>
        <w:rPr>
          <w:sz w:val="21"/>
          <w:szCs w:val="21"/>
        </w:rPr>
        <w:t xml:space="preserve"> </w:t>
      </w:r>
    </w:p>
    <w:p w14:paraId="2BA0F2C6">
      <w:pPr>
        <w:rPr>
          <w:sz w:val="21"/>
          <w:szCs w:val="21"/>
        </w:rPr>
      </w:pPr>
      <w:r>
        <w:rPr>
          <w:rFonts w:hint="eastAsia"/>
          <w:sz w:val="21"/>
          <w:szCs w:val="21"/>
        </w:rPr>
        <w:t>2）停车场：西岑院区停车位</w:t>
      </w:r>
      <w:r>
        <w:rPr>
          <w:rFonts w:hint="eastAsia"/>
          <w:sz w:val="21"/>
          <w:szCs w:val="21"/>
          <w:u w:val="single"/>
        </w:rPr>
        <w:t xml:space="preserve">  69 </w:t>
      </w:r>
      <w:r>
        <w:rPr>
          <w:rFonts w:hint="eastAsia"/>
          <w:sz w:val="21"/>
          <w:szCs w:val="21"/>
        </w:rPr>
        <w:t>个；。自行车停车位若干；</w:t>
      </w:r>
    </w:p>
    <w:p w14:paraId="5578BF7B">
      <w:pPr>
        <w:rPr>
          <w:sz w:val="21"/>
          <w:szCs w:val="21"/>
        </w:rPr>
      </w:pPr>
    </w:p>
    <w:p w14:paraId="6B150DA2">
      <w:pPr>
        <w:rPr>
          <w:sz w:val="21"/>
          <w:szCs w:val="21"/>
        </w:rPr>
      </w:pPr>
      <w:r>
        <w:rPr>
          <w:rFonts w:hint="eastAsia"/>
          <w:sz w:val="21"/>
          <w:szCs w:val="21"/>
        </w:rPr>
        <w:t>二、委托服务的内容与范围：</w:t>
      </w:r>
    </w:p>
    <w:p w14:paraId="25A46811">
      <w:pPr>
        <w:rPr>
          <w:sz w:val="21"/>
          <w:szCs w:val="21"/>
        </w:rPr>
      </w:pPr>
      <w:r>
        <w:rPr>
          <w:rFonts w:hint="eastAsia"/>
          <w:sz w:val="21"/>
          <w:szCs w:val="21"/>
        </w:rPr>
        <w:t>1、负责西岑院区和城区门诊、社区药物维持治疗门诊门卫值勤及礼仪岗服务。</w:t>
      </w:r>
    </w:p>
    <w:p w14:paraId="1EA31142">
      <w:pPr>
        <w:rPr>
          <w:sz w:val="21"/>
          <w:szCs w:val="21"/>
        </w:rPr>
      </w:pPr>
      <w:r>
        <w:rPr>
          <w:rFonts w:hint="eastAsia"/>
          <w:sz w:val="21"/>
          <w:szCs w:val="21"/>
        </w:rPr>
        <w:t>2、负责西岑院区车辆出入安检、登记、指挥引导和停放管理（停车位共计</w:t>
      </w:r>
      <w:r>
        <w:rPr>
          <w:rFonts w:hint="eastAsia"/>
          <w:sz w:val="21"/>
          <w:szCs w:val="21"/>
          <w:u w:val="single"/>
        </w:rPr>
        <w:t xml:space="preserve">  69</w:t>
      </w:r>
      <w:r>
        <w:rPr>
          <w:rFonts w:hint="eastAsia"/>
          <w:sz w:val="21"/>
          <w:szCs w:val="21"/>
        </w:rPr>
        <w:t>个）。</w:t>
      </w:r>
    </w:p>
    <w:p w14:paraId="0252AD08">
      <w:pPr>
        <w:rPr>
          <w:sz w:val="21"/>
          <w:szCs w:val="21"/>
        </w:rPr>
      </w:pPr>
      <w:r>
        <w:rPr>
          <w:rFonts w:hint="eastAsia"/>
          <w:sz w:val="21"/>
          <w:szCs w:val="21"/>
        </w:rPr>
        <w:t>3、负责西岑院区和城区门诊、社区药物维持治疗门诊安全巡查、秩序维护和保卫服务。</w:t>
      </w:r>
    </w:p>
    <w:p w14:paraId="6CFC1E92">
      <w:pPr>
        <w:rPr>
          <w:sz w:val="21"/>
          <w:szCs w:val="21"/>
        </w:rPr>
      </w:pPr>
      <w:r>
        <w:rPr>
          <w:rFonts w:hint="eastAsia"/>
          <w:sz w:val="21"/>
          <w:szCs w:val="21"/>
        </w:rPr>
        <w:t>4、负责西岑院区和城区门诊、社区药物维持治疗门诊突发事件的处置。</w:t>
      </w:r>
    </w:p>
    <w:p w14:paraId="3506D04F">
      <w:pPr>
        <w:rPr>
          <w:sz w:val="21"/>
          <w:szCs w:val="21"/>
        </w:rPr>
      </w:pPr>
      <w:r>
        <w:rPr>
          <w:rFonts w:hint="eastAsia"/>
          <w:sz w:val="21"/>
          <w:szCs w:val="21"/>
        </w:rPr>
        <w:t>5、负责西岑院区快递件的安检。</w:t>
      </w:r>
    </w:p>
    <w:p w14:paraId="4143D913">
      <w:pPr>
        <w:rPr>
          <w:sz w:val="21"/>
          <w:szCs w:val="21"/>
        </w:rPr>
      </w:pPr>
      <w:r>
        <w:rPr>
          <w:rFonts w:hint="eastAsia"/>
          <w:sz w:val="21"/>
          <w:szCs w:val="21"/>
        </w:rPr>
        <w:t>6、负责西岑院区和城区门诊、社区药物维持治疗门诊消防安全。</w:t>
      </w:r>
    </w:p>
    <w:p w14:paraId="7D306EE2">
      <w:pPr>
        <w:rPr>
          <w:sz w:val="21"/>
          <w:szCs w:val="21"/>
        </w:rPr>
      </w:pPr>
    </w:p>
    <w:p w14:paraId="0767CCF7">
      <w:pPr>
        <w:rPr>
          <w:sz w:val="21"/>
          <w:szCs w:val="21"/>
        </w:rPr>
      </w:pPr>
      <w:r>
        <w:rPr>
          <w:rFonts w:hint="eastAsia"/>
          <w:sz w:val="21"/>
          <w:szCs w:val="21"/>
        </w:rPr>
        <w:t>三、委托服务的标准与要求</w:t>
      </w:r>
    </w:p>
    <w:p w14:paraId="0C6B3399">
      <w:pPr>
        <w:rPr>
          <w:b/>
          <w:sz w:val="21"/>
          <w:szCs w:val="21"/>
        </w:rPr>
      </w:pPr>
      <w:r>
        <w:rPr>
          <w:b/>
          <w:sz w:val="21"/>
          <w:szCs w:val="21"/>
        </w:rPr>
        <w:t>（一）治安安保</w:t>
      </w:r>
      <w:r>
        <w:rPr>
          <w:rFonts w:hint="eastAsia"/>
          <w:b/>
          <w:sz w:val="21"/>
          <w:szCs w:val="21"/>
        </w:rPr>
        <w:t>任务</w:t>
      </w:r>
    </w:p>
    <w:p w14:paraId="5610B5A9">
      <w:pPr>
        <w:rPr>
          <w:sz w:val="21"/>
          <w:szCs w:val="21"/>
        </w:rPr>
      </w:pPr>
      <w:r>
        <w:rPr>
          <w:rFonts w:hint="eastAsia"/>
          <w:sz w:val="21"/>
          <w:szCs w:val="21"/>
        </w:rPr>
        <w:t>1、乙方派驻保安员以</w:t>
      </w:r>
      <w:r>
        <w:rPr>
          <w:rFonts w:hint="eastAsia"/>
          <w:sz w:val="21"/>
          <w:szCs w:val="21"/>
          <w:u w:val="single"/>
        </w:rPr>
        <w:t>24</w:t>
      </w:r>
      <w:r>
        <w:rPr>
          <w:rFonts w:hint="eastAsia"/>
          <w:sz w:val="21"/>
          <w:szCs w:val="21"/>
        </w:rPr>
        <w:t>小时（日、中、夜、）</w:t>
      </w:r>
      <w:r>
        <w:rPr>
          <w:rFonts w:hint="eastAsia"/>
          <w:b/>
          <w:sz w:val="21"/>
          <w:szCs w:val="21"/>
        </w:rPr>
        <w:t>三</w:t>
      </w:r>
      <w:r>
        <w:rPr>
          <w:rFonts w:hint="eastAsia"/>
          <w:sz w:val="21"/>
          <w:szCs w:val="21"/>
        </w:rPr>
        <w:t>班制为青浦区精神卫生中心（甲方）执行门卫警卫及责任区域巡查，以防火、防盗为主的安全检查。对可疑人员做好安检工作；对物品进出实施分类管理，实行大件物品进出审验制度，拒绝危险物品进入。发现可疑人员或发生突发案件应及时报告甲乙双方领导及公安机关报案，并积极协助处置，确保医院或人员安全。</w:t>
      </w:r>
    </w:p>
    <w:p w14:paraId="284F4F0B">
      <w:pPr>
        <w:rPr>
          <w:sz w:val="21"/>
          <w:szCs w:val="21"/>
        </w:rPr>
      </w:pPr>
      <w:r>
        <w:rPr>
          <w:rFonts w:hint="eastAsia"/>
          <w:sz w:val="21"/>
          <w:szCs w:val="21"/>
        </w:rPr>
        <w:t>2、协助甲方制定安全警卫规章制度，告示全体员工共同遵守执行。保安员值勤应文明服务，坚持（根据甲方工作要求白天或员工上下班时段）门卫岗制度，做好三敬礼（客户领导进出、执勤检查、纠正违章）工作，确保客户单位形象。</w:t>
      </w:r>
    </w:p>
    <w:p w14:paraId="05ECD847">
      <w:pPr>
        <w:rPr>
          <w:sz w:val="21"/>
          <w:szCs w:val="21"/>
        </w:rPr>
      </w:pPr>
      <w:r>
        <w:rPr>
          <w:rFonts w:hint="eastAsia"/>
          <w:sz w:val="21"/>
          <w:szCs w:val="21"/>
        </w:rPr>
        <w:t>3、熟悉</w:t>
      </w:r>
      <w:r>
        <w:rPr>
          <w:sz w:val="21"/>
          <w:szCs w:val="21"/>
        </w:rPr>
        <w:t>管辖</w:t>
      </w:r>
      <w:r>
        <w:rPr>
          <w:rFonts w:hint="eastAsia"/>
          <w:sz w:val="21"/>
          <w:szCs w:val="21"/>
        </w:rPr>
        <w:t>区域</w:t>
      </w:r>
      <w:r>
        <w:rPr>
          <w:sz w:val="21"/>
          <w:szCs w:val="21"/>
        </w:rPr>
        <w:t>楼宇的分布情况，做好防盗、防骗的宣传工作。</w:t>
      </w:r>
      <w:r>
        <w:rPr>
          <w:rFonts w:hint="eastAsia"/>
          <w:sz w:val="21"/>
          <w:szCs w:val="21"/>
        </w:rPr>
        <w:t>对</w:t>
      </w:r>
      <w:r>
        <w:rPr>
          <w:sz w:val="21"/>
          <w:szCs w:val="21"/>
        </w:rPr>
        <w:t>需要帮助的对象应立即主动并热情的引导及耐心解答。</w:t>
      </w:r>
      <w:r>
        <w:rPr>
          <w:rFonts w:hint="eastAsia"/>
          <w:sz w:val="21"/>
          <w:szCs w:val="21"/>
        </w:rPr>
        <w:t>院内严禁</w:t>
      </w:r>
      <w:r>
        <w:rPr>
          <w:sz w:val="21"/>
          <w:szCs w:val="21"/>
        </w:rPr>
        <w:t xml:space="preserve">吸烟，指引吸烟者到院外吸烟。   </w:t>
      </w:r>
    </w:p>
    <w:p w14:paraId="7F3A7411">
      <w:pPr>
        <w:rPr>
          <w:sz w:val="21"/>
          <w:szCs w:val="21"/>
        </w:rPr>
      </w:pPr>
      <w:r>
        <w:rPr>
          <w:rFonts w:hint="eastAsia"/>
          <w:sz w:val="21"/>
          <w:szCs w:val="21"/>
        </w:rPr>
        <w:t>4、按照甲方要求协助做好员工上下班考勤，外来客人须校验证件（工作证、介绍信等），经许可后填写会客单后方可入内，待客人离出大门收回会客单。</w:t>
      </w:r>
    </w:p>
    <w:p w14:paraId="42ECB537">
      <w:pPr>
        <w:rPr>
          <w:sz w:val="21"/>
          <w:szCs w:val="21"/>
        </w:rPr>
      </w:pPr>
      <w:r>
        <w:rPr>
          <w:rFonts w:hint="eastAsia"/>
          <w:sz w:val="21"/>
          <w:szCs w:val="21"/>
        </w:rPr>
        <w:t>5、车辆、物资进出大门必须验看证件及出门单和数量相符放行，如随车夹带物品与品名、数量不符，值勤人员有权查扣，交甲方安保部门处理。时刻巡查院区，维持车辆有序停放车位。</w:t>
      </w:r>
    </w:p>
    <w:p w14:paraId="4556DD6A">
      <w:pPr>
        <w:rPr>
          <w:sz w:val="21"/>
          <w:szCs w:val="21"/>
        </w:rPr>
      </w:pPr>
      <w:r>
        <w:rPr>
          <w:sz w:val="21"/>
          <w:szCs w:val="21"/>
        </w:rPr>
        <w:t>6、</w:t>
      </w:r>
      <w:r>
        <w:rPr>
          <w:rFonts w:hint="eastAsia"/>
          <w:sz w:val="21"/>
          <w:szCs w:val="21"/>
        </w:rPr>
        <w:t>明确巡视工作职责，规范巡视工作流程，制定相对固定的巡视路线。对重点区域、重点部位、重点设备机房至少每2小时巡视一次并记录。发现违法、违章行为应及时制止；巡视应使用巡更设备，在监控中心保持巡更记录。如无巡更设备，宜保持两人一组进行巡视；巡视中发现各区域内的异常情况，应立即通知有关部门并在现场采取必要措施，随时准备启动相应的应急预案。7、做好停车管理，根据办公楼的情况设置行车指示标志，规定车辆行驶路线，指定车辆停放区域；保安人员应对进出办公楼的各类车辆进行管理，维护交通秩序，保证车辆便于通行、易于停放；车辆停放有序，无易燃、易爆等物品存放；非机动车应定点停放。</w:t>
      </w:r>
    </w:p>
    <w:p w14:paraId="47F61331">
      <w:pPr>
        <w:rPr>
          <w:sz w:val="21"/>
          <w:szCs w:val="21"/>
        </w:rPr>
      </w:pPr>
      <w:r>
        <w:rPr>
          <w:sz w:val="21"/>
          <w:szCs w:val="21"/>
        </w:rPr>
        <w:t xml:space="preserve">（二）维持正常的医疗秩序   </w:t>
      </w:r>
    </w:p>
    <w:p w14:paraId="4CC68160">
      <w:pPr>
        <w:rPr>
          <w:sz w:val="21"/>
          <w:szCs w:val="21"/>
        </w:rPr>
      </w:pPr>
      <w:r>
        <w:rPr>
          <w:rFonts w:hint="eastAsia"/>
          <w:sz w:val="21"/>
          <w:szCs w:val="21"/>
        </w:rPr>
        <w:t>1、做好安检工作，</w:t>
      </w:r>
      <w:r>
        <w:rPr>
          <w:sz w:val="21"/>
          <w:szCs w:val="21"/>
        </w:rPr>
        <w:t xml:space="preserve">及时阻止非法携带易燃、易爆危险物品和管制器具进入，不能阻止时及时上报保卫科和公安部门处理。 </w:t>
      </w:r>
    </w:p>
    <w:p w14:paraId="5AC2AAA6">
      <w:pPr>
        <w:rPr>
          <w:sz w:val="21"/>
          <w:szCs w:val="21"/>
        </w:rPr>
      </w:pPr>
      <w:r>
        <w:rPr>
          <w:rFonts w:hint="eastAsia"/>
          <w:sz w:val="21"/>
          <w:szCs w:val="21"/>
        </w:rPr>
        <w:t>2、</w:t>
      </w:r>
      <w:r>
        <w:rPr>
          <w:sz w:val="21"/>
          <w:szCs w:val="21"/>
        </w:rPr>
        <w:t xml:space="preserve">及时阻止院内寻衅滋事、故意损毁或盗窃、抢夺公私财物等事件发生，第一时间上报保卫科和公安部门处理。 </w:t>
      </w:r>
    </w:p>
    <w:p w14:paraId="7902F2AA">
      <w:pPr>
        <w:rPr>
          <w:sz w:val="21"/>
          <w:szCs w:val="21"/>
        </w:rPr>
      </w:pPr>
      <w:r>
        <w:rPr>
          <w:rFonts w:hint="eastAsia"/>
          <w:sz w:val="21"/>
          <w:szCs w:val="21"/>
        </w:rPr>
        <w:t>3、</w:t>
      </w:r>
      <w:r>
        <w:rPr>
          <w:sz w:val="21"/>
          <w:szCs w:val="21"/>
        </w:rPr>
        <w:t>及时阻止</w:t>
      </w:r>
      <w:r>
        <w:rPr>
          <w:rFonts w:hint="eastAsia"/>
          <w:sz w:val="21"/>
          <w:szCs w:val="21"/>
        </w:rPr>
        <w:t>医托、医闹</w:t>
      </w:r>
      <w:r>
        <w:rPr>
          <w:sz w:val="21"/>
          <w:szCs w:val="21"/>
        </w:rPr>
        <w:t>等事件发生，发现可疑人员及时第一时间上报保卫科和公安部门处理。</w:t>
      </w:r>
      <w:r>
        <w:rPr>
          <w:rFonts w:hint="eastAsia"/>
          <w:sz w:val="21"/>
          <w:szCs w:val="21"/>
        </w:rPr>
        <w:t>有医患纠纷发生时，要维持好现场秩序。</w:t>
      </w:r>
    </w:p>
    <w:p w14:paraId="014D4C2B">
      <w:pPr>
        <w:rPr>
          <w:sz w:val="21"/>
          <w:szCs w:val="21"/>
        </w:rPr>
      </w:pPr>
      <w:r>
        <w:rPr>
          <w:rFonts w:hint="eastAsia"/>
          <w:sz w:val="21"/>
          <w:szCs w:val="21"/>
        </w:rPr>
        <w:t>4、基于本院特点，在病房工作人员不能控制冲动患者的情况下要协助维持现场秩序（包括外送就医的患者）。</w:t>
      </w:r>
    </w:p>
    <w:p w14:paraId="0774EE52">
      <w:pPr>
        <w:rPr>
          <w:b/>
          <w:sz w:val="21"/>
          <w:szCs w:val="21"/>
        </w:rPr>
      </w:pPr>
      <w:r>
        <w:rPr>
          <w:rFonts w:hint="eastAsia"/>
          <w:b/>
          <w:sz w:val="21"/>
          <w:szCs w:val="21"/>
        </w:rPr>
        <w:t>（三）确保</w:t>
      </w:r>
      <w:r>
        <w:rPr>
          <w:b/>
          <w:sz w:val="21"/>
          <w:szCs w:val="21"/>
        </w:rPr>
        <w:t>消防</w:t>
      </w:r>
      <w:r>
        <w:rPr>
          <w:rFonts w:hint="eastAsia"/>
          <w:b/>
          <w:sz w:val="21"/>
          <w:szCs w:val="21"/>
        </w:rPr>
        <w:t>安全</w:t>
      </w:r>
      <w:r>
        <w:rPr>
          <w:b/>
          <w:sz w:val="21"/>
          <w:szCs w:val="21"/>
        </w:rPr>
        <w:t>监控中心功能</w:t>
      </w:r>
    </w:p>
    <w:p w14:paraId="7C074F45">
      <w:pPr>
        <w:rPr>
          <w:sz w:val="21"/>
          <w:szCs w:val="21"/>
        </w:rPr>
      </w:pPr>
      <w:r>
        <w:rPr>
          <w:rFonts w:hint="eastAsia"/>
          <w:sz w:val="21"/>
          <w:szCs w:val="21"/>
        </w:rPr>
        <w:t>1、</w:t>
      </w:r>
      <w:r>
        <w:rPr>
          <w:sz w:val="21"/>
          <w:szCs w:val="21"/>
        </w:rPr>
        <w:t>确保消防监控中心功能完善</w:t>
      </w:r>
      <w:r>
        <w:rPr>
          <w:rFonts w:hint="eastAsia"/>
          <w:sz w:val="21"/>
          <w:szCs w:val="21"/>
        </w:rPr>
        <w:t>。实行</w:t>
      </w:r>
      <w:r>
        <w:rPr>
          <w:sz w:val="21"/>
          <w:szCs w:val="21"/>
        </w:rPr>
        <w:t>24 小时双人三班制</w:t>
      </w:r>
      <w:r>
        <w:rPr>
          <w:rFonts w:hint="eastAsia"/>
          <w:sz w:val="21"/>
          <w:szCs w:val="21"/>
        </w:rPr>
        <w:t>的消防安全监控，监视监控设施应24小时开通，保持完整的监控记录，保证对办公楼安全出入口、内部重点区域的安全监控、录像及协助布警；</w:t>
      </w:r>
      <w:r>
        <w:rPr>
          <w:sz w:val="21"/>
          <w:szCs w:val="21"/>
        </w:rPr>
        <w:t>负责对消防、安防设备的监视和运用，做好检查和操作等工作。</w:t>
      </w:r>
    </w:p>
    <w:p w14:paraId="5F011FCB">
      <w:pPr>
        <w:rPr>
          <w:sz w:val="21"/>
          <w:szCs w:val="21"/>
        </w:rPr>
      </w:pPr>
      <w:r>
        <w:rPr>
          <w:rFonts w:hint="eastAsia"/>
          <w:sz w:val="21"/>
          <w:szCs w:val="21"/>
        </w:rPr>
        <w:t>2、</w:t>
      </w:r>
      <w:r>
        <w:rPr>
          <w:sz w:val="21"/>
          <w:szCs w:val="21"/>
        </w:rPr>
        <w:t>对消防、安防控制室、微型消防站设备及通讯器材等要进行经常性的检查，做好各系统功能试验，以确保消防、安防各系统运行状况良好。</w:t>
      </w:r>
    </w:p>
    <w:p w14:paraId="078043F8">
      <w:pPr>
        <w:rPr>
          <w:sz w:val="21"/>
          <w:szCs w:val="21"/>
        </w:rPr>
      </w:pPr>
      <w:r>
        <w:rPr>
          <w:rFonts w:hint="eastAsia"/>
          <w:sz w:val="21"/>
          <w:szCs w:val="21"/>
        </w:rPr>
        <w:t>3、</w:t>
      </w:r>
      <w:r>
        <w:rPr>
          <w:sz w:val="21"/>
          <w:szCs w:val="21"/>
        </w:rPr>
        <w:t xml:space="preserve">发现系统设备出现故障时，必须及时通知相关人员或保养公司进行维修。   </w:t>
      </w:r>
    </w:p>
    <w:p w14:paraId="0C808A60">
      <w:pPr>
        <w:rPr>
          <w:sz w:val="21"/>
          <w:szCs w:val="21"/>
        </w:rPr>
      </w:pPr>
      <w:r>
        <w:rPr>
          <w:sz w:val="21"/>
          <w:szCs w:val="21"/>
        </w:rPr>
        <w:t>4、</w:t>
      </w:r>
      <w:r>
        <w:rPr>
          <w:rFonts w:hint="eastAsia"/>
          <w:sz w:val="21"/>
          <w:szCs w:val="21"/>
        </w:rPr>
        <w:t>监控中心收到火情、险情及其他异常情况报警信号后，应及时报警，并安排保安人员及时赶到现场进行前期处理；</w:t>
      </w:r>
    </w:p>
    <w:p w14:paraId="40E4673D">
      <w:pPr>
        <w:rPr>
          <w:sz w:val="21"/>
          <w:szCs w:val="21"/>
        </w:rPr>
      </w:pPr>
      <w:r>
        <w:rPr>
          <w:sz w:val="21"/>
          <w:szCs w:val="21"/>
        </w:rPr>
        <w:t>5、</w:t>
      </w:r>
      <w:r>
        <w:rPr>
          <w:rFonts w:hint="eastAsia"/>
          <w:sz w:val="21"/>
          <w:szCs w:val="21"/>
        </w:rPr>
        <w:t>监控的录入资料应至少保持7天，有特殊要求的参照相关规定或行业标准执行，保障治安电话畅通，接听及时（铃响三声内宜接听）。</w:t>
      </w:r>
    </w:p>
    <w:p w14:paraId="1FCBE0DB">
      <w:pPr>
        <w:rPr>
          <w:b/>
          <w:sz w:val="21"/>
          <w:szCs w:val="21"/>
        </w:rPr>
      </w:pPr>
      <w:r>
        <w:rPr>
          <w:rFonts w:hint="eastAsia"/>
          <w:b/>
          <w:sz w:val="21"/>
          <w:szCs w:val="21"/>
        </w:rPr>
        <w:t>（四）派驻保安员，管理团队。</w:t>
      </w:r>
    </w:p>
    <w:p w14:paraId="3C4C8561">
      <w:pPr>
        <w:rPr>
          <w:sz w:val="21"/>
          <w:szCs w:val="21"/>
        </w:rPr>
      </w:pPr>
      <w:r>
        <w:rPr>
          <w:rFonts w:hint="eastAsia"/>
          <w:sz w:val="21"/>
          <w:szCs w:val="21"/>
        </w:rPr>
        <w:t>1、根据甲方要求，乙方派驻保安员22名，其中队长2名，每天按日、中、夜、三班制执勤，日班每班6人，中夜班每班各5人，统一穿着保安制服、佩带通讯及防卫器具。</w:t>
      </w:r>
    </w:p>
    <w:p w14:paraId="5B043BC7">
      <w:pPr>
        <w:rPr>
          <w:sz w:val="21"/>
          <w:szCs w:val="21"/>
        </w:rPr>
      </w:pPr>
      <w:r>
        <w:rPr>
          <w:rFonts w:hint="eastAsia"/>
          <w:sz w:val="21"/>
          <w:szCs w:val="21"/>
        </w:rPr>
        <w:t>2、保安员必须严格执行规章制度、严格队容风纪、文明执勤、礼貌待人、不徇私情、执勤中不会客、不看书报、不串岗、离岗、忠于职守。</w:t>
      </w:r>
    </w:p>
    <w:p w14:paraId="56AA7712">
      <w:pPr>
        <w:rPr>
          <w:sz w:val="21"/>
          <w:szCs w:val="21"/>
        </w:rPr>
      </w:pPr>
      <w:r>
        <w:rPr>
          <w:rFonts w:hint="eastAsia"/>
          <w:sz w:val="21"/>
          <w:szCs w:val="21"/>
        </w:rPr>
        <w:t>3、保安员受甲乙双方双重领导，开展保安服务工作。乙方负责组织学习、业务培训、队伍管理、奖惩处理等。甲方负责检查、督促，如发现保安员（包括队长）有违纪行为或确因工作不胜任的，向乙方提出由甲乙方负责调处。</w:t>
      </w:r>
    </w:p>
    <w:p w14:paraId="3F15C367">
      <w:pPr>
        <w:rPr>
          <w:sz w:val="21"/>
          <w:szCs w:val="21"/>
        </w:rPr>
      </w:pPr>
      <w:r>
        <w:rPr>
          <w:rFonts w:hint="eastAsia"/>
          <w:sz w:val="21"/>
          <w:szCs w:val="21"/>
        </w:rPr>
        <w:t xml:space="preserve">4、甲乙双方必须认真贯彻国家、上海市劳动保护，安全生产的方针、政策，严格执行有关劳动保护法规、条例、规定。甲、乙双方在处理工作过程中发生的工伤事故等，按国家有关规定（最新的《工伤保险条例》）给予协商处理。    </w:t>
      </w:r>
      <w:r>
        <w:rPr>
          <w:rFonts w:hint="eastAsia"/>
          <w:sz w:val="21"/>
          <w:szCs w:val="21"/>
        </w:rPr>
        <w:br w:type="textWrapping"/>
      </w:r>
      <w:r>
        <w:rPr>
          <w:rFonts w:hint="eastAsia"/>
          <w:b/>
          <w:sz w:val="21"/>
          <w:szCs w:val="21"/>
        </w:rPr>
        <w:t>（五）突发公共事件处置</w:t>
      </w:r>
      <w:r>
        <w:rPr>
          <w:rFonts w:hint="eastAsia"/>
          <w:b/>
          <w:sz w:val="21"/>
          <w:szCs w:val="21"/>
        </w:rPr>
        <w:br w:type="textWrapping"/>
      </w:r>
      <w:r>
        <w:rPr>
          <w:rFonts w:hint="eastAsia"/>
          <w:sz w:val="21"/>
          <w:szCs w:val="21"/>
        </w:rPr>
        <w:t>依照《上海市突发公共事件总体应急预案》的要求配合处置物业突发公共事件，并在监控中心等处室内悬挂应急预案，在每个楼层固定位置悬挂疏散示意图及引路标志，参与突发公共事件应急演习。</w:t>
      </w:r>
      <w:r>
        <w:rPr>
          <w:rFonts w:hint="eastAsia"/>
          <w:sz w:val="21"/>
          <w:szCs w:val="21"/>
        </w:rPr>
        <w:br w:type="textWrapping"/>
      </w:r>
      <w:r>
        <w:rPr>
          <w:rFonts w:hint="eastAsia"/>
          <w:sz w:val="21"/>
          <w:szCs w:val="21"/>
        </w:rPr>
        <w:t>2）物业发生突发公共事件时，各岗位管理人员必须按规定实行岗位警戒，根据不同突发公共事件的现场情况应变处理，在有关部门到达现场前，保证人身安全，减少财产损失，并全力协助政府部门处理相关事宜。</w:t>
      </w:r>
    </w:p>
    <w:p w14:paraId="33934FEE">
      <w:pPr>
        <w:pStyle w:val="5"/>
        <w:rPr>
          <w:sz w:val="21"/>
          <w:szCs w:val="21"/>
        </w:rPr>
      </w:pPr>
      <w:r>
        <w:rPr>
          <w:rFonts w:hint="eastAsia"/>
          <w:b/>
          <w:sz w:val="21"/>
          <w:szCs w:val="21"/>
        </w:rPr>
        <w:t>（六）安全管理</w:t>
      </w:r>
      <w:r>
        <w:rPr>
          <w:rFonts w:hint="eastAsia"/>
          <w:b/>
          <w:sz w:val="21"/>
          <w:szCs w:val="21"/>
        </w:rPr>
        <w:br w:type="textWrapping"/>
      </w:r>
      <w:r>
        <w:rPr>
          <w:rFonts w:hint="eastAsia"/>
          <w:sz w:val="21"/>
          <w:szCs w:val="21"/>
        </w:rPr>
        <w:t>1）消防管理</w:t>
      </w:r>
      <w:r>
        <w:rPr>
          <w:rFonts w:hint="eastAsia"/>
          <w:sz w:val="21"/>
          <w:szCs w:val="21"/>
        </w:rPr>
        <w:br w:type="textWrapping"/>
      </w:r>
      <w:r>
        <w:rPr>
          <w:rFonts w:hint="eastAsia"/>
          <w:sz w:val="21"/>
          <w:szCs w:val="21"/>
        </w:rPr>
        <w:t>（1）应建立健全消防管理制度，建立消防责任制；明确专人维护、管理消防器材，保持其完好；</w:t>
      </w:r>
      <w:r>
        <w:rPr>
          <w:rFonts w:hint="eastAsia"/>
          <w:sz w:val="21"/>
          <w:szCs w:val="21"/>
        </w:rPr>
        <w:br w:type="textWrapping"/>
      </w:r>
      <w:r>
        <w:rPr>
          <w:rFonts w:hint="eastAsia"/>
          <w:sz w:val="21"/>
          <w:szCs w:val="21"/>
        </w:rPr>
        <w:t>（2）办公楼内应设置消防设施，保持消防通道畅通，办公楼明显位置设有消防设施平面示意图；</w:t>
      </w:r>
      <w:r>
        <w:rPr>
          <w:rFonts w:hint="eastAsia"/>
          <w:sz w:val="21"/>
          <w:szCs w:val="21"/>
        </w:rPr>
        <w:br w:type="textWrapping"/>
      </w:r>
      <w:r>
        <w:rPr>
          <w:rFonts w:hint="eastAsia"/>
          <w:sz w:val="21"/>
          <w:szCs w:val="21"/>
        </w:rPr>
        <w:t>（3）消防带圈绕均匀，灭火器材保险栓及喷嘴外壳良好，压力指示在区域线范围内器材不超过有效期，各类设备设施能正常运行与使用；检查记录详细，如发现消防器材有异常情况，应及时予以调换或报修；</w:t>
      </w:r>
      <w:r>
        <w:rPr>
          <w:rFonts w:hint="eastAsia"/>
          <w:sz w:val="21"/>
          <w:szCs w:val="21"/>
        </w:rPr>
        <w:br w:type="textWrapping"/>
      </w:r>
      <w:r>
        <w:rPr>
          <w:rFonts w:hint="eastAsia"/>
          <w:sz w:val="21"/>
          <w:szCs w:val="21"/>
        </w:rPr>
        <w:t>（4）定期进行消防宣传和消防演习；</w:t>
      </w:r>
      <w:r>
        <w:rPr>
          <w:rFonts w:hint="eastAsia"/>
          <w:sz w:val="21"/>
          <w:szCs w:val="21"/>
        </w:rPr>
        <w:br w:type="textWrapping"/>
      </w:r>
      <w:r>
        <w:rPr>
          <w:rFonts w:hint="eastAsia"/>
          <w:sz w:val="21"/>
          <w:szCs w:val="21"/>
        </w:rPr>
        <w:t>（5）对易燃易爆品设专人专区管理。</w:t>
      </w:r>
    </w:p>
    <w:p w14:paraId="6FDFDEF5">
      <w:pPr>
        <w:rPr>
          <w:sz w:val="21"/>
          <w:szCs w:val="21"/>
        </w:rPr>
      </w:pPr>
    </w:p>
    <w:p w14:paraId="11723F95">
      <w:pPr>
        <w:rPr>
          <w:b/>
          <w:sz w:val="21"/>
          <w:szCs w:val="21"/>
        </w:rPr>
      </w:pPr>
      <w:r>
        <w:rPr>
          <w:rFonts w:hint="eastAsia"/>
          <w:b/>
          <w:sz w:val="21"/>
          <w:szCs w:val="21"/>
        </w:rPr>
        <w:t>四、管理服务总目标要求</w:t>
      </w:r>
    </w:p>
    <w:p w14:paraId="266C5BC1">
      <w:pPr>
        <w:rPr>
          <w:sz w:val="21"/>
          <w:szCs w:val="21"/>
        </w:rPr>
      </w:pPr>
      <w:r>
        <w:rPr>
          <w:rFonts w:hint="eastAsia"/>
          <w:sz w:val="21"/>
          <w:szCs w:val="21"/>
        </w:rPr>
        <w:t>1、火灾与安全责任事故发生率为0%。</w:t>
      </w:r>
    </w:p>
    <w:p w14:paraId="143C045D">
      <w:pPr>
        <w:rPr>
          <w:sz w:val="21"/>
          <w:szCs w:val="21"/>
        </w:rPr>
      </w:pPr>
      <w:r>
        <w:rPr>
          <w:rFonts w:hint="eastAsia"/>
          <w:sz w:val="21"/>
          <w:szCs w:val="21"/>
        </w:rPr>
        <w:t>2、使业主对保安服务满意率达到95%以上（使用单位及上级部门对中标单位进行监督检查使其达到标准合格率）。</w:t>
      </w:r>
    </w:p>
    <w:p w14:paraId="644B7699">
      <w:pPr>
        <w:rPr>
          <w:sz w:val="21"/>
          <w:szCs w:val="21"/>
        </w:rPr>
      </w:pPr>
      <w:r>
        <w:rPr>
          <w:rFonts w:hint="eastAsia"/>
          <w:sz w:val="21"/>
          <w:szCs w:val="21"/>
        </w:rPr>
        <w:t>3、中标企业应制定管理目标的测量指标，并根据指标定期测评，定期向招标人提供测评报告。</w:t>
      </w:r>
    </w:p>
    <w:p w14:paraId="47079EA8">
      <w:pPr>
        <w:rPr>
          <w:sz w:val="21"/>
          <w:szCs w:val="21"/>
        </w:rPr>
      </w:pPr>
    </w:p>
    <w:p w14:paraId="31F34B91">
      <w:pPr>
        <w:rPr>
          <w:b/>
          <w:sz w:val="21"/>
          <w:szCs w:val="21"/>
        </w:rPr>
      </w:pPr>
      <w:r>
        <w:rPr>
          <w:rFonts w:hint="eastAsia"/>
          <w:b/>
          <w:sz w:val="21"/>
          <w:szCs w:val="21"/>
        </w:rPr>
        <w:t>五、人员配置要求：</w:t>
      </w:r>
    </w:p>
    <w:p w14:paraId="6B4D2489">
      <w:pPr>
        <w:pStyle w:val="13"/>
        <w:numPr>
          <w:ilvl w:val="0"/>
          <w:numId w:val="3"/>
        </w:numPr>
        <w:rPr>
          <w:sz w:val="21"/>
          <w:szCs w:val="21"/>
        </w:rPr>
      </w:pPr>
      <w:r>
        <w:rPr>
          <w:rFonts w:hint="eastAsia"/>
          <w:sz w:val="21"/>
          <w:szCs w:val="21"/>
        </w:rPr>
        <w:t>人员岗位配置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724"/>
        <w:gridCol w:w="2977"/>
        <w:gridCol w:w="1275"/>
        <w:gridCol w:w="1610"/>
      </w:tblGrid>
      <w:tr w14:paraId="2F17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6" w:type="dxa"/>
            <w:shd w:val="clear" w:color="auto" w:fill="auto"/>
            <w:vAlign w:val="center"/>
          </w:tcPr>
          <w:p w14:paraId="047AADF5">
            <w:pPr>
              <w:rPr>
                <w:sz w:val="21"/>
                <w:szCs w:val="21"/>
              </w:rPr>
            </w:pPr>
            <w:r>
              <w:rPr>
                <w:rFonts w:hint="eastAsia"/>
                <w:sz w:val="21"/>
                <w:szCs w:val="21"/>
              </w:rPr>
              <w:t>序号</w:t>
            </w:r>
          </w:p>
        </w:tc>
        <w:tc>
          <w:tcPr>
            <w:tcW w:w="1724" w:type="dxa"/>
            <w:shd w:val="clear" w:color="auto" w:fill="auto"/>
            <w:vAlign w:val="center"/>
          </w:tcPr>
          <w:p w14:paraId="2B5F5097">
            <w:pPr>
              <w:rPr>
                <w:sz w:val="21"/>
                <w:szCs w:val="21"/>
              </w:rPr>
            </w:pPr>
            <w:r>
              <w:rPr>
                <w:rFonts w:hint="eastAsia"/>
                <w:sz w:val="21"/>
                <w:szCs w:val="21"/>
              </w:rPr>
              <w:t>岗  位</w:t>
            </w:r>
          </w:p>
        </w:tc>
        <w:tc>
          <w:tcPr>
            <w:tcW w:w="2977" w:type="dxa"/>
            <w:shd w:val="clear" w:color="auto" w:fill="auto"/>
            <w:vAlign w:val="center"/>
          </w:tcPr>
          <w:p w14:paraId="11122616">
            <w:pPr>
              <w:rPr>
                <w:sz w:val="21"/>
                <w:szCs w:val="21"/>
              </w:rPr>
            </w:pPr>
            <w:r>
              <w:rPr>
                <w:rFonts w:hint="eastAsia"/>
                <w:sz w:val="21"/>
                <w:szCs w:val="21"/>
              </w:rPr>
              <w:t>设岗时间</w:t>
            </w:r>
          </w:p>
        </w:tc>
        <w:tc>
          <w:tcPr>
            <w:tcW w:w="1275" w:type="dxa"/>
            <w:shd w:val="clear" w:color="auto" w:fill="auto"/>
            <w:vAlign w:val="center"/>
          </w:tcPr>
          <w:p w14:paraId="0F4102D7">
            <w:pPr>
              <w:rPr>
                <w:sz w:val="21"/>
                <w:szCs w:val="21"/>
              </w:rPr>
            </w:pPr>
            <w:r>
              <w:rPr>
                <w:rFonts w:hint="eastAsia"/>
                <w:sz w:val="21"/>
                <w:szCs w:val="21"/>
              </w:rPr>
              <w:t>人数</w:t>
            </w:r>
          </w:p>
        </w:tc>
        <w:tc>
          <w:tcPr>
            <w:tcW w:w="1610" w:type="dxa"/>
            <w:shd w:val="clear" w:color="auto" w:fill="auto"/>
            <w:vAlign w:val="center"/>
          </w:tcPr>
          <w:p w14:paraId="25BF70A0">
            <w:pPr>
              <w:rPr>
                <w:sz w:val="21"/>
                <w:szCs w:val="21"/>
              </w:rPr>
            </w:pPr>
            <w:r>
              <w:rPr>
                <w:rFonts w:hint="eastAsia"/>
                <w:sz w:val="21"/>
                <w:szCs w:val="21"/>
              </w:rPr>
              <w:t>备注</w:t>
            </w:r>
          </w:p>
        </w:tc>
      </w:tr>
      <w:tr w14:paraId="4AD4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6" w:type="dxa"/>
            <w:shd w:val="clear" w:color="auto" w:fill="auto"/>
            <w:vAlign w:val="center"/>
          </w:tcPr>
          <w:p w14:paraId="5D58125E">
            <w:pPr>
              <w:rPr>
                <w:sz w:val="21"/>
                <w:szCs w:val="21"/>
              </w:rPr>
            </w:pPr>
            <w:r>
              <w:rPr>
                <w:rFonts w:hint="eastAsia"/>
                <w:sz w:val="21"/>
                <w:szCs w:val="21"/>
              </w:rPr>
              <w:t>1</w:t>
            </w:r>
          </w:p>
        </w:tc>
        <w:tc>
          <w:tcPr>
            <w:tcW w:w="1724" w:type="dxa"/>
            <w:shd w:val="clear" w:color="auto" w:fill="auto"/>
            <w:vAlign w:val="center"/>
          </w:tcPr>
          <w:p w14:paraId="419A3D78">
            <w:pPr>
              <w:rPr>
                <w:sz w:val="21"/>
                <w:szCs w:val="21"/>
              </w:rPr>
            </w:pPr>
            <w:r>
              <w:rPr>
                <w:rFonts w:hint="eastAsia"/>
                <w:sz w:val="21"/>
                <w:szCs w:val="21"/>
              </w:rPr>
              <w:t>队长</w:t>
            </w:r>
          </w:p>
        </w:tc>
        <w:tc>
          <w:tcPr>
            <w:tcW w:w="2977" w:type="dxa"/>
            <w:shd w:val="clear" w:color="auto" w:fill="auto"/>
            <w:vAlign w:val="center"/>
          </w:tcPr>
          <w:p w14:paraId="57BF3D28">
            <w:pPr>
              <w:rPr>
                <w:sz w:val="21"/>
                <w:szCs w:val="21"/>
              </w:rPr>
            </w:pPr>
            <w:r>
              <w:rPr>
                <w:rFonts w:hint="eastAsia"/>
                <w:sz w:val="21"/>
                <w:szCs w:val="21"/>
              </w:rPr>
              <w:t>全年365天8小时设岗</w:t>
            </w:r>
          </w:p>
        </w:tc>
        <w:tc>
          <w:tcPr>
            <w:tcW w:w="1275" w:type="dxa"/>
            <w:shd w:val="clear" w:color="auto" w:fill="auto"/>
            <w:vAlign w:val="center"/>
          </w:tcPr>
          <w:p w14:paraId="0E91EEB5">
            <w:pPr>
              <w:rPr>
                <w:sz w:val="21"/>
                <w:szCs w:val="21"/>
              </w:rPr>
            </w:pPr>
            <w:r>
              <w:rPr>
                <w:rFonts w:hint="eastAsia"/>
                <w:sz w:val="21"/>
                <w:szCs w:val="21"/>
              </w:rPr>
              <w:t>1</w:t>
            </w:r>
          </w:p>
        </w:tc>
        <w:tc>
          <w:tcPr>
            <w:tcW w:w="1610" w:type="dxa"/>
            <w:shd w:val="clear" w:color="auto" w:fill="auto"/>
            <w:vAlign w:val="center"/>
          </w:tcPr>
          <w:p w14:paraId="327C1593">
            <w:pPr>
              <w:rPr>
                <w:sz w:val="21"/>
                <w:szCs w:val="21"/>
              </w:rPr>
            </w:pPr>
          </w:p>
        </w:tc>
      </w:tr>
      <w:tr w14:paraId="767D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6" w:type="dxa"/>
            <w:shd w:val="clear" w:color="auto" w:fill="auto"/>
            <w:vAlign w:val="center"/>
          </w:tcPr>
          <w:p w14:paraId="0B3BAB8C">
            <w:pPr>
              <w:rPr>
                <w:sz w:val="21"/>
                <w:szCs w:val="21"/>
              </w:rPr>
            </w:pPr>
            <w:r>
              <w:rPr>
                <w:sz w:val="21"/>
                <w:szCs w:val="21"/>
              </w:rPr>
              <w:t>2</w:t>
            </w:r>
          </w:p>
        </w:tc>
        <w:tc>
          <w:tcPr>
            <w:tcW w:w="1724" w:type="dxa"/>
            <w:shd w:val="clear" w:color="auto" w:fill="auto"/>
            <w:vAlign w:val="center"/>
          </w:tcPr>
          <w:p w14:paraId="6891AB4D">
            <w:pPr>
              <w:rPr>
                <w:sz w:val="21"/>
                <w:szCs w:val="21"/>
              </w:rPr>
            </w:pPr>
            <w:r>
              <w:rPr>
                <w:rFonts w:hint="eastAsia"/>
                <w:sz w:val="21"/>
                <w:szCs w:val="21"/>
              </w:rPr>
              <w:t>副队长</w:t>
            </w:r>
          </w:p>
        </w:tc>
        <w:tc>
          <w:tcPr>
            <w:tcW w:w="2977" w:type="dxa"/>
            <w:shd w:val="clear" w:color="auto" w:fill="auto"/>
            <w:vAlign w:val="center"/>
          </w:tcPr>
          <w:p w14:paraId="7554C0AA">
            <w:pPr>
              <w:rPr>
                <w:sz w:val="21"/>
                <w:szCs w:val="21"/>
              </w:rPr>
            </w:pPr>
            <w:r>
              <w:rPr>
                <w:rFonts w:hint="eastAsia"/>
                <w:sz w:val="21"/>
                <w:szCs w:val="21"/>
              </w:rPr>
              <w:t>全年365天8小时设岗</w:t>
            </w:r>
          </w:p>
        </w:tc>
        <w:tc>
          <w:tcPr>
            <w:tcW w:w="1275" w:type="dxa"/>
            <w:shd w:val="clear" w:color="auto" w:fill="auto"/>
            <w:vAlign w:val="center"/>
          </w:tcPr>
          <w:p w14:paraId="191A4ADA">
            <w:pPr>
              <w:rPr>
                <w:sz w:val="21"/>
                <w:szCs w:val="21"/>
              </w:rPr>
            </w:pPr>
            <w:r>
              <w:rPr>
                <w:rFonts w:hint="eastAsia"/>
                <w:sz w:val="21"/>
                <w:szCs w:val="21"/>
              </w:rPr>
              <w:t>1</w:t>
            </w:r>
          </w:p>
        </w:tc>
        <w:tc>
          <w:tcPr>
            <w:tcW w:w="1610" w:type="dxa"/>
            <w:shd w:val="clear" w:color="auto" w:fill="auto"/>
            <w:vAlign w:val="center"/>
          </w:tcPr>
          <w:p w14:paraId="432602EC">
            <w:pPr>
              <w:rPr>
                <w:sz w:val="21"/>
                <w:szCs w:val="21"/>
              </w:rPr>
            </w:pPr>
          </w:p>
        </w:tc>
      </w:tr>
      <w:tr w14:paraId="443A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6" w:type="dxa"/>
            <w:shd w:val="clear" w:color="auto" w:fill="auto"/>
            <w:vAlign w:val="center"/>
          </w:tcPr>
          <w:p w14:paraId="6A9F2DAF">
            <w:pPr>
              <w:rPr>
                <w:sz w:val="21"/>
                <w:szCs w:val="21"/>
              </w:rPr>
            </w:pPr>
            <w:r>
              <w:rPr>
                <w:rFonts w:hint="eastAsia"/>
                <w:sz w:val="21"/>
                <w:szCs w:val="21"/>
              </w:rPr>
              <w:t>3</w:t>
            </w:r>
          </w:p>
        </w:tc>
        <w:tc>
          <w:tcPr>
            <w:tcW w:w="1724" w:type="dxa"/>
            <w:shd w:val="clear" w:color="auto" w:fill="auto"/>
          </w:tcPr>
          <w:p w14:paraId="288CDE4B">
            <w:pPr>
              <w:rPr>
                <w:sz w:val="21"/>
                <w:szCs w:val="21"/>
              </w:rPr>
            </w:pPr>
            <w:r>
              <w:rPr>
                <w:rFonts w:hint="eastAsia"/>
                <w:sz w:val="21"/>
                <w:szCs w:val="21"/>
              </w:rPr>
              <w:t>门岗西岑院区</w:t>
            </w:r>
          </w:p>
        </w:tc>
        <w:tc>
          <w:tcPr>
            <w:tcW w:w="2977" w:type="dxa"/>
            <w:shd w:val="clear" w:color="auto" w:fill="auto"/>
          </w:tcPr>
          <w:p w14:paraId="51DC3B86">
            <w:pPr>
              <w:rPr>
                <w:sz w:val="21"/>
                <w:szCs w:val="21"/>
              </w:rPr>
            </w:pPr>
            <w:r>
              <w:rPr>
                <w:rFonts w:hint="eastAsia"/>
                <w:sz w:val="21"/>
                <w:szCs w:val="21"/>
              </w:rPr>
              <w:t>全年365天24小时设岗</w:t>
            </w:r>
          </w:p>
        </w:tc>
        <w:tc>
          <w:tcPr>
            <w:tcW w:w="1275" w:type="dxa"/>
            <w:shd w:val="clear" w:color="auto" w:fill="auto"/>
            <w:vAlign w:val="center"/>
          </w:tcPr>
          <w:p w14:paraId="6FE258C2">
            <w:pPr>
              <w:rPr>
                <w:sz w:val="21"/>
                <w:szCs w:val="21"/>
              </w:rPr>
            </w:pPr>
            <w:r>
              <w:rPr>
                <w:rFonts w:hint="eastAsia"/>
                <w:sz w:val="21"/>
                <w:szCs w:val="21"/>
              </w:rPr>
              <w:t>6</w:t>
            </w:r>
          </w:p>
        </w:tc>
        <w:tc>
          <w:tcPr>
            <w:tcW w:w="1610" w:type="dxa"/>
            <w:shd w:val="clear" w:color="auto" w:fill="auto"/>
            <w:vAlign w:val="center"/>
          </w:tcPr>
          <w:p w14:paraId="23F50800">
            <w:pPr>
              <w:rPr>
                <w:sz w:val="21"/>
                <w:szCs w:val="21"/>
              </w:rPr>
            </w:pPr>
          </w:p>
        </w:tc>
      </w:tr>
      <w:tr w14:paraId="662A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6" w:type="dxa"/>
            <w:shd w:val="clear" w:color="auto" w:fill="auto"/>
            <w:vAlign w:val="center"/>
          </w:tcPr>
          <w:p w14:paraId="47FAE985">
            <w:pPr>
              <w:rPr>
                <w:sz w:val="21"/>
                <w:szCs w:val="21"/>
              </w:rPr>
            </w:pPr>
            <w:r>
              <w:rPr>
                <w:rFonts w:hint="eastAsia"/>
                <w:sz w:val="21"/>
                <w:szCs w:val="21"/>
              </w:rPr>
              <w:t>4</w:t>
            </w:r>
          </w:p>
        </w:tc>
        <w:tc>
          <w:tcPr>
            <w:tcW w:w="1724" w:type="dxa"/>
            <w:shd w:val="clear" w:color="auto" w:fill="auto"/>
          </w:tcPr>
          <w:p w14:paraId="15456EBB">
            <w:pPr>
              <w:rPr>
                <w:sz w:val="21"/>
                <w:szCs w:val="21"/>
              </w:rPr>
            </w:pPr>
            <w:r>
              <w:rPr>
                <w:rFonts w:hint="eastAsia"/>
                <w:sz w:val="21"/>
                <w:szCs w:val="21"/>
              </w:rPr>
              <w:t>门岗社区药物维持治疗门诊</w:t>
            </w:r>
          </w:p>
        </w:tc>
        <w:tc>
          <w:tcPr>
            <w:tcW w:w="2977" w:type="dxa"/>
            <w:shd w:val="clear" w:color="auto" w:fill="auto"/>
          </w:tcPr>
          <w:p w14:paraId="16833296">
            <w:pPr>
              <w:rPr>
                <w:sz w:val="21"/>
                <w:szCs w:val="21"/>
              </w:rPr>
            </w:pPr>
            <w:r>
              <w:rPr>
                <w:rFonts w:hint="eastAsia"/>
                <w:sz w:val="21"/>
                <w:szCs w:val="21"/>
              </w:rPr>
              <w:t>全年365天16小时设岗</w:t>
            </w:r>
          </w:p>
        </w:tc>
        <w:tc>
          <w:tcPr>
            <w:tcW w:w="1275" w:type="dxa"/>
            <w:shd w:val="clear" w:color="auto" w:fill="auto"/>
            <w:vAlign w:val="center"/>
          </w:tcPr>
          <w:p w14:paraId="74F6A663">
            <w:pPr>
              <w:rPr>
                <w:sz w:val="21"/>
                <w:szCs w:val="21"/>
              </w:rPr>
            </w:pPr>
            <w:r>
              <w:rPr>
                <w:rFonts w:hint="eastAsia"/>
                <w:sz w:val="21"/>
                <w:szCs w:val="21"/>
              </w:rPr>
              <w:t>2</w:t>
            </w:r>
          </w:p>
        </w:tc>
        <w:tc>
          <w:tcPr>
            <w:tcW w:w="1610" w:type="dxa"/>
            <w:shd w:val="clear" w:color="auto" w:fill="auto"/>
            <w:vAlign w:val="center"/>
          </w:tcPr>
          <w:p w14:paraId="09C83981">
            <w:pPr>
              <w:rPr>
                <w:sz w:val="21"/>
                <w:szCs w:val="21"/>
              </w:rPr>
            </w:pPr>
          </w:p>
        </w:tc>
      </w:tr>
      <w:tr w14:paraId="0EF9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6" w:type="dxa"/>
            <w:shd w:val="clear" w:color="auto" w:fill="auto"/>
            <w:vAlign w:val="center"/>
          </w:tcPr>
          <w:p w14:paraId="76AC1DF4">
            <w:pPr>
              <w:rPr>
                <w:sz w:val="21"/>
                <w:szCs w:val="21"/>
              </w:rPr>
            </w:pPr>
            <w:r>
              <w:rPr>
                <w:rFonts w:hint="eastAsia"/>
                <w:sz w:val="21"/>
                <w:szCs w:val="21"/>
              </w:rPr>
              <w:t>5</w:t>
            </w:r>
          </w:p>
        </w:tc>
        <w:tc>
          <w:tcPr>
            <w:tcW w:w="1724" w:type="dxa"/>
            <w:shd w:val="clear" w:color="auto" w:fill="auto"/>
          </w:tcPr>
          <w:p w14:paraId="5B6FCBE8">
            <w:pPr>
              <w:rPr>
                <w:sz w:val="21"/>
                <w:szCs w:val="21"/>
              </w:rPr>
            </w:pPr>
            <w:r>
              <w:rPr>
                <w:rFonts w:hint="eastAsia"/>
                <w:sz w:val="21"/>
                <w:szCs w:val="21"/>
              </w:rPr>
              <w:t>门岗城区门诊</w:t>
            </w:r>
          </w:p>
        </w:tc>
        <w:tc>
          <w:tcPr>
            <w:tcW w:w="2977" w:type="dxa"/>
            <w:shd w:val="clear" w:color="auto" w:fill="auto"/>
          </w:tcPr>
          <w:p w14:paraId="7CF24267">
            <w:pPr>
              <w:rPr>
                <w:sz w:val="21"/>
                <w:szCs w:val="21"/>
              </w:rPr>
            </w:pPr>
            <w:r>
              <w:rPr>
                <w:rFonts w:hint="eastAsia"/>
                <w:sz w:val="21"/>
                <w:szCs w:val="21"/>
              </w:rPr>
              <w:t>全年开诊时间8小时设岗</w:t>
            </w:r>
          </w:p>
        </w:tc>
        <w:tc>
          <w:tcPr>
            <w:tcW w:w="1275" w:type="dxa"/>
            <w:shd w:val="clear" w:color="auto" w:fill="auto"/>
            <w:vAlign w:val="center"/>
          </w:tcPr>
          <w:p w14:paraId="194B1079">
            <w:pPr>
              <w:rPr>
                <w:sz w:val="21"/>
                <w:szCs w:val="21"/>
              </w:rPr>
            </w:pPr>
            <w:r>
              <w:rPr>
                <w:rFonts w:hint="eastAsia"/>
                <w:sz w:val="21"/>
                <w:szCs w:val="21"/>
              </w:rPr>
              <w:t>1</w:t>
            </w:r>
          </w:p>
        </w:tc>
        <w:tc>
          <w:tcPr>
            <w:tcW w:w="1610" w:type="dxa"/>
            <w:shd w:val="clear" w:color="auto" w:fill="auto"/>
            <w:vAlign w:val="center"/>
          </w:tcPr>
          <w:p w14:paraId="193789C3">
            <w:pPr>
              <w:rPr>
                <w:sz w:val="21"/>
                <w:szCs w:val="21"/>
              </w:rPr>
            </w:pPr>
          </w:p>
        </w:tc>
      </w:tr>
      <w:tr w14:paraId="184F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6" w:type="dxa"/>
            <w:shd w:val="clear" w:color="auto" w:fill="auto"/>
            <w:vAlign w:val="center"/>
          </w:tcPr>
          <w:p w14:paraId="33929686">
            <w:pPr>
              <w:rPr>
                <w:sz w:val="21"/>
                <w:szCs w:val="21"/>
              </w:rPr>
            </w:pPr>
            <w:r>
              <w:rPr>
                <w:rFonts w:hint="eastAsia"/>
                <w:sz w:val="21"/>
                <w:szCs w:val="21"/>
              </w:rPr>
              <w:t>6</w:t>
            </w:r>
          </w:p>
        </w:tc>
        <w:tc>
          <w:tcPr>
            <w:tcW w:w="1724" w:type="dxa"/>
            <w:shd w:val="clear" w:color="auto" w:fill="auto"/>
            <w:vAlign w:val="center"/>
          </w:tcPr>
          <w:p w14:paraId="0F8522C5">
            <w:pPr>
              <w:rPr>
                <w:sz w:val="21"/>
                <w:szCs w:val="21"/>
              </w:rPr>
            </w:pPr>
            <w:r>
              <w:rPr>
                <w:rFonts w:hint="eastAsia"/>
                <w:sz w:val="21"/>
                <w:szCs w:val="21"/>
              </w:rPr>
              <w:t>监控岗</w:t>
            </w:r>
          </w:p>
        </w:tc>
        <w:tc>
          <w:tcPr>
            <w:tcW w:w="2977" w:type="dxa"/>
            <w:shd w:val="clear" w:color="auto" w:fill="auto"/>
            <w:vAlign w:val="center"/>
          </w:tcPr>
          <w:p w14:paraId="5E647DE0">
            <w:pPr>
              <w:rPr>
                <w:sz w:val="21"/>
                <w:szCs w:val="21"/>
              </w:rPr>
            </w:pPr>
            <w:r>
              <w:rPr>
                <w:rFonts w:hint="eastAsia"/>
                <w:sz w:val="21"/>
                <w:szCs w:val="21"/>
              </w:rPr>
              <w:t>全年365天24小时设岗</w:t>
            </w:r>
          </w:p>
        </w:tc>
        <w:tc>
          <w:tcPr>
            <w:tcW w:w="1275" w:type="dxa"/>
            <w:shd w:val="clear" w:color="auto" w:fill="auto"/>
            <w:vAlign w:val="center"/>
          </w:tcPr>
          <w:p w14:paraId="434E74A5">
            <w:pPr>
              <w:rPr>
                <w:sz w:val="21"/>
                <w:szCs w:val="21"/>
              </w:rPr>
            </w:pPr>
            <w:r>
              <w:rPr>
                <w:rFonts w:hint="eastAsia"/>
                <w:sz w:val="21"/>
                <w:szCs w:val="21"/>
              </w:rPr>
              <w:t>6</w:t>
            </w:r>
          </w:p>
        </w:tc>
        <w:tc>
          <w:tcPr>
            <w:tcW w:w="1610" w:type="dxa"/>
            <w:shd w:val="clear" w:color="auto" w:fill="auto"/>
            <w:vAlign w:val="center"/>
          </w:tcPr>
          <w:p w14:paraId="16391F09">
            <w:pPr>
              <w:rPr>
                <w:sz w:val="21"/>
                <w:szCs w:val="21"/>
              </w:rPr>
            </w:pPr>
          </w:p>
        </w:tc>
      </w:tr>
      <w:tr w14:paraId="4596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6" w:type="dxa"/>
            <w:shd w:val="clear" w:color="auto" w:fill="auto"/>
            <w:vAlign w:val="center"/>
          </w:tcPr>
          <w:p w14:paraId="3DA9869A">
            <w:pPr>
              <w:rPr>
                <w:sz w:val="21"/>
                <w:szCs w:val="21"/>
              </w:rPr>
            </w:pPr>
            <w:r>
              <w:rPr>
                <w:rFonts w:hint="eastAsia"/>
                <w:sz w:val="21"/>
                <w:szCs w:val="21"/>
              </w:rPr>
              <w:t>7</w:t>
            </w:r>
          </w:p>
        </w:tc>
        <w:tc>
          <w:tcPr>
            <w:tcW w:w="1724" w:type="dxa"/>
            <w:shd w:val="clear" w:color="auto" w:fill="auto"/>
            <w:vAlign w:val="center"/>
          </w:tcPr>
          <w:p w14:paraId="4EB4FAED">
            <w:pPr>
              <w:rPr>
                <w:sz w:val="21"/>
                <w:szCs w:val="21"/>
              </w:rPr>
            </w:pPr>
            <w:r>
              <w:rPr>
                <w:rFonts w:hint="eastAsia"/>
                <w:sz w:val="21"/>
                <w:szCs w:val="21"/>
              </w:rPr>
              <w:t>安检、车管</w:t>
            </w:r>
          </w:p>
        </w:tc>
        <w:tc>
          <w:tcPr>
            <w:tcW w:w="2977" w:type="dxa"/>
            <w:shd w:val="clear" w:color="auto" w:fill="auto"/>
            <w:vAlign w:val="center"/>
          </w:tcPr>
          <w:p w14:paraId="72F831A0">
            <w:pPr>
              <w:rPr>
                <w:sz w:val="21"/>
                <w:szCs w:val="21"/>
              </w:rPr>
            </w:pPr>
            <w:r>
              <w:rPr>
                <w:rFonts w:hint="eastAsia"/>
                <w:sz w:val="21"/>
                <w:szCs w:val="21"/>
              </w:rPr>
              <w:t>全年开诊时间8小时设岗</w:t>
            </w:r>
          </w:p>
        </w:tc>
        <w:tc>
          <w:tcPr>
            <w:tcW w:w="1275" w:type="dxa"/>
            <w:shd w:val="clear" w:color="auto" w:fill="auto"/>
            <w:vAlign w:val="center"/>
          </w:tcPr>
          <w:p w14:paraId="7FC69AAC">
            <w:pPr>
              <w:rPr>
                <w:sz w:val="21"/>
                <w:szCs w:val="21"/>
              </w:rPr>
            </w:pPr>
            <w:r>
              <w:rPr>
                <w:rFonts w:hint="eastAsia"/>
                <w:sz w:val="21"/>
                <w:szCs w:val="21"/>
              </w:rPr>
              <w:t>1</w:t>
            </w:r>
          </w:p>
        </w:tc>
        <w:tc>
          <w:tcPr>
            <w:tcW w:w="1610" w:type="dxa"/>
            <w:shd w:val="clear" w:color="auto" w:fill="auto"/>
            <w:vAlign w:val="center"/>
          </w:tcPr>
          <w:p w14:paraId="1E349731">
            <w:pPr>
              <w:rPr>
                <w:sz w:val="21"/>
                <w:szCs w:val="21"/>
              </w:rPr>
            </w:pPr>
          </w:p>
        </w:tc>
      </w:tr>
      <w:tr w14:paraId="3C08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6" w:type="dxa"/>
            <w:shd w:val="clear" w:color="auto" w:fill="auto"/>
            <w:vAlign w:val="center"/>
          </w:tcPr>
          <w:p w14:paraId="2C33A4DD">
            <w:pPr>
              <w:rPr>
                <w:sz w:val="21"/>
                <w:szCs w:val="21"/>
              </w:rPr>
            </w:pPr>
            <w:r>
              <w:rPr>
                <w:rFonts w:hint="eastAsia"/>
                <w:sz w:val="21"/>
                <w:szCs w:val="21"/>
              </w:rPr>
              <w:t>8</w:t>
            </w:r>
          </w:p>
        </w:tc>
        <w:tc>
          <w:tcPr>
            <w:tcW w:w="1724" w:type="dxa"/>
            <w:shd w:val="clear" w:color="auto" w:fill="auto"/>
            <w:vAlign w:val="center"/>
          </w:tcPr>
          <w:p w14:paraId="24DE9E20">
            <w:pPr>
              <w:rPr>
                <w:sz w:val="21"/>
                <w:szCs w:val="21"/>
              </w:rPr>
            </w:pPr>
            <w:r>
              <w:rPr>
                <w:rFonts w:hint="eastAsia"/>
                <w:sz w:val="21"/>
                <w:szCs w:val="21"/>
              </w:rPr>
              <w:t>西岑门诊及住院部秩序维护</w:t>
            </w:r>
          </w:p>
        </w:tc>
        <w:tc>
          <w:tcPr>
            <w:tcW w:w="2977" w:type="dxa"/>
            <w:shd w:val="clear" w:color="auto" w:fill="auto"/>
            <w:vAlign w:val="center"/>
          </w:tcPr>
          <w:p w14:paraId="637A9817">
            <w:pPr>
              <w:rPr>
                <w:sz w:val="21"/>
                <w:szCs w:val="21"/>
              </w:rPr>
            </w:pPr>
            <w:r>
              <w:rPr>
                <w:rFonts w:hint="eastAsia"/>
                <w:sz w:val="21"/>
                <w:szCs w:val="21"/>
              </w:rPr>
              <w:t>全年开诊时间8小时设岗</w:t>
            </w:r>
          </w:p>
        </w:tc>
        <w:tc>
          <w:tcPr>
            <w:tcW w:w="1275" w:type="dxa"/>
            <w:shd w:val="clear" w:color="auto" w:fill="auto"/>
            <w:vAlign w:val="center"/>
          </w:tcPr>
          <w:p w14:paraId="3F74903C">
            <w:pPr>
              <w:rPr>
                <w:sz w:val="21"/>
                <w:szCs w:val="21"/>
              </w:rPr>
            </w:pPr>
            <w:r>
              <w:rPr>
                <w:rFonts w:hint="eastAsia"/>
                <w:sz w:val="21"/>
                <w:szCs w:val="21"/>
              </w:rPr>
              <w:t>1</w:t>
            </w:r>
          </w:p>
        </w:tc>
        <w:tc>
          <w:tcPr>
            <w:tcW w:w="1610" w:type="dxa"/>
            <w:shd w:val="clear" w:color="auto" w:fill="auto"/>
            <w:vAlign w:val="center"/>
          </w:tcPr>
          <w:p w14:paraId="3A5A61A6">
            <w:pPr>
              <w:rPr>
                <w:sz w:val="21"/>
                <w:szCs w:val="21"/>
              </w:rPr>
            </w:pPr>
          </w:p>
        </w:tc>
      </w:tr>
      <w:tr w14:paraId="654D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6" w:type="dxa"/>
            <w:shd w:val="clear" w:color="auto" w:fill="auto"/>
            <w:vAlign w:val="center"/>
          </w:tcPr>
          <w:p w14:paraId="7215F332">
            <w:pPr>
              <w:rPr>
                <w:sz w:val="21"/>
                <w:szCs w:val="21"/>
              </w:rPr>
            </w:pPr>
            <w:r>
              <w:rPr>
                <w:rFonts w:hint="eastAsia"/>
                <w:sz w:val="21"/>
                <w:szCs w:val="21"/>
              </w:rPr>
              <w:t>9</w:t>
            </w:r>
          </w:p>
        </w:tc>
        <w:tc>
          <w:tcPr>
            <w:tcW w:w="1724" w:type="dxa"/>
            <w:shd w:val="clear" w:color="auto" w:fill="auto"/>
            <w:vAlign w:val="center"/>
          </w:tcPr>
          <w:p w14:paraId="61388B09">
            <w:pPr>
              <w:rPr>
                <w:sz w:val="21"/>
                <w:szCs w:val="21"/>
              </w:rPr>
            </w:pPr>
            <w:r>
              <w:rPr>
                <w:rFonts w:hint="eastAsia"/>
                <w:sz w:val="21"/>
                <w:szCs w:val="21"/>
              </w:rPr>
              <w:t>巡逻</w:t>
            </w:r>
          </w:p>
        </w:tc>
        <w:tc>
          <w:tcPr>
            <w:tcW w:w="2977" w:type="dxa"/>
            <w:shd w:val="clear" w:color="auto" w:fill="auto"/>
            <w:vAlign w:val="center"/>
          </w:tcPr>
          <w:p w14:paraId="2B382A04">
            <w:pPr>
              <w:rPr>
                <w:sz w:val="21"/>
                <w:szCs w:val="21"/>
              </w:rPr>
            </w:pPr>
            <w:r>
              <w:rPr>
                <w:rFonts w:hint="eastAsia"/>
                <w:sz w:val="21"/>
                <w:szCs w:val="21"/>
              </w:rPr>
              <w:t>全年365天24小时设岗</w:t>
            </w:r>
          </w:p>
        </w:tc>
        <w:tc>
          <w:tcPr>
            <w:tcW w:w="1275" w:type="dxa"/>
            <w:shd w:val="clear" w:color="auto" w:fill="auto"/>
            <w:vAlign w:val="center"/>
          </w:tcPr>
          <w:p w14:paraId="5FD07750">
            <w:pPr>
              <w:rPr>
                <w:sz w:val="21"/>
                <w:szCs w:val="21"/>
              </w:rPr>
            </w:pPr>
            <w:r>
              <w:rPr>
                <w:rFonts w:hint="eastAsia"/>
                <w:sz w:val="21"/>
                <w:szCs w:val="21"/>
              </w:rPr>
              <w:t>3</w:t>
            </w:r>
          </w:p>
        </w:tc>
        <w:tc>
          <w:tcPr>
            <w:tcW w:w="1610" w:type="dxa"/>
            <w:shd w:val="clear" w:color="auto" w:fill="auto"/>
            <w:vAlign w:val="center"/>
          </w:tcPr>
          <w:p w14:paraId="4864CACF">
            <w:pPr>
              <w:rPr>
                <w:sz w:val="21"/>
                <w:szCs w:val="21"/>
              </w:rPr>
            </w:pPr>
          </w:p>
        </w:tc>
      </w:tr>
    </w:tbl>
    <w:p w14:paraId="4998494C">
      <w:pPr>
        <w:ind w:left="0"/>
        <w:rPr>
          <w:sz w:val="21"/>
          <w:szCs w:val="21"/>
        </w:rPr>
      </w:pPr>
      <w:r>
        <w:rPr>
          <w:rFonts w:hint="eastAsia"/>
          <w:sz w:val="21"/>
          <w:szCs w:val="21"/>
        </w:rPr>
        <w:t>★本项目人员配置不得少于 22人</w:t>
      </w:r>
    </w:p>
    <w:p w14:paraId="3CEE9C50">
      <w:pPr>
        <w:ind w:left="0"/>
        <w:rPr>
          <w:sz w:val="21"/>
          <w:szCs w:val="21"/>
        </w:rPr>
      </w:pPr>
      <w:r>
        <w:rPr>
          <w:rFonts w:hint="eastAsia"/>
          <w:sz w:val="21"/>
          <w:szCs w:val="21"/>
        </w:rPr>
        <w:t>（1）根据采购方要求，派驻保安员22名，其中队长2名，每天按日、中、夜、三班制执勤，日班每班6人，中夜班每班各5人，统一穿着保安制服、佩带通讯和防卫器具。</w:t>
      </w:r>
    </w:p>
    <w:p w14:paraId="5E36948A">
      <w:pPr>
        <w:ind w:left="0"/>
        <w:rPr>
          <w:sz w:val="21"/>
          <w:szCs w:val="21"/>
        </w:rPr>
      </w:pPr>
      <w:r>
        <w:rPr>
          <w:rFonts w:hint="eastAsia"/>
          <w:sz w:val="21"/>
          <w:szCs w:val="21"/>
        </w:rPr>
        <w:t>（2）保安员：男性，年龄 5</w:t>
      </w:r>
      <w:r>
        <w:rPr>
          <w:sz w:val="21"/>
          <w:szCs w:val="21"/>
        </w:rPr>
        <w:t>5</w:t>
      </w:r>
      <w:r>
        <w:rPr>
          <w:rFonts w:hint="eastAsia"/>
          <w:sz w:val="21"/>
          <w:szCs w:val="21"/>
        </w:rPr>
        <w:t>周岁以下，身体健康。所有人员必须持保安员上岗证，其中至少2人需持有安检员证书。初中学历以上，形象良好，熟悉本岗位相关服务流程及规范，能处理一般的突发事件，能吃苦耐劳，有团队协助精神，责任心强，尊重领导和服务对象，服从安排，听从指挥，无违法犯罪记录等。爱岗敬业，恪尽职守，遵纪守法，文明执勤，礼貌待人，敢于同违法犯罪现象作斗争。</w:t>
      </w:r>
    </w:p>
    <w:p w14:paraId="422B717F">
      <w:pPr>
        <w:ind w:left="0"/>
        <w:rPr>
          <w:sz w:val="21"/>
          <w:szCs w:val="21"/>
        </w:rPr>
      </w:pPr>
      <w:r>
        <w:rPr>
          <w:rFonts w:hint="eastAsia"/>
          <w:sz w:val="21"/>
          <w:szCs w:val="21"/>
        </w:rPr>
        <w:t>（3）消防监控人员：须持消防设施操作员证书或者建（构）筑物消防员五级及以上证书，并符合政审要求，年龄 5</w:t>
      </w:r>
      <w:r>
        <w:rPr>
          <w:sz w:val="21"/>
          <w:szCs w:val="21"/>
        </w:rPr>
        <w:t>5</w:t>
      </w:r>
      <w:r>
        <w:rPr>
          <w:rFonts w:hint="eastAsia"/>
          <w:sz w:val="21"/>
          <w:szCs w:val="21"/>
        </w:rPr>
        <w:t xml:space="preserve"> 周岁以下,身体健康，形象良好，熟悉本岗位相关服务流程及规范，能处理一般的突发事件，能吃苦耐劳，有团队协助精神，责任心强。</w:t>
      </w:r>
    </w:p>
    <w:p w14:paraId="7E693966">
      <w:pPr>
        <w:ind w:left="0"/>
        <w:rPr>
          <w:sz w:val="21"/>
          <w:szCs w:val="21"/>
        </w:rPr>
      </w:pPr>
      <w:r>
        <w:rPr>
          <w:rFonts w:hint="eastAsia"/>
          <w:sz w:val="21"/>
          <w:szCs w:val="21"/>
        </w:rPr>
        <w:t>（4）保安队长：要求大专或大专以上学历，持有国家二级及以上保安员证书，工作表现出色者，具有 3 年以上保安管理工作经验，熟悉工作流程，熟悉突发事件处理流程，具有一定的组织管理和协调能力，接受乙方和甲方双重领导和管理。</w:t>
      </w:r>
    </w:p>
    <w:p w14:paraId="3310C2B0">
      <w:pPr>
        <w:rPr>
          <w:b/>
          <w:sz w:val="21"/>
          <w:szCs w:val="21"/>
        </w:rPr>
      </w:pPr>
      <w:r>
        <w:rPr>
          <w:b/>
          <w:sz w:val="21"/>
          <w:szCs w:val="21"/>
        </w:rPr>
        <w:t>2、</w:t>
      </w:r>
      <w:r>
        <w:rPr>
          <w:rFonts w:hint="eastAsia"/>
          <w:b/>
          <w:sz w:val="21"/>
          <w:szCs w:val="21"/>
        </w:rPr>
        <w:t>其他条件</w:t>
      </w:r>
    </w:p>
    <w:p w14:paraId="0069D056">
      <w:pPr>
        <w:rPr>
          <w:sz w:val="21"/>
          <w:szCs w:val="21"/>
        </w:rPr>
      </w:pPr>
      <w:r>
        <w:rPr>
          <w:rFonts w:hint="eastAsia"/>
          <w:sz w:val="21"/>
          <w:szCs w:val="21"/>
        </w:rPr>
        <w:t>1）政治上可靠，无刑事犯罪及其他不良记录。退伍军人优先考虑。</w:t>
      </w:r>
    </w:p>
    <w:p w14:paraId="142EA301">
      <w:pPr>
        <w:rPr>
          <w:sz w:val="21"/>
          <w:szCs w:val="21"/>
        </w:rPr>
      </w:pPr>
      <w:r>
        <w:rPr>
          <w:rFonts w:hint="eastAsia"/>
          <w:sz w:val="21"/>
          <w:szCs w:val="21"/>
        </w:rPr>
        <w:t>2）必要时由区机管局会同保安公司进行必要的政治审查。</w:t>
      </w:r>
    </w:p>
    <w:p w14:paraId="50588652">
      <w:pPr>
        <w:rPr>
          <w:sz w:val="21"/>
          <w:szCs w:val="21"/>
        </w:rPr>
      </w:pPr>
      <w:r>
        <w:rPr>
          <w:rFonts w:hint="eastAsia"/>
          <w:sz w:val="21"/>
          <w:szCs w:val="21"/>
        </w:rPr>
        <w:t>3）保安队长与保安队员不得有其他兼职。</w:t>
      </w:r>
    </w:p>
    <w:p w14:paraId="6A670C59">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b/>
          <w:bCs/>
          <w:color w:val="000000"/>
          <w:sz w:val="21"/>
          <w:szCs w:val="21"/>
        </w:rPr>
        <w:t>3、岗位基本职责要求</w:t>
      </w:r>
    </w:p>
    <w:p w14:paraId="791E310F">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b/>
          <w:bCs/>
          <w:color w:val="000000"/>
          <w:sz w:val="21"/>
          <w:szCs w:val="21"/>
        </w:rPr>
        <w:t>投标人应对所雇保安人员岗位职责做出规范要求，应包括：</w:t>
      </w:r>
    </w:p>
    <w:p w14:paraId="47D3F10C">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1、保安人员必须在指定岗位准时上岗，不准迟到、早退、旷工；</w:t>
      </w:r>
    </w:p>
    <w:p w14:paraId="1F734D62">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2、保障当值所在地人员及财产的安全；</w:t>
      </w:r>
    </w:p>
    <w:p w14:paraId="11684372">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3、禁止未经许可的人员进入岗位；</w:t>
      </w:r>
    </w:p>
    <w:p w14:paraId="320A4418">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4、处理一切当值岗位发生的事件及时报告队长；</w:t>
      </w:r>
    </w:p>
    <w:p w14:paraId="3A6DF5C8">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5、执行队长所指定的任务；</w:t>
      </w:r>
    </w:p>
    <w:p w14:paraId="2E5A56D8">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6、如遇重大活动或解决重大事故、险情，所属保安人员应延时工作，直至圆满完成；</w:t>
      </w:r>
    </w:p>
    <w:p w14:paraId="21D0F1A8">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7、配合客户单位做好区域内各项日常工作，使区域内的办公环境达到安全、有序、良好；</w:t>
      </w:r>
    </w:p>
    <w:p w14:paraId="40FC49BE">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4、保安部岗位纪律要求：</w:t>
      </w:r>
    </w:p>
    <w:p w14:paraId="5AF5B710">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为获得最高效率的工作，身为保安人员必须保持良好的操行，以礼待人，以理服人，遵章守纪。</w:t>
      </w:r>
    </w:p>
    <w:p w14:paraId="10CFC6F5">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1、不得迟到、早退；</w:t>
      </w:r>
    </w:p>
    <w:p w14:paraId="02428949">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2、当值时必须穿着制服，佩戴铭牌或证件；</w:t>
      </w:r>
    </w:p>
    <w:p w14:paraId="31C73B58">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3、不得擅离职守；</w:t>
      </w:r>
    </w:p>
    <w:p w14:paraId="449C1B04">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4、不得当值时在岗位内睡觉；</w:t>
      </w:r>
    </w:p>
    <w:p w14:paraId="1869CF06">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5、不得在岗位吸烟,休息时不得在大楼内吸烟；</w:t>
      </w:r>
    </w:p>
    <w:p w14:paraId="2608A2AE">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6、不得当值前或当值时饮用含酒精类的饮品；</w:t>
      </w:r>
    </w:p>
    <w:p w14:paraId="01A54C7F">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7、不得在岗位时吃零食、闲聊、打闹、看书报、听MP3、玩手机游戏等一切与工作无关的事情。</w:t>
      </w:r>
    </w:p>
    <w:p w14:paraId="22EAD800">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8、不得擅自向外人泄露内部机密和内部控制详情；</w:t>
      </w:r>
    </w:p>
    <w:p w14:paraId="4118E3C3">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9、上班期间，不准接待亲友，如有必要，应先告知领班或队长，并请其安排调班事宜；</w:t>
      </w:r>
    </w:p>
    <w:p w14:paraId="567325C4">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10、应保持通讯畅通，接听电话应保持规范；</w:t>
      </w:r>
    </w:p>
    <w:p w14:paraId="3ED51A9F">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11、保安人员如犯有任何罪案，立即交警方处理，如违反公司规章制度，则应接受处分、警告，直至除名；</w:t>
      </w:r>
    </w:p>
    <w:p w14:paraId="4A74C2BA">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12、上岗之前必须列队召开班前例会。下岗后，必须列队召开班后会。由领班总结一天的工作，提出批评和表扬以及跟进事宜；</w:t>
      </w:r>
    </w:p>
    <w:p w14:paraId="1FE87E17">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13、队长必须不定期、不定时进行夜间抽查，将检查状况上报公司和甲方安全负责人。</w:t>
      </w:r>
    </w:p>
    <w:p w14:paraId="1ADE1459">
      <w:pPr>
        <w:widowControl/>
        <w:spacing w:line="500" w:lineRule="exact"/>
        <w:jc w:val="left"/>
        <w:rPr>
          <w:rFonts w:cs="宋体" w:asciiTheme="minorEastAsia" w:hAnsiTheme="minorEastAsia"/>
          <w:color w:val="000000"/>
          <w:sz w:val="21"/>
          <w:szCs w:val="21"/>
        </w:rPr>
      </w:pPr>
      <w:r>
        <w:rPr>
          <w:rFonts w:cs="宋体" w:asciiTheme="minorEastAsia" w:hAnsiTheme="minorEastAsia"/>
          <w:b/>
          <w:bCs/>
          <w:color w:val="000000"/>
          <w:sz w:val="21"/>
          <w:szCs w:val="21"/>
        </w:rPr>
        <w:t>5</w:t>
      </w:r>
      <w:r>
        <w:rPr>
          <w:rFonts w:hint="eastAsia" w:cs="宋体" w:asciiTheme="minorEastAsia" w:hAnsiTheme="minorEastAsia"/>
          <w:b/>
          <w:bCs/>
          <w:color w:val="000000"/>
          <w:sz w:val="21"/>
          <w:szCs w:val="21"/>
        </w:rPr>
        <w:t>、保安人员仪容仪表之要求：</w:t>
      </w:r>
    </w:p>
    <w:p w14:paraId="75D459B7">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1、所有保安人员的制服应保持干净。</w:t>
      </w:r>
    </w:p>
    <w:p w14:paraId="2238360B">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2、发型：头发梳理整齐，头发不过领，不许留鬓须。</w:t>
      </w:r>
    </w:p>
    <w:p w14:paraId="490B1EA9">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3、着装：按规定穿着制服整齐划一，证件佩带在指定位置。</w:t>
      </w:r>
    </w:p>
    <w:p w14:paraId="2302FE38">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4、站姿：保持两腿与双肩同宽，两手自然下垂，或双手交叉放于身后或前胸下，收腹、挺胸。</w:t>
      </w:r>
    </w:p>
    <w:p w14:paraId="67F41EEF">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5、坐姿：不趴桌，不翘腿，双眼正视前方，姿势端正。</w:t>
      </w:r>
    </w:p>
    <w:p w14:paraId="3A9EBF96">
      <w:pPr>
        <w:widowControl/>
        <w:spacing w:line="500" w:lineRule="exact"/>
        <w:jc w:val="left"/>
        <w:rPr>
          <w:rFonts w:cs="宋体" w:asciiTheme="minorEastAsia" w:hAnsiTheme="minorEastAsia"/>
          <w:color w:val="000000"/>
          <w:sz w:val="21"/>
          <w:szCs w:val="21"/>
        </w:rPr>
      </w:pPr>
      <w:r>
        <w:rPr>
          <w:rFonts w:hint="eastAsia" w:cs="宋体" w:asciiTheme="minorEastAsia" w:hAnsiTheme="minorEastAsia"/>
          <w:color w:val="000000"/>
          <w:sz w:val="21"/>
          <w:szCs w:val="21"/>
        </w:rPr>
        <w:t>6、精神面貌：行走有力，挺拔，精神饱满，目视前方，富有朝气。</w:t>
      </w:r>
    </w:p>
    <w:p w14:paraId="03F3D867">
      <w:pPr>
        <w:rPr>
          <w:sz w:val="21"/>
          <w:szCs w:val="21"/>
        </w:rPr>
      </w:pPr>
    </w:p>
    <w:p w14:paraId="0DCD2CE2">
      <w:pPr>
        <w:rPr>
          <w:b/>
          <w:sz w:val="21"/>
          <w:szCs w:val="21"/>
          <w:lang w:val="zh-CN"/>
        </w:rPr>
      </w:pPr>
      <w:r>
        <w:rPr>
          <w:rFonts w:hint="eastAsia"/>
          <w:b/>
          <w:sz w:val="21"/>
          <w:szCs w:val="21"/>
          <w:lang w:val="zh-CN"/>
        </w:rPr>
        <w:t>六、本项目保安服务成本包括：</w:t>
      </w:r>
    </w:p>
    <w:p w14:paraId="1EE7F8D0">
      <w:pPr>
        <w:rPr>
          <w:sz w:val="21"/>
          <w:szCs w:val="21"/>
        </w:rPr>
      </w:pPr>
      <w:r>
        <w:rPr>
          <w:rFonts w:hint="eastAsia" w:cs="宋体"/>
          <w:sz w:val="21"/>
          <w:szCs w:val="21"/>
        </w:rPr>
        <w:t>1、</w:t>
      </w:r>
      <w:r>
        <w:rPr>
          <w:sz w:val="21"/>
          <w:szCs w:val="21"/>
        </w:rPr>
        <w:t>本次投标金额包含所有安保服务产生的费用，即员工工资（包括基本工资、岗位工作等一切工资收入）、节假日加班费、夜班费、</w:t>
      </w:r>
      <w:r>
        <w:rPr>
          <w:rFonts w:hint="eastAsia"/>
          <w:sz w:val="21"/>
          <w:szCs w:val="21"/>
        </w:rPr>
        <w:t>加</w:t>
      </w:r>
      <w:r>
        <w:rPr>
          <w:sz w:val="21"/>
          <w:szCs w:val="21"/>
        </w:rPr>
        <w:t>班费、培训费及管理费等所发生的一切费用。</w:t>
      </w:r>
    </w:p>
    <w:p w14:paraId="54D9CAFF">
      <w:pPr>
        <w:rPr>
          <w:sz w:val="21"/>
          <w:szCs w:val="21"/>
        </w:rPr>
      </w:pPr>
      <w:r>
        <w:rPr>
          <w:rFonts w:hint="eastAsia"/>
          <w:sz w:val="21"/>
          <w:szCs w:val="21"/>
        </w:rPr>
        <w:t>2</w:t>
      </w:r>
      <w:r>
        <w:rPr>
          <w:rFonts w:hint="eastAsia"/>
          <w:sz w:val="21"/>
          <w:szCs w:val="21"/>
          <w:lang w:val="zh-CN"/>
        </w:rPr>
        <w:t>、人员福利包括人员社保、高温费、公休费以及其他必要的福利费用。</w:t>
      </w:r>
    </w:p>
    <w:p w14:paraId="2D395646">
      <w:pPr>
        <w:rPr>
          <w:sz w:val="21"/>
          <w:szCs w:val="21"/>
        </w:rPr>
      </w:pPr>
      <w:r>
        <w:rPr>
          <w:rFonts w:hint="eastAsia"/>
          <w:sz w:val="21"/>
          <w:szCs w:val="21"/>
        </w:rPr>
        <w:t>3、保安</w:t>
      </w:r>
      <w:r>
        <w:rPr>
          <w:rFonts w:hint="eastAsia"/>
          <w:sz w:val="21"/>
          <w:szCs w:val="21"/>
          <w:lang w:val="zh-CN"/>
        </w:rPr>
        <w:t>服务的行政办公费用，包括办公材料、通信杂费、公众责任保险、雇主责任保险等。</w:t>
      </w:r>
    </w:p>
    <w:p w14:paraId="1323419E">
      <w:pPr>
        <w:rPr>
          <w:sz w:val="21"/>
          <w:szCs w:val="21"/>
          <w:lang w:val="zh-CN"/>
        </w:rPr>
      </w:pPr>
      <w:r>
        <w:rPr>
          <w:rFonts w:hint="eastAsia"/>
          <w:sz w:val="21"/>
          <w:szCs w:val="21"/>
        </w:rPr>
        <w:t>4、保安</w:t>
      </w:r>
      <w:r>
        <w:rPr>
          <w:rFonts w:hint="eastAsia"/>
          <w:sz w:val="21"/>
          <w:szCs w:val="21"/>
          <w:lang w:val="zh-CN"/>
        </w:rPr>
        <w:t>服务耗材，包括对讲机等耐用工具折旧。</w:t>
      </w:r>
    </w:p>
    <w:p w14:paraId="60E6E0CE">
      <w:pPr>
        <w:rPr>
          <w:sz w:val="21"/>
          <w:szCs w:val="21"/>
        </w:rPr>
      </w:pPr>
      <w:r>
        <w:rPr>
          <w:sz w:val="21"/>
          <w:szCs w:val="21"/>
        </w:rPr>
        <w:t>5</w:t>
      </w:r>
      <w:r>
        <w:rPr>
          <w:rFonts w:hint="eastAsia"/>
          <w:sz w:val="21"/>
          <w:szCs w:val="21"/>
        </w:rPr>
        <w:t>、保安</w:t>
      </w:r>
      <w:r>
        <w:rPr>
          <w:rFonts w:hint="eastAsia"/>
          <w:sz w:val="21"/>
          <w:szCs w:val="21"/>
          <w:lang w:val="zh-CN"/>
        </w:rPr>
        <w:t>管理企业管理费与利润。</w:t>
      </w:r>
    </w:p>
    <w:p w14:paraId="43A0614E">
      <w:pPr>
        <w:rPr>
          <w:sz w:val="21"/>
          <w:szCs w:val="21"/>
          <w:lang w:val="zh-CN"/>
        </w:rPr>
      </w:pPr>
      <w:r>
        <w:rPr>
          <w:sz w:val="21"/>
          <w:szCs w:val="21"/>
        </w:rPr>
        <w:t>6</w:t>
      </w:r>
      <w:r>
        <w:rPr>
          <w:rFonts w:hint="eastAsia"/>
          <w:sz w:val="21"/>
          <w:szCs w:val="21"/>
        </w:rPr>
        <w:t>、营业</w:t>
      </w:r>
      <w:r>
        <w:rPr>
          <w:rFonts w:hint="eastAsia"/>
          <w:sz w:val="21"/>
          <w:szCs w:val="21"/>
          <w:lang w:val="zh-CN"/>
        </w:rPr>
        <w:t>税金</w:t>
      </w:r>
    </w:p>
    <w:p w14:paraId="01A6D4D0">
      <w:pPr>
        <w:rPr>
          <w:sz w:val="21"/>
          <w:szCs w:val="21"/>
          <w:lang w:val="zh-CN"/>
        </w:rPr>
      </w:pPr>
      <w:r>
        <w:rPr>
          <w:sz w:val="21"/>
          <w:szCs w:val="21"/>
        </w:rPr>
        <w:t>7</w:t>
      </w:r>
      <w:r>
        <w:rPr>
          <w:rFonts w:hint="eastAsia"/>
          <w:sz w:val="21"/>
          <w:szCs w:val="21"/>
          <w:lang w:val="zh-CN"/>
        </w:rPr>
        <w:t>、管理企业认为其他必要的相关费用。</w:t>
      </w:r>
    </w:p>
    <w:p w14:paraId="171F40A7">
      <w:pPr>
        <w:rPr>
          <w:snapToGrid w:val="0"/>
          <w:sz w:val="21"/>
          <w:szCs w:val="21"/>
        </w:rPr>
      </w:pPr>
      <w:r>
        <w:rPr>
          <w:sz w:val="21"/>
          <w:szCs w:val="21"/>
        </w:rPr>
        <w:t>8</w:t>
      </w:r>
      <w:r>
        <w:rPr>
          <w:rFonts w:hint="eastAsia"/>
          <w:sz w:val="21"/>
          <w:szCs w:val="21"/>
          <w:lang w:val="zh-CN"/>
        </w:rPr>
        <w:t>、本</w:t>
      </w:r>
      <w:r>
        <w:rPr>
          <w:rFonts w:hint="eastAsia"/>
          <w:snapToGrid w:val="0"/>
          <w:sz w:val="21"/>
          <w:szCs w:val="21"/>
        </w:rPr>
        <w:t>项目预算为人民币</w:t>
      </w:r>
      <w:r>
        <w:rPr>
          <w:rFonts w:hint="eastAsia"/>
          <w:snapToGrid w:val="0"/>
          <w:sz w:val="21"/>
          <w:szCs w:val="21"/>
          <w:u w:val="single"/>
        </w:rPr>
        <w:t xml:space="preserve"> </w:t>
      </w:r>
      <w:r>
        <w:rPr>
          <w:rFonts w:hint="eastAsia" w:ascii="仿宋_GB2312" w:eastAsia="仿宋_GB2312"/>
          <w:sz w:val="21"/>
          <w:szCs w:val="21"/>
          <w:u w:val="single"/>
        </w:rPr>
        <w:t>14</w:t>
      </w:r>
      <w:r>
        <w:rPr>
          <w:rFonts w:hint="eastAsia" w:ascii="仿宋_GB2312" w:eastAsia="仿宋_GB2312"/>
          <w:sz w:val="21"/>
          <w:szCs w:val="21"/>
          <w:u w:val="single"/>
          <w:lang w:val="en-US" w:eastAsia="zh-CN"/>
        </w:rPr>
        <w:t>7</w:t>
      </w:r>
      <w:r>
        <w:rPr>
          <w:rFonts w:hint="eastAsia" w:ascii="仿宋_GB2312" w:eastAsia="仿宋_GB2312"/>
          <w:sz w:val="21"/>
          <w:szCs w:val="21"/>
          <w:u w:val="single"/>
        </w:rPr>
        <w:t>.</w:t>
      </w:r>
      <w:r>
        <w:rPr>
          <w:rFonts w:hint="eastAsia" w:ascii="仿宋_GB2312" w:eastAsia="仿宋_GB2312"/>
          <w:sz w:val="21"/>
          <w:szCs w:val="21"/>
          <w:u w:val="single"/>
          <w:lang w:val="en-US" w:eastAsia="zh-CN"/>
        </w:rPr>
        <w:t>312</w:t>
      </w:r>
      <w:bookmarkStart w:id="0" w:name="_GoBack"/>
      <w:bookmarkEnd w:id="0"/>
      <w:r>
        <w:rPr>
          <w:rFonts w:hint="eastAsia" w:ascii="仿宋_GB2312" w:eastAsia="仿宋_GB2312"/>
          <w:sz w:val="21"/>
          <w:szCs w:val="21"/>
          <w:u w:val="single"/>
        </w:rPr>
        <w:t xml:space="preserve"> 万</w:t>
      </w:r>
      <w:r>
        <w:rPr>
          <w:rFonts w:hint="eastAsia"/>
          <w:snapToGrid w:val="0"/>
          <w:sz w:val="21"/>
          <w:szCs w:val="21"/>
          <w:u w:val="single"/>
        </w:rPr>
        <w:t xml:space="preserve"> </w:t>
      </w:r>
      <w:r>
        <w:rPr>
          <w:rFonts w:hint="eastAsia"/>
          <w:snapToGrid w:val="0"/>
          <w:sz w:val="21"/>
          <w:szCs w:val="21"/>
        </w:rPr>
        <w:t>元，超过预算的投标不予接受。</w:t>
      </w:r>
    </w:p>
    <w:p w14:paraId="67F30339">
      <w:pPr>
        <w:rPr>
          <w:snapToGrid w:val="0"/>
          <w:sz w:val="21"/>
          <w:szCs w:val="21"/>
        </w:rPr>
      </w:pPr>
    </w:p>
    <w:p w14:paraId="010B642C">
      <w:pPr>
        <w:rPr>
          <w:b/>
          <w:sz w:val="21"/>
          <w:szCs w:val="21"/>
        </w:rPr>
      </w:pPr>
      <w:r>
        <w:rPr>
          <w:rFonts w:hint="eastAsia"/>
          <w:b/>
          <w:sz w:val="21"/>
          <w:szCs w:val="21"/>
        </w:rPr>
        <w:t>七、对投标企业的其他要求：</w:t>
      </w:r>
    </w:p>
    <w:p w14:paraId="3F437A03">
      <w:pPr>
        <w:rPr>
          <w:b/>
          <w:bCs/>
          <w:sz w:val="21"/>
          <w:szCs w:val="21"/>
        </w:rPr>
      </w:pPr>
      <w:r>
        <w:rPr>
          <w:b/>
          <w:bCs/>
          <w:sz w:val="21"/>
          <w:szCs w:val="21"/>
        </w:rPr>
        <w:t>1、</w:t>
      </w:r>
      <w:r>
        <w:rPr>
          <w:rFonts w:hint="eastAsia"/>
          <w:b/>
          <w:bCs/>
          <w:sz w:val="21"/>
          <w:szCs w:val="21"/>
        </w:rPr>
        <w:t>投标人须具有省、自治区、直辖市人民政府公安机关核发的《保安服务许可证》</w:t>
      </w:r>
      <w:r>
        <w:rPr>
          <w:b/>
          <w:bCs/>
          <w:sz w:val="21"/>
          <w:szCs w:val="21"/>
        </w:rPr>
        <w:t>。</w:t>
      </w:r>
    </w:p>
    <w:p w14:paraId="3FA445D5">
      <w:pPr>
        <w:rPr>
          <w:sz w:val="21"/>
          <w:szCs w:val="21"/>
        </w:rPr>
      </w:pPr>
      <w:r>
        <w:rPr>
          <w:sz w:val="21"/>
          <w:szCs w:val="21"/>
        </w:rPr>
        <w:t>2</w:t>
      </w:r>
      <w:r>
        <w:rPr>
          <w:rFonts w:hint="eastAsia"/>
          <w:sz w:val="21"/>
          <w:szCs w:val="21"/>
        </w:rPr>
        <w:t>、乙方</w:t>
      </w:r>
      <w:r>
        <w:rPr>
          <w:sz w:val="21"/>
          <w:szCs w:val="21"/>
        </w:rPr>
        <w:t>聘用及人员变动，配备人员需报</w:t>
      </w:r>
      <w:r>
        <w:rPr>
          <w:rFonts w:hint="eastAsia"/>
          <w:sz w:val="21"/>
          <w:szCs w:val="21"/>
        </w:rPr>
        <w:t>甲</w:t>
      </w:r>
      <w:r>
        <w:rPr>
          <w:sz w:val="21"/>
          <w:szCs w:val="21"/>
        </w:rPr>
        <w:t xml:space="preserve">方备案。 </w:t>
      </w:r>
    </w:p>
    <w:p w14:paraId="6D55EE22">
      <w:pPr>
        <w:rPr>
          <w:sz w:val="21"/>
          <w:szCs w:val="21"/>
        </w:rPr>
      </w:pPr>
      <w:r>
        <w:rPr>
          <w:sz w:val="21"/>
          <w:szCs w:val="21"/>
        </w:rPr>
        <w:t>3</w:t>
      </w:r>
      <w:r>
        <w:rPr>
          <w:rFonts w:hint="eastAsia"/>
          <w:sz w:val="21"/>
          <w:szCs w:val="21"/>
        </w:rPr>
        <w:t>、甲方对乙方服务的质量进行监督，对不符合质量标准的管理服务有权建议整改，对不称职人员可以要求乙方进行更换。</w:t>
      </w:r>
    </w:p>
    <w:p w14:paraId="762CEBC3">
      <w:pPr>
        <w:rPr>
          <w:sz w:val="21"/>
          <w:szCs w:val="21"/>
        </w:rPr>
      </w:pPr>
      <w:r>
        <w:rPr>
          <w:sz w:val="21"/>
          <w:szCs w:val="21"/>
        </w:rPr>
        <w:t>4</w:t>
      </w:r>
      <w:r>
        <w:rPr>
          <w:rFonts w:hint="eastAsia"/>
          <w:sz w:val="21"/>
          <w:szCs w:val="21"/>
        </w:rPr>
        <w:t>、服务人员必须严格遵守甲方各项规章制度及各项行为、操作规范。</w:t>
      </w:r>
    </w:p>
    <w:p w14:paraId="6279300A">
      <w:pPr>
        <w:rPr>
          <w:sz w:val="21"/>
          <w:szCs w:val="21"/>
        </w:rPr>
      </w:pPr>
      <w:r>
        <w:rPr>
          <w:rFonts w:hint="eastAsia"/>
          <w:snapToGrid w:val="0"/>
          <w:sz w:val="21"/>
          <w:szCs w:val="21"/>
        </w:rPr>
        <w:t>5、</w:t>
      </w:r>
      <w:r>
        <w:rPr>
          <w:rFonts w:hint="eastAsia"/>
          <w:sz w:val="21"/>
          <w:szCs w:val="21"/>
        </w:rPr>
        <w:t>投标人投入本项目的人员必须是投标文件所投人员，如遇特殊情况需要调整，需经过采购人书面同意。采购人将不定期对保安人员上岗情况进行抽查，如发现有擅自离岗、缺岗等渎职行为，采购人有权对中标单位进行处罚，并解除合同。</w:t>
      </w:r>
    </w:p>
    <w:p w14:paraId="3C465FF9">
      <w:pPr>
        <w:rPr>
          <w:sz w:val="21"/>
          <w:szCs w:val="21"/>
        </w:rPr>
      </w:pPr>
      <w:r>
        <w:rPr>
          <w:rFonts w:hint="eastAsia"/>
          <w:sz w:val="21"/>
          <w:szCs w:val="21"/>
        </w:rPr>
        <w:t>6、服务期限自合同签订之日起1年。</w:t>
      </w:r>
    </w:p>
    <w:p w14:paraId="14E38049">
      <w:pPr>
        <w:rPr>
          <w:sz w:val="21"/>
          <w:szCs w:val="21"/>
        </w:rPr>
      </w:pPr>
      <w:r>
        <w:rPr>
          <w:rFonts w:hint="eastAsia"/>
          <w:sz w:val="21"/>
          <w:szCs w:val="21"/>
        </w:rPr>
        <w:t>7、投标人须具有近三年与保安服务相关的服务项目业绩；；</w:t>
      </w:r>
    </w:p>
    <w:p w14:paraId="7360C3B4">
      <w:pPr>
        <w:rPr>
          <w:sz w:val="21"/>
          <w:szCs w:val="21"/>
        </w:rPr>
      </w:pPr>
      <w:r>
        <w:rPr>
          <w:rFonts w:hint="eastAsia"/>
          <w:sz w:val="21"/>
          <w:szCs w:val="21"/>
        </w:rPr>
        <w:t>8、未被“信用中国”（www.creditchina.gov.cn）、中国政府采购网（www.ccgp.gov.cn）列入失信被执行人、重大税收违法案件当事人名单、政府采购严重违法失信行为记录名单；</w:t>
      </w:r>
    </w:p>
    <w:p w14:paraId="2A706781">
      <w:pPr>
        <w:rPr>
          <w:sz w:val="21"/>
          <w:szCs w:val="21"/>
        </w:rPr>
      </w:pPr>
      <w:r>
        <w:rPr>
          <w:rFonts w:hint="eastAsia"/>
          <w:sz w:val="21"/>
          <w:szCs w:val="21"/>
        </w:rPr>
        <w:t>9、单位负责人为同一人或者存在控股、管理关系的不同单位，不得同时参加本项目投标；</w:t>
      </w:r>
    </w:p>
    <w:p w14:paraId="1AAC2A63">
      <w:pPr>
        <w:rPr>
          <w:sz w:val="21"/>
          <w:szCs w:val="21"/>
        </w:rPr>
      </w:pPr>
      <w:r>
        <w:rPr>
          <w:rFonts w:hint="eastAsia"/>
          <w:sz w:val="21"/>
          <w:szCs w:val="21"/>
        </w:rPr>
        <w:t>10、本项目不接受联合体投标。</w:t>
      </w:r>
    </w:p>
    <w:p w14:paraId="28C98158">
      <w:pPr>
        <w:rPr>
          <w:sz w:val="21"/>
          <w:szCs w:val="21"/>
        </w:rPr>
      </w:pPr>
      <w:r>
        <w:rPr>
          <w:sz w:val="21"/>
          <w:szCs w:val="21"/>
        </w:rPr>
        <w:t>1</w:t>
      </w:r>
      <w:r>
        <w:rPr>
          <w:rFonts w:hint="eastAsia"/>
          <w:sz w:val="21"/>
          <w:szCs w:val="21"/>
        </w:rPr>
        <w:t>1、本项目不接受转包、分包。</w:t>
      </w:r>
    </w:p>
    <w:p w14:paraId="754241F4">
      <w:pPr>
        <w:rPr>
          <w:sz w:val="21"/>
          <w:szCs w:val="21"/>
        </w:rPr>
      </w:pPr>
      <w:r>
        <w:rPr>
          <w:sz w:val="21"/>
          <w:szCs w:val="21"/>
        </w:rPr>
        <w:t>1</w:t>
      </w:r>
      <w:r>
        <w:rPr>
          <w:rFonts w:hint="eastAsia"/>
          <w:sz w:val="21"/>
          <w:szCs w:val="21"/>
        </w:rPr>
        <w:t>2、供应商能力要求</w:t>
      </w:r>
      <w:r>
        <w:rPr>
          <w:sz w:val="21"/>
          <w:szCs w:val="21"/>
        </w:rPr>
        <w:t>：</w:t>
      </w:r>
      <w:r>
        <w:rPr>
          <w:rFonts w:hint="eastAsia"/>
          <w:sz w:val="21"/>
          <w:szCs w:val="21"/>
        </w:rPr>
        <w:t>通过质量管理体系认证、职业健康安全管理体系认证、环境管理体系认证，并在认证有效期内的优先考虑。</w:t>
      </w:r>
    </w:p>
    <w:p w14:paraId="4E8F2184">
      <w:pPr>
        <w:rPr>
          <w:sz w:val="21"/>
          <w:szCs w:val="21"/>
        </w:rPr>
      </w:pPr>
    </w:p>
    <w:p w14:paraId="5F55BD83">
      <w:pPr>
        <w:rPr>
          <w:sz w:val="21"/>
          <w:szCs w:val="21"/>
        </w:rPr>
      </w:pPr>
    </w:p>
    <w:p w14:paraId="64D200C5">
      <w:pPr>
        <w:rPr>
          <w:b/>
          <w:sz w:val="21"/>
          <w:szCs w:val="21"/>
        </w:rPr>
      </w:pPr>
      <w:r>
        <w:rPr>
          <w:rFonts w:hint="eastAsia"/>
          <w:b/>
          <w:sz w:val="21"/>
          <w:szCs w:val="21"/>
        </w:rPr>
        <w:t>八、考核办法及支付方式</w:t>
      </w:r>
    </w:p>
    <w:p w14:paraId="0FF74D7D">
      <w:pPr>
        <w:widowControl/>
        <w:spacing w:line="500" w:lineRule="exact"/>
        <w:ind w:firstLine="420" w:firstLineChars="200"/>
        <w:jc w:val="left"/>
        <w:rPr>
          <w:rFonts w:cs="宋体" w:asciiTheme="minorEastAsia" w:hAnsiTheme="minorEastAsia"/>
          <w:color w:val="000000"/>
          <w:sz w:val="21"/>
          <w:szCs w:val="21"/>
        </w:rPr>
      </w:pPr>
      <w:r>
        <w:rPr>
          <w:rFonts w:hint="eastAsia" w:cs="宋体" w:asciiTheme="minorEastAsia" w:hAnsiTheme="minorEastAsia"/>
          <w:color w:val="000000"/>
          <w:sz w:val="21"/>
          <w:szCs w:val="21"/>
        </w:rPr>
        <w:t>费用按季结算，如果季综合考评达 85 分以上，将付给全部保安费；季综合考评在 70-85分，扣当期保安费 1000 元；季综合考评在 60-70 分，扣当期保安费 2000 元，季综合考评在60 分以下，医院有权终止与中标公司的合同，不承担任何责任。</w:t>
      </w:r>
    </w:p>
    <w:tbl>
      <w:tblPr>
        <w:tblStyle w:val="6"/>
        <w:tblW w:w="8431" w:type="dxa"/>
        <w:jc w:val="center"/>
        <w:tblLayout w:type="fixed"/>
        <w:tblCellMar>
          <w:top w:w="0" w:type="dxa"/>
          <w:left w:w="108" w:type="dxa"/>
          <w:bottom w:w="0" w:type="dxa"/>
          <w:right w:w="108" w:type="dxa"/>
        </w:tblCellMar>
      </w:tblPr>
      <w:tblGrid>
        <w:gridCol w:w="958"/>
        <w:gridCol w:w="1173"/>
        <w:gridCol w:w="2809"/>
        <w:gridCol w:w="1077"/>
        <w:gridCol w:w="1050"/>
        <w:gridCol w:w="1364"/>
      </w:tblGrid>
      <w:tr w14:paraId="4AF2CAE8">
        <w:tblPrEx>
          <w:tblCellMar>
            <w:top w:w="0" w:type="dxa"/>
            <w:left w:w="108" w:type="dxa"/>
            <w:bottom w:w="0" w:type="dxa"/>
            <w:right w:w="108" w:type="dxa"/>
          </w:tblCellMar>
        </w:tblPrEx>
        <w:trPr>
          <w:trHeight w:val="450"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4065B0">
            <w:pPr>
              <w:widowControl/>
              <w:jc w:val="center"/>
              <w:rPr>
                <w:rFonts w:ascii="宋体" w:hAnsi="宋体" w:cs="宋体"/>
                <w:b/>
                <w:bCs/>
                <w:sz w:val="21"/>
                <w:szCs w:val="21"/>
              </w:rPr>
            </w:pPr>
            <w:r>
              <w:rPr>
                <w:rFonts w:hint="eastAsia" w:ascii="宋体" w:hAnsi="宋体" w:cs="宋体"/>
                <w:b/>
                <w:bCs/>
                <w:sz w:val="21"/>
                <w:szCs w:val="21"/>
              </w:rPr>
              <w:t>序号</w:t>
            </w:r>
          </w:p>
        </w:tc>
        <w:tc>
          <w:tcPr>
            <w:tcW w:w="1173" w:type="dxa"/>
            <w:tcBorders>
              <w:top w:val="single" w:color="auto" w:sz="4" w:space="0"/>
              <w:left w:val="nil"/>
              <w:bottom w:val="single" w:color="auto" w:sz="4" w:space="0"/>
              <w:right w:val="single" w:color="auto" w:sz="4" w:space="0"/>
            </w:tcBorders>
            <w:shd w:val="clear" w:color="auto" w:fill="auto"/>
            <w:vAlign w:val="center"/>
          </w:tcPr>
          <w:p w14:paraId="1DB3E638">
            <w:pPr>
              <w:widowControl/>
              <w:jc w:val="center"/>
              <w:rPr>
                <w:rFonts w:ascii="宋体" w:hAnsi="宋体" w:cs="宋体"/>
                <w:b/>
                <w:bCs/>
                <w:sz w:val="21"/>
                <w:szCs w:val="21"/>
              </w:rPr>
            </w:pPr>
            <w:r>
              <w:rPr>
                <w:rFonts w:hint="eastAsia" w:ascii="宋体" w:hAnsi="宋体" w:cs="宋体"/>
                <w:b/>
                <w:bCs/>
                <w:sz w:val="21"/>
                <w:szCs w:val="21"/>
              </w:rPr>
              <w:t>项目</w:t>
            </w:r>
          </w:p>
        </w:tc>
        <w:tc>
          <w:tcPr>
            <w:tcW w:w="2809" w:type="dxa"/>
            <w:tcBorders>
              <w:top w:val="single" w:color="auto" w:sz="4" w:space="0"/>
              <w:left w:val="nil"/>
              <w:bottom w:val="single" w:color="auto" w:sz="4" w:space="0"/>
              <w:right w:val="single" w:color="auto" w:sz="4" w:space="0"/>
            </w:tcBorders>
            <w:shd w:val="clear" w:color="auto" w:fill="auto"/>
            <w:vAlign w:val="center"/>
          </w:tcPr>
          <w:p w14:paraId="770B524A">
            <w:pPr>
              <w:widowControl/>
              <w:jc w:val="center"/>
              <w:rPr>
                <w:rFonts w:ascii="宋体" w:hAnsi="宋体" w:cs="宋体"/>
                <w:b/>
                <w:bCs/>
                <w:sz w:val="21"/>
                <w:szCs w:val="21"/>
              </w:rPr>
            </w:pPr>
            <w:r>
              <w:rPr>
                <w:rFonts w:hint="eastAsia" w:ascii="宋体" w:hAnsi="宋体" w:cs="宋体"/>
                <w:b/>
                <w:bCs/>
                <w:sz w:val="21"/>
                <w:szCs w:val="21"/>
              </w:rPr>
              <w:t>标准</w:t>
            </w:r>
          </w:p>
        </w:tc>
        <w:tc>
          <w:tcPr>
            <w:tcW w:w="1077" w:type="dxa"/>
            <w:tcBorders>
              <w:top w:val="single" w:color="auto" w:sz="4" w:space="0"/>
              <w:left w:val="nil"/>
              <w:bottom w:val="single" w:color="auto" w:sz="4" w:space="0"/>
              <w:right w:val="single" w:color="auto" w:sz="4" w:space="0"/>
            </w:tcBorders>
            <w:shd w:val="clear" w:color="auto" w:fill="auto"/>
            <w:vAlign w:val="center"/>
          </w:tcPr>
          <w:p w14:paraId="64A7705D">
            <w:pPr>
              <w:widowControl/>
              <w:jc w:val="center"/>
              <w:rPr>
                <w:rFonts w:ascii="宋体" w:hAnsi="宋体" w:cs="宋体"/>
                <w:b/>
                <w:bCs/>
                <w:sz w:val="21"/>
                <w:szCs w:val="21"/>
              </w:rPr>
            </w:pPr>
            <w:r>
              <w:rPr>
                <w:rFonts w:hint="eastAsia" w:ascii="宋体" w:hAnsi="宋体" w:cs="宋体"/>
                <w:b/>
                <w:bCs/>
                <w:sz w:val="21"/>
                <w:szCs w:val="21"/>
              </w:rPr>
              <w:t>分值</w:t>
            </w:r>
          </w:p>
        </w:tc>
        <w:tc>
          <w:tcPr>
            <w:tcW w:w="1050" w:type="dxa"/>
            <w:tcBorders>
              <w:top w:val="single" w:color="auto" w:sz="4" w:space="0"/>
              <w:left w:val="nil"/>
              <w:bottom w:val="single" w:color="auto" w:sz="4" w:space="0"/>
              <w:right w:val="single" w:color="auto" w:sz="4" w:space="0"/>
            </w:tcBorders>
            <w:shd w:val="clear" w:color="auto" w:fill="auto"/>
            <w:vAlign w:val="center"/>
          </w:tcPr>
          <w:p w14:paraId="0F11A9D4">
            <w:pPr>
              <w:widowControl/>
              <w:jc w:val="center"/>
              <w:rPr>
                <w:rFonts w:ascii="宋体" w:hAnsi="宋体" w:cs="宋体"/>
                <w:b/>
                <w:bCs/>
                <w:sz w:val="21"/>
                <w:szCs w:val="21"/>
              </w:rPr>
            </w:pPr>
            <w:r>
              <w:rPr>
                <w:rFonts w:hint="eastAsia" w:ascii="宋体" w:hAnsi="宋体" w:cs="宋体"/>
                <w:b/>
                <w:bCs/>
                <w:sz w:val="21"/>
                <w:szCs w:val="21"/>
              </w:rPr>
              <w:t>得分</w:t>
            </w:r>
          </w:p>
        </w:tc>
        <w:tc>
          <w:tcPr>
            <w:tcW w:w="1364" w:type="dxa"/>
            <w:tcBorders>
              <w:top w:val="single" w:color="auto" w:sz="4" w:space="0"/>
              <w:left w:val="nil"/>
              <w:bottom w:val="single" w:color="auto" w:sz="4" w:space="0"/>
              <w:right w:val="single" w:color="auto" w:sz="4" w:space="0"/>
            </w:tcBorders>
            <w:shd w:val="clear" w:color="auto" w:fill="auto"/>
            <w:vAlign w:val="center"/>
          </w:tcPr>
          <w:p w14:paraId="71855E8B">
            <w:pPr>
              <w:widowControl/>
              <w:jc w:val="center"/>
              <w:rPr>
                <w:rFonts w:ascii="宋体" w:hAnsi="宋体" w:cs="宋体"/>
                <w:b/>
                <w:bCs/>
                <w:sz w:val="21"/>
                <w:szCs w:val="21"/>
              </w:rPr>
            </w:pPr>
            <w:r>
              <w:rPr>
                <w:rFonts w:hint="eastAsia" w:ascii="宋体" w:hAnsi="宋体" w:cs="宋体"/>
                <w:b/>
                <w:bCs/>
                <w:sz w:val="21"/>
                <w:szCs w:val="21"/>
              </w:rPr>
              <w:t>扣分说明</w:t>
            </w:r>
          </w:p>
        </w:tc>
      </w:tr>
      <w:tr w14:paraId="559EBA4C">
        <w:tblPrEx>
          <w:tblCellMar>
            <w:top w:w="0" w:type="dxa"/>
            <w:left w:w="108" w:type="dxa"/>
            <w:bottom w:w="0" w:type="dxa"/>
            <w:right w:w="108" w:type="dxa"/>
          </w:tblCellMar>
        </w:tblPrEx>
        <w:trPr>
          <w:trHeight w:val="480" w:hRule="atLeast"/>
          <w:jc w:val="center"/>
        </w:trPr>
        <w:tc>
          <w:tcPr>
            <w:tcW w:w="958" w:type="dxa"/>
            <w:tcBorders>
              <w:top w:val="nil"/>
              <w:left w:val="single" w:color="auto" w:sz="4" w:space="0"/>
              <w:bottom w:val="single" w:color="auto" w:sz="4" w:space="0"/>
              <w:right w:val="single" w:color="auto" w:sz="4" w:space="0"/>
            </w:tcBorders>
            <w:shd w:val="clear" w:color="auto" w:fill="auto"/>
            <w:vAlign w:val="center"/>
          </w:tcPr>
          <w:p w14:paraId="2B92A25C">
            <w:pPr>
              <w:widowControl/>
              <w:jc w:val="center"/>
              <w:rPr>
                <w:rFonts w:ascii="宋体" w:hAnsi="宋体" w:cs="宋体"/>
                <w:sz w:val="21"/>
                <w:szCs w:val="21"/>
              </w:rPr>
            </w:pPr>
            <w:r>
              <w:rPr>
                <w:rFonts w:hint="eastAsia" w:ascii="宋体" w:hAnsi="宋体" w:cs="宋体"/>
                <w:sz w:val="21"/>
                <w:szCs w:val="21"/>
              </w:rPr>
              <w:t>1</w:t>
            </w:r>
          </w:p>
        </w:tc>
        <w:tc>
          <w:tcPr>
            <w:tcW w:w="1173" w:type="dxa"/>
            <w:tcBorders>
              <w:top w:val="nil"/>
              <w:left w:val="nil"/>
              <w:bottom w:val="nil"/>
              <w:right w:val="single" w:color="auto" w:sz="4" w:space="0"/>
            </w:tcBorders>
            <w:shd w:val="clear" w:color="auto" w:fill="auto"/>
            <w:vAlign w:val="center"/>
          </w:tcPr>
          <w:p w14:paraId="5651FBED">
            <w:pPr>
              <w:widowControl/>
              <w:jc w:val="center"/>
              <w:rPr>
                <w:rFonts w:ascii="宋体" w:hAnsi="宋体" w:cs="宋体"/>
                <w:sz w:val="21"/>
                <w:szCs w:val="21"/>
              </w:rPr>
            </w:pPr>
            <w:r>
              <w:rPr>
                <w:rFonts w:hint="eastAsia" w:ascii="宋体" w:hAnsi="宋体" w:cs="宋体"/>
                <w:sz w:val="21"/>
                <w:szCs w:val="21"/>
              </w:rPr>
              <w:t>人员岗位及出勤</w:t>
            </w:r>
          </w:p>
        </w:tc>
        <w:tc>
          <w:tcPr>
            <w:tcW w:w="2809" w:type="dxa"/>
            <w:tcBorders>
              <w:top w:val="nil"/>
              <w:left w:val="nil"/>
              <w:bottom w:val="single" w:color="auto" w:sz="4" w:space="0"/>
              <w:right w:val="single" w:color="auto" w:sz="4" w:space="0"/>
            </w:tcBorders>
            <w:shd w:val="clear" w:color="auto" w:fill="auto"/>
            <w:vAlign w:val="center"/>
          </w:tcPr>
          <w:p w14:paraId="40245550">
            <w:pPr>
              <w:widowControl/>
              <w:jc w:val="left"/>
              <w:rPr>
                <w:rFonts w:ascii="宋体" w:hAnsi="宋体" w:cs="宋体"/>
                <w:color w:val="000000"/>
                <w:sz w:val="21"/>
                <w:szCs w:val="21"/>
              </w:rPr>
            </w:pPr>
            <w:r>
              <w:rPr>
                <w:rFonts w:hint="eastAsia" w:ascii="宋体" w:hAnsi="宋体" w:cs="宋体"/>
                <w:color w:val="000000"/>
                <w:sz w:val="21"/>
                <w:szCs w:val="21"/>
              </w:rPr>
              <w:t>1、根据工作实际情况，合理安排休班，按岗位设置或排班表；</w:t>
            </w:r>
            <w:r>
              <w:rPr>
                <w:rFonts w:hint="eastAsia" w:ascii="宋体" w:hAnsi="宋体" w:cs="宋体"/>
                <w:color w:val="000000"/>
                <w:sz w:val="21"/>
                <w:szCs w:val="21"/>
              </w:rPr>
              <w:br w:type="textWrapping"/>
            </w:r>
            <w:r>
              <w:rPr>
                <w:rFonts w:hint="eastAsia" w:ascii="宋体" w:hAnsi="宋体" w:cs="宋体"/>
                <w:color w:val="000000"/>
                <w:sz w:val="21"/>
                <w:szCs w:val="21"/>
              </w:rPr>
              <w:t>2、人员调配合理，准时到岗，无迟到早退或缺勤现象。</w:t>
            </w:r>
          </w:p>
        </w:tc>
        <w:tc>
          <w:tcPr>
            <w:tcW w:w="1077" w:type="dxa"/>
            <w:tcBorders>
              <w:top w:val="nil"/>
              <w:left w:val="nil"/>
              <w:bottom w:val="single" w:color="auto" w:sz="4" w:space="0"/>
              <w:right w:val="single" w:color="auto" w:sz="4" w:space="0"/>
            </w:tcBorders>
            <w:shd w:val="clear" w:color="auto" w:fill="auto"/>
            <w:vAlign w:val="center"/>
          </w:tcPr>
          <w:p w14:paraId="4935EE9D">
            <w:pPr>
              <w:widowControl/>
              <w:jc w:val="center"/>
              <w:rPr>
                <w:rFonts w:ascii="宋体" w:hAnsi="宋体" w:cs="宋体"/>
                <w:sz w:val="21"/>
                <w:szCs w:val="21"/>
              </w:rPr>
            </w:pPr>
            <w:r>
              <w:rPr>
                <w:rFonts w:hint="eastAsia" w:ascii="宋体" w:hAnsi="宋体" w:cs="宋体"/>
                <w:sz w:val="21"/>
                <w:szCs w:val="21"/>
              </w:rPr>
              <w:t>10</w:t>
            </w:r>
          </w:p>
        </w:tc>
        <w:tc>
          <w:tcPr>
            <w:tcW w:w="1050" w:type="dxa"/>
            <w:tcBorders>
              <w:top w:val="nil"/>
              <w:left w:val="nil"/>
              <w:bottom w:val="single" w:color="auto" w:sz="4" w:space="0"/>
              <w:right w:val="single" w:color="auto" w:sz="4" w:space="0"/>
            </w:tcBorders>
            <w:shd w:val="clear" w:color="auto" w:fill="auto"/>
            <w:vAlign w:val="center"/>
          </w:tcPr>
          <w:p w14:paraId="3755FE3D">
            <w:pPr>
              <w:widowControl/>
              <w:jc w:val="left"/>
              <w:rPr>
                <w:rFonts w:ascii="宋体" w:hAnsi="宋体" w:cs="宋体"/>
                <w:sz w:val="21"/>
                <w:szCs w:val="21"/>
              </w:rPr>
            </w:pPr>
          </w:p>
        </w:tc>
        <w:tc>
          <w:tcPr>
            <w:tcW w:w="1364" w:type="dxa"/>
            <w:tcBorders>
              <w:top w:val="nil"/>
              <w:left w:val="nil"/>
              <w:bottom w:val="single" w:color="auto" w:sz="4" w:space="0"/>
              <w:right w:val="single" w:color="auto" w:sz="4" w:space="0"/>
            </w:tcBorders>
            <w:shd w:val="clear" w:color="auto" w:fill="auto"/>
            <w:vAlign w:val="center"/>
          </w:tcPr>
          <w:p w14:paraId="72B1C256">
            <w:pPr>
              <w:widowControl/>
              <w:jc w:val="left"/>
              <w:rPr>
                <w:rFonts w:ascii="宋体" w:hAnsi="宋体" w:cs="宋体"/>
                <w:color w:val="FF0000"/>
                <w:sz w:val="21"/>
                <w:szCs w:val="21"/>
              </w:rPr>
            </w:pPr>
          </w:p>
        </w:tc>
      </w:tr>
      <w:tr w14:paraId="55F1062C">
        <w:tblPrEx>
          <w:tblCellMar>
            <w:top w:w="0" w:type="dxa"/>
            <w:left w:w="108" w:type="dxa"/>
            <w:bottom w:w="0" w:type="dxa"/>
            <w:right w:w="108" w:type="dxa"/>
          </w:tblCellMar>
        </w:tblPrEx>
        <w:trPr>
          <w:trHeight w:val="1350" w:hRule="atLeast"/>
          <w:jc w:val="center"/>
        </w:trPr>
        <w:tc>
          <w:tcPr>
            <w:tcW w:w="958" w:type="dxa"/>
            <w:tcBorders>
              <w:top w:val="nil"/>
              <w:left w:val="single" w:color="auto" w:sz="4" w:space="0"/>
              <w:bottom w:val="single" w:color="auto" w:sz="4" w:space="0"/>
              <w:right w:val="single" w:color="auto" w:sz="4" w:space="0"/>
            </w:tcBorders>
            <w:shd w:val="clear" w:color="auto" w:fill="auto"/>
            <w:vAlign w:val="center"/>
          </w:tcPr>
          <w:p w14:paraId="4943AFFB">
            <w:pPr>
              <w:widowControl/>
              <w:jc w:val="center"/>
              <w:rPr>
                <w:rFonts w:ascii="宋体" w:hAnsi="宋体" w:cs="宋体"/>
                <w:sz w:val="21"/>
                <w:szCs w:val="21"/>
              </w:rPr>
            </w:pPr>
            <w:r>
              <w:rPr>
                <w:rFonts w:hint="eastAsia" w:ascii="宋体" w:hAnsi="宋体" w:cs="宋体"/>
                <w:sz w:val="21"/>
                <w:szCs w:val="21"/>
              </w:rPr>
              <w:t>2</w:t>
            </w:r>
          </w:p>
        </w:tc>
        <w:tc>
          <w:tcPr>
            <w:tcW w:w="1173" w:type="dxa"/>
            <w:tcBorders>
              <w:top w:val="single" w:color="auto" w:sz="4" w:space="0"/>
              <w:left w:val="nil"/>
              <w:bottom w:val="nil"/>
              <w:right w:val="single" w:color="auto" w:sz="4" w:space="0"/>
            </w:tcBorders>
            <w:shd w:val="clear" w:color="auto" w:fill="auto"/>
            <w:vAlign w:val="center"/>
          </w:tcPr>
          <w:p w14:paraId="7E95236D">
            <w:pPr>
              <w:widowControl/>
              <w:jc w:val="center"/>
              <w:rPr>
                <w:rFonts w:ascii="宋体" w:hAnsi="宋体" w:cs="宋体"/>
                <w:sz w:val="21"/>
                <w:szCs w:val="21"/>
              </w:rPr>
            </w:pPr>
            <w:r>
              <w:rPr>
                <w:rFonts w:hint="eastAsia" w:ascii="宋体" w:hAnsi="宋体" w:cs="宋体"/>
                <w:sz w:val="21"/>
                <w:szCs w:val="21"/>
              </w:rPr>
              <w:t>人员礼仪纪律</w:t>
            </w:r>
          </w:p>
        </w:tc>
        <w:tc>
          <w:tcPr>
            <w:tcW w:w="2809" w:type="dxa"/>
            <w:tcBorders>
              <w:top w:val="nil"/>
              <w:left w:val="nil"/>
              <w:bottom w:val="single" w:color="auto" w:sz="4" w:space="0"/>
              <w:right w:val="single" w:color="auto" w:sz="4" w:space="0"/>
            </w:tcBorders>
            <w:shd w:val="clear" w:color="auto" w:fill="auto"/>
            <w:vAlign w:val="center"/>
          </w:tcPr>
          <w:p w14:paraId="10D32555">
            <w:pPr>
              <w:widowControl/>
              <w:jc w:val="left"/>
              <w:rPr>
                <w:rFonts w:ascii="宋体" w:hAnsi="宋体" w:cs="宋体"/>
                <w:color w:val="000000"/>
                <w:sz w:val="21"/>
                <w:szCs w:val="21"/>
              </w:rPr>
            </w:pPr>
            <w:r>
              <w:rPr>
                <w:rFonts w:hint="eastAsia" w:ascii="宋体" w:hAnsi="宋体" w:cs="宋体"/>
                <w:color w:val="000000"/>
                <w:sz w:val="21"/>
                <w:szCs w:val="21"/>
              </w:rPr>
              <w:t>1、微笑规范询问，合理阻止非文明行为及非规范行为，严禁粗话、脏话，无肢体冲突；</w:t>
            </w:r>
            <w:r>
              <w:rPr>
                <w:rFonts w:hint="eastAsia" w:ascii="宋体" w:hAnsi="宋体" w:cs="宋体"/>
                <w:color w:val="000000"/>
                <w:sz w:val="21"/>
                <w:szCs w:val="21"/>
              </w:rPr>
              <w:br w:type="textWrapping"/>
            </w:r>
            <w:r>
              <w:rPr>
                <w:rFonts w:hint="eastAsia" w:ascii="宋体" w:hAnsi="宋体" w:cs="宋体"/>
                <w:color w:val="000000"/>
                <w:sz w:val="21"/>
                <w:szCs w:val="21"/>
              </w:rPr>
              <w:t>2、各种手势必须清晰、规范，手势统一有力，严禁手势误导；</w:t>
            </w:r>
            <w:r>
              <w:rPr>
                <w:rFonts w:hint="eastAsia" w:ascii="宋体" w:hAnsi="宋体" w:cs="宋体"/>
                <w:color w:val="000000"/>
                <w:sz w:val="21"/>
                <w:szCs w:val="21"/>
              </w:rPr>
              <w:br w:type="textWrapping"/>
            </w:r>
            <w:r>
              <w:rPr>
                <w:rFonts w:hint="eastAsia" w:ascii="宋体" w:hAnsi="宋体" w:cs="宋体"/>
                <w:color w:val="000000"/>
                <w:sz w:val="21"/>
                <w:szCs w:val="21"/>
              </w:rPr>
              <w:t>3、穿着清洁整齐，裤线清晰直挺，口袋内不放异物；</w:t>
            </w:r>
            <w:r>
              <w:rPr>
                <w:rFonts w:hint="eastAsia" w:ascii="宋体" w:hAnsi="宋体" w:cs="宋体"/>
                <w:color w:val="000000"/>
                <w:sz w:val="21"/>
                <w:szCs w:val="21"/>
              </w:rPr>
              <w:br w:type="textWrapping"/>
            </w:r>
            <w:r>
              <w:rPr>
                <w:rFonts w:hint="eastAsia" w:ascii="宋体" w:hAnsi="宋体" w:cs="宋体"/>
                <w:color w:val="000000"/>
                <w:sz w:val="21"/>
                <w:szCs w:val="21"/>
              </w:rPr>
              <w:t>4、不得留须、长发、长甲，食用口气较重食物，严禁酒后当值；</w:t>
            </w:r>
            <w:r>
              <w:rPr>
                <w:rFonts w:hint="eastAsia" w:ascii="宋体" w:hAnsi="宋体" w:cs="宋体"/>
                <w:color w:val="000000"/>
                <w:sz w:val="21"/>
                <w:szCs w:val="21"/>
              </w:rPr>
              <w:br w:type="textWrapping"/>
            </w:r>
            <w:r>
              <w:rPr>
                <w:rFonts w:hint="eastAsia" w:ascii="宋体" w:hAnsi="宋体" w:cs="宋体"/>
                <w:color w:val="000000"/>
                <w:sz w:val="21"/>
                <w:szCs w:val="21"/>
              </w:rPr>
              <w:t>5、工作、休息区域卫生整洁，各类记录表单、使用器具摆放整齐；</w:t>
            </w:r>
            <w:r>
              <w:rPr>
                <w:rFonts w:hint="eastAsia" w:ascii="宋体" w:hAnsi="宋体" w:cs="宋体"/>
                <w:color w:val="000000"/>
                <w:sz w:val="21"/>
                <w:szCs w:val="21"/>
              </w:rPr>
              <w:br w:type="textWrapping"/>
            </w:r>
            <w:r>
              <w:rPr>
                <w:rFonts w:hint="eastAsia" w:ascii="宋体" w:hAnsi="宋体" w:cs="宋体"/>
                <w:color w:val="000000"/>
                <w:sz w:val="21"/>
                <w:szCs w:val="21"/>
              </w:rPr>
              <w:t>6、工作时注意站姿，坐姿、行姿，不得做与工作无关的事情。</w:t>
            </w:r>
          </w:p>
        </w:tc>
        <w:tc>
          <w:tcPr>
            <w:tcW w:w="1077" w:type="dxa"/>
            <w:tcBorders>
              <w:top w:val="nil"/>
              <w:left w:val="nil"/>
              <w:bottom w:val="single" w:color="auto" w:sz="4" w:space="0"/>
              <w:right w:val="single" w:color="auto" w:sz="4" w:space="0"/>
            </w:tcBorders>
            <w:shd w:val="clear" w:color="auto" w:fill="auto"/>
            <w:vAlign w:val="center"/>
          </w:tcPr>
          <w:p w14:paraId="375FEB06">
            <w:pPr>
              <w:widowControl/>
              <w:jc w:val="center"/>
              <w:rPr>
                <w:rFonts w:ascii="宋体" w:hAnsi="宋体" w:cs="宋体"/>
                <w:sz w:val="21"/>
                <w:szCs w:val="21"/>
              </w:rPr>
            </w:pPr>
            <w:r>
              <w:rPr>
                <w:rFonts w:hint="eastAsia" w:ascii="宋体" w:hAnsi="宋体" w:cs="宋体"/>
                <w:sz w:val="21"/>
                <w:szCs w:val="21"/>
              </w:rPr>
              <w:t>30</w:t>
            </w:r>
          </w:p>
        </w:tc>
        <w:tc>
          <w:tcPr>
            <w:tcW w:w="1050" w:type="dxa"/>
            <w:tcBorders>
              <w:top w:val="nil"/>
              <w:left w:val="nil"/>
              <w:bottom w:val="single" w:color="auto" w:sz="4" w:space="0"/>
              <w:right w:val="single" w:color="auto" w:sz="4" w:space="0"/>
            </w:tcBorders>
            <w:shd w:val="clear" w:color="auto" w:fill="FFFFFF"/>
            <w:vAlign w:val="center"/>
          </w:tcPr>
          <w:p w14:paraId="2C1BFA33">
            <w:pPr>
              <w:widowControl/>
              <w:jc w:val="left"/>
              <w:rPr>
                <w:rFonts w:ascii="宋体" w:hAnsi="宋体" w:cs="宋体"/>
                <w:sz w:val="21"/>
                <w:szCs w:val="21"/>
              </w:rPr>
            </w:pPr>
          </w:p>
        </w:tc>
        <w:tc>
          <w:tcPr>
            <w:tcW w:w="1364" w:type="dxa"/>
            <w:tcBorders>
              <w:top w:val="nil"/>
              <w:left w:val="nil"/>
              <w:bottom w:val="single" w:color="auto" w:sz="4" w:space="0"/>
              <w:right w:val="single" w:color="auto" w:sz="4" w:space="0"/>
            </w:tcBorders>
            <w:shd w:val="clear" w:color="auto" w:fill="auto"/>
            <w:vAlign w:val="center"/>
          </w:tcPr>
          <w:p w14:paraId="5C091448">
            <w:pPr>
              <w:widowControl/>
              <w:jc w:val="left"/>
              <w:rPr>
                <w:rFonts w:ascii="宋体" w:hAnsi="宋体" w:cs="宋体"/>
                <w:sz w:val="21"/>
                <w:szCs w:val="21"/>
              </w:rPr>
            </w:pPr>
          </w:p>
        </w:tc>
      </w:tr>
      <w:tr w14:paraId="73B7FDB6">
        <w:tblPrEx>
          <w:tblCellMar>
            <w:top w:w="0" w:type="dxa"/>
            <w:left w:w="108" w:type="dxa"/>
            <w:bottom w:w="0" w:type="dxa"/>
            <w:right w:w="108" w:type="dxa"/>
          </w:tblCellMar>
        </w:tblPrEx>
        <w:trPr>
          <w:trHeight w:val="2250" w:hRule="atLeast"/>
          <w:jc w:val="center"/>
        </w:trPr>
        <w:tc>
          <w:tcPr>
            <w:tcW w:w="958" w:type="dxa"/>
            <w:tcBorders>
              <w:top w:val="nil"/>
              <w:left w:val="single" w:color="auto" w:sz="4" w:space="0"/>
              <w:bottom w:val="single" w:color="auto" w:sz="4" w:space="0"/>
              <w:right w:val="single" w:color="auto" w:sz="4" w:space="0"/>
            </w:tcBorders>
            <w:shd w:val="clear" w:color="auto" w:fill="auto"/>
            <w:vAlign w:val="center"/>
          </w:tcPr>
          <w:p w14:paraId="7DA93122">
            <w:pPr>
              <w:widowControl/>
              <w:jc w:val="center"/>
              <w:rPr>
                <w:rFonts w:ascii="宋体" w:hAnsi="宋体" w:cs="宋体"/>
                <w:sz w:val="21"/>
                <w:szCs w:val="21"/>
              </w:rPr>
            </w:pPr>
            <w:r>
              <w:rPr>
                <w:rFonts w:hint="eastAsia" w:ascii="宋体" w:hAnsi="宋体" w:cs="宋体"/>
                <w:sz w:val="21"/>
                <w:szCs w:val="21"/>
              </w:rPr>
              <w:t>3</w:t>
            </w:r>
          </w:p>
        </w:tc>
        <w:tc>
          <w:tcPr>
            <w:tcW w:w="1173" w:type="dxa"/>
            <w:tcBorders>
              <w:top w:val="single" w:color="auto" w:sz="4" w:space="0"/>
              <w:left w:val="nil"/>
              <w:bottom w:val="nil"/>
              <w:right w:val="single" w:color="auto" w:sz="4" w:space="0"/>
            </w:tcBorders>
            <w:shd w:val="clear" w:color="auto" w:fill="auto"/>
            <w:vAlign w:val="center"/>
          </w:tcPr>
          <w:p w14:paraId="5B103DC4">
            <w:pPr>
              <w:widowControl/>
              <w:jc w:val="center"/>
              <w:rPr>
                <w:rFonts w:ascii="宋体" w:hAnsi="宋体" w:cs="宋体"/>
                <w:sz w:val="21"/>
                <w:szCs w:val="21"/>
              </w:rPr>
            </w:pPr>
            <w:r>
              <w:rPr>
                <w:rFonts w:hint="eastAsia" w:ascii="宋体" w:hAnsi="宋体" w:cs="宋体"/>
                <w:sz w:val="21"/>
                <w:szCs w:val="21"/>
              </w:rPr>
              <w:t>日常管理工作</w:t>
            </w:r>
          </w:p>
        </w:tc>
        <w:tc>
          <w:tcPr>
            <w:tcW w:w="2809" w:type="dxa"/>
            <w:tcBorders>
              <w:top w:val="nil"/>
              <w:left w:val="nil"/>
              <w:bottom w:val="single" w:color="auto" w:sz="4" w:space="0"/>
              <w:right w:val="single" w:color="auto" w:sz="4" w:space="0"/>
            </w:tcBorders>
            <w:shd w:val="clear" w:color="auto" w:fill="auto"/>
            <w:vAlign w:val="center"/>
          </w:tcPr>
          <w:p w14:paraId="3CA6408F">
            <w:pPr>
              <w:widowControl/>
              <w:jc w:val="left"/>
              <w:rPr>
                <w:rFonts w:ascii="宋体" w:hAnsi="宋体" w:cs="宋体"/>
                <w:sz w:val="21"/>
                <w:szCs w:val="21"/>
              </w:rPr>
            </w:pPr>
            <w:r>
              <w:rPr>
                <w:rFonts w:hint="eastAsia" w:ascii="宋体" w:hAnsi="宋体" w:cs="宋体"/>
                <w:sz w:val="21"/>
                <w:szCs w:val="21"/>
              </w:rPr>
              <w:t>1、服从指挥、听从命令、做到令行禁止；</w:t>
            </w:r>
            <w:r>
              <w:rPr>
                <w:rFonts w:hint="eastAsia" w:ascii="宋体" w:hAnsi="宋体" w:cs="宋体"/>
                <w:sz w:val="21"/>
                <w:szCs w:val="21"/>
              </w:rPr>
              <w:br w:type="textWrapping"/>
            </w:r>
            <w:r>
              <w:rPr>
                <w:rFonts w:hint="eastAsia" w:ascii="宋体" w:hAnsi="宋体" w:cs="宋体"/>
                <w:sz w:val="21"/>
                <w:szCs w:val="21"/>
              </w:rPr>
              <w:t>2、积极主动的协助民警开展工作；</w:t>
            </w:r>
            <w:r>
              <w:rPr>
                <w:rFonts w:hint="eastAsia" w:ascii="宋体" w:hAnsi="宋体" w:cs="宋体"/>
                <w:sz w:val="21"/>
                <w:szCs w:val="21"/>
              </w:rPr>
              <w:br w:type="textWrapping"/>
            </w:r>
            <w:r>
              <w:rPr>
                <w:rFonts w:hint="eastAsia" w:ascii="宋体" w:hAnsi="宋体" w:cs="宋体"/>
                <w:sz w:val="21"/>
                <w:szCs w:val="21"/>
              </w:rPr>
              <w:t>3、遵守服务单位的保密制度；</w:t>
            </w:r>
            <w:r>
              <w:rPr>
                <w:rFonts w:hint="eastAsia" w:ascii="宋体" w:hAnsi="宋体" w:cs="宋体"/>
                <w:sz w:val="21"/>
                <w:szCs w:val="21"/>
              </w:rPr>
              <w:br w:type="textWrapping"/>
            </w:r>
            <w:r>
              <w:rPr>
                <w:rFonts w:hint="eastAsia" w:ascii="宋体" w:hAnsi="宋体" w:cs="宋体"/>
                <w:sz w:val="21"/>
                <w:szCs w:val="21"/>
              </w:rPr>
              <w:t>4、日常工作记录表单全面详细符合现场工作要求，并规范存档；</w:t>
            </w:r>
            <w:r>
              <w:rPr>
                <w:rFonts w:hint="eastAsia" w:ascii="宋体" w:hAnsi="宋体" w:cs="宋体"/>
                <w:sz w:val="21"/>
                <w:szCs w:val="21"/>
              </w:rPr>
              <w:br w:type="textWrapping"/>
            </w:r>
            <w:r>
              <w:rPr>
                <w:rFonts w:hint="eastAsia" w:ascii="宋体" w:hAnsi="宋体" w:cs="宋体"/>
                <w:sz w:val="21"/>
                <w:szCs w:val="21"/>
              </w:rPr>
              <w:t>5、出现重大违纪违法行为且社会影响恶劣，或被媒体曝光等情形；</w:t>
            </w:r>
            <w:r>
              <w:rPr>
                <w:rFonts w:hint="eastAsia" w:ascii="宋体" w:hAnsi="宋体" w:cs="宋体"/>
                <w:sz w:val="21"/>
                <w:szCs w:val="21"/>
              </w:rPr>
              <w:br w:type="textWrapping"/>
            </w:r>
            <w:r>
              <w:rPr>
                <w:rFonts w:hint="eastAsia" w:ascii="宋体" w:hAnsi="宋体" w:cs="宋体"/>
                <w:sz w:val="21"/>
                <w:szCs w:val="21"/>
              </w:rPr>
              <w:t>6、对突发事件15分钟内上报指定领导；</w:t>
            </w:r>
            <w:r>
              <w:rPr>
                <w:rFonts w:hint="eastAsia" w:ascii="宋体" w:hAnsi="宋体" w:cs="宋体"/>
                <w:sz w:val="21"/>
                <w:szCs w:val="21"/>
              </w:rPr>
              <w:br w:type="textWrapping"/>
            </w:r>
            <w:r>
              <w:rPr>
                <w:rFonts w:hint="eastAsia" w:ascii="宋体" w:hAnsi="宋体" w:cs="宋体"/>
                <w:sz w:val="21"/>
                <w:szCs w:val="21"/>
              </w:rPr>
              <w:t>7、熟知本岗位职责，不得离岗、脱岗、睡岗；</w:t>
            </w:r>
          </w:p>
        </w:tc>
        <w:tc>
          <w:tcPr>
            <w:tcW w:w="1077" w:type="dxa"/>
            <w:tcBorders>
              <w:top w:val="nil"/>
              <w:left w:val="nil"/>
              <w:bottom w:val="single" w:color="auto" w:sz="4" w:space="0"/>
              <w:right w:val="single" w:color="auto" w:sz="4" w:space="0"/>
            </w:tcBorders>
            <w:shd w:val="clear" w:color="auto" w:fill="auto"/>
            <w:vAlign w:val="center"/>
          </w:tcPr>
          <w:p w14:paraId="3F1515D7">
            <w:pPr>
              <w:widowControl/>
              <w:jc w:val="center"/>
              <w:rPr>
                <w:rFonts w:ascii="宋体" w:hAnsi="宋体" w:cs="宋体"/>
                <w:sz w:val="21"/>
                <w:szCs w:val="21"/>
              </w:rPr>
            </w:pPr>
            <w:r>
              <w:rPr>
                <w:rFonts w:hint="eastAsia" w:ascii="宋体" w:hAnsi="宋体" w:cs="宋体"/>
                <w:sz w:val="21"/>
                <w:szCs w:val="21"/>
              </w:rPr>
              <w:t>30</w:t>
            </w:r>
          </w:p>
        </w:tc>
        <w:tc>
          <w:tcPr>
            <w:tcW w:w="1050" w:type="dxa"/>
            <w:tcBorders>
              <w:top w:val="nil"/>
              <w:left w:val="nil"/>
              <w:bottom w:val="single" w:color="auto" w:sz="4" w:space="0"/>
              <w:right w:val="single" w:color="auto" w:sz="4" w:space="0"/>
            </w:tcBorders>
            <w:shd w:val="clear" w:color="auto" w:fill="auto"/>
            <w:vAlign w:val="center"/>
          </w:tcPr>
          <w:p w14:paraId="3833145F">
            <w:pPr>
              <w:widowControl/>
              <w:jc w:val="left"/>
              <w:rPr>
                <w:rFonts w:ascii="宋体" w:hAnsi="宋体" w:cs="宋体"/>
                <w:sz w:val="21"/>
                <w:szCs w:val="21"/>
              </w:rPr>
            </w:pPr>
          </w:p>
        </w:tc>
        <w:tc>
          <w:tcPr>
            <w:tcW w:w="1364" w:type="dxa"/>
            <w:tcBorders>
              <w:top w:val="nil"/>
              <w:left w:val="nil"/>
              <w:bottom w:val="single" w:color="auto" w:sz="4" w:space="0"/>
              <w:right w:val="single" w:color="auto" w:sz="4" w:space="0"/>
            </w:tcBorders>
            <w:shd w:val="clear" w:color="auto" w:fill="auto"/>
            <w:vAlign w:val="center"/>
          </w:tcPr>
          <w:p w14:paraId="7FBD7797">
            <w:pPr>
              <w:widowControl/>
              <w:jc w:val="left"/>
              <w:rPr>
                <w:rFonts w:ascii="宋体" w:hAnsi="宋体" w:cs="宋体"/>
                <w:sz w:val="21"/>
                <w:szCs w:val="21"/>
              </w:rPr>
            </w:pPr>
          </w:p>
        </w:tc>
      </w:tr>
      <w:tr w14:paraId="04C85DE0">
        <w:tblPrEx>
          <w:tblCellMar>
            <w:top w:w="0" w:type="dxa"/>
            <w:left w:w="108" w:type="dxa"/>
            <w:bottom w:w="0" w:type="dxa"/>
            <w:right w:w="108" w:type="dxa"/>
          </w:tblCellMar>
        </w:tblPrEx>
        <w:trPr>
          <w:trHeight w:val="1125" w:hRule="atLeast"/>
          <w:jc w:val="center"/>
        </w:trPr>
        <w:tc>
          <w:tcPr>
            <w:tcW w:w="958" w:type="dxa"/>
            <w:tcBorders>
              <w:top w:val="nil"/>
              <w:left w:val="single" w:color="auto" w:sz="4" w:space="0"/>
              <w:bottom w:val="single" w:color="auto" w:sz="4" w:space="0"/>
              <w:right w:val="single" w:color="auto" w:sz="4" w:space="0"/>
            </w:tcBorders>
            <w:shd w:val="clear" w:color="auto" w:fill="auto"/>
            <w:vAlign w:val="center"/>
          </w:tcPr>
          <w:p w14:paraId="6AB011B5">
            <w:pPr>
              <w:widowControl/>
              <w:jc w:val="center"/>
              <w:rPr>
                <w:rFonts w:ascii="宋体" w:hAnsi="宋体" w:cs="宋体"/>
                <w:sz w:val="21"/>
                <w:szCs w:val="21"/>
              </w:rPr>
            </w:pPr>
            <w:r>
              <w:rPr>
                <w:rFonts w:hint="eastAsia" w:ascii="宋体" w:hAnsi="宋体" w:cs="宋体"/>
                <w:sz w:val="21"/>
                <w:szCs w:val="21"/>
              </w:rPr>
              <w:t>4</w:t>
            </w:r>
          </w:p>
        </w:tc>
        <w:tc>
          <w:tcPr>
            <w:tcW w:w="1173" w:type="dxa"/>
            <w:tcBorders>
              <w:top w:val="single" w:color="auto" w:sz="4" w:space="0"/>
              <w:left w:val="nil"/>
              <w:bottom w:val="nil"/>
              <w:right w:val="single" w:color="auto" w:sz="4" w:space="0"/>
            </w:tcBorders>
            <w:shd w:val="clear" w:color="auto" w:fill="auto"/>
            <w:vAlign w:val="center"/>
          </w:tcPr>
          <w:p w14:paraId="7C3CED7C">
            <w:pPr>
              <w:widowControl/>
              <w:jc w:val="center"/>
              <w:rPr>
                <w:rFonts w:ascii="宋体" w:hAnsi="宋体" w:cs="宋体"/>
                <w:sz w:val="21"/>
                <w:szCs w:val="21"/>
              </w:rPr>
            </w:pPr>
            <w:r>
              <w:rPr>
                <w:rFonts w:hint="eastAsia" w:ascii="宋体" w:hAnsi="宋体" w:cs="宋体"/>
                <w:sz w:val="21"/>
                <w:szCs w:val="21"/>
              </w:rPr>
              <w:t>工作配合及沟通</w:t>
            </w:r>
          </w:p>
        </w:tc>
        <w:tc>
          <w:tcPr>
            <w:tcW w:w="2809" w:type="dxa"/>
            <w:tcBorders>
              <w:top w:val="nil"/>
              <w:left w:val="nil"/>
              <w:bottom w:val="single" w:color="auto" w:sz="4" w:space="0"/>
              <w:right w:val="single" w:color="auto" w:sz="4" w:space="0"/>
            </w:tcBorders>
            <w:shd w:val="clear" w:color="auto" w:fill="auto"/>
            <w:vAlign w:val="center"/>
          </w:tcPr>
          <w:p w14:paraId="712CCF5D">
            <w:pPr>
              <w:widowControl/>
              <w:jc w:val="left"/>
              <w:rPr>
                <w:rFonts w:ascii="宋体" w:hAnsi="宋体" w:cs="宋体"/>
                <w:color w:val="000000"/>
                <w:sz w:val="21"/>
                <w:szCs w:val="21"/>
              </w:rPr>
            </w:pPr>
            <w:r>
              <w:rPr>
                <w:rFonts w:hint="eastAsia" w:ascii="宋体" w:hAnsi="宋体" w:cs="宋体"/>
                <w:color w:val="000000"/>
                <w:sz w:val="21"/>
                <w:szCs w:val="21"/>
              </w:rPr>
              <w:t>1、及时有效传达管理处布置的各阶段工作重点及任务，保证其落实执行并及时反馈；</w:t>
            </w:r>
            <w:r>
              <w:rPr>
                <w:rFonts w:hint="eastAsia" w:ascii="宋体" w:hAnsi="宋体" w:cs="宋体"/>
                <w:color w:val="000000"/>
                <w:sz w:val="21"/>
                <w:szCs w:val="21"/>
              </w:rPr>
              <w:br w:type="textWrapping"/>
            </w:r>
            <w:r>
              <w:rPr>
                <w:rFonts w:hint="eastAsia" w:ascii="宋体" w:hAnsi="宋体" w:cs="宋体"/>
                <w:color w:val="000000"/>
                <w:sz w:val="21"/>
                <w:szCs w:val="21"/>
              </w:rPr>
              <w:t>2、就工作指令中的疑问主动与管理处进行协调沟通，有效防止误会和失误 ；</w:t>
            </w:r>
            <w:r>
              <w:rPr>
                <w:rFonts w:hint="eastAsia" w:ascii="宋体" w:hAnsi="宋体" w:cs="宋体"/>
                <w:color w:val="000000"/>
                <w:sz w:val="21"/>
                <w:szCs w:val="21"/>
              </w:rPr>
              <w:br w:type="textWrapping"/>
            </w:r>
            <w:r>
              <w:rPr>
                <w:rFonts w:hint="eastAsia" w:ascii="宋体" w:hAnsi="宋体" w:cs="宋体"/>
                <w:color w:val="000000"/>
                <w:sz w:val="21"/>
                <w:szCs w:val="21"/>
              </w:rPr>
              <w:t>3、工作中积极主动不计个人得失，发挥主观能动性，高效高质的完成各项工作任务；</w:t>
            </w:r>
            <w:r>
              <w:rPr>
                <w:rFonts w:hint="eastAsia" w:ascii="宋体" w:hAnsi="宋体" w:cs="宋体"/>
                <w:color w:val="000000"/>
                <w:sz w:val="21"/>
                <w:szCs w:val="21"/>
              </w:rPr>
              <w:br w:type="textWrapping"/>
            </w:r>
            <w:r>
              <w:rPr>
                <w:rFonts w:hint="eastAsia" w:ascii="宋体" w:hAnsi="宋体" w:cs="宋体"/>
                <w:color w:val="000000"/>
                <w:sz w:val="21"/>
                <w:szCs w:val="21"/>
              </w:rPr>
              <w:t>4、对于工作中碰到的问题与协同部门进行沟通并及时反馈进展；</w:t>
            </w:r>
            <w:r>
              <w:rPr>
                <w:rFonts w:hint="eastAsia" w:ascii="宋体" w:hAnsi="宋体" w:cs="宋体"/>
                <w:color w:val="000000"/>
                <w:sz w:val="21"/>
                <w:szCs w:val="21"/>
              </w:rPr>
              <w:br w:type="textWrapping"/>
            </w:r>
            <w:r>
              <w:rPr>
                <w:rFonts w:hint="eastAsia" w:ascii="宋体" w:hAnsi="宋体" w:cs="宋体"/>
                <w:color w:val="000000"/>
                <w:sz w:val="21"/>
                <w:szCs w:val="21"/>
              </w:rPr>
              <w:t>5、工作中主动对潜在的问题进行发掘并做出各种预见性方案</w:t>
            </w:r>
          </w:p>
        </w:tc>
        <w:tc>
          <w:tcPr>
            <w:tcW w:w="1077" w:type="dxa"/>
            <w:tcBorders>
              <w:top w:val="nil"/>
              <w:left w:val="nil"/>
              <w:bottom w:val="single" w:color="auto" w:sz="4" w:space="0"/>
              <w:right w:val="single" w:color="auto" w:sz="4" w:space="0"/>
            </w:tcBorders>
            <w:shd w:val="clear" w:color="auto" w:fill="auto"/>
            <w:vAlign w:val="center"/>
          </w:tcPr>
          <w:p w14:paraId="1D4162E9">
            <w:pPr>
              <w:widowControl/>
              <w:jc w:val="center"/>
              <w:rPr>
                <w:rFonts w:ascii="宋体" w:hAnsi="宋体" w:cs="宋体"/>
                <w:sz w:val="21"/>
                <w:szCs w:val="21"/>
              </w:rPr>
            </w:pPr>
            <w:r>
              <w:rPr>
                <w:rFonts w:hint="eastAsia" w:ascii="宋体" w:hAnsi="宋体" w:cs="宋体"/>
                <w:sz w:val="21"/>
                <w:szCs w:val="21"/>
              </w:rPr>
              <w:t>30</w:t>
            </w:r>
          </w:p>
        </w:tc>
        <w:tc>
          <w:tcPr>
            <w:tcW w:w="1050" w:type="dxa"/>
            <w:tcBorders>
              <w:top w:val="nil"/>
              <w:left w:val="nil"/>
              <w:bottom w:val="single" w:color="auto" w:sz="4" w:space="0"/>
              <w:right w:val="single" w:color="auto" w:sz="4" w:space="0"/>
            </w:tcBorders>
            <w:shd w:val="clear" w:color="auto" w:fill="auto"/>
            <w:vAlign w:val="center"/>
          </w:tcPr>
          <w:p w14:paraId="3C3EF621">
            <w:pPr>
              <w:widowControl/>
              <w:jc w:val="left"/>
              <w:rPr>
                <w:rFonts w:ascii="宋体" w:hAnsi="宋体" w:cs="宋体"/>
                <w:sz w:val="21"/>
                <w:szCs w:val="21"/>
              </w:rPr>
            </w:pPr>
          </w:p>
        </w:tc>
        <w:tc>
          <w:tcPr>
            <w:tcW w:w="1364" w:type="dxa"/>
            <w:tcBorders>
              <w:top w:val="nil"/>
              <w:left w:val="nil"/>
              <w:bottom w:val="single" w:color="auto" w:sz="4" w:space="0"/>
              <w:right w:val="single" w:color="auto" w:sz="4" w:space="0"/>
            </w:tcBorders>
            <w:shd w:val="clear" w:color="auto" w:fill="auto"/>
            <w:vAlign w:val="center"/>
          </w:tcPr>
          <w:p w14:paraId="02775A5A">
            <w:pPr>
              <w:widowControl/>
              <w:jc w:val="left"/>
              <w:rPr>
                <w:rFonts w:ascii="宋体" w:hAnsi="宋体" w:cs="宋体"/>
                <w:color w:val="000000"/>
                <w:sz w:val="21"/>
                <w:szCs w:val="21"/>
              </w:rPr>
            </w:pPr>
          </w:p>
        </w:tc>
      </w:tr>
      <w:tr w14:paraId="21C6B452">
        <w:tblPrEx>
          <w:tblCellMar>
            <w:top w:w="0" w:type="dxa"/>
            <w:left w:w="108" w:type="dxa"/>
            <w:bottom w:w="0" w:type="dxa"/>
            <w:right w:w="108" w:type="dxa"/>
          </w:tblCellMar>
        </w:tblPrEx>
        <w:trPr>
          <w:trHeight w:val="402" w:hRule="atLeast"/>
          <w:jc w:val="center"/>
        </w:trPr>
        <w:tc>
          <w:tcPr>
            <w:tcW w:w="2131" w:type="dxa"/>
            <w:gridSpan w:val="2"/>
            <w:tcBorders>
              <w:top w:val="single" w:color="auto" w:sz="4" w:space="0"/>
              <w:left w:val="single" w:color="auto" w:sz="4" w:space="0"/>
              <w:bottom w:val="single" w:color="auto" w:sz="4" w:space="0"/>
              <w:right w:val="nil"/>
            </w:tcBorders>
            <w:shd w:val="clear" w:color="auto" w:fill="auto"/>
            <w:vAlign w:val="center"/>
          </w:tcPr>
          <w:p w14:paraId="3E73A717">
            <w:pPr>
              <w:widowControl/>
              <w:jc w:val="center"/>
              <w:rPr>
                <w:rFonts w:ascii="宋体" w:hAnsi="宋体" w:cs="宋体"/>
                <w:sz w:val="21"/>
                <w:szCs w:val="21"/>
              </w:rPr>
            </w:pPr>
            <w:r>
              <w:rPr>
                <w:rFonts w:hint="eastAsia" w:ascii="宋体" w:hAnsi="宋体" w:cs="宋体"/>
                <w:sz w:val="21"/>
                <w:szCs w:val="21"/>
              </w:rPr>
              <w:t>合计总分</w:t>
            </w:r>
          </w:p>
        </w:tc>
        <w:tc>
          <w:tcPr>
            <w:tcW w:w="2809" w:type="dxa"/>
            <w:tcBorders>
              <w:top w:val="nil"/>
              <w:left w:val="nil"/>
              <w:bottom w:val="single" w:color="auto" w:sz="4" w:space="0"/>
              <w:right w:val="nil"/>
            </w:tcBorders>
            <w:shd w:val="clear" w:color="auto" w:fill="auto"/>
            <w:vAlign w:val="center"/>
          </w:tcPr>
          <w:p w14:paraId="60337664">
            <w:pPr>
              <w:widowControl/>
              <w:jc w:val="center"/>
              <w:rPr>
                <w:rFonts w:ascii="宋体" w:hAnsi="宋体" w:cs="宋体"/>
                <w:sz w:val="21"/>
                <w:szCs w:val="21"/>
              </w:rPr>
            </w:pPr>
            <w:r>
              <w:rPr>
                <w:rFonts w:hint="eastAsia" w:ascii="宋体" w:hAnsi="宋体" w:cs="宋体"/>
                <w:sz w:val="21"/>
                <w:szCs w:val="21"/>
              </w:rPr>
              <w:t>　</w:t>
            </w:r>
          </w:p>
        </w:tc>
        <w:tc>
          <w:tcPr>
            <w:tcW w:w="1077" w:type="dxa"/>
            <w:tcBorders>
              <w:top w:val="nil"/>
              <w:left w:val="single" w:color="auto" w:sz="4" w:space="0"/>
              <w:bottom w:val="single" w:color="auto" w:sz="4" w:space="0"/>
              <w:right w:val="single" w:color="auto" w:sz="4" w:space="0"/>
            </w:tcBorders>
            <w:shd w:val="clear" w:color="auto" w:fill="auto"/>
            <w:vAlign w:val="center"/>
          </w:tcPr>
          <w:p w14:paraId="401ED70F">
            <w:pPr>
              <w:widowControl/>
              <w:jc w:val="center"/>
              <w:rPr>
                <w:rFonts w:ascii="宋体" w:hAnsi="宋体" w:cs="宋体"/>
                <w:sz w:val="21"/>
                <w:szCs w:val="21"/>
              </w:rPr>
            </w:pPr>
            <w:r>
              <w:rPr>
                <w:rFonts w:hint="eastAsia" w:ascii="宋体" w:hAnsi="宋体" w:cs="宋体"/>
                <w:sz w:val="21"/>
                <w:szCs w:val="21"/>
              </w:rPr>
              <w:t>100</w:t>
            </w:r>
          </w:p>
        </w:tc>
        <w:tc>
          <w:tcPr>
            <w:tcW w:w="1050" w:type="dxa"/>
            <w:tcBorders>
              <w:top w:val="nil"/>
              <w:left w:val="nil"/>
              <w:bottom w:val="single" w:color="auto" w:sz="4" w:space="0"/>
              <w:right w:val="single" w:color="auto" w:sz="4" w:space="0"/>
            </w:tcBorders>
            <w:shd w:val="clear" w:color="auto" w:fill="auto"/>
            <w:vAlign w:val="center"/>
          </w:tcPr>
          <w:p w14:paraId="44F4D485">
            <w:pPr>
              <w:widowControl/>
              <w:jc w:val="center"/>
              <w:rPr>
                <w:rFonts w:ascii="宋体" w:hAnsi="宋体" w:cs="宋体"/>
                <w:sz w:val="21"/>
                <w:szCs w:val="21"/>
              </w:rPr>
            </w:pPr>
          </w:p>
        </w:tc>
        <w:tc>
          <w:tcPr>
            <w:tcW w:w="1364" w:type="dxa"/>
            <w:tcBorders>
              <w:top w:val="nil"/>
              <w:left w:val="nil"/>
              <w:bottom w:val="single" w:color="auto" w:sz="4" w:space="0"/>
              <w:right w:val="single" w:color="auto" w:sz="4" w:space="0"/>
            </w:tcBorders>
            <w:shd w:val="clear" w:color="auto" w:fill="auto"/>
            <w:vAlign w:val="center"/>
          </w:tcPr>
          <w:p w14:paraId="3B14907A">
            <w:pPr>
              <w:widowControl/>
              <w:jc w:val="center"/>
              <w:rPr>
                <w:rFonts w:ascii="宋体" w:hAnsi="宋体" w:cs="宋体"/>
                <w:sz w:val="21"/>
                <w:szCs w:val="21"/>
              </w:rPr>
            </w:pPr>
            <w:r>
              <w:rPr>
                <w:rFonts w:hint="eastAsia" w:ascii="宋体" w:hAnsi="宋体" w:cs="宋体"/>
                <w:sz w:val="21"/>
                <w:szCs w:val="21"/>
              </w:rPr>
              <w:t>　</w:t>
            </w:r>
          </w:p>
        </w:tc>
      </w:tr>
    </w:tbl>
    <w:p w14:paraId="1ECAD1A8">
      <w:pPr>
        <w:rPr>
          <w:sz w:val="21"/>
          <w:szCs w:val="21"/>
        </w:rPr>
      </w:pPr>
      <w:r>
        <w:rPr>
          <w:rFonts w:hint="eastAsia"/>
          <w:sz w:val="21"/>
          <w:szCs w:val="21"/>
        </w:rPr>
        <w:t>（2）支付方式</w:t>
      </w:r>
    </w:p>
    <w:p w14:paraId="54FC1584">
      <w:pPr>
        <w:rPr>
          <w:sz w:val="21"/>
          <w:szCs w:val="21"/>
        </w:rPr>
      </w:pPr>
      <w:r>
        <w:rPr>
          <w:sz w:val="21"/>
          <w:szCs w:val="21"/>
        </w:rPr>
        <w:t>按季度支付，经考核合格后支付上一季度费用。</w:t>
      </w:r>
    </w:p>
    <w:p w14:paraId="716D5D5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F7168"/>
    <w:multiLevelType w:val="singleLevel"/>
    <w:tmpl w:val="C4BF7168"/>
    <w:lvl w:ilvl="0" w:tentative="0">
      <w:start w:val="1"/>
      <w:numFmt w:val="chineseCounting"/>
      <w:suff w:val="nothing"/>
      <w:lvlText w:val="%1、"/>
      <w:lvlJc w:val="left"/>
      <w:rPr>
        <w:rFonts w:hint="eastAsia"/>
      </w:rPr>
    </w:lvl>
  </w:abstractNum>
  <w:abstractNum w:abstractNumId="1">
    <w:nsid w:val="D4788728"/>
    <w:multiLevelType w:val="singleLevel"/>
    <w:tmpl w:val="D4788728"/>
    <w:lvl w:ilvl="0" w:tentative="0">
      <w:start w:val="1"/>
      <w:numFmt w:val="decimal"/>
      <w:suff w:val="nothing"/>
      <w:lvlText w:val="%1、"/>
      <w:lvlJc w:val="left"/>
      <w:pPr>
        <w:ind w:left="527"/>
      </w:pPr>
      <w:rPr>
        <w:rFonts w:cs="Times New Roman"/>
      </w:rPr>
    </w:lvl>
  </w:abstractNum>
  <w:abstractNum w:abstractNumId="2">
    <w:nsid w:val="2573E2A7"/>
    <w:multiLevelType w:val="singleLevel"/>
    <w:tmpl w:val="2573E2A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ZDU5MmMxMjE4MDlmNTFkZjRjYmM1MDU3ZDY4ZDAifQ=="/>
  </w:docVars>
  <w:rsids>
    <w:rsidRoot w:val="00E52669"/>
    <w:rsid w:val="00010300"/>
    <w:rsid w:val="00017E9F"/>
    <w:rsid w:val="00033EC4"/>
    <w:rsid w:val="000606C9"/>
    <w:rsid w:val="000B0492"/>
    <w:rsid w:val="000D1D33"/>
    <w:rsid w:val="001124D2"/>
    <w:rsid w:val="00126E9A"/>
    <w:rsid w:val="001F27C8"/>
    <w:rsid w:val="001F4F73"/>
    <w:rsid w:val="00276A4E"/>
    <w:rsid w:val="002B7CC9"/>
    <w:rsid w:val="002C69B5"/>
    <w:rsid w:val="00303635"/>
    <w:rsid w:val="00323B7F"/>
    <w:rsid w:val="003635DB"/>
    <w:rsid w:val="0038084E"/>
    <w:rsid w:val="00387DE0"/>
    <w:rsid w:val="003D65AD"/>
    <w:rsid w:val="003E115E"/>
    <w:rsid w:val="003E20ED"/>
    <w:rsid w:val="003E4E90"/>
    <w:rsid w:val="003E5C05"/>
    <w:rsid w:val="004124D0"/>
    <w:rsid w:val="00412800"/>
    <w:rsid w:val="00467E42"/>
    <w:rsid w:val="004D20B5"/>
    <w:rsid w:val="00594249"/>
    <w:rsid w:val="005A445B"/>
    <w:rsid w:val="005D4AB0"/>
    <w:rsid w:val="005E4CEF"/>
    <w:rsid w:val="00610153"/>
    <w:rsid w:val="006360F9"/>
    <w:rsid w:val="00651E1F"/>
    <w:rsid w:val="006A0E9F"/>
    <w:rsid w:val="006D2CF3"/>
    <w:rsid w:val="006D4710"/>
    <w:rsid w:val="007102C0"/>
    <w:rsid w:val="00737823"/>
    <w:rsid w:val="00743F86"/>
    <w:rsid w:val="0076056E"/>
    <w:rsid w:val="007717DE"/>
    <w:rsid w:val="007748DE"/>
    <w:rsid w:val="00787221"/>
    <w:rsid w:val="007C2645"/>
    <w:rsid w:val="007C535F"/>
    <w:rsid w:val="007F75DD"/>
    <w:rsid w:val="00800727"/>
    <w:rsid w:val="00826B1D"/>
    <w:rsid w:val="00836722"/>
    <w:rsid w:val="00865B34"/>
    <w:rsid w:val="008660A5"/>
    <w:rsid w:val="00884D72"/>
    <w:rsid w:val="008D6092"/>
    <w:rsid w:val="008E0EC4"/>
    <w:rsid w:val="00920C37"/>
    <w:rsid w:val="009451BE"/>
    <w:rsid w:val="00947A7E"/>
    <w:rsid w:val="00986A4C"/>
    <w:rsid w:val="00995473"/>
    <w:rsid w:val="009B1E26"/>
    <w:rsid w:val="009C4D7F"/>
    <w:rsid w:val="009E01F4"/>
    <w:rsid w:val="009F176B"/>
    <w:rsid w:val="009F3711"/>
    <w:rsid w:val="00A0778D"/>
    <w:rsid w:val="00A37026"/>
    <w:rsid w:val="00A50CA2"/>
    <w:rsid w:val="00A92257"/>
    <w:rsid w:val="00A924DB"/>
    <w:rsid w:val="00AD1D68"/>
    <w:rsid w:val="00AF2AE1"/>
    <w:rsid w:val="00B255E6"/>
    <w:rsid w:val="00B45D4D"/>
    <w:rsid w:val="00B55532"/>
    <w:rsid w:val="00BB2E2F"/>
    <w:rsid w:val="00BD7378"/>
    <w:rsid w:val="00C042B6"/>
    <w:rsid w:val="00C07431"/>
    <w:rsid w:val="00C30224"/>
    <w:rsid w:val="00C32DBF"/>
    <w:rsid w:val="00C5208C"/>
    <w:rsid w:val="00C72754"/>
    <w:rsid w:val="00CB1100"/>
    <w:rsid w:val="00CC239F"/>
    <w:rsid w:val="00D00EA0"/>
    <w:rsid w:val="00D46029"/>
    <w:rsid w:val="00D471BB"/>
    <w:rsid w:val="00D87A69"/>
    <w:rsid w:val="00D93D26"/>
    <w:rsid w:val="00DC45F7"/>
    <w:rsid w:val="00DD1869"/>
    <w:rsid w:val="00E0014B"/>
    <w:rsid w:val="00E35B5E"/>
    <w:rsid w:val="00E52669"/>
    <w:rsid w:val="00EC14B9"/>
    <w:rsid w:val="00EE3B6E"/>
    <w:rsid w:val="00F41F86"/>
    <w:rsid w:val="00F815C2"/>
    <w:rsid w:val="00F86B97"/>
    <w:rsid w:val="00F94524"/>
    <w:rsid w:val="00F97E80"/>
    <w:rsid w:val="00FD1EBC"/>
    <w:rsid w:val="014F4F14"/>
    <w:rsid w:val="05306188"/>
    <w:rsid w:val="12C44CF8"/>
    <w:rsid w:val="13DE03B0"/>
    <w:rsid w:val="21424E4B"/>
    <w:rsid w:val="29FA7616"/>
    <w:rsid w:val="2FF10740"/>
    <w:rsid w:val="31A31197"/>
    <w:rsid w:val="52D90E94"/>
    <w:rsid w:val="586D43D5"/>
    <w:rsid w:val="5D9212A1"/>
    <w:rsid w:val="63C93639"/>
    <w:rsid w:val="68D423D1"/>
    <w:rsid w:val="6DB77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440" w:lineRule="exact"/>
      <w:ind w:left="480"/>
      <w:jc w:val="both"/>
      <w:textAlignment w:val="baseline"/>
    </w:pPr>
    <w:rPr>
      <w:rFonts w:ascii="Times New Roman" w:hAnsi="Times New Roman" w:eastAsia="宋体" w:cs="Times New Roman"/>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autoRedefine/>
    <w:semiHidden/>
    <w:unhideWhenUsed/>
    <w:qFormat/>
    <w:uiPriority w:val="99"/>
    <w:pPr>
      <w:spacing w:after="120"/>
    </w:pPr>
  </w:style>
  <w:style w:type="paragraph" w:styleId="3">
    <w:name w:val="footer"/>
    <w:basedOn w:val="1"/>
    <w:link w:val="9"/>
    <w:autoRedefine/>
    <w:unhideWhenUsed/>
    <w:qFormat/>
    <w:uiPriority w:val="99"/>
    <w:pPr>
      <w:tabs>
        <w:tab w:val="center" w:pos="4153"/>
        <w:tab w:val="right" w:pos="8306"/>
      </w:tabs>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autoRedefine/>
    <w:qFormat/>
    <w:uiPriority w:val="0"/>
    <w:pPr>
      <w:widowControl/>
      <w:adjustRightInd/>
      <w:spacing w:before="100" w:beforeAutospacing="1" w:after="100" w:afterAutospacing="1" w:line="240" w:lineRule="auto"/>
      <w:jc w:val="left"/>
      <w:textAlignment w:val="auto"/>
    </w:pPr>
    <w:rPr>
      <w:rFonts w:ascii="宋体" w:hAnsi="宋体" w:cs="宋体"/>
      <w:szCs w:val="24"/>
    </w:r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paragraph" w:customStyle="1" w:styleId="10">
    <w:name w:val="表格文字"/>
    <w:next w:val="2"/>
    <w:link w:val="11"/>
    <w:autoRedefine/>
    <w:qFormat/>
    <w:uiPriority w:val="0"/>
    <w:pPr>
      <w:widowControl w:val="0"/>
      <w:adjustRightInd w:val="0"/>
      <w:spacing w:line="420" w:lineRule="atLeast"/>
      <w:textAlignment w:val="baseline"/>
    </w:pPr>
    <w:rPr>
      <w:rFonts w:ascii="Times New Roman" w:hAnsi="Times New Roman" w:eastAsia="宋体" w:cs="Times New Roman"/>
      <w:sz w:val="21"/>
      <w:lang w:val="en-US" w:eastAsia="zh-CN" w:bidi="ar-SA"/>
    </w:rPr>
  </w:style>
  <w:style w:type="character" w:customStyle="1" w:styleId="11">
    <w:name w:val="表格文字 Char"/>
    <w:link w:val="10"/>
    <w:autoRedefine/>
    <w:qFormat/>
    <w:locked/>
    <w:uiPriority w:val="0"/>
    <w:rPr>
      <w:rFonts w:ascii="Times New Roman" w:hAnsi="Times New Roman" w:eastAsia="宋体" w:cs="Times New Roman"/>
      <w:kern w:val="0"/>
      <w:szCs w:val="20"/>
    </w:rPr>
  </w:style>
  <w:style w:type="character" w:customStyle="1" w:styleId="12">
    <w:name w:val="正文文本 Char"/>
    <w:basedOn w:val="7"/>
    <w:link w:val="2"/>
    <w:autoRedefine/>
    <w:semiHidden/>
    <w:qFormat/>
    <w:uiPriority w:val="99"/>
    <w:rPr>
      <w:rFonts w:ascii="Times New Roman" w:hAnsi="Times New Roman" w:eastAsia="宋体" w:cs="Times New Roman"/>
      <w:kern w:val="0"/>
      <w:sz w:val="24"/>
      <w:szCs w:val="20"/>
    </w:rPr>
  </w:style>
  <w:style w:type="paragraph" w:styleId="13">
    <w:name w:val="List Paragraph"/>
    <w:basedOn w:val="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5835</Words>
  <Characters>5957</Characters>
  <Lines>44</Lines>
  <Paragraphs>12</Paragraphs>
  <TotalTime>53</TotalTime>
  <ScaleCrop>false</ScaleCrop>
  <LinksUpToDate>false</LinksUpToDate>
  <CharactersWithSpaces>6006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2024-11-07T06:57:00Z</dcterms:created>
  <dc:creator>USER-</dc:creator>
  <cp:lastModifiedBy>DZ</cp:lastModifiedBy>
  <dcterms:modified xsi:type="dcterms:W3CDTF">2025-11-25T08:49:32Z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03418D4F87944C719F34B0C61EECEDE7_13</vt:lpwstr>
  </property>
  <property fmtid="{D5CDD505-2E9C-101B-9397-08002B2CF9AE}" pid="4" name="KSOTemplateDocerSaveRecord">
    <vt:lpwstr>eyJoZGlkIjoiOGNiZDU5MmMxMjE4MDlmNTFkZjRjYmM1MDU3ZDY4ZDAiLCJ1c2VySWQiOiIzNDQ3NDg0ODQifQ==</vt:lpwstr>
  </property>
</Properties>
</file>