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73E61">
      <w:pPr>
        <w:jc w:val="center"/>
        <w:rPr>
          <w:b/>
          <w:sz w:val="32"/>
          <w:szCs w:val="32"/>
        </w:rPr>
      </w:pPr>
      <w:r>
        <w:rPr>
          <w:rFonts w:hint="eastAsia"/>
          <w:b/>
          <w:sz w:val="32"/>
          <w:szCs w:val="32"/>
        </w:rPr>
        <w:t>项目需求</w:t>
      </w:r>
    </w:p>
    <w:p w14:paraId="5EE0E002">
      <w:pPr>
        <w:spacing w:line="360" w:lineRule="auto"/>
        <w:rPr>
          <w:rFonts w:hint="eastAsia" w:asciiTheme="minorEastAsia" w:hAnsiTheme="minorEastAsia"/>
          <w:b/>
          <w:sz w:val="24"/>
          <w:szCs w:val="24"/>
        </w:rPr>
      </w:pPr>
      <w:r>
        <w:rPr>
          <w:rFonts w:hint="eastAsia" w:asciiTheme="minorEastAsia" w:hAnsiTheme="minorEastAsia"/>
          <w:b/>
          <w:sz w:val="24"/>
          <w:szCs w:val="24"/>
        </w:rPr>
        <w:t>一、 项目内容</w:t>
      </w:r>
    </w:p>
    <w:p w14:paraId="73FEA595">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按照赵巷镇新城一站大居引入社区第三方对街面进行市容管理的工作情况，并结合大居的实际情况，引入社会第三方市容管理服务力量，以充实管控工作的力量，实现全方位覆盖，使市容管理工作达到规范、有序的长期效果。</w:t>
      </w:r>
    </w:p>
    <w:p w14:paraId="7E33D860">
      <w:pPr>
        <w:spacing w:line="360" w:lineRule="auto"/>
        <w:rPr>
          <w:rFonts w:hint="eastAsia" w:asciiTheme="minorEastAsia" w:hAnsiTheme="minorEastAsia"/>
          <w:b/>
          <w:sz w:val="24"/>
          <w:szCs w:val="24"/>
        </w:rPr>
      </w:pPr>
      <w:r>
        <w:rPr>
          <w:rFonts w:hint="eastAsia" w:asciiTheme="minorEastAsia" w:hAnsiTheme="minorEastAsia"/>
          <w:b/>
          <w:sz w:val="24"/>
          <w:szCs w:val="24"/>
        </w:rPr>
        <w:t>二、实施方式</w:t>
      </w:r>
      <w:bookmarkStart w:id="0" w:name="_GoBack"/>
      <w:bookmarkEnd w:id="0"/>
    </w:p>
    <w:p w14:paraId="3AF8E788">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采用政府向社会购买服务的方式，进行公开招投标，落实第三方服务单位，由其承担赵巷镇新城一站大居区域内的市容管理工作的巡查，发现，现场劝阻，及时上报执法处置部门等相关工作。巡查模式为重点道路步巡和机动力量车巡相结合的方式。</w:t>
      </w:r>
    </w:p>
    <w:p w14:paraId="67EF5E4E">
      <w:pPr>
        <w:widowControl/>
        <w:spacing w:line="360" w:lineRule="auto"/>
        <w:jc w:val="left"/>
        <w:rPr>
          <w:sz w:val="24"/>
          <w:szCs w:val="24"/>
        </w:rPr>
      </w:pPr>
      <w:r>
        <w:rPr>
          <w:rFonts w:hint="eastAsia" w:ascii="宋体" w:hAnsi="宋体" w:eastAsia="宋体" w:cs="宋体"/>
          <w:b/>
          <w:color w:val="000000"/>
          <w:kern w:val="0"/>
          <w:sz w:val="24"/>
          <w:szCs w:val="24"/>
          <w:lang w:bidi="ar"/>
        </w:rPr>
        <w:t>三、第三方管理力量的服务区域</w:t>
      </w:r>
    </w:p>
    <w:tbl>
      <w:tblPr>
        <w:tblStyle w:val="6"/>
        <w:tblW w:w="9851" w:type="dxa"/>
        <w:jc w:val="center"/>
        <w:tblLayout w:type="autofit"/>
        <w:tblCellMar>
          <w:top w:w="0" w:type="dxa"/>
          <w:left w:w="108" w:type="dxa"/>
          <w:bottom w:w="0" w:type="dxa"/>
          <w:right w:w="108" w:type="dxa"/>
        </w:tblCellMar>
      </w:tblPr>
      <w:tblGrid>
        <w:gridCol w:w="709"/>
        <w:gridCol w:w="2821"/>
        <w:gridCol w:w="4047"/>
        <w:gridCol w:w="2274"/>
      </w:tblGrid>
      <w:tr w14:paraId="6922EDAA">
        <w:tblPrEx>
          <w:tblCellMar>
            <w:top w:w="0" w:type="dxa"/>
            <w:left w:w="108" w:type="dxa"/>
            <w:bottom w:w="0" w:type="dxa"/>
            <w:right w:w="108" w:type="dxa"/>
          </w:tblCellMar>
        </w:tblPrEx>
        <w:trPr>
          <w:trHeight w:val="69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501B9C4">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2821" w:type="dxa"/>
            <w:tcBorders>
              <w:top w:val="single" w:color="auto" w:sz="4" w:space="0"/>
              <w:left w:val="nil"/>
              <w:bottom w:val="single" w:color="auto" w:sz="4" w:space="0"/>
              <w:right w:val="single" w:color="auto" w:sz="4" w:space="0"/>
            </w:tcBorders>
            <w:noWrap/>
            <w:vAlign w:val="center"/>
          </w:tcPr>
          <w:p w14:paraId="0E406F78">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管理四至范围</w:t>
            </w:r>
          </w:p>
        </w:tc>
        <w:tc>
          <w:tcPr>
            <w:tcW w:w="4047" w:type="dxa"/>
            <w:tcBorders>
              <w:top w:val="single" w:color="auto" w:sz="4" w:space="0"/>
              <w:left w:val="nil"/>
              <w:bottom w:val="single" w:color="auto" w:sz="4" w:space="0"/>
              <w:right w:val="single" w:color="auto" w:sz="4" w:space="0"/>
            </w:tcBorders>
            <w:noWrap/>
            <w:vAlign w:val="center"/>
          </w:tcPr>
          <w:p w14:paraId="59010B36">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区域内重点点位</w:t>
            </w:r>
          </w:p>
        </w:tc>
        <w:tc>
          <w:tcPr>
            <w:tcW w:w="2274" w:type="dxa"/>
            <w:tcBorders>
              <w:top w:val="single" w:color="auto" w:sz="4" w:space="0"/>
              <w:left w:val="nil"/>
              <w:bottom w:val="single" w:color="auto" w:sz="4" w:space="0"/>
              <w:right w:val="single" w:color="auto" w:sz="4" w:space="0"/>
            </w:tcBorders>
            <w:noWrap/>
            <w:vAlign w:val="center"/>
          </w:tcPr>
          <w:p w14:paraId="1817EE70">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对应居委</w:t>
            </w:r>
          </w:p>
        </w:tc>
      </w:tr>
      <w:tr w14:paraId="1567B965">
        <w:tblPrEx>
          <w:tblCellMar>
            <w:top w:w="0" w:type="dxa"/>
            <w:left w:w="108" w:type="dxa"/>
            <w:bottom w:w="0" w:type="dxa"/>
            <w:right w:w="108" w:type="dxa"/>
          </w:tblCellMar>
        </w:tblPrEx>
        <w:trPr>
          <w:trHeight w:val="1200" w:hRule="atLeast"/>
          <w:jc w:val="center"/>
        </w:trPr>
        <w:tc>
          <w:tcPr>
            <w:tcW w:w="709" w:type="dxa"/>
            <w:tcBorders>
              <w:top w:val="nil"/>
              <w:left w:val="single" w:color="auto" w:sz="4" w:space="0"/>
              <w:bottom w:val="single" w:color="auto" w:sz="4" w:space="0"/>
              <w:right w:val="single" w:color="auto" w:sz="4" w:space="0"/>
            </w:tcBorders>
            <w:noWrap/>
            <w:vAlign w:val="center"/>
          </w:tcPr>
          <w:p w14:paraId="7C048EB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821" w:type="dxa"/>
            <w:tcBorders>
              <w:top w:val="nil"/>
              <w:left w:val="nil"/>
              <w:bottom w:val="single" w:color="auto" w:sz="4" w:space="0"/>
              <w:right w:val="single" w:color="auto" w:sz="4" w:space="0"/>
            </w:tcBorders>
            <w:vAlign w:val="center"/>
          </w:tcPr>
          <w:p w14:paraId="55E2E06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东至：油墩港；南至：盈港东路；西至：汇金路；北至：上达河。</w:t>
            </w:r>
          </w:p>
        </w:tc>
        <w:tc>
          <w:tcPr>
            <w:tcW w:w="4047" w:type="dxa"/>
            <w:tcBorders>
              <w:top w:val="nil"/>
              <w:left w:val="nil"/>
              <w:bottom w:val="single" w:color="auto" w:sz="4" w:space="0"/>
              <w:right w:val="single" w:color="auto" w:sz="4" w:space="0"/>
            </w:tcBorders>
            <w:vAlign w:val="center"/>
          </w:tcPr>
          <w:p w14:paraId="7BC7FA5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轨交17号线汇金路站1号口、宝龙广场二期、秀源路菜场、毓秀二幼、青教院附中、秀景苑商铺、龙湖紫都城商铺、派克公馆商铺</w:t>
            </w:r>
          </w:p>
        </w:tc>
        <w:tc>
          <w:tcPr>
            <w:tcW w:w="2274" w:type="dxa"/>
            <w:tcBorders>
              <w:top w:val="nil"/>
              <w:left w:val="nil"/>
              <w:bottom w:val="single" w:color="auto" w:sz="4" w:space="0"/>
              <w:right w:val="single" w:color="auto" w:sz="4" w:space="0"/>
            </w:tcBorders>
            <w:noWrap/>
            <w:vAlign w:val="center"/>
          </w:tcPr>
          <w:p w14:paraId="41DB4EB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龙联、秀景、秀源</w:t>
            </w:r>
          </w:p>
        </w:tc>
      </w:tr>
      <w:tr w14:paraId="11CD5816">
        <w:tblPrEx>
          <w:tblCellMar>
            <w:top w:w="0" w:type="dxa"/>
            <w:left w:w="108" w:type="dxa"/>
            <w:bottom w:w="0" w:type="dxa"/>
            <w:right w:w="108" w:type="dxa"/>
          </w:tblCellMar>
        </w:tblPrEx>
        <w:trPr>
          <w:trHeight w:val="1995" w:hRule="atLeast"/>
          <w:jc w:val="center"/>
        </w:trPr>
        <w:tc>
          <w:tcPr>
            <w:tcW w:w="709" w:type="dxa"/>
            <w:tcBorders>
              <w:top w:val="nil"/>
              <w:left w:val="single" w:color="auto" w:sz="4" w:space="0"/>
              <w:bottom w:val="single" w:color="auto" w:sz="4" w:space="0"/>
              <w:right w:val="single" w:color="auto" w:sz="4" w:space="0"/>
            </w:tcBorders>
            <w:noWrap/>
            <w:vAlign w:val="center"/>
          </w:tcPr>
          <w:p w14:paraId="4740154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821" w:type="dxa"/>
            <w:tcBorders>
              <w:top w:val="nil"/>
              <w:left w:val="nil"/>
              <w:bottom w:val="single" w:color="auto" w:sz="4" w:space="0"/>
              <w:right w:val="single" w:color="auto" w:sz="4" w:space="0"/>
            </w:tcBorders>
            <w:vAlign w:val="center"/>
          </w:tcPr>
          <w:p w14:paraId="007D50D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东至：油墩港；南至：公园路；  西至：绕城高速；北至：盈港东路。</w:t>
            </w:r>
          </w:p>
        </w:tc>
        <w:tc>
          <w:tcPr>
            <w:tcW w:w="4047" w:type="dxa"/>
            <w:tcBorders>
              <w:top w:val="nil"/>
              <w:left w:val="nil"/>
              <w:bottom w:val="single" w:color="auto" w:sz="4" w:space="0"/>
              <w:right w:val="single" w:color="auto" w:sz="4" w:space="0"/>
            </w:tcBorders>
            <w:vAlign w:val="center"/>
          </w:tcPr>
          <w:p w14:paraId="6292E7E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轨交17号线汇金路站2号口、宝龙广场一期、汇金路公交枢纽、御澜山商铺、龙湖紫悦湾商铺、幸福里商圈、融悦四季商铺、崧泉路商铺、青教院附小、崧润幼儿园、容钛智能大厦、东湖中学、、公卫中心、合景项目（在建）</w:t>
            </w:r>
          </w:p>
        </w:tc>
        <w:tc>
          <w:tcPr>
            <w:tcW w:w="2274" w:type="dxa"/>
            <w:tcBorders>
              <w:top w:val="nil"/>
              <w:left w:val="nil"/>
              <w:bottom w:val="single" w:color="auto" w:sz="4" w:space="0"/>
              <w:right w:val="single" w:color="auto" w:sz="4" w:space="0"/>
            </w:tcBorders>
            <w:vAlign w:val="center"/>
          </w:tcPr>
          <w:p w14:paraId="38D656D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龙御、佳福东、佳昱、逸泰、逸秀、御融</w:t>
            </w:r>
          </w:p>
        </w:tc>
      </w:tr>
      <w:tr w14:paraId="1B25219E">
        <w:tblPrEx>
          <w:tblCellMar>
            <w:top w:w="0" w:type="dxa"/>
            <w:left w:w="108" w:type="dxa"/>
            <w:bottom w:w="0" w:type="dxa"/>
            <w:right w:w="108" w:type="dxa"/>
          </w:tblCellMar>
        </w:tblPrEx>
        <w:trPr>
          <w:trHeight w:val="1200" w:hRule="atLeast"/>
          <w:jc w:val="center"/>
        </w:trPr>
        <w:tc>
          <w:tcPr>
            <w:tcW w:w="709" w:type="dxa"/>
            <w:tcBorders>
              <w:top w:val="nil"/>
              <w:left w:val="single" w:color="auto" w:sz="4" w:space="0"/>
              <w:bottom w:val="single" w:color="auto" w:sz="4" w:space="0"/>
              <w:right w:val="single" w:color="auto" w:sz="4" w:space="0"/>
            </w:tcBorders>
            <w:noWrap/>
            <w:vAlign w:val="center"/>
          </w:tcPr>
          <w:p w14:paraId="0DB8F46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821" w:type="dxa"/>
            <w:tcBorders>
              <w:top w:val="nil"/>
              <w:left w:val="nil"/>
              <w:bottom w:val="single" w:color="auto" w:sz="4" w:space="0"/>
              <w:right w:val="single" w:color="auto" w:sz="4" w:space="0"/>
            </w:tcBorders>
            <w:vAlign w:val="center"/>
          </w:tcPr>
          <w:p w14:paraId="0B84AD9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东至：油墩港；南至：淀浦河；  西至：绕城高速；北至：公园路。</w:t>
            </w:r>
          </w:p>
        </w:tc>
        <w:tc>
          <w:tcPr>
            <w:tcW w:w="4047" w:type="dxa"/>
            <w:tcBorders>
              <w:top w:val="nil"/>
              <w:left w:val="nil"/>
              <w:bottom w:val="single" w:color="auto" w:sz="4" w:space="0"/>
              <w:right w:val="single" w:color="auto" w:sz="4" w:space="0"/>
            </w:tcBorders>
            <w:vAlign w:val="center"/>
          </w:tcPr>
          <w:p w14:paraId="7C037C9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城市生活汇广场、崧文菜场、崧文小学、秀泉幼儿园、壹品世家商铺、青湖东路商铺、青湖东路幼儿园、东门小学、大居社区卫生中心（在建）、大居社区活动中心（在建）、青浦区人民法院（在建）</w:t>
            </w:r>
          </w:p>
        </w:tc>
        <w:tc>
          <w:tcPr>
            <w:tcW w:w="2274" w:type="dxa"/>
            <w:tcBorders>
              <w:top w:val="nil"/>
              <w:left w:val="nil"/>
              <w:bottom w:val="single" w:color="auto" w:sz="4" w:space="0"/>
              <w:right w:val="single" w:color="auto" w:sz="4" w:space="0"/>
            </w:tcBorders>
            <w:vAlign w:val="center"/>
          </w:tcPr>
          <w:p w14:paraId="2CCEF8A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崧鑫、崧涵、崧湖、崧淀、德康</w:t>
            </w:r>
          </w:p>
        </w:tc>
      </w:tr>
      <w:tr w14:paraId="20FF5794">
        <w:tblPrEx>
          <w:tblCellMar>
            <w:top w:w="0" w:type="dxa"/>
            <w:left w:w="108" w:type="dxa"/>
            <w:bottom w:w="0" w:type="dxa"/>
            <w:right w:w="108" w:type="dxa"/>
          </w:tblCellMar>
        </w:tblPrEx>
        <w:trPr>
          <w:trHeight w:val="1200" w:hRule="atLeast"/>
          <w:jc w:val="center"/>
        </w:trPr>
        <w:tc>
          <w:tcPr>
            <w:tcW w:w="709" w:type="dxa"/>
            <w:tcBorders>
              <w:top w:val="nil"/>
              <w:left w:val="single" w:color="auto" w:sz="4" w:space="0"/>
              <w:bottom w:val="single" w:color="auto" w:sz="4" w:space="0"/>
              <w:right w:val="single" w:color="auto" w:sz="4" w:space="0"/>
            </w:tcBorders>
            <w:noWrap/>
            <w:vAlign w:val="center"/>
          </w:tcPr>
          <w:p w14:paraId="7A8757C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821" w:type="dxa"/>
            <w:tcBorders>
              <w:top w:val="nil"/>
              <w:left w:val="nil"/>
              <w:bottom w:val="single" w:color="auto" w:sz="4" w:space="0"/>
              <w:right w:val="single" w:color="auto" w:sz="4" w:space="0"/>
            </w:tcBorders>
            <w:vAlign w:val="center"/>
          </w:tcPr>
          <w:p w14:paraId="3540568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东至：油墩港；南至：沪渝高速；西至：绕城高速；北至：淀浦河。</w:t>
            </w:r>
          </w:p>
        </w:tc>
        <w:tc>
          <w:tcPr>
            <w:tcW w:w="4047" w:type="dxa"/>
            <w:tcBorders>
              <w:top w:val="nil"/>
              <w:left w:val="nil"/>
              <w:bottom w:val="single" w:color="auto" w:sz="4" w:space="0"/>
              <w:right w:val="single" w:color="auto" w:sz="4" w:space="0"/>
            </w:tcBorders>
            <w:vAlign w:val="center"/>
          </w:tcPr>
          <w:p w14:paraId="004420A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南淀浦河菜场、秀涓幼儿园、青浦二中</w:t>
            </w:r>
          </w:p>
        </w:tc>
        <w:tc>
          <w:tcPr>
            <w:tcW w:w="2274" w:type="dxa"/>
            <w:tcBorders>
              <w:top w:val="nil"/>
              <w:left w:val="nil"/>
              <w:bottom w:val="single" w:color="auto" w:sz="4" w:space="0"/>
              <w:right w:val="single" w:color="auto" w:sz="4" w:space="0"/>
            </w:tcBorders>
            <w:vAlign w:val="center"/>
          </w:tcPr>
          <w:p w14:paraId="50A6906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华秀、华沁、和瑞、观昱</w:t>
            </w:r>
          </w:p>
        </w:tc>
      </w:tr>
      <w:tr w14:paraId="3630DFB5">
        <w:tblPrEx>
          <w:tblCellMar>
            <w:top w:w="0" w:type="dxa"/>
            <w:left w:w="108" w:type="dxa"/>
            <w:bottom w:w="0" w:type="dxa"/>
            <w:right w:w="108" w:type="dxa"/>
          </w:tblCellMar>
        </w:tblPrEx>
        <w:trPr>
          <w:trHeight w:val="764" w:hRule="atLeast"/>
          <w:jc w:val="center"/>
        </w:trPr>
        <w:tc>
          <w:tcPr>
            <w:tcW w:w="709" w:type="dxa"/>
            <w:tcBorders>
              <w:top w:val="nil"/>
              <w:left w:val="single" w:color="auto" w:sz="4" w:space="0"/>
              <w:bottom w:val="single" w:color="auto" w:sz="4" w:space="0"/>
              <w:right w:val="single" w:color="auto" w:sz="4" w:space="0"/>
            </w:tcBorders>
            <w:noWrap/>
            <w:vAlign w:val="center"/>
          </w:tcPr>
          <w:p w14:paraId="7ECF908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821" w:type="dxa"/>
            <w:tcBorders>
              <w:top w:val="nil"/>
              <w:left w:val="nil"/>
              <w:bottom w:val="single" w:color="auto" w:sz="4" w:space="0"/>
              <w:right w:val="single" w:color="auto" w:sz="4" w:space="0"/>
            </w:tcBorders>
            <w:noWrap/>
            <w:vAlign w:val="center"/>
          </w:tcPr>
          <w:p w14:paraId="7BE9252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以上所有区域</w:t>
            </w:r>
          </w:p>
        </w:tc>
        <w:tc>
          <w:tcPr>
            <w:tcW w:w="6321" w:type="dxa"/>
            <w:gridSpan w:val="2"/>
            <w:tcBorders>
              <w:top w:val="single" w:color="auto" w:sz="4" w:space="0"/>
              <w:left w:val="nil"/>
              <w:bottom w:val="single" w:color="auto" w:sz="4" w:space="0"/>
              <w:right w:val="single" w:color="000000" w:sz="4" w:space="0"/>
            </w:tcBorders>
            <w:noWrap/>
            <w:vAlign w:val="center"/>
          </w:tcPr>
          <w:p w14:paraId="3A42F80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全区域渣土管理和应急处置</w:t>
            </w:r>
          </w:p>
        </w:tc>
      </w:tr>
    </w:tbl>
    <w:p w14:paraId="04CBD5C6">
      <w:pPr>
        <w:widowControl/>
        <w:spacing w:line="360" w:lineRule="auto"/>
        <w:jc w:val="left"/>
        <w:rPr>
          <w:rFonts w:hint="eastAsia" w:ascii="宋体" w:hAnsi="宋体" w:eastAsia="宋体" w:cs="宋体"/>
          <w:color w:val="000000"/>
          <w:kern w:val="0"/>
          <w:sz w:val="24"/>
          <w:szCs w:val="24"/>
          <w:lang w:bidi="ar"/>
        </w:rPr>
      </w:pPr>
    </w:p>
    <w:p w14:paraId="6D0EBCA9">
      <w:pPr>
        <w:widowControl/>
        <w:spacing w:line="360" w:lineRule="auto"/>
        <w:jc w:val="left"/>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四、服务人员及装备要求</w:t>
      </w:r>
    </w:p>
    <w:p w14:paraId="0C02F614">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人数要求：不少于136人次。</w:t>
      </w:r>
    </w:p>
    <w:p w14:paraId="671A653B">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装备配置2辆巡逻车，30辆电动自行车。另根据岗位需要，配备一定数量的执法记录仪、通讯工具、头盔等。</w:t>
      </w:r>
    </w:p>
    <w:p w14:paraId="0871EED8">
      <w:pPr>
        <w:widowControl/>
        <w:spacing w:line="360" w:lineRule="auto"/>
        <w:jc w:val="left"/>
        <w:rPr>
          <w:rFonts w:hint="eastAsia" w:asciiTheme="minorEastAsia" w:hAnsiTheme="minorEastAsia"/>
          <w:sz w:val="24"/>
          <w:szCs w:val="24"/>
        </w:rPr>
      </w:pPr>
      <w:r>
        <w:rPr>
          <w:rFonts w:hint="eastAsia" w:ascii="宋体" w:hAnsi="宋体" w:eastAsia="宋体" w:cs="宋体"/>
          <w:b/>
          <w:color w:val="000000"/>
          <w:kern w:val="0"/>
          <w:sz w:val="24"/>
          <w:szCs w:val="24"/>
          <w:lang w:bidi="ar"/>
        </w:rPr>
        <w:t>五、服务时间：</w:t>
      </w:r>
      <w:r>
        <w:rPr>
          <w:rFonts w:hint="eastAsia" w:asciiTheme="minorEastAsia" w:hAnsiTheme="minorEastAsia"/>
          <w:sz w:val="24"/>
          <w:szCs w:val="24"/>
        </w:rPr>
        <w:t>2026年2月17日至202</w:t>
      </w:r>
      <w:r>
        <w:rPr>
          <w:rFonts w:hint="eastAsia" w:asciiTheme="minorEastAsia" w:hAnsiTheme="minorEastAsia"/>
          <w:sz w:val="24"/>
          <w:szCs w:val="24"/>
          <w:lang w:val="en-US" w:eastAsia="zh-CN"/>
        </w:rPr>
        <w:t>7</w:t>
      </w:r>
      <w:r>
        <w:rPr>
          <w:rFonts w:hint="eastAsia" w:asciiTheme="minorEastAsia" w:hAnsiTheme="minorEastAsia"/>
          <w:sz w:val="24"/>
          <w:szCs w:val="24"/>
        </w:rPr>
        <w:t>年2月</w:t>
      </w:r>
      <w:r>
        <w:rPr>
          <w:rFonts w:hint="eastAsia" w:asciiTheme="minorEastAsia" w:hAnsiTheme="minorEastAsia"/>
          <w:sz w:val="24"/>
          <w:szCs w:val="24"/>
          <w:lang w:val="en-US" w:eastAsia="zh-CN"/>
        </w:rPr>
        <w:t>16</w:t>
      </w:r>
      <w:r>
        <w:rPr>
          <w:rFonts w:hint="eastAsia" w:asciiTheme="minorEastAsia" w:hAnsiTheme="minorEastAsia"/>
          <w:sz w:val="24"/>
          <w:szCs w:val="24"/>
        </w:rPr>
        <w:t>日（24小时 ，全年无休）。</w:t>
      </w:r>
    </w:p>
    <w:p w14:paraId="2CA587BE">
      <w:pPr>
        <w:widowControl/>
        <w:spacing w:line="360" w:lineRule="auto"/>
        <w:jc w:val="left"/>
        <w:rPr>
          <w:sz w:val="24"/>
          <w:szCs w:val="24"/>
        </w:rPr>
      </w:pPr>
      <w:r>
        <w:rPr>
          <w:rFonts w:hint="eastAsia" w:ascii="宋体" w:hAnsi="宋体" w:eastAsia="宋体" w:cs="宋体"/>
          <w:b/>
          <w:color w:val="000000"/>
          <w:kern w:val="0"/>
          <w:sz w:val="24"/>
          <w:szCs w:val="24"/>
          <w:lang w:bidi="ar"/>
        </w:rPr>
        <w:t>六、第三方管理公司及人员要求</w:t>
      </w:r>
    </w:p>
    <w:p w14:paraId="655553F8">
      <w:pPr>
        <w:widowControl/>
        <w:spacing w:line="360" w:lineRule="auto"/>
        <w:jc w:val="left"/>
        <w:rPr>
          <w:sz w:val="24"/>
          <w:szCs w:val="24"/>
        </w:rPr>
      </w:pPr>
      <w:r>
        <w:rPr>
          <w:rFonts w:hint="eastAsia" w:ascii="宋体" w:hAnsi="宋体" w:eastAsia="宋体" w:cs="宋体"/>
          <w:b/>
          <w:color w:val="000000"/>
          <w:kern w:val="0"/>
          <w:sz w:val="24"/>
          <w:szCs w:val="24"/>
          <w:lang w:bidi="ar"/>
        </w:rPr>
        <w:t>（一）第三方管理公司要求</w:t>
      </w:r>
    </w:p>
    <w:p w14:paraId="15834A08">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1、第三方管理公司必须要讲政治，服从大局，听从青浦区赵巷镇人民政府及公安部门等指挥。</w:t>
      </w:r>
    </w:p>
    <w:p w14:paraId="68BBCED3">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2、公司内部党组织体系及工会组织建全，员工福利合法合规发放。</w:t>
      </w:r>
    </w:p>
    <w:p w14:paraId="07FA5E28">
      <w:pPr>
        <w:widowControl/>
        <w:spacing w:line="360" w:lineRule="auto"/>
        <w:jc w:val="left"/>
        <w:rPr>
          <w:sz w:val="24"/>
          <w:szCs w:val="24"/>
        </w:rPr>
      </w:pPr>
      <w:r>
        <w:rPr>
          <w:rFonts w:hint="eastAsia" w:ascii="宋体" w:hAnsi="宋体" w:eastAsia="宋体" w:cs="宋体"/>
          <w:b/>
          <w:color w:val="000000"/>
          <w:kern w:val="0"/>
          <w:sz w:val="24"/>
          <w:szCs w:val="24"/>
          <w:lang w:bidi="ar"/>
        </w:rPr>
        <w:t>（二）公司人员要求</w:t>
      </w:r>
    </w:p>
    <w:p w14:paraId="2AFACE6B">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1、项目负责人45周岁以下，高级保卫师，相关工作经验10年以上。</w:t>
      </w:r>
    </w:p>
    <w:p w14:paraId="72CDA6F3">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2、人员50周岁以下，身高170厘米以上，持有相关上岗资质，具备相应工作经验。</w:t>
      </w:r>
    </w:p>
    <w:p w14:paraId="568AAE70">
      <w:pPr>
        <w:widowControl/>
        <w:spacing w:line="360" w:lineRule="auto"/>
        <w:ind w:firstLine="48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3、新招聘保安员培训时间，要达到40课时以上，上岗制度流程完整。</w:t>
      </w:r>
    </w:p>
    <w:p w14:paraId="019FA23A">
      <w:pPr>
        <w:widowControl/>
        <w:spacing w:line="360" w:lineRule="auto"/>
        <w:ind w:firstLine="480"/>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（三）资质要求</w:t>
      </w:r>
    </w:p>
    <w:p w14:paraId="1F83ECF7">
      <w:pPr>
        <w:widowControl/>
        <w:spacing w:line="360" w:lineRule="auto"/>
        <w:ind w:firstLine="480"/>
        <w:jc w:val="left"/>
        <w:rPr>
          <w:rFonts w:hint="eastAsia" w:ascii="宋体" w:hAnsi="宋体" w:eastAsia="宋体" w:cs="宋体"/>
          <w:color w:val="000000"/>
          <w:kern w:val="0"/>
          <w:sz w:val="24"/>
          <w:szCs w:val="24"/>
          <w:lang w:eastAsia="zh-CN" w:bidi="ar"/>
        </w:rPr>
      </w:pPr>
      <w:r>
        <w:rPr>
          <w:rFonts w:hint="eastAsia" w:ascii="宋体" w:hAnsi="宋体" w:eastAsia="宋体" w:cs="宋体"/>
          <w:i w:val="0"/>
          <w:iCs w:val="0"/>
          <w:color w:val="000000"/>
          <w:kern w:val="0"/>
          <w:sz w:val="24"/>
          <w:szCs w:val="24"/>
          <w:highlight w:val="none"/>
          <w:u w:val="none"/>
          <w:lang w:val="en-US" w:eastAsia="zh-CN" w:bidi="ar"/>
        </w:rPr>
        <w:t>公司需具有质量管理体系认证（GB/T 19001）、职业健康安全管理体系认证（GB/T 45001认证）、环境管理体系认证（GB/T 24001认证）</w:t>
      </w:r>
    </w:p>
    <w:p w14:paraId="2152E9C3">
      <w:pPr>
        <w:widowControl/>
        <w:spacing w:line="360" w:lineRule="auto"/>
        <w:jc w:val="left"/>
        <w:rPr>
          <w:sz w:val="24"/>
          <w:szCs w:val="24"/>
        </w:rPr>
      </w:pPr>
      <w:r>
        <w:rPr>
          <w:rFonts w:hint="eastAsia" w:ascii="宋体" w:hAnsi="宋体" w:eastAsia="宋体" w:cs="宋体"/>
          <w:b/>
          <w:color w:val="000000"/>
          <w:kern w:val="0"/>
          <w:sz w:val="24"/>
          <w:szCs w:val="24"/>
          <w:lang w:bidi="ar"/>
        </w:rPr>
        <w:t>七、管理范围和要求</w:t>
      </w:r>
    </w:p>
    <w:p w14:paraId="04DEA6F9">
      <w:pPr>
        <w:widowControl/>
        <w:spacing w:line="360" w:lineRule="auto"/>
        <w:jc w:val="left"/>
        <w:rPr>
          <w:sz w:val="24"/>
          <w:szCs w:val="24"/>
        </w:rPr>
      </w:pPr>
      <w:r>
        <w:rPr>
          <w:rFonts w:hint="eastAsia" w:ascii="宋体" w:hAnsi="宋体" w:eastAsia="宋体" w:cs="宋体"/>
          <w:b/>
          <w:color w:val="000000"/>
          <w:kern w:val="0"/>
          <w:sz w:val="24"/>
          <w:szCs w:val="24"/>
          <w:lang w:bidi="ar"/>
        </w:rPr>
        <w:t>（一）管理区域范围和内容</w:t>
      </w:r>
    </w:p>
    <w:p w14:paraId="6CB85CB8">
      <w:pPr>
        <w:widowControl/>
        <w:spacing w:line="360" w:lineRule="auto"/>
        <w:ind w:firstLine="482"/>
        <w:jc w:val="left"/>
        <w:rPr>
          <w:sz w:val="24"/>
          <w:szCs w:val="24"/>
        </w:rPr>
      </w:pPr>
      <w:r>
        <w:rPr>
          <w:rFonts w:hint="eastAsia" w:ascii="宋体" w:hAnsi="宋体" w:eastAsia="宋体" w:cs="宋体"/>
          <w:b/>
          <w:color w:val="000000"/>
          <w:kern w:val="0"/>
          <w:sz w:val="24"/>
          <w:szCs w:val="24"/>
          <w:lang w:bidi="ar"/>
        </w:rPr>
        <w:t>1.管理区域范围：</w:t>
      </w:r>
      <w:r>
        <w:rPr>
          <w:rFonts w:hint="eastAsia" w:ascii="宋体" w:hAnsi="宋体" w:eastAsia="宋体" w:cs="宋体"/>
          <w:color w:val="000000"/>
          <w:kern w:val="0"/>
          <w:sz w:val="24"/>
          <w:szCs w:val="24"/>
          <w:lang w:bidi="ar"/>
        </w:rPr>
        <w:t>东至油墩港和崧泽博物馆区域；南至沪渝高速；西至G1501绕城高速和汇金路；北至上达河和秀泽路。</w:t>
      </w:r>
    </w:p>
    <w:p w14:paraId="77C9FCDF">
      <w:pPr>
        <w:widowControl/>
        <w:spacing w:line="360" w:lineRule="auto"/>
        <w:ind w:firstLine="482"/>
        <w:jc w:val="left"/>
        <w:rPr>
          <w:sz w:val="24"/>
          <w:szCs w:val="24"/>
        </w:rPr>
      </w:pPr>
      <w:r>
        <w:rPr>
          <w:rFonts w:hint="eastAsia" w:ascii="宋体" w:hAnsi="宋体" w:eastAsia="宋体" w:cs="宋体"/>
          <w:b/>
          <w:color w:val="000000"/>
          <w:kern w:val="0"/>
          <w:sz w:val="24"/>
          <w:szCs w:val="24"/>
          <w:lang w:bidi="ar"/>
        </w:rPr>
        <w:t>2.管理内容：</w:t>
      </w:r>
      <w:r>
        <w:rPr>
          <w:rFonts w:hint="eastAsia" w:ascii="宋体" w:hAnsi="宋体" w:eastAsia="宋体" w:cs="宋体"/>
          <w:color w:val="000000"/>
          <w:kern w:val="0"/>
          <w:sz w:val="24"/>
          <w:szCs w:val="24"/>
          <w:lang w:bidi="ar"/>
        </w:rPr>
        <w:t>开展区域市容巡查，对各类市容环境违法违规行为及时劝阻和整改（如占道经营等）；协助城市管理部门开展市容环境管理和处置等相关工作；配合开展城市管理相关的突击整治治理、保障和维稳等工作。</w:t>
      </w:r>
    </w:p>
    <w:p w14:paraId="1AF6E4EF">
      <w:pPr>
        <w:widowControl/>
        <w:spacing w:line="360" w:lineRule="auto"/>
        <w:jc w:val="left"/>
        <w:rPr>
          <w:sz w:val="24"/>
          <w:szCs w:val="24"/>
        </w:rPr>
      </w:pPr>
      <w:r>
        <w:rPr>
          <w:rFonts w:hint="eastAsia" w:ascii="宋体" w:hAnsi="宋体" w:eastAsia="宋体" w:cs="宋体"/>
          <w:b/>
          <w:color w:val="000000"/>
          <w:kern w:val="0"/>
          <w:sz w:val="24"/>
          <w:szCs w:val="24"/>
          <w:lang w:bidi="ar"/>
        </w:rPr>
        <w:t>（二）管理目标要求</w:t>
      </w:r>
    </w:p>
    <w:p w14:paraId="0CB96A49">
      <w:pPr>
        <w:widowControl/>
        <w:spacing w:line="360" w:lineRule="auto"/>
        <w:ind w:firstLine="482"/>
        <w:jc w:val="left"/>
        <w:rPr>
          <w:sz w:val="24"/>
          <w:szCs w:val="24"/>
        </w:rPr>
      </w:pPr>
      <w:r>
        <w:rPr>
          <w:rFonts w:hint="eastAsia" w:ascii="宋体" w:hAnsi="宋体" w:eastAsia="宋体" w:cs="宋体"/>
          <w:b/>
          <w:color w:val="000000"/>
          <w:kern w:val="0"/>
          <w:sz w:val="24"/>
          <w:szCs w:val="24"/>
          <w:lang w:bidi="ar"/>
        </w:rPr>
        <w:t>1.完成每月网格案件上报指标</w:t>
      </w:r>
    </w:p>
    <w:p w14:paraId="402F349B">
      <w:pPr>
        <w:widowControl/>
        <w:spacing w:line="360" w:lineRule="auto"/>
        <w:ind w:firstLine="48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第三方需围绕14 大类，250 小类，对所有问题要做到先行发现，及时用 PDA 手机上传城运中心，做到应发现、尽发现、快处置。做好网格化管理相关问题的巡查和上报，做到“应发现尽发现”，按照要求每月完成上报额定案事件。</w:t>
      </w:r>
    </w:p>
    <w:p w14:paraId="6E020016">
      <w:pPr>
        <w:widowControl/>
        <w:spacing w:line="360" w:lineRule="auto"/>
        <w:ind w:firstLine="482"/>
        <w:jc w:val="left"/>
        <w:rPr>
          <w:sz w:val="24"/>
          <w:szCs w:val="24"/>
        </w:rPr>
      </w:pPr>
      <w:r>
        <w:rPr>
          <w:rFonts w:hint="eastAsia" w:ascii="宋体" w:hAnsi="宋体" w:eastAsia="宋体" w:cs="宋体"/>
          <w:b/>
          <w:color w:val="000000"/>
          <w:kern w:val="0"/>
          <w:sz w:val="24"/>
          <w:szCs w:val="24"/>
          <w:lang w:bidi="ar"/>
        </w:rPr>
        <w:t>2.区域环境卫生</w:t>
      </w:r>
    </w:p>
    <w:p w14:paraId="5DCA4DC4">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（1）协助环卫作业部门对各经营户做好门店生活垃圾的收运及路面保洁工作的巡查与管理。</w:t>
      </w:r>
    </w:p>
    <w:p w14:paraId="3516491F">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2）道路路面、人行道无成片散落垃圾，无包裹垃圾和扎推垃圾，无明显油腻污渍；道路沟底无明显积尘和积水，道路沟眼、窨井口保持畅通，无杂物堵塞；人行道及树穴无杂草、烟蒂等积累；沿街建（构）筑物墙角无明显积尘。</w:t>
      </w:r>
    </w:p>
    <w:p w14:paraId="32FFF9D6">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（3）区域绿地、绿化带内无垃圾积存，无成片散落垃圾。</w:t>
      </w:r>
    </w:p>
    <w:p w14:paraId="21205CD6">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（4）区域废物箱及垃圾房外观保持清洁，无乱招贴和明显污垢，设施周围无垃圾散落和积水积污，无包裹垃圾；废物箱门保持关闭，设施发现缺损时，及时联系环卫企业进行转换或修复。</w:t>
      </w:r>
    </w:p>
    <w:p w14:paraId="71964C44">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（5）护栏、电杆等道路附属设施及街面建（构）筑物表面无成片乱招贴、乱张挂、乱涂写、乱刻画。</w:t>
      </w:r>
    </w:p>
    <w:p w14:paraId="2DF8B455">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（6）未及时发现制止大宗渣土、建筑装潢和绿化废弃物等特殊垃圾乱倾倒现象或行为的，应由第三方社会管理方负责，费用由其承担。</w:t>
      </w:r>
    </w:p>
    <w:p w14:paraId="392ADC73">
      <w:pPr>
        <w:widowControl/>
        <w:spacing w:line="360" w:lineRule="auto"/>
        <w:ind w:firstLine="482"/>
        <w:jc w:val="left"/>
        <w:rPr>
          <w:sz w:val="24"/>
          <w:szCs w:val="24"/>
        </w:rPr>
      </w:pPr>
      <w:r>
        <w:rPr>
          <w:rFonts w:hint="eastAsia" w:ascii="宋体" w:hAnsi="宋体" w:eastAsia="宋体" w:cs="宋体"/>
          <w:b/>
          <w:color w:val="000000"/>
          <w:kern w:val="0"/>
          <w:sz w:val="24"/>
          <w:szCs w:val="24"/>
          <w:lang w:bidi="ar"/>
        </w:rPr>
        <w:t>3.区域市容秩序</w:t>
      </w:r>
    </w:p>
    <w:p w14:paraId="3C57EAC4">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（1）日常市容环境卫生状况巡查时间24小时，全年无休。</w:t>
      </w:r>
    </w:p>
    <w:p w14:paraId="13D62385">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（2）街面及道路公共区域无乱设摊（包括以车辆为载体的流动摊点）；无乱堆乱放物品，严禁设摊、车辆维修、车辆洗车等作业或经营等现象的占道。</w:t>
      </w:r>
    </w:p>
    <w:p w14:paraId="191D4F47">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（3）沿街建（构）筑物上无擅自拉挂条幅；无擅自设置招牌、广告等设施；无利用市政公用设施、树木植被或等晾晒衣物等；严禁在公共场地利用自备衣架晾晒衣物等。</w:t>
      </w:r>
    </w:p>
    <w:p w14:paraId="147725D8">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（4）在建工地、学校等周边无发生食品等流动摊贩的经营现象。</w:t>
      </w:r>
    </w:p>
    <w:p w14:paraId="39F39B26">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（5）街头无散发小广告和无擅自发放宣传品、物品等行为。</w:t>
      </w:r>
    </w:p>
    <w:p w14:paraId="5193C5D0">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（6）非机动车在街面指定停放区内有序停放，有专人巡查管理；在重点区域、重点路段无非机动车集中占据盲道现象。</w:t>
      </w:r>
    </w:p>
    <w:p w14:paraId="2D18A191">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（7）掘路、开挖等占道施工有围挡，施工区域周边保持整洁，施工结束后无杂物残留。</w:t>
      </w:r>
    </w:p>
    <w:p w14:paraId="24FB0BD2">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（8）在市容环境问题多发易发区域（如：乱设摊、偷倒乱倒垃圾等），根据实际情况，适时安排固守人员和加强巡查、追查。</w:t>
      </w:r>
    </w:p>
    <w:p w14:paraId="4E015074">
      <w:pPr>
        <w:widowControl/>
        <w:spacing w:line="360" w:lineRule="auto"/>
        <w:ind w:firstLine="48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（9）加强对商铺的业态巡查，对发现经营户未按原有规定经营用途的行为给予告知、劝说并配合职能部门做好相关协助工作。</w:t>
      </w:r>
    </w:p>
    <w:p w14:paraId="530871C1">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（10）高峰及错峰时段，协助指挥道路交通，保障区域内道路畅通。</w:t>
      </w:r>
    </w:p>
    <w:p w14:paraId="237851D3">
      <w:pPr>
        <w:widowControl/>
        <w:spacing w:line="360" w:lineRule="auto"/>
        <w:ind w:firstLine="482"/>
        <w:jc w:val="left"/>
        <w:rPr>
          <w:sz w:val="24"/>
          <w:szCs w:val="24"/>
        </w:rPr>
      </w:pPr>
      <w:r>
        <w:rPr>
          <w:rFonts w:hint="eastAsia" w:ascii="宋体" w:hAnsi="宋体" w:eastAsia="宋体" w:cs="宋体"/>
          <w:b/>
          <w:color w:val="000000"/>
          <w:kern w:val="0"/>
          <w:sz w:val="24"/>
          <w:szCs w:val="24"/>
          <w:lang w:bidi="ar"/>
        </w:rPr>
        <w:t>4.市容环境卫生责任区制度落实</w:t>
      </w:r>
    </w:p>
    <w:p w14:paraId="59E7E3C4">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（1）沿街商铺《市容环境卫生责任人责任告知书》送达率100%，签约率达95%，《告知书》在店堂合适位置公示。</w:t>
      </w:r>
    </w:p>
    <w:p w14:paraId="3019C76C">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（2）沿街商铺无跨门营业、无店外堆物、无乱倒乱放垃圾以及其他市容环境违法违规行为。</w:t>
      </w:r>
    </w:p>
    <w:p w14:paraId="68043F51">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（3）沿街商铺无占用店外绿化、树穴、公共设施放置垃圾容器及扫帚、拖把、簸箕等物品，垃圾容器无满溢、散落现象。</w:t>
      </w:r>
    </w:p>
    <w:p w14:paraId="05FDF267">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（4）沿街商铺无“一店多招”情形，店牌店招上无乱招贴和乱涂写，无明显破损和安全隐患。</w:t>
      </w:r>
    </w:p>
    <w:p w14:paraId="7A490313">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（5）在沿街商铺装修期间，有围挡围栏进行有效遮挡和防护，及时联系作业单位清运建筑废弃物，装修期间尽可能降低对周边市容和行人的影响。</w:t>
      </w:r>
    </w:p>
    <w:p w14:paraId="5E07EFCE">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（6）主动做好与居住小区、企事业单位物业管理方的沟通交流，明确界定各自市容、环卫管理范畴，避免出现管理盲区。</w:t>
      </w:r>
    </w:p>
    <w:p w14:paraId="71878E12">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（7）沿街商铺垃圾桶要进行分类，发现未按要求配备和分类的及时督促整改并做好取证工作，对拒不整改的上报城市管理执法部门。</w:t>
      </w:r>
    </w:p>
    <w:p w14:paraId="78623961">
      <w:pPr>
        <w:widowControl/>
        <w:spacing w:line="360" w:lineRule="auto"/>
        <w:ind w:firstLine="482"/>
        <w:jc w:val="left"/>
        <w:rPr>
          <w:sz w:val="24"/>
          <w:szCs w:val="24"/>
        </w:rPr>
      </w:pPr>
      <w:r>
        <w:rPr>
          <w:rFonts w:hint="eastAsia" w:ascii="宋体" w:hAnsi="宋体" w:eastAsia="宋体" w:cs="宋体"/>
          <w:b/>
          <w:color w:val="000000"/>
          <w:kern w:val="0"/>
          <w:sz w:val="24"/>
          <w:szCs w:val="24"/>
          <w:lang w:bidi="ar"/>
        </w:rPr>
        <w:t>5.预防和应急管理</w:t>
      </w:r>
    </w:p>
    <w:p w14:paraId="6B402D5B">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（1）收到各类市容环境卫生“问题”抄告、信访投诉和交办件后，无特殊情况的，30分钟到达现场，24小时落实整改，并建立防控长效机制。</w:t>
      </w:r>
    </w:p>
    <w:p w14:paraId="1818E449">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2）建立健全内部管理体制机制，确保各项管理和服务有序平稳；切实做好从业人员信息登记管理（须向城管中队和网格化中心报备），常态化开展从业者教育培训，确保从业者作风良好、纪律严明，依法，规范、文明开展各项管理和服务，对待管理服务对象有理有节，不卑不亢。</w:t>
      </w:r>
    </w:p>
    <w:p w14:paraId="0DFA9179">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（3）全面落实安全生产管理措施，不断提高从业人员的安全责任意识和水平，确保不发生重大安全责任事故。</w:t>
      </w:r>
    </w:p>
    <w:p w14:paraId="60AB9756">
      <w:pPr>
        <w:widowControl/>
        <w:spacing w:line="360" w:lineRule="auto"/>
        <w:ind w:firstLine="480"/>
        <w:jc w:val="left"/>
        <w:rPr>
          <w:sz w:val="24"/>
          <w:szCs w:val="24"/>
        </w:rPr>
      </w:pPr>
      <w:r>
        <w:rPr>
          <w:rFonts w:hint="eastAsia" w:ascii="宋体" w:hAnsi="宋体" w:eastAsia="宋体" w:cs="宋体"/>
          <w:color w:val="000000"/>
          <w:kern w:val="0"/>
          <w:sz w:val="24"/>
          <w:szCs w:val="24"/>
          <w:lang w:bidi="ar"/>
        </w:rPr>
        <w:t>（4）建立应急队伍和应急管理体系，遇特殊天气、重要保障和突发情况下，应急人力、物力快速响应到位，及时排除安全隐患，尽可能减少市容环境受影响的程度。</w:t>
      </w:r>
    </w:p>
    <w:p w14:paraId="31D9A9EA">
      <w:pPr>
        <w:widowControl/>
        <w:spacing w:line="360" w:lineRule="auto"/>
        <w:ind w:firstLine="482"/>
        <w:jc w:val="left"/>
        <w:rPr>
          <w:sz w:val="24"/>
          <w:szCs w:val="24"/>
        </w:rPr>
      </w:pPr>
      <w:r>
        <w:rPr>
          <w:rFonts w:hint="eastAsia" w:ascii="宋体" w:hAnsi="宋体" w:eastAsia="宋体" w:cs="宋体"/>
          <w:b/>
          <w:color w:val="000000"/>
          <w:kern w:val="0"/>
          <w:sz w:val="24"/>
          <w:szCs w:val="24"/>
          <w:lang w:bidi="ar"/>
        </w:rPr>
        <w:t>6．其他</w:t>
      </w:r>
    </w:p>
    <w:p w14:paraId="06585086">
      <w:pPr>
        <w:widowControl/>
        <w:spacing w:line="360" w:lineRule="auto"/>
        <w:ind w:firstLine="48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参与辖区城市网格化综合管理工作，开展城市管理相关专项治理、保障、维稳等工作，以及积极参与落实政府创文复审、进博会和全国卫生区（镇）复审、疫情防控等镇党委政府相关工作。</w:t>
      </w:r>
    </w:p>
    <w:p w14:paraId="7BF8184E">
      <w:pPr>
        <w:spacing w:line="360" w:lineRule="auto"/>
        <w:rPr>
          <w:rFonts w:hint="eastAsia" w:asciiTheme="minorEastAsia" w:hAnsiTheme="minorEastAsia"/>
          <w:sz w:val="28"/>
          <w:szCs w:val="28"/>
        </w:rPr>
      </w:pPr>
    </w:p>
    <w:p w14:paraId="05630062">
      <w:pPr>
        <w:spacing w:line="360" w:lineRule="auto"/>
        <w:rPr>
          <w:rFonts w:hint="eastAsia" w:asciiTheme="minorEastAsia" w:hAnsiTheme="minorEastAsia"/>
          <w:sz w:val="28"/>
          <w:szCs w:val="28"/>
        </w:rPr>
      </w:pPr>
    </w:p>
    <w:p w14:paraId="28B19348">
      <w:pPr>
        <w:rPr>
          <w:rFonts w:hint="eastAsia" w:asciiTheme="minorEastAsia" w:hAnsiTheme="minorEastAsia"/>
          <w:sz w:val="28"/>
          <w:szCs w:val="28"/>
        </w:rPr>
      </w:pPr>
    </w:p>
    <w:p w14:paraId="6E344ED9">
      <w:pPr>
        <w:rPr>
          <w:rFonts w:hint="eastAsia" w:asciiTheme="minorEastAsia" w:hAnsiTheme="minorEastAsia"/>
          <w:sz w:val="28"/>
          <w:szCs w:val="28"/>
        </w:rPr>
      </w:pPr>
    </w:p>
    <w:p w14:paraId="100E7BD9">
      <w:pPr>
        <w:rPr>
          <w:rFonts w:hint="eastAsia" w:asciiTheme="minorEastAsia" w:hAnsiTheme="minorEastAsia"/>
          <w:sz w:val="28"/>
          <w:szCs w:val="28"/>
        </w:rPr>
      </w:pPr>
    </w:p>
    <w:p w14:paraId="443F99A3">
      <w:pPr>
        <w:rPr>
          <w:rFonts w:hint="eastAsia" w:asciiTheme="minorEastAsia" w:hAnsiTheme="minorEastAsia"/>
          <w:sz w:val="28"/>
          <w:szCs w:val="28"/>
        </w:rPr>
      </w:pPr>
    </w:p>
    <w:p w14:paraId="2ECBD07F">
      <w:pPr>
        <w:rPr>
          <w:rFonts w:hint="eastAsia" w:asciiTheme="minorEastAsia" w:hAnsiTheme="minorEastAsia"/>
          <w:sz w:val="28"/>
          <w:szCs w:val="28"/>
        </w:rPr>
      </w:pPr>
    </w:p>
    <w:p w14:paraId="141D1F87">
      <w:pPr>
        <w:rPr>
          <w:rFonts w:hint="eastAsia" w:asciiTheme="minorEastAsia" w:hAnsiTheme="minorEastAsia"/>
          <w:sz w:val="28"/>
          <w:szCs w:val="28"/>
        </w:rPr>
      </w:pPr>
    </w:p>
    <w:p w14:paraId="4498F395">
      <w:pPr>
        <w:rPr>
          <w:rFonts w:hint="eastAsia" w:asciiTheme="minorEastAsia" w:hAnsiTheme="minorEastAsia"/>
          <w:sz w:val="28"/>
          <w:szCs w:val="28"/>
        </w:rPr>
      </w:pPr>
    </w:p>
    <w:p w14:paraId="46D420DB">
      <w:pPr>
        <w:rPr>
          <w:rFonts w:hint="eastAsia" w:asciiTheme="minorEastAsia" w:hAnsiTheme="minorEastAsia"/>
          <w:sz w:val="28"/>
          <w:szCs w:val="28"/>
        </w:rPr>
      </w:pPr>
    </w:p>
    <w:p w14:paraId="5C1124E7">
      <w:pPr>
        <w:rPr>
          <w:rFonts w:hint="eastAsia" w:asciiTheme="minorEastAsia" w:hAnsiTheme="minorEastAsia"/>
          <w:sz w:val="28"/>
          <w:szCs w:val="28"/>
        </w:rPr>
      </w:pPr>
    </w:p>
    <w:p w14:paraId="5817D53D">
      <w:pPr>
        <w:rPr>
          <w:rFonts w:hint="eastAsia" w:asciiTheme="minorEastAsia" w:hAnsiTheme="minorEastAsia"/>
          <w:sz w:val="28"/>
          <w:szCs w:val="28"/>
        </w:rPr>
      </w:pPr>
    </w:p>
    <w:p w14:paraId="62DDBE5F">
      <w:pPr>
        <w:rPr>
          <w:rFonts w:hint="eastAsia" w:asciiTheme="minorEastAsia" w:hAnsiTheme="minorEastAsia"/>
          <w:sz w:val="28"/>
          <w:szCs w:val="28"/>
        </w:rPr>
      </w:pPr>
    </w:p>
    <w:p w14:paraId="10D79765">
      <w:pPr>
        <w:rPr>
          <w:rFonts w:hint="eastAsia" w:asciiTheme="minorEastAsia" w:hAnsiTheme="minorEastAsia"/>
          <w:sz w:val="28"/>
          <w:szCs w:val="28"/>
        </w:rPr>
      </w:pPr>
    </w:p>
    <w:p w14:paraId="25B12DE5">
      <w:pPr>
        <w:rPr>
          <w:rFonts w:hint="eastAsia" w:asciiTheme="minorEastAsia" w:hAnsiTheme="minorEastAsia"/>
          <w:sz w:val="28"/>
          <w:szCs w:val="28"/>
        </w:rPr>
      </w:pPr>
    </w:p>
    <w:p w14:paraId="71899F60">
      <w:pPr>
        <w:rPr>
          <w:rFonts w:hint="eastAsia" w:asciiTheme="minorEastAsia" w:hAnsiTheme="minorEastAsia"/>
          <w:sz w:val="28"/>
          <w:szCs w:val="28"/>
        </w:rPr>
      </w:pPr>
    </w:p>
    <w:p w14:paraId="1736DFCF">
      <w:pPr>
        <w:rPr>
          <w:rFonts w:hint="eastAsia" w:asciiTheme="minorEastAsia" w:hAnsiTheme="minorEastAsia"/>
          <w:sz w:val="28"/>
          <w:szCs w:val="28"/>
        </w:rPr>
      </w:pPr>
    </w:p>
    <w:p w14:paraId="7363350A">
      <w:pPr>
        <w:widowControl/>
        <w:spacing w:line="360" w:lineRule="auto"/>
        <w:jc w:val="left"/>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八、考核方案</w:t>
      </w:r>
    </w:p>
    <w:p w14:paraId="3FF6C542">
      <w:pPr>
        <w:spacing w:line="360" w:lineRule="auto"/>
        <w:jc w:val="center"/>
        <w:rPr>
          <w:szCs w:val="21"/>
        </w:rPr>
      </w:pPr>
      <w:r>
        <w:rPr>
          <w:rFonts w:hint="eastAsia"/>
          <w:szCs w:val="21"/>
        </w:rPr>
        <w:t>赵巷镇新城一站大居市容管理工作考核方案</w:t>
      </w:r>
    </w:p>
    <w:p w14:paraId="78FA3BEE">
      <w:pPr>
        <w:widowControl/>
        <w:spacing w:line="360" w:lineRule="auto"/>
        <w:ind w:firstLine="420" w:firstLineChars="200"/>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为进一步提升赵巷镇新城一站大居市容环境整体水平，着力创建一个宜居、宜业、宜游的品质之城。要求切实加强第三方街面市容巡查服务工作，以“应发现、尽发现、快处置”为工作导向，落实责任、强化监管，不断完善第三方巡查服务管理机制，全面提升第三方巡查服务队员的工作效能及外在形象。结合实际情况，特制订本考核方案。</w:t>
      </w:r>
    </w:p>
    <w:p w14:paraId="32DA1A30">
      <w:pPr>
        <w:spacing w:line="360" w:lineRule="auto"/>
        <w:rPr>
          <w:szCs w:val="21"/>
        </w:rPr>
      </w:pPr>
      <w:r>
        <w:rPr>
          <w:rFonts w:hint="eastAsia"/>
          <w:szCs w:val="21"/>
        </w:rPr>
        <w:t>一、考核原则</w:t>
      </w:r>
    </w:p>
    <w:p w14:paraId="742B7FAC">
      <w:pPr>
        <w:spacing w:line="360" w:lineRule="auto"/>
        <w:rPr>
          <w:szCs w:val="21"/>
        </w:rPr>
      </w:pPr>
      <w:r>
        <w:rPr>
          <w:rFonts w:hint="eastAsia"/>
          <w:szCs w:val="21"/>
        </w:rPr>
        <w:t>遵循公开、公平、公正的原则进行考核考评，考核结果与第三方服务业绩挂钩。</w:t>
      </w:r>
    </w:p>
    <w:p w14:paraId="43CDDA54">
      <w:pPr>
        <w:spacing w:line="360" w:lineRule="auto"/>
        <w:rPr>
          <w:szCs w:val="21"/>
        </w:rPr>
      </w:pPr>
      <w:r>
        <w:rPr>
          <w:rFonts w:hint="eastAsia"/>
          <w:szCs w:val="21"/>
        </w:rPr>
        <w:t>二、考核对象</w:t>
      </w:r>
    </w:p>
    <w:p w14:paraId="4B3D9145">
      <w:pPr>
        <w:spacing w:line="360" w:lineRule="auto"/>
        <w:rPr>
          <w:szCs w:val="21"/>
        </w:rPr>
      </w:pPr>
      <w:r>
        <w:rPr>
          <w:rFonts w:hint="eastAsia"/>
          <w:szCs w:val="21"/>
        </w:rPr>
        <w:t>第三方巡查服务队员。</w:t>
      </w:r>
    </w:p>
    <w:p w14:paraId="13FAEC38">
      <w:pPr>
        <w:spacing w:line="360" w:lineRule="auto"/>
        <w:rPr>
          <w:szCs w:val="21"/>
        </w:rPr>
      </w:pPr>
      <w:r>
        <w:rPr>
          <w:rFonts w:hint="eastAsia"/>
          <w:szCs w:val="21"/>
        </w:rPr>
        <w:t>三、考核内容</w:t>
      </w:r>
    </w:p>
    <w:p w14:paraId="1C44E641">
      <w:pPr>
        <w:spacing w:line="360" w:lineRule="auto"/>
        <w:rPr>
          <w:szCs w:val="21"/>
        </w:rPr>
      </w:pPr>
      <w:r>
        <w:rPr>
          <w:rFonts w:hint="eastAsia"/>
          <w:szCs w:val="21"/>
        </w:rPr>
        <w:t>1、引导督导沿街商铺对象自觉遵守市容环境规定和要求。</w:t>
      </w:r>
    </w:p>
    <w:p w14:paraId="1A421126">
      <w:pPr>
        <w:spacing w:line="360" w:lineRule="auto"/>
        <w:rPr>
          <w:szCs w:val="21"/>
        </w:rPr>
      </w:pPr>
      <w:r>
        <w:rPr>
          <w:rFonts w:hint="eastAsia"/>
          <w:szCs w:val="21"/>
        </w:rPr>
        <w:t>2、开展街面巡查，对各类违法违规行为及时予以劝阻和制止，督促当事人进行整改。</w:t>
      </w:r>
    </w:p>
    <w:p w14:paraId="7398A7DB">
      <w:pPr>
        <w:spacing w:line="360" w:lineRule="auto"/>
        <w:rPr>
          <w:szCs w:val="21"/>
        </w:rPr>
      </w:pPr>
      <w:r>
        <w:rPr>
          <w:rFonts w:hint="eastAsia"/>
          <w:szCs w:val="21"/>
        </w:rPr>
        <w:t>3、开展城市综合管理相关工作。</w:t>
      </w:r>
    </w:p>
    <w:p w14:paraId="426C8095">
      <w:pPr>
        <w:spacing w:line="360" w:lineRule="auto"/>
        <w:rPr>
          <w:szCs w:val="21"/>
        </w:rPr>
      </w:pPr>
      <w:r>
        <w:rPr>
          <w:rFonts w:hint="eastAsia"/>
          <w:szCs w:val="21"/>
        </w:rPr>
        <w:t>四、考核方式</w:t>
      </w:r>
    </w:p>
    <w:p w14:paraId="578DB011">
      <w:pPr>
        <w:spacing w:line="360" w:lineRule="auto"/>
        <w:rPr>
          <w:szCs w:val="21"/>
        </w:rPr>
      </w:pPr>
      <w:r>
        <w:rPr>
          <w:rFonts w:hint="eastAsia"/>
          <w:szCs w:val="21"/>
        </w:rPr>
        <w:t>分为月度综合考核及日常考核两种。采取定期和随机考核相结合、明查与暗访相结合、实地抽查和线上抽查相结合的方式，对第三方巡查服务队员工作相关内容等方面进行考核，考核小组将考核情况汇总、打分，经分管领导审核后，提交镇相关部门，向第三方管理公司反馈考核结果。</w:t>
      </w:r>
    </w:p>
    <w:p w14:paraId="71A85124">
      <w:pPr>
        <w:spacing w:line="360" w:lineRule="auto"/>
        <w:rPr>
          <w:szCs w:val="21"/>
        </w:rPr>
      </w:pPr>
      <w:r>
        <w:rPr>
          <w:rFonts w:hint="eastAsia"/>
          <w:szCs w:val="21"/>
        </w:rPr>
        <w:t>五、考核细则</w:t>
      </w:r>
    </w:p>
    <w:p w14:paraId="613DD188">
      <w:pPr>
        <w:spacing w:line="360" w:lineRule="auto"/>
        <w:rPr>
          <w:szCs w:val="21"/>
        </w:rPr>
      </w:pPr>
      <w:r>
        <w:rPr>
          <w:rFonts w:hint="eastAsia"/>
          <w:szCs w:val="21"/>
        </w:rPr>
        <w:t>（一）月度综合考核：实行百分制量化考核，分为八档：90分以上（包括90分），85分-90分，80-85分，75分-80分、70分-75分，65分-70分，60-65分，60分以下视为不合格。（附件1：第三方巡查服务月度考核评分表）。</w:t>
      </w:r>
    </w:p>
    <w:p w14:paraId="1B9C2733">
      <w:pPr>
        <w:spacing w:line="360" w:lineRule="auto"/>
        <w:rPr>
          <w:szCs w:val="21"/>
        </w:rPr>
      </w:pPr>
      <w:r>
        <w:rPr>
          <w:rFonts w:hint="eastAsia"/>
          <w:szCs w:val="21"/>
        </w:rPr>
        <w:t>1、队伍管理（15分）</w:t>
      </w:r>
    </w:p>
    <w:p w14:paraId="50988C5E">
      <w:pPr>
        <w:spacing w:line="360" w:lineRule="auto"/>
        <w:rPr>
          <w:szCs w:val="21"/>
        </w:rPr>
      </w:pPr>
      <w:r>
        <w:rPr>
          <w:rFonts w:hint="eastAsia"/>
          <w:szCs w:val="21"/>
        </w:rPr>
        <w:t>（1）队伍出勤情况（5分）</w:t>
      </w:r>
    </w:p>
    <w:p w14:paraId="074DDEE0">
      <w:pPr>
        <w:spacing w:line="360" w:lineRule="auto"/>
        <w:rPr>
          <w:szCs w:val="21"/>
        </w:rPr>
      </w:pPr>
      <w:r>
        <w:rPr>
          <w:rFonts w:hint="eastAsia"/>
          <w:szCs w:val="21"/>
        </w:rPr>
        <w:t>第三方管理公司应妥善处理勤务工作，确保队伍出勤率得到保障。日常街面巡查时间为每日6：00-24：00；根据季节、街面特点和主管部门部署要求，作出重点巡查时间，及时调整巡查时间。</w:t>
      </w:r>
    </w:p>
    <w:p w14:paraId="516BD9FE">
      <w:pPr>
        <w:spacing w:line="360" w:lineRule="auto"/>
        <w:rPr>
          <w:szCs w:val="21"/>
        </w:rPr>
      </w:pPr>
      <w:r>
        <w:rPr>
          <w:rFonts w:hint="eastAsia"/>
          <w:szCs w:val="21"/>
        </w:rPr>
        <w:t>（2）内部管理机制（10分）</w:t>
      </w:r>
    </w:p>
    <w:p w14:paraId="3196BBF7">
      <w:pPr>
        <w:spacing w:line="360" w:lineRule="auto"/>
        <w:rPr>
          <w:szCs w:val="21"/>
        </w:rPr>
      </w:pPr>
      <w:r>
        <w:rPr>
          <w:rFonts w:hint="eastAsia"/>
          <w:szCs w:val="21"/>
        </w:rPr>
        <w:t>建立健全的内部管理机制，确保各项管理和服务有序平稳；切实做好从业人员信息登记管理（须向赵巷镇人民政府报备），常态化开展从业者教育培训，确保从业者作风良好、纪律严明，依法、规范、文明开展各项管理和服务，对待管理服务对象有理有节、不卑不亢。参照《城运中心队员工作制度》，凡发现着装不规范、吃拿卡要、不服从指挥调度等情况，该项考核分计零分。</w:t>
      </w:r>
    </w:p>
    <w:p w14:paraId="7EB5D2A3">
      <w:pPr>
        <w:spacing w:line="360" w:lineRule="auto"/>
        <w:rPr>
          <w:szCs w:val="21"/>
        </w:rPr>
      </w:pPr>
      <w:r>
        <w:rPr>
          <w:rFonts w:hint="eastAsia"/>
          <w:szCs w:val="21"/>
        </w:rPr>
        <w:t>2、街面巡查管理情况（55分）</w:t>
      </w:r>
    </w:p>
    <w:p w14:paraId="205EA43D">
      <w:pPr>
        <w:spacing w:line="360" w:lineRule="auto"/>
        <w:rPr>
          <w:szCs w:val="21"/>
        </w:rPr>
      </w:pPr>
      <w:r>
        <w:rPr>
          <w:rFonts w:hint="eastAsia"/>
          <w:szCs w:val="21"/>
        </w:rPr>
        <w:t>（1）设施巡查管理（15分）</w:t>
      </w:r>
    </w:p>
    <w:p w14:paraId="69CF76B9">
      <w:pPr>
        <w:spacing w:line="360" w:lineRule="auto"/>
        <w:rPr>
          <w:szCs w:val="21"/>
        </w:rPr>
      </w:pPr>
      <w:r>
        <w:rPr>
          <w:rFonts w:hint="eastAsia"/>
          <w:szCs w:val="21"/>
        </w:rPr>
        <w:t>街面设施巡查不到位、情况上报不及时，设施存在安全隐患未及时消除，劝阻和整改的，每发现一处扣1分，满分15分，扣完为止。道路上存在各类安全隐患，未第一时间采取临时防护措施的，因安全隐患问题构成人身危害或安全事故的，该项考核分计零分。</w:t>
      </w:r>
    </w:p>
    <w:p w14:paraId="570A8ABF">
      <w:pPr>
        <w:spacing w:line="360" w:lineRule="auto"/>
        <w:rPr>
          <w:szCs w:val="21"/>
        </w:rPr>
      </w:pPr>
      <w:r>
        <w:rPr>
          <w:rFonts w:hint="eastAsia"/>
          <w:szCs w:val="21"/>
        </w:rPr>
        <w:t>（2）施工巡查管理（15分）</w:t>
      </w:r>
    </w:p>
    <w:p w14:paraId="4A799EAC">
      <w:pPr>
        <w:spacing w:line="360" w:lineRule="auto"/>
        <w:rPr>
          <w:szCs w:val="21"/>
        </w:rPr>
      </w:pPr>
      <w:r>
        <w:rPr>
          <w:rFonts w:hint="eastAsia"/>
          <w:szCs w:val="21"/>
        </w:rPr>
        <w:t>对施工未第一时间干预，做好检查督促清理工作，对违法违规施工未责令停止，及时上报的，每发现一处，扣1分，满分15分，扣完为止。对安全隐患防范落实不到位的，因安全隐患问题构成人身危害或安全事故的，该项考核分计零分。</w:t>
      </w:r>
    </w:p>
    <w:p w14:paraId="36C90BCB">
      <w:pPr>
        <w:spacing w:line="360" w:lineRule="auto"/>
        <w:rPr>
          <w:szCs w:val="21"/>
        </w:rPr>
      </w:pPr>
      <w:r>
        <w:rPr>
          <w:rFonts w:hint="eastAsia"/>
          <w:szCs w:val="21"/>
        </w:rPr>
        <w:t>（3）非机动车停车巡查管理（10分）</w:t>
      </w:r>
    </w:p>
    <w:p w14:paraId="59D64662">
      <w:pPr>
        <w:spacing w:line="360" w:lineRule="auto"/>
        <w:rPr>
          <w:szCs w:val="21"/>
        </w:rPr>
      </w:pPr>
      <w:r>
        <w:rPr>
          <w:rFonts w:hint="eastAsia"/>
          <w:szCs w:val="21"/>
        </w:rPr>
        <w:t>每天安排固守人员加强巡查管控，维护管理街面非机动车停放秩序。</w:t>
      </w:r>
    </w:p>
    <w:p w14:paraId="0C56FD10">
      <w:pPr>
        <w:spacing w:line="360" w:lineRule="auto"/>
        <w:rPr>
          <w:szCs w:val="21"/>
        </w:rPr>
      </w:pPr>
      <w:r>
        <w:rPr>
          <w:rFonts w:hint="eastAsia"/>
          <w:szCs w:val="21"/>
        </w:rPr>
        <w:t>（4）环卫市容巡查管理（15分）</w:t>
      </w:r>
    </w:p>
    <w:p w14:paraId="00371207">
      <w:pPr>
        <w:spacing w:line="360" w:lineRule="auto"/>
        <w:rPr>
          <w:szCs w:val="21"/>
        </w:rPr>
      </w:pPr>
      <w:r>
        <w:rPr>
          <w:rFonts w:hint="eastAsia"/>
          <w:szCs w:val="21"/>
        </w:rPr>
        <w:t>简易问题，应立即予以处置，处置难度较大或者情节严重的，应及时上报。做好门店生活垃圾收运及路面保洁工作。市容环境卫生问题巡查不到位，管理落实不力，管控效果不佳的，每发现一处扣1分，满分15分，扣完为止。</w:t>
      </w:r>
    </w:p>
    <w:p w14:paraId="5BBB4765">
      <w:pPr>
        <w:spacing w:line="360" w:lineRule="auto"/>
        <w:rPr>
          <w:szCs w:val="21"/>
        </w:rPr>
      </w:pPr>
      <w:r>
        <w:rPr>
          <w:rFonts w:hint="eastAsia"/>
          <w:szCs w:val="21"/>
        </w:rPr>
        <w:t>3、及时发现与处置情况（10分）</w:t>
      </w:r>
    </w:p>
    <w:p w14:paraId="3AAED804">
      <w:pPr>
        <w:spacing w:line="360" w:lineRule="auto"/>
        <w:rPr>
          <w:szCs w:val="21"/>
        </w:rPr>
      </w:pPr>
      <w:r>
        <w:rPr>
          <w:rFonts w:hint="eastAsia"/>
          <w:szCs w:val="21"/>
        </w:rPr>
        <w:t>认真参与辖区相关城市管理问题的巡查发现及处置工作，及时发现上报问题。及时处置劝阻和整改市容环境违规违法行为。简易问题，应立即予以处置；处置难度较大或者情节严重的，应及时上报，并做好现场取证工作。现场处置中，出现应处置未处置或者超期、返工的，每件扣1分，满分10分，扣完为止。</w:t>
      </w:r>
    </w:p>
    <w:p w14:paraId="60A1F003">
      <w:pPr>
        <w:spacing w:line="360" w:lineRule="auto"/>
        <w:rPr>
          <w:szCs w:val="21"/>
        </w:rPr>
      </w:pPr>
      <w:r>
        <w:rPr>
          <w:rFonts w:hint="eastAsia"/>
          <w:szCs w:val="21"/>
        </w:rPr>
        <w:t>4、投诉类案件处置（10分）</w:t>
      </w:r>
    </w:p>
    <w:p w14:paraId="3F8185C5">
      <w:pPr>
        <w:spacing w:line="360" w:lineRule="auto"/>
        <w:rPr>
          <w:szCs w:val="21"/>
        </w:rPr>
      </w:pPr>
      <w:r>
        <w:rPr>
          <w:rFonts w:hint="eastAsia"/>
          <w:szCs w:val="21"/>
        </w:rPr>
        <w:t>（1）到场处置和反馈情况。（5分）</w:t>
      </w:r>
    </w:p>
    <w:p w14:paraId="66F5B8DF">
      <w:pPr>
        <w:spacing w:line="360" w:lineRule="auto"/>
        <w:rPr>
          <w:szCs w:val="21"/>
        </w:rPr>
      </w:pPr>
      <w:r>
        <w:rPr>
          <w:rFonts w:hint="eastAsia"/>
          <w:szCs w:val="21"/>
        </w:rPr>
        <w:t>接到投诉类案件后，在接到通知后，要及时赶往现场，15分钟内到达现场，到达现场后应第一时间掌握现场情况，对于处置能力范围内的案件应及时予以处置，并及时反馈处置结果，对于处置能力范围外的案件，也应及时向案件派遣部门上报现场情况。</w:t>
      </w:r>
    </w:p>
    <w:p w14:paraId="7BC228D6">
      <w:pPr>
        <w:spacing w:line="360" w:lineRule="auto"/>
        <w:rPr>
          <w:szCs w:val="21"/>
        </w:rPr>
      </w:pPr>
      <w:r>
        <w:rPr>
          <w:rFonts w:hint="eastAsia"/>
          <w:szCs w:val="21"/>
        </w:rPr>
        <w:t>（2）群众满意度（5分）</w:t>
      </w:r>
    </w:p>
    <w:p w14:paraId="62A5942C">
      <w:pPr>
        <w:spacing w:line="360" w:lineRule="auto"/>
        <w:rPr>
          <w:szCs w:val="21"/>
        </w:rPr>
      </w:pPr>
      <w:r>
        <w:rPr>
          <w:rFonts w:hint="eastAsia"/>
          <w:szCs w:val="21"/>
        </w:rPr>
        <w:t>在投诉类案件的整体处置环节中，如因第三方队员现场处置不当，造成群众满意度下降的，该项考核分计零分。</w:t>
      </w:r>
    </w:p>
    <w:p w14:paraId="053254B3">
      <w:pPr>
        <w:spacing w:line="360" w:lineRule="auto"/>
        <w:rPr>
          <w:szCs w:val="21"/>
        </w:rPr>
      </w:pPr>
      <w:r>
        <w:rPr>
          <w:rFonts w:hint="eastAsia"/>
          <w:szCs w:val="21"/>
        </w:rPr>
        <w:t>5、应急管理保障（10分）</w:t>
      </w:r>
    </w:p>
    <w:p w14:paraId="76E7FC0A">
      <w:pPr>
        <w:spacing w:line="360" w:lineRule="auto"/>
        <w:rPr>
          <w:szCs w:val="21"/>
        </w:rPr>
      </w:pPr>
      <w:r>
        <w:rPr>
          <w:rFonts w:hint="eastAsia"/>
          <w:szCs w:val="21"/>
        </w:rPr>
        <w:t>建立应急队伍和应急管理体系，遇特殊天气、重要保障和突发情况时，应急人力、物力快速响应到位，响应时间一般要求在15分钟内，及时排除安全隐患，尽可能减少城市区域受影响的程度。</w:t>
      </w:r>
    </w:p>
    <w:p w14:paraId="3CBD017F">
      <w:pPr>
        <w:spacing w:line="360" w:lineRule="auto"/>
        <w:rPr>
          <w:szCs w:val="21"/>
        </w:rPr>
      </w:pPr>
      <w:r>
        <w:rPr>
          <w:rFonts w:hint="eastAsia"/>
          <w:szCs w:val="21"/>
        </w:rPr>
        <w:t>（二）月度综合考核结果运用</w:t>
      </w:r>
    </w:p>
    <w:p w14:paraId="39EF3456">
      <w:pPr>
        <w:spacing w:line="360" w:lineRule="auto"/>
        <w:rPr>
          <w:szCs w:val="21"/>
        </w:rPr>
      </w:pPr>
      <w:r>
        <w:rPr>
          <w:rFonts w:hint="eastAsia"/>
          <w:szCs w:val="21"/>
        </w:rPr>
        <w:t>月度考核结果作为第三方管理公司兑现服务费的重要依据。按照考核档次划分：</w:t>
      </w:r>
    </w:p>
    <w:p w14:paraId="28B7A0DC">
      <w:pPr>
        <w:spacing w:line="360" w:lineRule="auto"/>
        <w:rPr>
          <w:szCs w:val="21"/>
        </w:rPr>
      </w:pPr>
      <w:r>
        <w:rPr>
          <w:rFonts w:hint="eastAsia"/>
          <w:szCs w:val="21"/>
        </w:rPr>
        <w:t>（1）90分及90分以上：兑现全额服务费；</w:t>
      </w:r>
    </w:p>
    <w:p w14:paraId="27A2D4B1">
      <w:pPr>
        <w:spacing w:line="360" w:lineRule="auto"/>
        <w:rPr>
          <w:szCs w:val="21"/>
        </w:rPr>
      </w:pPr>
      <w:r>
        <w:rPr>
          <w:rFonts w:hint="eastAsia"/>
          <w:szCs w:val="21"/>
        </w:rPr>
        <w:t>（2）85分-90分：扣除合同全额服务费的5%；</w:t>
      </w:r>
    </w:p>
    <w:p w14:paraId="2CC649B1">
      <w:pPr>
        <w:spacing w:line="360" w:lineRule="auto"/>
        <w:rPr>
          <w:szCs w:val="21"/>
        </w:rPr>
      </w:pPr>
      <w:r>
        <w:rPr>
          <w:rFonts w:hint="eastAsia"/>
          <w:szCs w:val="21"/>
        </w:rPr>
        <w:t>（3）80分-85分：扣除合同全额服务费的10%；</w:t>
      </w:r>
    </w:p>
    <w:p w14:paraId="4E05D867">
      <w:pPr>
        <w:spacing w:line="360" w:lineRule="auto"/>
        <w:rPr>
          <w:szCs w:val="21"/>
        </w:rPr>
      </w:pPr>
      <w:r>
        <w:rPr>
          <w:rFonts w:hint="eastAsia"/>
          <w:szCs w:val="21"/>
        </w:rPr>
        <w:t>（4）75分-80分：扣除合同全额服务费的15%；</w:t>
      </w:r>
    </w:p>
    <w:p w14:paraId="514BBDBC">
      <w:pPr>
        <w:spacing w:line="360" w:lineRule="auto"/>
        <w:rPr>
          <w:szCs w:val="21"/>
        </w:rPr>
      </w:pPr>
      <w:r>
        <w:rPr>
          <w:rFonts w:hint="eastAsia"/>
          <w:szCs w:val="21"/>
        </w:rPr>
        <w:t>（5）70分-75分：扣除合同全额服务费的20%；</w:t>
      </w:r>
    </w:p>
    <w:p w14:paraId="61BAB8BA">
      <w:pPr>
        <w:spacing w:line="360" w:lineRule="auto"/>
        <w:rPr>
          <w:szCs w:val="21"/>
        </w:rPr>
      </w:pPr>
      <w:r>
        <w:rPr>
          <w:rFonts w:hint="eastAsia"/>
          <w:szCs w:val="21"/>
        </w:rPr>
        <w:t>（6）65分-70分：扣除合同全额服务费的25%；</w:t>
      </w:r>
    </w:p>
    <w:p w14:paraId="534D92D5">
      <w:pPr>
        <w:spacing w:line="360" w:lineRule="auto"/>
        <w:rPr>
          <w:szCs w:val="21"/>
        </w:rPr>
      </w:pPr>
      <w:r>
        <w:rPr>
          <w:rFonts w:hint="eastAsia"/>
          <w:szCs w:val="21"/>
        </w:rPr>
        <w:t>（7）60分-65分：扣除合同全额服务费的30%；</w:t>
      </w:r>
    </w:p>
    <w:p w14:paraId="6206D85C">
      <w:pPr>
        <w:spacing w:line="360" w:lineRule="auto"/>
        <w:rPr>
          <w:szCs w:val="21"/>
        </w:rPr>
      </w:pPr>
      <w:r>
        <w:rPr>
          <w:rFonts w:hint="eastAsia"/>
          <w:szCs w:val="21"/>
        </w:rPr>
        <w:t>（8）60分以下的：扣除合同全额服务费的35%。</w:t>
      </w:r>
    </w:p>
    <w:p w14:paraId="3BA7193D">
      <w:pPr>
        <w:spacing w:line="360" w:lineRule="auto"/>
        <w:rPr>
          <w:szCs w:val="21"/>
        </w:rPr>
      </w:pPr>
      <w:r>
        <w:rPr>
          <w:rFonts w:hint="eastAsia"/>
          <w:szCs w:val="21"/>
        </w:rPr>
        <w:t>（三）日常考核：实行百分制量化考核，以每月度总金额的5%作为日常考核的经费。（附件2：第三方巡查服务日常考核细则表）</w:t>
      </w:r>
    </w:p>
    <w:p w14:paraId="14800E82">
      <w:pPr>
        <w:spacing w:line="360" w:lineRule="auto"/>
        <w:rPr>
          <w:szCs w:val="21"/>
        </w:rPr>
      </w:pPr>
      <w:r>
        <w:rPr>
          <w:rFonts w:hint="eastAsia"/>
          <w:szCs w:val="21"/>
        </w:rPr>
        <w:t>1、设施巡查管理（20分）</w:t>
      </w:r>
    </w:p>
    <w:p w14:paraId="0FB9406F">
      <w:pPr>
        <w:spacing w:line="360" w:lineRule="auto"/>
        <w:rPr>
          <w:szCs w:val="21"/>
        </w:rPr>
      </w:pPr>
      <w:r>
        <w:rPr>
          <w:rFonts w:hint="eastAsia"/>
          <w:szCs w:val="21"/>
        </w:rPr>
        <w:t>（1）未及时发现户外设施损坏1.5分。发现一次扣0.3分，扣完为止。</w:t>
      </w:r>
    </w:p>
    <w:p w14:paraId="50E9A66F">
      <w:pPr>
        <w:spacing w:line="360" w:lineRule="auto"/>
        <w:rPr>
          <w:szCs w:val="21"/>
        </w:rPr>
      </w:pPr>
      <w:r>
        <w:rPr>
          <w:rFonts w:hint="eastAsia"/>
          <w:szCs w:val="21"/>
        </w:rPr>
        <w:t>（2）店铺店招、户外广告设施存在安全隐患2分。发现一次扣0.4分，扣完为止。</w:t>
      </w:r>
    </w:p>
    <w:p w14:paraId="2EA2CE6F">
      <w:pPr>
        <w:spacing w:line="360" w:lineRule="auto"/>
        <w:rPr>
          <w:szCs w:val="21"/>
        </w:rPr>
      </w:pPr>
      <w:r>
        <w:rPr>
          <w:rFonts w:hint="eastAsia"/>
          <w:szCs w:val="21"/>
        </w:rPr>
        <w:t>（3）对新建和改造设施的行为，未查看相关许可，对违法违规行为未责令停止2分。发现一次扣0.4分，扣完为止。</w:t>
      </w:r>
    </w:p>
    <w:p w14:paraId="36D6578F">
      <w:pPr>
        <w:spacing w:line="360" w:lineRule="auto"/>
        <w:rPr>
          <w:szCs w:val="21"/>
        </w:rPr>
      </w:pPr>
      <w:r>
        <w:rPr>
          <w:rFonts w:hint="eastAsia"/>
          <w:szCs w:val="21"/>
        </w:rPr>
        <w:t>（4）对责任人不履行整改或设施存在重大安全隐患的，未及时向主管部门报告3分。发现一次扣0.6分，扣完为止。</w:t>
      </w:r>
    </w:p>
    <w:p w14:paraId="57E9DD9E">
      <w:pPr>
        <w:spacing w:line="360" w:lineRule="auto"/>
        <w:rPr>
          <w:szCs w:val="21"/>
        </w:rPr>
      </w:pPr>
      <w:r>
        <w:rPr>
          <w:rFonts w:hint="eastAsia"/>
          <w:szCs w:val="21"/>
        </w:rPr>
        <w:t>（5）道路窨井缺损未第一时间采取临时防护措施，未及时向主管部门报告2.5分。发现一次扣0.5分，扣完为止。</w:t>
      </w:r>
    </w:p>
    <w:p w14:paraId="41E7D9FA">
      <w:pPr>
        <w:spacing w:line="360" w:lineRule="auto"/>
        <w:rPr>
          <w:szCs w:val="21"/>
        </w:rPr>
      </w:pPr>
      <w:r>
        <w:rPr>
          <w:rFonts w:hint="eastAsia"/>
          <w:szCs w:val="21"/>
        </w:rPr>
        <w:t>（6）电线搭挂、裸露未第一时间采取临时防护措施，未及时向主管部门报告2分。发现一次扣0.4分，扣完为止。</w:t>
      </w:r>
    </w:p>
    <w:p w14:paraId="76A23504">
      <w:pPr>
        <w:spacing w:line="360" w:lineRule="auto"/>
        <w:rPr>
          <w:szCs w:val="21"/>
        </w:rPr>
      </w:pPr>
      <w:r>
        <w:rPr>
          <w:rFonts w:hint="eastAsia"/>
          <w:szCs w:val="21"/>
        </w:rPr>
        <w:t>（7）道路道板严重破损未第一时间采取临时防护措施，未及时向主管部门报告2.5分。发现一次扣0.5分，扣完为止。</w:t>
      </w:r>
    </w:p>
    <w:p w14:paraId="47D8DB8E">
      <w:pPr>
        <w:spacing w:line="360" w:lineRule="auto"/>
        <w:rPr>
          <w:szCs w:val="21"/>
        </w:rPr>
      </w:pPr>
      <w:r>
        <w:rPr>
          <w:rFonts w:hint="eastAsia"/>
          <w:szCs w:val="21"/>
        </w:rPr>
        <w:t>（8）道路有异物凸起等安全隐患未第一时间采取临时防护措施，未及时向主管部门报告2.5分。发现一次扣0.5分，扣完为止。</w:t>
      </w:r>
    </w:p>
    <w:p w14:paraId="656BAF39">
      <w:pPr>
        <w:spacing w:line="360" w:lineRule="auto"/>
        <w:rPr>
          <w:szCs w:val="21"/>
        </w:rPr>
      </w:pPr>
      <w:r>
        <w:rPr>
          <w:rFonts w:hint="eastAsia"/>
          <w:szCs w:val="21"/>
        </w:rPr>
        <w:t>（9）在管理服务区域内未及时发现违法、违章建筑2分。发现一次扣0.4分，扣完为止。</w:t>
      </w:r>
    </w:p>
    <w:p w14:paraId="6F2E1956">
      <w:pPr>
        <w:spacing w:line="360" w:lineRule="auto"/>
        <w:rPr>
          <w:szCs w:val="21"/>
        </w:rPr>
      </w:pPr>
      <w:r>
        <w:rPr>
          <w:rFonts w:hint="eastAsia"/>
          <w:szCs w:val="21"/>
        </w:rPr>
        <w:t>2、施工巡查管理（20分）</w:t>
      </w:r>
    </w:p>
    <w:p w14:paraId="568EED34">
      <w:pPr>
        <w:spacing w:line="360" w:lineRule="auto"/>
        <w:rPr>
          <w:szCs w:val="21"/>
        </w:rPr>
      </w:pPr>
      <w:r>
        <w:rPr>
          <w:rFonts w:hint="eastAsia"/>
          <w:szCs w:val="21"/>
        </w:rPr>
        <w:t>（1）对掘路施工未第一时间进行干预2分。发现一次扣0.4分，扣完为止。</w:t>
      </w:r>
    </w:p>
    <w:p w14:paraId="442ED28F">
      <w:pPr>
        <w:spacing w:line="360" w:lineRule="auto"/>
        <w:rPr>
          <w:szCs w:val="21"/>
        </w:rPr>
      </w:pPr>
      <w:r>
        <w:rPr>
          <w:rFonts w:hint="eastAsia"/>
          <w:szCs w:val="21"/>
        </w:rPr>
        <w:t>（2）未检查相关许可，未督查落实文明施工和做好完工清理工作3分。发现一次扣0.6分，扣完为止。</w:t>
      </w:r>
    </w:p>
    <w:p w14:paraId="53509CA7">
      <w:pPr>
        <w:spacing w:line="360" w:lineRule="auto"/>
        <w:rPr>
          <w:szCs w:val="21"/>
        </w:rPr>
      </w:pPr>
      <w:r>
        <w:rPr>
          <w:rFonts w:hint="eastAsia"/>
          <w:szCs w:val="21"/>
        </w:rPr>
        <w:t>（3）对违法违规施工未责令停止，未能及时向主管部门报告3分。发现一次扣0.6分，扣完为止。</w:t>
      </w:r>
    </w:p>
    <w:p w14:paraId="5696914D">
      <w:pPr>
        <w:spacing w:line="360" w:lineRule="auto"/>
        <w:rPr>
          <w:szCs w:val="21"/>
        </w:rPr>
      </w:pPr>
      <w:r>
        <w:rPr>
          <w:rFonts w:hint="eastAsia"/>
          <w:szCs w:val="21"/>
        </w:rPr>
        <w:t>（4）掘路、开挖等占道施工没有围挡遮挡和防护的3分。发现一次扣0.6分，扣完为止。</w:t>
      </w:r>
    </w:p>
    <w:p w14:paraId="6951209F">
      <w:pPr>
        <w:spacing w:line="360" w:lineRule="auto"/>
        <w:rPr>
          <w:szCs w:val="21"/>
        </w:rPr>
      </w:pPr>
      <w:r>
        <w:rPr>
          <w:rFonts w:hint="eastAsia"/>
          <w:szCs w:val="21"/>
        </w:rPr>
        <w:t>（5）施工区域周边未保持整洁2分。发现一次扣0.4分，扣完为止。</w:t>
      </w:r>
    </w:p>
    <w:p w14:paraId="685D51F2">
      <w:pPr>
        <w:spacing w:line="360" w:lineRule="auto"/>
        <w:rPr>
          <w:szCs w:val="21"/>
        </w:rPr>
      </w:pPr>
      <w:r>
        <w:rPr>
          <w:rFonts w:hint="eastAsia"/>
          <w:szCs w:val="21"/>
        </w:rPr>
        <w:t>（6）施工结束后杂物残留2分。发现一次扣0.4分，扣完为止。</w:t>
      </w:r>
    </w:p>
    <w:p w14:paraId="5F1D971D">
      <w:pPr>
        <w:spacing w:line="360" w:lineRule="auto"/>
        <w:rPr>
          <w:szCs w:val="21"/>
        </w:rPr>
      </w:pPr>
      <w:r>
        <w:rPr>
          <w:rFonts w:hint="eastAsia"/>
          <w:szCs w:val="21"/>
        </w:rPr>
        <w:t>（7）沿街商铺装修期间没有围栏围挡进行有效遮挡和防护的3分。发现一次扣0.6分，扣完为止。</w:t>
      </w:r>
    </w:p>
    <w:p w14:paraId="0D3B2A73">
      <w:pPr>
        <w:spacing w:line="360" w:lineRule="auto"/>
        <w:rPr>
          <w:szCs w:val="21"/>
        </w:rPr>
      </w:pPr>
      <w:r>
        <w:rPr>
          <w:rFonts w:hint="eastAsia"/>
          <w:szCs w:val="21"/>
        </w:rPr>
        <w:t>（8）沿街商铺装修期间对周边道路和行人造成影响2分。发现一次扣0.4分，扣完为止。</w:t>
      </w:r>
    </w:p>
    <w:p w14:paraId="31D83B5F">
      <w:pPr>
        <w:spacing w:line="360" w:lineRule="auto"/>
        <w:rPr>
          <w:szCs w:val="21"/>
        </w:rPr>
      </w:pPr>
      <w:r>
        <w:rPr>
          <w:rFonts w:hint="eastAsia"/>
          <w:szCs w:val="21"/>
        </w:rPr>
        <w:t>3、非机动车停车巡查管理（10分）</w:t>
      </w:r>
    </w:p>
    <w:p w14:paraId="4F6A6AD3">
      <w:pPr>
        <w:spacing w:line="360" w:lineRule="auto"/>
        <w:rPr>
          <w:szCs w:val="21"/>
        </w:rPr>
      </w:pPr>
      <w:r>
        <w:rPr>
          <w:rFonts w:hint="eastAsia"/>
          <w:szCs w:val="21"/>
        </w:rPr>
        <w:t>（1）街面非机动车乱停放3分。发现一次扣0.1分，扣完为止。</w:t>
      </w:r>
    </w:p>
    <w:p w14:paraId="40910D26">
      <w:pPr>
        <w:spacing w:line="360" w:lineRule="auto"/>
        <w:rPr>
          <w:szCs w:val="21"/>
        </w:rPr>
      </w:pPr>
      <w:r>
        <w:rPr>
          <w:rFonts w:hint="eastAsia"/>
          <w:szCs w:val="21"/>
        </w:rPr>
        <w:t>（2）非机动车停车点相关标识标牌和划线模糊、缺损1分。发现一次扣0.1分，扣完为止。</w:t>
      </w:r>
    </w:p>
    <w:p w14:paraId="17B2453F">
      <w:pPr>
        <w:spacing w:line="360" w:lineRule="auto"/>
        <w:rPr>
          <w:szCs w:val="21"/>
        </w:rPr>
      </w:pPr>
      <w:r>
        <w:rPr>
          <w:rFonts w:hint="eastAsia"/>
          <w:szCs w:val="21"/>
        </w:rPr>
        <w:t>（3）非机动车集中占据盲道2分。发现一次扣0.2分，扣完为止。</w:t>
      </w:r>
    </w:p>
    <w:p w14:paraId="2D173E95">
      <w:pPr>
        <w:spacing w:line="360" w:lineRule="auto"/>
        <w:rPr>
          <w:szCs w:val="21"/>
        </w:rPr>
      </w:pPr>
      <w:r>
        <w:rPr>
          <w:rFonts w:hint="eastAsia"/>
          <w:szCs w:val="21"/>
        </w:rPr>
        <w:t>（4）机动车停车位内停放非机动车或摩托车2分，发现一次扣0.2分，扣完为止。</w:t>
      </w:r>
    </w:p>
    <w:p w14:paraId="6FC8928C">
      <w:pPr>
        <w:spacing w:line="360" w:lineRule="auto"/>
        <w:rPr>
          <w:szCs w:val="21"/>
        </w:rPr>
      </w:pPr>
      <w:r>
        <w:rPr>
          <w:rFonts w:hint="eastAsia"/>
          <w:szCs w:val="21"/>
        </w:rPr>
        <w:t>（5）机动车停车位内堆物2分，发现一次扣0.2分，扣完为止。</w:t>
      </w:r>
    </w:p>
    <w:p w14:paraId="7CAAFC71">
      <w:pPr>
        <w:spacing w:line="360" w:lineRule="auto"/>
        <w:rPr>
          <w:szCs w:val="21"/>
        </w:rPr>
      </w:pPr>
      <w:r>
        <w:rPr>
          <w:rFonts w:hint="eastAsia"/>
          <w:szCs w:val="21"/>
        </w:rPr>
        <w:t>4、环卫市容巡查管理（23分）</w:t>
      </w:r>
    </w:p>
    <w:p w14:paraId="46A3775B">
      <w:pPr>
        <w:spacing w:line="360" w:lineRule="auto"/>
        <w:rPr>
          <w:szCs w:val="21"/>
        </w:rPr>
      </w:pPr>
      <w:r>
        <w:rPr>
          <w:rFonts w:hint="eastAsia"/>
          <w:szCs w:val="21"/>
        </w:rPr>
        <w:t>（1）护栏、电杆等道路附属设施及街面建（构）筑物表面乱张贴0.5分。发现一次扣0.1分，扣完为止。</w:t>
      </w:r>
    </w:p>
    <w:p w14:paraId="0826C517">
      <w:pPr>
        <w:spacing w:line="360" w:lineRule="auto"/>
        <w:rPr>
          <w:szCs w:val="21"/>
        </w:rPr>
      </w:pPr>
      <w:r>
        <w:rPr>
          <w:rFonts w:hint="eastAsia"/>
          <w:szCs w:val="21"/>
        </w:rPr>
        <w:t>（2）护栏、电杆等道路附属设施及街面建（构）筑物表面乱张挂0.5分。发现一次扣0.1分，扣完为止。</w:t>
      </w:r>
    </w:p>
    <w:p w14:paraId="5263AD77">
      <w:pPr>
        <w:spacing w:line="360" w:lineRule="auto"/>
        <w:rPr>
          <w:szCs w:val="21"/>
        </w:rPr>
      </w:pPr>
      <w:r>
        <w:rPr>
          <w:rFonts w:hint="eastAsia"/>
          <w:szCs w:val="21"/>
        </w:rPr>
        <w:t>（3）护栏、电杆等道路附属设施及街面建（构）筑物表面乱涂写0.5分。发现一次扣0.1分，扣完为止。</w:t>
      </w:r>
    </w:p>
    <w:p w14:paraId="55028B37">
      <w:pPr>
        <w:spacing w:line="360" w:lineRule="auto"/>
        <w:rPr>
          <w:szCs w:val="21"/>
        </w:rPr>
      </w:pPr>
      <w:r>
        <w:rPr>
          <w:rFonts w:hint="eastAsia"/>
          <w:szCs w:val="21"/>
        </w:rPr>
        <w:t>（4）护栏、电杆等道路附属设施及街面建（构）筑物表面乱刻画0.5分。发现一次扣0.1分，扣完为止。</w:t>
      </w:r>
    </w:p>
    <w:p w14:paraId="5DA3A6C7">
      <w:pPr>
        <w:spacing w:line="360" w:lineRule="auto"/>
        <w:rPr>
          <w:szCs w:val="21"/>
        </w:rPr>
      </w:pPr>
      <w:r>
        <w:rPr>
          <w:rFonts w:hint="eastAsia"/>
          <w:szCs w:val="21"/>
        </w:rPr>
        <w:t>（5）街面及道路公共区域乱设摊（包括以车辆为载体的流动摊点）1分。发现一次扣0.2分，扣完为止。</w:t>
      </w:r>
    </w:p>
    <w:p w14:paraId="6A420C6A">
      <w:pPr>
        <w:spacing w:line="360" w:lineRule="auto"/>
        <w:rPr>
          <w:szCs w:val="21"/>
        </w:rPr>
      </w:pPr>
      <w:r>
        <w:rPr>
          <w:rFonts w:hint="eastAsia"/>
          <w:szCs w:val="21"/>
        </w:rPr>
        <w:t>（6）街面及道路公共区域乱堆乱放物品1分。发现一次扣0.2分，扣完为止。</w:t>
      </w:r>
    </w:p>
    <w:p w14:paraId="02E31C79">
      <w:pPr>
        <w:spacing w:line="360" w:lineRule="auto"/>
        <w:rPr>
          <w:szCs w:val="21"/>
        </w:rPr>
      </w:pPr>
      <w:r>
        <w:rPr>
          <w:rFonts w:hint="eastAsia"/>
          <w:szCs w:val="21"/>
        </w:rPr>
        <w:t>（7）街面及道路公共区域占道（跨门）经营1分。发现一次扣0.2分，扣完为止。</w:t>
      </w:r>
    </w:p>
    <w:p w14:paraId="5DC7F8E4">
      <w:pPr>
        <w:spacing w:line="360" w:lineRule="auto"/>
        <w:rPr>
          <w:szCs w:val="21"/>
        </w:rPr>
      </w:pPr>
      <w:r>
        <w:rPr>
          <w:rFonts w:hint="eastAsia"/>
          <w:szCs w:val="21"/>
        </w:rPr>
        <w:t>（8）沿街建（构）筑物上拉挂条幅1.5分，发现一次扣0.3分，扣完为止。</w:t>
      </w:r>
    </w:p>
    <w:p w14:paraId="5BA41FBD">
      <w:pPr>
        <w:spacing w:line="360" w:lineRule="auto"/>
        <w:rPr>
          <w:szCs w:val="21"/>
        </w:rPr>
      </w:pPr>
      <w:r>
        <w:rPr>
          <w:rFonts w:hint="eastAsia"/>
          <w:szCs w:val="21"/>
        </w:rPr>
        <w:t>（9）擅自设置招牌、广告等设施2分。发现一次扣0.4分，扣完为止。</w:t>
      </w:r>
    </w:p>
    <w:p w14:paraId="42628F7E">
      <w:pPr>
        <w:spacing w:line="360" w:lineRule="auto"/>
        <w:rPr>
          <w:szCs w:val="21"/>
        </w:rPr>
      </w:pPr>
      <w:r>
        <w:rPr>
          <w:rFonts w:hint="eastAsia"/>
          <w:szCs w:val="21"/>
        </w:rPr>
        <w:t>（10）利用市政公用设施、树木植被等晾晒衣物1.5分，发现一次扣0.3分，扣完为止。</w:t>
      </w:r>
    </w:p>
    <w:p w14:paraId="5A27BBF3">
      <w:pPr>
        <w:spacing w:line="360" w:lineRule="auto"/>
        <w:rPr>
          <w:szCs w:val="21"/>
        </w:rPr>
      </w:pPr>
      <w:r>
        <w:rPr>
          <w:rFonts w:hint="eastAsia"/>
          <w:szCs w:val="21"/>
        </w:rPr>
        <w:t>（11）晾晒自备衣架，妨碍道路和行人通行1.5分，发现一次扣0.3分，扣完为止。</w:t>
      </w:r>
    </w:p>
    <w:p w14:paraId="416237B0">
      <w:pPr>
        <w:spacing w:line="360" w:lineRule="auto"/>
        <w:rPr>
          <w:szCs w:val="21"/>
        </w:rPr>
      </w:pPr>
      <w:r>
        <w:rPr>
          <w:rFonts w:hint="eastAsia"/>
          <w:szCs w:val="21"/>
        </w:rPr>
        <w:t>（12）街头散发小广告1分，发现一次扣0.2分，扣完为止。</w:t>
      </w:r>
    </w:p>
    <w:p w14:paraId="6FFF2FAE">
      <w:pPr>
        <w:spacing w:line="360" w:lineRule="auto"/>
        <w:rPr>
          <w:szCs w:val="21"/>
        </w:rPr>
      </w:pPr>
      <w:r>
        <w:rPr>
          <w:rFonts w:hint="eastAsia"/>
          <w:szCs w:val="21"/>
        </w:rPr>
        <w:t>（13）街头发放宣传品、物品1分，发现一次扣0.2分，扣完为止。</w:t>
      </w:r>
    </w:p>
    <w:p w14:paraId="2BD510C3">
      <w:pPr>
        <w:spacing w:line="360" w:lineRule="auto"/>
        <w:rPr>
          <w:szCs w:val="21"/>
        </w:rPr>
      </w:pPr>
      <w:r>
        <w:rPr>
          <w:rFonts w:hint="eastAsia"/>
          <w:szCs w:val="21"/>
        </w:rPr>
        <w:t>（14）存在乱倒乱放垃圾现象1分，发现一次扣0.2分，扣完为止。</w:t>
      </w:r>
    </w:p>
    <w:p w14:paraId="27F0C7B5">
      <w:pPr>
        <w:spacing w:line="360" w:lineRule="auto"/>
        <w:rPr>
          <w:szCs w:val="21"/>
        </w:rPr>
      </w:pPr>
      <w:r>
        <w:rPr>
          <w:rFonts w:hint="eastAsia"/>
          <w:szCs w:val="21"/>
        </w:rPr>
        <w:t>（15）存在占用店外绿化现象1分，发现一次扣0.2分，扣完为止。</w:t>
      </w:r>
    </w:p>
    <w:p w14:paraId="5B2A2D70">
      <w:pPr>
        <w:spacing w:line="360" w:lineRule="auto"/>
        <w:rPr>
          <w:szCs w:val="21"/>
        </w:rPr>
      </w:pPr>
      <w:r>
        <w:rPr>
          <w:rFonts w:hint="eastAsia"/>
          <w:szCs w:val="21"/>
        </w:rPr>
        <w:t>（16）存在占用树穴现象0.5分。发现一次扣0.1分，扣完为止。</w:t>
      </w:r>
    </w:p>
    <w:p w14:paraId="7C1E14D9">
      <w:pPr>
        <w:spacing w:line="360" w:lineRule="auto"/>
        <w:rPr>
          <w:szCs w:val="21"/>
        </w:rPr>
      </w:pPr>
      <w:r>
        <w:rPr>
          <w:rFonts w:hint="eastAsia"/>
          <w:szCs w:val="21"/>
        </w:rPr>
        <w:t>（17）公共设施放置垃圾容器及扫帚、拖把、簸箕等物品0.5分。发现一次扣0.1分，扣完为止。</w:t>
      </w:r>
    </w:p>
    <w:p w14:paraId="2912D001">
      <w:pPr>
        <w:spacing w:line="360" w:lineRule="auto"/>
        <w:rPr>
          <w:szCs w:val="21"/>
        </w:rPr>
      </w:pPr>
      <w:r>
        <w:rPr>
          <w:rFonts w:hint="eastAsia"/>
          <w:szCs w:val="21"/>
        </w:rPr>
        <w:t>（18）商铺垃圾容器满溢、散落现象1分，发现一次扣0.2分，扣完为止。</w:t>
      </w:r>
    </w:p>
    <w:p w14:paraId="51C283EA">
      <w:pPr>
        <w:spacing w:line="360" w:lineRule="auto"/>
        <w:rPr>
          <w:szCs w:val="21"/>
        </w:rPr>
      </w:pPr>
      <w:r>
        <w:rPr>
          <w:rFonts w:hint="eastAsia"/>
          <w:szCs w:val="21"/>
        </w:rPr>
        <w:t>（19）未及时发现大宗渣土并通知相关部门和企业进行处置2分。发现一次扣0.4分，扣完为止。</w:t>
      </w:r>
    </w:p>
    <w:p w14:paraId="2E4B81C6">
      <w:pPr>
        <w:spacing w:line="360" w:lineRule="auto"/>
        <w:rPr>
          <w:szCs w:val="21"/>
        </w:rPr>
      </w:pPr>
      <w:r>
        <w:rPr>
          <w:rFonts w:hint="eastAsia"/>
          <w:szCs w:val="21"/>
        </w:rPr>
        <w:t>（20）未及时发现建筑装潢垃圾并通知相关部门和企业进行处置2分。发现一次扣0.4分，扣完为止。</w:t>
      </w:r>
    </w:p>
    <w:p w14:paraId="21BE53A3">
      <w:pPr>
        <w:spacing w:line="360" w:lineRule="auto"/>
        <w:rPr>
          <w:szCs w:val="21"/>
        </w:rPr>
      </w:pPr>
      <w:r>
        <w:rPr>
          <w:rFonts w:hint="eastAsia"/>
          <w:szCs w:val="21"/>
        </w:rPr>
        <w:t>（21）未及时发现绿化废弃物并通知相关部门和企业进行处置1.5分，发现一次扣0.3分，扣完为止。</w:t>
      </w:r>
    </w:p>
    <w:p w14:paraId="1D9B4B5D">
      <w:pPr>
        <w:spacing w:line="360" w:lineRule="auto"/>
        <w:rPr>
          <w:szCs w:val="21"/>
        </w:rPr>
      </w:pPr>
      <w:r>
        <w:rPr>
          <w:rFonts w:hint="eastAsia"/>
          <w:szCs w:val="21"/>
        </w:rPr>
        <w:t>5、责任制落实及其他（12分）</w:t>
      </w:r>
    </w:p>
    <w:p w14:paraId="69A6FCA2">
      <w:pPr>
        <w:spacing w:line="360" w:lineRule="auto"/>
        <w:rPr>
          <w:szCs w:val="21"/>
        </w:rPr>
      </w:pPr>
      <w:r>
        <w:rPr>
          <w:rFonts w:hint="eastAsia"/>
          <w:szCs w:val="21"/>
        </w:rPr>
        <w:t>（1）按照14大类，250小类，问题未做到先行发现，未及时用PDA手机上传城运中心，做到应发现、尽发现、快处置的2分。发现一次扣0.2分，扣完为止。</w:t>
      </w:r>
    </w:p>
    <w:p w14:paraId="4636C87D">
      <w:pPr>
        <w:spacing w:line="360" w:lineRule="auto"/>
        <w:rPr>
          <w:szCs w:val="21"/>
        </w:rPr>
      </w:pPr>
      <w:r>
        <w:rPr>
          <w:rFonts w:hint="eastAsia"/>
          <w:szCs w:val="21"/>
        </w:rPr>
        <w:t>（2）日常街面巡查时间为6:00-24:00，未按照日常街面巡查时间及时到岗到位1.5分。发现一次扣0.3分，扣完为止。</w:t>
      </w:r>
    </w:p>
    <w:p w14:paraId="3EB643FE">
      <w:pPr>
        <w:spacing w:line="360" w:lineRule="auto"/>
        <w:rPr>
          <w:szCs w:val="21"/>
        </w:rPr>
      </w:pPr>
      <w:r>
        <w:rPr>
          <w:rFonts w:hint="eastAsia"/>
          <w:szCs w:val="21"/>
        </w:rPr>
        <w:t>（3）根据季节、街面特点和主管部门部署要求，未及时作出重点巡查时间1分，发现一次扣0.2分，扣完为止。</w:t>
      </w:r>
    </w:p>
    <w:p w14:paraId="715B4648">
      <w:pPr>
        <w:spacing w:line="360" w:lineRule="auto"/>
        <w:rPr>
          <w:szCs w:val="21"/>
        </w:rPr>
      </w:pPr>
      <w:r>
        <w:rPr>
          <w:rFonts w:hint="eastAsia"/>
          <w:szCs w:val="21"/>
        </w:rPr>
        <w:t>（4）问题多发、易发重点区域未适时安排专守人员和加强巡查、追查1.5分。发现一次扣0.3分，扣完为止。</w:t>
      </w:r>
    </w:p>
    <w:p w14:paraId="55A41E48">
      <w:pPr>
        <w:spacing w:line="360" w:lineRule="auto"/>
        <w:rPr>
          <w:szCs w:val="21"/>
        </w:rPr>
      </w:pPr>
      <w:r>
        <w:rPr>
          <w:rFonts w:hint="eastAsia"/>
          <w:szCs w:val="21"/>
        </w:rPr>
        <w:t>（5）参与辖区城市网格化综合管理工作落实不到位2分。发现一次扣0.4分，扣完为止。</w:t>
      </w:r>
    </w:p>
    <w:p w14:paraId="142AA02D">
      <w:pPr>
        <w:spacing w:line="360" w:lineRule="auto"/>
        <w:rPr>
          <w:szCs w:val="21"/>
        </w:rPr>
      </w:pPr>
      <w:r>
        <w:rPr>
          <w:rFonts w:hint="eastAsia"/>
          <w:szCs w:val="21"/>
        </w:rPr>
        <w:t>（6）开展城市管理相关专项治理、保障、维稳等工作落实不到位2分。发现一次扣0.4分，扣完为止。</w:t>
      </w:r>
    </w:p>
    <w:p w14:paraId="424FA707">
      <w:pPr>
        <w:spacing w:line="360" w:lineRule="auto"/>
        <w:rPr>
          <w:szCs w:val="21"/>
        </w:rPr>
      </w:pPr>
      <w:r>
        <w:rPr>
          <w:rFonts w:hint="eastAsia"/>
          <w:szCs w:val="21"/>
        </w:rPr>
        <w:t>（7）未积极参与落实政府创全复审、进博会和全国卫生镇复审等镇党委政府相关工作2分。发现一次扣0.4分，扣完为止。</w:t>
      </w:r>
    </w:p>
    <w:p w14:paraId="04C798BB">
      <w:pPr>
        <w:spacing w:line="360" w:lineRule="auto"/>
        <w:rPr>
          <w:szCs w:val="21"/>
        </w:rPr>
      </w:pPr>
      <w:r>
        <w:rPr>
          <w:rFonts w:hint="eastAsia"/>
          <w:szCs w:val="21"/>
        </w:rPr>
        <w:t>6、预防和应急管理（15分）</w:t>
      </w:r>
    </w:p>
    <w:p w14:paraId="783AE199">
      <w:pPr>
        <w:spacing w:line="360" w:lineRule="auto"/>
        <w:rPr>
          <w:szCs w:val="21"/>
        </w:rPr>
      </w:pPr>
      <w:r>
        <w:rPr>
          <w:rFonts w:hint="eastAsia"/>
          <w:szCs w:val="21"/>
        </w:rPr>
        <w:t>（1）未建立建全内部管理体制机制，确保各项管理和服务有序平稳1.5分。发现一次扣0.3分，扣完为止。</w:t>
      </w:r>
    </w:p>
    <w:p w14:paraId="05ED961C">
      <w:pPr>
        <w:spacing w:line="360" w:lineRule="auto"/>
        <w:rPr>
          <w:szCs w:val="21"/>
        </w:rPr>
      </w:pPr>
      <w:r>
        <w:rPr>
          <w:rFonts w:hint="eastAsia"/>
          <w:szCs w:val="21"/>
        </w:rPr>
        <w:t>（2）未切实做好从业人员信息登记管理（须向赵巷镇人民政府报备）1.5分。发现一次扣0.3分，扣完为止。</w:t>
      </w:r>
    </w:p>
    <w:p w14:paraId="06A45677">
      <w:pPr>
        <w:spacing w:line="360" w:lineRule="auto"/>
        <w:rPr>
          <w:szCs w:val="21"/>
        </w:rPr>
      </w:pPr>
      <w:r>
        <w:rPr>
          <w:rFonts w:hint="eastAsia"/>
          <w:szCs w:val="21"/>
        </w:rPr>
        <w:t>（3）未常态化开展从业者教育培训1.5分。发现一次扣0.3分，扣完为止。</w:t>
      </w:r>
    </w:p>
    <w:p w14:paraId="6995BFBC">
      <w:pPr>
        <w:spacing w:line="360" w:lineRule="auto"/>
        <w:rPr>
          <w:szCs w:val="21"/>
        </w:rPr>
      </w:pPr>
      <w:r>
        <w:rPr>
          <w:rFonts w:hint="eastAsia"/>
          <w:szCs w:val="21"/>
        </w:rPr>
        <w:t>（4）从业者在工作中作风、纪律未落实到位，未依法、规范、文明开展各项管理和服务的2分。发现一次扣0.4分，扣完为止。</w:t>
      </w:r>
    </w:p>
    <w:p w14:paraId="30E98B74">
      <w:pPr>
        <w:spacing w:line="360" w:lineRule="auto"/>
        <w:rPr>
          <w:szCs w:val="21"/>
        </w:rPr>
      </w:pPr>
      <w:r>
        <w:rPr>
          <w:rFonts w:hint="eastAsia"/>
          <w:szCs w:val="21"/>
        </w:rPr>
        <w:t>（5）对待管理服务对象缺乏有理有节、不卑不亢的态度1.5分。发现一次扣0.3分，扣完为止。</w:t>
      </w:r>
    </w:p>
    <w:p w14:paraId="0A97BA29">
      <w:pPr>
        <w:spacing w:line="360" w:lineRule="auto"/>
        <w:rPr>
          <w:szCs w:val="21"/>
        </w:rPr>
      </w:pPr>
      <w:r>
        <w:rPr>
          <w:rFonts w:hint="eastAsia"/>
          <w:szCs w:val="21"/>
        </w:rPr>
        <w:t>（6）未建立应急队伍2分。发现一次扣0.4分，扣完为止。</w:t>
      </w:r>
    </w:p>
    <w:p w14:paraId="79CD6246">
      <w:pPr>
        <w:spacing w:line="360" w:lineRule="auto"/>
        <w:rPr>
          <w:szCs w:val="21"/>
        </w:rPr>
      </w:pPr>
      <w:r>
        <w:rPr>
          <w:rFonts w:hint="eastAsia"/>
          <w:szCs w:val="21"/>
        </w:rPr>
        <w:t>（7）未建立应急管理体系2分。发现一次扣0.4分，扣完为止。</w:t>
      </w:r>
    </w:p>
    <w:p w14:paraId="57401E26">
      <w:pPr>
        <w:spacing w:line="360" w:lineRule="auto"/>
        <w:rPr>
          <w:szCs w:val="21"/>
        </w:rPr>
      </w:pPr>
      <w:r>
        <w:rPr>
          <w:rFonts w:hint="eastAsia"/>
          <w:szCs w:val="21"/>
        </w:rPr>
        <w:t>（8）遇特殊天气、重要保障和突发情况时，应急人力、物力未能快速响应到位，未及时排除安全隐患，尽可能减少城市区域受影响的程度3分。发现一次扣0.6分，扣完为止。</w:t>
      </w:r>
    </w:p>
    <w:p w14:paraId="51D1886C">
      <w:pPr>
        <w:spacing w:line="360" w:lineRule="auto"/>
        <w:rPr>
          <w:szCs w:val="21"/>
        </w:rPr>
      </w:pPr>
      <w:r>
        <w:rPr>
          <w:rFonts w:hint="eastAsia"/>
          <w:szCs w:val="21"/>
        </w:rPr>
        <w:t>六、其他</w:t>
      </w:r>
    </w:p>
    <w:p w14:paraId="6E6B714C">
      <w:pPr>
        <w:spacing w:line="360" w:lineRule="auto"/>
        <w:ind w:firstLine="420" w:firstLineChars="200"/>
        <w:rPr>
          <w:szCs w:val="21"/>
        </w:rPr>
      </w:pPr>
      <w:r>
        <w:rPr>
          <w:rFonts w:hint="eastAsia"/>
          <w:szCs w:val="21"/>
        </w:rPr>
        <w:t>未尽事宜由镇城运中心讨论决定。按照14大类，250小类，问题未做到应发现、尽发现、快处置的，由我镇城运中心督查小组商议决定，并按照实际情况进行相关扣分。</w:t>
      </w:r>
    </w:p>
    <w:p w14:paraId="2AE65730">
      <w:pPr>
        <w:spacing w:line="360" w:lineRule="auto"/>
      </w:pPr>
    </w:p>
    <w:p w14:paraId="56BDAC80">
      <w:pPr>
        <w:rPr>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3516173"/>
    </w:sdtPr>
    <w:sdtContent>
      <w:p w14:paraId="1C0EBC0F">
        <w:pPr>
          <w:pStyle w:val="3"/>
          <w:jc w:val="center"/>
        </w:pPr>
        <w:r>
          <w:fldChar w:fldCharType="begin"/>
        </w:r>
        <w:r>
          <w:instrText xml:space="preserve">PAGE   \* MERGEFORMAT</w:instrText>
        </w:r>
        <w:r>
          <w:fldChar w:fldCharType="separate"/>
        </w:r>
        <w:r>
          <w:rPr>
            <w:lang w:val="zh-CN"/>
          </w:rPr>
          <w:t>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18E"/>
    <w:rsid w:val="00014D87"/>
    <w:rsid w:val="000234EF"/>
    <w:rsid w:val="00032F71"/>
    <w:rsid w:val="00051919"/>
    <w:rsid w:val="000D36C1"/>
    <w:rsid w:val="0016502F"/>
    <w:rsid w:val="001A4BC1"/>
    <w:rsid w:val="001C732C"/>
    <w:rsid w:val="001E2734"/>
    <w:rsid w:val="001E69A4"/>
    <w:rsid w:val="00210668"/>
    <w:rsid w:val="00245595"/>
    <w:rsid w:val="00275937"/>
    <w:rsid w:val="00281475"/>
    <w:rsid w:val="002C4C22"/>
    <w:rsid w:val="002D1DD6"/>
    <w:rsid w:val="002E0DC3"/>
    <w:rsid w:val="002F081B"/>
    <w:rsid w:val="002F0901"/>
    <w:rsid w:val="00306C0A"/>
    <w:rsid w:val="00357472"/>
    <w:rsid w:val="0036504B"/>
    <w:rsid w:val="00372B00"/>
    <w:rsid w:val="0037334B"/>
    <w:rsid w:val="00376B8D"/>
    <w:rsid w:val="003900E2"/>
    <w:rsid w:val="00394CC5"/>
    <w:rsid w:val="003E5679"/>
    <w:rsid w:val="003F06F6"/>
    <w:rsid w:val="003F421C"/>
    <w:rsid w:val="004048EF"/>
    <w:rsid w:val="004108A5"/>
    <w:rsid w:val="00463C2B"/>
    <w:rsid w:val="004832CC"/>
    <w:rsid w:val="004A375E"/>
    <w:rsid w:val="004C1D0E"/>
    <w:rsid w:val="00554590"/>
    <w:rsid w:val="00592072"/>
    <w:rsid w:val="005F02E8"/>
    <w:rsid w:val="006759F5"/>
    <w:rsid w:val="00687F58"/>
    <w:rsid w:val="006A320A"/>
    <w:rsid w:val="0073055D"/>
    <w:rsid w:val="007307C3"/>
    <w:rsid w:val="0074779C"/>
    <w:rsid w:val="00753257"/>
    <w:rsid w:val="00770CC3"/>
    <w:rsid w:val="007777B6"/>
    <w:rsid w:val="00780C1A"/>
    <w:rsid w:val="007A2906"/>
    <w:rsid w:val="007B050A"/>
    <w:rsid w:val="007B3957"/>
    <w:rsid w:val="00831977"/>
    <w:rsid w:val="008A0A8E"/>
    <w:rsid w:val="008F195D"/>
    <w:rsid w:val="00901E45"/>
    <w:rsid w:val="00913096"/>
    <w:rsid w:val="00934697"/>
    <w:rsid w:val="00963A87"/>
    <w:rsid w:val="009C36F1"/>
    <w:rsid w:val="009D458F"/>
    <w:rsid w:val="00A86018"/>
    <w:rsid w:val="00A94F16"/>
    <w:rsid w:val="00AB10CA"/>
    <w:rsid w:val="00AB3202"/>
    <w:rsid w:val="00AC66F8"/>
    <w:rsid w:val="00AD070D"/>
    <w:rsid w:val="00AD249C"/>
    <w:rsid w:val="00AD33BA"/>
    <w:rsid w:val="00B15040"/>
    <w:rsid w:val="00B4576F"/>
    <w:rsid w:val="00B472E3"/>
    <w:rsid w:val="00B866B2"/>
    <w:rsid w:val="00BB0978"/>
    <w:rsid w:val="00BC3360"/>
    <w:rsid w:val="00BE618E"/>
    <w:rsid w:val="00C2691F"/>
    <w:rsid w:val="00C35FBE"/>
    <w:rsid w:val="00C4324F"/>
    <w:rsid w:val="00C737DA"/>
    <w:rsid w:val="00C90E1C"/>
    <w:rsid w:val="00CA4F40"/>
    <w:rsid w:val="00CB16CB"/>
    <w:rsid w:val="00CE690B"/>
    <w:rsid w:val="00D01659"/>
    <w:rsid w:val="00D17787"/>
    <w:rsid w:val="00D435D8"/>
    <w:rsid w:val="00D55B15"/>
    <w:rsid w:val="00D728DF"/>
    <w:rsid w:val="00DB3433"/>
    <w:rsid w:val="00E35C13"/>
    <w:rsid w:val="00E611A7"/>
    <w:rsid w:val="00E94B30"/>
    <w:rsid w:val="00E9573D"/>
    <w:rsid w:val="00EB2057"/>
    <w:rsid w:val="00EE41C1"/>
    <w:rsid w:val="00F90232"/>
    <w:rsid w:val="00FE460B"/>
    <w:rsid w:val="00FE7803"/>
    <w:rsid w:val="171C78D4"/>
    <w:rsid w:val="24D01C55"/>
    <w:rsid w:val="43A923DF"/>
    <w:rsid w:val="4B58535D"/>
    <w:rsid w:val="4E282611"/>
    <w:rsid w:val="51B763B7"/>
    <w:rsid w:val="559350C7"/>
    <w:rsid w:val="64274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line="500" w:lineRule="exact"/>
      <w:jc w:val="left"/>
    </w:pPr>
    <w:rPr>
      <w:rFonts w:ascii="宋体" w:hAnsi="宋体" w:eastAsia="宋体" w:cs="Times New Roman"/>
      <w:color w:val="000000"/>
      <w:kern w:val="0"/>
      <w:szCs w:val="20"/>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批注框文本 字符"/>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4A3DE-CFE6-4078-8F35-35829D85B3C2}">
  <ds:schemaRefs/>
</ds:datastoreItem>
</file>

<file path=docProps/app.xml><?xml version="1.0" encoding="utf-8"?>
<Properties xmlns="http://schemas.openxmlformats.org/officeDocument/2006/extended-properties" xmlns:vt="http://schemas.openxmlformats.org/officeDocument/2006/docPropsVTypes">
  <Template>Normal</Template>
  <Pages>11</Pages>
  <Words>5677</Words>
  <Characters>5866</Characters>
  <Lines>192</Lines>
  <Paragraphs>203</Paragraphs>
  <TotalTime>0</TotalTime>
  <ScaleCrop>false</ScaleCrop>
  <LinksUpToDate>false</LinksUpToDate>
  <CharactersWithSpaces>5879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2020-01-21T03:20:00Z</dcterms:created>
  <dc:creator>CXK</dc:creator>
  <cp:lastModifiedBy>dajun</cp:lastModifiedBy>
  <cp:lastPrinted>2020-02-10T05:50:00Z</cp:lastPrinted>
  <dcterms:modified xsi:type="dcterms:W3CDTF">2025-11-17T01:38:34Z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eyJoZGlkIjoiZjIxMmViNWZhMDc2ZThjMmU5NzMyMzg5MDY5YzE0ZDkiLCJ1c2VySWQiOiIzMjQ1ODAzMTIifQ==</vt:lpwstr>
  </property>
  <property fmtid="{D5CDD505-2E9C-101B-9397-08002B2CF9AE}" pid="3" name="KSOProductBuildVer">
    <vt:lpwstr>2052-12.1.0.23542</vt:lpwstr>
  </property>
  <property fmtid="{D5CDD505-2E9C-101B-9397-08002B2CF9AE}" pid="4" name="ICV">
    <vt:lpwstr>F3F698A2ECB044438F36B31CF2880FFF_13</vt:lpwstr>
  </property>
</Properties>
</file>