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F5F" w:rsidRPr="000A2A30" w:rsidRDefault="000B7F5F" w:rsidP="000B7F5F">
      <w:pPr>
        <w:numPr>
          <w:ilvl w:val="0"/>
          <w:numId w:val="1"/>
        </w:numPr>
        <w:adjustRightInd w:val="0"/>
        <w:snapToGrid w:val="0"/>
        <w:spacing w:beforeLines="100" w:before="312" w:line="360" w:lineRule="auto"/>
        <w:rPr>
          <w:rFonts w:ascii="宋体" w:hAnsi="宋体"/>
          <w:b/>
          <w:sz w:val="24"/>
          <w:szCs w:val="24"/>
        </w:rPr>
      </w:pPr>
      <w:r w:rsidRPr="000A2A30">
        <w:rPr>
          <w:rFonts w:ascii="宋体" w:hAnsi="宋体" w:hint="eastAsia"/>
          <w:b/>
          <w:sz w:val="24"/>
          <w:szCs w:val="24"/>
        </w:rPr>
        <w:t>项目概况</w:t>
      </w:r>
    </w:p>
    <w:p w:rsidR="000B7F5F" w:rsidRPr="000A2A30" w:rsidRDefault="000B7F5F" w:rsidP="000B7F5F">
      <w:pPr>
        <w:snapToGrid w:val="0"/>
        <w:spacing w:line="360" w:lineRule="auto"/>
        <w:rPr>
          <w:rFonts w:ascii="宋体" w:hAnsi="宋体" w:hint="eastAsia"/>
          <w:sz w:val="24"/>
          <w:szCs w:val="24"/>
        </w:rPr>
      </w:pPr>
      <w:r w:rsidRPr="000A2A30">
        <w:rPr>
          <w:rFonts w:ascii="宋体" w:hAnsi="宋体" w:hint="eastAsia"/>
          <w:sz w:val="24"/>
          <w:szCs w:val="24"/>
        </w:rPr>
        <w:t>1.1项目名称：详见“投标邀请”。</w:t>
      </w:r>
    </w:p>
    <w:p w:rsidR="000B7F5F" w:rsidRPr="000A2A30" w:rsidRDefault="000B7F5F" w:rsidP="000B7F5F">
      <w:pPr>
        <w:snapToGrid w:val="0"/>
        <w:spacing w:line="360" w:lineRule="auto"/>
        <w:rPr>
          <w:rFonts w:ascii="宋体" w:hAnsi="宋体" w:hint="eastAsia"/>
          <w:sz w:val="24"/>
          <w:szCs w:val="24"/>
        </w:rPr>
      </w:pPr>
      <w:r w:rsidRPr="000A2A30">
        <w:rPr>
          <w:rFonts w:ascii="宋体" w:hAnsi="宋体" w:hint="eastAsia"/>
          <w:sz w:val="24"/>
          <w:szCs w:val="24"/>
        </w:rPr>
        <w:t>1.2项目主要内容及项目基本概况介绍：详见“投标邀请”。</w:t>
      </w:r>
    </w:p>
    <w:p w:rsidR="000B7F5F" w:rsidRPr="000A2A30" w:rsidRDefault="000B7F5F" w:rsidP="000B7F5F">
      <w:pPr>
        <w:snapToGrid w:val="0"/>
        <w:spacing w:line="360" w:lineRule="auto"/>
        <w:rPr>
          <w:rFonts w:ascii="宋体" w:hAnsi="宋体" w:hint="eastAsia"/>
          <w:sz w:val="24"/>
          <w:szCs w:val="24"/>
        </w:rPr>
      </w:pPr>
      <w:r w:rsidRPr="000A2A30">
        <w:rPr>
          <w:rFonts w:ascii="宋体" w:hAnsi="宋体" w:hint="eastAsia"/>
          <w:sz w:val="24"/>
          <w:szCs w:val="24"/>
        </w:rPr>
        <w:t>1.3服务期：详见“投标邀请”。</w:t>
      </w:r>
    </w:p>
    <w:p w:rsidR="000B7F5F" w:rsidRPr="000A2A30" w:rsidRDefault="000B7F5F" w:rsidP="000B7F5F">
      <w:pPr>
        <w:snapToGrid w:val="0"/>
        <w:spacing w:line="360" w:lineRule="auto"/>
        <w:rPr>
          <w:rFonts w:ascii="宋体" w:hAnsi="宋体" w:hint="eastAsia"/>
          <w:sz w:val="24"/>
          <w:szCs w:val="24"/>
        </w:rPr>
      </w:pPr>
      <w:r w:rsidRPr="000A2A30">
        <w:rPr>
          <w:rFonts w:ascii="宋体" w:hAnsi="宋体" w:hint="eastAsia"/>
          <w:sz w:val="24"/>
          <w:szCs w:val="24"/>
        </w:rPr>
        <w:t>1.4结算方式：本项目中标人在采购的范围和内容，以包质、包量、包安全、包人力成本、包消耗材料等工作内容的方式实施项目承包。</w:t>
      </w:r>
    </w:p>
    <w:p w:rsidR="000B7F5F" w:rsidRPr="000A2A30" w:rsidRDefault="000B7F5F" w:rsidP="000B7F5F">
      <w:pPr>
        <w:snapToGrid w:val="0"/>
        <w:spacing w:line="360" w:lineRule="auto"/>
        <w:rPr>
          <w:rFonts w:ascii="宋体" w:hAnsi="宋体" w:hint="eastAsia"/>
          <w:sz w:val="24"/>
          <w:szCs w:val="24"/>
        </w:rPr>
      </w:pPr>
      <w:r w:rsidRPr="000A2A30">
        <w:rPr>
          <w:rFonts w:ascii="宋体" w:hAnsi="宋体" w:hint="eastAsia"/>
          <w:sz w:val="24"/>
          <w:szCs w:val="24"/>
        </w:rPr>
        <w:t>1.5支付方式：</w:t>
      </w:r>
    </w:p>
    <w:p w:rsidR="000B7F5F" w:rsidRPr="00556498" w:rsidRDefault="000B7F5F" w:rsidP="000B7F5F">
      <w:pPr>
        <w:snapToGrid w:val="0"/>
        <w:spacing w:line="360" w:lineRule="auto"/>
        <w:rPr>
          <w:rFonts w:ascii="宋体" w:hAnsi="宋体" w:hint="eastAsia"/>
          <w:sz w:val="24"/>
          <w:szCs w:val="24"/>
        </w:rPr>
      </w:pPr>
      <w:r w:rsidRPr="00556498">
        <w:rPr>
          <w:rFonts w:ascii="宋体" w:hAnsi="宋体" w:hint="eastAsia"/>
          <w:sz w:val="24"/>
          <w:szCs w:val="24"/>
        </w:rPr>
        <w:t>1.5.1本项目合同金额根据实际发生进行结算，共分四次进行支付，在采购人和成交供应商合同签订后，且财政资金到位后，按下款要求支付相应的合同款项。</w:t>
      </w:r>
    </w:p>
    <w:p w:rsidR="000B7F5F" w:rsidRPr="00556498" w:rsidRDefault="000B7F5F" w:rsidP="000B7F5F">
      <w:pPr>
        <w:snapToGrid w:val="0"/>
        <w:spacing w:line="360" w:lineRule="auto"/>
        <w:rPr>
          <w:rFonts w:ascii="宋体" w:hAnsi="宋体" w:hint="eastAsia"/>
          <w:sz w:val="24"/>
          <w:szCs w:val="24"/>
        </w:rPr>
      </w:pPr>
      <w:r w:rsidRPr="00556498">
        <w:rPr>
          <w:rFonts w:ascii="宋体" w:hAnsi="宋体" w:hint="eastAsia"/>
          <w:sz w:val="24"/>
          <w:szCs w:val="24"/>
        </w:rPr>
        <w:t>1.5.2本项目服务费用分为基本费用和考核费用两部分组成，其中基本费用占70%，考核费用占30%。</w:t>
      </w:r>
    </w:p>
    <w:p w:rsidR="000B7F5F" w:rsidRPr="000A2A30" w:rsidRDefault="000B7F5F" w:rsidP="000B7F5F">
      <w:pPr>
        <w:snapToGrid w:val="0"/>
        <w:spacing w:line="360" w:lineRule="auto"/>
        <w:rPr>
          <w:rFonts w:ascii="宋体" w:hAnsi="宋体" w:hint="eastAsia"/>
          <w:sz w:val="24"/>
          <w:szCs w:val="24"/>
        </w:rPr>
      </w:pPr>
      <w:r w:rsidRPr="00556498">
        <w:rPr>
          <w:rFonts w:ascii="宋体" w:hAnsi="宋体" w:hint="eastAsia"/>
          <w:sz w:val="24"/>
          <w:szCs w:val="24"/>
        </w:rPr>
        <w:t>1.5.3第一笔根据季度考核情况支付到合同金额的25%；第二笔根据季度考核情况支付到合同金额的50%；第三笔根据季度考核情况支付到合同金额的75%；第四笔根据季度考核情况支付到合同金额的100%。第一、二笔服务费用于2026年5月、8月支付，剩余两笔费用根据财政资金到位情况于2027</w:t>
      </w:r>
      <w:r>
        <w:rPr>
          <w:rFonts w:ascii="宋体" w:hAnsi="宋体" w:hint="eastAsia"/>
          <w:sz w:val="24"/>
          <w:szCs w:val="24"/>
        </w:rPr>
        <w:t>年依次付清</w:t>
      </w:r>
      <w:r w:rsidRPr="000A2A30">
        <w:rPr>
          <w:rFonts w:ascii="宋体" w:hAnsi="宋体" w:hint="eastAsia"/>
          <w:sz w:val="24"/>
          <w:szCs w:val="24"/>
        </w:rPr>
        <w:t>；</w:t>
      </w:r>
    </w:p>
    <w:p w:rsidR="000B7F5F" w:rsidRPr="000A2A30" w:rsidRDefault="000B7F5F" w:rsidP="000B7F5F">
      <w:pPr>
        <w:numPr>
          <w:ilvl w:val="0"/>
          <w:numId w:val="1"/>
        </w:numPr>
        <w:adjustRightInd w:val="0"/>
        <w:snapToGrid w:val="0"/>
        <w:spacing w:beforeLines="100" w:before="312" w:line="360" w:lineRule="auto"/>
        <w:rPr>
          <w:rFonts w:ascii="宋体" w:hAnsi="宋体" w:hint="eastAsia"/>
          <w:b/>
          <w:sz w:val="24"/>
          <w:szCs w:val="24"/>
        </w:rPr>
      </w:pPr>
      <w:r w:rsidRPr="000A2A30">
        <w:rPr>
          <w:rFonts w:ascii="宋体" w:hAnsi="宋体" w:hint="eastAsia"/>
          <w:b/>
          <w:sz w:val="24"/>
          <w:szCs w:val="24"/>
        </w:rPr>
        <w:t>项目目标</w:t>
      </w:r>
    </w:p>
    <w:p w:rsidR="000B7F5F" w:rsidRPr="000A2A30" w:rsidRDefault="000B7F5F" w:rsidP="000B7F5F">
      <w:pPr>
        <w:snapToGrid w:val="0"/>
        <w:spacing w:line="360" w:lineRule="auto"/>
        <w:ind w:firstLineChars="200" w:firstLine="480"/>
        <w:rPr>
          <w:rFonts w:ascii="宋体" w:hAnsi="宋体"/>
          <w:sz w:val="24"/>
          <w:szCs w:val="24"/>
        </w:rPr>
      </w:pPr>
      <w:r w:rsidRPr="00B04EF2">
        <w:rPr>
          <w:rFonts w:ascii="宋体" w:hAnsi="宋体" w:hint="eastAsia"/>
          <w:sz w:val="24"/>
          <w:szCs w:val="24"/>
        </w:rPr>
        <w:t>以迎接国家卫生镇的复评为目标，为积极推进闵行区精细化管理工作，围绕属地化处置、资源利用为原则，把握三个要点：一是费用最小，考虑到经济发展水平及承受能力，尽量做到费用最省；二是风险最小，按照市</w:t>
      </w:r>
      <w:proofErr w:type="gramStart"/>
      <w:r w:rsidRPr="00B04EF2">
        <w:rPr>
          <w:rFonts w:ascii="宋体" w:hAnsi="宋体" w:hint="eastAsia"/>
          <w:sz w:val="24"/>
          <w:szCs w:val="24"/>
        </w:rPr>
        <w:t>绿化市容</w:t>
      </w:r>
      <w:proofErr w:type="gramEnd"/>
      <w:r w:rsidRPr="00B04EF2">
        <w:rPr>
          <w:rFonts w:ascii="宋体" w:hAnsi="宋体" w:hint="eastAsia"/>
          <w:sz w:val="24"/>
          <w:szCs w:val="24"/>
        </w:rPr>
        <w:t>局的相关文件精神，末端处置</w:t>
      </w:r>
      <w:proofErr w:type="gramStart"/>
      <w:r w:rsidRPr="00B04EF2">
        <w:rPr>
          <w:rFonts w:ascii="宋体" w:hAnsi="宋体" w:hint="eastAsia"/>
          <w:sz w:val="24"/>
          <w:szCs w:val="24"/>
        </w:rPr>
        <w:t>点手续合规</w:t>
      </w:r>
      <w:proofErr w:type="gramEnd"/>
      <w:r w:rsidRPr="00B04EF2">
        <w:rPr>
          <w:rFonts w:ascii="宋体" w:hAnsi="宋体" w:hint="eastAsia"/>
          <w:sz w:val="24"/>
          <w:szCs w:val="24"/>
        </w:rPr>
        <w:t>，处置队伍有环卫运输资质，减少垃圾处置对环境和社会的影响，从而保证环境、社会、经济相协调的可持续发展；三是收益最大，最终实现建筑垃圾“减量化、无害化和资源化”</w:t>
      </w:r>
      <w:r w:rsidRPr="000A2A30">
        <w:rPr>
          <w:rFonts w:ascii="宋体" w:hAnsi="宋体" w:hint="eastAsia"/>
          <w:sz w:val="24"/>
          <w:szCs w:val="24"/>
        </w:rPr>
        <w:t>。</w:t>
      </w:r>
    </w:p>
    <w:p w:rsidR="000B7F5F" w:rsidRPr="004C4DE2" w:rsidRDefault="000B7F5F" w:rsidP="000B7F5F">
      <w:pPr>
        <w:numPr>
          <w:ilvl w:val="0"/>
          <w:numId w:val="1"/>
        </w:numPr>
        <w:adjustRightInd w:val="0"/>
        <w:snapToGrid w:val="0"/>
        <w:spacing w:beforeLines="100" w:before="312" w:line="360" w:lineRule="auto"/>
        <w:rPr>
          <w:rFonts w:ascii="宋体" w:hAnsi="宋体" w:hint="eastAsia"/>
          <w:b/>
          <w:sz w:val="24"/>
          <w:szCs w:val="24"/>
        </w:rPr>
      </w:pPr>
      <w:r w:rsidRPr="004C4DE2">
        <w:rPr>
          <w:rFonts w:ascii="宋体" w:hAnsi="宋体" w:hint="eastAsia"/>
          <w:b/>
          <w:sz w:val="24"/>
          <w:szCs w:val="24"/>
        </w:rPr>
        <w:t>暴露整治垃圾分拣要求</w:t>
      </w:r>
    </w:p>
    <w:p w:rsidR="000B7F5F" w:rsidRPr="000A2A30" w:rsidRDefault="000B7F5F" w:rsidP="000B7F5F">
      <w:pPr>
        <w:adjustRightInd w:val="0"/>
        <w:snapToGrid w:val="0"/>
        <w:spacing w:beforeLines="100" w:before="312" w:line="360" w:lineRule="auto"/>
        <w:ind w:firstLineChars="200" w:firstLine="480"/>
        <w:rPr>
          <w:rFonts w:ascii="宋体" w:hAnsi="宋体"/>
          <w:sz w:val="24"/>
          <w:szCs w:val="24"/>
        </w:rPr>
      </w:pPr>
      <w:r w:rsidRPr="004C4DE2">
        <w:rPr>
          <w:rFonts w:ascii="宋体" w:hAnsi="宋体" w:hint="eastAsia"/>
          <w:bCs/>
          <w:sz w:val="24"/>
          <w:szCs w:val="24"/>
        </w:rPr>
        <w:t>供应商若中标后需负责提供暴露整治垃圾应急分拣中转场地，采购方负责协助供应商办理场地使用的相关事宜，成交供应商将马桥镇辖区内暴露整治垃圾清运至暴露整治垃圾应急处置场地进行精细化分拣，并根据市</w:t>
      </w:r>
      <w:proofErr w:type="gramStart"/>
      <w:r w:rsidRPr="004C4DE2">
        <w:rPr>
          <w:rFonts w:ascii="宋体" w:hAnsi="宋体" w:hint="eastAsia"/>
          <w:bCs/>
          <w:sz w:val="24"/>
          <w:szCs w:val="24"/>
        </w:rPr>
        <w:t>绿容局</w:t>
      </w:r>
      <w:proofErr w:type="gramEnd"/>
      <w:r w:rsidRPr="004C4DE2">
        <w:rPr>
          <w:rFonts w:ascii="宋体" w:hAnsi="宋体" w:hint="eastAsia"/>
          <w:bCs/>
          <w:sz w:val="24"/>
          <w:szCs w:val="24"/>
        </w:rPr>
        <w:t>、区绿容局装修垃圾不</w:t>
      </w:r>
      <w:r w:rsidRPr="004C4DE2">
        <w:rPr>
          <w:rFonts w:ascii="宋体" w:hAnsi="宋体" w:hint="eastAsia"/>
          <w:b/>
          <w:sz w:val="24"/>
          <w:szCs w:val="24"/>
        </w:rPr>
        <w:t>得外运原则，经过分拣后的垃圾残渣按规定运输至临沧186号码头进</w:t>
      </w:r>
      <w:r w:rsidRPr="004C4DE2">
        <w:rPr>
          <w:rFonts w:ascii="宋体" w:hAnsi="宋体" w:hint="eastAsia"/>
          <w:b/>
          <w:sz w:val="24"/>
          <w:szCs w:val="24"/>
        </w:rPr>
        <w:lastRenderedPageBreak/>
        <w:t>行处置</w:t>
      </w:r>
      <w:r w:rsidRPr="004C4DE2">
        <w:rPr>
          <w:rFonts w:ascii="宋体" w:hAnsi="宋体" w:hint="eastAsia"/>
          <w:sz w:val="24"/>
          <w:szCs w:val="24"/>
        </w:rPr>
        <w:t>。</w:t>
      </w:r>
    </w:p>
    <w:p w:rsidR="000B7F5F" w:rsidRPr="000A2A30" w:rsidRDefault="000B7F5F" w:rsidP="000B7F5F">
      <w:pPr>
        <w:numPr>
          <w:ilvl w:val="0"/>
          <w:numId w:val="1"/>
        </w:numPr>
        <w:adjustRightInd w:val="0"/>
        <w:snapToGrid w:val="0"/>
        <w:spacing w:beforeLines="100" w:before="312" w:line="360" w:lineRule="auto"/>
        <w:rPr>
          <w:rFonts w:ascii="宋体" w:hAnsi="宋体" w:hint="eastAsia"/>
          <w:b/>
          <w:sz w:val="24"/>
          <w:szCs w:val="24"/>
        </w:rPr>
      </w:pPr>
      <w:r>
        <w:rPr>
          <w:rFonts w:ascii="宋体" w:hAnsi="宋体" w:hint="eastAsia"/>
          <w:b/>
          <w:sz w:val="24"/>
          <w:szCs w:val="24"/>
        </w:rPr>
        <w:t>项目清运处置服务要求</w:t>
      </w:r>
    </w:p>
    <w:p w:rsidR="000B7F5F" w:rsidRDefault="000B7F5F" w:rsidP="000B7F5F">
      <w:pPr>
        <w:adjustRightInd w:val="0"/>
        <w:snapToGrid w:val="0"/>
        <w:spacing w:beforeLines="100" w:before="312" w:line="360" w:lineRule="auto"/>
        <w:ind w:leftChars="171" w:left="359" w:firstLineChars="200" w:firstLine="480"/>
        <w:rPr>
          <w:rFonts w:ascii="宋体" w:hAnsi="宋体" w:hint="eastAsia"/>
          <w:sz w:val="24"/>
          <w:szCs w:val="24"/>
        </w:rPr>
      </w:pPr>
      <w:r>
        <w:rPr>
          <w:rFonts w:ascii="宋体" w:hAnsi="宋体" w:hint="eastAsia"/>
          <w:sz w:val="24"/>
          <w:szCs w:val="24"/>
        </w:rPr>
        <w:t>1、做好装修垃圾的“日产日清”原则。</w:t>
      </w:r>
    </w:p>
    <w:p w:rsidR="000B7F5F" w:rsidRDefault="000B7F5F" w:rsidP="000B7F5F">
      <w:pPr>
        <w:adjustRightInd w:val="0"/>
        <w:snapToGrid w:val="0"/>
        <w:spacing w:beforeLines="100" w:before="312" w:line="360" w:lineRule="auto"/>
        <w:ind w:leftChars="171" w:left="359" w:firstLineChars="200" w:firstLine="480"/>
        <w:rPr>
          <w:rFonts w:ascii="宋体" w:hAnsi="宋体" w:hint="eastAsia"/>
          <w:sz w:val="24"/>
          <w:szCs w:val="24"/>
        </w:rPr>
      </w:pPr>
      <w:r>
        <w:rPr>
          <w:rFonts w:ascii="宋体" w:hAnsi="宋体" w:hint="eastAsia"/>
          <w:sz w:val="24"/>
          <w:szCs w:val="24"/>
        </w:rPr>
        <w:t>2、应定期对车辆进行安全检查，及时消除各类安全隐患，确保车辆技术状况良好，严禁车辆带病作业，确保车辆灯光齐全，刹车有效，后视镜、防火排气筒等安全附件完好，由此造成的交通事故、损失和后果，</w:t>
      </w:r>
      <w:proofErr w:type="gramStart"/>
      <w:r>
        <w:rPr>
          <w:rFonts w:ascii="宋体" w:hAnsi="宋体" w:hint="eastAsia"/>
          <w:sz w:val="24"/>
          <w:szCs w:val="24"/>
        </w:rPr>
        <w:t>由成交</w:t>
      </w:r>
      <w:proofErr w:type="gramEnd"/>
      <w:r>
        <w:rPr>
          <w:rFonts w:ascii="宋体" w:hAnsi="宋体" w:hint="eastAsia"/>
          <w:sz w:val="24"/>
          <w:szCs w:val="24"/>
        </w:rPr>
        <w:t>供应商承担全部责任。</w:t>
      </w:r>
    </w:p>
    <w:p w:rsidR="000B7F5F" w:rsidRDefault="000B7F5F" w:rsidP="000B7F5F">
      <w:pPr>
        <w:adjustRightInd w:val="0"/>
        <w:snapToGrid w:val="0"/>
        <w:spacing w:beforeLines="100" w:before="312" w:line="360" w:lineRule="auto"/>
        <w:ind w:leftChars="171" w:left="359" w:firstLineChars="200" w:firstLine="480"/>
        <w:rPr>
          <w:rFonts w:ascii="宋体" w:hAnsi="宋体" w:hint="eastAsia"/>
          <w:sz w:val="24"/>
          <w:szCs w:val="24"/>
        </w:rPr>
      </w:pPr>
      <w:r>
        <w:rPr>
          <w:rFonts w:ascii="宋体" w:hAnsi="宋体" w:hint="eastAsia"/>
          <w:sz w:val="24"/>
          <w:szCs w:val="24"/>
        </w:rPr>
        <w:t>3、成交供应商在作业过程中应做到无明显扬尘。</w:t>
      </w:r>
    </w:p>
    <w:p w:rsidR="000B7F5F" w:rsidRDefault="000B7F5F" w:rsidP="000B7F5F">
      <w:pPr>
        <w:adjustRightInd w:val="0"/>
        <w:snapToGrid w:val="0"/>
        <w:spacing w:beforeLines="100" w:before="312" w:line="360" w:lineRule="auto"/>
        <w:ind w:leftChars="171" w:left="359" w:firstLineChars="200" w:firstLine="480"/>
        <w:rPr>
          <w:rFonts w:ascii="宋体" w:hAnsi="宋体" w:hint="eastAsia"/>
          <w:sz w:val="24"/>
          <w:szCs w:val="24"/>
        </w:rPr>
      </w:pPr>
      <w:r>
        <w:rPr>
          <w:rFonts w:ascii="宋体" w:hAnsi="宋体" w:hint="eastAsia"/>
          <w:sz w:val="24"/>
          <w:szCs w:val="24"/>
        </w:rPr>
        <w:t>4、作业人员应统一着装，保持衣帽整齐，佩戴工号牌，且有所属单位明显标识、作业工种等。</w:t>
      </w:r>
    </w:p>
    <w:p w:rsidR="000B7F5F" w:rsidRDefault="000B7F5F" w:rsidP="000B7F5F">
      <w:pPr>
        <w:adjustRightInd w:val="0"/>
        <w:snapToGrid w:val="0"/>
        <w:spacing w:beforeLines="100" w:before="312" w:line="360" w:lineRule="auto"/>
        <w:ind w:leftChars="171" w:left="359" w:firstLineChars="200" w:firstLine="480"/>
        <w:rPr>
          <w:rFonts w:ascii="宋体" w:hAnsi="宋体" w:hint="eastAsia"/>
          <w:sz w:val="24"/>
          <w:szCs w:val="24"/>
        </w:rPr>
      </w:pPr>
      <w:r>
        <w:rPr>
          <w:rFonts w:ascii="宋体" w:hAnsi="宋体" w:hint="eastAsia"/>
          <w:sz w:val="24"/>
          <w:szCs w:val="24"/>
        </w:rPr>
        <w:t>5、作业人员应做到安全、规范、文明、卫生，最大幅度减少环境污染和对居民和交通的影响。</w:t>
      </w:r>
    </w:p>
    <w:p w:rsidR="000B7F5F" w:rsidRDefault="000B7F5F" w:rsidP="000B7F5F">
      <w:pPr>
        <w:adjustRightInd w:val="0"/>
        <w:snapToGrid w:val="0"/>
        <w:spacing w:beforeLines="100" w:before="312" w:line="360" w:lineRule="auto"/>
        <w:ind w:leftChars="171" w:left="359" w:firstLineChars="200" w:firstLine="480"/>
        <w:rPr>
          <w:rFonts w:ascii="宋体" w:hAnsi="宋体" w:hint="eastAsia"/>
          <w:sz w:val="24"/>
          <w:szCs w:val="24"/>
        </w:rPr>
      </w:pPr>
      <w:r>
        <w:rPr>
          <w:rFonts w:ascii="宋体" w:hAnsi="宋体" w:hint="eastAsia"/>
          <w:sz w:val="24"/>
          <w:szCs w:val="24"/>
        </w:rPr>
        <w:t>6、做到“三同时、一手清”原则，做到文明作业。</w:t>
      </w:r>
    </w:p>
    <w:p w:rsidR="000B7F5F" w:rsidRDefault="000B7F5F" w:rsidP="000B7F5F">
      <w:pPr>
        <w:adjustRightInd w:val="0"/>
        <w:snapToGrid w:val="0"/>
        <w:spacing w:beforeLines="100" w:before="312" w:line="360" w:lineRule="auto"/>
        <w:ind w:leftChars="171" w:left="359" w:firstLineChars="200" w:firstLine="480"/>
        <w:rPr>
          <w:rFonts w:ascii="宋体" w:hAnsi="宋体" w:hint="eastAsia"/>
          <w:sz w:val="24"/>
          <w:szCs w:val="24"/>
        </w:rPr>
      </w:pPr>
      <w:r>
        <w:rPr>
          <w:rFonts w:ascii="宋体" w:hAnsi="宋体" w:hint="eastAsia"/>
          <w:sz w:val="24"/>
          <w:szCs w:val="24"/>
        </w:rPr>
        <w:t>7、做好安全作业</w:t>
      </w:r>
      <w:proofErr w:type="gramStart"/>
      <w:r>
        <w:rPr>
          <w:rFonts w:ascii="宋体" w:hAnsi="宋体" w:hint="eastAsia"/>
          <w:sz w:val="24"/>
          <w:szCs w:val="24"/>
        </w:rPr>
        <w:t>不</w:t>
      </w:r>
      <w:proofErr w:type="gramEnd"/>
      <w:r>
        <w:rPr>
          <w:rFonts w:ascii="宋体" w:hAnsi="宋体" w:hint="eastAsia"/>
          <w:sz w:val="24"/>
          <w:szCs w:val="24"/>
        </w:rPr>
        <w:t>扰民原则。</w:t>
      </w:r>
    </w:p>
    <w:p w:rsidR="000B7F5F" w:rsidRDefault="000B7F5F" w:rsidP="000B7F5F">
      <w:pPr>
        <w:adjustRightInd w:val="0"/>
        <w:snapToGrid w:val="0"/>
        <w:spacing w:beforeLines="100" w:before="312" w:line="360" w:lineRule="auto"/>
        <w:ind w:leftChars="171" w:left="359" w:firstLineChars="200" w:firstLine="480"/>
        <w:rPr>
          <w:rFonts w:ascii="宋体" w:hAnsi="宋体" w:hint="eastAsia"/>
          <w:sz w:val="24"/>
          <w:szCs w:val="24"/>
        </w:rPr>
      </w:pPr>
      <w:r>
        <w:rPr>
          <w:rFonts w:ascii="宋体" w:hAnsi="宋体" w:hint="eastAsia"/>
          <w:sz w:val="24"/>
          <w:szCs w:val="24"/>
        </w:rPr>
        <w:t>8、配合管理部门应针对特殊时段、重大活动、恶劣天气等突发情况制定相应应急预案，服从管理部门安排。</w:t>
      </w:r>
    </w:p>
    <w:p w:rsidR="000B7F5F" w:rsidRDefault="000B7F5F" w:rsidP="000B7F5F">
      <w:pPr>
        <w:adjustRightInd w:val="0"/>
        <w:snapToGrid w:val="0"/>
        <w:spacing w:beforeLines="100" w:before="312" w:line="360" w:lineRule="auto"/>
        <w:ind w:leftChars="171" w:left="359" w:firstLineChars="200" w:firstLine="480"/>
        <w:rPr>
          <w:rFonts w:ascii="宋体" w:hAnsi="宋体" w:hint="eastAsia"/>
          <w:sz w:val="24"/>
          <w:szCs w:val="24"/>
        </w:rPr>
      </w:pPr>
      <w:r>
        <w:rPr>
          <w:rFonts w:ascii="宋体" w:hAnsi="宋体" w:hint="eastAsia"/>
          <w:sz w:val="24"/>
          <w:szCs w:val="24"/>
        </w:rPr>
        <w:t>9、装修垃圾清运车辆应当采取密闭、全覆盖、清洗等措施，防止泄漏、散落和带泥运行，保持车容车貌的整洁，防止污染环境。</w:t>
      </w:r>
    </w:p>
    <w:p w:rsidR="000B7F5F" w:rsidRDefault="000B7F5F" w:rsidP="000B7F5F">
      <w:pPr>
        <w:adjustRightInd w:val="0"/>
        <w:snapToGrid w:val="0"/>
        <w:spacing w:beforeLines="100" w:before="312" w:line="360" w:lineRule="auto"/>
        <w:ind w:leftChars="171" w:left="359" w:firstLineChars="200" w:firstLine="480"/>
        <w:rPr>
          <w:rFonts w:ascii="宋体" w:hAnsi="宋体" w:hint="eastAsia"/>
          <w:sz w:val="24"/>
          <w:szCs w:val="24"/>
        </w:rPr>
      </w:pPr>
      <w:r>
        <w:rPr>
          <w:rFonts w:ascii="宋体" w:hAnsi="宋体" w:hint="eastAsia"/>
          <w:sz w:val="24"/>
          <w:szCs w:val="24"/>
        </w:rPr>
        <w:t>10、要按照工作内容，严格按照工作范围、行驶路线行走，成交供应商清运车辆必须服从采购人的管理、调度和指挥，不得乱停、乱靠、乱装、乱卸，不得争道抢行，不得超速超载。如有发现，招标方有权制止和处罚教育，由此发生的交通事故造成的损失，</w:t>
      </w:r>
      <w:proofErr w:type="gramStart"/>
      <w:r>
        <w:rPr>
          <w:rFonts w:ascii="宋体" w:hAnsi="宋体" w:hint="eastAsia"/>
          <w:sz w:val="24"/>
          <w:szCs w:val="24"/>
        </w:rPr>
        <w:t>由成交</w:t>
      </w:r>
      <w:proofErr w:type="gramEnd"/>
      <w:r>
        <w:rPr>
          <w:rFonts w:ascii="宋体" w:hAnsi="宋体" w:hint="eastAsia"/>
          <w:sz w:val="24"/>
          <w:szCs w:val="24"/>
        </w:rPr>
        <w:t>供应商承担全部责任。</w:t>
      </w:r>
    </w:p>
    <w:p w:rsidR="000B7F5F" w:rsidRDefault="000B7F5F" w:rsidP="000B7F5F">
      <w:pPr>
        <w:adjustRightInd w:val="0"/>
        <w:snapToGrid w:val="0"/>
        <w:spacing w:beforeLines="100" w:before="312" w:line="360" w:lineRule="auto"/>
        <w:ind w:leftChars="171" w:left="359" w:firstLineChars="200" w:firstLine="480"/>
        <w:rPr>
          <w:rFonts w:ascii="宋体" w:hAnsi="宋体" w:hint="eastAsia"/>
          <w:sz w:val="24"/>
          <w:szCs w:val="24"/>
        </w:rPr>
      </w:pPr>
      <w:r>
        <w:rPr>
          <w:rFonts w:ascii="宋体" w:hAnsi="宋体" w:hint="eastAsia"/>
          <w:sz w:val="24"/>
          <w:szCs w:val="24"/>
        </w:rPr>
        <w:lastRenderedPageBreak/>
        <w:t>11、应当科学装载、合理绑扎固定，对绑扎固定是否安全可靠、装修垃圾装载是否符合道路运输标准负全部责任。</w:t>
      </w:r>
    </w:p>
    <w:p w:rsidR="000B7F5F" w:rsidRDefault="000B7F5F" w:rsidP="000B7F5F">
      <w:pPr>
        <w:adjustRightInd w:val="0"/>
        <w:snapToGrid w:val="0"/>
        <w:spacing w:beforeLines="100" w:before="312" w:line="360" w:lineRule="auto"/>
        <w:ind w:leftChars="171" w:left="359" w:firstLineChars="200" w:firstLine="480"/>
        <w:rPr>
          <w:rFonts w:ascii="宋体" w:hAnsi="宋体" w:hint="eastAsia"/>
          <w:sz w:val="24"/>
          <w:szCs w:val="24"/>
        </w:rPr>
      </w:pPr>
      <w:r>
        <w:rPr>
          <w:rFonts w:ascii="宋体" w:hAnsi="宋体" w:hint="eastAsia"/>
          <w:sz w:val="24"/>
          <w:szCs w:val="24"/>
        </w:rPr>
        <w:t>12、应当接受采购人的安全监督管理，遵守招标方的安全规章制度，并接受采购人提供的安全教育。</w:t>
      </w:r>
    </w:p>
    <w:p w:rsidR="000B7F5F" w:rsidRDefault="000B7F5F" w:rsidP="000B7F5F">
      <w:pPr>
        <w:adjustRightInd w:val="0"/>
        <w:snapToGrid w:val="0"/>
        <w:spacing w:beforeLines="100" w:before="312" w:line="360" w:lineRule="auto"/>
        <w:ind w:leftChars="171" w:left="359" w:firstLineChars="200" w:firstLine="480"/>
        <w:rPr>
          <w:rFonts w:ascii="宋体" w:hAnsi="宋体" w:hint="eastAsia"/>
          <w:sz w:val="24"/>
          <w:szCs w:val="24"/>
        </w:rPr>
      </w:pPr>
      <w:r>
        <w:rPr>
          <w:rFonts w:ascii="宋体" w:hAnsi="宋体" w:hint="eastAsia"/>
          <w:sz w:val="24"/>
          <w:szCs w:val="24"/>
        </w:rPr>
        <w:t>13、成交供应商因违法受到行政罚款的，自行负责。</w:t>
      </w:r>
    </w:p>
    <w:p w:rsidR="000B7F5F" w:rsidRDefault="000B7F5F" w:rsidP="000B7F5F">
      <w:pPr>
        <w:adjustRightInd w:val="0"/>
        <w:snapToGrid w:val="0"/>
        <w:spacing w:beforeLines="100" w:before="312" w:line="360" w:lineRule="auto"/>
        <w:ind w:leftChars="171" w:left="359" w:firstLineChars="200" w:firstLine="480"/>
        <w:rPr>
          <w:rFonts w:ascii="宋体" w:hAnsi="宋体" w:hint="eastAsia"/>
          <w:sz w:val="24"/>
          <w:szCs w:val="24"/>
        </w:rPr>
      </w:pPr>
      <w:r>
        <w:rPr>
          <w:rFonts w:ascii="宋体" w:hAnsi="宋体" w:hint="eastAsia"/>
          <w:sz w:val="24"/>
          <w:szCs w:val="24"/>
        </w:rPr>
        <w:t>14、机械设备配置</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42"/>
        <w:gridCol w:w="3117"/>
        <w:gridCol w:w="1416"/>
        <w:gridCol w:w="2747"/>
      </w:tblGrid>
      <w:tr w:rsidR="000B7F5F" w:rsidTr="006709B7">
        <w:trPr>
          <w:trHeight w:val="790"/>
          <w:tblHeader/>
          <w:jc w:val="center"/>
        </w:trPr>
        <w:tc>
          <w:tcPr>
            <w:tcW w:w="728" w:type="pct"/>
            <w:vAlign w:val="center"/>
          </w:tcPr>
          <w:p w:rsidR="000B7F5F" w:rsidRDefault="000B7F5F" w:rsidP="006709B7">
            <w:pPr>
              <w:jc w:val="center"/>
              <w:rPr>
                <w:rFonts w:ascii="Calibri" w:hAnsi="Calibri"/>
                <w:b/>
                <w:sz w:val="22"/>
                <w:szCs w:val="22"/>
              </w:rPr>
            </w:pPr>
            <w:r>
              <w:rPr>
                <w:rFonts w:ascii="Calibri" w:hAnsi="Calibri" w:hint="eastAsia"/>
                <w:b/>
                <w:sz w:val="22"/>
                <w:szCs w:val="22"/>
              </w:rPr>
              <w:t>序号</w:t>
            </w:r>
          </w:p>
        </w:tc>
        <w:tc>
          <w:tcPr>
            <w:tcW w:w="1829" w:type="pct"/>
            <w:vAlign w:val="center"/>
          </w:tcPr>
          <w:p w:rsidR="000B7F5F" w:rsidRDefault="000B7F5F" w:rsidP="006709B7">
            <w:pPr>
              <w:jc w:val="center"/>
              <w:rPr>
                <w:rFonts w:ascii="Calibri" w:hAnsi="Calibri"/>
                <w:b/>
                <w:sz w:val="22"/>
                <w:szCs w:val="22"/>
              </w:rPr>
            </w:pPr>
            <w:r>
              <w:rPr>
                <w:rFonts w:ascii="Calibri" w:hAnsi="Calibri"/>
                <w:b/>
                <w:sz w:val="22"/>
                <w:szCs w:val="22"/>
              </w:rPr>
              <w:t>设备名称</w:t>
            </w:r>
          </w:p>
        </w:tc>
        <w:tc>
          <w:tcPr>
            <w:tcW w:w="831" w:type="pct"/>
            <w:vAlign w:val="center"/>
          </w:tcPr>
          <w:p w:rsidR="000B7F5F" w:rsidRDefault="000B7F5F" w:rsidP="006709B7">
            <w:pPr>
              <w:jc w:val="center"/>
              <w:rPr>
                <w:rFonts w:ascii="Calibri" w:hAnsi="Calibri"/>
                <w:b/>
                <w:sz w:val="22"/>
                <w:szCs w:val="22"/>
              </w:rPr>
            </w:pPr>
            <w:r>
              <w:rPr>
                <w:rFonts w:ascii="Calibri" w:hAnsi="Calibri"/>
                <w:b/>
                <w:sz w:val="22"/>
                <w:szCs w:val="22"/>
              </w:rPr>
              <w:t>数量要求</w:t>
            </w:r>
          </w:p>
        </w:tc>
        <w:tc>
          <w:tcPr>
            <w:tcW w:w="1612" w:type="pct"/>
            <w:vAlign w:val="center"/>
          </w:tcPr>
          <w:p w:rsidR="000B7F5F" w:rsidRDefault="000B7F5F" w:rsidP="006709B7">
            <w:pPr>
              <w:jc w:val="center"/>
              <w:rPr>
                <w:rFonts w:ascii="Calibri" w:hAnsi="Calibri"/>
                <w:b/>
                <w:sz w:val="22"/>
                <w:szCs w:val="22"/>
              </w:rPr>
            </w:pPr>
            <w:r>
              <w:rPr>
                <w:rFonts w:ascii="Calibri" w:hAnsi="Calibri"/>
                <w:b/>
                <w:sz w:val="22"/>
                <w:szCs w:val="22"/>
              </w:rPr>
              <w:t>配置要求</w:t>
            </w:r>
          </w:p>
        </w:tc>
      </w:tr>
      <w:tr w:rsidR="000B7F5F" w:rsidTr="006709B7">
        <w:trPr>
          <w:trHeight w:val="487"/>
          <w:jc w:val="center"/>
        </w:trPr>
        <w:tc>
          <w:tcPr>
            <w:tcW w:w="728" w:type="pct"/>
            <w:vAlign w:val="center"/>
          </w:tcPr>
          <w:p w:rsidR="000B7F5F" w:rsidRDefault="000B7F5F" w:rsidP="006709B7">
            <w:pPr>
              <w:snapToGrid w:val="0"/>
              <w:jc w:val="center"/>
              <w:rPr>
                <w:rFonts w:ascii="宋体" w:hAnsi="宋体"/>
                <w:sz w:val="22"/>
                <w:szCs w:val="22"/>
              </w:rPr>
            </w:pPr>
            <w:r>
              <w:rPr>
                <w:rFonts w:ascii="宋体" w:hAnsi="宋体" w:hint="eastAsia"/>
                <w:sz w:val="22"/>
                <w:szCs w:val="22"/>
              </w:rPr>
              <w:t>1</w:t>
            </w:r>
          </w:p>
        </w:tc>
        <w:tc>
          <w:tcPr>
            <w:tcW w:w="1829" w:type="pct"/>
            <w:vAlign w:val="center"/>
          </w:tcPr>
          <w:p w:rsidR="000B7F5F" w:rsidRDefault="000B7F5F" w:rsidP="006709B7">
            <w:pPr>
              <w:snapToGrid w:val="0"/>
              <w:rPr>
                <w:rFonts w:ascii="Calibri" w:hAnsi="Calibri"/>
                <w:sz w:val="22"/>
                <w:szCs w:val="22"/>
              </w:rPr>
            </w:pPr>
            <w:r>
              <w:rPr>
                <w:rFonts w:ascii="宋体" w:hAnsi="宋体" w:hint="eastAsia"/>
                <w:sz w:val="24"/>
                <w:szCs w:val="24"/>
              </w:rPr>
              <w:t>装修垃圾自卸车</w:t>
            </w:r>
          </w:p>
        </w:tc>
        <w:tc>
          <w:tcPr>
            <w:tcW w:w="831" w:type="pct"/>
            <w:vAlign w:val="center"/>
          </w:tcPr>
          <w:p w:rsidR="000B7F5F" w:rsidRDefault="000B7F5F" w:rsidP="006709B7">
            <w:pPr>
              <w:snapToGrid w:val="0"/>
              <w:jc w:val="center"/>
              <w:rPr>
                <w:rFonts w:ascii="Calibri" w:hAnsi="Calibri"/>
                <w:sz w:val="22"/>
                <w:szCs w:val="22"/>
              </w:rPr>
            </w:pPr>
            <w:r>
              <w:rPr>
                <w:rFonts w:ascii="宋体" w:hAnsi="宋体" w:hint="eastAsia"/>
                <w:sz w:val="24"/>
                <w:szCs w:val="24"/>
              </w:rPr>
              <w:t>大于5辆</w:t>
            </w:r>
          </w:p>
        </w:tc>
        <w:tc>
          <w:tcPr>
            <w:tcW w:w="1612" w:type="pct"/>
            <w:vAlign w:val="center"/>
          </w:tcPr>
          <w:p w:rsidR="000B7F5F" w:rsidRDefault="000B7F5F" w:rsidP="006709B7">
            <w:pPr>
              <w:snapToGrid w:val="0"/>
              <w:rPr>
                <w:rFonts w:ascii="Calibri" w:hAnsi="Calibri"/>
                <w:sz w:val="22"/>
                <w:szCs w:val="22"/>
              </w:rPr>
            </w:pPr>
            <w:r>
              <w:rPr>
                <w:rFonts w:ascii="宋体" w:hAnsi="宋体" w:hint="eastAsia"/>
                <w:sz w:val="24"/>
                <w:szCs w:val="24"/>
              </w:rPr>
              <w:t>8吨及以上</w:t>
            </w:r>
          </w:p>
        </w:tc>
      </w:tr>
      <w:tr w:rsidR="000B7F5F" w:rsidTr="006709B7">
        <w:trPr>
          <w:trHeight w:val="487"/>
          <w:jc w:val="center"/>
        </w:trPr>
        <w:tc>
          <w:tcPr>
            <w:tcW w:w="728" w:type="pct"/>
            <w:vAlign w:val="center"/>
          </w:tcPr>
          <w:p w:rsidR="000B7F5F" w:rsidRDefault="000B7F5F" w:rsidP="006709B7">
            <w:pPr>
              <w:snapToGrid w:val="0"/>
              <w:jc w:val="center"/>
              <w:rPr>
                <w:rFonts w:ascii="宋体" w:hAnsi="宋体"/>
                <w:sz w:val="22"/>
                <w:szCs w:val="22"/>
              </w:rPr>
            </w:pPr>
            <w:r>
              <w:rPr>
                <w:rFonts w:ascii="宋体" w:hAnsi="宋体" w:hint="eastAsia"/>
                <w:sz w:val="22"/>
                <w:szCs w:val="22"/>
              </w:rPr>
              <w:t>2</w:t>
            </w:r>
          </w:p>
        </w:tc>
        <w:tc>
          <w:tcPr>
            <w:tcW w:w="1829" w:type="pct"/>
            <w:vAlign w:val="center"/>
          </w:tcPr>
          <w:p w:rsidR="000B7F5F" w:rsidRDefault="000B7F5F" w:rsidP="006709B7">
            <w:pPr>
              <w:snapToGrid w:val="0"/>
              <w:rPr>
                <w:rFonts w:ascii="Calibri" w:hAnsi="Calibri"/>
                <w:sz w:val="22"/>
                <w:szCs w:val="22"/>
              </w:rPr>
            </w:pPr>
            <w:r>
              <w:rPr>
                <w:rFonts w:ascii="宋体" w:hAnsi="宋体" w:hint="eastAsia"/>
                <w:sz w:val="24"/>
                <w:szCs w:val="24"/>
              </w:rPr>
              <w:t>轮式装载车</w:t>
            </w:r>
          </w:p>
        </w:tc>
        <w:tc>
          <w:tcPr>
            <w:tcW w:w="831" w:type="pct"/>
            <w:vAlign w:val="center"/>
          </w:tcPr>
          <w:p w:rsidR="000B7F5F" w:rsidRDefault="000B7F5F" w:rsidP="006709B7">
            <w:pPr>
              <w:snapToGrid w:val="0"/>
              <w:jc w:val="center"/>
              <w:rPr>
                <w:rFonts w:ascii="Calibri" w:hAnsi="Calibri"/>
                <w:sz w:val="22"/>
                <w:szCs w:val="22"/>
              </w:rPr>
            </w:pPr>
            <w:r>
              <w:rPr>
                <w:rFonts w:ascii="宋体" w:hAnsi="宋体" w:hint="eastAsia"/>
                <w:sz w:val="24"/>
                <w:szCs w:val="24"/>
              </w:rPr>
              <w:t>2辆</w:t>
            </w:r>
          </w:p>
        </w:tc>
        <w:tc>
          <w:tcPr>
            <w:tcW w:w="1612" w:type="pct"/>
            <w:vAlign w:val="center"/>
          </w:tcPr>
          <w:p w:rsidR="000B7F5F" w:rsidRDefault="000B7F5F" w:rsidP="006709B7">
            <w:pPr>
              <w:snapToGrid w:val="0"/>
              <w:rPr>
                <w:rFonts w:ascii="Calibri" w:hAnsi="Calibri"/>
                <w:sz w:val="22"/>
                <w:szCs w:val="22"/>
              </w:rPr>
            </w:pPr>
          </w:p>
        </w:tc>
      </w:tr>
      <w:tr w:rsidR="000B7F5F" w:rsidTr="006709B7">
        <w:trPr>
          <w:trHeight w:val="511"/>
          <w:jc w:val="center"/>
        </w:trPr>
        <w:tc>
          <w:tcPr>
            <w:tcW w:w="728" w:type="pct"/>
            <w:vAlign w:val="center"/>
          </w:tcPr>
          <w:p w:rsidR="000B7F5F" w:rsidRDefault="000B7F5F" w:rsidP="006709B7">
            <w:pPr>
              <w:snapToGrid w:val="0"/>
              <w:jc w:val="center"/>
              <w:rPr>
                <w:rFonts w:ascii="宋体" w:hAnsi="宋体"/>
                <w:sz w:val="22"/>
                <w:szCs w:val="22"/>
              </w:rPr>
            </w:pPr>
            <w:r>
              <w:rPr>
                <w:rFonts w:ascii="宋体" w:hAnsi="宋体" w:hint="eastAsia"/>
                <w:sz w:val="22"/>
                <w:szCs w:val="22"/>
              </w:rPr>
              <w:t>3</w:t>
            </w:r>
          </w:p>
        </w:tc>
        <w:tc>
          <w:tcPr>
            <w:tcW w:w="1829" w:type="pct"/>
            <w:vAlign w:val="center"/>
          </w:tcPr>
          <w:p w:rsidR="000B7F5F" w:rsidRDefault="000B7F5F" w:rsidP="006709B7">
            <w:pPr>
              <w:snapToGrid w:val="0"/>
              <w:rPr>
                <w:rFonts w:ascii="Calibri" w:hAnsi="Calibri"/>
                <w:sz w:val="22"/>
                <w:szCs w:val="22"/>
              </w:rPr>
            </w:pPr>
            <w:proofErr w:type="gramStart"/>
            <w:r>
              <w:rPr>
                <w:rFonts w:ascii="宋体" w:hAnsi="宋体" w:hint="eastAsia"/>
                <w:sz w:val="24"/>
                <w:szCs w:val="24"/>
              </w:rPr>
              <w:t>冲洗车</w:t>
            </w:r>
            <w:proofErr w:type="gramEnd"/>
          </w:p>
        </w:tc>
        <w:tc>
          <w:tcPr>
            <w:tcW w:w="831" w:type="pct"/>
            <w:vAlign w:val="center"/>
          </w:tcPr>
          <w:p w:rsidR="000B7F5F" w:rsidRDefault="000B7F5F" w:rsidP="006709B7">
            <w:pPr>
              <w:snapToGrid w:val="0"/>
              <w:jc w:val="center"/>
              <w:rPr>
                <w:rFonts w:ascii="Calibri" w:hAnsi="Calibri"/>
                <w:sz w:val="22"/>
                <w:szCs w:val="22"/>
              </w:rPr>
            </w:pPr>
            <w:r>
              <w:rPr>
                <w:rFonts w:ascii="宋体" w:hAnsi="宋体" w:hint="eastAsia"/>
                <w:sz w:val="24"/>
                <w:szCs w:val="24"/>
              </w:rPr>
              <w:t>1辆</w:t>
            </w:r>
          </w:p>
        </w:tc>
        <w:tc>
          <w:tcPr>
            <w:tcW w:w="1612" w:type="pct"/>
            <w:vAlign w:val="center"/>
          </w:tcPr>
          <w:p w:rsidR="000B7F5F" w:rsidRDefault="000B7F5F" w:rsidP="006709B7">
            <w:pPr>
              <w:snapToGrid w:val="0"/>
              <w:rPr>
                <w:rFonts w:ascii="Calibri" w:hAnsi="Calibri"/>
                <w:sz w:val="22"/>
                <w:szCs w:val="22"/>
              </w:rPr>
            </w:pPr>
          </w:p>
        </w:tc>
      </w:tr>
      <w:tr w:rsidR="000B7F5F" w:rsidTr="006709B7">
        <w:trPr>
          <w:trHeight w:val="511"/>
          <w:jc w:val="center"/>
        </w:trPr>
        <w:tc>
          <w:tcPr>
            <w:tcW w:w="728" w:type="pct"/>
            <w:vAlign w:val="center"/>
          </w:tcPr>
          <w:p w:rsidR="000B7F5F" w:rsidRDefault="000B7F5F" w:rsidP="006709B7">
            <w:pPr>
              <w:snapToGrid w:val="0"/>
              <w:jc w:val="center"/>
              <w:rPr>
                <w:rFonts w:ascii="宋体" w:hAnsi="宋体"/>
                <w:sz w:val="22"/>
                <w:szCs w:val="22"/>
              </w:rPr>
            </w:pPr>
            <w:r>
              <w:rPr>
                <w:rFonts w:ascii="宋体" w:hAnsi="宋体" w:hint="eastAsia"/>
                <w:sz w:val="22"/>
                <w:szCs w:val="22"/>
              </w:rPr>
              <w:t>4</w:t>
            </w:r>
          </w:p>
        </w:tc>
        <w:tc>
          <w:tcPr>
            <w:tcW w:w="1829" w:type="pct"/>
            <w:vAlign w:val="center"/>
          </w:tcPr>
          <w:p w:rsidR="000B7F5F" w:rsidRDefault="000B7F5F" w:rsidP="006709B7">
            <w:pPr>
              <w:snapToGrid w:val="0"/>
              <w:rPr>
                <w:rFonts w:ascii="Calibri" w:hAnsi="Calibri"/>
                <w:sz w:val="22"/>
                <w:szCs w:val="22"/>
              </w:rPr>
            </w:pPr>
            <w:r>
              <w:rPr>
                <w:rFonts w:ascii="宋体" w:hAnsi="宋体" w:hint="eastAsia"/>
                <w:sz w:val="24"/>
                <w:szCs w:val="24"/>
              </w:rPr>
              <w:t>挖掘机</w:t>
            </w:r>
          </w:p>
        </w:tc>
        <w:tc>
          <w:tcPr>
            <w:tcW w:w="831" w:type="pct"/>
            <w:vAlign w:val="center"/>
          </w:tcPr>
          <w:p w:rsidR="000B7F5F" w:rsidRDefault="000B7F5F" w:rsidP="006709B7">
            <w:pPr>
              <w:snapToGrid w:val="0"/>
              <w:jc w:val="center"/>
              <w:rPr>
                <w:rFonts w:ascii="Calibri" w:hAnsi="Calibri"/>
                <w:sz w:val="22"/>
                <w:szCs w:val="22"/>
              </w:rPr>
            </w:pPr>
            <w:r>
              <w:rPr>
                <w:rFonts w:ascii="宋体" w:hAnsi="宋体" w:hint="eastAsia"/>
                <w:sz w:val="24"/>
                <w:szCs w:val="24"/>
              </w:rPr>
              <w:t>1台</w:t>
            </w:r>
          </w:p>
        </w:tc>
        <w:tc>
          <w:tcPr>
            <w:tcW w:w="1612" w:type="pct"/>
            <w:vAlign w:val="center"/>
          </w:tcPr>
          <w:p w:rsidR="000B7F5F" w:rsidRDefault="000B7F5F" w:rsidP="006709B7">
            <w:pPr>
              <w:snapToGrid w:val="0"/>
              <w:rPr>
                <w:rFonts w:ascii="宋体" w:hAnsi="宋体" w:hint="eastAsia"/>
                <w:sz w:val="24"/>
                <w:szCs w:val="24"/>
              </w:rPr>
            </w:pPr>
            <w:r>
              <w:rPr>
                <w:rFonts w:ascii="宋体" w:hAnsi="宋体" w:hint="eastAsia"/>
                <w:sz w:val="24"/>
                <w:szCs w:val="24"/>
              </w:rPr>
              <w:t>200及以上型号</w:t>
            </w:r>
          </w:p>
          <w:p w:rsidR="000B7F5F" w:rsidRDefault="000B7F5F" w:rsidP="006709B7">
            <w:pPr>
              <w:snapToGrid w:val="0"/>
              <w:rPr>
                <w:rFonts w:ascii="Calibri" w:hAnsi="Calibri"/>
                <w:sz w:val="22"/>
                <w:szCs w:val="22"/>
              </w:rPr>
            </w:pPr>
            <w:r>
              <w:rPr>
                <w:rFonts w:ascii="宋体" w:hAnsi="宋体" w:hint="eastAsia"/>
                <w:sz w:val="24"/>
                <w:szCs w:val="24"/>
              </w:rPr>
              <w:t>配分拣机械手</w:t>
            </w:r>
          </w:p>
        </w:tc>
      </w:tr>
      <w:tr w:rsidR="000B7F5F" w:rsidTr="006709B7">
        <w:trPr>
          <w:trHeight w:val="511"/>
          <w:jc w:val="center"/>
        </w:trPr>
        <w:tc>
          <w:tcPr>
            <w:tcW w:w="728" w:type="pct"/>
            <w:vAlign w:val="center"/>
          </w:tcPr>
          <w:p w:rsidR="000B7F5F" w:rsidRDefault="000B7F5F" w:rsidP="006709B7">
            <w:pPr>
              <w:snapToGrid w:val="0"/>
              <w:jc w:val="center"/>
              <w:rPr>
                <w:rFonts w:ascii="宋体" w:hAnsi="宋体"/>
                <w:sz w:val="22"/>
                <w:szCs w:val="22"/>
              </w:rPr>
            </w:pPr>
            <w:r>
              <w:rPr>
                <w:rFonts w:ascii="宋体" w:hAnsi="宋体" w:hint="eastAsia"/>
                <w:sz w:val="22"/>
                <w:szCs w:val="22"/>
              </w:rPr>
              <w:t>5</w:t>
            </w:r>
          </w:p>
        </w:tc>
        <w:tc>
          <w:tcPr>
            <w:tcW w:w="1829" w:type="pct"/>
            <w:vAlign w:val="center"/>
          </w:tcPr>
          <w:p w:rsidR="000B7F5F" w:rsidRDefault="000B7F5F" w:rsidP="006709B7">
            <w:pPr>
              <w:snapToGrid w:val="0"/>
              <w:rPr>
                <w:rFonts w:ascii="Calibri" w:hAnsi="Calibri"/>
                <w:sz w:val="22"/>
                <w:szCs w:val="22"/>
              </w:rPr>
            </w:pPr>
            <w:r>
              <w:rPr>
                <w:rFonts w:ascii="宋体" w:hAnsi="宋体" w:hint="eastAsia"/>
                <w:sz w:val="24"/>
                <w:szCs w:val="24"/>
              </w:rPr>
              <w:t>建筑装修垃圾机械分拣设备</w:t>
            </w:r>
          </w:p>
        </w:tc>
        <w:tc>
          <w:tcPr>
            <w:tcW w:w="831" w:type="pct"/>
            <w:vAlign w:val="center"/>
          </w:tcPr>
          <w:p w:rsidR="000B7F5F" w:rsidRDefault="000B7F5F" w:rsidP="006709B7">
            <w:pPr>
              <w:snapToGrid w:val="0"/>
              <w:jc w:val="center"/>
              <w:rPr>
                <w:rFonts w:ascii="Calibri" w:hAnsi="Calibri"/>
                <w:sz w:val="22"/>
                <w:szCs w:val="22"/>
              </w:rPr>
            </w:pPr>
            <w:r>
              <w:rPr>
                <w:rFonts w:ascii="宋体" w:hAnsi="宋体" w:hint="eastAsia"/>
                <w:sz w:val="24"/>
                <w:szCs w:val="24"/>
              </w:rPr>
              <w:t>1台</w:t>
            </w:r>
          </w:p>
        </w:tc>
        <w:tc>
          <w:tcPr>
            <w:tcW w:w="1612" w:type="pct"/>
            <w:vAlign w:val="center"/>
          </w:tcPr>
          <w:p w:rsidR="000B7F5F" w:rsidRDefault="000B7F5F" w:rsidP="006709B7">
            <w:pPr>
              <w:snapToGrid w:val="0"/>
              <w:rPr>
                <w:rFonts w:ascii="Calibri" w:hAnsi="Calibri"/>
                <w:sz w:val="22"/>
                <w:szCs w:val="22"/>
              </w:rPr>
            </w:pPr>
          </w:p>
        </w:tc>
      </w:tr>
    </w:tbl>
    <w:p w:rsidR="000B7F5F" w:rsidRDefault="000B7F5F" w:rsidP="000B7F5F">
      <w:pPr>
        <w:adjustRightInd w:val="0"/>
        <w:snapToGrid w:val="0"/>
        <w:spacing w:beforeLines="100" w:before="312" w:line="360" w:lineRule="auto"/>
        <w:ind w:firstLineChars="177" w:firstLine="425"/>
        <w:rPr>
          <w:rFonts w:ascii="宋体" w:hAnsi="宋体" w:hint="eastAsia"/>
          <w:sz w:val="24"/>
          <w:szCs w:val="24"/>
        </w:rPr>
      </w:pPr>
      <w:r>
        <w:rPr>
          <w:rFonts w:ascii="宋体" w:hAnsi="宋体" w:hint="eastAsia"/>
          <w:sz w:val="24"/>
          <w:szCs w:val="24"/>
        </w:rPr>
        <w:t>15、具有固定的办公营业场所和运输车辆停放场地。</w:t>
      </w:r>
    </w:p>
    <w:p w:rsidR="000B7F5F" w:rsidRDefault="000B7F5F" w:rsidP="000B7F5F">
      <w:pPr>
        <w:adjustRightInd w:val="0"/>
        <w:snapToGrid w:val="0"/>
        <w:spacing w:beforeLines="100" w:before="312" w:line="360" w:lineRule="auto"/>
        <w:ind w:firstLineChars="177" w:firstLine="425"/>
        <w:rPr>
          <w:rFonts w:ascii="宋体" w:hAnsi="宋体" w:hint="eastAsia"/>
          <w:sz w:val="24"/>
          <w:szCs w:val="24"/>
        </w:rPr>
      </w:pPr>
      <w:r>
        <w:rPr>
          <w:rFonts w:ascii="宋体" w:hAnsi="宋体" w:hint="eastAsia"/>
          <w:sz w:val="24"/>
          <w:szCs w:val="24"/>
        </w:rPr>
        <w:t>16、供应商应根据项目实际情况，配备充足的操作人员。</w:t>
      </w:r>
    </w:p>
    <w:p w:rsidR="000B7F5F" w:rsidRPr="000A2A30" w:rsidRDefault="000B7F5F" w:rsidP="000B7F5F">
      <w:pPr>
        <w:tabs>
          <w:tab w:val="left" w:pos="765"/>
        </w:tabs>
        <w:adjustRightInd w:val="0"/>
        <w:snapToGrid w:val="0"/>
        <w:spacing w:line="360" w:lineRule="auto"/>
        <w:rPr>
          <w:rFonts w:ascii="宋体" w:hAnsi="宋体" w:hint="eastAsia"/>
          <w:bCs/>
          <w:sz w:val="24"/>
          <w:szCs w:val="24"/>
        </w:rPr>
      </w:pPr>
    </w:p>
    <w:p w:rsidR="000B7F5F" w:rsidRPr="000A2A30" w:rsidRDefault="000B7F5F" w:rsidP="000B7F5F">
      <w:pPr>
        <w:numPr>
          <w:ilvl w:val="0"/>
          <w:numId w:val="1"/>
        </w:numPr>
        <w:adjustRightInd w:val="0"/>
        <w:snapToGrid w:val="0"/>
        <w:spacing w:beforeLines="100" w:before="312" w:line="360" w:lineRule="auto"/>
        <w:rPr>
          <w:rFonts w:ascii="宋体" w:hAnsi="宋体" w:hint="eastAsia"/>
          <w:b/>
          <w:sz w:val="24"/>
          <w:szCs w:val="24"/>
        </w:rPr>
      </w:pPr>
      <w:r w:rsidRPr="000A2A30">
        <w:rPr>
          <w:rFonts w:ascii="宋体" w:hAnsi="宋体" w:hint="eastAsia"/>
          <w:b/>
          <w:sz w:val="24"/>
          <w:szCs w:val="24"/>
        </w:rPr>
        <w:t>项目考核要求</w:t>
      </w:r>
    </w:p>
    <w:p w:rsidR="000B7F5F" w:rsidRPr="00804E84" w:rsidRDefault="000B7F5F" w:rsidP="000B7F5F">
      <w:pPr>
        <w:adjustRightInd w:val="0"/>
        <w:snapToGrid w:val="0"/>
        <w:spacing w:beforeLines="100" w:before="312" w:line="360" w:lineRule="auto"/>
        <w:rPr>
          <w:rFonts w:ascii="宋体" w:hAnsi="宋体" w:hint="eastAsia"/>
          <w:sz w:val="24"/>
          <w:szCs w:val="24"/>
        </w:rPr>
      </w:pPr>
      <w:r w:rsidRPr="00804E84">
        <w:rPr>
          <w:rFonts w:ascii="宋体" w:hAnsi="宋体" w:hint="eastAsia"/>
          <w:sz w:val="24"/>
          <w:szCs w:val="24"/>
        </w:rPr>
        <w:t>遵循《装修、暴露、绿化、大件垃圾清运处置考核细则》</w:t>
      </w:r>
    </w:p>
    <w:p w:rsidR="000B7F5F" w:rsidRPr="00804E84" w:rsidRDefault="000B7F5F" w:rsidP="000B7F5F">
      <w:pPr>
        <w:adjustRightInd w:val="0"/>
        <w:snapToGrid w:val="0"/>
        <w:spacing w:beforeLines="100" w:before="312" w:line="360" w:lineRule="auto"/>
        <w:rPr>
          <w:rFonts w:ascii="宋体" w:hAnsi="宋体" w:hint="eastAsia"/>
          <w:sz w:val="24"/>
          <w:szCs w:val="24"/>
        </w:rPr>
      </w:pPr>
      <w:r w:rsidRPr="00804E84">
        <w:rPr>
          <w:rFonts w:ascii="宋体" w:hAnsi="宋体" w:hint="eastAsia"/>
          <w:sz w:val="24"/>
          <w:szCs w:val="24"/>
        </w:rPr>
        <w:t>1、考核原则</w:t>
      </w:r>
    </w:p>
    <w:p w:rsidR="000B7F5F" w:rsidRPr="00804E84" w:rsidRDefault="000B7F5F" w:rsidP="000B7F5F">
      <w:pPr>
        <w:adjustRightInd w:val="0"/>
        <w:snapToGrid w:val="0"/>
        <w:spacing w:beforeLines="100" w:before="312" w:line="360" w:lineRule="auto"/>
        <w:rPr>
          <w:rFonts w:ascii="宋体" w:hAnsi="宋体" w:hint="eastAsia"/>
          <w:sz w:val="24"/>
          <w:szCs w:val="24"/>
        </w:rPr>
      </w:pPr>
      <w:r w:rsidRPr="00804E84">
        <w:rPr>
          <w:rFonts w:ascii="宋体" w:hAnsi="宋体" w:hint="eastAsia"/>
          <w:sz w:val="24"/>
          <w:szCs w:val="24"/>
        </w:rPr>
        <w:t>坚持依照相关规定、科学严格、公正公开的基本原则。</w:t>
      </w:r>
    </w:p>
    <w:p w:rsidR="000B7F5F" w:rsidRPr="00804E84" w:rsidRDefault="000B7F5F" w:rsidP="000B7F5F">
      <w:pPr>
        <w:adjustRightInd w:val="0"/>
        <w:snapToGrid w:val="0"/>
        <w:spacing w:beforeLines="100" w:before="312" w:line="360" w:lineRule="auto"/>
        <w:rPr>
          <w:rFonts w:ascii="宋体" w:hAnsi="宋体" w:hint="eastAsia"/>
          <w:sz w:val="24"/>
          <w:szCs w:val="24"/>
        </w:rPr>
      </w:pPr>
      <w:r w:rsidRPr="00804E84">
        <w:rPr>
          <w:rFonts w:ascii="宋体" w:hAnsi="宋体" w:hint="eastAsia"/>
          <w:sz w:val="24"/>
          <w:szCs w:val="24"/>
        </w:rPr>
        <w:t>2、考核范围</w:t>
      </w:r>
    </w:p>
    <w:p w:rsidR="000B7F5F" w:rsidRPr="00804E84" w:rsidRDefault="000B7F5F" w:rsidP="000B7F5F">
      <w:pPr>
        <w:adjustRightInd w:val="0"/>
        <w:snapToGrid w:val="0"/>
        <w:spacing w:beforeLines="100" w:before="312" w:line="360" w:lineRule="auto"/>
        <w:rPr>
          <w:rFonts w:ascii="宋体" w:hAnsi="宋体" w:hint="eastAsia"/>
          <w:sz w:val="24"/>
          <w:szCs w:val="24"/>
        </w:rPr>
      </w:pPr>
      <w:r>
        <w:rPr>
          <w:rFonts w:ascii="宋体" w:hAnsi="宋体" w:hint="eastAsia"/>
          <w:sz w:val="24"/>
          <w:szCs w:val="24"/>
        </w:rPr>
        <w:t>本次招标范围内的建筑装修垃圾、大件垃圾、绿化垃圾、暴露整治垃圾清运、分</w:t>
      </w:r>
      <w:r>
        <w:rPr>
          <w:rFonts w:ascii="宋体" w:hAnsi="宋体" w:hint="eastAsia"/>
          <w:sz w:val="24"/>
          <w:szCs w:val="24"/>
        </w:rPr>
        <w:lastRenderedPageBreak/>
        <w:t>拣、处置等内容</w:t>
      </w:r>
      <w:r w:rsidRPr="00804E84">
        <w:rPr>
          <w:rFonts w:ascii="宋体" w:hAnsi="宋体" w:hint="eastAsia"/>
          <w:sz w:val="24"/>
          <w:szCs w:val="24"/>
        </w:rPr>
        <w:t>。</w:t>
      </w:r>
    </w:p>
    <w:p w:rsidR="000B7F5F" w:rsidRPr="00804E84" w:rsidRDefault="000B7F5F" w:rsidP="000B7F5F">
      <w:pPr>
        <w:adjustRightInd w:val="0"/>
        <w:snapToGrid w:val="0"/>
        <w:spacing w:beforeLines="100" w:before="312" w:line="360" w:lineRule="auto"/>
        <w:rPr>
          <w:rFonts w:ascii="宋体" w:hAnsi="宋体" w:hint="eastAsia"/>
          <w:sz w:val="24"/>
          <w:szCs w:val="24"/>
        </w:rPr>
      </w:pPr>
      <w:r w:rsidRPr="00804E84">
        <w:rPr>
          <w:rFonts w:ascii="宋体" w:hAnsi="宋体" w:hint="eastAsia"/>
          <w:sz w:val="24"/>
          <w:szCs w:val="24"/>
        </w:rPr>
        <w:t>3、考核实施主体和考核对象</w:t>
      </w:r>
    </w:p>
    <w:p w:rsidR="000B7F5F" w:rsidRPr="00804E84" w:rsidRDefault="000B7F5F" w:rsidP="000B7F5F">
      <w:pPr>
        <w:adjustRightInd w:val="0"/>
        <w:snapToGrid w:val="0"/>
        <w:spacing w:beforeLines="100" w:before="312" w:line="360" w:lineRule="auto"/>
        <w:rPr>
          <w:rFonts w:ascii="宋体" w:hAnsi="宋体" w:hint="eastAsia"/>
          <w:sz w:val="24"/>
          <w:szCs w:val="24"/>
        </w:rPr>
      </w:pPr>
      <w:r w:rsidRPr="00804E84">
        <w:rPr>
          <w:rFonts w:ascii="宋体" w:hAnsi="宋体" w:hint="eastAsia"/>
          <w:sz w:val="24"/>
          <w:szCs w:val="24"/>
        </w:rPr>
        <w:t>上海市闵行区马桥镇城市建设管理事务中心为考核主体，考核对象为2026年马桥镇暴露垃圾及居民区（不含别墅区范围）装修垃圾清运处置服务的成交供应商。</w:t>
      </w:r>
    </w:p>
    <w:p w:rsidR="000B7F5F" w:rsidRPr="00804E84" w:rsidRDefault="000B7F5F" w:rsidP="000B7F5F">
      <w:pPr>
        <w:adjustRightInd w:val="0"/>
        <w:snapToGrid w:val="0"/>
        <w:spacing w:beforeLines="100" w:before="312" w:line="360" w:lineRule="auto"/>
        <w:rPr>
          <w:rFonts w:ascii="宋体" w:hAnsi="宋体" w:hint="eastAsia"/>
          <w:sz w:val="24"/>
          <w:szCs w:val="24"/>
        </w:rPr>
      </w:pPr>
      <w:r w:rsidRPr="00804E84">
        <w:rPr>
          <w:rFonts w:ascii="宋体" w:hAnsi="宋体" w:hint="eastAsia"/>
          <w:sz w:val="24"/>
          <w:szCs w:val="24"/>
        </w:rPr>
        <w:t>4、考核方式</w:t>
      </w:r>
    </w:p>
    <w:p w:rsidR="000B7F5F" w:rsidRPr="00804E84" w:rsidRDefault="000B7F5F" w:rsidP="000B7F5F">
      <w:pPr>
        <w:adjustRightInd w:val="0"/>
        <w:snapToGrid w:val="0"/>
        <w:spacing w:beforeLines="100" w:before="312" w:line="360" w:lineRule="auto"/>
        <w:rPr>
          <w:rFonts w:ascii="宋体" w:hAnsi="宋体" w:hint="eastAsia"/>
          <w:sz w:val="24"/>
          <w:szCs w:val="24"/>
        </w:rPr>
      </w:pPr>
      <w:r w:rsidRPr="00804E84">
        <w:rPr>
          <w:rFonts w:ascii="宋体" w:hAnsi="宋体" w:hint="eastAsia"/>
          <w:sz w:val="24"/>
          <w:szCs w:val="24"/>
        </w:rPr>
        <w:t>由上海市闵行区马桥镇城市建设管理事务中心负责进行考核，考核分数为日常考核，日常考核由马桥镇城市建设管理事务中心按季度进行打分，最终分数为所有月度评分表得分平均数。</w:t>
      </w:r>
    </w:p>
    <w:p w:rsidR="000B7F5F" w:rsidRPr="00804E84" w:rsidRDefault="000B7F5F" w:rsidP="000B7F5F">
      <w:pPr>
        <w:adjustRightInd w:val="0"/>
        <w:snapToGrid w:val="0"/>
        <w:spacing w:beforeLines="100" w:before="312" w:line="360" w:lineRule="auto"/>
        <w:rPr>
          <w:rFonts w:ascii="宋体" w:hAnsi="宋体" w:hint="eastAsia"/>
          <w:sz w:val="24"/>
          <w:szCs w:val="24"/>
        </w:rPr>
      </w:pPr>
      <w:r w:rsidRPr="00804E84">
        <w:rPr>
          <w:rFonts w:ascii="宋体" w:hAnsi="宋体" w:hint="eastAsia"/>
          <w:sz w:val="24"/>
          <w:szCs w:val="24"/>
        </w:rPr>
        <w:t>5、考核内容</w:t>
      </w:r>
    </w:p>
    <w:p w:rsidR="000B7F5F" w:rsidRPr="00804E84" w:rsidRDefault="000B7F5F" w:rsidP="000B7F5F">
      <w:pPr>
        <w:adjustRightInd w:val="0"/>
        <w:snapToGrid w:val="0"/>
        <w:spacing w:beforeLines="100" w:before="312" w:line="360" w:lineRule="auto"/>
        <w:rPr>
          <w:rFonts w:ascii="宋体" w:hAnsi="宋体" w:hint="eastAsia"/>
          <w:sz w:val="24"/>
          <w:szCs w:val="24"/>
        </w:rPr>
      </w:pPr>
      <w:r w:rsidRPr="00804E84">
        <w:rPr>
          <w:rFonts w:ascii="宋体" w:hAnsi="宋体" w:hint="eastAsia"/>
          <w:sz w:val="24"/>
          <w:szCs w:val="24"/>
        </w:rPr>
        <w:t>评分细则详见下表。</w:t>
      </w:r>
    </w:p>
    <w:p w:rsidR="000B7F5F" w:rsidRPr="00804E84" w:rsidRDefault="000B7F5F" w:rsidP="000B7F5F">
      <w:pPr>
        <w:adjustRightInd w:val="0"/>
        <w:snapToGrid w:val="0"/>
        <w:spacing w:beforeLines="100" w:before="312" w:line="360" w:lineRule="auto"/>
        <w:rPr>
          <w:rFonts w:ascii="宋体" w:hAnsi="宋体" w:hint="eastAsia"/>
          <w:sz w:val="24"/>
          <w:szCs w:val="24"/>
        </w:rPr>
      </w:pPr>
      <w:r w:rsidRPr="00804E84">
        <w:rPr>
          <w:rFonts w:ascii="宋体" w:hAnsi="宋体" w:hint="eastAsia"/>
          <w:sz w:val="24"/>
          <w:szCs w:val="24"/>
        </w:rPr>
        <w:t>2026年马桥镇暴露垃圾及居民区（不含别墅区范围）装修垃圾清运处置服务考核细则</w:t>
      </w:r>
    </w:p>
    <w:p w:rsidR="000B7F5F" w:rsidRPr="00804E84" w:rsidRDefault="000B7F5F" w:rsidP="000B7F5F">
      <w:pPr>
        <w:adjustRightInd w:val="0"/>
        <w:snapToGrid w:val="0"/>
        <w:spacing w:beforeLines="100" w:before="312" w:line="360" w:lineRule="auto"/>
        <w:rPr>
          <w:rFonts w:ascii="宋体" w:hAnsi="宋体" w:hint="eastAsia"/>
          <w:sz w:val="24"/>
          <w:szCs w:val="24"/>
        </w:rPr>
      </w:pPr>
      <w:r w:rsidRPr="00804E84">
        <w:rPr>
          <w:rFonts w:ascii="宋体" w:hAnsi="宋体" w:hint="eastAsia"/>
          <w:sz w:val="24"/>
          <w:szCs w:val="24"/>
        </w:rPr>
        <w:t>考核对象：成交供应商</w:t>
      </w:r>
    </w:p>
    <w:p w:rsidR="000B7F5F" w:rsidRPr="00804E84" w:rsidRDefault="000B7F5F" w:rsidP="000B7F5F">
      <w:pPr>
        <w:adjustRightInd w:val="0"/>
        <w:snapToGrid w:val="0"/>
        <w:spacing w:beforeLines="100" w:before="312" w:line="360" w:lineRule="auto"/>
        <w:rPr>
          <w:rFonts w:ascii="宋体" w:hAnsi="宋体" w:hint="eastAsia"/>
          <w:sz w:val="24"/>
          <w:szCs w:val="24"/>
        </w:rPr>
      </w:pPr>
      <w:r w:rsidRPr="00804E84">
        <w:rPr>
          <w:rFonts w:ascii="宋体" w:hAnsi="宋体" w:hint="eastAsia"/>
          <w:sz w:val="24"/>
          <w:szCs w:val="24"/>
        </w:rPr>
        <w:t>考评单位：上海市闵行区马桥镇城市建设管理事务中心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7"/>
        <w:gridCol w:w="1067"/>
        <w:gridCol w:w="1147"/>
        <w:gridCol w:w="1975"/>
        <w:gridCol w:w="426"/>
        <w:gridCol w:w="2069"/>
        <w:gridCol w:w="530"/>
        <w:gridCol w:w="511"/>
      </w:tblGrid>
      <w:tr w:rsidR="000B7F5F" w:rsidRPr="00B04EF2" w:rsidTr="006709B7">
        <w:trPr>
          <w:jc w:val="center"/>
        </w:trPr>
        <w:tc>
          <w:tcPr>
            <w:tcW w:w="467"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jc w:val="center"/>
              <w:rPr>
                <w:rFonts w:ascii="宋体" w:hAnsi="宋体" w:cs="宋体" w:hint="eastAsia"/>
                <w:szCs w:val="21"/>
              </w:rPr>
            </w:pPr>
            <w:r w:rsidRPr="00B04EF2">
              <w:rPr>
                <w:rFonts w:ascii="宋体" w:hAnsi="宋体" w:cs="宋体" w:hint="eastAsia"/>
                <w:szCs w:val="21"/>
              </w:rPr>
              <w:t>序号</w:t>
            </w:r>
          </w:p>
        </w:tc>
        <w:tc>
          <w:tcPr>
            <w:tcW w:w="1299" w:type="pct"/>
            <w:gridSpan w:val="2"/>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jc w:val="center"/>
              <w:rPr>
                <w:rFonts w:ascii="宋体" w:hAnsi="宋体" w:cs="宋体" w:hint="eastAsia"/>
                <w:szCs w:val="21"/>
              </w:rPr>
            </w:pPr>
            <w:r w:rsidRPr="00B04EF2">
              <w:rPr>
                <w:rFonts w:ascii="宋体" w:hAnsi="宋体" w:cs="宋体" w:hint="eastAsia"/>
                <w:szCs w:val="21"/>
              </w:rPr>
              <w:t>考核项目</w:t>
            </w:r>
          </w:p>
        </w:tc>
        <w:tc>
          <w:tcPr>
            <w:tcW w:w="1159"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jc w:val="center"/>
              <w:rPr>
                <w:rFonts w:ascii="宋体" w:hAnsi="宋体" w:cs="宋体" w:hint="eastAsia"/>
                <w:szCs w:val="21"/>
              </w:rPr>
            </w:pPr>
            <w:r w:rsidRPr="00B04EF2">
              <w:rPr>
                <w:rFonts w:ascii="宋体" w:hAnsi="宋体" w:cs="宋体" w:hint="eastAsia"/>
                <w:szCs w:val="21"/>
              </w:rPr>
              <w:t>考核内容</w:t>
            </w:r>
          </w:p>
        </w:tc>
        <w:tc>
          <w:tcPr>
            <w:tcW w:w="250"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jc w:val="center"/>
              <w:rPr>
                <w:rFonts w:ascii="宋体" w:hAnsi="宋体" w:cs="宋体" w:hint="eastAsia"/>
                <w:szCs w:val="21"/>
              </w:rPr>
            </w:pPr>
            <w:r w:rsidRPr="00B04EF2">
              <w:rPr>
                <w:rFonts w:ascii="宋体" w:hAnsi="宋体" w:cs="宋体" w:hint="eastAsia"/>
                <w:szCs w:val="21"/>
              </w:rPr>
              <w:t>分值</w:t>
            </w:r>
          </w:p>
        </w:tc>
        <w:tc>
          <w:tcPr>
            <w:tcW w:w="1214"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jc w:val="center"/>
              <w:rPr>
                <w:rFonts w:ascii="宋体" w:hAnsi="宋体" w:cs="宋体" w:hint="eastAsia"/>
                <w:szCs w:val="21"/>
              </w:rPr>
            </w:pPr>
            <w:r w:rsidRPr="00B04EF2">
              <w:rPr>
                <w:rFonts w:ascii="宋体" w:hAnsi="宋体" w:cs="宋体" w:hint="eastAsia"/>
                <w:szCs w:val="21"/>
              </w:rPr>
              <w:t>考评标准</w:t>
            </w:r>
          </w:p>
        </w:tc>
        <w:tc>
          <w:tcPr>
            <w:tcW w:w="311"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jc w:val="center"/>
              <w:rPr>
                <w:rFonts w:ascii="宋体" w:hAnsi="宋体" w:cs="宋体" w:hint="eastAsia"/>
                <w:szCs w:val="21"/>
              </w:rPr>
            </w:pPr>
            <w:r w:rsidRPr="00B04EF2">
              <w:rPr>
                <w:rFonts w:ascii="宋体" w:hAnsi="宋体" w:cs="宋体" w:hint="eastAsia"/>
                <w:szCs w:val="21"/>
              </w:rPr>
              <w:t>得分</w:t>
            </w:r>
          </w:p>
        </w:tc>
        <w:tc>
          <w:tcPr>
            <w:tcW w:w="302"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jc w:val="center"/>
              <w:rPr>
                <w:rFonts w:ascii="宋体" w:hAnsi="宋体" w:cs="宋体" w:hint="eastAsia"/>
                <w:szCs w:val="21"/>
              </w:rPr>
            </w:pPr>
            <w:r w:rsidRPr="00B04EF2">
              <w:rPr>
                <w:rFonts w:ascii="宋体" w:hAnsi="宋体" w:cs="宋体" w:hint="eastAsia"/>
                <w:szCs w:val="21"/>
              </w:rPr>
              <w:t>备注</w:t>
            </w:r>
          </w:p>
        </w:tc>
      </w:tr>
      <w:tr w:rsidR="000B7F5F" w:rsidRPr="00B04EF2" w:rsidTr="006709B7">
        <w:trPr>
          <w:trHeight w:val="890"/>
          <w:jc w:val="center"/>
        </w:trPr>
        <w:tc>
          <w:tcPr>
            <w:tcW w:w="467"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jc w:val="center"/>
              <w:rPr>
                <w:rFonts w:ascii="宋体" w:hAnsi="宋体" w:cs="宋体" w:hint="eastAsia"/>
                <w:szCs w:val="21"/>
              </w:rPr>
            </w:pPr>
            <w:r w:rsidRPr="00B04EF2">
              <w:rPr>
                <w:rFonts w:ascii="宋体" w:hAnsi="宋体" w:cs="宋体" w:hint="eastAsia"/>
                <w:szCs w:val="21"/>
              </w:rPr>
              <w:t>1</w:t>
            </w:r>
          </w:p>
        </w:tc>
        <w:tc>
          <w:tcPr>
            <w:tcW w:w="626"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r w:rsidRPr="00B04EF2">
              <w:rPr>
                <w:rFonts w:ascii="宋体" w:hAnsi="宋体" w:cs="宋体" w:hint="eastAsia"/>
                <w:szCs w:val="21"/>
              </w:rPr>
              <w:t>工作机制</w:t>
            </w:r>
          </w:p>
        </w:tc>
        <w:tc>
          <w:tcPr>
            <w:tcW w:w="673"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r w:rsidRPr="00B04EF2">
              <w:rPr>
                <w:rFonts w:ascii="宋体" w:hAnsi="宋体" w:cs="宋体" w:hint="eastAsia"/>
                <w:szCs w:val="21"/>
              </w:rPr>
              <w:t>工作机制</w:t>
            </w:r>
          </w:p>
        </w:tc>
        <w:tc>
          <w:tcPr>
            <w:tcW w:w="1159"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r w:rsidRPr="00B04EF2">
              <w:rPr>
                <w:rFonts w:ascii="宋体" w:hAnsi="宋体" w:cs="宋体" w:hint="eastAsia"/>
                <w:szCs w:val="21"/>
              </w:rPr>
              <w:t>有完善的管理制度，有明确的组织机构、人员分工等并上墙。</w:t>
            </w:r>
          </w:p>
        </w:tc>
        <w:tc>
          <w:tcPr>
            <w:tcW w:w="250"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r w:rsidRPr="00B04EF2">
              <w:rPr>
                <w:rFonts w:ascii="宋体" w:hAnsi="宋体" w:cs="宋体" w:hint="eastAsia"/>
                <w:szCs w:val="21"/>
              </w:rPr>
              <w:t>10</w:t>
            </w:r>
          </w:p>
        </w:tc>
        <w:tc>
          <w:tcPr>
            <w:tcW w:w="1214"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r w:rsidRPr="00B04EF2">
              <w:rPr>
                <w:rFonts w:ascii="宋体" w:hAnsi="宋体" w:cs="宋体" w:hint="eastAsia"/>
                <w:szCs w:val="21"/>
              </w:rPr>
              <w:t>任意一点未达到要求的，本项不得分</w:t>
            </w:r>
          </w:p>
        </w:tc>
        <w:tc>
          <w:tcPr>
            <w:tcW w:w="311"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p>
        </w:tc>
        <w:tc>
          <w:tcPr>
            <w:tcW w:w="302"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p>
        </w:tc>
      </w:tr>
      <w:tr w:rsidR="000B7F5F" w:rsidRPr="00B04EF2" w:rsidTr="006709B7">
        <w:trPr>
          <w:trHeight w:val="890"/>
          <w:jc w:val="center"/>
        </w:trPr>
        <w:tc>
          <w:tcPr>
            <w:tcW w:w="467" w:type="pct"/>
            <w:vMerge w:val="restar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jc w:val="center"/>
              <w:rPr>
                <w:rFonts w:ascii="宋体" w:hAnsi="宋体" w:cs="宋体" w:hint="eastAsia"/>
                <w:szCs w:val="21"/>
              </w:rPr>
            </w:pPr>
            <w:r w:rsidRPr="00B04EF2">
              <w:rPr>
                <w:rFonts w:ascii="宋体" w:hAnsi="宋体" w:cs="宋体" w:hint="eastAsia"/>
                <w:szCs w:val="21"/>
              </w:rPr>
              <w:t>2</w:t>
            </w:r>
          </w:p>
        </w:tc>
        <w:tc>
          <w:tcPr>
            <w:tcW w:w="626" w:type="pct"/>
            <w:vMerge w:val="restar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r w:rsidRPr="00B04EF2">
              <w:rPr>
                <w:rFonts w:ascii="宋体" w:hAnsi="宋体" w:cs="宋体" w:hint="eastAsia"/>
                <w:szCs w:val="21"/>
              </w:rPr>
              <w:t>作业管理</w:t>
            </w:r>
          </w:p>
        </w:tc>
        <w:tc>
          <w:tcPr>
            <w:tcW w:w="673"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r w:rsidRPr="00B04EF2">
              <w:rPr>
                <w:rFonts w:ascii="宋体" w:hAnsi="宋体" w:cs="宋体" w:hint="eastAsia"/>
                <w:szCs w:val="21"/>
              </w:rPr>
              <w:t>车辆管理</w:t>
            </w:r>
          </w:p>
        </w:tc>
        <w:tc>
          <w:tcPr>
            <w:tcW w:w="1159"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r w:rsidRPr="00B04EF2">
              <w:rPr>
                <w:rFonts w:ascii="宋体" w:hAnsi="宋体" w:cs="宋体" w:hint="eastAsia"/>
                <w:szCs w:val="21"/>
              </w:rPr>
              <w:t>车辆车况完好、车容整洁；无道路交通违法行为。</w:t>
            </w:r>
          </w:p>
        </w:tc>
        <w:tc>
          <w:tcPr>
            <w:tcW w:w="250"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r w:rsidRPr="00B04EF2">
              <w:rPr>
                <w:rFonts w:ascii="宋体" w:hAnsi="宋体" w:cs="宋体" w:hint="eastAsia"/>
                <w:szCs w:val="21"/>
              </w:rPr>
              <w:t>10</w:t>
            </w:r>
          </w:p>
        </w:tc>
        <w:tc>
          <w:tcPr>
            <w:tcW w:w="1214"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r w:rsidRPr="00B04EF2">
              <w:rPr>
                <w:rFonts w:ascii="宋体" w:hAnsi="宋体" w:cs="宋体" w:hint="eastAsia"/>
                <w:szCs w:val="21"/>
              </w:rPr>
              <w:t>车容车貌不整洁的每次扣1分；交通违法行为每次扣2分。</w:t>
            </w:r>
          </w:p>
        </w:tc>
        <w:tc>
          <w:tcPr>
            <w:tcW w:w="311"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p>
        </w:tc>
        <w:tc>
          <w:tcPr>
            <w:tcW w:w="302"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p>
        </w:tc>
      </w:tr>
      <w:tr w:rsidR="000B7F5F" w:rsidRPr="00B04EF2" w:rsidTr="006709B7">
        <w:trPr>
          <w:trHeight w:val="890"/>
          <w:jc w:val="center"/>
        </w:trPr>
        <w:tc>
          <w:tcPr>
            <w:tcW w:w="467" w:type="pct"/>
            <w:vMerge/>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jc w:val="center"/>
              <w:rPr>
                <w:rFonts w:ascii="宋体" w:hAnsi="宋体" w:cs="宋体" w:hint="eastAsia"/>
                <w:szCs w:val="21"/>
              </w:rPr>
            </w:pPr>
          </w:p>
        </w:tc>
        <w:tc>
          <w:tcPr>
            <w:tcW w:w="626" w:type="pct"/>
            <w:vMerge/>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p>
        </w:tc>
        <w:tc>
          <w:tcPr>
            <w:tcW w:w="673"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r w:rsidRPr="00B04EF2">
              <w:rPr>
                <w:rFonts w:ascii="宋体" w:hAnsi="宋体" w:cs="宋体" w:hint="eastAsia"/>
                <w:szCs w:val="21"/>
              </w:rPr>
              <w:t>文明作业</w:t>
            </w:r>
          </w:p>
        </w:tc>
        <w:tc>
          <w:tcPr>
            <w:tcW w:w="1159"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r w:rsidRPr="00B04EF2">
              <w:rPr>
                <w:rFonts w:ascii="宋体" w:hAnsi="宋体" w:cs="宋体" w:hint="eastAsia"/>
                <w:szCs w:val="21"/>
              </w:rPr>
              <w:t>收运过程中做到密闭运输，无扬尘、无跑冒滴漏等现</w:t>
            </w:r>
            <w:r w:rsidRPr="00B04EF2">
              <w:rPr>
                <w:rFonts w:ascii="宋体" w:hAnsi="宋体" w:cs="宋体" w:hint="eastAsia"/>
                <w:szCs w:val="21"/>
              </w:rPr>
              <w:lastRenderedPageBreak/>
              <w:t>象；车辆作业时无扰民现象；无混装混运现象；无群众投诉。</w:t>
            </w:r>
          </w:p>
        </w:tc>
        <w:tc>
          <w:tcPr>
            <w:tcW w:w="250"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r w:rsidRPr="00B04EF2">
              <w:rPr>
                <w:rFonts w:ascii="宋体" w:hAnsi="宋体" w:cs="宋体" w:hint="eastAsia"/>
                <w:szCs w:val="21"/>
              </w:rPr>
              <w:lastRenderedPageBreak/>
              <w:t>10</w:t>
            </w:r>
          </w:p>
        </w:tc>
        <w:tc>
          <w:tcPr>
            <w:tcW w:w="1214"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r w:rsidRPr="00B04EF2">
              <w:rPr>
                <w:rFonts w:ascii="宋体" w:hAnsi="宋体" w:cs="宋体" w:hint="eastAsia"/>
                <w:szCs w:val="21"/>
              </w:rPr>
              <w:t>未密闭运输的每次扣1分；扬尘、跑冒滴漏的每次扣1分；</w:t>
            </w:r>
            <w:r w:rsidRPr="00B04EF2">
              <w:rPr>
                <w:rFonts w:ascii="宋体" w:hAnsi="宋体" w:cs="宋体" w:hint="eastAsia"/>
                <w:szCs w:val="21"/>
              </w:rPr>
              <w:lastRenderedPageBreak/>
              <w:t>作业扰民每次扣2分；混装混运的本项不得分；有投诉的每起扣1分。</w:t>
            </w:r>
          </w:p>
        </w:tc>
        <w:tc>
          <w:tcPr>
            <w:tcW w:w="311"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p>
        </w:tc>
        <w:tc>
          <w:tcPr>
            <w:tcW w:w="302"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p>
        </w:tc>
      </w:tr>
      <w:tr w:rsidR="000B7F5F" w:rsidRPr="00B04EF2" w:rsidTr="006709B7">
        <w:trPr>
          <w:trHeight w:val="890"/>
          <w:jc w:val="center"/>
        </w:trPr>
        <w:tc>
          <w:tcPr>
            <w:tcW w:w="467"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jc w:val="center"/>
              <w:rPr>
                <w:rFonts w:ascii="宋体" w:hAnsi="宋体" w:cs="宋体" w:hint="eastAsia"/>
                <w:szCs w:val="21"/>
              </w:rPr>
            </w:pPr>
            <w:r w:rsidRPr="00B04EF2">
              <w:rPr>
                <w:rFonts w:ascii="宋体" w:hAnsi="宋体" w:cs="宋体" w:hint="eastAsia"/>
                <w:szCs w:val="21"/>
              </w:rPr>
              <w:lastRenderedPageBreak/>
              <w:t>3</w:t>
            </w:r>
          </w:p>
        </w:tc>
        <w:tc>
          <w:tcPr>
            <w:tcW w:w="626" w:type="pct"/>
            <w:vMerge w:val="restar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jc w:val="center"/>
              <w:rPr>
                <w:rFonts w:ascii="宋体" w:hAnsi="宋体" w:cs="宋体" w:hint="eastAsia"/>
                <w:szCs w:val="21"/>
              </w:rPr>
            </w:pPr>
            <w:r w:rsidRPr="00B04EF2">
              <w:rPr>
                <w:rFonts w:ascii="宋体" w:hAnsi="宋体" w:cs="宋体" w:hint="eastAsia"/>
                <w:szCs w:val="21"/>
              </w:rPr>
              <w:t>装修、暴露、绿化、大件垃圾清运处置</w:t>
            </w:r>
          </w:p>
        </w:tc>
        <w:tc>
          <w:tcPr>
            <w:tcW w:w="673"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r w:rsidRPr="00B04EF2">
              <w:rPr>
                <w:rFonts w:ascii="宋体" w:hAnsi="宋体" w:cs="宋体" w:hint="eastAsia"/>
                <w:szCs w:val="21"/>
              </w:rPr>
              <w:t>运行管理</w:t>
            </w:r>
          </w:p>
        </w:tc>
        <w:tc>
          <w:tcPr>
            <w:tcW w:w="1159"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r w:rsidRPr="00B04EF2">
              <w:rPr>
                <w:rFonts w:ascii="宋体" w:hAnsi="宋体" w:cs="宋体" w:hint="eastAsia"/>
                <w:szCs w:val="21"/>
              </w:rPr>
              <w:t>对进出车辆进行称重并记录；对进场的建筑垃圾及时进行分拣；分拣产生的各类垃圾应分类进行规范处置，并做好台账记录；分拣残渣及时运往末端进行处置。</w:t>
            </w:r>
          </w:p>
        </w:tc>
        <w:tc>
          <w:tcPr>
            <w:tcW w:w="250"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r w:rsidRPr="00B04EF2">
              <w:rPr>
                <w:rFonts w:ascii="宋体" w:hAnsi="宋体" w:cs="宋体" w:hint="eastAsia"/>
                <w:szCs w:val="21"/>
              </w:rPr>
              <w:t>20</w:t>
            </w:r>
          </w:p>
        </w:tc>
        <w:tc>
          <w:tcPr>
            <w:tcW w:w="1214"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r w:rsidRPr="00B04EF2">
              <w:rPr>
                <w:rFonts w:ascii="宋体" w:hAnsi="宋体" w:cs="宋体" w:hint="eastAsia"/>
                <w:szCs w:val="21"/>
              </w:rPr>
              <w:t>未及时分拣的扣5分；各类分拣出的垃圾未规范处置的每次扣1分，台账缺失的每次扣2分；分拣残渣未及时处置的扣5分。</w:t>
            </w:r>
          </w:p>
        </w:tc>
        <w:tc>
          <w:tcPr>
            <w:tcW w:w="311"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p>
        </w:tc>
        <w:tc>
          <w:tcPr>
            <w:tcW w:w="302"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p>
        </w:tc>
      </w:tr>
      <w:tr w:rsidR="000B7F5F" w:rsidRPr="00B04EF2" w:rsidTr="006709B7">
        <w:trPr>
          <w:trHeight w:val="1077"/>
          <w:jc w:val="center"/>
        </w:trPr>
        <w:tc>
          <w:tcPr>
            <w:tcW w:w="467"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jc w:val="center"/>
              <w:rPr>
                <w:rFonts w:ascii="宋体" w:hAnsi="宋体" w:cs="宋体" w:hint="eastAsia"/>
                <w:szCs w:val="21"/>
              </w:rPr>
            </w:pPr>
            <w:r w:rsidRPr="00B04EF2">
              <w:rPr>
                <w:rFonts w:ascii="宋体" w:hAnsi="宋体" w:cs="宋体" w:hint="eastAsia"/>
                <w:szCs w:val="21"/>
              </w:rPr>
              <w:t>4</w:t>
            </w:r>
          </w:p>
        </w:tc>
        <w:tc>
          <w:tcPr>
            <w:tcW w:w="626" w:type="pct"/>
            <w:vMerge/>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p>
        </w:tc>
        <w:tc>
          <w:tcPr>
            <w:tcW w:w="673"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r w:rsidRPr="00B04EF2">
              <w:rPr>
                <w:rFonts w:ascii="宋体" w:hAnsi="宋体" w:cs="宋体" w:hint="eastAsia"/>
                <w:szCs w:val="21"/>
              </w:rPr>
              <w:t>环境管理</w:t>
            </w:r>
          </w:p>
        </w:tc>
        <w:tc>
          <w:tcPr>
            <w:tcW w:w="1159"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r w:rsidRPr="00B04EF2">
              <w:rPr>
                <w:rFonts w:ascii="宋体" w:hAnsi="宋体" w:cs="宋体" w:hint="eastAsia"/>
                <w:szCs w:val="21"/>
              </w:rPr>
              <w:t>场地内设置车辆冲洗装置，对进出车辆进行冲洗；设置扬尘监控装置并确保正常使用；分拣出的各类垃圾应分类有序堆放，</w:t>
            </w:r>
            <w:proofErr w:type="gramStart"/>
            <w:r w:rsidRPr="00B04EF2">
              <w:rPr>
                <w:rFonts w:ascii="宋体" w:hAnsi="宋体" w:cs="宋体" w:hint="eastAsia"/>
                <w:szCs w:val="21"/>
              </w:rPr>
              <w:t>堆体使用绿网</w:t>
            </w:r>
            <w:proofErr w:type="gramEnd"/>
            <w:r w:rsidRPr="00B04EF2">
              <w:rPr>
                <w:rFonts w:ascii="宋体" w:hAnsi="宋体" w:cs="宋体" w:hint="eastAsia"/>
                <w:szCs w:val="21"/>
              </w:rPr>
              <w:t>覆盖；设置雾炮机，定时</w:t>
            </w:r>
            <w:proofErr w:type="gramStart"/>
            <w:r w:rsidRPr="00B04EF2">
              <w:rPr>
                <w:rFonts w:ascii="宋体" w:hAnsi="宋体" w:cs="宋体" w:hint="eastAsia"/>
                <w:szCs w:val="21"/>
              </w:rPr>
              <w:t>对堆体</w:t>
            </w:r>
            <w:proofErr w:type="gramEnd"/>
            <w:r w:rsidRPr="00B04EF2">
              <w:rPr>
                <w:rFonts w:ascii="宋体" w:hAnsi="宋体" w:cs="宋体" w:hint="eastAsia"/>
                <w:szCs w:val="21"/>
              </w:rPr>
              <w:t>进行降尘作业。</w:t>
            </w:r>
          </w:p>
        </w:tc>
        <w:tc>
          <w:tcPr>
            <w:tcW w:w="250"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r w:rsidRPr="00B04EF2">
              <w:rPr>
                <w:rFonts w:ascii="宋体" w:hAnsi="宋体" w:cs="宋体" w:hint="eastAsia"/>
                <w:szCs w:val="21"/>
              </w:rPr>
              <w:t>20</w:t>
            </w:r>
          </w:p>
        </w:tc>
        <w:tc>
          <w:tcPr>
            <w:tcW w:w="1214"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r w:rsidRPr="00B04EF2">
              <w:rPr>
                <w:rFonts w:ascii="宋体" w:hAnsi="宋体" w:cs="宋体" w:hint="eastAsia"/>
                <w:szCs w:val="21"/>
              </w:rPr>
              <w:t>未设置冲洗装置的扣5分；未设置扬尘监控的扣5分；</w:t>
            </w:r>
            <w:proofErr w:type="gramStart"/>
            <w:r w:rsidRPr="00B04EF2">
              <w:rPr>
                <w:rFonts w:ascii="宋体" w:hAnsi="宋体" w:cs="宋体" w:hint="eastAsia"/>
                <w:szCs w:val="21"/>
              </w:rPr>
              <w:t>堆体未使用绿网覆盖</w:t>
            </w:r>
            <w:proofErr w:type="gramEnd"/>
            <w:r w:rsidRPr="00B04EF2">
              <w:rPr>
                <w:rFonts w:ascii="宋体" w:hAnsi="宋体" w:cs="宋体" w:hint="eastAsia"/>
                <w:szCs w:val="21"/>
              </w:rPr>
              <w:t>的每次扣1分；未设置</w:t>
            </w:r>
            <w:proofErr w:type="gramStart"/>
            <w:r w:rsidRPr="00B04EF2">
              <w:rPr>
                <w:rFonts w:ascii="宋体" w:hAnsi="宋体" w:cs="宋体" w:hint="eastAsia"/>
                <w:szCs w:val="21"/>
              </w:rPr>
              <w:t>雾炮机的</w:t>
            </w:r>
            <w:proofErr w:type="gramEnd"/>
            <w:r w:rsidRPr="00B04EF2">
              <w:rPr>
                <w:rFonts w:ascii="宋体" w:hAnsi="宋体" w:cs="宋体" w:hint="eastAsia"/>
                <w:szCs w:val="21"/>
              </w:rPr>
              <w:t>扣5分。</w:t>
            </w:r>
          </w:p>
        </w:tc>
        <w:tc>
          <w:tcPr>
            <w:tcW w:w="311"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p>
        </w:tc>
        <w:tc>
          <w:tcPr>
            <w:tcW w:w="302"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p>
        </w:tc>
      </w:tr>
      <w:tr w:rsidR="000B7F5F" w:rsidRPr="00B04EF2" w:rsidTr="006709B7">
        <w:trPr>
          <w:trHeight w:val="1077"/>
          <w:jc w:val="center"/>
        </w:trPr>
        <w:tc>
          <w:tcPr>
            <w:tcW w:w="467"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jc w:val="center"/>
              <w:rPr>
                <w:rFonts w:ascii="宋体" w:hAnsi="宋体" w:cs="宋体" w:hint="eastAsia"/>
                <w:szCs w:val="21"/>
              </w:rPr>
            </w:pPr>
            <w:r w:rsidRPr="00B04EF2">
              <w:rPr>
                <w:rFonts w:ascii="宋体" w:hAnsi="宋体" w:cs="宋体" w:hint="eastAsia"/>
                <w:szCs w:val="21"/>
              </w:rPr>
              <w:t>5</w:t>
            </w:r>
          </w:p>
        </w:tc>
        <w:tc>
          <w:tcPr>
            <w:tcW w:w="626" w:type="pct"/>
            <w:vMerge/>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p>
        </w:tc>
        <w:tc>
          <w:tcPr>
            <w:tcW w:w="673"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r w:rsidRPr="00B04EF2">
              <w:rPr>
                <w:rFonts w:ascii="宋体" w:hAnsi="宋体" w:cs="宋体" w:hint="eastAsia"/>
                <w:szCs w:val="21"/>
              </w:rPr>
              <w:t>安全管理</w:t>
            </w:r>
          </w:p>
        </w:tc>
        <w:tc>
          <w:tcPr>
            <w:tcW w:w="1159"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r w:rsidRPr="00B04EF2">
              <w:rPr>
                <w:rFonts w:ascii="宋体" w:hAnsi="宋体" w:cs="宋体" w:hint="eastAsia"/>
                <w:szCs w:val="21"/>
              </w:rPr>
              <w:t>有完善的安全作业管理制度；每日开工前、完工后做好机械设备安全性检查工作；夜间作业应有照明设施，现场作业人员应穿反光背心或其它具有明显警示作用的工作服；场地内严禁堆放易燃物品，严禁明火作业，灭火器应置于明显位置并在有效期内。</w:t>
            </w:r>
          </w:p>
        </w:tc>
        <w:tc>
          <w:tcPr>
            <w:tcW w:w="250"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r w:rsidRPr="00B04EF2">
              <w:rPr>
                <w:rFonts w:ascii="宋体" w:hAnsi="宋体" w:cs="宋体" w:hint="eastAsia"/>
                <w:szCs w:val="21"/>
              </w:rPr>
              <w:t>20</w:t>
            </w:r>
          </w:p>
        </w:tc>
        <w:tc>
          <w:tcPr>
            <w:tcW w:w="1214"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r w:rsidRPr="00B04EF2">
              <w:rPr>
                <w:rFonts w:ascii="宋体" w:hAnsi="宋体" w:cs="宋体" w:hint="eastAsia"/>
                <w:szCs w:val="21"/>
              </w:rPr>
              <w:t>没有管理制度的扣5分；夜间作业没有照明或作业人员未穿反光背心或其它具有明显警示作用的工作服的每次扣1分；场地内堆放易燃品的扣10分；明火作业扣10分；未设置灭火器或灭火器过期的扣5分。</w:t>
            </w:r>
          </w:p>
        </w:tc>
        <w:tc>
          <w:tcPr>
            <w:tcW w:w="311"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p>
        </w:tc>
        <w:tc>
          <w:tcPr>
            <w:tcW w:w="302"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p>
        </w:tc>
      </w:tr>
      <w:tr w:rsidR="000B7F5F" w:rsidRPr="00B04EF2" w:rsidTr="006709B7">
        <w:trPr>
          <w:trHeight w:val="1077"/>
          <w:jc w:val="center"/>
        </w:trPr>
        <w:tc>
          <w:tcPr>
            <w:tcW w:w="467"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jc w:val="center"/>
              <w:rPr>
                <w:rFonts w:ascii="宋体" w:hAnsi="宋体" w:cs="宋体" w:hint="eastAsia"/>
                <w:szCs w:val="21"/>
              </w:rPr>
            </w:pPr>
            <w:r w:rsidRPr="00B04EF2">
              <w:rPr>
                <w:rFonts w:ascii="宋体" w:hAnsi="宋体" w:cs="宋体" w:hint="eastAsia"/>
                <w:szCs w:val="21"/>
              </w:rPr>
              <w:lastRenderedPageBreak/>
              <w:t>6</w:t>
            </w:r>
          </w:p>
        </w:tc>
        <w:tc>
          <w:tcPr>
            <w:tcW w:w="626" w:type="pct"/>
            <w:vMerge/>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p>
        </w:tc>
        <w:tc>
          <w:tcPr>
            <w:tcW w:w="673"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r w:rsidRPr="00B04EF2">
              <w:rPr>
                <w:rFonts w:ascii="宋体" w:hAnsi="宋体" w:cs="宋体" w:hint="eastAsia"/>
                <w:szCs w:val="21"/>
              </w:rPr>
              <w:t>人员管理</w:t>
            </w:r>
          </w:p>
        </w:tc>
        <w:tc>
          <w:tcPr>
            <w:tcW w:w="1159"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r w:rsidRPr="00B04EF2">
              <w:rPr>
                <w:rFonts w:ascii="宋体" w:hAnsi="宋体" w:cs="宋体" w:hint="eastAsia"/>
                <w:szCs w:val="21"/>
              </w:rPr>
              <w:t>操作人员必须经过培训、安全教育及考核合格后持证上岗。</w:t>
            </w:r>
          </w:p>
        </w:tc>
        <w:tc>
          <w:tcPr>
            <w:tcW w:w="250"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r w:rsidRPr="00B04EF2">
              <w:rPr>
                <w:rFonts w:ascii="宋体" w:hAnsi="宋体" w:cs="宋体" w:hint="eastAsia"/>
                <w:szCs w:val="21"/>
              </w:rPr>
              <w:t>10</w:t>
            </w:r>
          </w:p>
        </w:tc>
        <w:tc>
          <w:tcPr>
            <w:tcW w:w="1214"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r w:rsidRPr="00B04EF2">
              <w:rPr>
                <w:rFonts w:ascii="宋体" w:hAnsi="宋体" w:cs="宋体" w:hint="eastAsia"/>
                <w:szCs w:val="21"/>
              </w:rPr>
              <w:t>人员未持证上岗的每次扣2分。</w:t>
            </w:r>
          </w:p>
        </w:tc>
        <w:tc>
          <w:tcPr>
            <w:tcW w:w="311"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p>
        </w:tc>
        <w:tc>
          <w:tcPr>
            <w:tcW w:w="302"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p>
        </w:tc>
      </w:tr>
      <w:tr w:rsidR="000B7F5F" w:rsidRPr="00B04EF2" w:rsidTr="006709B7">
        <w:trPr>
          <w:trHeight w:val="474"/>
          <w:jc w:val="center"/>
        </w:trPr>
        <w:tc>
          <w:tcPr>
            <w:tcW w:w="4387" w:type="pct"/>
            <w:gridSpan w:val="6"/>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jc w:val="center"/>
              <w:rPr>
                <w:rFonts w:ascii="宋体" w:hAnsi="宋体" w:cs="宋体" w:hint="eastAsia"/>
                <w:szCs w:val="21"/>
              </w:rPr>
            </w:pPr>
            <w:r w:rsidRPr="00B04EF2">
              <w:rPr>
                <w:rFonts w:ascii="宋体" w:hAnsi="宋体" w:cs="宋体" w:hint="eastAsia"/>
                <w:b/>
                <w:szCs w:val="21"/>
              </w:rPr>
              <w:t>合计</w:t>
            </w:r>
          </w:p>
        </w:tc>
        <w:tc>
          <w:tcPr>
            <w:tcW w:w="311"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p>
        </w:tc>
        <w:tc>
          <w:tcPr>
            <w:tcW w:w="302" w:type="pct"/>
            <w:tcBorders>
              <w:top w:val="single" w:sz="4" w:space="0" w:color="auto"/>
              <w:left w:val="single" w:sz="4" w:space="0" w:color="auto"/>
              <w:bottom w:val="single" w:sz="4" w:space="0" w:color="auto"/>
              <w:right w:val="single" w:sz="4" w:space="0" w:color="auto"/>
            </w:tcBorders>
            <w:vAlign w:val="center"/>
          </w:tcPr>
          <w:p w:rsidR="000B7F5F" w:rsidRPr="00B04EF2" w:rsidRDefault="000B7F5F" w:rsidP="006709B7">
            <w:pPr>
              <w:spacing w:line="276" w:lineRule="auto"/>
              <w:rPr>
                <w:rFonts w:ascii="宋体" w:hAnsi="宋体" w:cs="宋体" w:hint="eastAsia"/>
                <w:szCs w:val="21"/>
              </w:rPr>
            </w:pPr>
          </w:p>
        </w:tc>
      </w:tr>
    </w:tbl>
    <w:p w:rsidR="000B7F5F" w:rsidRPr="000A2A30" w:rsidRDefault="000B7F5F" w:rsidP="000B7F5F">
      <w:pPr>
        <w:adjustRightInd w:val="0"/>
        <w:snapToGrid w:val="0"/>
        <w:spacing w:beforeLines="100" w:before="312" w:line="360" w:lineRule="auto"/>
        <w:rPr>
          <w:rFonts w:ascii="宋体" w:hAnsi="宋体"/>
          <w:sz w:val="24"/>
          <w:szCs w:val="24"/>
        </w:rPr>
      </w:pPr>
      <w:r w:rsidRPr="000A2A30">
        <w:rPr>
          <w:rFonts w:ascii="宋体" w:hAnsi="宋体" w:hint="eastAsia"/>
          <w:sz w:val="24"/>
          <w:szCs w:val="24"/>
        </w:rPr>
        <w:t>6、项目考核结果运用</w:t>
      </w:r>
    </w:p>
    <w:p w:rsidR="000B7F5F" w:rsidRPr="000A2A30" w:rsidRDefault="000B7F5F" w:rsidP="000B7F5F">
      <w:pPr>
        <w:adjustRightInd w:val="0"/>
        <w:snapToGrid w:val="0"/>
        <w:spacing w:beforeLines="100" w:before="312" w:line="360" w:lineRule="auto"/>
        <w:rPr>
          <w:rFonts w:ascii="宋体" w:hAnsi="宋体" w:hint="eastAsia"/>
          <w:sz w:val="24"/>
          <w:szCs w:val="24"/>
        </w:rPr>
      </w:pPr>
      <w:r w:rsidRPr="00466C68">
        <w:rPr>
          <w:rFonts w:ascii="宋体" w:hAnsi="宋体" w:hint="eastAsia"/>
          <w:sz w:val="24"/>
          <w:szCs w:val="24"/>
        </w:rPr>
        <w:t>季度考核费用具体计算方法如下：季度考核分数总分为 100分，由日常考核加权平均后计算得出。最终考核分数在 90 分（含）以上的为合格，考核费用全部支付；最终考核分数低于90分（不含），每降低1分扣除2000元服务费</w:t>
      </w:r>
      <w:r w:rsidRPr="000A2A30">
        <w:rPr>
          <w:rFonts w:ascii="宋体" w:hAnsi="宋体" w:hint="eastAsia"/>
          <w:sz w:val="24"/>
          <w:szCs w:val="24"/>
        </w:rPr>
        <w:t>。</w:t>
      </w:r>
    </w:p>
    <w:p w:rsidR="000B7F5F" w:rsidRPr="000A2A30" w:rsidRDefault="000B7F5F" w:rsidP="000B7F5F">
      <w:pPr>
        <w:numPr>
          <w:ilvl w:val="0"/>
          <w:numId w:val="1"/>
        </w:numPr>
        <w:adjustRightInd w:val="0"/>
        <w:snapToGrid w:val="0"/>
        <w:spacing w:beforeLines="100" w:before="312" w:line="360" w:lineRule="auto"/>
        <w:rPr>
          <w:rFonts w:ascii="宋体" w:hAnsi="宋体" w:hint="eastAsia"/>
          <w:b/>
          <w:sz w:val="24"/>
          <w:szCs w:val="24"/>
        </w:rPr>
      </w:pPr>
      <w:r w:rsidRPr="000A2A30">
        <w:rPr>
          <w:rFonts w:ascii="宋体" w:hAnsi="宋体" w:hint="eastAsia"/>
          <w:b/>
          <w:sz w:val="24"/>
          <w:szCs w:val="24"/>
        </w:rPr>
        <w:t>报价要求</w:t>
      </w:r>
    </w:p>
    <w:p w:rsidR="000B7F5F" w:rsidRPr="00804E84" w:rsidRDefault="000B7F5F" w:rsidP="000B7F5F">
      <w:pPr>
        <w:adjustRightInd w:val="0"/>
        <w:snapToGrid w:val="0"/>
        <w:spacing w:beforeLines="100" w:before="312" w:line="360" w:lineRule="auto"/>
        <w:rPr>
          <w:rFonts w:ascii="宋体" w:hAnsi="宋体" w:hint="eastAsia"/>
          <w:sz w:val="24"/>
          <w:szCs w:val="24"/>
        </w:rPr>
      </w:pPr>
      <w:r w:rsidRPr="00804E84">
        <w:rPr>
          <w:rFonts w:ascii="宋体" w:hAnsi="宋体" w:hint="eastAsia"/>
          <w:sz w:val="24"/>
          <w:szCs w:val="24"/>
        </w:rPr>
        <w:t>预估2026年马桥镇暴露垃圾及居民区（不含别墅区范围）装修垃圾总量约为25280吨，所需费用以实际产生量为准，按照实际产生量进行结算。每类垃圾的产生量为预估量，可用于其他种类垃圾量，并按每类垃圾单价按实际进行结算。</w:t>
      </w:r>
    </w:p>
    <w:p w:rsidR="000B7F5F" w:rsidRPr="00804E84" w:rsidRDefault="000B7F5F" w:rsidP="000B7F5F">
      <w:pPr>
        <w:adjustRightInd w:val="0"/>
        <w:snapToGrid w:val="0"/>
        <w:spacing w:beforeLines="100" w:before="312" w:line="360" w:lineRule="auto"/>
        <w:rPr>
          <w:rFonts w:ascii="宋体" w:hAnsi="宋体" w:hint="eastAsia"/>
          <w:sz w:val="24"/>
          <w:szCs w:val="24"/>
        </w:rPr>
      </w:pPr>
      <w:r w:rsidRPr="00804E84">
        <w:rPr>
          <w:rFonts w:ascii="宋体" w:hAnsi="宋体" w:hint="eastAsia"/>
          <w:sz w:val="24"/>
          <w:szCs w:val="24"/>
        </w:rPr>
        <w:t>1、暴露整治垃圾预估量3680吨/年，按照实际产生量进行结算。</w:t>
      </w:r>
    </w:p>
    <w:p w:rsidR="000B7F5F" w:rsidRPr="00804E84" w:rsidRDefault="000B7F5F" w:rsidP="000B7F5F">
      <w:pPr>
        <w:adjustRightInd w:val="0"/>
        <w:snapToGrid w:val="0"/>
        <w:spacing w:beforeLines="100" w:before="312" w:line="360" w:lineRule="auto"/>
        <w:rPr>
          <w:rFonts w:ascii="宋体" w:hAnsi="宋体" w:hint="eastAsia"/>
          <w:sz w:val="24"/>
          <w:szCs w:val="24"/>
        </w:rPr>
      </w:pPr>
      <w:r w:rsidRPr="00804E84">
        <w:rPr>
          <w:rFonts w:ascii="宋体" w:hAnsi="宋体" w:hint="eastAsia"/>
          <w:sz w:val="24"/>
          <w:szCs w:val="24"/>
        </w:rPr>
        <w:t>1）暴露整治垃圾清运处置费投标上限价为：1000元/车；预估量460车/年，按照实际产生量进行结算。</w:t>
      </w:r>
    </w:p>
    <w:p w:rsidR="000B7F5F" w:rsidRPr="00804E84" w:rsidRDefault="000B7F5F" w:rsidP="000B7F5F">
      <w:pPr>
        <w:adjustRightInd w:val="0"/>
        <w:snapToGrid w:val="0"/>
        <w:spacing w:beforeLines="100" w:before="312" w:line="360" w:lineRule="auto"/>
        <w:rPr>
          <w:rFonts w:ascii="宋体" w:hAnsi="宋体" w:hint="eastAsia"/>
          <w:sz w:val="24"/>
          <w:szCs w:val="24"/>
        </w:rPr>
      </w:pPr>
      <w:r w:rsidRPr="00804E84">
        <w:rPr>
          <w:rFonts w:ascii="宋体" w:hAnsi="宋体" w:hint="eastAsia"/>
          <w:sz w:val="24"/>
          <w:szCs w:val="24"/>
        </w:rPr>
        <w:t>2、自建房小区装修垃圾预估量14400吨/年，按照实际产生量进行结算。</w:t>
      </w:r>
    </w:p>
    <w:p w:rsidR="000B7F5F" w:rsidRPr="00804E84" w:rsidRDefault="000B7F5F" w:rsidP="000B7F5F">
      <w:pPr>
        <w:adjustRightInd w:val="0"/>
        <w:snapToGrid w:val="0"/>
        <w:spacing w:beforeLines="100" w:before="312" w:line="360" w:lineRule="auto"/>
        <w:rPr>
          <w:rFonts w:ascii="宋体" w:hAnsi="宋体" w:hint="eastAsia"/>
          <w:sz w:val="24"/>
          <w:szCs w:val="24"/>
        </w:rPr>
      </w:pPr>
      <w:r w:rsidRPr="00804E84">
        <w:rPr>
          <w:rFonts w:ascii="宋体" w:hAnsi="宋体" w:hint="eastAsia"/>
          <w:sz w:val="24"/>
          <w:szCs w:val="24"/>
        </w:rPr>
        <w:t>1）自建房小区装修垃圾清运费处置费投标上限价为：1000元/车；预估量1800车/年，按照实际产生量进行结算。</w:t>
      </w:r>
    </w:p>
    <w:p w:rsidR="000B7F5F" w:rsidRPr="00804E84" w:rsidRDefault="000B7F5F" w:rsidP="000B7F5F">
      <w:pPr>
        <w:adjustRightInd w:val="0"/>
        <w:snapToGrid w:val="0"/>
        <w:spacing w:beforeLines="100" w:before="312" w:line="360" w:lineRule="auto"/>
        <w:rPr>
          <w:rFonts w:ascii="宋体" w:hAnsi="宋体" w:hint="eastAsia"/>
          <w:sz w:val="24"/>
          <w:szCs w:val="24"/>
        </w:rPr>
      </w:pPr>
      <w:r w:rsidRPr="00804E84">
        <w:rPr>
          <w:rFonts w:ascii="宋体" w:hAnsi="宋体" w:hint="eastAsia"/>
          <w:sz w:val="24"/>
          <w:szCs w:val="24"/>
        </w:rPr>
        <w:t>3、自建房小区绿化垃圾预估量4800吨/年，按照实际产生量进行结算。</w:t>
      </w:r>
    </w:p>
    <w:p w:rsidR="000B7F5F" w:rsidRPr="00804E84" w:rsidRDefault="000B7F5F" w:rsidP="000B7F5F">
      <w:pPr>
        <w:adjustRightInd w:val="0"/>
        <w:snapToGrid w:val="0"/>
        <w:spacing w:beforeLines="100" w:before="312" w:line="360" w:lineRule="auto"/>
        <w:rPr>
          <w:rFonts w:ascii="宋体" w:hAnsi="宋体" w:hint="eastAsia"/>
          <w:sz w:val="24"/>
          <w:szCs w:val="24"/>
        </w:rPr>
      </w:pPr>
      <w:r w:rsidRPr="00804E84">
        <w:rPr>
          <w:rFonts w:ascii="宋体" w:hAnsi="宋体" w:hint="eastAsia"/>
          <w:sz w:val="24"/>
          <w:szCs w:val="24"/>
        </w:rPr>
        <w:t>1）自建房小区绿化垃圾清运处置费投标上限价为：1100元/车；预估量600车/年，按照实际产生量进行结算。</w:t>
      </w:r>
    </w:p>
    <w:p w:rsidR="000B7F5F" w:rsidRPr="00804E84" w:rsidRDefault="000B7F5F" w:rsidP="000B7F5F">
      <w:pPr>
        <w:adjustRightInd w:val="0"/>
        <w:snapToGrid w:val="0"/>
        <w:spacing w:beforeLines="100" w:before="312" w:line="360" w:lineRule="auto"/>
        <w:rPr>
          <w:rFonts w:ascii="宋体" w:hAnsi="宋体" w:hint="eastAsia"/>
          <w:sz w:val="24"/>
          <w:szCs w:val="24"/>
        </w:rPr>
      </w:pPr>
      <w:r w:rsidRPr="00804E84">
        <w:rPr>
          <w:rFonts w:ascii="宋体" w:hAnsi="宋体" w:hint="eastAsia"/>
          <w:sz w:val="24"/>
          <w:szCs w:val="24"/>
        </w:rPr>
        <w:t>4、自建房小区大件垃圾预估量2400吨/年，按照实际产生量进行结算。</w:t>
      </w:r>
    </w:p>
    <w:p w:rsidR="000B7F5F" w:rsidRPr="00804E84" w:rsidRDefault="000B7F5F" w:rsidP="000B7F5F">
      <w:pPr>
        <w:adjustRightInd w:val="0"/>
        <w:snapToGrid w:val="0"/>
        <w:spacing w:beforeLines="100" w:before="312" w:line="360" w:lineRule="auto"/>
        <w:rPr>
          <w:rFonts w:ascii="宋体" w:hAnsi="宋体" w:hint="eastAsia"/>
          <w:sz w:val="24"/>
          <w:szCs w:val="24"/>
        </w:rPr>
      </w:pPr>
      <w:r w:rsidRPr="00804E84">
        <w:rPr>
          <w:rFonts w:ascii="宋体" w:hAnsi="宋体" w:hint="eastAsia"/>
          <w:sz w:val="24"/>
          <w:szCs w:val="24"/>
        </w:rPr>
        <w:lastRenderedPageBreak/>
        <w:t>1）自建房小区大件垃圾清运处置费投标上限价为：1800元/车；预估量300车/年，按照实际产生量进行结算。</w:t>
      </w:r>
    </w:p>
    <w:p w:rsidR="000B7F5F" w:rsidRPr="00804E84" w:rsidRDefault="000B7F5F" w:rsidP="000B7F5F">
      <w:pPr>
        <w:adjustRightInd w:val="0"/>
        <w:snapToGrid w:val="0"/>
        <w:spacing w:beforeLines="100" w:before="312" w:line="360" w:lineRule="auto"/>
        <w:rPr>
          <w:rFonts w:ascii="宋体" w:hAnsi="宋体" w:hint="eastAsia"/>
          <w:sz w:val="24"/>
          <w:szCs w:val="24"/>
        </w:rPr>
      </w:pPr>
      <w:r w:rsidRPr="00804E84">
        <w:rPr>
          <w:rFonts w:ascii="宋体" w:hAnsi="宋体" w:hint="eastAsia"/>
          <w:sz w:val="24"/>
          <w:szCs w:val="24"/>
        </w:rPr>
        <w:t>★各供应商报价须满足上述报价上限要求，否则供应商将被作为非实质性响应。</w:t>
      </w:r>
    </w:p>
    <w:p w:rsidR="000B7F5F" w:rsidRPr="00804E84" w:rsidRDefault="000B7F5F" w:rsidP="000B7F5F">
      <w:pPr>
        <w:adjustRightInd w:val="0"/>
        <w:snapToGrid w:val="0"/>
        <w:spacing w:beforeLines="100" w:before="312" w:line="360" w:lineRule="auto"/>
        <w:rPr>
          <w:rFonts w:ascii="宋体" w:hAnsi="宋体" w:hint="eastAsia"/>
          <w:sz w:val="24"/>
          <w:szCs w:val="24"/>
        </w:rPr>
      </w:pPr>
      <w:r w:rsidRPr="00804E84">
        <w:rPr>
          <w:rFonts w:ascii="宋体" w:hAnsi="宋体" w:hint="eastAsia"/>
          <w:sz w:val="24"/>
          <w:szCs w:val="24"/>
        </w:rPr>
        <w:t>注：马桥镇辖区居民区（不含别墅区）产生的建筑装修垃圾运输费由居民小区物业直接支付</w:t>
      </w:r>
      <w:proofErr w:type="gramStart"/>
      <w:r w:rsidRPr="00804E84">
        <w:rPr>
          <w:rFonts w:ascii="宋体" w:hAnsi="宋体" w:hint="eastAsia"/>
          <w:sz w:val="24"/>
          <w:szCs w:val="24"/>
        </w:rPr>
        <w:t>给成交</w:t>
      </w:r>
      <w:proofErr w:type="gramEnd"/>
      <w:r w:rsidRPr="00804E84">
        <w:rPr>
          <w:rFonts w:ascii="宋体" w:hAnsi="宋体" w:hint="eastAsia"/>
          <w:sz w:val="24"/>
          <w:szCs w:val="24"/>
        </w:rPr>
        <w:t>供应商</w:t>
      </w:r>
      <w:r w:rsidRPr="000A2A30">
        <w:rPr>
          <w:rFonts w:ascii="宋体" w:hAnsi="宋体" w:hint="eastAsia"/>
          <w:sz w:val="24"/>
          <w:szCs w:val="24"/>
        </w:rPr>
        <w:t>。</w:t>
      </w:r>
    </w:p>
    <w:p w:rsidR="000B7F5F" w:rsidRPr="000A2A30" w:rsidRDefault="000B7F5F" w:rsidP="000B7F5F">
      <w:pPr>
        <w:numPr>
          <w:ilvl w:val="0"/>
          <w:numId w:val="1"/>
        </w:numPr>
        <w:adjustRightInd w:val="0"/>
        <w:snapToGrid w:val="0"/>
        <w:spacing w:beforeLines="100" w:before="312" w:line="360" w:lineRule="auto"/>
        <w:rPr>
          <w:rFonts w:ascii="宋体" w:hAnsi="宋体" w:hint="eastAsia"/>
          <w:b/>
          <w:sz w:val="24"/>
          <w:szCs w:val="24"/>
        </w:rPr>
      </w:pPr>
      <w:r w:rsidRPr="000A2A30">
        <w:rPr>
          <w:rFonts w:ascii="宋体" w:hAnsi="宋体" w:hint="eastAsia"/>
          <w:b/>
          <w:sz w:val="24"/>
          <w:szCs w:val="24"/>
        </w:rPr>
        <w:t>其他要求</w:t>
      </w:r>
    </w:p>
    <w:p w:rsidR="000B7F5F" w:rsidRPr="00804E84" w:rsidRDefault="000B7F5F" w:rsidP="000B7F5F">
      <w:pPr>
        <w:adjustRightInd w:val="0"/>
        <w:snapToGrid w:val="0"/>
        <w:spacing w:beforeLines="100" w:before="312" w:line="360" w:lineRule="auto"/>
        <w:rPr>
          <w:rFonts w:ascii="宋体" w:hAnsi="宋体" w:hint="eastAsia"/>
          <w:color w:val="000000"/>
          <w:sz w:val="24"/>
          <w:szCs w:val="24"/>
        </w:rPr>
      </w:pPr>
      <w:r w:rsidRPr="00804E84">
        <w:rPr>
          <w:rFonts w:ascii="宋体" w:hAnsi="宋体" w:hint="eastAsia"/>
          <w:color w:val="000000"/>
          <w:sz w:val="24"/>
          <w:szCs w:val="24"/>
        </w:rPr>
        <w:t>本项目实施单位为上海市闵行区马桥镇城市建设管理事务中心，</w:t>
      </w:r>
      <w:proofErr w:type="gramStart"/>
      <w:r w:rsidRPr="00804E84">
        <w:rPr>
          <w:rFonts w:ascii="宋体" w:hAnsi="宋体" w:hint="eastAsia"/>
          <w:color w:val="000000"/>
          <w:sz w:val="24"/>
          <w:szCs w:val="24"/>
        </w:rPr>
        <w:t>自项目</w:t>
      </w:r>
      <w:proofErr w:type="gramEnd"/>
      <w:r w:rsidRPr="00804E84">
        <w:rPr>
          <w:rFonts w:ascii="宋体" w:hAnsi="宋体" w:hint="eastAsia"/>
          <w:color w:val="000000"/>
          <w:sz w:val="24"/>
          <w:szCs w:val="24"/>
        </w:rPr>
        <w:t>招标结束后，成交供应商与上海市闵行区马桥镇城市建设管理事务中心签订线下纸质合同，相关要求由上海市闵行区马桥镇城市建设管理事务中心监管，直至服务期限结束。</w:t>
      </w:r>
    </w:p>
    <w:p w:rsidR="000B7F5F" w:rsidRPr="00804E84" w:rsidRDefault="000B7F5F" w:rsidP="000B7F5F">
      <w:pPr>
        <w:adjustRightInd w:val="0"/>
        <w:snapToGrid w:val="0"/>
        <w:spacing w:beforeLines="100" w:before="312" w:line="360" w:lineRule="auto"/>
        <w:rPr>
          <w:rFonts w:ascii="宋体" w:hAnsi="宋体" w:hint="eastAsia"/>
          <w:color w:val="000000"/>
          <w:sz w:val="24"/>
          <w:szCs w:val="24"/>
        </w:rPr>
      </w:pPr>
      <w:r w:rsidRPr="00804E84">
        <w:rPr>
          <w:rFonts w:ascii="宋体" w:hAnsi="宋体" w:hint="eastAsia"/>
          <w:color w:val="000000"/>
          <w:sz w:val="24"/>
          <w:szCs w:val="24"/>
        </w:rPr>
        <w:t xml:space="preserve"> 1、供应商须提供下述详细的服务方案（包括但不限于）：</w:t>
      </w:r>
    </w:p>
    <w:p w:rsidR="000B7F5F" w:rsidRPr="00804E84" w:rsidRDefault="000B7F5F" w:rsidP="000B7F5F">
      <w:pPr>
        <w:adjustRightInd w:val="0"/>
        <w:snapToGrid w:val="0"/>
        <w:spacing w:beforeLines="100" w:before="312" w:line="360" w:lineRule="auto"/>
        <w:rPr>
          <w:rFonts w:ascii="宋体" w:hAnsi="宋体" w:hint="eastAsia"/>
          <w:color w:val="000000"/>
          <w:sz w:val="24"/>
          <w:szCs w:val="24"/>
        </w:rPr>
      </w:pPr>
      <w:r w:rsidRPr="00804E84">
        <w:rPr>
          <w:rFonts w:ascii="宋体" w:hAnsi="宋体" w:hint="eastAsia"/>
          <w:color w:val="000000"/>
          <w:sz w:val="24"/>
          <w:szCs w:val="24"/>
        </w:rPr>
        <w:t>（1）服务方案：包括经营理念、管理架构、达到的管理目标和承诺、制定管理制度、现场 管理机构、工作的内容、工作程序（流程）、文件归档措施等。</w:t>
      </w:r>
    </w:p>
    <w:p w:rsidR="000B7F5F" w:rsidRPr="00804E84" w:rsidRDefault="000B7F5F" w:rsidP="000B7F5F">
      <w:pPr>
        <w:adjustRightInd w:val="0"/>
        <w:snapToGrid w:val="0"/>
        <w:spacing w:beforeLines="100" w:before="312" w:line="360" w:lineRule="auto"/>
        <w:rPr>
          <w:rFonts w:ascii="宋体" w:hAnsi="宋体" w:hint="eastAsia"/>
          <w:color w:val="000000"/>
          <w:sz w:val="24"/>
          <w:szCs w:val="24"/>
        </w:rPr>
      </w:pPr>
      <w:r w:rsidRPr="00804E84">
        <w:rPr>
          <w:rFonts w:ascii="宋体" w:hAnsi="宋体" w:hint="eastAsia"/>
          <w:color w:val="000000"/>
          <w:sz w:val="24"/>
          <w:szCs w:val="24"/>
        </w:rPr>
        <w:t>（2）服务人员情况：包括人员构成，人员简历、资格证书、主要类似项目经理，项目负责人、项目组成员主要工作职责。</w:t>
      </w:r>
    </w:p>
    <w:p w:rsidR="000B7F5F" w:rsidRPr="00804E84" w:rsidRDefault="000B7F5F" w:rsidP="000B7F5F">
      <w:pPr>
        <w:adjustRightInd w:val="0"/>
        <w:snapToGrid w:val="0"/>
        <w:spacing w:beforeLines="100" w:before="312" w:line="360" w:lineRule="auto"/>
        <w:rPr>
          <w:rFonts w:ascii="宋体" w:hAnsi="宋体" w:hint="eastAsia"/>
          <w:color w:val="000000"/>
          <w:sz w:val="24"/>
          <w:szCs w:val="24"/>
        </w:rPr>
      </w:pPr>
      <w:r w:rsidRPr="00804E84">
        <w:rPr>
          <w:rFonts w:ascii="宋体" w:hAnsi="宋体" w:hint="eastAsia"/>
          <w:color w:val="000000"/>
          <w:sz w:val="24"/>
          <w:szCs w:val="24"/>
        </w:rPr>
        <w:t>（3）工作进度及时间安排。</w:t>
      </w:r>
    </w:p>
    <w:p w:rsidR="000B7F5F" w:rsidRPr="00804E84" w:rsidRDefault="000B7F5F" w:rsidP="000B7F5F">
      <w:pPr>
        <w:adjustRightInd w:val="0"/>
        <w:snapToGrid w:val="0"/>
        <w:spacing w:beforeLines="100" w:before="312" w:line="360" w:lineRule="auto"/>
        <w:rPr>
          <w:rFonts w:ascii="宋体" w:hAnsi="宋体" w:hint="eastAsia"/>
          <w:color w:val="000000"/>
          <w:sz w:val="24"/>
          <w:szCs w:val="24"/>
        </w:rPr>
      </w:pPr>
      <w:r w:rsidRPr="00804E84">
        <w:rPr>
          <w:rFonts w:ascii="宋体" w:hAnsi="宋体" w:hint="eastAsia"/>
          <w:color w:val="000000"/>
          <w:sz w:val="24"/>
          <w:szCs w:val="24"/>
        </w:rPr>
        <w:t>（4）对工作的合理化建议。</w:t>
      </w:r>
    </w:p>
    <w:p w:rsidR="000B7F5F" w:rsidRPr="00804E84" w:rsidRDefault="000B7F5F" w:rsidP="000B7F5F">
      <w:pPr>
        <w:adjustRightInd w:val="0"/>
        <w:snapToGrid w:val="0"/>
        <w:spacing w:beforeLines="100" w:before="312" w:line="360" w:lineRule="auto"/>
        <w:rPr>
          <w:rFonts w:ascii="宋体" w:hAnsi="宋体" w:hint="eastAsia"/>
          <w:color w:val="000000"/>
          <w:sz w:val="24"/>
          <w:szCs w:val="24"/>
        </w:rPr>
      </w:pPr>
      <w:r w:rsidRPr="00804E84">
        <w:rPr>
          <w:rFonts w:ascii="宋体" w:hAnsi="宋体" w:hint="eastAsia"/>
          <w:color w:val="000000"/>
          <w:sz w:val="24"/>
          <w:szCs w:val="24"/>
        </w:rPr>
        <w:t>（5）提出需协调解决的有关事项。</w:t>
      </w:r>
    </w:p>
    <w:p w:rsidR="000B7F5F" w:rsidRPr="00804E84" w:rsidRDefault="000B7F5F" w:rsidP="000B7F5F">
      <w:pPr>
        <w:adjustRightInd w:val="0"/>
        <w:snapToGrid w:val="0"/>
        <w:spacing w:beforeLines="100" w:before="312" w:line="360" w:lineRule="auto"/>
        <w:rPr>
          <w:rFonts w:ascii="宋体" w:hAnsi="宋体" w:hint="eastAsia"/>
          <w:color w:val="000000"/>
          <w:sz w:val="24"/>
          <w:szCs w:val="24"/>
        </w:rPr>
      </w:pPr>
      <w:r w:rsidRPr="00804E84">
        <w:rPr>
          <w:rFonts w:ascii="宋体" w:hAnsi="宋体" w:hint="eastAsia"/>
          <w:color w:val="000000"/>
          <w:sz w:val="24"/>
          <w:szCs w:val="24"/>
        </w:rPr>
        <w:t>（6）针对本项目的服务承诺。</w:t>
      </w:r>
    </w:p>
    <w:p w:rsidR="000B7F5F" w:rsidRPr="00804E84" w:rsidRDefault="000B7F5F" w:rsidP="000B7F5F">
      <w:pPr>
        <w:adjustRightInd w:val="0"/>
        <w:snapToGrid w:val="0"/>
        <w:spacing w:beforeLines="100" w:before="312" w:line="360" w:lineRule="auto"/>
        <w:rPr>
          <w:rFonts w:ascii="宋体" w:hAnsi="宋体" w:hint="eastAsia"/>
          <w:color w:val="000000"/>
          <w:sz w:val="24"/>
          <w:szCs w:val="24"/>
        </w:rPr>
      </w:pPr>
      <w:r w:rsidRPr="00804E84">
        <w:rPr>
          <w:rFonts w:ascii="宋体" w:hAnsi="宋体" w:hint="eastAsia"/>
          <w:color w:val="000000"/>
          <w:sz w:val="24"/>
          <w:szCs w:val="24"/>
        </w:rPr>
        <w:t>2、供应商中标（成交）后一律不得将服务内容转包或分包，一经发现，采购人有权终止协议，而由此造成的一切经济损失，由供应商负责赔偿。</w:t>
      </w:r>
    </w:p>
    <w:p w:rsidR="000B7F5F" w:rsidRPr="00804E84" w:rsidRDefault="000B7F5F" w:rsidP="000B7F5F">
      <w:pPr>
        <w:adjustRightInd w:val="0"/>
        <w:snapToGrid w:val="0"/>
        <w:spacing w:beforeLines="100" w:before="312" w:line="360" w:lineRule="auto"/>
        <w:rPr>
          <w:rFonts w:ascii="宋体" w:hAnsi="宋体" w:hint="eastAsia"/>
          <w:color w:val="000000"/>
          <w:sz w:val="24"/>
          <w:szCs w:val="24"/>
        </w:rPr>
      </w:pPr>
      <w:r w:rsidRPr="00804E84">
        <w:rPr>
          <w:rFonts w:ascii="宋体" w:hAnsi="宋体" w:hint="eastAsia"/>
          <w:color w:val="000000"/>
          <w:sz w:val="24"/>
          <w:szCs w:val="24"/>
        </w:rPr>
        <w:t>3、供应商在谈判前三年内有无受到各级管理部门处分或处罚的，须主动填报受</w:t>
      </w:r>
      <w:r w:rsidRPr="00804E84">
        <w:rPr>
          <w:rFonts w:ascii="宋体" w:hAnsi="宋体" w:hint="eastAsia"/>
          <w:color w:val="000000"/>
          <w:sz w:val="24"/>
          <w:szCs w:val="24"/>
        </w:rPr>
        <w:lastRenderedPageBreak/>
        <w:t>处分或处罚 的记录，如果不主动填报而被事后发现的，将取消其资格，并按有关规定追究责任。</w:t>
      </w:r>
    </w:p>
    <w:p w:rsidR="000B7F5F" w:rsidRPr="00804E84" w:rsidRDefault="000B7F5F" w:rsidP="000B7F5F">
      <w:pPr>
        <w:adjustRightInd w:val="0"/>
        <w:snapToGrid w:val="0"/>
        <w:spacing w:beforeLines="100" w:before="312" w:line="360" w:lineRule="auto"/>
        <w:rPr>
          <w:rFonts w:ascii="宋体" w:hAnsi="宋体" w:hint="eastAsia"/>
          <w:color w:val="000000"/>
          <w:sz w:val="24"/>
          <w:szCs w:val="24"/>
        </w:rPr>
      </w:pPr>
      <w:r w:rsidRPr="00804E84">
        <w:rPr>
          <w:rFonts w:ascii="宋体" w:hAnsi="宋体" w:hint="eastAsia"/>
          <w:color w:val="000000"/>
          <w:sz w:val="24"/>
          <w:szCs w:val="24"/>
        </w:rPr>
        <w:t>4、供应商应严格按照已确认的工作方案和工作流程提供服务，无条件地接受采购人对其工 作质量的监督检查。</w:t>
      </w:r>
    </w:p>
    <w:p w:rsidR="006C732B" w:rsidRDefault="000B7F5F" w:rsidP="000B7F5F">
      <w:r w:rsidRPr="00804E84">
        <w:rPr>
          <w:rFonts w:ascii="宋体" w:hAnsi="宋体" w:hint="eastAsia"/>
          <w:color w:val="000000"/>
          <w:sz w:val="24"/>
          <w:szCs w:val="24"/>
        </w:rPr>
        <w:t>5、在服务期限内，项目组成员应保持稳定，以保证服务工作的正常进行。供应商可根据项目实际需求和业务需要对成员做出合理调整。若更换人员，应以相当资格与技能的人员替换， 同时须经采购人备案同意后方可更换</w:t>
      </w:r>
      <w:r w:rsidRPr="000A2A30">
        <w:rPr>
          <w:rFonts w:ascii="宋体" w:hAnsi="宋体" w:hint="eastAsia"/>
          <w:color w:val="000000"/>
          <w:sz w:val="24"/>
          <w:szCs w:val="24"/>
        </w:rPr>
        <w:t>。</w:t>
      </w:r>
      <w:bookmarkStart w:id="0" w:name="_GoBack"/>
      <w:bookmarkEnd w:id="0"/>
    </w:p>
    <w:sectPr w:rsidR="006C73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1198A"/>
    <w:multiLevelType w:val="hybridMultilevel"/>
    <w:tmpl w:val="126E4D6A"/>
    <w:lvl w:ilvl="0" w:tplc="04090013">
      <w:start w:val="1"/>
      <w:numFmt w:val="chineseCountingThousand"/>
      <w:lvlText w:val="%1、"/>
      <w:lvlJc w:val="left"/>
      <w:pPr>
        <w:tabs>
          <w:tab w:val="num" w:pos="360"/>
        </w:tabs>
        <w:ind w:left="360" w:hanging="360"/>
      </w:pPr>
      <w:rPr>
        <w:rFonts w:hint="default"/>
      </w:rPr>
    </w:lvl>
    <w:lvl w:ilvl="1" w:tplc="650E48C0">
      <w:start w:val="1"/>
      <w:numFmt w:val="decimal"/>
      <w:lvlText w:val="7.%2"/>
      <w:lvlJc w:val="left"/>
      <w:pPr>
        <w:tabs>
          <w:tab w:val="num" w:pos="0"/>
        </w:tabs>
        <w:ind w:left="780" w:hanging="360"/>
      </w:pPr>
      <w:rPr>
        <w:rFonts w:eastAsia="华文中宋" w:hint="eastAsia"/>
        <w:b/>
        <w:i w:val="0"/>
        <w:sz w:val="24"/>
        <w:szCs w:val="21"/>
      </w:rPr>
    </w:lvl>
    <w:lvl w:ilvl="2" w:tplc="42621304">
      <w:start w:val="1"/>
      <w:numFmt w:val="decimal"/>
      <w:lvlText w:val="（%3）"/>
      <w:lvlJc w:val="left"/>
      <w:pPr>
        <w:tabs>
          <w:tab w:val="num" w:pos="1932"/>
        </w:tabs>
        <w:ind w:left="1932" w:hanging="1092"/>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F5F"/>
    <w:rsid w:val="000B7F5F"/>
    <w:rsid w:val="006C7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5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5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2034</Words>
  <Characters>2096</Characters>
  <Application>Microsoft Office Word</Application>
  <DocSecurity>0</DocSecurity>
  <Lines>104</Lines>
  <Paragraphs>105</Paragraphs>
  <ScaleCrop>false</ScaleCrop>
  <Company>Microsoft</Company>
  <LinksUpToDate>false</LinksUpToDate>
  <CharactersWithSpaces>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2025-11-20T05:55:00Z</dcterms:created>
  <dcterms:modified xsi:type="dcterms:W3CDTF">2025-11-20T05:56:00Z</dcterms:modified>
</cp:coreProperties>
</file>