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EAD2A">
      <w:pPr>
        <w:jc w:val="center"/>
        <w:rPr>
          <w:rFonts w:hint="eastAsia"/>
          <w:b/>
          <w:bCs/>
          <w:sz w:val="36"/>
          <w:szCs w:val="36"/>
          <w:lang w:val="en-US" w:eastAsia="zh-CN"/>
        </w:rPr>
      </w:pPr>
      <w:bookmarkStart w:id="0" w:name="OLE_LINK1"/>
      <w:r>
        <w:rPr>
          <w:rFonts w:hint="eastAsia"/>
          <w:b/>
          <w:bCs/>
          <w:sz w:val="36"/>
          <w:szCs w:val="36"/>
          <w:lang w:val="en-US" w:eastAsia="zh-CN"/>
        </w:rPr>
        <w:t>公开招标项目中标（成交）推荐理由</w:t>
      </w:r>
      <w:bookmarkEnd w:id="0"/>
    </w:p>
    <w:p w14:paraId="07485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综合物业服务</w:t>
      </w:r>
      <w:r>
        <w:rPr>
          <w:rFonts w:hint="eastAsia"/>
          <w:b w:val="0"/>
          <w:bCs w:val="0"/>
          <w:sz w:val="28"/>
          <w:szCs w:val="28"/>
          <w:lang w:val="en-US" w:eastAsia="zh-CN"/>
        </w:rPr>
        <w:t>（包一）</w:t>
      </w:r>
    </w:p>
    <w:p w14:paraId="09235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1" w:name="OLE_LINK2"/>
      <w:r>
        <w:rPr>
          <w:rFonts w:hint="default"/>
          <w:b w:val="0"/>
          <w:bCs w:val="0"/>
          <w:sz w:val="28"/>
          <w:szCs w:val="28"/>
          <w:lang w:val="en-US" w:eastAsia="zh-CN"/>
        </w:rPr>
        <w:t>310109000251128157132-09298604</w:t>
      </w:r>
      <w:bookmarkEnd w:id="1"/>
    </w:p>
    <w:p w14:paraId="5AD27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中标单位：上海猎鹰保安服务有限公司</w:t>
      </w:r>
    </w:p>
    <w:p w14:paraId="1051A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中标金额：1292784.00元</w:t>
      </w:r>
    </w:p>
    <w:p w14:paraId="58DC48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评审总得分：91.79</w:t>
      </w:r>
      <w:bookmarkStart w:id="2" w:name="_GoBack"/>
      <w:bookmarkEnd w:id="2"/>
    </w:p>
    <w:p w14:paraId="0DE85A49">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auto"/>
          <w:sz w:val="28"/>
          <w:szCs w:val="28"/>
          <w:lang w:val="en-US" w:eastAsia="zh-CN"/>
        </w:rPr>
        <w:t>是</w:t>
      </w:r>
      <w:r>
        <w:rPr>
          <w:rFonts w:hint="eastAsia"/>
          <w:b w:val="0"/>
          <w:bCs w:val="0"/>
          <w:sz w:val="28"/>
          <w:szCs w:val="28"/>
          <w:lang w:val="en-US" w:eastAsia="zh-CN"/>
        </w:rPr>
        <w:t>（是/否）</w:t>
      </w:r>
    </w:p>
    <w:p w14:paraId="0D165FA5">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405AD22F">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27976C28">
      <w:pPr>
        <w:jc w:val="both"/>
        <w:rPr>
          <w:rFonts w:hint="eastAsia"/>
          <w:b/>
          <w:bCs/>
          <w:sz w:val="28"/>
          <w:szCs w:val="28"/>
          <w:lang w:val="en-US" w:eastAsia="zh-CN"/>
        </w:rPr>
      </w:pPr>
      <w:r>
        <w:rPr>
          <w:rFonts w:hint="eastAsia"/>
          <w:b/>
          <w:bCs/>
          <w:sz w:val="28"/>
          <w:szCs w:val="28"/>
          <w:lang w:val="en-US" w:eastAsia="zh-CN"/>
        </w:rPr>
        <w:t>注：</w:t>
      </w:r>
    </w:p>
    <w:p w14:paraId="150D63F7">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0E55665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3CF2A24A">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65E6B5B5">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67A7AFA5">
      <w:pPr>
        <w:jc w:val="both"/>
        <w:rPr>
          <w:rFonts w:hint="eastAsia"/>
          <w:b w:val="0"/>
          <w:bCs w:val="0"/>
          <w:sz w:val="28"/>
          <w:szCs w:val="28"/>
          <w:lang w:val="en-US" w:eastAsia="zh-CN"/>
        </w:rPr>
      </w:pPr>
      <w:r>
        <w:rPr>
          <w:rFonts w:hint="eastAsia"/>
          <w:b w:val="0"/>
          <w:bCs w:val="0"/>
          <w:sz w:val="28"/>
          <w:szCs w:val="28"/>
          <w:lang w:val="en-US" w:eastAsia="zh-CN"/>
        </w:rPr>
        <w:t xml:space="preserve">上海猎鹰保安服务有限公司的投标文件的完整性响应度相对最高，类似业绩较多，且提供了满意度测评报告，针对本项目的技术服务方案较详实全面，对本项目服务重难点的理解较透彻，各项作业规程和管理制度健全，项目人员配置和管理较合理，服务承诺和服务质量保障措施较完善。   </w:t>
      </w:r>
    </w:p>
    <w:p w14:paraId="27EEB062">
      <w:pPr>
        <w:jc w:val="both"/>
      </w:pPr>
    </w:p>
    <w:p w14:paraId="3D17AE1C">
      <w:pPr>
        <w:jc w:val="both"/>
        <w:rPr>
          <w:rFonts w:hint="eastAsia"/>
          <w:b w:val="0"/>
          <w:bCs w:val="0"/>
          <w:sz w:val="28"/>
          <w:szCs w:val="28"/>
          <w:lang w:val="en-US" w:eastAsia="zh-CN"/>
        </w:rPr>
      </w:pPr>
      <w:r>
        <w:drawing>
          <wp:inline distT="0" distB="0" distL="114300" distR="114300">
            <wp:extent cx="5423535" cy="5803900"/>
            <wp:effectExtent l="0" t="0" r="1206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23535" cy="5803900"/>
                    </a:xfrm>
                    <a:prstGeom prst="rect">
                      <a:avLst/>
                    </a:prstGeom>
                    <a:noFill/>
                    <a:ln>
                      <a:noFill/>
                    </a:ln>
                  </pic:spPr>
                </pic:pic>
              </a:graphicData>
            </a:graphic>
          </wp:inline>
        </w:drawing>
      </w:r>
      <w:r>
        <w:rPr>
          <w:rFonts w:hint="eastAsia"/>
          <w:b w:val="0"/>
          <w:bCs w:val="0"/>
          <w:sz w:val="28"/>
          <w:szCs w:val="28"/>
          <w:lang w:val="en-US" w:eastAsia="zh-CN"/>
        </w:rPr>
        <w:t xml:space="preserve">                                                    </w:t>
      </w:r>
    </w:p>
    <w:p w14:paraId="5DCAB66B">
      <w:pPr>
        <w:jc w:val="both"/>
        <w:rPr>
          <w:rFonts w:hint="eastAsia"/>
          <w:b w:val="0"/>
          <w:bCs w:val="0"/>
          <w:sz w:val="28"/>
          <w:szCs w:val="28"/>
          <w:lang w:val="en-US" w:eastAsia="zh-CN"/>
        </w:rPr>
      </w:pPr>
    </w:p>
    <w:p w14:paraId="7D0B013C">
      <w:pPr>
        <w:jc w:val="both"/>
        <w:rPr>
          <w:rFonts w:hint="eastAsia"/>
          <w:b w:val="0"/>
          <w:bCs w:val="0"/>
          <w:sz w:val="28"/>
          <w:szCs w:val="28"/>
          <w:lang w:val="en-US" w:eastAsia="zh-CN"/>
        </w:rPr>
      </w:pPr>
    </w:p>
    <w:p w14:paraId="11F5899B">
      <w:pPr>
        <w:jc w:val="both"/>
        <w:rPr>
          <w:rFonts w:hint="eastAsia"/>
          <w:b w:val="0"/>
          <w:bCs w:val="0"/>
          <w:sz w:val="28"/>
          <w:szCs w:val="28"/>
          <w:lang w:val="en-US" w:eastAsia="zh-CN"/>
        </w:rPr>
      </w:pPr>
    </w:p>
    <w:p w14:paraId="3ED1730F">
      <w:pPr>
        <w:jc w:val="both"/>
        <w:rPr>
          <w:rFonts w:hint="eastAsia"/>
          <w:b w:val="0"/>
          <w:bCs w:val="0"/>
          <w:sz w:val="28"/>
          <w:szCs w:val="28"/>
          <w:lang w:val="en-US" w:eastAsia="zh-CN"/>
        </w:rPr>
      </w:pPr>
    </w:p>
    <w:p w14:paraId="311BC700">
      <w:pPr>
        <w:jc w:val="both"/>
        <w:rPr>
          <w:rFonts w:hint="eastAsia"/>
          <w:b w:val="0"/>
          <w:bCs w:val="0"/>
          <w:sz w:val="28"/>
          <w:szCs w:val="28"/>
          <w:lang w:val="en-US" w:eastAsia="zh-CN"/>
        </w:rPr>
      </w:pPr>
    </w:p>
    <w:p w14:paraId="5DA68570">
      <w:pPr>
        <w:jc w:val="center"/>
        <w:rPr>
          <w:rFonts w:hint="eastAsia"/>
          <w:b/>
          <w:bCs/>
          <w:color w:val="auto"/>
          <w:sz w:val="36"/>
          <w:szCs w:val="36"/>
          <w:lang w:val="en-US" w:eastAsia="zh-CN"/>
        </w:rPr>
      </w:pPr>
      <w:r>
        <w:rPr>
          <w:rFonts w:hint="eastAsia"/>
          <w:b/>
          <w:bCs/>
          <w:color w:val="auto"/>
          <w:sz w:val="36"/>
          <w:szCs w:val="36"/>
          <w:lang w:val="en-US" w:eastAsia="zh-CN"/>
        </w:rPr>
        <w:t>公开招标项目中标（成交）推荐理由</w:t>
      </w:r>
    </w:p>
    <w:p w14:paraId="145DCD76">
      <w:pPr>
        <w:jc w:val="center"/>
        <w:rPr>
          <w:rFonts w:hint="eastAsia"/>
          <w:b/>
          <w:bCs/>
          <w:color w:val="auto"/>
          <w:sz w:val="36"/>
          <w:szCs w:val="36"/>
          <w:lang w:val="en-US" w:eastAsia="zh-CN"/>
        </w:rPr>
      </w:pPr>
    </w:p>
    <w:p w14:paraId="2095CB5B">
      <w:pPr>
        <w:jc w:val="both"/>
        <w:rPr>
          <w:rFonts w:hint="eastAsia"/>
          <w:b w:val="0"/>
          <w:bCs w:val="0"/>
          <w:color w:val="auto"/>
          <w:sz w:val="28"/>
          <w:szCs w:val="28"/>
          <w:lang w:val="en-US" w:eastAsia="zh-CN"/>
        </w:rPr>
      </w:pPr>
      <w:r>
        <w:rPr>
          <w:rFonts w:hint="eastAsia"/>
          <w:b w:val="0"/>
          <w:bCs w:val="0"/>
          <w:color w:val="auto"/>
          <w:sz w:val="28"/>
          <w:szCs w:val="28"/>
          <w:lang w:val="en-US" w:eastAsia="zh-CN"/>
        </w:rPr>
        <w:t>项目名称：</w:t>
      </w:r>
      <w:r>
        <w:rPr>
          <w:rFonts w:hint="default"/>
          <w:b w:val="0"/>
          <w:bCs w:val="0"/>
          <w:color w:val="auto"/>
          <w:sz w:val="28"/>
          <w:szCs w:val="28"/>
          <w:lang w:val="en-US" w:eastAsia="zh-CN"/>
        </w:rPr>
        <w:t>综合物业服务</w:t>
      </w:r>
      <w:r>
        <w:rPr>
          <w:rFonts w:hint="eastAsia"/>
          <w:b w:val="0"/>
          <w:bCs w:val="0"/>
          <w:color w:val="auto"/>
          <w:sz w:val="28"/>
          <w:szCs w:val="28"/>
          <w:lang w:val="en-US" w:eastAsia="zh-CN"/>
        </w:rPr>
        <w:t>（包二）</w:t>
      </w:r>
    </w:p>
    <w:p w14:paraId="0F101C80">
      <w:pPr>
        <w:jc w:val="both"/>
        <w:rPr>
          <w:rFonts w:hint="eastAsia"/>
          <w:b w:val="0"/>
          <w:bCs w:val="0"/>
          <w:color w:val="auto"/>
          <w:sz w:val="28"/>
          <w:szCs w:val="28"/>
          <w:lang w:val="en-US" w:eastAsia="zh-CN"/>
        </w:rPr>
      </w:pPr>
      <w:r>
        <w:rPr>
          <w:rFonts w:hint="eastAsia"/>
          <w:b w:val="0"/>
          <w:bCs w:val="0"/>
          <w:color w:val="auto"/>
          <w:sz w:val="28"/>
          <w:szCs w:val="28"/>
          <w:lang w:val="en-US" w:eastAsia="zh-CN"/>
        </w:rPr>
        <w:t>项目编号：</w:t>
      </w:r>
      <w:r>
        <w:rPr>
          <w:rFonts w:hint="default"/>
          <w:b w:val="0"/>
          <w:bCs w:val="0"/>
          <w:color w:val="auto"/>
          <w:sz w:val="28"/>
          <w:szCs w:val="28"/>
          <w:lang w:val="en-US" w:eastAsia="zh-CN"/>
        </w:rPr>
        <w:t>310109000251128157132-09298604</w:t>
      </w:r>
    </w:p>
    <w:p w14:paraId="4D8FD25A">
      <w:pPr>
        <w:jc w:val="both"/>
        <w:rPr>
          <w:rFonts w:hint="eastAsia"/>
          <w:b w:val="0"/>
          <w:bCs w:val="0"/>
          <w:color w:val="auto"/>
          <w:sz w:val="28"/>
          <w:szCs w:val="28"/>
          <w:lang w:val="en-US" w:eastAsia="zh-CN"/>
        </w:rPr>
      </w:pPr>
      <w:r>
        <w:rPr>
          <w:rFonts w:hint="eastAsia"/>
          <w:b w:val="0"/>
          <w:bCs w:val="0"/>
          <w:color w:val="auto"/>
          <w:sz w:val="28"/>
          <w:szCs w:val="28"/>
          <w:lang w:val="en-US" w:eastAsia="zh-CN"/>
        </w:rPr>
        <w:t>中标单位：上海德骏物业管理有限公司</w:t>
      </w:r>
    </w:p>
    <w:p w14:paraId="0DCEC88B">
      <w:pPr>
        <w:jc w:val="both"/>
        <w:rPr>
          <w:rFonts w:hint="eastAsia"/>
          <w:b w:val="0"/>
          <w:bCs w:val="0"/>
          <w:color w:val="auto"/>
          <w:sz w:val="28"/>
          <w:szCs w:val="28"/>
          <w:lang w:val="en-US" w:eastAsia="zh-CN"/>
        </w:rPr>
      </w:pPr>
      <w:r>
        <w:rPr>
          <w:rFonts w:hint="eastAsia"/>
          <w:b w:val="0"/>
          <w:bCs w:val="0"/>
          <w:color w:val="auto"/>
          <w:sz w:val="28"/>
          <w:szCs w:val="28"/>
          <w:lang w:val="en-US" w:eastAsia="zh-CN"/>
        </w:rPr>
        <w:t>中标金额：1306200.00元</w:t>
      </w:r>
    </w:p>
    <w:p w14:paraId="0CA5F65F">
      <w:pPr>
        <w:jc w:val="both"/>
        <w:rPr>
          <w:rFonts w:hint="eastAsia"/>
          <w:b w:val="0"/>
          <w:bCs w:val="0"/>
          <w:color w:val="auto"/>
          <w:sz w:val="28"/>
          <w:szCs w:val="28"/>
          <w:lang w:val="en-US" w:eastAsia="zh-CN"/>
        </w:rPr>
      </w:pPr>
      <w:r>
        <w:rPr>
          <w:rFonts w:hint="eastAsia"/>
          <w:b w:val="0"/>
          <w:bCs w:val="0"/>
          <w:color w:val="auto"/>
          <w:sz w:val="28"/>
          <w:szCs w:val="28"/>
          <w:lang w:val="en-US" w:eastAsia="zh-CN"/>
        </w:rPr>
        <w:t>评审总得分：93.2</w:t>
      </w:r>
    </w:p>
    <w:p w14:paraId="0F1AC243">
      <w:pPr>
        <w:jc w:val="both"/>
        <w:rPr>
          <w:rFonts w:hint="eastAsia"/>
          <w:b w:val="0"/>
          <w:bCs w:val="0"/>
          <w:color w:val="auto"/>
          <w:sz w:val="28"/>
          <w:szCs w:val="28"/>
          <w:lang w:val="en-US" w:eastAsia="zh-CN"/>
        </w:rPr>
      </w:pPr>
      <w:r>
        <w:rPr>
          <w:rFonts w:hint="eastAsia"/>
          <w:b w:val="0"/>
          <w:bCs w:val="0"/>
          <w:color w:val="auto"/>
          <w:sz w:val="28"/>
          <w:szCs w:val="28"/>
          <w:lang w:val="en-US" w:eastAsia="zh-CN"/>
        </w:rPr>
        <w:t xml:space="preserve">中小企业：          </w:t>
      </w:r>
      <w:r>
        <w:rPr>
          <w:rFonts w:hint="eastAsia"/>
          <w:b/>
          <w:bCs/>
          <w:color w:val="auto"/>
          <w:sz w:val="28"/>
          <w:szCs w:val="28"/>
          <w:lang w:val="en-US" w:eastAsia="zh-CN"/>
        </w:rPr>
        <w:t>是</w:t>
      </w:r>
      <w:r>
        <w:rPr>
          <w:rFonts w:hint="eastAsia"/>
          <w:b w:val="0"/>
          <w:bCs w:val="0"/>
          <w:color w:val="auto"/>
          <w:sz w:val="28"/>
          <w:szCs w:val="28"/>
          <w:lang w:val="en-US" w:eastAsia="zh-CN"/>
        </w:rPr>
        <w:t>（是/否）</w:t>
      </w:r>
    </w:p>
    <w:p w14:paraId="435FB30A">
      <w:pPr>
        <w:jc w:val="both"/>
        <w:rPr>
          <w:rFonts w:hint="eastAsia"/>
          <w:b w:val="0"/>
          <w:bCs w:val="0"/>
          <w:color w:val="auto"/>
          <w:sz w:val="28"/>
          <w:szCs w:val="28"/>
          <w:lang w:val="en-US" w:eastAsia="zh-CN"/>
        </w:rPr>
      </w:pPr>
      <w:r>
        <w:rPr>
          <w:rFonts w:hint="eastAsia"/>
          <w:b w:val="0"/>
          <w:bCs w:val="0"/>
          <w:color w:val="auto"/>
          <w:sz w:val="28"/>
          <w:szCs w:val="28"/>
          <w:lang w:val="en-US" w:eastAsia="zh-CN"/>
        </w:rPr>
        <w:t>福利性单位：        否（是/否）</w:t>
      </w:r>
    </w:p>
    <w:p w14:paraId="72EE7096">
      <w:pPr>
        <w:jc w:val="both"/>
        <w:rPr>
          <w:rFonts w:hint="eastAsia"/>
          <w:b w:val="0"/>
          <w:bCs w:val="0"/>
          <w:color w:val="auto"/>
          <w:sz w:val="28"/>
          <w:szCs w:val="28"/>
          <w:lang w:val="en-US" w:eastAsia="zh-CN"/>
        </w:rPr>
      </w:pPr>
      <w:r>
        <w:rPr>
          <w:rFonts w:hint="eastAsia"/>
          <w:b w:val="0"/>
          <w:bCs w:val="0"/>
          <w:color w:val="auto"/>
          <w:sz w:val="28"/>
          <w:szCs w:val="28"/>
          <w:lang w:val="en-US" w:eastAsia="zh-CN"/>
        </w:rPr>
        <w:t>贫困县物业公司：    否（是/否）</w:t>
      </w:r>
    </w:p>
    <w:p w14:paraId="32AA5C5A">
      <w:pPr>
        <w:jc w:val="both"/>
        <w:rPr>
          <w:rFonts w:hint="eastAsia"/>
          <w:b/>
          <w:bCs/>
          <w:color w:val="auto"/>
          <w:sz w:val="28"/>
          <w:szCs w:val="28"/>
          <w:lang w:val="en-US" w:eastAsia="zh-CN"/>
        </w:rPr>
      </w:pPr>
      <w:r>
        <w:rPr>
          <w:rFonts w:hint="eastAsia"/>
          <w:b/>
          <w:bCs/>
          <w:color w:val="auto"/>
          <w:sz w:val="28"/>
          <w:szCs w:val="28"/>
          <w:lang w:val="en-US" w:eastAsia="zh-CN"/>
        </w:rPr>
        <w:t>注：</w:t>
      </w:r>
    </w:p>
    <w:p w14:paraId="58ECA33B">
      <w:pPr>
        <w:numPr>
          <w:ilvl w:val="0"/>
          <w:numId w:val="1"/>
        </w:numPr>
        <w:jc w:val="both"/>
        <w:rPr>
          <w:rFonts w:hint="eastAsia"/>
          <w:b w:val="0"/>
          <w:bCs w:val="0"/>
          <w:color w:val="auto"/>
          <w:sz w:val="28"/>
          <w:szCs w:val="28"/>
          <w:lang w:val="en-US" w:eastAsia="zh-CN"/>
        </w:rPr>
      </w:pPr>
      <w:r>
        <w:rPr>
          <w:rFonts w:hint="eastAsia"/>
          <w:b w:val="0"/>
          <w:bCs w:val="0"/>
          <w:color w:val="auto"/>
          <w:sz w:val="28"/>
          <w:szCs w:val="28"/>
          <w:lang w:val="en-US" w:eastAsia="zh-CN"/>
        </w:rPr>
        <w:t>中标供应商为中小企业的，应公告其《中小企业声明函》。</w:t>
      </w:r>
    </w:p>
    <w:p w14:paraId="09396267">
      <w:pPr>
        <w:numPr>
          <w:ilvl w:val="0"/>
          <w:numId w:val="1"/>
        </w:numPr>
        <w:jc w:val="both"/>
        <w:rPr>
          <w:rFonts w:hint="eastAsia"/>
          <w:b w:val="0"/>
          <w:bCs w:val="0"/>
          <w:color w:val="auto"/>
          <w:sz w:val="28"/>
          <w:szCs w:val="28"/>
          <w:lang w:val="en-US" w:eastAsia="zh-CN"/>
        </w:rPr>
      </w:pPr>
      <w:r>
        <w:rPr>
          <w:rFonts w:hint="eastAsia"/>
          <w:b w:val="0"/>
          <w:bCs w:val="0"/>
          <w:color w:val="auto"/>
          <w:sz w:val="28"/>
          <w:szCs w:val="28"/>
          <w:lang w:val="en-US" w:eastAsia="zh-CN"/>
        </w:rPr>
        <w:t>中标供应商为残疾人福利性单位的，应公告其《残疾人福利性单位声明函》。</w:t>
      </w:r>
    </w:p>
    <w:p w14:paraId="1D5F2F15">
      <w:pPr>
        <w:numPr>
          <w:ilvl w:val="0"/>
          <w:numId w:val="1"/>
        </w:numPr>
        <w:jc w:val="both"/>
        <w:rPr>
          <w:rFonts w:hint="eastAsia"/>
          <w:b w:val="0"/>
          <w:bCs w:val="0"/>
          <w:color w:val="auto"/>
          <w:sz w:val="28"/>
          <w:szCs w:val="28"/>
          <w:lang w:val="en-US" w:eastAsia="zh-CN"/>
        </w:rPr>
      </w:pPr>
      <w:r>
        <w:rPr>
          <w:rFonts w:hint="eastAsia"/>
          <w:b w:val="0"/>
          <w:bCs w:val="0"/>
          <w:color w:val="auto"/>
          <w:sz w:val="28"/>
          <w:szCs w:val="28"/>
          <w:lang w:val="en-US" w:eastAsia="zh-CN"/>
        </w:rPr>
        <w:t>中标供应商为注册地在国家级贫困县域内物业公司的，应公告注册所在县扶贫部门出具的聘用建档立卡贫困人员具体数量的证明。</w:t>
      </w:r>
    </w:p>
    <w:p w14:paraId="0CB86EAD">
      <w:pPr>
        <w:jc w:val="both"/>
        <w:rPr>
          <w:rFonts w:hint="eastAsia"/>
          <w:b w:val="0"/>
          <w:bCs w:val="0"/>
          <w:color w:val="auto"/>
          <w:sz w:val="28"/>
          <w:szCs w:val="28"/>
          <w:lang w:val="en-US" w:eastAsia="zh-CN"/>
        </w:rPr>
      </w:pPr>
      <w:r>
        <w:rPr>
          <w:rFonts w:hint="eastAsia"/>
          <w:b/>
          <w:bCs/>
          <w:color w:val="auto"/>
          <w:sz w:val="28"/>
          <w:szCs w:val="28"/>
          <w:lang w:val="en-US" w:eastAsia="zh-CN"/>
        </w:rPr>
        <w:t>推荐理由：</w:t>
      </w:r>
      <w:r>
        <w:rPr>
          <w:rFonts w:hint="eastAsia"/>
          <w:b w:val="0"/>
          <w:bCs w:val="0"/>
          <w:color w:val="auto"/>
          <w:sz w:val="28"/>
          <w:szCs w:val="28"/>
          <w:lang w:val="en-US" w:eastAsia="zh-CN"/>
        </w:rPr>
        <w:t>根据《财政部令第87号》第五十七条，采购文件评审办法，推荐得分最高单位为中标（成交）单位。</w:t>
      </w:r>
    </w:p>
    <w:p w14:paraId="5A2AAEA6">
      <w:pPr>
        <w:jc w:val="both"/>
        <w:rPr>
          <w:rFonts w:hint="eastAsia"/>
          <w:b w:val="0"/>
          <w:bCs w:val="0"/>
          <w:color w:val="auto"/>
          <w:sz w:val="28"/>
          <w:szCs w:val="28"/>
          <w:lang w:val="en-US" w:eastAsia="zh-CN"/>
        </w:rPr>
      </w:pPr>
      <w:r>
        <w:rPr>
          <w:rFonts w:hint="eastAsia"/>
          <w:b w:val="0"/>
          <w:bCs w:val="0"/>
          <w:color w:val="auto"/>
          <w:sz w:val="28"/>
          <w:szCs w:val="28"/>
          <w:lang w:val="en-US" w:eastAsia="zh-CN"/>
        </w:rPr>
        <w:t xml:space="preserve">  上海德骏物业管理有限公司的的投标文件的完整性响应度相对最高，类似业绩较多，且提供了满意度测评报告，针对本项目的技术服务方案较详实全面，各项作业规程和管理制度健全，项目人员配置和管理较合理，服务承诺和服务质量保障措施较完善。</w:t>
      </w:r>
    </w:p>
    <w:p w14:paraId="3D3B7E04">
      <w:pPr>
        <w:jc w:val="both"/>
        <w:rPr>
          <w:rFonts w:hint="eastAsia"/>
          <w:b w:val="0"/>
          <w:bCs w:val="0"/>
          <w:color w:val="auto"/>
          <w:sz w:val="28"/>
          <w:szCs w:val="28"/>
          <w:lang w:val="en-US" w:eastAsia="zh-CN"/>
        </w:rPr>
      </w:pPr>
      <w:r>
        <w:drawing>
          <wp:inline distT="0" distB="0" distL="114300" distR="114300">
            <wp:extent cx="4863465" cy="6947535"/>
            <wp:effectExtent l="0" t="0" r="63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863465" cy="694753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03D112A"/>
    <w:rsid w:val="01A364D8"/>
    <w:rsid w:val="01BC5C28"/>
    <w:rsid w:val="02117A32"/>
    <w:rsid w:val="038D49C4"/>
    <w:rsid w:val="05507E09"/>
    <w:rsid w:val="09F61F99"/>
    <w:rsid w:val="0AC43177"/>
    <w:rsid w:val="0DA407D3"/>
    <w:rsid w:val="0E901ACE"/>
    <w:rsid w:val="0EC61B2E"/>
    <w:rsid w:val="122D5724"/>
    <w:rsid w:val="14587576"/>
    <w:rsid w:val="15734140"/>
    <w:rsid w:val="19726F19"/>
    <w:rsid w:val="1C6A059E"/>
    <w:rsid w:val="1EF955DB"/>
    <w:rsid w:val="1F242A18"/>
    <w:rsid w:val="207F19AB"/>
    <w:rsid w:val="24A85EE5"/>
    <w:rsid w:val="24FC6576"/>
    <w:rsid w:val="264E3313"/>
    <w:rsid w:val="275A7453"/>
    <w:rsid w:val="301D31BC"/>
    <w:rsid w:val="349F7422"/>
    <w:rsid w:val="34F03928"/>
    <w:rsid w:val="35D3151C"/>
    <w:rsid w:val="37194219"/>
    <w:rsid w:val="402E1152"/>
    <w:rsid w:val="42DF397A"/>
    <w:rsid w:val="442C657E"/>
    <w:rsid w:val="48704256"/>
    <w:rsid w:val="4B71446C"/>
    <w:rsid w:val="4D115513"/>
    <w:rsid w:val="5024333E"/>
    <w:rsid w:val="558477DD"/>
    <w:rsid w:val="57EE0CF3"/>
    <w:rsid w:val="581D5534"/>
    <w:rsid w:val="58631A16"/>
    <w:rsid w:val="59AC0AD3"/>
    <w:rsid w:val="5CC43A10"/>
    <w:rsid w:val="5CED31F0"/>
    <w:rsid w:val="616C1EAD"/>
    <w:rsid w:val="62A55350"/>
    <w:rsid w:val="65144631"/>
    <w:rsid w:val="69091F80"/>
    <w:rsid w:val="69F4403E"/>
    <w:rsid w:val="6B3411CB"/>
    <w:rsid w:val="6E001E58"/>
    <w:rsid w:val="6EFE1F56"/>
    <w:rsid w:val="71A93B85"/>
    <w:rsid w:val="72A067D4"/>
    <w:rsid w:val="72D17373"/>
    <w:rsid w:val="73F75E04"/>
    <w:rsid w:val="774E448C"/>
    <w:rsid w:val="78600595"/>
    <w:rsid w:val="78973690"/>
    <w:rsid w:val="7B7B724A"/>
    <w:rsid w:val="7C8A307B"/>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803</Words>
  <Characters>888</Characters>
  <Lines>0</Lines>
  <Paragraphs>0</Paragraphs>
  <TotalTime>7</TotalTime>
  <ScaleCrop>false</ScaleCrop>
  <LinksUpToDate>false</LinksUpToDate>
  <CharactersWithSpaces>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2026-02-05T02:20:44Z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