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　　项目名称：</w:t>
      </w:r>
      <w:r>
        <w:rPr>
          <w:rFonts w:hint="default"/>
          <w:sz w:val="28"/>
          <w:szCs w:val="28"/>
          <w:lang w:val="en-US" w:eastAsia="zh-CN"/>
        </w:rPr>
        <w:t>物业管理费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 xml:space="preserve">    项目编号：310109000251110150710-09295520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 xml:space="preserve">     　　　中标单位：上海师源物业管理服务有限公司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 xml:space="preserve">     　　　中标金额： 2816555.00元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 xml:space="preserve">     　　　评审总得分：87.98分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上海师源物业管理服务有限公司的投标文件，全面性、针对性较强，对项目需求理解较为透彻，派驻专业团队较符合项目需求，类似业绩也最多，与项目匹配度较高。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综合得分最高，推荐上海师源物业管理服务有限公司为第一中标单位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822010D"/>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7661D4C"/>
    <w:rsid w:val="290F2699"/>
    <w:rsid w:val="3034783F"/>
    <w:rsid w:val="3358708E"/>
    <w:rsid w:val="37194219"/>
    <w:rsid w:val="389C7CCE"/>
    <w:rsid w:val="3A106FAF"/>
    <w:rsid w:val="402241E7"/>
    <w:rsid w:val="40272BFB"/>
    <w:rsid w:val="421806EF"/>
    <w:rsid w:val="44211D2B"/>
    <w:rsid w:val="46182F0E"/>
    <w:rsid w:val="49246628"/>
    <w:rsid w:val="4B71446C"/>
    <w:rsid w:val="4EE8706A"/>
    <w:rsid w:val="52D65AA6"/>
    <w:rsid w:val="52DD5CEC"/>
    <w:rsid w:val="570373E3"/>
    <w:rsid w:val="576F79B5"/>
    <w:rsid w:val="58631A16"/>
    <w:rsid w:val="5D073083"/>
    <w:rsid w:val="5F366C30"/>
    <w:rsid w:val="5FC858C2"/>
    <w:rsid w:val="606C207B"/>
    <w:rsid w:val="63433AE0"/>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2026-01-12T02:43:00Z</cp:lastPrinted>
  <dcterms:modified xsi:type="dcterms:W3CDTF">2026-01-13T06:39:12Z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