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公开招标项目中标（成交）推荐理由</w:t>
      </w:r>
      <w:r>
        <w:rPr>
          <w:rFonts w:hint="eastAsia"/>
          <w:b/>
          <w:bCs/>
          <w:sz w:val="32"/>
          <w:szCs w:val="32"/>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嘉兴路街道综合物业管理服务</w:t>
      </w:r>
      <w:r>
        <w:rPr>
          <w:rFonts w:hint="eastAsia"/>
          <w:sz w:val="28"/>
          <w:szCs w:val="28"/>
          <w:lang w:val="en-US" w:eastAsia="zh-CN"/>
        </w:rPr>
        <w:t>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项目编号：310109000251201157578-09296769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中标单位：上海今明环境发展集团</w:t>
      </w:r>
      <w:bookmarkStart w:id="0" w:name="_GoBack"/>
      <w:bookmarkEnd w:id="0"/>
      <w:r>
        <w:rPr>
          <w:rFonts w:hint="eastAsia"/>
          <w:sz w:val="28"/>
          <w:szCs w:val="28"/>
          <w:lang w:val="en-US" w:eastAsia="zh-CN"/>
        </w:rPr>
        <w:t>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中标金额：1020000.00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评审总得分：86.85分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嘉兴路街道综合物业管理服务</w:t>
      </w:r>
      <w:r>
        <w:rPr>
          <w:rFonts w:hint="eastAsia"/>
          <w:sz w:val="28"/>
          <w:szCs w:val="28"/>
          <w:lang w:val="en-US" w:eastAsia="zh-CN"/>
        </w:rPr>
        <w:t>包（2）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项目编号：310109000251201157578-09296769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中标单位：上海爱之庭物业管理有限公司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中标金额：293965.19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评审总得分：85.2分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嘉兴路街道综合物业管理服务</w:t>
      </w:r>
      <w:r>
        <w:rPr>
          <w:rFonts w:hint="eastAsia"/>
          <w:sz w:val="28"/>
          <w:szCs w:val="28"/>
          <w:lang w:val="en-US" w:eastAsia="zh-CN"/>
        </w:rPr>
        <w:t>包（3）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项目编号：310109000251201157578-09296769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中标单位：上海登丰物业管理有限公司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中标金额：1019382.40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评审总得分：86.18分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嘉兴路街道综合物业管理服务</w:t>
      </w:r>
      <w:r>
        <w:rPr>
          <w:rFonts w:hint="eastAsia"/>
          <w:sz w:val="28"/>
          <w:szCs w:val="28"/>
          <w:lang w:val="en-US" w:eastAsia="zh-CN"/>
        </w:rPr>
        <w:t>包（4）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项目编号：310109000251201157578-09296769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中标单位：上海恒润物业管理有限公司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中标金额：3374119.00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87.07分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val="en-US" w:eastAsia="zh-CN"/>
        </w:rPr>
      </w:pPr>
      <w:r>
        <w:rPr>
          <w:rFonts w:hint="eastAsia"/>
          <w:sz w:val="28"/>
          <w:szCs w:val="28"/>
          <w:lang w:val="en-US" w:eastAsia="zh-CN"/>
        </w:rPr>
        <w:t>包1：</w:t>
      </w:r>
      <w:r>
        <w:rPr>
          <w:rFonts w:hint="eastAsia"/>
          <w:sz w:val="28"/>
          <w:szCs w:val="28"/>
        </w:rPr>
        <w:t>上海今明环境发展集团有限公司的投标响应度较好，服务方案针对性较强，人员配置充分，类似项目业绩契合度较高，服务保障措施和应急预案较为完善，企业综合履约能力较强</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eastAsia="zh-CN"/>
        </w:rPr>
      </w:pPr>
      <w:r>
        <w:rPr>
          <w:rFonts w:hint="eastAsia"/>
          <w:sz w:val="28"/>
          <w:szCs w:val="28"/>
          <w:lang w:val="en-US" w:eastAsia="zh-CN"/>
        </w:rPr>
        <w:t>包2：</w:t>
      </w:r>
      <w:r>
        <w:rPr>
          <w:rFonts w:hint="eastAsia"/>
          <w:sz w:val="28"/>
          <w:szCs w:val="28"/>
        </w:rPr>
        <w:t>上海爱之庭物业管理有限公司的投标文件相对比较完整，服务方案针对性相对较强，保障措施比较全面，人员配置相对较好，服务承诺相对较优，具备相应的管理服务的优势</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default"/>
          <w:sz w:val="28"/>
          <w:szCs w:val="28"/>
        </w:rPr>
      </w:pPr>
      <w:r>
        <w:rPr>
          <w:rFonts w:hint="eastAsia"/>
          <w:sz w:val="28"/>
          <w:szCs w:val="28"/>
          <w:lang w:val="en-US" w:eastAsia="zh-CN"/>
        </w:rPr>
        <w:t>包3：</w:t>
      </w:r>
      <w:r>
        <w:rPr>
          <w:rFonts w:hint="eastAsia"/>
          <w:sz w:val="28"/>
          <w:szCs w:val="28"/>
        </w:rPr>
        <w:t>上海登丰物业管理有限公司</w:t>
      </w:r>
      <w:r>
        <w:rPr>
          <w:rFonts w:hint="eastAsia"/>
          <w:sz w:val="28"/>
          <w:szCs w:val="28"/>
          <w:lang w:eastAsia="zh-CN"/>
        </w:rPr>
        <w:t>的</w:t>
      </w:r>
      <w:r>
        <w:rPr>
          <w:rFonts w:hint="eastAsia"/>
          <w:sz w:val="28"/>
          <w:szCs w:val="28"/>
        </w:rPr>
        <w:t>投标响应度较好，服务方案针对性较强，人员配置充分，类似项目业绩契合度较高，服务保障措施和应急预案较为完善，企业综合履约能力较</w:t>
      </w:r>
      <w:r>
        <w:rPr>
          <w:rFonts w:hint="eastAsia"/>
          <w:sz w:val="28"/>
          <w:szCs w:val="28"/>
          <w:lang w:eastAsia="zh-CN"/>
        </w:rPr>
        <w:t>好</w:t>
      </w:r>
      <w:r>
        <w:rPr>
          <w:rFonts w:hint="eastAsia"/>
          <w:sz w:val="28"/>
          <w:szCs w:val="28"/>
        </w:rPr>
        <w:t>。</w:t>
      </w:r>
      <w:r>
        <w:rPr>
          <w:rFonts w:hint="default"/>
          <w:sz w:val="28"/>
          <w:szCs w:val="28"/>
        </w:rPr>
        <w:t>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val="en-US" w:eastAsia="zh-CN"/>
        </w:rPr>
      </w:pPr>
      <w:r>
        <w:rPr>
          <w:rFonts w:hint="eastAsia"/>
          <w:sz w:val="28"/>
          <w:szCs w:val="28"/>
          <w:lang w:val="en-US" w:eastAsia="zh-CN"/>
        </w:rPr>
        <w:t>包4：</w:t>
      </w:r>
      <w:r>
        <w:rPr>
          <w:rFonts w:hint="eastAsia"/>
          <w:sz w:val="28"/>
          <w:szCs w:val="28"/>
        </w:rPr>
        <w:t>上海恒润物业管理有限公司提供的服务方案完整合理，针对性及可操作性强，配备的人员齐全且资质较强，各项管理制度及保障措施到位，有丰富的相关项目管理经验。</w:t>
      </w:r>
    </w:p>
    <w:p>
      <w:pPr>
        <w:jc w:val="left"/>
      </w:pPr>
      <w:r>
        <w:rPr>
          <w:rFonts w:hint="eastAsia"/>
          <w:b/>
          <w:bCs/>
          <w:sz w:val="32"/>
          <w:szCs w:val="32"/>
          <w:lang w:val="en-US" w:eastAsia="zh-CN"/>
        </w:rPr>
        <w:t xml:space="preserve"> </w:t>
      </w:r>
      <w:r>
        <w:drawing>
          <wp:inline distT="0" distB="0" distL="114300" distR="114300">
            <wp:extent cx="4799965" cy="646684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99965" cy="6466840"/>
                    </a:xfrm>
                    <a:prstGeom prst="rect">
                      <a:avLst/>
                    </a:prstGeom>
                    <a:noFill/>
                    <a:ln w="9525">
                      <a:noFill/>
                    </a:ln>
                  </pic:spPr>
                </pic:pic>
              </a:graphicData>
            </a:graphic>
          </wp:inline>
        </w:drawing>
      </w:r>
    </w:p>
    <w:p>
      <w:pPr>
        <w:jc w:val="left"/>
      </w:pPr>
    </w:p>
    <w:p>
      <w:pPr>
        <w:jc w:val="left"/>
      </w:pPr>
    </w:p>
    <w:p>
      <w:pPr>
        <w:jc w:val="left"/>
      </w:pPr>
    </w:p>
    <w:p>
      <w:pPr>
        <w:jc w:val="left"/>
      </w:pPr>
    </w:p>
    <w:p>
      <w:pPr>
        <w:jc w:val="left"/>
      </w:pPr>
      <w:r>
        <w:drawing>
          <wp:inline distT="0" distB="0" distL="114300" distR="114300">
            <wp:extent cx="5274310" cy="57492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5749290"/>
                    </a:xfrm>
                    <a:prstGeom prst="rect">
                      <a:avLst/>
                    </a:prstGeom>
                    <a:noFill/>
                    <a:ln w="9525">
                      <a:noFill/>
                    </a:ln>
                  </pic:spPr>
                </pic:pic>
              </a:graphicData>
            </a:graphic>
          </wp:inline>
        </w:drawing>
      </w:r>
    </w:p>
    <w:p>
      <w:pPr>
        <w:jc w:val="left"/>
        <w:rPr>
          <w:rFonts w:hint="eastAsia"/>
          <w:lang w:eastAsia="zh-CN"/>
        </w:rPr>
      </w:pPr>
    </w:p>
    <w:p>
      <w:pPr>
        <w:jc w:val="left"/>
        <w:rPr>
          <w:rFonts w:hint="eastAsia"/>
          <w:lang w:eastAsia="zh-CN"/>
        </w:rPr>
      </w:pPr>
    </w:p>
    <w:p>
      <w:pPr>
        <w:jc w:val="left"/>
      </w:pPr>
      <w:r>
        <w:drawing>
          <wp:inline distT="0" distB="0" distL="114300" distR="114300">
            <wp:extent cx="5123815" cy="6485890"/>
            <wp:effectExtent l="0" t="0" r="63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23815" cy="6485890"/>
                    </a:xfrm>
                    <a:prstGeom prst="rect">
                      <a:avLst/>
                    </a:prstGeom>
                    <a:noFill/>
                    <a:ln w="9525">
                      <a:noFill/>
                    </a:ln>
                  </pic:spPr>
                </pic:pic>
              </a:graphicData>
            </a:graphic>
          </wp:inline>
        </w:drawing>
      </w:r>
    </w:p>
    <w:p>
      <w:pPr>
        <w:jc w:val="left"/>
      </w:pPr>
    </w:p>
    <w:p>
      <w:pPr>
        <w:jc w:val="left"/>
      </w:pPr>
    </w:p>
    <w:p>
      <w:pPr>
        <w:jc w:val="left"/>
        <w:rPr>
          <w:rFonts w:hint="eastAsia"/>
          <w:lang w:eastAsia="zh-CN"/>
        </w:rPr>
      </w:pPr>
      <w:r>
        <w:drawing>
          <wp:inline distT="0" distB="0" distL="114300" distR="114300">
            <wp:extent cx="5273040" cy="5699125"/>
            <wp:effectExtent l="0" t="0" r="381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56991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3AB4F43"/>
    <w:rsid w:val="23E627EF"/>
    <w:rsid w:val="26DC63F6"/>
    <w:rsid w:val="290F2699"/>
    <w:rsid w:val="3034783F"/>
    <w:rsid w:val="3358708E"/>
    <w:rsid w:val="37194219"/>
    <w:rsid w:val="3A106FAF"/>
    <w:rsid w:val="3E1F6E62"/>
    <w:rsid w:val="40272BFB"/>
    <w:rsid w:val="421806EF"/>
    <w:rsid w:val="44211D2B"/>
    <w:rsid w:val="46182F0E"/>
    <w:rsid w:val="4B71446C"/>
    <w:rsid w:val="4EE8706A"/>
    <w:rsid w:val="52D65AA6"/>
    <w:rsid w:val="535C69E3"/>
    <w:rsid w:val="570373E3"/>
    <w:rsid w:val="576F79B5"/>
    <w:rsid w:val="58631A16"/>
    <w:rsid w:val="5F366C30"/>
    <w:rsid w:val="5FC858C2"/>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2026-01-10T03:54:00Z</cp:lastPrinted>
  <dcterms:modified xsi:type="dcterms:W3CDTF">2026-01-10T05:58:27Z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