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项目名称：</w:t>
      </w:r>
      <w:r>
        <w:rPr>
          <w:rFonts w:hint="default"/>
          <w:b w:val="0"/>
          <w:bCs/>
          <w:sz w:val="28"/>
          <w:szCs w:val="28"/>
          <w:lang w:val="en-US" w:eastAsia="zh-CN"/>
        </w:rPr>
        <w:t>2026年虹口区道路停车场管理服务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b w:val="0"/>
          <w:bCs/>
          <w:sz w:val="28"/>
          <w:szCs w:val="28"/>
          <w:lang w:val="en-US" w:eastAsia="zh-CN"/>
        </w:rPr>
        <w:t>项目编号：310109000251224162184-09301426</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ascii="Monospaced Number" w:hAnsi="Monospaced Number" w:eastAsia="Monospaced Number" w:cs="Monospaced Number"/>
          <w:i w:val="0"/>
          <w:caps w:val="0"/>
          <w:color w:val="333333"/>
          <w:spacing w:val="0"/>
          <w:sz w:val="21"/>
          <w:szCs w:val="21"/>
          <w:shd w:val="clear" w:fill="F5FAFF"/>
        </w:rPr>
      </w:pPr>
      <w:r>
        <w:rPr>
          <w:rFonts w:hint="eastAsia"/>
          <w:sz w:val="28"/>
          <w:szCs w:val="28"/>
          <w:lang w:val="en-US" w:eastAsia="zh-CN"/>
        </w:rPr>
        <w:t xml:space="preserve">     中标单位：</w:t>
      </w:r>
      <w:bookmarkStart w:id="0" w:name="OLE_LINK2"/>
      <w:r>
        <w:rPr>
          <w:rFonts w:hint="eastAsia"/>
          <w:sz w:val="28"/>
          <w:szCs w:val="28"/>
          <w:lang w:val="en-US" w:eastAsia="zh-CN"/>
        </w:rPr>
        <w:t>上海虹口停车管理有限公司</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中标金额：15998000.00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评审总得分：90.43分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小微企业：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r>
        <w:rPr>
          <w:rFonts w:hint="eastAsia"/>
          <w:sz w:val="28"/>
          <w:szCs w:val="28"/>
          <w:lang w:val="en-US" w:eastAsia="zh-CN"/>
        </w:rPr>
        <w:t>上海虹口停车管理有限公司</w:t>
      </w:r>
      <w:r>
        <w:rPr>
          <w:rFonts w:hint="eastAsia"/>
          <w:sz w:val="28"/>
          <w:szCs w:val="28"/>
        </w:rPr>
        <w:t>总体方案最好，其具有质量体系等三体系认证，提供业绩证明3个，各项人员配备齐全且提供证书较多，其他管理措施较好</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b/>
          <w:bCs/>
          <w:sz w:val="32"/>
          <w:szCs w:val="32"/>
          <w:lang w:val="en-US" w:eastAsia="zh-CN"/>
        </w:rPr>
      </w:pPr>
      <w:r>
        <w:rPr>
          <w:rFonts w:hint="eastAsia"/>
          <w:b/>
          <w:bCs/>
          <w:sz w:val="32"/>
          <w:szCs w:val="32"/>
          <w:lang w:val="en-US" w:eastAsia="zh-CN"/>
        </w:rPr>
        <w:t xml:space="preserve"> </w:t>
      </w:r>
      <w:bookmarkStart w:id="1" w:name="OLE_LINK1"/>
      <w:r>
        <w:rPr>
          <w:rFonts w:hint="eastAsia"/>
          <w:sz w:val="28"/>
          <w:szCs w:val="28"/>
          <w:lang w:val="en-US" w:eastAsia="zh-CN"/>
        </w:rPr>
        <w:t xml:space="preserve">  </w:t>
      </w:r>
      <w:r>
        <w:rPr>
          <w:rFonts w:hint="eastAsia"/>
          <w:sz w:val="28"/>
          <w:szCs w:val="28"/>
        </w:rPr>
        <w:t>综合得分最高，推荐</w:t>
      </w:r>
      <w:r>
        <w:rPr>
          <w:rFonts w:hint="eastAsia"/>
          <w:sz w:val="28"/>
          <w:szCs w:val="28"/>
          <w:lang w:val="en-US" w:eastAsia="zh-CN"/>
        </w:rPr>
        <w:t>上海虹口停车管理有限公司</w:t>
      </w:r>
      <w:r>
        <w:rPr>
          <w:rFonts w:hint="eastAsia"/>
          <w:sz w:val="28"/>
          <w:szCs w:val="28"/>
        </w:rPr>
        <w:t>为第一中标单位。</w:t>
      </w:r>
    </w:p>
    <w:p>
      <w:pPr>
        <w:jc w:val="left"/>
        <w:rPr>
          <w:rFonts w:hint="eastAsia"/>
          <w:b/>
          <w:bCs/>
          <w:sz w:val="32"/>
          <w:szCs w:val="32"/>
          <w:lang w:val="en-US" w:eastAsia="zh-CN"/>
        </w:rPr>
      </w:pP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bookmarkStart w:id="2" w:name="_GoBack"/>
      <w:bookmarkEnd w:id="2"/>
      <w:r>
        <w:rPr>
          <w:rFonts w:hint="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030FBD"/>
    <w:rsid w:val="072118B2"/>
    <w:rsid w:val="07A062F6"/>
    <w:rsid w:val="081F12DC"/>
    <w:rsid w:val="095832CF"/>
    <w:rsid w:val="0AC43177"/>
    <w:rsid w:val="0B340593"/>
    <w:rsid w:val="0E7D2B3F"/>
    <w:rsid w:val="10C464A1"/>
    <w:rsid w:val="12C93643"/>
    <w:rsid w:val="134D6C53"/>
    <w:rsid w:val="148C7C94"/>
    <w:rsid w:val="14E258B8"/>
    <w:rsid w:val="15010581"/>
    <w:rsid w:val="177C1C4E"/>
    <w:rsid w:val="177C71BB"/>
    <w:rsid w:val="1DA02888"/>
    <w:rsid w:val="1E1678E7"/>
    <w:rsid w:val="207F19AB"/>
    <w:rsid w:val="225D6BDC"/>
    <w:rsid w:val="22F4571B"/>
    <w:rsid w:val="26DC63F6"/>
    <w:rsid w:val="290F2699"/>
    <w:rsid w:val="3034783F"/>
    <w:rsid w:val="3358708E"/>
    <w:rsid w:val="37194219"/>
    <w:rsid w:val="3A106FAF"/>
    <w:rsid w:val="3E1F6E62"/>
    <w:rsid w:val="40272BFB"/>
    <w:rsid w:val="421806EF"/>
    <w:rsid w:val="44211D2B"/>
    <w:rsid w:val="46182F0E"/>
    <w:rsid w:val="4B71446C"/>
    <w:rsid w:val="4EE8706A"/>
    <w:rsid w:val="52D65AA6"/>
    <w:rsid w:val="570373E3"/>
    <w:rsid w:val="576F79B5"/>
    <w:rsid w:val="58631A16"/>
    <w:rsid w:val="5F366C30"/>
    <w:rsid w:val="5FC858C2"/>
    <w:rsid w:val="642F6209"/>
    <w:rsid w:val="647379C8"/>
    <w:rsid w:val="650550BE"/>
    <w:rsid w:val="66A66656"/>
    <w:rsid w:val="68F01FA2"/>
    <w:rsid w:val="69851A55"/>
    <w:rsid w:val="6D1F5765"/>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2026-01-31T02:24:00Z</cp:lastPrinted>
  <dcterms:modified xsi:type="dcterms:W3CDTF">2026-02-02T01:50:51Z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