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sz w:val="36"/>
          <w:szCs w:val="36"/>
        </w:rPr>
      </w:pPr>
      <w:r>
        <w:rPr>
          <w:rFonts w:hint="eastAsia"/>
          <w:b/>
          <w:bCs/>
          <w:sz w:val="36"/>
          <w:szCs w:val="36"/>
        </w:rPr>
        <w:t>中标（成交）推荐理由</w:t>
      </w:r>
      <w:bookmarkStart w:id="0" w:name="_GoBack"/>
      <w:bookmarkEnd w:id="0"/>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sz w:val="28"/>
          <w:szCs w:val="28"/>
          <w:lang w:val="en-US" w:eastAsia="zh-CN"/>
        </w:rPr>
      </w:pPr>
      <w:r>
        <w:rPr>
          <w:rFonts w:hint="eastAsia"/>
          <w:sz w:val="28"/>
          <w:szCs w:val="28"/>
          <w:lang w:val="en-US" w:eastAsia="zh-CN"/>
        </w:rPr>
        <w:t>项目名称：</w:t>
      </w:r>
      <w:r>
        <w:rPr>
          <w:rFonts w:hint="default" w:ascii="Monospaced Number" w:hAnsi="Monospaced Number" w:eastAsia="Monospaced Number" w:cs="Monospaced Number"/>
          <w:i w:val="0"/>
          <w:caps w:val="0"/>
          <w:spacing w:val="0"/>
          <w:shd w:val="clear" w:fill="FFFFFF"/>
        </w:rPr>
        <w:t>南湖二期新建学生宿舍楼项目配套设备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sz w:val="28"/>
          <w:szCs w:val="28"/>
          <w:lang w:val="en-US" w:eastAsia="zh-CN"/>
        </w:rPr>
      </w:pPr>
      <w:r>
        <w:rPr>
          <w:rFonts w:hint="eastAsia"/>
          <w:sz w:val="28"/>
          <w:szCs w:val="28"/>
          <w:lang w:val="en-US" w:eastAsia="zh-CN"/>
        </w:rPr>
        <w:t>项目编号：310109000260522113000-09356569-1</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right="0" w:rightChars="0"/>
        <w:jc w:val="both"/>
        <w:textAlignment w:val="auto"/>
        <w:outlineLvl w:val="9"/>
        <w:rPr>
          <w:rFonts w:hint="eastAsia"/>
          <w:sz w:val="28"/>
          <w:szCs w:val="28"/>
          <w:lang w:val="en-US" w:eastAsia="zh-CN"/>
        </w:rPr>
      </w:pPr>
      <w:r>
        <w:rPr>
          <w:rFonts w:hint="eastAsia"/>
          <w:sz w:val="28"/>
          <w:szCs w:val="28"/>
          <w:lang w:val="en-US" w:eastAsia="zh-CN"/>
        </w:rPr>
        <w:t xml:space="preserve">   中标单位：上海育杨教育科技有限公司</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right="0" w:rightChars="0"/>
        <w:jc w:val="both"/>
        <w:textAlignment w:val="auto"/>
        <w:outlineLvl w:val="9"/>
        <w:rPr>
          <w:rFonts w:hint="eastAsia"/>
          <w:sz w:val="28"/>
          <w:szCs w:val="28"/>
          <w:lang w:val="en-US" w:eastAsia="zh-CN"/>
        </w:rPr>
      </w:pPr>
      <w:r>
        <w:rPr>
          <w:rFonts w:hint="eastAsia"/>
          <w:sz w:val="28"/>
          <w:szCs w:val="28"/>
          <w:lang w:val="en-US" w:eastAsia="zh-CN"/>
        </w:rPr>
        <w:t xml:space="preserve">   中标金额：2287560.00元</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right="0" w:rightChars="0"/>
        <w:jc w:val="both"/>
        <w:textAlignment w:val="auto"/>
        <w:outlineLvl w:val="9"/>
        <w:rPr>
          <w:rFonts w:hint="eastAsia"/>
          <w:sz w:val="28"/>
          <w:szCs w:val="28"/>
          <w:lang w:val="en-US" w:eastAsia="zh-CN"/>
        </w:rPr>
      </w:pPr>
      <w:r>
        <w:rPr>
          <w:rFonts w:hint="eastAsia"/>
          <w:sz w:val="28"/>
          <w:szCs w:val="28"/>
          <w:lang w:val="en-US" w:eastAsia="zh-CN"/>
        </w:rPr>
        <w:t xml:space="preserve">   评审总得分：93.85分</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right="0" w:rightChars="0"/>
        <w:jc w:val="both"/>
        <w:textAlignment w:val="auto"/>
        <w:outlineLvl w:val="9"/>
        <w:rPr>
          <w:rFonts w:hint="eastAsia"/>
          <w:sz w:val="28"/>
          <w:szCs w:val="28"/>
          <w:lang w:val="en-US" w:eastAsia="zh-CN"/>
        </w:rPr>
      </w:pPr>
      <w:r>
        <w:rPr>
          <w:rFonts w:hint="eastAsia"/>
          <w:sz w:val="28"/>
          <w:szCs w:val="28"/>
          <w:lang w:val="en-US" w:eastAsia="zh-CN"/>
        </w:rPr>
        <w:t xml:space="preserve">      中小企业：         是（是/否）</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right="0" w:rightChars="0"/>
        <w:jc w:val="both"/>
        <w:textAlignment w:val="auto"/>
        <w:outlineLvl w:val="9"/>
        <w:rPr>
          <w:rFonts w:hint="eastAsia"/>
          <w:sz w:val="28"/>
          <w:szCs w:val="28"/>
          <w:lang w:val="en-US" w:eastAsia="zh-CN"/>
        </w:rPr>
      </w:pPr>
      <w:r>
        <w:rPr>
          <w:rFonts w:hint="eastAsia"/>
          <w:sz w:val="28"/>
          <w:szCs w:val="28"/>
          <w:lang w:val="en-US" w:eastAsia="zh-CN"/>
        </w:rPr>
        <w:t xml:space="preserve">      福利性单位：       否 （是/否）</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right="0" w:rightChars="0"/>
        <w:jc w:val="both"/>
        <w:textAlignment w:val="auto"/>
        <w:outlineLvl w:val="9"/>
        <w:rPr>
          <w:rFonts w:hint="eastAsia"/>
          <w:sz w:val="28"/>
          <w:szCs w:val="28"/>
        </w:rPr>
      </w:pPr>
      <w:r>
        <w:rPr>
          <w:rFonts w:hint="eastAsia"/>
          <w:sz w:val="28"/>
          <w:szCs w:val="28"/>
          <w:lang w:val="en-US" w:eastAsia="zh-CN"/>
        </w:rPr>
        <w:t xml:space="preserve">      贫困县物业公司：   否 （是/否）</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b/>
          <w:bCs/>
          <w:sz w:val="28"/>
          <w:szCs w:val="28"/>
        </w:rPr>
      </w:pPr>
      <w:r>
        <w:rPr>
          <w:rFonts w:hint="eastAsia"/>
          <w:b/>
          <w:bCs/>
          <w:sz w:val="28"/>
          <w:szCs w:val="28"/>
        </w:rPr>
        <w:t>注：</w:t>
      </w:r>
    </w:p>
    <w:p>
      <w:pPr>
        <w:keepNext w:val="0"/>
        <w:keepLines w:val="0"/>
        <w:pageBreakBefore w:val="0"/>
        <w:widowControl w:val="0"/>
        <w:numPr>
          <w:ilvl w:val="0"/>
          <w:numId w:val="1"/>
        </w:numPr>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sz w:val="28"/>
          <w:szCs w:val="28"/>
        </w:rPr>
      </w:pPr>
      <w:r>
        <w:rPr>
          <w:rFonts w:hint="eastAsia"/>
          <w:sz w:val="28"/>
          <w:szCs w:val="28"/>
        </w:rPr>
        <w:t>中标供应商为中小企业的，应公告其《中小企业声明函》。</w:t>
      </w:r>
    </w:p>
    <w:p>
      <w:pPr>
        <w:keepNext w:val="0"/>
        <w:keepLines w:val="0"/>
        <w:pageBreakBefore w:val="0"/>
        <w:widowControl w:val="0"/>
        <w:numPr>
          <w:ilvl w:val="0"/>
          <w:numId w:val="1"/>
        </w:numPr>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sz w:val="28"/>
          <w:szCs w:val="28"/>
        </w:rPr>
      </w:pPr>
      <w:r>
        <w:rPr>
          <w:rFonts w:hint="eastAsia"/>
          <w:sz w:val="28"/>
          <w:szCs w:val="28"/>
        </w:rPr>
        <w:t>中标供应商为残疾人福利性单位的，应公告其《残疾人福利性单位声明函》。</w:t>
      </w:r>
    </w:p>
    <w:p>
      <w:pPr>
        <w:keepNext w:val="0"/>
        <w:keepLines w:val="0"/>
        <w:pageBreakBefore w:val="0"/>
        <w:widowControl w:val="0"/>
        <w:numPr>
          <w:ilvl w:val="0"/>
          <w:numId w:val="1"/>
        </w:numPr>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sz w:val="28"/>
          <w:szCs w:val="28"/>
        </w:rPr>
      </w:pPr>
      <w:r>
        <w:rPr>
          <w:rFonts w:hint="eastAsia"/>
          <w:sz w:val="28"/>
          <w:szCs w:val="28"/>
        </w:rPr>
        <w:t>中标供应商为注册地在国家级贫困县域内物业公司的，应公告注册所在县扶贫部门出具的聘用建档立卡贫困人员具体数量的证明。</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sz w:val="28"/>
          <w:szCs w:val="28"/>
        </w:rPr>
      </w:pPr>
      <w:r>
        <w:rPr>
          <w:rFonts w:hint="eastAsia"/>
          <w:b/>
          <w:bCs/>
          <w:sz w:val="28"/>
          <w:szCs w:val="28"/>
          <w:lang w:val="en-US" w:eastAsia="zh-CN"/>
        </w:rPr>
        <w:t xml:space="preserve">    </w:t>
      </w:r>
      <w:r>
        <w:rPr>
          <w:rFonts w:hint="eastAsia"/>
          <w:b/>
          <w:bCs/>
          <w:sz w:val="28"/>
          <w:szCs w:val="28"/>
        </w:rPr>
        <w:t>推荐理由：</w:t>
      </w:r>
      <w:r>
        <w:rPr>
          <w:rFonts w:hint="eastAsia"/>
          <w:sz w:val="28"/>
          <w:szCs w:val="28"/>
        </w:rPr>
        <w:t>根据《财政部令第87号》第五十七条，采购文件评审办法，推荐得分最高单位为中标（成交）单位。</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right="0" w:rightChars="0"/>
        <w:jc w:val="both"/>
        <w:textAlignment w:val="auto"/>
        <w:outlineLvl w:val="9"/>
        <w:rPr>
          <w:rFonts w:hint="eastAsia"/>
          <w:sz w:val="28"/>
          <w:szCs w:val="28"/>
          <w:lang w:val="en-US" w:eastAsia="zh-CN"/>
        </w:rPr>
      </w:pPr>
      <w:r>
        <w:rPr>
          <w:rFonts w:hint="eastAsia"/>
          <w:sz w:val="28"/>
          <w:szCs w:val="28"/>
          <w:lang w:val="en-US" w:eastAsia="zh-CN"/>
        </w:rPr>
        <w:t xml:space="preserve">    上海育杨教育科技有限公司业绩丰富，检测报告齐全，样品质量较好，整体方案符合招标需求。</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Monospaced Number" w:hAnsi="Monospaced Number" w:eastAsia="宋体" w:cs="Monospaced Number"/>
          <w:i w:val="0"/>
          <w:caps w:val="0"/>
          <w:color w:val="333333"/>
          <w:spacing w:val="0"/>
          <w:sz w:val="21"/>
          <w:szCs w:val="21"/>
          <w:shd w:val="clear" w:fill="FFFFFF"/>
          <w:lang w:val="en-US" w:eastAsia="zh-CN"/>
        </w:rPr>
      </w:pPr>
      <w:r>
        <w:rPr>
          <w:rFonts w:hint="eastAsia"/>
          <w:sz w:val="28"/>
          <w:szCs w:val="28"/>
          <w:lang w:val="en-US" w:eastAsia="zh-CN"/>
        </w:rPr>
        <w:t xml:space="preserve">     综合得分最高，拟推荐上海育杨教育科技有限公司</w:t>
      </w:r>
      <w:r>
        <w:rPr>
          <w:rFonts w:hint="eastAsia"/>
          <w:sz w:val="28"/>
          <w:szCs w:val="28"/>
          <w:lang w:eastAsia="zh-CN"/>
        </w:rPr>
        <w:t>为第一中标单位。</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right="0" w:rightChars="0" w:firstLine="560"/>
        <w:jc w:val="both"/>
        <w:textAlignment w:val="auto"/>
        <w:outlineLvl w:val="9"/>
        <w:rPr>
          <w:rFonts w:hint="eastAsia" w:cstheme="minorBidi"/>
          <w:kern w:val="2"/>
          <w:sz w:val="21"/>
          <w:szCs w:val="24"/>
          <w:lang w:val="en-US" w:eastAsia="zh-CN" w:bidi="ar-SA"/>
        </w:rPr>
      </w:pPr>
      <w:r>
        <w:rPr>
          <w:rFonts w:hint="eastAsia"/>
          <w:b/>
          <w:bCs/>
          <w:sz w:val="32"/>
          <w:szCs w:val="32"/>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Calibri Light">
    <w:altName w:val="Calibri"/>
    <w:panose1 w:val="020F0302020204030204"/>
    <w:charset w:val="00"/>
    <w:family w:val="swiss"/>
    <w:pitch w:val="default"/>
    <w:sig w:usb0="00000000" w:usb1="00000000" w:usb2="00000009" w:usb3="00000000" w:csb0="000001FF" w:csb1="00000000"/>
  </w:font>
  <w:font w:name="Monospaced Number">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80F3C52" w:usb2="00000016" w:usb3="00000000" w:csb0="0004001F" w:csb1="00000000"/>
  </w:font>
  <w:font w:name="Consolas">
    <w:panose1 w:val="020B0609020204030204"/>
    <w:charset w:val="00"/>
    <w:family w:val="modern"/>
    <w:pitch w:val="default"/>
    <w:sig w:usb0="E10002FF" w:usb1="4000FCFF" w:usb2="00000009" w:usb3="00000000" w:csb0="6000019F" w:csb1="DFD70000"/>
  </w:font>
  <w:font w:name="Arial">
    <w:panose1 w:val="020B0604020202020204"/>
    <w:charset w:val="00"/>
    <w:family w:val="swiss"/>
    <w:pitch w:val="default"/>
    <w:sig w:usb0="E0002AFF" w:usb1="C0007843" w:usb2="00000009" w:usb3="00000000" w:csb0="400001FF" w:csb1="FFFF0000"/>
  </w:font>
  <w:font w:name="Symbol">
    <w:panose1 w:val="05050102010706020507"/>
    <w:charset w:val="00"/>
    <w:family w:val="auto"/>
    <w:pitch w:val="default"/>
    <w:sig w:usb0="00000000" w:usb1="00000000" w:usb2="00000000" w:usb3="00000000" w:csb0="80000000" w:csb1="00000000"/>
  </w:font>
  <w:font w:name="PingFangSC-Regular">
    <w:altName w:val="Segoe Print"/>
    <w:panose1 w:val="00000000000000000000"/>
    <w:charset w:val="00"/>
    <w:family w:val="auto"/>
    <w:pitch w:val="default"/>
    <w:sig w:usb0="00000000" w:usb1="00000000" w:usb2="00000000" w:usb3="00000000" w:csb0="00000000" w:csb1="00000000"/>
  </w:font>
  <w:font w:name="PingFangSC-Medium">
    <w:altName w:val="Segoe Print"/>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06D5826"/>
    <w:multiLevelType w:val="singleLevel"/>
    <w:tmpl w:val="A06D5826"/>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zN2MzNGRmZGE1ZDg4NmVkOWRjZGQxYjRmNTAwNmUifQ=="/>
  </w:docVars>
  <w:rsids>
    <w:rsidRoot w:val="00992E74"/>
    <w:rsid w:val="00495816"/>
    <w:rsid w:val="00940566"/>
    <w:rsid w:val="00992E74"/>
    <w:rsid w:val="00B26328"/>
    <w:rsid w:val="00BB5AD4"/>
    <w:rsid w:val="01A364D8"/>
    <w:rsid w:val="036974CB"/>
    <w:rsid w:val="06B74821"/>
    <w:rsid w:val="072118B2"/>
    <w:rsid w:val="07A062F6"/>
    <w:rsid w:val="081F12DC"/>
    <w:rsid w:val="095832CF"/>
    <w:rsid w:val="0AC43177"/>
    <w:rsid w:val="0B340593"/>
    <w:rsid w:val="0E7D2B3F"/>
    <w:rsid w:val="10C464A1"/>
    <w:rsid w:val="12C93643"/>
    <w:rsid w:val="134D6C53"/>
    <w:rsid w:val="14E258B8"/>
    <w:rsid w:val="15010581"/>
    <w:rsid w:val="177C1C4E"/>
    <w:rsid w:val="177C71BB"/>
    <w:rsid w:val="1DA02888"/>
    <w:rsid w:val="1E1678E7"/>
    <w:rsid w:val="207F19AB"/>
    <w:rsid w:val="225D6BDC"/>
    <w:rsid w:val="22820478"/>
    <w:rsid w:val="22F4571B"/>
    <w:rsid w:val="23FA7FE6"/>
    <w:rsid w:val="253E5490"/>
    <w:rsid w:val="26DC63F6"/>
    <w:rsid w:val="290F2699"/>
    <w:rsid w:val="3034783F"/>
    <w:rsid w:val="3358708E"/>
    <w:rsid w:val="37194219"/>
    <w:rsid w:val="3A106FAF"/>
    <w:rsid w:val="3C5549D4"/>
    <w:rsid w:val="3DCB620E"/>
    <w:rsid w:val="3E1F6E62"/>
    <w:rsid w:val="40272BFB"/>
    <w:rsid w:val="41395012"/>
    <w:rsid w:val="421806EF"/>
    <w:rsid w:val="44211D2B"/>
    <w:rsid w:val="46182F0E"/>
    <w:rsid w:val="4B71446C"/>
    <w:rsid w:val="4EE8706A"/>
    <w:rsid w:val="52D65AA6"/>
    <w:rsid w:val="5580746F"/>
    <w:rsid w:val="570373E3"/>
    <w:rsid w:val="576F79B5"/>
    <w:rsid w:val="58631A16"/>
    <w:rsid w:val="5F366C30"/>
    <w:rsid w:val="5FC858C2"/>
    <w:rsid w:val="642F6209"/>
    <w:rsid w:val="650550BE"/>
    <w:rsid w:val="68F01FA2"/>
    <w:rsid w:val="69851A55"/>
    <w:rsid w:val="6A28683F"/>
    <w:rsid w:val="6D1F5765"/>
    <w:rsid w:val="70BD31FD"/>
    <w:rsid w:val="73EA1330"/>
    <w:rsid w:val="75E01DCF"/>
    <w:rsid w:val="760C7B9B"/>
    <w:rsid w:val="77C8398A"/>
    <w:rsid w:val="791F27AD"/>
    <w:rsid w:val="797E0291"/>
    <w:rsid w:val="7B1A0DEA"/>
    <w:rsid w:val="7E6F4F54"/>
    <w:rsid w:val="7F9A43F9"/>
  </w:rsids>
  <m:mathPr>
    <m:lMargin m:val="0"/>
    <m:mathFont m:val="Cambria Math"/>
    <m:rMargin m:val="0"/>
    <m:wrapIndent m:val="1440"/>
    <m:brkBin m:val="before"/>
    <m:brkBinSub m:val="--"/>
    <m:defJc m:val="centerGroup"/>
    <m:intLim m:val="subSup"/>
    <m:naryLim m:val="undOvr"/>
    <m:smallFrac m:val="0"/>
    <m:dispDef/>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3">
    <w:name w:val="Default Paragraph Font"/>
    <w:unhideWhenUsed/>
    <w:qFormat/>
    <w:uiPriority w:val="1"/>
  </w:style>
  <w:style w:type="table" w:default="1" w:styleId="4">
    <w:name w:val="Normal Table"/>
    <w:unhideWhenUsed/>
    <w:qFormat/>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55</Words>
  <Characters>319</Characters>
  <Lines>2</Lines>
  <Paragraphs>1</Paragraphs>
  <ScaleCrop>false</ScaleCrop>
  <LinksUpToDate>false</LinksUpToDate>
  <CharactersWithSpaces>373</CharactersWithSpaces>
  <Application>WPS Office_10.8.0.5715_F1E327BC-269C-435d-A152-05C5408002CA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pc</cp:lastModifiedBy>
  <cp:lastPrinted>2026-09-09T09:30:00Z</cp:lastPrinted>
  <dcterms:modified xsi:type="dcterms:W3CDTF">2026-09-10T07:08:56Z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2052-10.8.0.5715</vt:lpwstr>
  </property>
  <property fmtid="{D5CDD505-2E9C-101B-9397-08002B2CF9AE}" pid="3" name="ICV">
    <vt:lpwstr>1FEBBAA7E2854A0DA751DB27B416709F_12</vt:lpwstr>
  </property>
</Properties>
</file>