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A27B0">
      <w:pPr>
        <w:adjustRightInd w:val="0"/>
        <w:snapToGrid w:val="0"/>
        <w:spacing w:line="460" w:lineRule="exact"/>
        <w:jc w:val="center"/>
        <w:rPr>
          <w:rStyle w:val="5"/>
          <w:rFonts w:hint="eastAsia" w:ascii="宋体" w:hAnsi="宋体" w:eastAsia="宋体" w:cs="宋体"/>
          <w:b/>
          <w:bCs/>
          <w:sz w:val="27"/>
          <w:szCs w:val="27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sz w:val="27"/>
          <w:szCs w:val="27"/>
          <w:shd w:val="clear" w:color="auto" w:fill="FFFFFF"/>
        </w:rPr>
        <w:t>青村镇2026-2028年河道日常养护项目</w:t>
      </w:r>
    </w:p>
    <w:p w14:paraId="697EA25B">
      <w:pPr>
        <w:adjustRightInd w:val="0"/>
        <w:snapToGrid w:val="0"/>
        <w:spacing w:line="460" w:lineRule="exact"/>
        <w:jc w:val="center"/>
        <w:rPr>
          <w:rStyle w:val="5"/>
          <w:rFonts w:hint="eastAsia" w:ascii="宋体" w:hAnsi="宋体" w:eastAsia="宋体" w:cs="宋体"/>
          <w:b/>
          <w:bCs/>
          <w:sz w:val="27"/>
          <w:szCs w:val="27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sz w:val="27"/>
          <w:szCs w:val="27"/>
          <w:shd w:val="clear" w:color="auto" w:fill="FFFFFF"/>
        </w:rPr>
        <w:t>中标（成交）公告</w:t>
      </w:r>
    </w:p>
    <w:p w14:paraId="2078B70D">
      <w:pPr>
        <w:adjustRightInd w:val="0"/>
        <w:snapToGrid w:val="0"/>
        <w:spacing w:line="460" w:lineRule="exact"/>
        <w:ind w:left="0" w:leftChars="0" w:right="0" w:rightChars="0" w:firstLine="0" w:firstLineChars="0"/>
        <w:jc w:val="center"/>
        <w:rPr>
          <w:rStyle w:val="5"/>
          <w:rFonts w:hint="eastAsia"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5"/>
          <w:rFonts w:hint="eastAsia" w:ascii="仿宋" w:hAnsi="仿宋"/>
          <w:b/>
          <w:bCs/>
          <w:sz w:val="27"/>
          <w:szCs w:val="27"/>
          <w:shd w:val="clear" w:color="auto" w:fill="FFFFFF"/>
        </w:rPr>
        <w:t>附件内容：</w:t>
      </w:r>
    </w:p>
    <w:p w14:paraId="73CAD9B0">
      <w:pPr>
        <w:adjustRightInd w:val="0"/>
        <w:snapToGrid w:val="0"/>
        <w:spacing w:line="460" w:lineRule="exact"/>
        <w:ind w:left="0" w:leftChars="0" w:right="0" w:rightChars="0" w:firstLine="0" w:firstLineChars="0"/>
        <w:jc w:val="center"/>
        <w:rPr>
          <w:rStyle w:val="5"/>
          <w:rFonts w:hint="eastAsia" w:ascii="仿宋" w:hAnsi="仿宋"/>
          <w:b/>
          <w:bCs/>
          <w:sz w:val="27"/>
          <w:szCs w:val="27"/>
          <w:shd w:val="clear" w:color="auto" w:fill="FFFFFF"/>
        </w:rPr>
      </w:pPr>
    </w:p>
    <w:p w14:paraId="73A497D0">
      <w:pPr>
        <w:numPr>
          <w:ilvl w:val="0"/>
          <w:numId w:val="1"/>
        </w:numPr>
        <w:spacing w:line="360" w:lineRule="auto"/>
        <w:rPr>
          <w:rStyle w:val="5"/>
          <w:rFonts w:hint="eastAsia" w:ascii="宋体" w:hAnsi="宋体" w:eastAsia="宋体" w:cs="宋体"/>
          <w:b/>
          <w:color w:val="000000"/>
          <w:sz w:val="27"/>
          <w:szCs w:val="27"/>
          <w:lang w:eastAsia="zh-CN"/>
        </w:rPr>
      </w:pPr>
      <w:r>
        <w:rPr>
          <w:rStyle w:val="5"/>
          <w:rFonts w:hint="eastAsia" w:ascii="宋体" w:hAnsi="宋体" w:eastAsia="宋体" w:cs="宋体"/>
          <w:b/>
          <w:color w:val="000000"/>
          <w:sz w:val="27"/>
          <w:szCs w:val="27"/>
        </w:rPr>
        <w:t>中标</w:t>
      </w:r>
      <w:r>
        <w:rPr>
          <w:rStyle w:val="5"/>
          <w:rFonts w:ascii="宋体" w:hAnsi="宋体" w:eastAsia="宋体" w:cs="宋体"/>
          <w:b/>
          <w:color w:val="000000"/>
          <w:sz w:val="27"/>
          <w:szCs w:val="27"/>
        </w:rPr>
        <w:t>供应商推荐理由</w:t>
      </w:r>
      <w:r>
        <w:rPr>
          <w:rStyle w:val="5"/>
          <w:rFonts w:hint="eastAsia" w:ascii="宋体" w:hAnsi="宋体" w:eastAsia="宋体" w:cs="宋体"/>
          <w:b/>
          <w:color w:val="000000"/>
          <w:sz w:val="27"/>
          <w:szCs w:val="27"/>
        </w:rPr>
        <w:t>、</w:t>
      </w:r>
      <w:r>
        <w:rPr>
          <w:rStyle w:val="5"/>
          <w:rFonts w:ascii="宋体" w:hAnsi="宋体" w:eastAsia="宋体" w:cs="宋体"/>
          <w:b/>
          <w:color w:val="000000"/>
          <w:sz w:val="27"/>
          <w:szCs w:val="27"/>
        </w:rPr>
        <w:t>得分</w:t>
      </w:r>
      <w:r>
        <w:rPr>
          <w:rStyle w:val="5"/>
          <w:rFonts w:hint="eastAsia" w:ascii="宋体" w:hAnsi="宋体" w:eastAsia="宋体" w:cs="宋体"/>
          <w:b/>
          <w:color w:val="000000"/>
          <w:sz w:val="27"/>
          <w:szCs w:val="27"/>
          <w:lang w:eastAsia="zh-CN"/>
        </w:rPr>
        <w:t>：</w:t>
      </w:r>
    </w:p>
    <w:p w14:paraId="7CB69F0D">
      <w:pPr>
        <w:numPr>
          <w:ilvl w:val="0"/>
          <w:numId w:val="0"/>
        </w:numPr>
        <w:spacing w:line="360" w:lineRule="auto"/>
        <w:ind w:firstLine="482" w:firstLineChars="200"/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包件一：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本包件共有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4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 xml:space="preserve">家单位参加投标，投标文件均通过资格性、符合性审查。其中，上海奉贤贤润建设有限公司：整体日常养护技术方案完整，养护组织合理；养护方法、工艺基本涵盖了项目的范围和内容，有较强的可操作性；在质量、安全生产、文明施工、相关应急预案等方面均有保证体系和明确管理措施；类似施工经验丰富；拟投入的主要作业机械、设备配备，能较好满足本项目的养护作业需求；拟组建项目机构主要管理人员配置分工合理、职责明确，项目负责人资格满足要求，拟投入作业人员基本满足本项目的养护作业需求；该单位具有较强的企业综合实力来履约本项目日常养护作业任务。 </w:t>
      </w:r>
    </w:p>
    <w:p w14:paraId="25C03725">
      <w:pPr>
        <w:numPr>
          <w:ilvl w:val="0"/>
          <w:numId w:val="0"/>
        </w:numPr>
        <w:spacing w:line="360" w:lineRule="auto"/>
        <w:ind w:firstLine="480" w:firstLineChars="200"/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经评标委员会独立打分，上海奉贤贤润建设有限公司综合得分：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92.24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分，排名第一，推荐为本包件中标供应商。</w:t>
      </w:r>
    </w:p>
    <w:p w14:paraId="06614C33">
      <w:pPr>
        <w:numPr>
          <w:ilvl w:val="0"/>
          <w:numId w:val="0"/>
        </w:numPr>
        <w:spacing w:line="360" w:lineRule="auto"/>
        <w:ind w:firstLine="482" w:firstLineChars="200"/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包件二：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本包件共有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 xml:space="preserve">家单位参加投标，投标文件均通过资格性、符合性审查。其中，上海奉贤双建置业有限公司：整体日常养护技术方案完整，养护组织合理；养护方法、工艺基本涵盖了项目的范围和内容，有较强的可操作性；在质量、安全生产、文明施工、相关应急预案等方面均有保证体系和明确管理措施；类似项目经验丰富；拟投入的主要作业机械、设备配备，基本满足本项目的养护作业需求；拟组建项目机构主要管理人员配置分工合理、职责明确，项目负责人资格满足要求；该单位具有较强的企业综合实力来履约本项目日常养护作业任务。 </w:t>
      </w:r>
    </w:p>
    <w:p w14:paraId="768E4AAA">
      <w:pPr>
        <w:numPr>
          <w:ilvl w:val="0"/>
          <w:numId w:val="0"/>
        </w:numPr>
        <w:spacing w:line="360" w:lineRule="auto"/>
        <w:ind w:firstLine="480" w:firstLineChars="200"/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经评标委员会独立打分，上海奉贤双建置业有限公司综合得分：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80.23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分，排名第一，推荐为本包件中标供应商。</w:t>
      </w:r>
    </w:p>
    <w:p w14:paraId="5DED83FD">
      <w:pPr>
        <w:numPr>
          <w:ilvl w:val="0"/>
          <w:numId w:val="0"/>
        </w:numPr>
        <w:spacing w:line="360" w:lineRule="auto"/>
        <w:ind w:firstLine="482" w:firstLineChars="200"/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包件三：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本包件共有4家单位参加投标，投标文件均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通过资格性、符合性审查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。其中，上海勤贤河道养护有限公司：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整体日常养护技术方案完整，养护组织合理；养护方法、工艺基本涵盖了项目的范围和内容，有较强的可操作性；在质量、安全生产、文明施工、相关应急预案等方面均有保证体系和明确管理措施；类似施工经验丰富；拟投入的主要作业机械、设备配备，基本满足本项目的养护作业需求；拟组建项目机构主要管理人员配置分工合理、职责明确，项目负责人资格满足要求，拟投入作业人员基本满足本项目的养护作业需求；该单位具有较强的企业综合实力来履约本项目日常养护作业任务。</w:t>
      </w:r>
    </w:p>
    <w:p w14:paraId="55EB4608">
      <w:pPr>
        <w:numPr>
          <w:ilvl w:val="0"/>
          <w:numId w:val="0"/>
        </w:numPr>
        <w:spacing w:line="360" w:lineRule="auto"/>
        <w:ind w:firstLine="480" w:firstLineChars="200"/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经评标委员会独立打分，上海勤贤河道养护有限公司综合得分：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84.63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分，排名第一，推荐为本包件中标供应商。</w:t>
      </w:r>
    </w:p>
    <w:p w14:paraId="24CE2B6F">
      <w:pPr>
        <w:numPr>
          <w:ilvl w:val="0"/>
          <w:numId w:val="0"/>
        </w:numPr>
        <w:spacing w:line="360" w:lineRule="auto"/>
        <w:ind w:firstLine="482" w:firstLineChars="200"/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包件四：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本包件共有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4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家单位参加投标，投标文件均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通过资格性、符合性审查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。其中，上海昊源市政工程有限公司：整体日常养护技术方案完整，养护组织合理；养护方法、工艺基本涵盖了项目的范围和内容，有较强的可操作性；在质量、安全生产、文明施工、相关应急预案等方面均有保证体系和明确管理措施；类似施工经验丰富；拟投入的主要作业机械、设备配备，较好满足本项目的养护作业需求；拟组建项目机构主要管理人员配置分工合理、职责明确，项目负责人资格满足要求，拟投入作业人员基本满足本项目的养护作业需求；该单位具有较强的企业综合实力来履约本项目日常养护作业任务。</w:t>
      </w:r>
    </w:p>
    <w:p w14:paraId="372FB0B8">
      <w:pPr>
        <w:numPr>
          <w:ilvl w:val="0"/>
          <w:numId w:val="0"/>
        </w:numPr>
        <w:spacing w:line="360" w:lineRule="auto"/>
        <w:ind w:firstLine="480" w:firstLineChars="200"/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经评标委员会独立打分，上海昊源市政工程有限公司综合得分：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75.99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分，排名第一，推荐为本包件中标供应商。</w:t>
      </w:r>
    </w:p>
    <w:p w14:paraId="3D1AB880">
      <w:pPr>
        <w:numPr>
          <w:ilvl w:val="0"/>
          <w:numId w:val="0"/>
        </w:numPr>
        <w:spacing w:line="360" w:lineRule="auto"/>
        <w:rPr>
          <w:rStyle w:val="5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</w:p>
    <w:p w14:paraId="54C4BAB6">
      <w:pPr>
        <w:rPr>
          <w:rStyle w:val="5"/>
          <w:rFonts w:hint="eastAsia" w:ascii="宋体" w:hAnsi="宋体" w:eastAsia="宋体" w:cs="宋体"/>
          <w:b/>
          <w:color w:val="000000"/>
          <w:sz w:val="27"/>
          <w:szCs w:val="27"/>
          <w:lang w:eastAsia="zh-CN"/>
        </w:rPr>
      </w:pPr>
      <w:r>
        <w:rPr>
          <w:rStyle w:val="5"/>
          <w:rFonts w:hint="eastAsia" w:ascii="宋体" w:hAnsi="宋体" w:eastAsia="宋体" w:cs="宋体"/>
          <w:b/>
          <w:color w:val="000000"/>
          <w:sz w:val="27"/>
          <w:szCs w:val="27"/>
          <w:lang w:eastAsia="zh-CN"/>
        </w:rPr>
        <w:br w:type="page"/>
      </w:r>
    </w:p>
    <w:p w14:paraId="6CFC711B">
      <w:pPr>
        <w:numPr>
          <w:ilvl w:val="0"/>
          <w:numId w:val="1"/>
        </w:numPr>
        <w:spacing w:line="360" w:lineRule="auto"/>
        <w:rPr>
          <w:rStyle w:val="5"/>
          <w:rFonts w:hint="eastAsia" w:ascii="宋体" w:hAnsi="宋体" w:eastAsia="宋体" w:cs="宋体"/>
          <w:b/>
          <w:color w:val="000000"/>
          <w:sz w:val="27"/>
          <w:szCs w:val="27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E7D067">
      <w:pPr>
        <w:numPr>
          <w:ilvl w:val="0"/>
          <w:numId w:val="1"/>
        </w:numPr>
        <w:spacing w:line="360" w:lineRule="auto"/>
        <w:rPr>
          <w:rStyle w:val="5"/>
          <w:rFonts w:hint="eastAsia" w:ascii="宋体" w:hAnsi="宋体" w:eastAsia="宋体" w:cs="宋体"/>
          <w:b/>
          <w:color w:val="000000"/>
          <w:sz w:val="27"/>
          <w:szCs w:val="27"/>
          <w:lang w:eastAsia="zh-CN"/>
        </w:rPr>
      </w:pPr>
      <w:r>
        <w:rPr>
          <w:rStyle w:val="5"/>
          <w:rFonts w:hint="eastAsia" w:ascii="宋体" w:hAnsi="宋体" w:eastAsia="宋体" w:cs="宋体"/>
          <w:b/>
          <w:color w:val="000000"/>
          <w:sz w:val="27"/>
          <w:szCs w:val="27"/>
          <w:lang w:eastAsia="zh-CN"/>
        </w:rPr>
        <w:t>中标供应商《中小企业声明函》截图</w:t>
      </w:r>
    </w:p>
    <w:p w14:paraId="475E0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包件一</w:t>
      </w:r>
    </w:p>
    <w:p w14:paraId="1F207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</w:pPr>
      <w:r>
        <w:drawing>
          <wp:inline distT="0" distB="0" distL="114300" distR="114300">
            <wp:extent cx="3924300" cy="3971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EA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包件二</w:t>
      </w:r>
    </w:p>
    <w:p w14:paraId="2D48D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</w:pPr>
      <w:r>
        <w:drawing>
          <wp:inline distT="0" distB="0" distL="114300" distR="114300">
            <wp:extent cx="4057650" cy="4086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0C6DE">
      <w:pPr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br w:type="page"/>
      </w:r>
    </w:p>
    <w:p w14:paraId="4797C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包件三</w:t>
      </w:r>
    </w:p>
    <w:p w14:paraId="39365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</w:pPr>
      <w:r>
        <w:drawing>
          <wp:inline distT="0" distB="0" distL="114300" distR="114300">
            <wp:extent cx="4476750" cy="4305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B0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</w:pPr>
    </w:p>
    <w:p w14:paraId="272B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包件四</w:t>
      </w:r>
    </w:p>
    <w:p w14:paraId="4109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Style w:val="5"/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</w:pPr>
      <w:r>
        <w:drawing>
          <wp:inline distT="0" distB="0" distL="114300" distR="114300">
            <wp:extent cx="4467860" cy="3957955"/>
            <wp:effectExtent l="0" t="0" r="889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l="4487" r="3454" b="1052"/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67065"/>
    <w:multiLevelType w:val="singleLevel"/>
    <w:tmpl w:val="8B7670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OTNjMTkxZWZmOWU4NTMxZTgyMTAzZWZhOGEwY2YifQ=="/>
  </w:docVars>
  <w:rsids>
    <w:rsidRoot w:val="77A314E8"/>
    <w:rsid w:val="00E22309"/>
    <w:rsid w:val="034B4D53"/>
    <w:rsid w:val="28F83E02"/>
    <w:rsid w:val="2BC94961"/>
    <w:rsid w:val="2D836B04"/>
    <w:rsid w:val="32C3279A"/>
    <w:rsid w:val="376731D2"/>
    <w:rsid w:val="40CB5E7F"/>
    <w:rsid w:val="571B1C59"/>
    <w:rsid w:val="6031387E"/>
    <w:rsid w:val="6A842A69"/>
    <w:rsid w:val="732C265B"/>
    <w:rsid w:val="77A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iPriority="99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Sample"/>
    <w:basedOn w:val="4"/>
    <w:semiHidden/>
    <w:unhideWhenUsed/>
    <w:qFormat/>
    <w:uiPriority w:val="99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1333</Words>
  <Characters>1357</Characters>
  <Lines>0</Lines>
  <Paragraphs>0</Paragraphs>
  <TotalTime>6</TotalTime>
  <ScaleCrop>false</ScaleCrop>
  <LinksUpToDate>false</LinksUpToDate>
  <CharactersWithSpaces>1360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2024-10-09T05:54:00Z</dcterms:created>
  <dc:creator> 翔  </dc:creator>
  <cp:lastModifiedBy> 翔  </cp:lastModifiedBy>
  <dcterms:modified xsi:type="dcterms:W3CDTF">2025-12-23T02:24:12Z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8BB66DA88BAF4006A6F2CDEBCBA7D742_11</vt:lpwstr>
  </property>
  <property fmtid="{D5CDD505-2E9C-101B-9397-08002B2CF9AE}" pid="4" name="KSOTemplateDocerSaveRecord">
    <vt:lpwstr>eyJoZGlkIjoiNDE1MGM0NDcyZmI0NmQ4YjYzNTIwZDg4NDk5ODRhNzMiLCJ1c2VySWQiOiI2NjI0MjI4NzQifQ==</vt:lpwstr>
  </property>
</Properties>
</file>